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D47B6" w14:textId="656F82BB" w:rsidR="001C777B" w:rsidRPr="00735A35" w:rsidRDefault="00260BC1" w:rsidP="00735A35">
      <w:pPr>
        <w:spacing w:line="480" w:lineRule="auto"/>
        <w:rPr>
          <w:sz w:val="24"/>
          <w:szCs w:val="24"/>
          <w:lang w:val="en-GB"/>
        </w:rPr>
      </w:pPr>
      <w:r w:rsidRPr="00735A35">
        <w:rPr>
          <w:sz w:val="24"/>
          <w:szCs w:val="24"/>
          <w:lang w:val="en-GB"/>
        </w:rPr>
        <w:t xml:space="preserve">My proposed research topic is Ovid’s </w:t>
      </w:r>
      <w:r w:rsidRPr="00735A35">
        <w:rPr>
          <w:i/>
          <w:iCs/>
          <w:sz w:val="24"/>
          <w:szCs w:val="24"/>
          <w:lang w:val="en-GB"/>
        </w:rPr>
        <w:t>Ibis</w:t>
      </w:r>
      <w:r w:rsidRPr="00735A35">
        <w:rPr>
          <w:sz w:val="24"/>
          <w:szCs w:val="24"/>
          <w:lang w:val="en-GB"/>
        </w:rPr>
        <w:t>, and I intend to explore the poetic techniques used by Ovid and the effects produced, though the scope and precise focus of my research are still to be determined. T</w:t>
      </w:r>
      <w:r w:rsidR="001C777B" w:rsidRPr="00735A35">
        <w:rPr>
          <w:sz w:val="24"/>
          <w:szCs w:val="24"/>
          <w:lang w:val="en-GB"/>
        </w:rPr>
        <w:t xml:space="preserve">he </w:t>
      </w:r>
      <w:r w:rsidR="001C777B" w:rsidRPr="00735A35">
        <w:rPr>
          <w:i/>
          <w:iCs/>
          <w:sz w:val="24"/>
          <w:szCs w:val="24"/>
          <w:lang w:val="en-GB"/>
        </w:rPr>
        <w:t xml:space="preserve">Ibis </w:t>
      </w:r>
      <w:r w:rsidR="001C777B" w:rsidRPr="00735A35">
        <w:rPr>
          <w:sz w:val="24"/>
          <w:szCs w:val="24"/>
          <w:lang w:val="en-GB"/>
        </w:rPr>
        <w:t>has often attracted strong theoretical readings, including psychiatric</w:t>
      </w:r>
      <w:r w:rsidR="001C777B" w:rsidRPr="00735A35">
        <w:rPr>
          <w:rStyle w:val="FootnoteReference"/>
          <w:sz w:val="24"/>
          <w:szCs w:val="24"/>
          <w:lang w:val="en-GB"/>
        </w:rPr>
        <w:footnoteReference w:id="1"/>
      </w:r>
      <w:r w:rsidR="006565CC" w:rsidRPr="00735A35">
        <w:rPr>
          <w:sz w:val="24"/>
          <w:szCs w:val="24"/>
          <w:lang w:val="en-GB"/>
        </w:rPr>
        <w:t>, mythographic</w:t>
      </w:r>
      <w:r w:rsidR="00531CE2" w:rsidRPr="00735A35">
        <w:rPr>
          <w:sz w:val="24"/>
          <w:szCs w:val="24"/>
          <w:lang w:val="en-GB"/>
        </w:rPr>
        <w:t>-intertextual</w:t>
      </w:r>
      <w:r w:rsidR="00531CE2" w:rsidRPr="00735A35">
        <w:rPr>
          <w:rStyle w:val="FootnoteReference"/>
          <w:sz w:val="24"/>
          <w:szCs w:val="24"/>
          <w:lang w:val="en-GB"/>
        </w:rPr>
        <w:footnoteReference w:id="2"/>
      </w:r>
      <w:r w:rsidR="006565CC" w:rsidRPr="00735A35">
        <w:rPr>
          <w:sz w:val="24"/>
          <w:szCs w:val="24"/>
          <w:lang w:val="en-GB"/>
        </w:rPr>
        <w:t xml:space="preserve">, </w:t>
      </w:r>
      <w:r w:rsidR="00353F64" w:rsidRPr="00735A35">
        <w:rPr>
          <w:sz w:val="24"/>
          <w:szCs w:val="24"/>
          <w:lang w:val="en-GB"/>
        </w:rPr>
        <w:t xml:space="preserve">and </w:t>
      </w:r>
      <w:r w:rsidR="00367C66" w:rsidRPr="00735A35">
        <w:rPr>
          <w:sz w:val="24"/>
          <w:szCs w:val="24"/>
          <w:lang w:val="en-GB"/>
        </w:rPr>
        <w:t>biographical-historicist</w:t>
      </w:r>
      <w:r w:rsidR="00A35561" w:rsidRPr="00735A35">
        <w:rPr>
          <w:rStyle w:val="FootnoteReference"/>
          <w:sz w:val="24"/>
          <w:szCs w:val="24"/>
          <w:lang w:val="en-GB"/>
        </w:rPr>
        <w:footnoteReference w:id="3"/>
      </w:r>
      <w:r w:rsidR="00367C66" w:rsidRPr="00735A35">
        <w:rPr>
          <w:sz w:val="24"/>
          <w:szCs w:val="24"/>
          <w:lang w:val="en-GB"/>
        </w:rPr>
        <w:t>.</w:t>
      </w:r>
      <w:r w:rsidR="001C777B" w:rsidRPr="00735A35">
        <w:rPr>
          <w:sz w:val="24"/>
          <w:szCs w:val="24"/>
          <w:lang w:val="en-GB"/>
        </w:rPr>
        <w:t xml:space="preserve"> </w:t>
      </w:r>
      <w:r w:rsidR="00983BE3" w:rsidRPr="00735A35">
        <w:rPr>
          <w:sz w:val="24"/>
          <w:szCs w:val="24"/>
          <w:lang w:val="en-GB"/>
        </w:rPr>
        <w:t>The dominance of these approaches</w:t>
      </w:r>
      <w:r w:rsidR="003C0D38" w:rsidRPr="00735A35">
        <w:rPr>
          <w:sz w:val="24"/>
          <w:szCs w:val="24"/>
          <w:lang w:val="en-GB"/>
        </w:rPr>
        <w:t xml:space="preserve"> may be the reason that the </w:t>
      </w:r>
      <w:r w:rsidR="003C0D38" w:rsidRPr="00735A35">
        <w:rPr>
          <w:i/>
          <w:iCs/>
          <w:sz w:val="24"/>
          <w:szCs w:val="24"/>
          <w:lang w:val="en-GB"/>
        </w:rPr>
        <w:t xml:space="preserve">Ibis </w:t>
      </w:r>
      <w:r w:rsidR="003C0D38" w:rsidRPr="00735A35">
        <w:rPr>
          <w:sz w:val="24"/>
          <w:szCs w:val="24"/>
          <w:lang w:val="en-GB"/>
        </w:rPr>
        <w:t>is often considered a particularly ‘difficult’ poem within Ovid’s oeuvre</w:t>
      </w:r>
      <w:r w:rsidR="003C0D38" w:rsidRPr="00735A35">
        <w:rPr>
          <w:rStyle w:val="FootnoteReference"/>
          <w:sz w:val="24"/>
          <w:szCs w:val="24"/>
          <w:lang w:val="en-GB"/>
        </w:rPr>
        <w:footnoteReference w:id="4"/>
      </w:r>
      <w:r w:rsidR="003C0D38" w:rsidRPr="00735A35">
        <w:rPr>
          <w:sz w:val="24"/>
          <w:szCs w:val="24"/>
          <w:lang w:val="en-GB"/>
        </w:rPr>
        <w:t xml:space="preserve">, </w:t>
      </w:r>
      <w:r w:rsidR="00983BE3" w:rsidRPr="00735A35">
        <w:rPr>
          <w:sz w:val="24"/>
          <w:szCs w:val="24"/>
          <w:lang w:val="en-GB"/>
        </w:rPr>
        <w:t>as</w:t>
      </w:r>
      <w:r w:rsidR="003C0D38" w:rsidRPr="00735A35">
        <w:rPr>
          <w:sz w:val="24"/>
          <w:szCs w:val="24"/>
          <w:lang w:val="en-GB"/>
        </w:rPr>
        <w:t xml:space="preserve"> it seems to </w:t>
      </w:r>
      <w:r w:rsidR="00983BE3" w:rsidRPr="00735A35">
        <w:rPr>
          <w:sz w:val="24"/>
          <w:szCs w:val="24"/>
          <w:lang w:val="en-GB"/>
        </w:rPr>
        <w:t>resist definitive</w:t>
      </w:r>
      <w:r w:rsidR="003C0D38" w:rsidRPr="00735A35">
        <w:rPr>
          <w:sz w:val="24"/>
          <w:szCs w:val="24"/>
          <w:lang w:val="en-GB"/>
        </w:rPr>
        <w:t xml:space="preserve"> explication. T</w:t>
      </w:r>
      <w:r w:rsidR="001C777B" w:rsidRPr="00735A35">
        <w:rPr>
          <w:sz w:val="24"/>
          <w:szCs w:val="24"/>
          <w:lang w:val="en-GB"/>
        </w:rPr>
        <w:t>he approach I propose taking in my research is one of theoretical restraint, prioritising methodology over theory</w:t>
      </w:r>
      <w:r w:rsidR="00646441" w:rsidRPr="00735A35">
        <w:rPr>
          <w:sz w:val="24"/>
          <w:szCs w:val="24"/>
          <w:lang w:val="en-GB"/>
        </w:rPr>
        <w:t xml:space="preserve"> in focusing on the construction of the poem.</w:t>
      </w:r>
    </w:p>
    <w:p w14:paraId="581DA2D4" w14:textId="77777777" w:rsidR="00340413" w:rsidRPr="00735A35" w:rsidRDefault="00340413" w:rsidP="00735A35">
      <w:pPr>
        <w:spacing w:line="480" w:lineRule="auto"/>
        <w:rPr>
          <w:sz w:val="24"/>
          <w:szCs w:val="24"/>
          <w:lang w:val="en-GB"/>
        </w:rPr>
      </w:pPr>
    </w:p>
    <w:p w14:paraId="4EE2562C" w14:textId="4E8C7975" w:rsidR="003A55D0" w:rsidRPr="00735A35" w:rsidRDefault="008977AA" w:rsidP="00735A35">
      <w:pPr>
        <w:spacing w:line="480" w:lineRule="auto"/>
        <w:rPr>
          <w:sz w:val="24"/>
          <w:szCs w:val="24"/>
          <w:lang w:val="en-GB"/>
        </w:rPr>
      </w:pPr>
      <w:r>
        <w:rPr>
          <w:noProof/>
          <w:sz w:val="24"/>
          <w:szCs w:val="24"/>
          <w:lang w:val="en-GB"/>
        </w:rPr>
        <mc:AlternateContent>
          <mc:Choice Requires="wpi">
            <w:drawing>
              <wp:anchor distT="0" distB="0" distL="114300" distR="114300" simplePos="0" relativeHeight="251661312" behindDoc="0" locked="0" layoutInCell="1" allowOverlap="1" wp14:anchorId="211CE11B" wp14:editId="2DC521AD">
                <wp:simplePos x="0" y="0"/>
                <wp:positionH relativeFrom="column">
                  <wp:posOffset>278130</wp:posOffset>
                </wp:positionH>
                <wp:positionV relativeFrom="paragraph">
                  <wp:posOffset>4823460</wp:posOffset>
                </wp:positionV>
                <wp:extent cx="91440" cy="25400"/>
                <wp:effectExtent l="38100" t="38100" r="41910" b="31750"/>
                <wp:wrapNone/>
                <wp:docPr id="1448527977"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91440" cy="25400"/>
                      </w14:xfrm>
                    </w14:contentPart>
                  </a:graphicData>
                </a:graphic>
              </wp:anchor>
            </w:drawing>
          </mc:Choice>
          <mc:Fallback>
            <w:pict>
              <v:shapetype w14:anchorId="277D1D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1.55pt;margin-top:379.45pt;width:7.9pt;height:2.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">
                <v:imagedata r:id="rId9" o:title=""/>
              </v:shape>
            </w:pict>
          </mc:Fallback>
        </mc:AlternateContent>
      </w:r>
      <w:r w:rsidR="003A55D0" w:rsidRPr="00735A35">
        <w:rPr>
          <w:sz w:val="24"/>
          <w:szCs w:val="24"/>
          <w:lang w:val="en-GB"/>
        </w:rPr>
        <w:t xml:space="preserve">With my focus on the formal aspects of the </w:t>
      </w:r>
      <w:r w:rsidR="003A55D0" w:rsidRPr="00735A35">
        <w:rPr>
          <w:i/>
          <w:iCs/>
          <w:sz w:val="24"/>
          <w:szCs w:val="24"/>
          <w:lang w:val="en-GB"/>
        </w:rPr>
        <w:t>Ibis</w:t>
      </w:r>
      <w:r w:rsidR="003A55D0" w:rsidRPr="00735A35">
        <w:rPr>
          <w:sz w:val="24"/>
          <w:szCs w:val="24"/>
          <w:lang w:val="en-GB"/>
        </w:rPr>
        <w:t>, aspects of</w:t>
      </w:r>
      <w:r w:rsidR="00803C49" w:rsidRPr="00735A35">
        <w:rPr>
          <w:sz w:val="24"/>
          <w:szCs w:val="24"/>
          <w:lang w:val="en-GB"/>
        </w:rPr>
        <w:t xml:space="preserve"> </w:t>
      </w:r>
      <w:r w:rsidR="00CA43B4" w:rsidRPr="00735A35">
        <w:rPr>
          <w:sz w:val="24"/>
          <w:szCs w:val="24"/>
          <w:lang w:val="en-GB"/>
        </w:rPr>
        <w:t>formalist</w:t>
      </w:r>
      <w:r w:rsidR="008F08F8" w:rsidRPr="00735A35">
        <w:rPr>
          <w:sz w:val="24"/>
          <w:szCs w:val="24"/>
          <w:lang w:val="en-GB"/>
        </w:rPr>
        <w:t xml:space="preserve"> theories </w:t>
      </w:r>
      <w:r w:rsidR="008D1115">
        <w:rPr>
          <w:sz w:val="24"/>
          <w:szCs w:val="24"/>
          <w:lang w:val="en-GB"/>
        </w:rPr>
        <w:t xml:space="preserve">of literature </w:t>
      </w:r>
      <w:r w:rsidR="008F08F8" w:rsidRPr="00735A35">
        <w:rPr>
          <w:sz w:val="24"/>
          <w:szCs w:val="24"/>
          <w:lang w:val="en-GB"/>
        </w:rPr>
        <w:t xml:space="preserve">such as Russian </w:t>
      </w:r>
      <w:r w:rsidR="00803C49" w:rsidRPr="00735A35">
        <w:rPr>
          <w:sz w:val="24"/>
          <w:szCs w:val="24"/>
          <w:lang w:val="en-GB"/>
        </w:rPr>
        <w:t>Formalism and</w:t>
      </w:r>
      <w:r w:rsidR="003A55D0" w:rsidRPr="00735A35">
        <w:rPr>
          <w:sz w:val="24"/>
          <w:szCs w:val="24"/>
          <w:lang w:val="en-GB"/>
        </w:rPr>
        <w:t xml:space="preserve"> New Criticism </w:t>
      </w:r>
      <w:r>
        <w:rPr>
          <w:sz w:val="24"/>
          <w:szCs w:val="24"/>
          <w:lang w:val="en-GB"/>
        </w:rPr>
        <w:t xml:space="preserve">are </w:t>
      </w:r>
      <w:r w:rsidR="003A55D0" w:rsidRPr="00735A35">
        <w:rPr>
          <w:sz w:val="24"/>
          <w:szCs w:val="24"/>
          <w:lang w:val="en-GB"/>
        </w:rPr>
        <w:t xml:space="preserve">of relevance. </w:t>
      </w:r>
      <w:r w:rsidR="00EE5272" w:rsidRPr="00735A35">
        <w:rPr>
          <w:sz w:val="24"/>
          <w:szCs w:val="24"/>
          <w:lang w:val="en-GB"/>
        </w:rPr>
        <w:t xml:space="preserve">Russian </w:t>
      </w:r>
      <w:r w:rsidR="00225789" w:rsidRPr="00735A35">
        <w:rPr>
          <w:sz w:val="24"/>
          <w:szCs w:val="24"/>
          <w:lang w:val="en-GB"/>
        </w:rPr>
        <w:t xml:space="preserve">Formalism and </w:t>
      </w:r>
      <w:r w:rsidR="00BC5028" w:rsidRPr="00735A35">
        <w:rPr>
          <w:sz w:val="24"/>
          <w:szCs w:val="24"/>
          <w:lang w:val="en-GB"/>
        </w:rPr>
        <w:t xml:space="preserve">then </w:t>
      </w:r>
      <w:r w:rsidR="00956E1E" w:rsidRPr="00735A35">
        <w:rPr>
          <w:sz w:val="24"/>
          <w:szCs w:val="24"/>
          <w:lang w:val="en-GB"/>
        </w:rPr>
        <w:t>New Criticism</w:t>
      </w:r>
      <w:r w:rsidR="003A55D0" w:rsidRPr="00735A35">
        <w:rPr>
          <w:sz w:val="24"/>
          <w:szCs w:val="24"/>
          <w:lang w:val="en-GB"/>
        </w:rPr>
        <w:t xml:space="preserve"> </w:t>
      </w:r>
      <w:r w:rsidR="00225789" w:rsidRPr="00735A35">
        <w:rPr>
          <w:sz w:val="24"/>
          <w:szCs w:val="24"/>
          <w:lang w:val="en-GB"/>
        </w:rPr>
        <w:t>came to prominence in the first half of the 20</w:t>
      </w:r>
      <w:r w:rsidR="00225789" w:rsidRPr="00735A35">
        <w:rPr>
          <w:sz w:val="24"/>
          <w:szCs w:val="24"/>
          <w:vertAlign w:val="superscript"/>
          <w:lang w:val="en-GB"/>
        </w:rPr>
        <w:t>th</w:t>
      </w:r>
      <w:r w:rsidR="00225789" w:rsidRPr="00735A35">
        <w:rPr>
          <w:sz w:val="24"/>
          <w:szCs w:val="24"/>
          <w:lang w:val="en-GB"/>
        </w:rPr>
        <w:t xml:space="preserve"> century</w:t>
      </w:r>
      <w:r w:rsidR="001C7BFB" w:rsidRPr="00735A35">
        <w:rPr>
          <w:sz w:val="24"/>
          <w:szCs w:val="24"/>
          <w:lang w:val="en-GB"/>
        </w:rPr>
        <w:t xml:space="preserve">, </w:t>
      </w:r>
      <w:r w:rsidR="00D25A88" w:rsidRPr="00735A35">
        <w:rPr>
          <w:sz w:val="24"/>
          <w:szCs w:val="24"/>
          <w:lang w:val="en-GB"/>
        </w:rPr>
        <w:t>partly in reaction against approaches to literature</w:t>
      </w:r>
      <w:r w:rsidR="00A200DB" w:rsidRPr="00735A35">
        <w:rPr>
          <w:sz w:val="24"/>
          <w:szCs w:val="24"/>
          <w:lang w:val="en-GB"/>
        </w:rPr>
        <w:t xml:space="preserve"> which </w:t>
      </w:r>
      <w:r w:rsidR="00C91D3B" w:rsidRPr="00735A35">
        <w:rPr>
          <w:sz w:val="24"/>
          <w:szCs w:val="24"/>
          <w:lang w:val="en-GB"/>
        </w:rPr>
        <w:t>seemed to lean more towards other disciplines than literary studies itself</w:t>
      </w:r>
      <w:r w:rsidR="00D25A88" w:rsidRPr="00735A35">
        <w:rPr>
          <w:rStyle w:val="FootnoteReference"/>
          <w:sz w:val="24"/>
          <w:szCs w:val="24"/>
          <w:lang w:val="en-GB"/>
        </w:rPr>
        <w:footnoteReference w:id="5"/>
      </w:r>
      <w:r w:rsidR="00D25A88" w:rsidRPr="00735A35">
        <w:rPr>
          <w:sz w:val="24"/>
          <w:szCs w:val="24"/>
          <w:lang w:val="en-GB"/>
        </w:rPr>
        <w:t xml:space="preserve">, </w:t>
      </w:r>
      <w:r w:rsidR="001C7BFB" w:rsidRPr="00735A35">
        <w:rPr>
          <w:sz w:val="24"/>
          <w:szCs w:val="24"/>
          <w:lang w:val="en-GB"/>
        </w:rPr>
        <w:t xml:space="preserve">and the latter </w:t>
      </w:r>
      <w:r w:rsidR="003A55D0" w:rsidRPr="00735A35">
        <w:rPr>
          <w:sz w:val="24"/>
          <w:szCs w:val="24"/>
          <w:lang w:val="en-GB"/>
        </w:rPr>
        <w:t xml:space="preserve">dominated </w:t>
      </w:r>
      <w:r w:rsidR="001C7BFB" w:rsidRPr="00735A35">
        <w:rPr>
          <w:sz w:val="24"/>
          <w:szCs w:val="24"/>
          <w:lang w:val="en-GB"/>
        </w:rPr>
        <w:t xml:space="preserve">Anglo-American </w:t>
      </w:r>
      <w:r w:rsidR="003A55D0" w:rsidRPr="00735A35">
        <w:rPr>
          <w:sz w:val="24"/>
          <w:szCs w:val="24"/>
          <w:lang w:val="en-GB"/>
        </w:rPr>
        <w:t>scholarship for many years</w:t>
      </w:r>
      <w:r w:rsidR="001C7BFB" w:rsidRPr="00735A35">
        <w:rPr>
          <w:rStyle w:val="FootnoteReference"/>
          <w:sz w:val="24"/>
          <w:szCs w:val="24"/>
          <w:lang w:val="en-GB"/>
        </w:rPr>
        <w:footnoteReference w:id="6"/>
      </w:r>
      <w:r w:rsidR="008D1115">
        <w:rPr>
          <w:sz w:val="24"/>
          <w:szCs w:val="24"/>
          <w:lang w:val="en-GB"/>
        </w:rPr>
        <w:t>, although critics from neither school often discussed ancient literature</w:t>
      </w:r>
      <w:r w:rsidR="008D1115">
        <w:rPr>
          <w:rStyle w:val="FootnoteReference"/>
          <w:sz w:val="24"/>
          <w:szCs w:val="24"/>
          <w:lang w:val="en-GB"/>
        </w:rPr>
        <w:footnoteReference w:id="7"/>
      </w:r>
      <w:r w:rsidR="001C7BFB" w:rsidRPr="00735A35">
        <w:rPr>
          <w:sz w:val="24"/>
          <w:szCs w:val="24"/>
          <w:lang w:val="en-GB"/>
        </w:rPr>
        <w:t xml:space="preserve">. </w:t>
      </w:r>
      <w:r>
        <w:rPr>
          <w:sz w:val="24"/>
          <w:szCs w:val="24"/>
          <w:lang w:val="en-GB"/>
        </w:rPr>
        <w:t xml:space="preserve">Neither all </w:t>
      </w:r>
      <w:r w:rsidR="00DF0D90" w:rsidRPr="00735A35">
        <w:rPr>
          <w:sz w:val="24"/>
          <w:szCs w:val="24"/>
          <w:lang w:val="en-GB"/>
        </w:rPr>
        <w:t xml:space="preserve">Formalists </w:t>
      </w:r>
      <w:r>
        <w:rPr>
          <w:sz w:val="24"/>
          <w:szCs w:val="24"/>
          <w:lang w:val="en-GB"/>
        </w:rPr>
        <w:t>n</w:t>
      </w:r>
      <w:r w:rsidR="00DF0D90" w:rsidRPr="00735A35">
        <w:rPr>
          <w:sz w:val="24"/>
          <w:szCs w:val="24"/>
          <w:lang w:val="en-GB"/>
        </w:rPr>
        <w:t>or</w:t>
      </w:r>
      <w:r>
        <w:rPr>
          <w:sz w:val="24"/>
          <w:szCs w:val="24"/>
          <w:lang w:val="en-GB"/>
        </w:rPr>
        <w:t xml:space="preserve"> all</w:t>
      </w:r>
      <w:r w:rsidR="00DF0D90" w:rsidRPr="00735A35">
        <w:rPr>
          <w:sz w:val="24"/>
          <w:szCs w:val="24"/>
          <w:lang w:val="en-GB"/>
        </w:rPr>
        <w:t xml:space="preserve"> </w:t>
      </w:r>
      <w:r w:rsidR="003A55D0" w:rsidRPr="00735A35">
        <w:rPr>
          <w:sz w:val="24"/>
          <w:szCs w:val="24"/>
          <w:lang w:val="en-GB"/>
        </w:rPr>
        <w:t>New Critics agreed on all matters</w:t>
      </w:r>
      <w:r w:rsidR="007E1607" w:rsidRPr="00735A35">
        <w:rPr>
          <w:rStyle w:val="FootnoteReference"/>
          <w:sz w:val="24"/>
          <w:szCs w:val="24"/>
          <w:lang w:val="en-GB"/>
        </w:rPr>
        <w:footnoteReference w:id="8"/>
      </w:r>
      <w:r w:rsidR="003A55D0" w:rsidRPr="00735A35">
        <w:rPr>
          <w:sz w:val="24"/>
          <w:szCs w:val="24"/>
          <w:lang w:val="en-GB"/>
        </w:rPr>
        <w:t xml:space="preserve">, and </w:t>
      </w:r>
      <w:r w:rsidR="00915101" w:rsidRPr="00735A35">
        <w:rPr>
          <w:sz w:val="24"/>
          <w:szCs w:val="24"/>
          <w:lang w:val="en-GB"/>
        </w:rPr>
        <w:t xml:space="preserve">the views of </w:t>
      </w:r>
      <w:r w:rsidR="003A55D0" w:rsidRPr="00735A35">
        <w:rPr>
          <w:sz w:val="24"/>
          <w:szCs w:val="24"/>
          <w:lang w:val="en-GB"/>
        </w:rPr>
        <w:t xml:space="preserve">individual </w:t>
      </w:r>
      <w:r>
        <w:rPr>
          <w:sz w:val="24"/>
          <w:szCs w:val="24"/>
          <w:lang w:val="en-GB"/>
        </w:rPr>
        <w:t>scholars</w:t>
      </w:r>
      <w:r w:rsidR="003A55D0" w:rsidRPr="00735A35">
        <w:rPr>
          <w:sz w:val="24"/>
          <w:szCs w:val="24"/>
          <w:lang w:val="en-GB"/>
        </w:rPr>
        <w:t xml:space="preserve"> </w:t>
      </w:r>
      <w:r w:rsidR="00AF4204" w:rsidRPr="00735A35">
        <w:rPr>
          <w:sz w:val="24"/>
          <w:szCs w:val="24"/>
          <w:lang w:val="en-GB"/>
        </w:rPr>
        <w:t>evolved</w:t>
      </w:r>
      <w:r w:rsidR="003A55D0" w:rsidRPr="00735A35">
        <w:rPr>
          <w:sz w:val="24"/>
          <w:szCs w:val="24"/>
          <w:lang w:val="en-GB"/>
        </w:rPr>
        <w:t xml:space="preserve"> over the years</w:t>
      </w:r>
      <w:r>
        <w:rPr>
          <w:sz w:val="24"/>
          <w:szCs w:val="24"/>
          <w:lang w:val="en-GB"/>
        </w:rPr>
        <w:t>, so neither school offers a single, entirely unified approach, though many features were generally agreed upon</w:t>
      </w:r>
      <w:r w:rsidR="003A55D0" w:rsidRPr="00735A35">
        <w:rPr>
          <w:sz w:val="24"/>
          <w:szCs w:val="24"/>
          <w:lang w:val="en-GB"/>
        </w:rPr>
        <w:t>.</w:t>
      </w:r>
      <w:r w:rsidR="008D5E4A" w:rsidRPr="00735A35">
        <w:rPr>
          <w:sz w:val="24"/>
          <w:szCs w:val="24"/>
          <w:lang w:val="en-GB"/>
        </w:rPr>
        <w:t xml:space="preserve"> </w:t>
      </w:r>
      <w:r w:rsidR="006263EF" w:rsidRPr="00735A35">
        <w:rPr>
          <w:sz w:val="24"/>
          <w:szCs w:val="24"/>
          <w:lang w:val="en-GB"/>
        </w:rPr>
        <w:t>Pilshchikov</w:t>
      </w:r>
      <w:r w:rsidR="006263EF" w:rsidRPr="00735A35">
        <w:rPr>
          <w:rStyle w:val="FootnoteReference"/>
          <w:sz w:val="24"/>
          <w:szCs w:val="24"/>
          <w:lang w:val="en-GB"/>
        </w:rPr>
        <w:footnoteReference w:id="9"/>
      </w:r>
      <w:r w:rsidR="00BF14F3" w:rsidRPr="00735A35">
        <w:rPr>
          <w:sz w:val="24"/>
          <w:szCs w:val="24"/>
          <w:lang w:val="en-GB"/>
        </w:rPr>
        <w:t xml:space="preserve"> sets out the</w:t>
      </w:r>
      <w:r w:rsidR="008D5E4A" w:rsidRPr="00735A35">
        <w:rPr>
          <w:sz w:val="24"/>
          <w:szCs w:val="24"/>
          <w:lang w:val="en-GB"/>
        </w:rPr>
        <w:t xml:space="preserve"> </w:t>
      </w:r>
      <w:r w:rsidR="00BF14F3" w:rsidRPr="00735A35">
        <w:rPr>
          <w:sz w:val="24"/>
          <w:szCs w:val="24"/>
          <w:lang w:val="en-GB"/>
        </w:rPr>
        <w:t>overarching</w:t>
      </w:r>
      <w:r w:rsidR="008D5E4A" w:rsidRPr="00735A35">
        <w:rPr>
          <w:sz w:val="24"/>
          <w:szCs w:val="24"/>
          <w:lang w:val="en-GB"/>
        </w:rPr>
        <w:t xml:space="preserve"> </w:t>
      </w:r>
      <w:r w:rsidR="00BF14F3" w:rsidRPr="00735A35">
        <w:rPr>
          <w:sz w:val="24"/>
          <w:szCs w:val="24"/>
          <w:lang w:val="en-GB"/>
        </w:rPr>
        <w:t xml:space="preserve">premises </w:t>
      </w:r>
      <w:r w:rsidR="008D5E4A" w:rsidRPr="00735A35">
        <w:rPr>
          <w:sz w:val="24"/>
          <w:szCs w:val="24"/>
          <w:lang w:val="en-GB"/>
        </w:rPr>
        <w:t xml:space="preserve">of </w:t>
      </w:r>
      <w:r w:rsidR="00BF14F3" w:rsidRPr="00735A35">
        <w:rPr>
          <w:sz w:val="24"/>
          <w:szCs w:val="24"/>
          <w:lang w:val="en-GB"/>
        </w:rPr>
        <w:t xml:space="preserve">Russian </w:t>
      </w:r>
      <w:r w:rsidR="008D5E4A" w:rsidRPr="00735A35">
        <w:rPr>
          <w:sz w:val="24"/>
          <w:szCs w:val="24"/>
          <w:lang w:val="en-GB"/>
        </w:rPr>
        <w:t>Formalism</w:t>
      </w:r>
      <w:r w:rsidR="00344E37" w:rsidRPr="00735A35">
        <w:rPr>
          <w:sz w:val="24"/>
          <w:szCs w:val="24"/>
          <w:lang w:val="en-GB"/>
        </w:rPr>
        <w:t>:</w:t>
      </w:r>
      <w:r w:rsidR="008D5E4A" w:rsidRPr="00735A35">
        <w:rPr>
          <w:sz w:val="24"/>
          <w:szCs w:val="24"/>
          <w:lang w:val="en-GB"/>
        </w:rPr>
        <w:t xml:space="preserve"> </w:t>
      </w:r>
      <w:r w:rsidR="00EB2FF5" w:rsidRPr="00735A35">
        <w:rPr>
          <w:sz w:val="24"/>
          <w:szCs w:val="24"/>
          <w:lang w:val="en-GB"/>
        </w:rPr>
        <w:t>literature is verbal art which should be studied as such</w:t>
      </w:r>
      <w:r w:rsidR="009D008F" w:rsidRPr="00735A35">
        <w:rPr>
          <w:sz w:val="24"/>
          <w:szCs w:val="24"/>
          <w:lang w:val="en-GB"/>
        </w:rPr>
        <w:t xml:space="preserve">, </w:t>
      </w:r>
      <w:r w:rsidR="00EB2FF5" w:rsidRPr="00735A35">
        <w:rPr>
          <w:sz w:val="24"/>
          <w:szCs w:val="24"/>
          <w:lang w:val="en-GB"/>
        </w:rPr>
        <w:t xml:space="preserve">not </w:t>
      </w:r>
      <w:r w:rsidR="009529D6" w:rsidRPr="00735A35">
        <w:rPr>
          <w:sz w:val="24"/>
          <w:szCs w:val="24"/>
          <w:lang w:val="en-GB"/>
        </w:rPr>
        <w:t xml:space="preserve">as “a manifestation of </w:t>
      </w:r>
      <w:r w:rsidR="009529D6" w:rsidRPr="00735A35">
        <w:rPr>
          <w:sz w:val="24"/>
          <w:szCs w:val="24"/>
          <w:lang w:val="en-GB"/>
        </w:rPr>
        <w:lastRenderedPageBreak/>
        <w:t>extra-literary phenomena, such as social relations as in Marxism or psychological complexes”</w:t>
      </w:r>
      <w:r w:rsidR="00D8236D" w:rsidRPr="00735A35">
        <w:rPr>
          <w:sz w:val="24"/>
          <w:szCs w:val="24"/>
          <w:lang w:val="en-GB"/>
        </w:rPr>
        <w:t xml:space="preserve">; it is the intentional </w:t>
      </w:r>
      <w:r w:rsidR="00E2550C" w:rsidRPr="00735A35">
        <w:rPr>
          <w:sz w:val="24"/>
          <w:szCs w:val="24"/>
          <w:lang w:val="en-GB"/>
        </w:rPr>
        <w:t>transformation of language through poetic form that creates the art; and it is this form that should be studied</w:t>
      </w:r>
      <w:r w:rsidR="00746FC8" w:rsidRPr="00735A35">
        <w:rPr>
          <w:sz w:val="24"/>
          <w:szCs w:val="24"/>
          <w:lang w:val="en-GB"/>
        </w:rPr>
        <w:t xml:space="preserve"> rather than content or causality</w:t>
      </w:r>
      <w:r w:rsidR="00932019" w:rsidRPr="00735A35">
        <w:rPr>
          <w:sz w:val="24"/>
          <w:szCs w:val="24"/>
          <w:lang w:val="en-GB"/>
        </w:rPr>
        <w:t>.</w:t>
      </w:r>
      <w:r w:rsidR="003A55D0" w:rsidRPr="00735A35">
        <w:rPr>
          <w:sz w:val="24"/>
          <w:szCs w:val="24"/>
          <w:lang w:val="en-GB"/>
        </w:rPr>
        <w:t xml:space="preserve"> In early and important works of New Criticism, </w:t>
      </w:r>
      <w:r w:rsidR="00254C2E" w:rsidRPr="00735A35">
        <w:rPr>
          <w:sz w:val="24"/>
          <w:szCs w:val="24"/>
          <w:lang w:val="en-GB"/>
        </w:rPr>
        <w:t xml:space="preserve">J. C. </w:t>
      </w:r>
      <w:r w:rsidR="003A55D0" w:rsidRPr="00735A35">
        <w:rPr>
          <w:sz w:val="24"/>
          <w:szCs w:val="24"/>
          <w:lang w:val="en-GB"/>
        </w:rPr>
        <w:t>Ransom describes criticism as “the attempt to define and enjoy the aesthetic or characteristic values of literature”</w:t>
      </w:r>
      <w:r w:rsidR="003A55D0" w:rsidRPr="00735A35">
        <w:rPr>
          <w:rStyle w:val="FootnoteReference"/>
          <w:sz w:val="24"/>
          <w:szCs w:val="24"/>
          <w:lang w:val="en-GB"/>
        </w:rPr>
        <w:footnoteReference w:id="10"/>
      </w:r>
      <w:r w:rsidR="003A55D0" w:rsidRPr="00735A35">
        <w:rPr>
          <w:sz w:val="24"/>
          <w:szCs w:val="24"/>
          <w:lang w:val="en-GB"/>
        </w:rPr>
        <w:t xml:space="preserve">; </w:t>
      </w:r>
      <w:r w:rsidR="00900C58" w:rsidRPr="00735A35">
        <w:rPr>
          <w:sz w:val="24"/>
          <w:szCs w:val="24"/>
          <w:lang w:val="en-GB"/>
        </w:rPr>
        <w:t xml:space="preserve">C. </w:t>
      </w:r>
      <w:r w:rsidR="003A55D0" w:rsidRPr="00735A35">
        <w:rPr>
          <w:sz w:val="24"/>
          <w:szCs w:val="24"/>
          <w:lang w:val="en-GB"/>
        </w:rPr>
        <w:t xml:space="preserve">Brooks says the proper approach is to treat poems </w:t>
      </w:r>
      <w:r w:rsidR="003A55D0" w:rsidRPr="00735A35">
        <w:rPr>
          <w:i/>
          <w:iCs/>
          <w:sz w:val="24"/>
          <w:szCs w:val="24"/>
          <w:lang w:val="en-GB"/>
        </w:rPr>
        <w:t xml:space="preserve">as </w:t>
      </w:r>
      <w:r w:rsidR="003A55D0" w:rsidRPr="00735A35">
        <w:rPr>
          <w:sz w:val="24"/>
          <w:szCs w:val="24"/>
          <w:lang w:val="en-GB"/>
        </w:rPr>
        <w:t>poems rather than as, for example, histories or windows to society</w:t>
      </w:r>
      <w:r w:rsidR="003A55D0" w:rsidRPr="00735A35">
        <w:rPr>
          <w:rStyle w:val="FootnoteReference"/>
          <w:sz w:val="24"/>
          <w:szCs w:val="24"/>
          <w:lang w:val="en-GB"/>
        </w:rPr>
        <w:footnoteReference w:id="11"/>
      </w:r>
      <w:r w:rsidR="003A55D0" w:rsidRPr="00735A35">
        <w:rPr>
          <w:sz w:val="24"/>
          <w:szCs w:val="24"/>
          <w:lang w:val="en-GB"/>
        </w:rPr>
        <w:t>. In a work of great influence on the New Critics</w:t>
      </w:r>
      <w:r w:rsidR="005E5856" w:rsidRPr="00735A35">
        <w:rPr>
          <w:rStyle w:val="FootnoteReference"/>
          <w:sz w:val="24"/>
          <w:szCs w:val="24"/>
          <w:lang w:val="en-GB"/>
        </w:rPr>
        <w:footnoteReference w:id="12"/>
      </w:r>
      <w:r w:rsidR="003A55D0" w:rsidRPr="00735A35">
        <w:rPr>
          <w:sz w:val="24"/>
          <w:szCs w:val="24"/>
          <w:lang w:val="en-GB"/>
        </w:rPr>
        <w:t>, I. A. Richards says criticism is concerned with “what [a work of literature] communicates and how it does so and the worth of what is communicated”</w:t>
      </w:r>
      <w:r w:rsidR="003A55D0" w:rsidRPr="00735A35">
        <w:rPr>
          <w:rStyle w:val="FootnoteReference"/>
          <w:sz w:val="24"/>
          <w:szCs w:val="24"/>
          <w:lang w:val="en-GB"/>
        </w:rPr>
        <w:footnoteReference w:id="13"/>
      </w:r>
      <w:r w:rsidR="003A55D0" w:rsidRPr="00735A35">
        <w:rPr>
          <w:sz w:val="24"/>
          <w:szCs w:val="24"/>
          <w:lang w:val="en-GB"/>
        </w:rPr>
        <w:t xml:space="preserve">. I seek to draw on two elements from these ideas: </w:t>
      </w:r>
    </w:p>
    <w:p w14:paraId="5C10A422" w14:textId="78517D33" w:rsidR="003A55D0" w:rsidRPr="00735A35" w:rsidRDefault="003A55D0" w:rsidP="00735A35">
      <w:pPr>
        <w:pStyle w:val="ListParagraph"/>
        <w:numPr>
          <w:ilvl w:val="0"/>
          <w:numId w:val="3"/>
        </w:numPr>
        <w:spacing w:line="480" w:lineRule="auto"/>
        <w:rPr>
          <w:sz w:val="24"/>
          <w:szCs w:val="24"/>
          <w:lang w:val="en-GB"/>
        </w:rPr>
      </w:pPr>
      <w:r w:rsidRPr="00735A35">
        <w:rPr>
          <w:sz w:val="24"/>
          <w:szCs w:val="24"/>
          <w:lang w:val="en-GB"/>
        </w:rPr>
        <w:t>The treatment of a poem (or other work of literature) as an aesthetic work of art to be appreciated for its own sake.</w:t>
      </w:r>
    </w:p>
    <w:p w14:paraId="040EA2FF" w14:textId="018A1E8D" w:rsidR="00B40214" w:rsidRPr="00735A35" w:rsidRDefault="003A55D0" w:rsidP="00735A35">
      <w:pPr>
        <w:pStyle w:val="ListParagraph"/>
        <w:numPr>
          <w:ilvl w:val="0"/>
          <w:numId w:val="3"/>
        </w:numPr>
        <w:spacing w:line="480" w:lineRule="auto"/>
        <w:rPr>
          <w:sz w:val="24"/>
          <w:szCs w:val="24"/>
          <w:lang w:val="en-GB"/>
        </w:rPr>
      </w:pPr>
      <w:r w:rsidRPr="00735A35">
        <w:rPr>
          <w:sz w:val="24"/>
          <w:szCs w:val="24"/>
          <w:lang w:val="en-GB"/>
        </w:rPr>
        <w:t xml:space="preserve">The attempt to determine </w:t>
      </w:r>
      <w:r w:rsidR="00F12534" w:rsidRPr="00735A35">
        <w:rPr>
          <w:sz w:val="24"/>
          <w:szCs w:val="24"/>
          <w:lang w:val="en-GB"/>
        </w:rPr>
        <w:t xml:space="preserve">how form </w:t>
      </w:r>
      <w:r w:rsidR="008E7486" w:rsidRPr="00735A35">
        <w:rPr>
          <w:sz w:val="24"/>
          <w:szCs w:val="24"/>
          <w:lang w:val="en-GB"/>
        </w:rPr>
        <w:t>contributes to meaning and effect</w:t>
      </w:r>
      <w:r w:rsidRPr="00735A35">
        <w:rPr>
          <w:sz w:val="24"/>
          <w:szCs w:val="24"/>
          <w:lang w:val="en-GB"/>
        </w:rPr>
        <w:t xml:space="preserve">. </w:t>
      </w:r>
    </w:p>
    <w:p w14:paraId="2A9492C0" w14:textId="03D65966" w:rsidR="00646441" w:rsidRPr="00735A35" w:rsidRDefault="004E4D06" w:rsidP="00735A35">
      <w:pPr>
        <w:spacing w:line="480" w:lineRule="auto"/>
        <w:rPr>
          <w:i/>
          <w:iCs/>
          <w:sz w:val="24"/>
          <w:szCs w:val="24"/>
          <w:lang w:val="en-GB"/>
        </w:rPr>
      </w:pPr>
      <w:r w:rsidRPr="00735A35">
        <w:rPr>
          <w:sz w:val="24"/>
          <w:szCs w:val="24"/>
          <w:lang w:val="en-GB"/>
        </w:rPr>
        <w:t>The</w:t>
      </w:r>
      <w:r w:rsidR="00B62C32" w:rsidRPr="00735A35">
        <w:rPr>
          <w:sz w:val="24"/>
          <w:szCs w:val="24"/>
          <w:lang w:val="en-GB"/>
        </w:rPr>
        <w:t>se</w:t>
      </w:r>
      <w:r w:rsidRPr="00735A35">
        <w:rPr>
          <w:sz w:val="24"/>
          <w:szCs w:val="24"/>
          <w:lang w:val="en-GB"/>
        </w:rPr>
        <w:t xml:space="preserve"> </w:t>
      </w:r>
      <w:r w:rsidR="002E4E9F" w:rsidRPr="00735A35">
        <w:rPr>
          <w:sz w:val="24"/>
          <w:szCs w:val="24"/>
          <w:lang w:val="en-GB"/>
        </w:rPr>
        <w:t xml:space="preserve">two elements of </w:t>
      </w:r>
      <w:r w:rsidR="002C6C65" w:rsidRPr="00735A35">
        <w:rPr>
          <w:sz w:val="24"/>
          <w:szCs w:val="24"/>
          <w:lang w:val="en-GB"/>
        </w:rPr>
        <w:t xml:space="preserve">formalist </w:t>
      </w:r>
      <w:r w:rsidR="002E4E9F" w:rsidRPr="00735A35">
        <w:rPr>
          <w:sz w:val="24"/>
          <w:szCs w:val="24"/>
          <w:lang w:val="en-GB"/>
        </w:rPr>
        <w:t>approach</w:t>
      </w:r>
      <w:r w:rsidR="002C6C65" w:rsidRPr="00735A35">
        <w:rPr>
          <w:sz w:val="24"/>
          <w:szCs w:val="24"/>
          <w:lang w:val="en-GB"/>
        </w:rPr>
        <w:t>es</w:t>
      </w:r>
      <w:r w:rsidR="002E4E9F" w:rsidRPr="00735A35">
        <w:rPr>
          <w:sz w:val="24"/>
          <w:szCs w:val="24"/>
          <w:lang w:val="en-GB"/>
        </w:rPr>
        <w:t xml:space="preserve"> </w:t>
      </w:r>
      <w:r w:rsidR="00B62C32" w:rsidRPr="00735A35">
        <w:rPr>
          <w:sz w:val="24"/>
          <w:szCs w:val="24"/>
          <w:lang w:val="en-GB"/>
        </w:rPr>
        <w:t>will direct</w:t>
      </w:r>
      <w:r w:rsidR="001C52B4" w:rsidRPr="00735A35">
        <w:rPr>
          <w:sz w:val="24"/>
          <w:szCs w:val="24"/>
          <w:lang w:val="en-GB"/>
        </w:rPr>
        <w:t xml:space="preserve"> </w:t>
      </w:r>
      <w:r w:rsidR="00270FF0" w:rsidRPr="00735A35">
        <w:rPr>
          <w:sz w:val="24"/>
          <w:szCs w:val="24"/>
          <w:lang w:val="en-GB"/>
        </w:rPr>
        <w:t xml:space="preserve">my </w:t>
      </w:r>
      <w:r w:rsidR="001C52B4" w:rsidRPr="00735A35">
        <w:rPr>
          <w:sz w:val="24"/>
          <w:szCs w:val="24"/>
          <w:lang w:val="en-GB"/>
        </w:rPr>
        <w:t>attention to</w:t>
      </w:r>
      <w:r w:rsidR="002E4E9F" w:rsidRPr="00735A35">
        <w:rPr>
          <w:sz w:val="24"/>
          <w:szCs w:val="24"/>
          <w:lang w:val="en-GB"/>
        </w:rPr>
        <w:t xml:space="preserve"> </w:t>
      </w:r>
      <w:r w:rsidR="001C52B4" w:rsidRPr="00735A35">
        <w:rPr>
          <w:sz w:val="24"/>
          <w:szCs w:val="24"/>
          <w:lang w:val="en-GB"/>
        </w:rPr>
        <w:t>the words and</w:t>
      </w:r>
      <w:r w:rsidR="002E4E9F" w:rsidRPr="00735A35">
        <w:rPr>
          <w:sz w:val="24"/>
          <w:szCs w:val="24"/>
          <w:lang w:val="en-GB"/>
        </w:rPr>
        <w:t xml:space="preserve"> form</w:t>
      </w:r>
      <w:r w:rsidR="001C52B4" w:rsidRPr="00735A35">
        <w:rPr>
          <w:sz w:val="24"/>
          <w:szCs w:val="24"/>
          <w:lang w:val="en-GB"/>
        </w:rPr>
        <w:t xml:space="preserve"> of the </w:t>
      </w:r>
      <w:r w:rsidR="001C52B4" w:rsidRPr="00735A35">
        <w:rPr>
          <w:i/>
          <w:iCs/>
          <w:sz w:val="24"/>
          <w:szCs w:val="24"/>
          <w:lang w:val="en-GB"/>
        </w:rPr>
        <w:t>Ibis</w:t>
      </w:r>
      <w:r w:rsidR="002E4E9F" w:rsidRPr="00735A35">
        <w:rPr>
          <w:sz w:val="24"/>
          <w:szCs w:val="24"/>
          <w:lang w:val="en-GB"/>
        </w:rPr>
        <w:t>,</w:t>
      </w:r>
      <w:r w:rsidRPr="00735A35">
        <w:rPr>
          <w:sz w:val="24"/>
          <w:szCs w:val="24"/>
          <w:lang w:val="en-GB"/>
        </w:rPr>
        <w:t xml:space="preserve"> </w:t>
      </w:r>
      <w:r w:rsidR="00B62C32" w:rsidRPr="00735A35">
        <w:rPr>
          <w:sz w:val="24"/>
          <w:szCs w:val="24"/>
          <w:lang w:val="en-GB"/>
        </w:rPr>
        <w:t>through which I aim</w:t>
      </w:r>
      <w:r w:rsidRPr="00735A35">
        <w:rPr>
          <w:sz w:val="24"/>
          <w:szCs w:val="24"/>
          <w:lang w:val="en-GB"/>
        </w:rPr>
        <w:t xml:space="preserve"> to encourage greater critical appreciation</w:t>
      </w:r>
      <w:r w:rsidR="001C52B4" w:rsidRPr="00735A35">
        <w:rPr>
          <w:sz w:val="24"/>
          <w:szCs w:val="24"/>
          <w:lang w:val="en-GB"/>
        </w:rPr>
        <w:t xml:space="preserve"> of it as a carefully constructed work of art</w:t>
      </w:r>
      <w:r w:rsidRPr="00735A35">
        <w:rPr>
          <w:sz w:val="24"/>
          <w:szCs w:val="24"/>
          <w:lang w:val="en-GB"/>
        </w:rPr>
        <w:t>.</w:t>
      </w:r>
      <w:r w:rsidR="00F81A63" w:rsidRPr="00735A35">
        <w:rPr>
          <w:sz w:val="24"/>
          <w:szCs w:val="24"/>
          <w:lang w:val="en-GB"/>
        </w:rPr>
        <w:t xml:space="preserve"> It has been noted in recent decades that following </w:t>
      </w:r>
      <w:r w:rsidR="00735A35" w:rsidRPr="00735A35">
        <w:rPr>
          <w:sz w:val="24"/>
          <w:szCs w:val="24"/>
          <w:lang w:val="en-GB"/>
        </w:rPr>
        <w:t>the waning of New Criticism’s influence, the study of literature became once again “most strikingly concerned not with the appreciation of the intrinsic qualities of literature but with the historical and cultural ‘knowledge’ that can be acquired” from them</w:t>
      </w:r>
      <w:r w:rsidR="00735A35" w:rsidRPr="00735A35">
        <w:rPr>
          <w:rStyle w:val="FootnoteReference"/>
          <w:sz w:val="24"/>
          <w:szCs w:val="24"/>
          <w:lang w:val="en-GB"/>
        </w:rPr>
        <w:footnoteReference w:id="14"/>
      </w:r>
      <w:r w:rsidR="00735A35" w:rsidRPr="00735A35">
        <w:rPr>
          <w:sz w:val="24"/>
          <w:szCs w:val="24"/>
          <w:lang w:val="en-GB"/>
        </w:rPr>
        <w:t xml:space="preserve">, and it is this situation I intend to redress with regard to the </w:t>
      </w:r>
      <w:r w:rsidR="00735A35" w:rsidRPr="00735A35">
        <w:rPr>
          <w:i/>
          <w:iCs/>
          <w:sz w:val="24"/>
          <w:szCs w:val="24"/>
          <w:lang w:val="en-GB"/>
        </w:rPr>
        <w:t xml:space="preserve">Ibis. </w:t>
      </w:r>
    </w:p>
    <w:p w14:paraId="091C5109" w14:textId="77777777" w:rsidR="002E4E9F" w:rsidRPr="00735A35" w:rsidRDefault="002E4E9F" w:rsidP="00735A35">
      <w:pPr>
        <w:spacing w:line="480" w:lineRule="auto"/>
        <w:rPr>
          <w:sz w:val="24"/>
          <w:szCs w:val="24"/>
          <w:lang w:val="en-GB"/>
        </w:rPr>
      </w:pPr>
    </w:p>
    <w:p w14:paraId="49E9CF31" w14:textId="4D9754BC" w:rsidR="00035D39" w:rsidRPr="00735A35" w:rsidRDefault="00320645" w:rsidP="00735A35">
      <w:pPr>
        <w:spacing w:line="480" w:lineRule="auto"/>
        <w:rPr>
          <w:sz w:val="24"/>
          <w:szCs w:val="24"/>
          <w:lang w:val="en-GB"/>
        </w:rPr>
      </w:pPr>
      <w:r>
        <w:rPr>
          <w:sz w:val="24"/>
          <w:szCs w:val="24"/>
          <w:lang w:val="en-GB"/>
        </w:rPr>
        <w:lastRenderedPageBreak/>
        <w:t xml:space="preserve">An </w:t>
      </w:r>
      <w:r w:rsidR="00B40214" w:rsidRPr="00735A35">
        <w:rPr>
          <w:sz w:val="24"/>
          <w:szCs w:val="24"/>
          <w:lang w:val="en-GB"/>
        </w:rPr>
        <w:t>approach</w:t>
      </w:r>
      <w:r w:rsidR="00823126" w:rsidRPr="00735A35">
        <w:rPr>
          <w:sz w:val="24"/>
          <w:szCs w:val="24"/>
          <w:lang w:val="en-GB"/>
        </w:rPr>
        <w:t xml:space="preserve"> which</w:t>
      </w:r>
      <w:r w:rsidR="00B40214" w:rsidRPr="00735A35">
        <w:rPr>
          <w:sz w:val="24"/>
          <w:szCs w:val="24"/>
          <w:lang w:val="en-GB"/>
        </w:rPr>
        <w:t xml:space="preserve"> prioritises the literary features of the text is </w:t>
      </w:r>
      <w:r w:rsidR="00F30EDB" w:rsidRPr="00735A35">
        <w:rPr>
          <w:sz w:val="24"/>
          <w:szCs w:val="24"/>
          <w:lang w:val="en-GB"/>
        </w:rPr>
        <w:t>well</w:t>
      </w:r>
      <w:r w:rsidR="00B40214" w:rsidRPr="00735A35">
        <w:rPr>
          <w:sz w:val="24"/>
          <w:szCs w:val="24"/>
          <w:lang w:val="en-GB"/>
        </w:rPr>
        <w:t xml:space="preserve"> suited to the </w:t>
      </w:r>
      <w:r w:rsidR="00B40214" w:rsidRPr="00735A35">
        <w:rPr>
          <w:i/>
          <w:iCs/>
          <w:sz w:val="24"/>
          <w:szCs w:val="24"/>
          <w:lang w:val="en-GB"/>
        </w:rPr>
        <w:t xml:space="preserve">Ibis, </w:t>
      </w:r>
      <w:r w:rsidR="00B40214" w:rsidRPr="00735A35">
        <w:rPr>
          <w:sz w:val="24"/>
          <w:szCs w:val="24"/>
          <w:lang w:val="en-GB"/>
        </w:rPr>
        <w:t>with its highly dense nature</w:t>
      </w:r>
      <w:r w:rsidR="00206B0E" w:rsidRPr="00735A35">
        <w:rPr>
          <w:sz w:val="24"/>
          <w:szCs w:val="24"/>
          <w:lang w:val="en-GB"/>
        </w:rPr>
        <w:t xml:space="preserve"> and intricate formal</w:t>
      </w:r>
      <w:r w:rsidR="00F618A2" w:rsidRPr="00735A35">
        <w:rPr>
          <w:sz w:val="24"/>
          <w:szCs w:val="24"/>
          <w:lang w:val="en-GB"/>
        </w:rPr>
        <w:t xml:space="preserve"> structures</w:t>
      </w:r>
      <w:r w:rsidR="00B40214" w:rsidRPr="00735A35">
        <w:rPr>
          <w:sz w:val="24"/>
          <w:szCs w:val="24"/>
          <w:lang w:val="en-GB"/>
        </w:rPr>
        <w:t xml:space="preserve">. </w:t>
      </w:r>
      <w:r w:rsidR="00983BE3" w:rsidRPr="00735A35">
        <w:rPr>
          <w:sz w:val="24"/>
          <w:szCs w:val="24"/>
          <w:lang w:val="en-GB"/>
        </w:rPr>
        <w:t>Th</w:t>
      </w:r>
      <w:r w:rsidR="00F618A2" w:rsidRPr="00735A35">
        <w:rPr>
          <w:sz w:val="24"/>
          <w:szCs w:val="24"/>
          <w:lang w:val="en-GB"/>
        </w:rPr>
        <w:t xml:space="preserve">is </w:t>
      </w:r>
      <w:r w:rsidR="00983BE3" w:rsidRPr="00735A35">
        <w:rPr>
          <w:sz w:val="24"/>
          <w:szCs w:val="24"/>
          <w:lang w:val="en-GB"/>
        </w:rPr>
        <w:t>prominence of</w:t>
      </w:r>
      <w:r w:rsidR="00B40214" w:rsidRPr="00735A35">
        <w:rPr>
          <w:sz w:val="24"/>
          <w:szCs w:val="24"/>
          <w:lang w:val="en-GB"/>
        </w:rPr>
        <w:t xml:space="preserve"> poetic technique</w:t>
      </w:r>
      <w:r w:rsidR="001C52B4" w:rsidRPr="00735A35">
        <w:rPr>
          <w:rStyle w:val="FootnoteReference"/>
          <w:i/>
          <w:iCs/>
          <w:sz w:val="24"/>
          <w:szCs w:val="24"/>
          <w:lang w:val="en-GB"/>
        </w:rPr>
        <w:footnoteReference w:id="15"/>
      </w:r>
      <w:r w:rsidR="00B40214" w:rsidRPr="00735A35">
        <w:rPr>
          <w:i/>
          <w:iCs/>
          <w:sz w:val="24"/>
          <w:szCs w:val="24"/>
          <w:lang w:val="en-GB"/>
        </w:rPr>
        <w:t xml:space="preserve"> </w:t>
      </w:r>
      <w:r w:rsidR="00F30EDB" w:rsidRPr="00735A35">
        <w:rPr>
          <w:sz w:val="24"/>
          <w:szCs w:val="24"/>
          <w:lang w:val="en-GB"/>
        </w:rPr>
        <w:t>strongly suggests</w:t>
      </w:r>
      <w:r w:rsidR="00983BE3" w:rsidRPr="00735A35">
        <w:rPr>
          <w:sz w:val="24"/>
          <w:szCs w:val="24"/>
          <w:lang w:val="en-GB"/>
        </w:rPr>
        <w:t xml:space="preserve"> </w:t>
      </w:r>
      <w:r w:rsidR="00F618A2" w:rsidRPr="00735A35">
        <w:rPr>
          <w:sz w:val="24"/>
          <w:szCs w:val="24"/>
          <w:lang w:val="en-GB"/>
        </w:rPr>
        <w:t xml:space="preserve">a </w:t>
      </w:r>
      <w:r w:rsidR="00983BE3" w:rsidRPr="00735A35">
        <w:rPr>
          <w:sz w:val="24"/>
          <w:szCs w:val="24"/>
          <w:lang w:val="en-GB"/>
        </w:rPr>
        <w:t xml:space="preserve">deliberate poetic strategy </w:t>
      </w:r>
      <w:r w:rsidR="00B40214" w:rsidRPr="00735A35">
        <w:rPr>
          <w:sz w:val="24"/>
          <w:szCs w:val="24"/>
          <w:lang w:val="en-GB"/>
        </w:rPr>
        <w:t xml:space="preserve">and is indicative of </w:t>
      </w:r>
      <w:r w:rsidR="00F618A2" w:rsidRPr="00735A35">
        <w:rPr>
          <w:sz w:val="24"/>
          <w:szCs w:val="24"/>
          <w:lang w:val="en-GB"/>
        </w:rPr>
        <w:t>the</w:t>
      </w:r>
      <w:r w:rsidR="00B40214" w:rsidRPr="00735A35">
        <w:rPr>
          <w:sz w:val="24"/>
          <w:szCs w:val="24"/>
          <w:lang w:val="en-GB"/>
        </w:rPr>
        <w:t xml:space="preserve"> stylistic features being productive, not merely ornamental.</w:t>
      </w:r>
      <w:r w:rsidR="00C75BC9" w:rsidRPr="00735A35">
        <w:rPr>
          <w:sz w:val="24"/>
          <w:szCs w:val="24"/>
          <w:lang w:val="en-GB"/>
        </w:rPr>
        <w:t xml:space="preserve"> Methodologically,</w:t>
      </w:r>
      <w:r w:rsidR="00983BE3" w:rsidRPr="00735A35">
        <w:rPr>
          <w:sz w:val="24"/>
          <w:szCs w:val="24"/>
          <w:lang w:val="en-GB"/>
        </w:rPr>
        <w:t xml:space="preserve"> I propose to </w:t>
      </w:r>
      <w:r w:rsidR="00C75BC9" w:rsidRPr="00735A35">
        <w:rPr>
          <w:sz w:val="24"/>
          <w:szCs w:val="24"/>
          <w:lang w:val="en-GB"/>
        </w:rPr>
        <w:t>adopt a stylistic approach</w:t>
      </w:r>
      <w:r w:rsidR="008E6F5F" w:rsidRPr="00735A35">
        <w:rPr>
          <w:sz w:val="24"/>
          <w:szCs w:val="24"/>
          <w:lang w:val="en-GB"/>
        </w:rPr>
        <w:t xml:space="preserve"> which </w:t>
      </w:r>
      <w:r w:rsidR="00FA56D1" w:rsidRPr="00735A35">
        <w:rPr>
          <w:sz w:val="24"/>
          <w:szCs w:val="24"/>
          <w:lang w:val="en-GB"/>
        </w:rPr>
        <w:t>relies</w:t>
      </w:r>
      <w:r w:rsidR="008E6F5F" w:rsidRPr="00735A35">
        <w:rPr>
          <w:sz w:val="24"/>
          <w:szCs w:val="24"/>
          <w:lang w:val="en-GB"/>
        </w:rPr>
        <w:t xml:space="preserve"> on</w:t>
      </w:r>
      <w:r w:rsidR="008672E2" w:rsidRPr="00735A35">
        <w:rPr>
          <w:sz w:val="24"/>
          <w:szCs w:val="24"/>
          <w:lang w:val="en-GB"/>
        </w:rPr>
        <w:t xml:space="preserve"> </w:t>
      </w:r>
      <w:r w:rsidR="00EF0AC6" w:rsidRPr="00735A35">
        <w:rPr>
          <w:sz w:val="24"/>
          <w:szCs w:val="24"/>
          <w:lang w:val="en-GB"/>
        </w:rPr>
        <w:t>careful</w:t>
      </w:r>
      <w:r w:rsidR="008E6F5F" w:rsidRPr="00735A35">
        <w:rPr>
          <w:sz w:val="24"/>
          <w:szCs w:val="24"/>
          <w:lang w:val="en-GB"/>
        </w:rPr>
        <w:t xml:space="preserve"> reading </w:t>
      </w:r>
      <w:r w:rsidR="00E10235" w:rsidRPr="00735A35">
        <w:rPr>
          <w:sz w:val="24"/>
          <w:szCs w:val="24"/>
          <w:lang w:val="en-GB"/>
        </w:rPr>
        <w:t xml:space="preserve">to </w:t>
      </w:r>
      <w:r w:rsidR="00E70A4C" w:rsidRPr="00735A35">
        <w:rPr>
          <w:sz w:val="24"/>
          <w:szCs w:val="24"/>
          <w:lang w:val="en-GB"/>
        </w:rPr>
        <w:t>identify and explain</w:t>
      </w:r>
      <w:r w:rsidR="00E10235" w:rsidRPr="00735A35">
        <w:rPr>
          <w:sz w:val="24"/>
          <w:szCs w:val="24"/>
          <w:lang w:val="en-GB"/>
        </w:rPr>
        <w:t xml:space="preserve"> </w:t>
      </w:r>
      <w:r w:rsidR="00805E2B" w:rsidRPr="00735A35">
        <w:rPr>
          <w:sz w:val="24"/>
          <w:szCs w:val="24"/>
          <w:lang w:val="en-GB"/>
        </w:rPr>
        <w:t>the</w:t>
      </w:r>
      <w:r w:rsidR="00265A90" w:rsidRPr="00735A35">
        <w:rPr>
          <w:sz w:val="24"/>
          <w:szCs w:val="24"/>
          <w:lang w:val="en-GB"/>
        </w:rPr>
        <w:t xml:space="preserve">se </w:t>
      </w:r>
      <w:r w:rsidR="005E238C" w:rsidRPr="00735A35">
        <w:rPr>
          <w:sz w:val="24"/>
          <w:szCs w:val="24"/>
          <w:lang w:val="en-GB"/>
        </w:rPr>
        <w:t>poetic features</w:t>
      </w:r>
      <w:r w:rsidR="001E71D5" w:rsidRPr="00735A35">
        <w:rPr>
          <w:sz w:val="24"/>
          <w:szCs w:val="24"/>
          <w:lang w:val="en-GB"/>
        </w:rPr>
        <w:t>,</w:t>
      </w:r>
      <w:r w:rsidR="00474B15" w:rsidRPr="00735A35">
        <w:rPr>
          <w:sz w:val="24"/>
          <w:szCs w:val="24"/>
          <w:lang w:val="en-GB"/>
        </w:rPr>
        <w:t xml:space="preserve"> exploring</w:t>
      </w:r>
      <w:r w:rsidR="00EF57EA" w:rsidRPr="00735A35">
        <w:rPr>
          <w:sz w:val="24"/>
          <w:szCs w:val="24"/>
          <w:lang w:val="en-GB"/>
        </w:rPr>
        <w:t xml:space="preserve"> how the</w:t>
      </w:r>
      <w:r w:rsidR="00265A90" w:rsidRPr="00735A35">
        <w:rPr>
          <w:sz w:val="24"/>
          <w:szCs w:val="24"/>
          <w:lang w:val="en-GB"/>
        </w:rPr>
        <w:t>y</w:t>
      </w:r>
      <w:r w:rsidR="00EF57EA" w:rsidRPr="00735A35">
        <w:rPr>
          <w:sz w:val="24"/>
          <w:szCs w:val="24"/>
          <w:lang w:val="en-GB"/>
        </w:rPr>
        <w:t xml:space="preserve"> </w:t>
      </w:r>
      <w:r w:rsidR="008C4ABA" w:rsidRPr="00735A35">
        <w:rPr>
          <w:sz w:val="24"/>
          <w:szCs w:val="24"/>
          <w:lang w:val="en-GB"/>
        </w:rPr>
        <w:t>contribute</w:t>
      </w:r>
      <w:r w:rsidR="00EF57EA" w:rsidRPr="00735A35">
        <w:rPr>
          <w:sz w:val="24"/>
          <w:szCs w:val="24"/>
          <w:lang w:val="en-GB"/>
        </w:rPr>
        <w:t xml:space="preserve"> to </w:t>
      </w:r>
      <w:r w:rsidR="00E55A2E" w:rsidRPr="00735A35">
        <w:rPr>
          <w:sz w:val="24"/>
          <w:szCs w:val="24"/>
          <w:lang w:val="en-GB"/>
        </w:rPr>
        <w:t>meaning and effect</w:t>
      </w:r>
      <w:r w:rsidR="003804AE" w:rsidRPr="00735A35">
        <w:rPr>
          <w:sz w:val="24"/>
          <w:szCs w:val="24"/>
          <w:lang w:val="en-GB"/>
        </w:rPr>
        <w:t xml:space="preserve"> in the manner of the close reading of New Criticism.</w:t>
      </w:r>
      <w:r w:rsidR="007305A9" w:rsidRPr="00735A35">
        <w:rPr>
          <w:sz w:val="24"/>
          <w:szCs w:val="24"/>
          <w:lang w:val="en-GB"/>
        </w:rPr>
        <w:t xml:space="preserve"> </w:t>
      </w:r>
      <w:r w:rsidR="00035D39" w:rsidRPr="00735A35">
        <w:rPr>
          <w:sz w:val="24"/>
          <w:szCs w:val="24"/>
          <w:lang w:val="en-GB"/>
        </w:rPr>
        <w:t xml:space="preserve">As exemplified in </w:t>
      </w:r>
      <w:r w:rsidR="005B3ED4" w:rsidRPr="00735A35">
        <w:rPr>
          <w:sz w:val="24"/>
          <w:szCs w:val="24"/>
          <w:lang w:val="en-GB"/>
        </w:rPr>
        <w:t>a</w:t>
      </w:r>
      <w:r w:rsidR="00035D39" w:rsidRPr="00735A35">
        <w:rPr>
          <w:sz w:val="24"/>
          <w:szCs w:val="24"/>
          <w:lang w:val="en-GB"/>
        </w:rPr>
        <w:t xml:space="preserve"> recent collection of essays </w:t>
      </w:r>
      <w:r w:rsidR="00B40214" w:rsidRPr="00735A35">
        <w:rPr>
          <w:sz w:val="24"/>
          <w:szCs w:val="24"/>
          <w:lang w:val="en-GB"/>
        </w:rPr>
        <w:t>on Latin poetry</w:t>
      </w:r>
      <w:r w:rsidR="00035D39" w:rsidRPr="00735A35">
        <w:rPr>
          <w:rStyle w:val="FootnoteReference"/>
          <w:sz w:val="24"/>
          <w:szCs w:val="24"/>
          <w:lang w:val="en-GB"/>
        </w:rPr>
        <w:footnoteReference w:id="16"/>
      </w:r>
      <w:r w:rsidR="00035D39" w:rsidRPr="00735A35">
        <w:rPr>
          <w:sz w:val="24"/>
          <w:szCs w:val="24"/>
          <w:lang w:val="en-GB"/>
        </w:rPr>
        <w:t xml:space="preserve">, stylistics provides a toolbox with which I can identify and classify formal features in the </w:t>
      </w:r>
      <w:r w:rsidR="00035D39" w:rsidRPr="00735A35">
        <w:rPr>
          <w:i/>
          <w:iCs/>
          <w:sz w:val="24"/>
          <w:szCs w:val="24"/>
          <w:lang w:val="en-GB"/>
        </w:rPr>
        <w:t>Ibis</w:t>
      </w:r>
      <w:r w:rsidR="00035D39" w:rsidRPr="00735A35">
        <w:rPr>
          <w:sz w:val="24"/>
          <w:szCs w:val="24"/>
          <w:lang w:val="en-GB"/>
        </w:rPr>
        <w:t xml:space="preserve"> in a systematic way, so that I can apply close reading techniques to consider how the poem constructs meaning and effects through form.</w:t>
      </w:r>
    </w:p>
    <w:p w14:paraId="04E06850" w14:textId="77777777" w:rsidR="00DD320D" w:rsidRPr="00735A35" w:rsidRDefault="00DD320D" w:rsidP="00735A35">
      <w:pPr>
        <w:spacing w:line="480" w:lineRule="auto"/>
        <w:rPr>
          <w:sz w:val="24"/>
          <w:szCs w:val="24"/>
          <w:lang w:val="en-GB"/>
        </w:rPr>
      </w:pPr>
    </w:p>
    <w:p w14:paraId="506A2047" w14:textId="2AE3740E" w:rsidR="00B40214" w:rsidRPr="00735A35" w:rsidRDefault="00577927" w:rsidP="00735A35">
      <w:pPr>
        <w:spacing w:line="480" w:lineRule="auto"/>
        <w:rPr>
          <w:sz w:val="24"/>
          <w:szCs w:val="24"/>
          <w:lang w:val="en-GB"/>
        </w:rPr>
      </w:pPr>
      <w:r w:rsidRPr="00735A35">
        <w:rPr>
          <w:sz w:val="24"/>
          <w:szCs w:val="24"/>
          <w:lang w:val="en-GB"/>
        </w:rPr>
        <w:t xml:space="preserve">My </w:t>
      </w:r>
      <w:r w:rsidR="00320645">
        <w:rPr>
          <w:sz w:val="24"/>
          <w:szCs w:val="24"/>
          <w:lang w:val="en-GB"/>
        </w:rPr>
        <w:t>research</w:t>
      </w:r>
      <w:r w:rsidRPr="00735A35">
        <w:rPr>
          <w:sz w:val="24"/>
          <w:szCs w:val="24"/>
          <w:lang w:val="en-GB"/>
        </w:rPr>
        <w:t xml:space="preserve"> will be on the first </w:t>
      </w:r>
      <w:r w:rsidR="003D7929" w:rsidRPr="00735A35">
        <w:rPr>
          <w:sz w:val="24"/>
          <w:szCs w:val="24"/>
          <w:lang w:val="en-GB"/>
        </w:rPr>
        <w:t>250</w:t>
      </w:r>
      <w:r w:rsidRPr="00735A35">
        <w:rPr>
          <w:sz w:val="24"/>
          <w:szCs w:val="24"/>
          <w:lang w:val="en-GB"/>
        </w:rPr>
        <w:t xml:space="preserve"> lines of the </w:t>
      </w:r>
      <w:r w:rsidRPr="00735A35">
        <w:rPr>
          <w:i/>
          <w:iCs/>
          <w:sz w:val="24"/>
          <w:szCs w:val="24"/>
          <w:lang w:val="en-GB"/>
        </w:rPr>
        <w:t>Ibis</w:t>
      </w:r>
      <w:r w:rsidR="00E86B02" w:rsidRPr="00735A35">
        <w:rPr>
          <w:sz w:val="24"/>
          <w:szCs w:val="24"/>
          <w:lang w:val="en-GB"/>
        </w:rPr>
        <w:t xml:space="preserve"> (</w:t>
      </w:r>
      <w:r w:rsidRPr="00735A35">
        <w:rPr>
          <w:sz w:val="24"/>
          <w:szCs w:val="24"/>
          <w:lang w:val="en-GB"/>
        </w:rPr>
        <w:t>the so called ‘prologue’ before the mythological catalogue</w:t>
      </w:r>
      <w:r w:rsidR="00E86B02" w:rsidRPr="00735A35">
        <w:rPr>
          <w:sz w:val="24"/>
          <w:szCs w:val="24"/>
          <w:lang w:val="en-GB"/>
        </w:rPr>
        <w:t>)</w:t>
      </w:r>
      <w:r w:rsidR="00125C33" w:rsidRPr="00735A35">
        <w:rPr>
          <w:sz w:val="24"/>
          <w:szCs w:val="24"/>
          <w:lang w:val="en-GB"/>
        </w:rPr>
        <w:t xml:space="preserve"> which generally receives</w:t>
      </w:r>
      <w:r w:rsidR="00E86B02" w:rsidRPr="00735A35">
        <w:rPr>
          <w:sz w:val="24"/>
          <w:szCs w:val="24"/>
          <w:lang w:val="en-GB"/>
        </w:rPr>
        <w:t xml:space="preserve"> the least critical attention</w:t>
      </w:r>
      <w:r w:rsidRPr="00735A35">
        <w:rPr>
          <w:sz w:val="24"/>
          <w:szCs w:val="24"/>
          <w:lang w:val="en-GB"/>
        </w:rPr>
        <w:t xml:space="preserve">. </w:t>
      </w:r>
      <w:r w:rsidR="007C515B" w:rsidRPr="00735A35">
        <w:rPr>
          <w:sz w:val="24"/>
          <w:szCs w:val="24"/>
          <w:lang w:val="en-GB"/>
        </w:rPr>
        <w:t xml:space="preserve">I will first prioritise one or two passages within </w:t>
      </w:r>
      <w:r w:rsidR="00652216" w:rsidRPr="00735A35">
        <w:rPr>
          <w:sz w:val="24"/>
          <w:szCs w:val="24"/>
          <w:lang w:val="en-GB"/>
        </w:rPr>
        <w:t xml:space="preserve">this section, selecting them on </w:t>
      </w:r>
      <w:r w:rsidR="00D319B3" w:rsidRPr="00735A35">
        <w:rPr>
          <w:sz w:val="24"/>
          <w:szCs w:val="24"/>
          <w:lang w:val="en-GB"/>
        </w:rPr>
        <w:t xml:space="preserve">initial readings of the text by virtue of an apparent density of interesting </w:t>
      </w:r>
      <w:r w:rsidR="001C7496" w:rsidRPr="00735A35">
        <w:rPr>
          <w:sz w:val="24"/>
          <w:szCs w:val="24"/>
          <w:lang w:val="en-GB"/>
        </w:rPr>
        <w:t>formal features. Further careful readings of these</w:t>
      </w:r>
      <w:r w:rsidR="00013A37" w:rsidRPr="00735A35">
        <w:rPr>
          <w:sz w:val="24"/>
          <w:szCs w:val="24"/>
          <w:lang w:val="en-GB"/>
        </w:rPr>
        <w:t xml:space="preserve"> passages</w:t>
      </w:r>
      <w:r w:rsidR="001C7496" w:rsidRPr="00735A35">
        <w:rPr>
          <w:sz w:val="24"/>
          <w:szCs w:val="24"/>
          <w:lang w:val="en-GB"/>
        </w:rPr>
        <w:t xml:space="preserve"> </w:t>
      </w:r>
      <w:r w:rsidR="001150D6" w:rsidRPr="00735A35">
        <w:rPr>
          <w:sz w:val="24"/>
          <w:szCs w:val="24"/>
          <w:lang w:val="en-GB"/>
        </w:rPr>
        <w:t xml:space="preserve">and what they offer to a stylistics analysis </w:t>
      </w:r>
      <w:r w:rsidR="001C7496" w:rsidRPr="00735A35">
        <w:rPr>
          <w:sz w:val="24"/>
          <w:szCs w:val="24"/>
          <w:lang w:val="en-GB"/>
        </w:rPr>
        <w:t xml:space="preserve">will enable me to </w:t>
      </w:r>
      <w:r w:rsidR="00013A37" w:rsidRPr="00735A35">
        <w:rPr>
          <w:sz w:val="24"/>
          <w:szCs w:val="24"/>
          <w:lang w:val="en-GB"/>
        </w:rPr>
        <w:t xml:space="preserve">make an assessment as to whether my research should </w:t>
      </w:r>
      <w:r w:rsidR="00F91CA6" w:rsidRPr="00735A35">
        <w:rPr>
          <w:sz w:val="24"/>
          <w:szCs w:val="24"/>
          <w:lang w:val="en-GB"/>
        </w:rPr>
        <w:t>incorporate all of lines 1-</w:t>
      </w:r>
      <w:r w:rsidR="006E7423" w:rsidRPr="00735A35">
        <w:rPr>
          <w:sz w:val="24"/>
          <w:szCs w:val="24"/>
          <w:lang w:val="en-GB"/>
        </w:rPr>
        <w:t>250</w:t>
      </w:r>
      <w:r w:rsidR="00F91CA6" w:rsidRPr="00735A35">
        <w:rPr>
          <w:sz w:val="24"/>
          <w:szCs w:val="24"/>
          <w:lang w:val="en-GB"/>
        </w:rPr>
        <w:t xml:space="preserve"> or </w:t>
      </w:r>
      <w:r w:rsidR="00DE520C" w:rsidRPr="00735A35">
        <w:rPr>
          <w:sz w:val="24"/>
          <w:szCs w:val="24"/>
          <w:lang w:val="en-GB"/>
        </w:rPr>
        <w:t>whether it should focus only on a more restricted selection</w:t>
      </w:r>
      <w:r w:rsidR="00585D55" w:rsidRPr="00735A35">
        <w:rPr>
          <w:sz w:val="24"/>
          <w:szCs w:val="24"/>
          <w:lang w:val="en-GB"/>
        </w:rPr>
        <w:t xml:space="preserve"> to allow me to</w:t>
      </w:r>
      <w:r w:rsidR="007F4A9F" w:rsidRPr="00735A35">
        <w:rPr>
          <w:sz w:val="24"/>
          <w:szCs w:val="24"/>
          <w:lang w:val="en-GB"/>
        </w:rPr>
        <w:t xml:space="preserve"> discuss them at greater depth. </w:t>
      </w:r>
      <w:r w:rsidR="00D90732" w:rsidRPr="00735A35">
        <w:rPr>
          <w:sz w:val="24"/>
          <w:szCs w:val="24"/>
          <w:lang w:val="en-GB"/>
        </w:rPr>
        <w:t>Depending on the results of these initial readings, my</w:t>
      </w:r>
      <w:r w:rsidR="00256DAB" w:rsidRPr="00735A35">
        <w:rPr>
          <w:sz w:val="24"/>
          <w:szCs w:val="24"/>
          <w:lang w:val="en-GB"/>
        </w:rPr>
        <w:t xml:space="preserve"> ultimate</w:t>
      </w:r>
      <w:r w:rsidR="00D90732" w:rsidRPr="00735A35">
        <w:rPr>
          <w:sz w:val="24"/>
          <w:szCs w:val="24"/>
          <w:lang w:val="en-GB"/>
        </w:rPr>
        <w:t xml:space="preserve"> focus </w:t>
      </w:r>
      <w:r w:rsidR="00256DAB" w:rsidRPr="00735A35">
        <w:rPr>
          <w:sz w:val="24"/>
          <w:szCs w:val="24"/>
          <w:lang w:val="en-GB"/>
        </w:rPr>
        <w:t>may</w:t>
      </w:r>
      <w:r w:rsidR="00D90732" w:rsidRPr="00735A35">
        <w:rPr>
          <w:sz w:val="24"/>
          <w:szCs w:val="24"/>
          <w:lang w:val="en-GB"/>
        </w:rPr>
        <w:t xml:space="preserve"> be on all stylistic features </w:t>
      </w:r>
      <w:r w:rsidR="00DE2D0A" w:rsidRPr="00735A35">
        <w:rPr>
          <w:sz w:val="24"/>
          <w:szCs w:val="24"/>
          <w:lang w:val="en-GB"/>
        </w:rPr>
        <w:t>of a smaller selection or</w:t>
      </w:r>
      <w:r w:rsidR="00320645">
        <w:rPr>
          <w:sz w:val="24"/>
          <w:szCs w:val="24"/>
          <w:lang w:val="en-GB"/>
        </w:rPr>
        <w:t>, alternatively,</w:t>
      </w:r>
      <w:r w:rsidR="00DE2D0A" w:rsidRPr="00735A35">
        <w:rPr>
          <w:sz w:val="24"/>
          <w:szCs w:val="24"/>
          <w:lang w:val="en-GB"/>
        </w:rPr>
        <w:t xml:space="preserve"> perhaps only one or two </w:t>
      </w:r>
      <w:r w:rsidR="00B44286" w:rsidRPr="00735A35">
        <w:rPr>
          <w:sz w:val="24"/>
          <w:szCs w:val="24"/>
          <w:lang w:val="en-GB"/>
        </w:rPr>
        <w:t>specific</w:t>
      </w:r>
      <w:r w:rsidR="00DE2D0A" w:rsidRPr="00735A35">
        <w:rPr>
          <w:sz w:val="24"/>
          <w:szCs w:val="24"/>
          <w:lang w:val="en-GB"/>
        </w:rPr>
        <w:t xml:space="preserve"> features of the </w:t>
      </w:r>
      <w:r w:rsidR="00125C33" w:rsidRPr="00735A35">
        <w:rPr>
          <w:sz w:val="24"/>
          <w:szCs w:val="24"/>
          <w:lang w:val="en-GB"/>
        </w:rPr>
        <w:t>whole prologue.</w:t>
      </w:r>
      <w:r w:rsidR="00DE520C" w:rsidRPr="00735A35">
        <w:rPr>
          <w:sz w:val="24"/>
          <w:szCs w:val="24"/>
          <w:lang w:val="en-GB"/>
        </w:rPr>
        <w:t xml:space="preserve"> </w:t>
      </w:r>
      <w:r w:rsidR="001043C5" w:rsidRPr="00735A35">
        <w:rPr>
          <w:sz w:val="24"/>
          <w:szCs w:val="24"/>
          <w:lang w:val="en-GB"/>
        </w:rPr>
        <w:t>The latter</w:t>
      </w:r>
      <w:r w:rsidR="0088556D" w:rsidRPr="00735A35">
        <w:rPr>
          <w:sz w:val="24"/>
          <w:szCs w:val="24"/>
          <w:lang w:val="en-GB"/>
        </w:rPr>
        <w:t xml:space="preserve"> approach</w:t>
      </w:r>
      <w:r w:rsidR="001043C5" w:rsidRPr="00735A35">
        <w:rPr>
          <w:sz w:val="24"/>
          <w:szCs w:val="24"/>
          <w:lang w:val="en-GB"/>
        </w:rPr>
        <w:t xml:space="preserve"> is</w:t>
      </w:r>
      <w:r w:rsidR="00320D3E" w:rsidRPr="00735A35">
        <w:rPr>
          <w:sz w:val="24"/>
          <w:szCs w:val="24"/>
          <w:lang w:val="en-GB"/>
        </w:rPr>
        <w:t xml:space="preserve"> similar to</w:t>
      </w:r>
      <w:r w:rsidR="001043C5" w:rsidRPr="00735A35">
        <w:rPr>
          <w:sz w:val="24"/>
          <w:szCs w:val="24"/>
          <w:lang w:val="en-GB"/>
        </w:rPr>
        <w:t xml:space="preserve"> </w:t>
      </w:r>
      <w:r w:rsidR="00C57E28" w:rsidRPr="00735A35">
        <w:rPr>
          <w:sz w:val="24"/>
          <w:szCs w:val="24"/>
          <w:lang w:val="en-GB"/>
        </w:rPr>
        <w:t>th</w:t>
      </w:r>
      <w:r w:rsidR="0088556D" w:rsidRPr="00735A35">
        <w:rPr>
          <w:sz w:val="24"/>
          <w:szCs w:val="24"/>
          <w:lang w:val="en-GB"/>
        </w:rPr>
        <w:t xml:space="preserve">at </w:t>
      </w:r>
      <w:r w:rsidR="00C57E28" w:rsidRPr="00735A35">
        <w:rPr>
          <w:sz w:val="24"/>
          <w:szCs w:val="24"/>
          <w:lang w:val="en-GB"/>
        </w:rPr>
        <w:t>taken by, for example, S. Harrison</w:t>
      </w:r>
      <w:r w:rsidR="00C57E28" w:rsidRPr="00735A35">
        <w:rPr>
          <w:rStyle w:val="FootnoteReference"/>
          <w:sz w:val="24"/>
          <w:szCs w:val="24"/>
          <w:lang w:val="en-GB"/>
        </w:rPr>
        <w:footnoteReference w:id="17"/>
      </w:r>
      <w:r w:rsidR="00CC2E91" w:rsidRPr="00735A35">
        <w:rPr>
          <w:sz w:val="24"/>
          <w:szCs w:val="24"/>
          <w:lang w:val="en-GB"/>
        </w:rPr>
        <w:t xml:space="preserve"> </w:t>
      </w:r>
      <w:r w:rsidR="00CC2E91" w:rsidRPr="00735A35">
        <w:rPr>
          <w:sz w:val="24"/>
          <w:szCs w:val="24"/>
          <w:lang w:val="en-GB"/>
        </w:rPr>
        <w:lastRenderedPageBreak/>
        <w:t xml:space="preserve">in his discussion of vertical juxtaposition in Horace’s </w:t>
      </w:r>
      <w:r w:rsidR="00CC2E91" w:rsidRPr="00735A35">
        <w:rPr>
          <w:i/>
          <w:iCs/>
          <w:sz w:val="24"/>
          <w:szCs w:val="24"/>
          <w:lang w:val="en-GB"/>
        </w:rPr>
        <w:t xml:space="preserve">Odes </w:t>
      </w:r>
      <w:r w:rsidR="00CC2E91" w:rsidRPr="00735A35">
        <w:rPr>
          <w:sz w:val="24"/>
          <w:szCs w:val="24"/>
          <w:lang w:val="en-GB"/>
        </w:rPr>
        <w:t>1, and</w:t>
      </w:r>
      <w:r w:rsidR="00446CA8" w:rsidRPr="00735A35">
        <w:rPr>
          <w:sz w:val="24"/>
          <w:szCs w:val="24"/>
          <w:lang w:val="en-GB"/>
        </w:rPr>
        <w:t xml:space="preserve"> in</w:t>
      </w:r>
      <w:r w:rsidR="00CC2E91" w:rsidRPr="00735A35">
        <w:rPr>
          <w:sz w:val="24"/>
          <w:szCs w:val="24"/>
          <w:lang w:val="en-GB"/>
        </w:rPr>
        <w:t xml:space="preserve"> </w:t>
      </w:r>
      <w:r w:rsidR="00BC2568" w:rsidRPr="00735A35">
        <w:rPr>
          <w:sz w:val="24"/>
          <w:szCs w:val="24"/>
          <w:lang w:val="en-GB"/>
        </w:rPr>
        <w:t>L. Galasso’s</w:t>
      </w:r>
      <w:r w:rsidR="00197592" w:rsidRPr="00735A35">
        <w:rPr>
          <w:rStyle w:val="FootnoteReference"/>
          <w:sz w:val="24"/>
          <w:szCs w:val="24"/>
          <w:lang w:val="en-GB"/>
        </w:rPr>
        <w:footnoteReference w:id="18"/>
      </w:r>
      <w:r w:rsidR="00197592" w:rsidRPr="00735A35">
        <w:rPr>
          <w:sz w:val="24"/>
          <w:szCs w:val="24"/>
          <w:lang w:val="en-GB"/>
        </w:rPr>
        <w:t xml:space="preserve"> discussion of repetition</w:t>
      </w:r>
      <w:r w:rsidR="00FC2B68" w:rsidRPr="00735A35">
        <w:rPr>
          <w:sz w:val="24"/>
          <w:szCs w:val="24"/>
          <w:lang w:val="en-GB"/>
        </w:rPr>
        <w:t xml:space="preserve"> in Latin hexameter</w:t>
      </w:r>
      <w:r w:rsidR="00320645">
        <w:rPr>
          <w:sz w:val="24"/>
          <w:szCs w:val="24"/>
          <w:lang w:val="en-GB"/>
        </w:rPr>
        <w:t>,</w:t>
      </w:r>
      <w:r w:rsidR="00320D3E" w:rsidRPr="00735A35">
        <w:rPr>
          <w:sz w:val="24"/>
          <w:szCs w:val="24"/>
          <w:lang w:val="en-GB"/>
        </w:rPr>
        <w:t xml:space="preserve"> and offers</w:t>
      </w:r>
      <w:r w:rsidR="00FE717B" w:rsidRPr="00735A35">
        <w:rPr>
          <w:sz w:val="24"/>
          <w:szCs w:val="24"/>
          <w:lang w:val="en-GB"/>
        </w:rPr>
        <w:t xml:space="preserve"> the opportunity for</w:t>
      </w:r>
      <w:r w:rsidR="00320D3E" w:rsidRPr="00735A35">
        <w:rPr>
          <w:sz w:val="24"/>
          <w:szCs w:val="24"/>
          <w:lang w:val="en-GB"/>
        </w:rPr>
        <w:t xml:space="preserve"> </w:t>
      </w:r>
      <w:r w:rsidR="00FE717B" w:rsidRPr="00735A35">
        <w:rPr>
          <w:sz w:val="24"/>
          <w:szCs w:val="24"/>
          <w:lang w:val="en-GB"/>
        </w:rPr>
        <w:t xml:space="preserve">a more sustained analysis of </w:t>
      </w:r>
      <w:r w:rsidR="00B15DF1" w:rsidRPr="00735A35">
        <w:rPr>
          <w:sz w:val="24"/>
          <w:szCs w:val="24"/>
          <w:lang w:val="en-GB"/>
        </w:rPr>
        <w:t xml:space="preserve">a single feature which may uncover consistent use by the poet, or </w:t>
      </w:r>
      <w:r w:rsidR="00BE2018" w:rsidRPr="00735A35">
        <w:rPr>
          <w:sz w:val="24"/>
          <w:szCs w:val="24"/>
          <w:lang w:val="en-GB"/>
        </w:rPr>
        <w:t>alternatively</w:t>
      </w:r>
      <w:r w:rsidR="00B15DF1" w:rsidRPr="00735A35">
        <w:rPr>
          <w:sz w:val="24"/>
          <w:szCs w:val="24"/>
          <w:lang w:val="en-GB"/>
        </w:rPr>
        <w:t xml:space="preserve"> </w:t>
      </w:r>
      <w:r w:rsidR="00981F55" w:rsidRPr="00735A35">
        <w:rPr>
          <w:sz w:val="24"/>
          <w:szCs w:val="24"/>
          <w:lang w:val="en-GB"/>
        </w:rPr>
        <w:t xml:space="preserve">varied effects. Conversely, </w:t>
      </w:r>
      <w:r w:rsidR="001D5E33" w:rsidRPr="00735A35">
        <w:rPr>
          <w:sz w:val="24"/>
          <w:szCs w:val="24"/>
          <w:lang w:val="en-GB"/>
        </w:rPr>
        <w:t xml:space="preserve">a </w:t>
      </w:r>
      <w:r w:rsidR="0081069F" w:rsidRPr="00735A35">
        <w:rPr>
          <w:sz w:val="24"/>
          <w:szCs w:val="24"/>
          <w:lang w:val="en-GB"/>
        </w:rPr>
        <w:t>focus on</w:t>
      </w:r>
      <w:r w:rsidR="001D5E33" w:rsidRPr="00735A35">
        <w:rPr>
          <w:sz w:val="24"/>
          <w:szCs w:val="24"/>
          <w:lang w:val="en-GB"/>
        </w:rPr>
        <w:t xml:space="preserve"> all features</w:t>
      </w:r>
      <w:r w:rsidR="0081069F" w:rsidRPr="00735A35">
        <w:rPr>
          <w:sz w:val="24"/>
          <w:szCs w:val="24"/>
          <w:lang w:val="en-GB"/>
        </w:rPr>
        <w:t xml:space="preserve"> present</w:t>
      </w:r>
      <w:r w:rsidR="001D5E33" w:rsidRPr="00735A35">
        <w:rPr>
          <w:sz w:val="24"/>
          <w:szCs w:val="24"/>
          <w:lang w:val="en-GB"/>
        </w:rPr>
        <w:t xml:space="preserve"> in a smaller section would allow </w:t>
      </w:r>
      <w:r w:rsidR="0081069F" w:rsidRPr="00735A35">
        <w:rPr>
          <w:sz w:val="24"/>
          <w:szCs w:val="24"/>
          <w:lang w:val="en-GB"/>
        </w:rPr>
        <w:t xml:space="preserve">a discussion of how </w:t>
      </w:r>
      <w:r w:rsidR="00320645">
        <w:rPr>
          <w:sz w:val="24"/>
          <w:szCs w:val="24"/>
          <w:lang w:val="en-GB"/>
        </w:rPr>
        <w:t>features</w:t>
      </w:r>
      <w:r w:rsidR="0081069F" w:rsidRPr="00735A35">
        <w:rPr>
          <w:sz w:val="24"/>
          <w:szCs w:val="24"/>
          <w:lang w:val="en-GB"/>
        </w:rPr>
        <w:t xml:space="preserve"> interact with each other, </w:t>
      </w:r>
      <w:r w:rsidR="00EB544D" w:rsidRPr="00735A35">
        <w:rPr>
          <w:sz w:val="24"/>
          <w:szCs w:val="24"/>
          <w:lang w:val="en-GB"/>
        </w:rPr>
        <w:t>their effects either building upon or conflicting with each other.</w:t>
      </w:r>
    </w:p>
    <w:p w14:paraId="042341B2" w14:textId="77777777" w:rsidR="003A0410" w:rsidRPr="00735A35" w:rsidRDefault="003A0410" w:rsidP="00735A35">
      <w:pPr>
        <w:spacing w:line="480" w:lineRule="auto"/>
        <w:rPr>
          <w:sz w:val="24"/>
          <w:szCs w:val="24"/>
          <w:lang w:val="en-GB"/>
        </w:rPr>
      </w:pPr>
    </w:p>
    <w:p w14:paraId="5CB2B4BB" w14:textId="1C27A023" w:rsidR="005D3ABD" w:rsidRPr="00735A35" w:rsidRDefault="00320645" w:rsidP="00735A35">
      <w:pPr>
        <w:spacing w:line="480" w:lineRule="auto"/>
        <w:rPr>
          <w:sz w:val="24"/>
          <w:szCs w:val="24"/>
          <w:lang w:val="en-GB"/>
        </w:rPr>
      </w:pPr>
      <w:r>
        <w:rPr>
          <w:sz w:val="24"/>
          <w:szCs w:val="24"/>
          <w:lang w:val="en-GB"/>
        </w:rPr>
        <w:t>Ret</w:t>
      </w:r>
      <w:r w:rsidR="005C0748" w:rsidRPr="00735A35">
        <w:rPr>
          <w:sz w:val="24"/>
          <w:szCs w:val="24"/>
          <w:lang w:val="en-GB"/>
        </w:rPr>
        <w:t>urning</w:t>
      </w:r>
      <w:r w:rsidR="00B40214" w:rsidRPr="00735A35">
        <w:rPr>
          <w:sz w:val="24"/>
          <w:szCs w:val="24"/>
          <w:lang w:val="en-GB"/>
        </w:rPr>
        <w:t xml:space="preserve"> to consideration of the theoretical framework, and </w:t>
      </w:r>
      <w:r w:rsidR="005D3ABD" w:rsidRPr="00735A35">
        <w:rPr>
          <w:sz w:val="24"/>
          <w:szCs w:val="24"/>
          <w:lang w:val="en-GB"/>
        </w:rPr>
        <w:t>to the limitations or pitfalls</w:t>
      </w:r>
      <w:r w:rsidR="00B40214" w:rsidRPr="00735A35">
        <w:rPr>
          <w:sz w:val="24"/>
          <w:szCs w:val="24"/>
          <w:lang w:val="en-GB"/>
        </w:rPr>
        <w:t xml:space="preserve"> </w:t>
      </w:r>
      <w:r>
        <w:rPr>
          <w:sz w:val="24"/>
          <w:szCs w:val="24"/>
          <w:lang w:val="en-GB"/>
        </w:rPr>
        <w:t>my</w:t>
      </w:r>
      <w:r w:rsidR="00B40214" w:rsidRPr="00735A35">
        <w:rPr>
          <w:sz w:val="24"/>
          <w:szCs w:val="24"/>
          <w:lang w:val="en-GB"/>
        </w:rPr>
        <w:t xml:space="preserve"> </w:t>
      </w:r>
      <w:r>
        <w:rPr>
          <w:sz w:val="24"/>
          <w:szCs w:val="24"/>
          <w:lang w:val="en-GB"/>
        </w:rPr>
        <w:t>approach</w:t>
      </w:r>
      <w:r w:rsidR="00B40214" w:rsidRPr="00735A35">
        <w:rPr>
          <w:sz w:val="24"/>
          <w:szCs w:val="24"/>
          <w:lang w:val="en-GB"/>
        </w:rPr>
        <w:t xml:space="preserve"> raises</w:t>
      </w:r>
      <w:r w:rsidR="005D3ABD" w:rsidRPr="00735A35">
        <w:rPr>
          <w:sz w:val="24"/>
          <w:szCs w:val="24"/>
          <w:lang w:val="en-GB"/>
        </w:rPr>
        <w:t>, several potential issues require caution.</w:t>
      </w:r>
    </w:p>
    <w:p w14:paraId="1AC7D336" w14:textId="77777777" w:rsidR="005D3ABD" w:rsidRPr="00735A35" w:rsidRDefault="005D3ABD" w:rsidP="00735A35">
      <w:pPr>
        <w:spacing w:line="480" w:lineRule="auto"/>
        <w:rPr>
          <w:sz w:val="24"/>
          <w:szCs w:val="24"/>
          <w:lang w:val="en-GB"/>
        </w:rPr>
      </w:pPr>
    </w:p>
    <w:p w14:paraId="1D8D9CB7" w14:textId="0DD5A3A6" w:rsidR="005D3ABD" w:rsidRPr="00735A35" w:rsidRDefault="005D3ABD" w:rsidP="00735A35">
      <w:pPr>
        <w:spacing w:line="480" w:lineRule="auto"/>
        <w:rPr>
          <w:sz w:val="24"/>
          <w:szCs w:val="24"/>
          <w:lang w:val="en-GB"/>
        </w:rPr>
      </w:pPr>
      <w:r w:rsidRPr="00735A35">
        <w:rPr>
          <w:sz w:val="24"/>
          <w:szCs w:val="24"/>
          <w:lang w:val="en-GB"/>
        </w:rPr>
        <w:t xml:space="preserve">Perhaps the most obvious of these is the applicability of </w:t>
      </w:r>
      <w:r w:rsidR="00320645">
        <w:rPr>
          <w:sz w:val="24"/>
          <w:szCs w:val="24"/>
          <w:lang w:val="en-GB"/>
        </w:rPr>
        <w:t>formalist</w:t>
      </w:r>
      <w:r w:rsidRPr="00735A35">
        <w:rPr>
          <w:sz w:val="24"/>
          <w:szCs w:val="24"/>
          <w:lang w:val="en-GB"/>
        </w:rPr>
        <w:t xml:space="preserve"> methods to Latin poetry. For example, as Latin is a highly inflected language, I will require to consider the impact of word order (which is much more adaptable than in English) carefully. This is a subject discussed by Hasegawa</w:t>
      </w:r>
      <w:r w:rsidRPr="00735A35">
        <w:rPr>
          <w:rStyle w:val="FootnoteReference"/>
          <w:sz w:val="24"/>
          <w:szCs w:val="24"/>
          <w:lang w:val="en-GB"/>
        </w:rPr>
        <w:footnoteReference w:id="19"/>
      </w:r>
      <w:r w:rsidRPr="00735A35">
        <w:rPr>
          <w:sz w:val="24"/>
          <w:szCs w:val="24"/>
          <w:lang w:val="en-GB"/>
        </w:rPr>
        <w:t xml:space="preserve"> in a recent consideration of Horace’s </w:t>
      </w:r>
      <w:r w:rsidRPr="00735A35">
        <w:rPr>
          <w:i/>
          <w:iCs/>
          <w:sz w:val="24"/>
          <w:szCs w:val="24"/>
          <w:lang w:val="en-GB"/>
        </w:rPr>
        <w:t>Odes</w:t>
      </w:r>
      <w:r w:rsidRPr="00735A35">
        <w:rPr>
          <w:sz w:val="24"/>
          <w:szCs w:val="24"/>
          <w:lang w:val="en-GB"/>
        </w:rPr>
        <w:t>, where he notes that in highly inflected languages, rather than being prescribed by necessity, word order can “reinforce meaning”</w:t>
      </w:r>
      <w:r w:rsidRPr="00735A35">
        <w:rPr>
          <w:rStyle w:val="FootnoteReference"/>
          <w:sz w:val="24"/>
          <w:szCs w:val="24"/>
          <w:lang w:val="en-GB"/>
        </w:rPr>
        <w:footnoteReference w:id="20"/>
      </w:r>
      <w:r w:rsidRPr="00735A35">
        <w:rPr>
          <w:sz w:val="24"/>
          <w:szCs w:val="24"/>
          <w:lang w:val="en-GB"/>
        </w:rPr>
        <w:t>. The nature of the Latin language itself may therefore provide additional material for close reading in areas which in English are</w:t>
      </w:r>
      <w:r w:rsidR="00B40214" w:rsidRPr="00735A35">
        <w:rPr>
          <w:sz w:val="24"/>
          <w:szCs w:val="24"/>
          <w:lang w:val="en-GB"/>
        </w:rPr>
        <w:t xml:space="preserve"> more</w:t>
      </w:r>
      <w:r w:rsidRPr="00735A35">
        <w:rPr>
          <w:sz w:val="24"/>
          <w:szCs w:val="24"/>
          <w:lang w:val="en-GB"/>
        </w:rPr>
        <w:t xml:space="preserve"> limited. Hasegawa argues that the mimetic nature of form and content</w:t>
      </w:r>
      <w:r w:rsidR="00B40214" w:rsidRPr="00735A35">
        <w:rPr>
          <w:rStyle w:val="FootnoteReference"/>
          <w:sz w:val="24"/>
          <w:szCs w:val="24"/>
          <w:lang w:val="en-GB"/>
        </w:rPr>
        <w:footnoteReference w:id="21"/>
      </w:r>
      <w:r w:rsidRPr="00735A35">
        <w:rPr>
          <w:sz w:val="24"/>
          <w:szCs w:val="24"/>
          <w:lang w:val="en-GB"/>
        </w:rPr>
        <w:t xml:space="preserve"> should only be accepted if there is a clear link between the two</w:t>
      </w:r>
      <w:r w:rsidRPr="00735A35">
        <w:rPr>
          <w:rStyle w:val="FootnoteReference"/>
          <w:sz w:val="24"/>
          <w:szCs w:val="24"/>
          <w:lang w:val="en-GB"/>
        </w:rPr>
        <w:footnoteReference w:id="22"/>
      </w:r>
      <w:r w:rsidRPr="00735A35">
        <w:rPr>
          <w:sz w:val="24"/>
          <w:szCs w:val="24"/>
          <w:lang w:val="en-GB"/>
        </w:rPr>
        <w:t xml:space="preserve">. </w:t>
      </w:r>
      <w:r w:rsidR="00035D39" w:rsidRPr="00735A35">
        <w:rPr>
          <w:sz w:val="24"/>
          <w:szCs w:val="24"/>
          <w:lang w:val="en-GB"/>
        </w:rPr>
        <w:t>The</w:t>
      </w:r>
      <w:r w:rsidRPr="00735A35">
        <w:rPr>
          <w:sz w:val="24"/>
          <w:szCs w:val="24"/>
          <w:lang w:val="en-GB"/>
        </w:rPr>
        <w:t xml:space="preserve"> distinction of form </w:t>
      </w:r>
      <w:r w:rsidR="003C0D38" w:rsidRPr="00735A35">
        <w:rPr>
          <w:sz w:val="24"/>
          <w:szCs w:val="24"/>
          <w:lang w:val="en-GB"/>
        </w:rPr>
        <w:t xml:space="preserve">from </w:t>
      </w:r>
      <w:r w:rsidRPr="00735A35">
        <w:rPr>
          <w:sz w:val="24"/>
          <w:szCs w:val="24"/>
          <w:lang w:val="en-GB"/>
        </w:rPr>
        <w:t>content and the relation between the two is important to New Critics such as Brooks</w:t>
      </w:r>
      <w:r w:rsidRPr="00735A35">
        <w:rPr>
          <w:rStyle w:val="FootnoteReference"/>
          <w:sz w:val="24"/>
          <w:szCs w:val="24"/>
          <w:lang w:val="en-GB"/>
        </w:rPr>
        <w:footnoteReference w:id="23"/>
      </w:r>
      <w:r w:rsidRPr="00735A35">
        <w:rPr>
          <w:sz w:val="24"/>
          <w:szCs w:val="24"/>
          <w:lang w:val="en-GB"/>
        </w:rPr>
        <w:t xml:space="preserve"> and Ransom</w:t>
      </w:r>
      <w:r w:rsidRPr="00735A35">
        <w:rPr>
          <w:rStyle w:val="FootnoteReference"/>
          <w:sz w:val="24"/>
          <w:szCs w:val="24"/>
          <w:lang w:val="en-GB"/>
        </w:rPr>
        <w:footnoteReference w:id="24"/>
      </w:r>
      <w:r w:rsidRPr="00735A35">
        <w:rPr>
          <w:sz w:val="24"/>
          <w:szCs w:val="24"/>
          <w:lang w:val="en-GB"/>
        </w:rPr>
        <w:t xml:space="preserve">, and Hasegawa </w:t>
      </w:r>
      <w:r w:rsidRPr="00735A35">
        <w:rPr>
          <w:sz w:val="24"/>
          <w:szCs w:val="24"/>
          <w:lang w:val="en-GB"/>
        </w:rPr>
        <w:lastRenderedPageBreak/>
        <w:t xml:space="preserve">demonstrates </w:t>
      </w:r>
      <w:r w:rsidR="00035D39" w:rsidRPr="00735A35">
        <w:rPr>
          <w:sz w:val="24"/>
          <w:szCs w:val="24"/>
          <w:lang w:val="en-GB"/>
        </w:rPr>
        <w:t>the</w:t>
      </w:r>
      <w:r w:rsidRPr="00735A35">
        <w:rPr>
          <w:sz w:val="24"/>
          <w:szCs w:val="24"/>
          <w:lang w:val="en-GB"/>
        </w:rPr>
        <w:t xml:space="preserve"> applicability </w:t>
      </w:r>
      <w:r w:rsidR="00035D39" w:rsidRPr="00735A35">
        <w:rPr>
          <w:sz w:val="24"/>
          <w:szCs w:val="24"/>
          <w:lang w:val="en-GB"/>
        </w:rPr>
        <w:t xml:space="preserve">of </w:t>
      </w:r>
      <w:r w:rsidR="003C0D38" w:rsidRPr="00735A35">
        <w:rPr>
          <w:sz w:val="24"/>
          <w:szCs w:val="24"/>
          <w:lang w:val="en-GB"/>
        </w:rPr>
        <w:t xml:space="preserve">this </w:t>
      </w:r>
      <w:r w:rsidR="00320645">
        <w:rPr>
          <w:sz w:val="24"/>
          <w:szCs w:val="24"/>
          <w:lang w:val="en-GB"/>
        </w:rPr>
        <w:t>concern</w:t>
      </w:r>
      <w:r w:rsidR="00035D39" w:rsidRPr="00735A35">
        <w:rPr>
          <w:sz w:val="24"/>
          <w:szCs w:val="24"/>
          <w:lang w:val="en-GB"/>
        </w:rPr>
        <w:t xml:space="preserve"> </w:t>
      </w:r>
      <w:r w:rsidRPr="00735A35">
        <w:rPr>
          <w:sz w:val="24"/>
          <w:szCs w:val="24"/>
          <w:lang w:val="en-GB"/>
        </w:rPr>
        <w:t>to Latin poetry. Hasegawa and Dainotti</w:t>
      </w:r>
      <w:r w:rsidRPr="00735A35">
        <w:rPr>
          <w:rStyle w:val="FootnoteReference"/>
          <w:sz w:val="24"/>
          <w:szCs w:val="24"/>
          <w:lang w:val="en-GB"/>
        </w:rPr>
        <w:footnoteReference w:id="25"/>
      </w:r>
      <w:r w:rsidRPr="00735A35">
        <w:rPr>
          <w:sz w:val="24"/>
          <w:szCs w:val="24"/>
          <w:lang w:val="en-GB"/>
        </w:rPr>
        <w:t xml:space="preserve"> provide a methodological caveat that a critic of Latin poetry should ideally seek support from ancient theorists, such as Aristotle, Pseudo-Longinus and Quintilian, for interpretation of stylistic features and should be all the more rigorous if suggesting an interpretation not supported by these writers. While the extant works of ancient criticism may not be comprehensive, the moderate level of caution suggested by Hasegawa and Dainotti seems justified. </w:t>
      </w:r>
    </w:p>
    <w:p w14:paraId="6F384640" w14:textId="77777777" w:rsidR="005D3ABD" w:rsidRPr="00735A35" w:rsidRDefault="005D3ABD" w:rsidP="00735A35">
      <w:pPr>
        <w:spacing w:line="480" w:lineRule="auto"/>
        <w:rPr>
          <w:sz w:val="24"/>
          <w:szCs w:val="24"/>
          <w:lang w:val="en-GB"/>
        </w:rPr>
      </w:pPr>
    </w:p>
    <w:p w14:paraId="11A377A9" w14:textId="31F89E54" w:rsidR="005D3ABD" w:rsidRPr="00735A35" w:rsidRDefault="005D3ABD" w:rsidP="00735A35">
      <w:pPr>
        <w:spacing w:line="480" w:lineRule="auto"/>
        <w:rPr>
          <w:color w:val="D86DCB" w:themeColor="accent5" w:themeTint="99"/>
          <w:sz w:val="24"/>
          <w:szCs w:val="24"/>
          <w:lang w:val="en-GB"/>
        </w:rPr>
      </w:pPr>
      <w:r w:rsidRPr="00735A35">
        <w:rPr>
          <w:sz w:val="24"/>
          <w:szCs w:val="24"/>
          <w:lang w:val="en-GB"/>
        </w:rPr>
        <w:t xml:space="preserve">A second issue is the ahistorical nature of </w:t>
      </w:r>
      <w:r w:rsidR="00067D57" w:rsidRPr="00735A35">
        <w:rPr>
          <w:sz w:val="24"/>
          <w:szCs w:val="24"/>
          <w:lang w:val="en-GB"/>
        </w:rPr>
        <w:t>formalist approaches</w:t>
      </w:r>
      <w:r w:rsidRPr="00735A35">
        <w:rPr>
          <w:sz w:val="24"/>
          <w:szCs w:val="24"/>
          <w:lang w:val="en-GB"/>
        </w:rPr>
        <w:t xml:space="preserve">, and the potential pitfalls that could arise with applying </w:t>
      </w:r>
      <w:r w:rsidR="00320645">
        <w:rPr>
          <w:sz w:val="24"/>
          <w:szCs w:val="24"/>
          <w:lang w:val="en-GB"/>
        </w:rPr>
        <w:t>such a</w:t>
      </w:r>
      <w:r w:rsidRPr="00735A35">
        <w:rPr>
          <w:sz w:val="24"/>
          <w:szCs w:val="24"/>
          <w:lang w:val="en-GB"/>
        </w:rPr>
        <w:t xml:space="preserve"> narrow focus to such ancient works as the </w:t>
      </w:r>
      <w:r w:rsidRPr="00735A35">
        <w:rPr>
          <w:i/>
          <w:iCs/>
          <w:sz w:val="24"/>
          <w:szCs w:val="24"/>
          <w:lang w:val="en-GB"/>
        </w:rPr>
        <w:t xml:space="preserve">Ibis. </w:t>
      </w:r>
      <w:r w:rsidRPr="00735A35">
        <w:rPr>
          <w:sz w:val="24"/>
          <w:szCs w:val="24"/>
          <w:lang w:val="en-GB"/>
        </w:rPr>
        <w:t>Levine</w:t>
      </w:r>
      <w:r w:rsidRPr="00735A35">
        <w:rPr>
          <w:rStyle w:val="FootnoteReference"/>
          <w:sz w:val="24"/>
          <w:szCs w:val="24"/>
          <w:lang w:val="en-GB"/>
        </w:rPr>
        <w:footnoteReference w:id="26"/>
      </w:r>
      <w:r w:rsidRPr="00735A35">
        <w:rPr>
          <w:sz w:val="24"/>
          <w:szCs w:val="24"/>
          <w:lang w:val="en-GB"/>
        </w:rPr>
        <w:t xml:space="preserve"> points out the type of error that can arise from such limited focus when a New Critical reading</w:t>
      </w:r>
      <w:r w:rsidRPr="00735A35">
        <w:rPr>
          <w:rStyle w:val="FootnoteReference"/>
          <w:sz w:val="24"/>
          <w:szCs w:val="24"/>
          <w:lang w:val="en-GB"/>
        </w:rPr>
        <w:footnoteReference w:id="27"/>
      </w:r>
      <w:r w:rsidRPr="00735A35">
        <w:rPr>
          <w:sz w:val="24"/>
          <w:szCs w:val="24"/>
          <w:lang w:val="en-GB"/>
        </w:rPr>
        <w:t xml:space="preserve"> of the 19</w:t>
      </w:r>
      <w:r w:rsidRPr="00735A35">
        <w:rPr>
          <w:sz w:val="24"/>
          <w:szCs w:val="24"/>
          <w:vertAlign w:val="superscript"/>
          <w:lang w:val="en-GB"/>
        </w:rPr>
        <w:t>th</w:t>
      </w:r>
      <w:r w:rsidRPr="00735A35">
        <w:rPr>
          <w:sz w:val="24"/>
          <w:szCs w:val="24"/>
          <w:lang w:val="en-GB"/>
        </w:rPr>
        <w:t xml:space="preserve"> century poem </w:t>
      </w:r>
      <w:r w:rsidRPr="00735A35">
        <w:rPr>
          <w:i/>
          <w:iCs/>
          <w:sz w:val="24"/>
          <w:szCs w:val="24"/>
          <w:lang w:val="en-GB"/>
        </w:rPr>
        <w:t>The Bells of Shandon</w:t>
      </w:r>
      <w:r w:rsidRPr="00735A35">
        <w:rPr>
          <w:sz w:val="24"/>
          <w:szCs w:val="24"/>
          <w:lang w:val="en-GB"/>
        </w:rPr>
        <w:t xml:space="preserve"> proceeded on the basis that the poet had been trying to write an intensely nostalgic poem, and the poem was judged negatively on that basis. What the critics failed to recognise was that the poet was in fact writing a parody: their failure to look outside of the text caused a misreading of the poem’s aims. This criticism has its limitations in discrediting New Criticism and is one anticipated by both Ransom and Brooks. Far from denying the utility of a historical approach to literature, particularly literature from a time far distant from our own, Ransom refers to it as “indispensable”, but he sees it as a tool rather than an end in itself</w:t>
      </w:r>
      <w:r w:rsidRPr="00735A35">
        <w:rPr>
          <w:rStyle w:val="FootnoteReference"/>
          <w:sz w:val="24"/>
          <w:szCs w:val="24"/>
          <w:lang w:val="en-GB"/>
        </w:rPr>
        <w:footnoteReference w:id="28"/>
      </w:r>
      <w:r w:rsidRPr="00735A35">
        <w:rPr>
          <w:sz w:val="24"/>
          <w:szCs w:val="24"/>
          <w:lang w:val="en-GB"/>
        </w:rPr>
        <w:t>. Brooks likewise responds to the anticipated criticism by recognising the importance of historical background, explaining that he takes it into account in his analyses although it is not his focus</w:t>
      </w:r>
      <w:r w:rsidRPr="00735A35">
        <w:rPr>
          <w:rStyle w:val="FootnoteReference"/>
          <w:sz w:val="24"/>
          <w:szCs w:val="24"/>
          <w:lang w:val="en-GB"/>
        </w:rPr>
        <w:footnoteReference w:id="29"/>
      </w:r>
      <w:r w:rsidRPr="00735A35">
        <w:rPr>
          <w:sz w:val="24"/>
          <w:szCs w:val="24"/>
          <w:lang w:val="en-GB"/>
        </w:rPr>
        <w:t xml:space="preserve">. Such an approach, which takes cognisance of </w:t>
      </w:r>
      <w:r w:rsidRPr="00735A35">
        <w:rPr>
          <w:sz w:val="24"/>
          <w:szCs w:val="24"/>
          <w:lang w:val="en-GB"/>
        </w:rPr>
        <w:lastRenderedPageBreak/>
        <w:t xml:space="preserve">external factors (including for example societal context, biographical details of the poet, and genre) but only in order to inform textual analysis, will prevent such dangers as Brooks and Warren encountered with </w:t>
      </w:r>
      <w:r w:rsidRPr="00735A35">
        <w:rPr>
          <w:i/>
          <w:iCs/>
          <w:sz w:val="24"/>
          <w:szCs w:val="24"/>
          <w:lang w:val="en-GB"/>
        </w:rPr>
        <w:t>The Bells of Shandon</w:t>
      </w:r>
      <w:r w:rsidRPr="00735A35">
        <w:rPr>
          <w:rStyle w:val="FootnoteReference"/>
          <w:sz w:val="24"/>
          <w:szCs w:val="24"/>
          <w:lang w:val="en-GB"/>
        </w:rPr>
        <w:footnoteReference w:id="30"/>
      </w:r>
      <w:r w:rsidRPr="00735A35">
        <w:rPr>
          <w:sz w:val="24"/>
          <w:szCs w:val="24"/>
          <w:lang w:val="en-GB"/>
        </w:rPr>
        <w:t>. Genre and poetic models</w:t>
      </w:r>
      <w:r w:rsidRPr="00735A35">
        <w:rPr>
          <w:rStyle w:val="FootnoteReference"/>
          <w:sz w:val="24"/>
          <w:szCs w:val="24"/>
          <w:lang w:val="en-GB"/>
        </w:rPr>
        <w:footnoteReference w:id="31"/>
      </w:r>
      <w:r w:rsidRPr="00735A35">
        <w:rPr>
          <w:sz w:val="24"/>
          <w:szCs w:val="24"/>
          <w:lang w:val="en-GB"/>
        </w:rPr>
        <w:t xml:space="preserve"> and Ovid’s biography</w:t>
      </w:r>
      <w:r w:rsidRPr="00735A35">
        <w:rPr>
          <w:rStyle w:val="FootnoteReference"/>
          <w:sz w:val="24"/>
          <w:szCs w:val="24"/>
          <w:lang w:val="en-GB"/>
        </w:rPr>
        <w:footnoteReference w:id="32"/>
      </w:r>
      <w:r w:rsidRPr="00735A35">
        <w:rPr>
          <w:sz w:val="24"/>
          <w:szCs w:val="24"/>
          <w:lang w:val="en-GB"/>
        </w:rPr>
        <w:t xml:space="preserve"> have been much discussed in modern scholarship on the </w:t>
      </w:r>
      <w:r w:rsidRPr="00735A35">
        <w:rPr>
          <w:i/>
          <w:iCs/>
          <w:sz w:val="24"/>
          <w:szCs w:val="24"/>
          <w:lang w:val="en-GB"/>
        </w:rPr>
        <w:t>Ibis</w:t>
      </w:r>
      <w:r w:rsidRPr="00735A35">
        <w:rPr>
          <w:sz w:val="24"/>
          <w:szCs w:val="24"/>
          <w:lang w:val="en-GB"/>
        </w:rPr>
        <w:t>, and it will be important in my research to bear these in mind. How much impact they have may depend upon the precise nature of my ultimate research question, but I will need to be vigilant about referring any interpretations back to these external features to minimise the risk of misrepresentation. In her discussion of the return to interest in close reading, Devereux</w:t>
      </w:r>
      <w:r w:rsidRPr="00735A35">
        <w:rPr>
          <w:rStyle w:val="FootnoteReference"/>
          <w:sz w:val="24"/>
          <w:szCs w:val="24"/>
          <w:lang w:val="en-GB"/>
        </w:rPr>
        <w:footnoteReference w:id="33"/>
      </w:r>
      <w:r w:rsidRPr="00735A35">
        <w:rPr>
          <w:sz w:val="24"/>
          <w:szCs w:val="24"/>
          <w:lang w:val="en-GB"/>
        </w:rPr>
        <w:t xml:space="preserve"> notes that its modern advocates do not view texts as being entirely autonomous or detached from their context, illustrating that such an approach is in line with modern scholarship.</w:t>
      </w:r>
    </w:p>
    <w:p w14:paraId="05B32EA2" w14:textId="77777777" w:rsidR="005D3ABD" w:rsidRPr="00735A35" w:rsidRDefault="005D3ABD" w:rsidP="00735A35">
      <w:pPr>
        <w:spacing w:line="480" w:lineRule="auto"/>
        <w:rPr>
          <w:sz w:val="24"/>
          <w:szCs w:val="24"/>
          <w:lang w:val="en-GB"/>
        </w:rPr>
      </w:pPr>
    </w:p>
    <w:p w14:paraId="5C452D4C" w14:textId="366458AF" w:rsidR="005D3ABD" w:rsidRPr="00735A35" w:rsidRDefault="007049A8" w:rsidP="00735A35">
      <w:pPr>
        <w:spacing w:line="480" w:lineRule="auto"/>
        <w:rPr>
          <w:sz w:val="24"/>
          <w:szCs w:val="24"/>
          <w:lang w:val="en-GB"/>
        </w:rPr>
      </w:pPr>
      <w:r w:rsidRPr="00735A35">
        <w:rPr>
          <w:sz w:val="24"/>
          <w:szCs w:val="24"/>
          <w:lang w:val="en-GB"/>
        </w:rPr>
        <w:t>One aspect of New Criticism</w:t>
      </w:r>
      <w:r w:rsidR="00011275" w:rsidRPr="00735A35">
        <w:rPr>
          <w:sz w:val="24"/>
          <w:szCs w:val="24"/>
          <w:lang w:val="en-GB"/>
        </w:rPr>
        <w:t xml:space="preserve">’s wider </w:t>
      </w:r>
      <w:r w:rsidR="00AA12FD" w:rsidRPr="00735A35">
        <w:rPr>
          <w:sz w:val="24"/>
          <w:szCs w:val="24"/>
          <w:lang w:val="en-GB"/>
        </w:rPr>
        <w:t>framework which I would seek to avoid is revealed in</w:t>
      </w:r>
      <w:r w:rsidR="005D3ABD" w:rsidRPr="00735A35">
        <w:rPr>
          <w:sz w:val="24"/>
          <w:szCs w:val="24"/>
          <w:lang w:val="en-GB"/>
        </w:rPr>
        <w:t xml:space="preserve"> Richards’ comment </w:t>
      </w:r>
      <w:r w:rsidR="00AA12FD" w:rsidRPr="00735A35">
        <w:rPr>
          <w:sz w:val="24"/>
          <w:szCs w:val="24"/>
          <w:lang w:val="en-GB"/>
        </w:rPr>
        <w:t xml:space="preserve">quoted above, </w:t>
      </w:r>
      <w:r w:rsidR="005D3ABD" w:rsidRPr="00735A35">
        <w:rPr>
          <w:sz w:val="24"/>
          <w:szCs w:val="24"/>
          <w:lang w:val="en-GB"/>
        </w:rPr>
        <w:t>that criticism includes assessment of “the worth of what is communicated” by a poem</w:t>
      </w:r>
      <w:r w:rsidR="005D3ABD" w:rsidRPr="00735A35">
        <w:rPr>
          <w:rStyle w:val="FootnoteReference"/>
          <w:sz w:val="24"/>
          <w:szCs w:val="24"/>
          <w:lang w:val="en-GB"/>
        </w:rPr>
        <w:footnoteReference w:id="34"/>
      </w:r>
      <w:r w:rsidR="0079159A" w:rsidRPr="00735A35">
        <w:rPr>
          <w:sz w:val="24"/>
          <w:szCs w:val="24"/>
          <w:lang w:val="en-GB"/>
        </w:rPr>
        <w:t xml:space="preserve">. This </w:t>
      </w:r>
      <w:r w:rsidR="005D3ABD" w:rsidRPr="00735A35">
        <w:rPr>
          <w:sz w:val="24"/>
          <w:szCs w:val="24"/>
          <w:lang w:val="en-GB"/>
        </w:rPr>
        <w:t xml:space="preserve">element </w:t>
      </w:r>
      <w:r w:rsidR="00340413" w:rsidRPr="00735A35">
        <w:rPr>
          <w:sz w:val="24"/>
          <w:szCs w:val="24"/>
          <w:lang w:val="en-GB"/>
        </w:rPr>
        <w:t>forms</w:t>
      </w:r>
      <w:r w:rsidR="005D3ABD" w:rsidRPr="00735A35">
        <w:rPr>
          <w:sz w:val="24"/>
          <w:szCs w:val="24"/>
          <w:lang w:val="en-GB"/>
        </w:rPr>
        <w:t xml:space="preserve"> a significant </w:t>
      </w:r>
      <w:r w:rsidR="00B25038">
        <w:rPr>
          <w:sz w:val="24"/>
          <w:szCs w:val="24"/>
          <w:lang w:val="en-GB"/>
        </w:rPr>
        <w:t>part</w:t>
      </w:r>
      <w:r w:rsidR="005D3ABD" w:rsidRPr="00735A35">
        <w:rPr>
          <w:sz w:val="24"/>
          <w:szCs w:val="24"/>
          <w:lang w:val="en-GB"/>
        </w:rPr>
        <w:t xml:space="preserve"> of </w:t>
      </w:r>
      <w:r w:rsidR="0079159A" w:rsidRPr="00735A35">
        <w:rPr>
          <w:sz w:val="24"/>
          <w:szCs w:val="24"/>
          <w:lang w:val="en-GB"/>
        </w:rPr>
        <w:t xml:space="preserve">Richards’ </w:t>
      </w:r>
      <w:r w:rsidR="005D3ABD" w:rsidRPr="00735A35">
        <w:rPr>
          <w:sz w:val="24"/>
          <w:szCs w:val="24"/>
          <w:lang w:val="en-GB"/>
        </w:rPr>
        <w:t>analys</w:t>
      </w:r>
      <w:r w:rsidR="00340413" w:rsidRPr="00735A35">
        <w:rPr>
          <w:sz w:val="24"/>
          <w:szCs w:val="24"/>
          <w:lang w:val="en-GB"/>
        </w:rPr>
        <w:t>e</w:t>
      </w:r>
      <w:r w:rsidR="005D3ABD" w:rsidRPr="00735A35">
        <w:rPr>
          <w:sz w:val="24"/>
          <w:szCs w:val="24"/>
          <w:lang w:val="en-GB"/>
        </w:rPr>
        <w:t>s</w:t>
      </w:r>
      <w:r w:rsidR="0079159A" w:rsidRPr="00735A35">
        <w:rPr>
          <w:sz w:val="24"/>
          <w:szCs w:val="24"/>
          <w:lang w:val="en-GB"/>
        </w:rPr>
        <w:t xml:space="preserve">, and </w:t>
      </w:r>
      <w:r w:rsidR="005D3ABD" w:rsidRPr="00735A35">
        <w:rPr>
          <w:sz w:val="24"/>
          <w:szCs w:val="24"/>
          <w:lang w:val="en-GB"/>
        </w:rPr>
        <w:t>Brooks too argues in favour of critics accepting the burden of making judgements on literature</w:t>
      </w:r>
      <w:r w:rsidR="005D3ABD" w:rsidRPr="00735A35">
        <w:rPr>
          <w:rStyle w:val="FootnoteReference"/>
          <w:sz w:val="24"/>
          <w:szCs w:val="24"/>
          <w:lang w:val="en-GB"/>
        </w:rPr>
        <w:footnoteReference w:id="35"/>
      </w:r>
      <w:r w:rsidR="005D3ABD" w:rsidRPr="00735A35">
        <w:rPr>
          <w:sz w:val="24"/>
          <w:szCs w:val="24"/>
          <w:lang w:val="en-GB"/>
        </w:rPr>
        <w:t xml:space="preserve">, </w:t>
      </w:r>
      <w:r w:rsidR="00C61A0F" w:rsidRPr="00735A35">
        <w:rPr>
          <w:sz w:val="24"/>
          <w:szCs w:val="24"/>
          <w:lang w:val="en-GB"/>
        </w:rPr>
        <w:t>with so</w:t>
      </w:r>
      <w:r w:rsidR="005D3ABD" w:rsidRPr="00735A35">
        <w:rPr>
          <w:sz w:val="24"/>
          <w:szCs w:val="24"/>
          <w:lang w:val="en-GB"/>
        </w:rPr>
        <w:t>me modern scholars shar</w:t>
      </w:r>
      <w:r w:rsidR="00C61A0F" w:rsidRPr="00735A35">
        <w:rPr>
          <w:sz w:val="24"/>
          <w:szCs w:val="24"/>
          <w:lang w:val="en-GB"/>
        </w:rPr>
        <w:t>ing</w:t>
      </w:r>
      <w:r w:rsidR="005D3ABD" w:rsidRPr="00735A35">
        <w:rPr>
          <w:sz w:val="24"/>
          <w:szCs w:val="24"/>
          <w:lang w:val="en-GB"/>
        </w:rPr>
        <w:t xml:space="preserve"> this idea of the necessity of aesthetic judgement</w:t>
      </w:r>
      <w:r w:rsidR="005D3ABD" w:rsidRPr="00735A35">
        <w:rPr>
          <w:rStyle w:val="FootnoteReference"/>
          <w:sz w:val="24"/>
          <w:szCs w:val="24"/>
          <w:lang w:val="en-GB"/>
        </w:rPr>
        <w:footnoteReference w:id="36"/>
      </w:r>
      <w:r w:rsidR="005D3ABD" w:rsidRPr="00735A35">
        <w:rPr>
          <w:sz w:val="24"/>
          <w:szCs w:val="24"/>
          <w:lang w:val="en-GB"/>
        </w:rPr>
        <w:t xml:space="preserve">. </w:t>
      </w:r>
      <w:r w:rsidR="003C0D38" w:rsidRPr="00735A35">
        <w:rPr>
          <w:sz w:val="24"/>
          <w:szCs w:val="24"/>
          <w:lang w:val="en-GB"/>
        </w:rPr>
        <w:t xml:space="preserve">In my view, this is not an essential element of criticism and is potentially problematic. </w:t>
      </w:r>
      <w:r w:rsidR="00833ECE" w:rsidRPr="00735A35">
        <w:rPr>
          <w:sz w:val="24"/>
          <w:szCs w:val="24"/>
          <w:lang w:val="en-GB"/>
        </w:rPr>
        <w:t xml:space="preserve">For example, </w:t>
      </w:r>
      <w:r w:rsidR="003C0D38" w:rsidRPr="00735A35">
        <w:rPr>
          <w:sz w:val="24"/>
          <w:szCs w:val="24"/>
          <w:lang w:val="en-GB"/>
        </w:rPr>
        <w:t>Richards</w:t>
      </w:r>
      <w:r w:rsidR="003F3C7C" w:rsidRPr="00735A35">
        <w:rPr>
          <w:rStyle w:val="FootnoteReference"/>
          <w:sz w:val="24"/>
          <w:szCs w:val="24"/>
          <w:lang w:val="en-GB"/>
        </w:rPr>
        <w:footnoteReference w:id="37"/>
      </w:r>
      <w:r w:rsidR="003C0D38" w:rsidRPr="00735A35">
        <w:rPr>
          <w:sz w:val="24"/>
          <w:szCs w:val="24"/>
          <w:lang w:val="en-GB"/>
        </w:rPr>
        <w:t xml:space="preserve"> acknowledges that readers</w:t>
      </w:r>
      <w:r w:rsidR="00833ECE" w:rsidRPr="00735A35">
        <w:rPr>
          <w:sz w:val="24"/>
          <w:szCs w:val="24"/>
          <w:lang w:val="en-GB"/>
        </w:rPr>
        <w:t xml:space="preserve"> bring different capacities </w:t>
      </w:r>
      <w:r w:rsidR="00CF5527" w:rsidRPr="00735A35">
        <w:rPr>
          <w:sz w:val="24"/>
          <w:szCs w:val="24"/>
          <w:lang w:val="en-GB"/>
        </w:rPr>
        <w:t xml:space="preserve">to visualise and interpret imagery to their readings, and that individual life experiences </w:t>
      </w:r>
      <w:r w:rsidR="001D04DA" w:rsidRPr="00735A35">
        <w:rPr>
          <w:sz w:val="24"/>
          <w:szCs w:val="24"/>
          <w:lang w:val="en-GB"/>
        </w:rPr>
        <w:t xml:space="preserve">effect </w:t>
      </w:r>
      <w:r w:rsidR="001D04DA" w:rsidRPr="00735A35">
        <w:rPr>
          <w:sz w:val="24"/>
          <w:szCs w:val="24"/>
          <w:lang w:val="en-GB"/>
        </w:rPr>
        <w:lastRenderedPageBreak/>
        <w:t xml:space="preserve">interpretation. This raises </w:t>
      </w:r>
      <w:r w:rsidR="0035266E" w:rsidRPr="00735A35">
        <w:rPr>
          <w:sz w:val="24"/>
          <w:szCs w:val="24"/>
          <w:lang w:val="en-GB"/>
        </w:rPr>
        <w:t xml:space="preserve">the question of what reader is uniquely qualified to make </w:t>
      </w:r>
      <w:r w:rsidR="008C5EE4" w:rsidRPr="00735A35">
        <w:rPr>
          <w:sz w:val="24"/>
          <w:szCs w:val="24"/>
          <w:lang w:val="en-GB"/>
        </w:rPr>
        <w:t xml:space="preserve">‘objective’ value judgements. </w:t>
      </w:r>
      <w:r w:rsidR="005D3ABD" w:rsidRPr="00735A35">
        <w:rPr>
          <w:sz w:val="24"/>
          <w:szCs w:val="24"/>
          <w:lang w:val="en-GB"/>
        </w:rPr>
        <w:t>However, judgement of worth forms a discrete step, which a modern New Critical</w:t>
      </w:r>
      <w:r w:rsidR="00340413" w:rsidRPr="00735A35">
        <w:rPr>
          <w:sz w:val="24"/>
          <w:szCs w:val="24"/>
          <w:lang w:val="en-GB"/>
        </w:rPr>
        <w:t>-influenced</w:t>
      </w:r>
      <w:r w:rsidR="005D3ABD" w:rsidRPr="00735A35">
        <w:rPr>
          <w:sz w:val="24"/>
          <w:szCs w:val="24"/>
          <w:lang w:val="en-GB"/>
        </w:rPr>
        <w:t xml:space="preserve"> approach could without much trouble dispense with. Richards</w:t>
      </w:r>
      <w:r w:rsidR="005D3ABD" w:rsidRPr="00735A35">
        <w:rPr>
          <w:rStyle w:val="FootnoteReference"/>
          <w:sz w:val="24"/>
          <w:szCs w:val="24"/>
          <w:lang w:val="en-GB"/>
        </w:rPr>
        <w:footnoteReference w:id="38"/>
      </w:r>
      <w:r w:rsidR="005D3ABD" w:rsidRPr="00735A35">
        <w:rPr>
          <w:sz w:val="24"/>
          <w:szCs w:val="24"/>
          <w:lang w:val="en-GB"/>
        </w:rPr>
        <w:t xml:space="preserve"> himself describes the first </w:t>
      </w:r>
      <w:r w:rsidR="00340413" w:rsidRPr="00735A35">
        <w:rPr>
          <w:sz w:val="24"/>
          <w:szCs w:val="24"/>
          <w:lang w:val="en-GB"/>
        </w:rPr>
        <w:t xml:space="preserve">and most important </w:t>
      </w:r>
      <w:r w:rsidR="005D3ABD" w:rsidRPr="00735A35">
        <w:rPr>
          <w:sz w:val="24"/>
          <w:szCs w:val="24"/>
          <w:lang w:val="en-GB"/>
        </w:rPr>
        <w:t>task of the critic as ensuring quality reception of the poem’s communication</w:t>
      </w:r>
      <w:r w:rsidR="00340413" w:rsidRPr="00735A35">
        <w:rPr>
          <w:sz w:val="24"/>
          <w:szCs w:val="24"/>
          <w:lang w:val="en-GB"/>
        </w:rPr>
        <w:t xml:space="preserve">. </w:t>
      </w:r>
      <w:r w:rsidR="005D3ABD" w:rsidRPr="00735A35">
        <w:rPr>
          <w:sz w:val="24"/>
          <w:szCs w:val="24"/>
          <w:lang w:val="en-GB"/>
        </w:rPr>
        <w:t>A</w:t>
      </w:r>
      <w:r w:rsidR="00CD4AD6" w:rsidRPr="00735A35">
        <w:rPr>
          <w:sz w:val="24"/>
          <w:szCs w:val="24"/>
          <w:lang w:val="en-GB"/>
        </w:rPr>
        <w:t xml:space="preserve"> formalist</w:t>
      </w:r>
      <w:r w:rsidR="005D3ABD" w:rsidRPr="00735A35">
        <w:rPr>
          <w:sz w:val="24"/>
          <w:szCs w:val="24"/>
          <w:lang w:val="en-GB"/>
        </w:rPr>
        <w:t xml:space="preserve"> analysis </w:t>
      </w:r>
      <w:r w:rsidR="00CD4AD6" w:rsidRPr="00735A35">
        <w:rPr>
          <w:sz w:val="24"/>
          <w:szCs w:val="24"/>
          <w:lang w:val="en-GB"/>
        </w:rPr>
        <w:t>can</w:t>
      </w:r>
      <w:r w:rsidR="005D3ABD" w:rsidRPr="00735A35">
        <w:rPr>
          <w:sz w:val="24"/>
          <w:szCs w:val="24"/>
          <w:lang w:val="en-GB"/>
        </w:rPr>
        <w:t xml:space="preserve"> stop there without proceeding to Richards’ next step: “to judge it…to decide upon its worth”. Rather than attempting to produce an authoritative view of a poem’s worth, the analysis thus enriches our understanding of a poem while leaving questions of value to the </w:t>
      </w:r>
      <w:r w:rsidR="00340413" w:rsidRPr="00735A35">
        <w:rPr>
          <w:sz w:val="24"/>
          <w:szCs w:val="24"/>
          <w:lang w:val="en-GB"/>
        </w:rPr>
        <w:t>discretion of the i</w:t>
      </w:r>
      <w:r w:rsidR="005D3ABD" w:rsidRPr="00735A35">
        <w:rPr>
          <w:sz w:val="24"/>
          <w:szCs w:val="24"/>
          <w:lang w:val="en-GB"/>
        </w:rPr>
        <w:t xml:space="preserve">ndividual reader. The key elements </w:t>
      </w:r>
      <w:r w:rsidR="00340413" w:rsidRPr="00735A35">
        <w:rPr>
          <w:sz w:val="24"/>
          <w:szCs w:val="24"/>
          <w:lang w:val="en-GB"/>
        </w:rPr>
        <w:t>retained by su</w:t>
      </w:r>
      <w:r w:rsidR="005D3ABD" w:rsidRPr="00735A35">
        <w:rPr>
          <w:sz w:val="24"/>
          <w:szCs w:val="24"/>
          <w:lang w:val="en-GB"/>
        </w:rPr>
        <w:t xml:space="preserve">ch a critical approach are the priority given to the text and the freedom given to the individual reader to assess only </w:t>
      </w:r>
      <w:r w:rsidR="005D3ABD" w:rsidRPr="00735A35">
        <w:rPr>
          <w:i/>
          <w:iCs/>
          <w:sz w:val="24"/>
          <w:szCs w:val="24"/>
          <w:lang w:val="en-GB"/>
        </w:rPr>
        <w:t>worth</w:t>
      </w:r>
      <w:r w:rsidR="005D3ABD" w:rsidRPr="00735A35">
        <w:rPr>
          <w:sz w:val="24"/>
          <w:szCs w:val="24"/>
          <w:lang w:val="en-GB"/>
        </w:rPr>
        <w:t xml:space="preserve"> rather than </w:t>
      </w:r>
      <w:r w:rsidR="005D3ABD" w:rsidRPr="00735A35">
        <w:rPr>
          <w:i/>
          <w:iCs/>
          <w:sz w:val="24"/>
          <w:szCs w:val="24"/>
          <w:lang w:val="en-GB"/>
        </w:rPr>
        <w:t>meaning</w:t>
      </w:r>
      <w:r w:rsidR="00340413" w:rsidRPr="00735A35">
        <w:rPr>
          <w:i/>
          <w:iCs/>
          <w:sz w:val="24"/>
          <w:szCs w:val="24"/>
          <w:lang w:val="en-GB"/>
        </w:rPr>
        <w:t>.</w:t>
      </w:r>
      <w:r w:rsidR="00340413" w:rsidRPr="00735A35">
        <w:rPr>
          <w:sz w:val="24"/>
          <w:szCs w:val="24"/>
          <w:lang w:val="en-GB"/>
        </w:rPr>
        <w:t xml:space="preserve"> </w:t>
      </w:r>
    </w:p>
    <w:p w14:paraId="636C8F5E" w14:textId="77777777" w:rsidR="00353F64" w:rsidRPr="00735A35" w:rsidRDefault="00353F64" w:rsidP="00735A35">
      <w:pPr>
        <w:spacing w:line="480" w:lineRule="auto"/>
        <w:rPr>
          <w:sz w:val="24"/>
          <w:szCs w:val="24"/>
          <w:lang w:val="en-GB"/>
        </w:rPr>
      </w:pPr>
    </w:p>
    <w:p w14:paraId="5503E644" w14:textId="3709490C" w:rsidR="001C777B" w:rsidRPr="00735A35" w:rsidRDefault="001C777B" w:rsidP="00735A35">
      <w:pPr>
        <w:spacing w:line="480" w:lineRule="auto"/>
        <w:rPr>
          <w:sz w:val="24"/>
          <w:szCs w:val="24"/>
          <w:lang w:val="en-GB"/>
        </w:rPr>
      </w:pPr>
      <w:r w:rsidRPr="00735A35">
        <w:rPr>
          <w:sz w:val="24"/>
          <w:szCs w:val="24"/>
          <w:lang w:val="en-GB"/>
        </w:rPr>
        <w:t xml:space="preserve">The theoretical framework for my research is thus indebted to </w:t>
      </w:r>
      <w:r w:rsidR="00E15C18" w:rsidRPr="00735A35">
        <w:rPr>
          <w:sz w:val="24"/>
          <w:szCs w:val="24"/>
          <w:lang w:val="en-GB"/>
        </w:rPr>
        <w:t xml:space="preserve">the formalism of </w:t>
      </w:r>
      <w:r w:rsidRPr="00735A35">
        <w:rPr>
          <w:sz w:val="24"/>
          <w:szCs w:val="24"/>
          <w:lang w:val="en-GB"/>
        </w:rPr>
        <w:t>New Criticism, but is not bound by it</w:t>
      </w:r>
      <w:r w:rsidR="00260BC1" w:rsidRPr="00735A35">
        <w:rPr>
          <w:sz w:val="24"/>
          <w:szCs w:val="24"/>
          <w:lang w:val="en-GB"/>
        </w:rPr>
        <w:t>s theoretical doctrine</w:t>
      </w:r>
      <w:r w:rsidR="00DD677B" w:rsidRPr="00735A35">
        <w:rPr>
          <w:sz w:val="24"/>
          <w:szCs w:val="24"/>
          <w:lang w:val="en-GB"/>
        </w:rPr>
        <w:t>, including its doctrine of value judgement</w:t>
      </w:r>
      <w:r w:rsidRPr="00735A35">
        <w:rPr>
          <w:sz w:val="24"/>
          <w:szCs w:val="24"/>
          <w:lang w:val="en-GB"/>
        </w:rPr>
        <w:t xml:space="preserve">. </w:t>
      </w:r>
      <w:r w:rsidR="00A56705" w:rsidRPr="00735A35">
        <w:rPr>
          <w:sz w:val="24"/>
          <w:szCs w:val="24"/>
          <w:lang w:val="en-GB"/>
        </w:rPr>
        <w:t>My research will be primarily text-centred and formalist, with interpretation being suspended until after formal analysis</w:t>
      </w:r>
      <w:r w:rsidR="00531279" w:rsidRPr="00735A35">
        <w:rPr>
          <w:sz w:val="24"/>
          <w:szCs w:val="24"/>
          <w:lang w:val="en-GB"/>
        </w:rPr>
        <w:t>. Interpretation will be</w:t>
      </w:r>
      <w:r w:rsidR="00A56705" w:rsidRPr="00735A35">
        <w:rPr>
          <w:sz w:val="24"/>
          <w:szCs w:val="24"/>
          <w:lang w:val="en-GB"/>
        </w:rPr>
        <w:t xml:space="preserve"> constrained by demonstrable stylistic and semantic features rather than following more </w:t>
      </w:r>
      <w:r w:rsidR="00D70B4C" w:rsidRPr="00735A35">
        <w:rPr>
          <w:sz w:val="24"/>
          <w:szCs w:val="24"/>
          <w:lang w:val="en-GB"/>
        </w:rPr>
        <w:t>remote</w:t>
      </w:r>
      <w:r w:rsidR="00A56705" w:rsidRPr="00735A35">
        <w:rPr>
          <w:sz w:val="24"/>
          <w:szCs w:val="24"/>
          <w:lang w:val="en-GB"/>
        </w:rPr>
        <w:t xml:space="preserve"> </w:t>
      </w:r>
      <w:r w:rsidR="00A742C5" w:rsidRPr="00735A35">
        <w:rPr>
          <w:sz w:val="24"/>
          <w:szCs w:val="24"/>
          <w:lang w:val="en-GB"/>
        </w:rPr>
        <w:t xml:space="preserve">theoretical </w:t>
      </w:r>
      <w:r w:rsidR="00A56705" w:rsidRPr="00735A35">
        <w:rPr>
          <w:sz w:val="24"/>
          <w:szCs w:val="24"/>
          <w:lang w:val="en-GB"/>
        </w:rPr>
        <w:t xml:space="preserve">models. </w:t>
      </w:r>
      <w:r w:rsidR="0089162F" w:rsidRPr="00735A35">
        <w:rPr>
          <w:sz w:val="24"/>
          <w:szCs w:val="24"/>
          <w:lang w:val="en-GB"/>
        </w:rPr>
        <w:t xml:space="preserve">While I will remain </w:t>
      </w:r>
      <w:r w:rsidR="00B25038">
        <w:rPr>
          <w:sz w:val="24"/>
          <w:szCs w:val="24"/>
          <w:lang w:val="en-GB"/>
        </w:rPr>
        <w:t>conscious</w:t>
      </w:r>
      <w:r w:rsidR="0089162F" w:rsidRPr="00735A35">
        <w:rPr>
          <w:sz w:val="24"/>
          <w:szCs w:val="24"/>
          <w:lang w:val="en-GB"/>
        </w:rPr>
        <w:t xml:space="preserve"> of historical and biographical factors as well as genre and </w:t>
      </w:r>
      <w:r w:rsidR="00B25038">
        <w:rPr>
          <w:sz w:val="24"/>
          <w:szCs w:val="24"/>
          <w:lang w:val="en-GB"/>
        </w:rPr>
        <w:t xml:space="preserve">poetic </w:t>
      </w:r>
      <w:r w:rsidR="0089162F" w:rsidRPr="00735A35">
        <w:rPr>
          <w:sz w:val="24"/>
          <w:szCs w:val="24"/>
          <w:lang w:val="en-GB"/>
        </w:rPr>
        <w:t xml:space="preserve">models, they will be considered only insofar as they directly impact the poem’s structures and effects. </w:t>
      </w:r>
      <w:r w:rsidR="00353F64" w:rsidRPr="00735A35">
        <w:rPr>
          <w:sz w:val="24"/>
          <w:szCs w:val="24"/>
          <w:lang w:val="en-GB"/>
        </w:rPr>
        <w:t>Using</w:t>
      </w:r>
      <w:r w:rsidRPr="00735A35">
        <w:rPr>
          <w:sz w:val="24"/>
          <w:szCs w:val="24"/>
          <w:lang w:val="en-GB"/>
        </w:rPr>
        <w:t xml:space="preserve"> close reading and stylistics as tools</w:t>
      </w:r>
      <w:r w:rsidR="00353F64" w:rsidRPr="00735A35">
        <w:rPr>
          <w:sz w:val="24"/>
          <w:szCs w:val="24"/>
          <w:lang w:val="en-GB"/>
        </w:rPr>
        <w:t xml:space="preserve">, I will explore how the </w:t>
      </w:r>
      <w:r w:rsidR="00353F64" w:rsidRPr="00735A35">
        <w:rPr>
          <w:i/>
          <w:iCs/>
          <w:sz w:val="24"/>
          <w:szCs w:val="24"/>
          <w:lang w:val="en-GB"/>
        </w:rPr>
        <w:t xml:space="preserve">Ibis </w:t>
      </w:r>
      <w:r w:rsidR="00353F64" w:rsidRPr="00735A35">
        <w:rPr>
          <w:sz w:val="24"/>
          <w:szCs w:val="24"/>
          <w:lang w:val="en-GB"/>
        </w:rPr>
        <w:t xml:space="preserve">generates effects through </w:t>
      </w:r>
      <w:r w:rsidR="00E306AC" w:rsidRPr="00735A35">
        <w:rPr>
          <w:sz w:val="24"/>
          <w:szCs w:val="24"/>
          <w:lang w:val="en-GB"/>
        </w:rPr>
        <w:t>form</w:t>
      </w:r>
      <w:r w:rsidR="00353F64" w:rsidRPr="00735A35">
        <w:rPr>
          <w:sz w:val="24"/>
          <w:szCs w:val="24"/>
          <w:lang w:val="en-GB"/>
        </w:rPr>
        <w:t xml:space="preserve">. Any suggestions as to meaning will necessarily follow, and arise directly from, this textual analysis. This approach aligns with recent work on stylistics in Latin poetry </w:t>
      </w:r>
      <w:r w:rsidR="003871E5" w:rsidRPr="00735A35">
        <w:rPr>
          <w:sz w:val="24"/>
          <w:szCs w:val="24"/>
          <w:lang w:val="en-GB"/>
        </w:rPr>
        <w:t xml:space="preserve">referred to </w:t>
      </w:r>
      <w:r w:rsidR="00B25038">
        <w:rPr>
          <w:sz w:val="24"/>
          <w:szCs w:val="24"/>
          <w:lang w:val="en-GB"/>
        </w:rPr>
        <w:t>above</w:t>
      </w:r>
      <w:r w:rsidR="003871E5" w:rsidRPr="00735A35">
        <w:rPr>
          <w:sz w:val="24"/>
          <w:szCs w:val="24"/>
          <w:lang w:val="en-GB"/>
        </w:rPr>
        <w:t xml:space="preserve">, </w:t>
      </w:r>
      <w:r w:rsidR="00353F64" w:rsidRPr="00735A35">
        <w:rPr>
          <w:sz w:val="24"/>
          <w:szCs w:val="24"/>
          <w:lang w:val="en-GB"/>
        </w:rPr>
        <w:t xml:space="preserve">in which formal analysis </w:t>
      </w:r>
      <w:r w:rsidR="00B25038">
        <w:rPr>
          <w:sz w:val="24"/>
          <w:szCs w:val="24"/>
          <w:lang w:val="en-GB"/>
        </w:rPr>
        <w:t>is prioritised.</w:t>
      </w:r>
    </w:p>
    <w:p w14:paraId="60A30B1D" w14:textId="77777777" w:rsidR="00BE7F35" w:rsidRPr="00735A35" w:rsidRDefault="00BE7F35" w:rsidP="00735A35">
      <w:pPr>
        <w:spacing w:line="480" w:lineRule="auto"/>
        <w:rPr>
          <w:sz w:val="24"/>
          <w:szCs w:val="24"/>
          <w:lang w:val="en-GB"/>
        </w:rPr>
      </w:pPr>
    </w:p>
    <w:p w14:paraId="74F6DE5E" w14:textId="607D69F6" w:rsidR="00BE7F35" w:rsidRDefault="00735A35" w:rsidP="00735A35">
      <w:pPr>
        <w:spacing w:after="160" w:line="480" w:lineRule="auto"/>
        <w:jc w:val="left"/>
        <w:rPr>
          <w:lang w:val="en-GB"/>
        </w:rPr>
      </w:pPr>
      <w:r w:rsidRPr="00735A35">
        <w:rPr>
          <w:i/>
          <w:iCs/>
          <w:sz w:val="24"/>
          <w:szCs w:val="24"/>
          <w:lang w:val="en-GB"/>
        </w:rPr>
        <w:t>20</w:t>
      </w:r>
      <w:r w:rsidR="009074B9">
        <w:rPr>
          <w:i/>
          <w:iCs/>
          <w:sz w:val="24"/>
          <w:szCs w:val="24"/>
          <w:lang w:val="en-GB"/>
        </w:rPr>
        <w:t>7</w:t>
      </w:r>
      <w:r w:rsidR="00107978">
        <w:rPr>
          <w:i/>
          <w:iCs/>
          <w:sz w:val="24"/>
          <w:szCs w:val="24"/>
          <w:lang w:val="en-GB"/>
        </w:rPr>
        <w:t>6</w:t>
      </w:r>
      <w:r w:rsidRPr="00735A35">
        <w:rPr>
          <w:i/>
          <w:iCs/>
          <w:sz w:val="24"/>
          <w:szCs w:val="24"/>
          <w:lang w:val="en-GB"/>
        </w:rPr>
        <w:t xml:space="preserve"> words</w:t>
      </w:r>
      <w:r w:rsidR="00BE7F35">
        <w:rPr>
          <w:lang w:val="en-GB"/>
        </w:rPr>
        <w:br w:type="page"/>
      </w:r>
    </w:p>
    <w:p w14:paraId="319C69B4" w14:textId="6BFAB779" w:rsidR="00BE7F35" w:rsidRPr="00FC0D61" w:rsidRDefault="00BE7F35" w:rsidP="00735A35">
      <w:pPr>
        <w:spacing w:line="480" w:lineRule="auto"/>
        <w:rPr>
          <w:b/>
          <w:bCs/>
          <w:sz w:val="24"/>
          <w:szCs w:val="24"/>
          <w:u w:val="single"/>
          <w:lang w:val="en-GB"/>
        </w:rPr>
      </w:pPr>
      <w:r w:rsidRPr="00FC0D61">
        <w:rPr>
          <w:b/>
          <w:bCs/>
          <w:sz w:val="24"/>
          <w:szCs w:val="24"/>
          <w:u w:val="single"/>
          <w:lang w:val="en-GB"/>
        </w:rPr>
        <w:lastRenderedPageBreak/>
        <w:t xml:space="preserve">Bibliography </w:t>
      </w:r>
    </w:p>
    <w:p w14:paraId="7A7AACA5" w14:textId="77777777" w:rsidR="00BE7F35" w:rsidRPr="00FC0D61" w:rsidRDefault="00BE7F35" w:rsidP="00735A35">
      <w:pPr>
        <w:spacing w:line="480" w:lineRule="auto"/>
        <w:rPr>
          <w:b/>
          <w:bCs/>
          <w:sz w:val="24"/>
          <w:szCs w:val="24"/>
          <w:u w:val="single"/>
          <w:lang w:val="en-GB"/>
        </w:rPr>
      </w:pPr>
    </w:p>
    <w:p w14:paraId="1E1DB8E2" w14:textId="65974F70" w:rsidR="00BE7F35" w:rsidRPr="00FC0D61" w:rsidRDefault="00BE7F35" w:rsidP="00735A35">
      <w:pPr>
        <w:spacing w:line="480" w:lineRule="auto"/>
        <w:rPr>
          <w:b/>
          <w:bCs/>
          <w:sz w:val="24"/>
          <w:szCs w:val="24"/>
          <w:u w:val="single"/>
          <w:lang w:val="en-GB"/>
        </w:rPr>
      </w:pPr>
      <w:r w:rsidRPr="00FC0D61">
        <w:rPr>
          <w:b/>
          <w:bCs/>
          <w:sz w:val="24"/>
          <w:szCs w:val="24"/>
          <w:u w:val="single"/>
          <w:lang w:val="en-GB"/>
        </w:rPr>
        <w:t>Primary Sources</w:t>
      </w:r>
    </w:p>
    <w:p w14:paraId="0333EFF0" w14:textId="77777777" w:rsidR="00A224EC" w:rsidRPr="00735A35" w:rsidRDefault="00A224EC" w:rsidP="00735A35">
      <w:pPr>
        <w:spacing w:line="480" w:lineRule="auto"/>
        <w:rPr>
          <w:sz w:val="24"/>
          <w:szCs w:val="24"/>
          <w:u w:val="single"/>
          <w:lang w:val="en-GB"/>
        </w:rPr>
      </w:pPr>
    </w:p>
    <w:p w14:paraId="4595D5C0" w14:textId="77777777" w:rsidR="00A224EC" w:rsidRPr="00735A35" w:rsidRDefault="00A224EC" w:rsidP="00735A35">
      <w:pPr>
        <w:spacing w:line="480" w:lineRule="auto"/>
        <w:jc w:val="left"/>
        <w:rPr>
          <w:sz w:val="24"/>
          <w:szCs w:val="24"/>
        </w:rPr>
      </w:pPr>
      <w:r w:rsidRPr="00735A35">
        <w:rPr>
          <w:sz w:val="24"/>
          <w:szCs w:val="24"/>
        </w:rPr>
        <w:t>Ovid, </w:t>
      </w:r>
      <w:r w:rsidRPr="00735A35">
        <w:rPr>
          <w:i/>
          <w:iCs/>
          <w:sz w:val="24"/>
          <w:szCs w:val="24"/>
        </w:rPr>
        <w:t>Art of Love. Cosmetics. Remedies for Love. Ibis. Walnut-tree. Sea Fishing. Consolation.</w:t>
      </w:r>
      <w:r w:rsidRPr="00735A35">
        <w:rPr>
          <w:sz w:val="24"/>
          <w:szCs w:val="24"/>
        </w:rPr>
        <w:t> J. H. Mozley (trans.) 1929. Revised by G. P. Goold. Loeb Classical Library 232. Cambridge, MA: Harvard University Press.</w:t>
      </w:r>
    </w:p>
    <w:p w14:paraId="48162AED" w14:textId="77777777" w:rsidR="00BE7F35" w:rsidRPr="00735A35" w:rsidRDefault="00BE7F35" w:rsidP="00735A35">
      <w:pPr>
        <w:spacing w:line="480" w:lineRule="auto"/>
        <w:rPr>
          <w:b/>
          <w:bCs/>
          <w:sz w:val="24"/>
          <w:szCs w:val="24"/>
          <w:lang w:val="en-GB"/>
        </w:rPr>
      </w:pPr>
    </w:p>
    <w:p w14:paraId="779FE518" w14:textId="77777777" w:rsidR="00BE7F35" w:rsidRPr="00735A35" w:rsidRDefault="00BE7F35" w:rsidP="00735A35">
      <w:pPr>
        <w:spacing w:line="480" w:lineRule="auto"/>
        <w:rPr>
          <w:b/>
          <w:bCs/>
          <w:sz w:val="24"/>
          <w:szCs w:val="24"/>
          <w:lang w:val="en-GB"/>
        </w:rPr>
      </w:pPr>
    </w:p>
    <w:p w14:paraId="36FC3B98" w14:textId="6427D4E6" w:rsidR="00BE7F35" w:rsidRPr="00FC0D61" w:rsidRDefault="00E91855" w:rsidP="00735A35">
      <w:pPr>
        <w:spacing w:line="480" w:lineRule="auto"/>
        <w:rPr>
          <w:b/>
          <w:bCs/>
          <w:sz w:val="24"/>
          <w:szCs w:val="24"/>
          <w:u w:val="single"/>
          <w:lang w:val="en-GB"/>
        </w:rPr>
      </w:pPr>
      <w:r w:rsidRPr="00FC0D61">
        <w:rPr>
          <w:b/>
          <w:bCs/>
          <w:sz w:val="24"/>
          <w:szCs w:val="24"/>
          <w:u w:val="single"/>
          <w:lang w:val="en-GB"/>
        </w:rPr>
        <w:t xml:space="preserve">Secondary Sources </w:t>
      </w:r>
    </w:p>
    <w:p w14:paraId="3C716372" w14:textId="255CA5E2" w:rsidR="00E91855" w:rsidRDefault="00E91855" w:rsidP="00735A35">
      <w:pPr>
        <w:spacing w:line="480" w:lineRule="auto"/>
        <w:rPr>
          <w:sz w:val="24"/>
          <w:szCs w:val="24"/>
          <w:lang w:val="en-GB"/>
        </w:rPr>
      </w:pPr>
    </w:p>
    <w:p w14:paraId="4FF4C99E" w14:textId="0859660F" w:rsidR="00C6676A" w:rsidRDefault="00C6676A" w:rsidP="00735A35">
      <w:pPr>
        <w:spacing w:line="480" w:lineRule="auto"/>
        <w:rPr>
          <w:sz w:val="24"/>
          <w:szCs w:val="24"/>
          <w:lang w:val="en-GB"/>
        </w:rPr>
      </w:pPr>
      <w:r w:rsidRPr="00793572">
        <w:rPr>
          <w:sz w:val="24"/>
          <w:szCs w:val="24"/>
          <w:lang w:val="en-GB"/>
        </w:rPr>
        <w:t>Brooks</w:t>
      </w:r>
      <w:r>
        <w:rPr>
          <w:sz w:val="24"/>
          <w:szCs w:val="24"/>
          <w:lang w:val="en-GB"/>
        </w:rPr>
        <w:t xml:space="preserve">, C. </w:t>
      </w:r>
      <w:r w:rsidR="00793572">
        <w:rPr>
          <w:sz w:val="24"/>
          <w:szCs w:val="24"/>
          <w:lang w:val="en-GB"/>
        </w:rPr>
        <w:t xml:space="preserve">(1942) </w:t>
      </w:r>
      <w:r w:rsidR="00793572">
        <w:rPr>
          <w:i/>
          <w:iCs/>
          <w:sz w:val="24"/>
          <w:szCs w:val="24"/>
          <w:lang w:val="en-GB"/>
        </w:rPr>
        <w:t xml:space="preserve">The well wrought urn. </w:t>
      </w:r>
      <w:r w:rsidR="00793572">
        <w:rPr>
          <w:sz w:val="24"/>
          <w:szCs w:val="24"/>
          <w:lang w:val="en-GB"/>
        </w:rPr>
        <w:t>Orlando: Harcourt.</w:t>
      </w:r>
    </w:p>
    <w:p w14:paraId="52E374EB" w14:textId="77777777" w:rsidR="00793572" w:rsidRDefault="00793572" w:rsidP="00735A35">
      <w:pPr>
        <w:spacing w:line="480" w:lineRule="auto"/>
        <w:rPr>
          <w:sz w:val="24"/>
          <w:szCs w:val="24"/>
          <w:lang w:val="en-GB"/>
        </w:rPr>
      </w:pPr>
    </w:p>
    <w:p w14:paraId="3073778D" w14:textId="77777777" w:rsidR="00793572" w:rsidRPr="00793572" w:rsidRDefault="00793572" w:rsidP="00793572">
      <w:pPr>
        <w:spacing w:line="480" w:lineRule="auto"/>
        <w:rPr>
          <w:sz w:val="24"/>
          <w:szCs w:val="24"/>
          <w:lang w:val="en-GB"/>
        </w:rPr>
      </w:pPr>
      <w:r w:rsidRPr="00793572">
        <w:rPr>
          <w:sz w:val="24"/>
          <w:szCs w:val="24"/>
          <w:lang w:val="en-GB"/>
        </w:rPr>
        <w:t xml:space="preserve">Brooks, C. (1981) ‘I. A. Richards and “Practical Criticism”’, </w:t>
      </w:r>
      <w:r w:rsidRPr="00793572">
        <w:rPr>
          <w:i/>
          <w:iCs/>
          <w:sz w:val="24"/>
          <w:szCs w:val="24"/>
          <w:lang w:val="en-GB"/>
        </w:rPr>
        <w:t>The Sewanee review</w:t>
      </w:r>
      <w:r w:rsidRPr="00793572">
        <w:rPr>
          <w:sz w:val="24"/>
          <w:szCs w:val="24"/>
          <w:lang w:val="en-GB"/>
        </w:rPr>
        <w:t>, 89(4), pp. 586–595.</w:t>
      </w:r>
    </w:p>
    <w:p w14:paraId="0AF81873" w14:textId="77777777" w:rsidR="00107978" w:rsidRDefault="00107978" w:rsidP="00735A35">
      <w:pPr>
        <w:spacing w:line="480" w:lineRule="auto"/>
        <w:rPr>
          <w:sz w:val="24"/>
          <w:szCs w:val="24"/>
          <w:lang w:val="en-GB"/>
        </w:rPr>
      </w:pPr>
    </w:p>
    <w:p w14:paraId="153DF6ED" w14:textId="0DCB1DE1" w:rsidR="00107978" w:rsidRDefault="00107978" w:rsidP="00735A35">
      <w:pPr>
        <w:spacing w:line="480" w:lineRule="auto"/>
        <w:rPr>
          <w:sz w:val="24"/>
          <w:szCs w:val="24"/>
          <w:lang w:val="en-GB"/>
        </w:rPr>
      </w:pPr>
      <w:r w:rsidRPr="00735A35">
        <w:rPr>
          <w:sz w:val="24"/>
          <w:szCs w:val="24"/>
          <w:lang w:val="en-GB"/>
        </w:rPr>
        <w:t>Dainotti</w:t>
      </w:r>
      <w:r>
        <w:rPr>
          <w:sz w:val="24"/>
          <w:szCs w:val="24"/>
          <w:lang w:val="en-GB"/>
        </w:rPr>
        <w:t>, P.</w:t>
      </w:r>
      <w:r w:rsidRPr="00735A35">
        <w:rPr>
          <w:sz w:val="24"/>
          <w:szCs w:val="24"/>
          <w:lang w:val="en-GB"/>
        </w:rPr>
        <w:t>, Hasegawa</w:t>
      </w:r>
      <w:r>
        <w:rPr>
          <w:sz w:val="24"/>
          <w:szCs w:val="24"/>
          <w:lang w:val="en-GB"/>
        </w:rPr>
        <w:t>, A.</w:t>
      </w:r>
      <w:r w:rsidRPr="00735A35">
        <w:rPr>
          <w:sz w:val="24"/>
          <w:szCs w:val="24"/>
          <w:lang w:val="en-GB"/>
        </w:rPr>
        <w:t>, and Harrison</w:t>
      </w:r>
      <w:r>
        <w:rPr>
          <w:sz w:val="24"/>
          <w:szCs w:val="24"/>
          <w:lang w:val="en-GB"/>
        </w:rPr>
        <w:t xml:space="preserve">, S. </w:t>
      </w:r>
      <w:r w:rsidRPr="00735A35">
        <w:rPr>
          <w:sz w:val="24"/>
          <w:szCs w:val="24"/>
          <w:lang w:val="en-GB"/>
        </w:rPr>
        <w:t xml:space="preserve">(eds.) </w:t>
      </w:r>
      <w:r w:rsidRPr="00735A35">
        <w:rPr>
          <w:i/>
          <w:iCs/>
          <w:sz w:val="24"/>
          <w:szCs w:val="24"/>
          <w:lang w:val="en-GB"/>
        </w:rPr>
        <w:t xml:space="preserve">Style in Latin poetry. </w:t>
      </w:r>
      <w:r w:rsidRPr="00735A35">
        <w:rPr>
          <w:sz w:val="24"/>
          <w:szCs w:val="24"/>
          <w:lang w:val="en-GB"/>
        </w:rPr>
        <w:t>Berlin, Boston: De Gruyter</w:t>
      </w:r>
      <w:r>
        <w:rPr>
          <w:sz w:val="24"/>
          <w:szCs w:val="24"/>
          <w:lang w:val="en-GB"/>
        </w:rPr>
        <w:t>.</w:t>
      </w:r>
    </w:p>
    <w:p w14:paraId="4D9D4E1B" w14:textId="77777777" w:rsidR="00107978" w:rsidRDefault="00107978" w:rsidP="00735A35">
      <w:pPr>
        <w:spacing w:line="480" w:lineRule="auto"/>
        <w:rPr>
          <w:sz w:val="24"/>
          <w:szCs w:val="24"/>
          <w:lang w:val="en-GB"/>
        </w:rPr>
      </w:pPr>
    </w:p>
    <w:p w14:paraId="36E0A6AB" w14:textId="2C5A5ED4" w:rsidR="00107978" w:rsidRDefault="00107978" w:rsidP="00735A35">
      <w:pPr>
        <w:spacing w:line="480" w:lineRule="auto"/>
        <w:rPr>
          <w:sz w:val="24"/>
          <w:szCs w:val="24"/>
          <w:lang w:val="en-GB"/>
        </w:rPr>
      </w:pPr>
      <w:r>
        <w:rPr>
          <w:sz w:val="24"/>
          <w:szCs w:val="24"/>
          <w:lang w:val="en-GB"/>
        </w:rPr>
        <w:t xml:space="preserve">Devereux, C. (2012) ‘A kind of dual attentiveness: close reading after the New Criticism’, in </w:t>
      </w:r>
      <w:r w:rsidRPr="0016753F">
        <w:rPr>
          <w:sz w:val="24"/>
          <w:szCs w:val="24"/>
          <w:lang w:val="en-GB"/>
        </w:rPr>
        <w:t xml:space="preserve">J. D. McIntyre and M. B. Hickman (eds.) </w:t>
      </w:r>
      <w:r w:rsidRPr="0016753F">
        <w:rPr>
          <w:i/>
          <w:iCs/>
          <w:sz w:val="24"/>
          <w:szCs w:val="24"/>
          <w:lang w:val="en-GB"/>
        </w:rPr>
        <w:t xml:space="preserve">Rereading the New Criticism. </w:t>
      </w:r>
      <w:r w:rsidRPr="0016753F">
        <w:rPr>
          <w:sz w:val="24"/>
          <w:szCs w:val="24"/>
          <w:lang w:val="en-GB"/>
        </w:rPr>
        <w:t>Columbus: Ohio State University Press, pp.</w:t>
      </w:r>
      <w:r>
        <w:rPr>
          <w:sz w:val="24"/>
          <w:szCs w:val="24"/>
          <w:lang w:val="en-GB"/>
        </w:rPr>
        <w:t xml:space="preserve"> 218-30</w:t>
      </w:r>
      <w:r w:rsidRPr="0016753F">
        <w:rPr>
          <w:sz w:val="24"/>
          <w:szCs w:val="24"/>
          <w:lang w:val="en-GB"/>
        </w:rPr>
        <w:t>.</w:t>
      </w:r>
    </w:p>
    <w:p w14:paraId="4D48F609" w14:textId="77777777" w:rsidR="00107978" w:rsidRDefault="00107978" w:rsidP="00735A35">
      <w:pPr>
        <w:spacing w:line="480" w:lineRule="auto"/>
        <w:rPr>
          <w:sz w:val="24"/>
          <w:szCs w:val="24"/>
          <w:lang w:val="en-GB"/>
        </w:rPr>
      </w:pPr>
    </w:p>
    <w:p w14:paraId="145568C0" w14:textId="66F1C7D7" w:rsidR="00793572" w:rsidRDefault="00107978" w:rsidP="00793572">
      <w:pPr>
        <w:spacing w:line="480" w:lineRule="auto"/>
        <w:jc w:val="left"/>
        <w:rPr>
          <w:sz w:val="24"/>
          <w:szCs w:val="24"/>
          <w:lang w:val="en-GB"/>
        </w:rPr>
      </w:pPr>
      <w:r w:rsidRPr="00793572">
        <w:rPr>
          <w:sz w:val="24"/>
          <w:szCs w:val="24"/>
          <w:lang w:val="en-GB"/>
        </w:rPr>
        <w:lastRenderedPageBreak/>
        <w:t>Galasso</w:t>
      </w:r>
      <w:r>
        <w:rPr>
          <w:sz w:val="24"/>
          <w:szCs w:val="24"/>
          <w:lang w:val="en-GB"/>
        </w:rPr>
        <w:t>, L. (2024) ‘</w:t>
      </w:r>
      <w:r w:rsidR="00793572">
        <w:rPr>
          <w:sz w:val="24"/>
          <w:szCs w:val="24"/>
          <w:lang w:val="en-GB"/>
        </w:rPr>
        <w:t>”</w:t>
      </w:r>
      <w:r>
        <w:rPr>
          <w:sz w:val="24"/>
          <w:szCs w:val="24"/>
          <w:lang w:val="en-GB"/>
        </w:rPr>
        <w:t>Conscious</w:t>
      </w:r>
      <w:r w:rsidR="00793572">
        <w:rPr>
          <w:sz w:val="24"/>
          <w:szCs w:val="24"/>
          <w:lang w:val="en-GB"/>
        </w:rPr>
        <w:t>”</w:t>
      </w:r>
      <w:r>
        <w:rPr>
          <w:sz w:val="24"/>
          <w:szCs w:val="24"/>
          <w:lang w:val="en-GB"/>
        </w:rPr>
        <w:t xml:space="preserve"> and </w:t>
      </w:r>
      <w:r w:rsidR="00793572">
        <w:rPr>
          <w:sz w:val="24"/>
          <w:szCs w:val="24"/>
          <w:lang w:val="en-GB"/>
        </w:rPr>
        <w:t>“</w:t>
      </w:r>
      <w:r>
        <w:rPr>
          <w:sz w:val="24"/>
          <w:szCs w:val="24"/>
          <w:lang w:val="en-GB"/>
        </w:rPr>
        <w:t>unconscious</w:t>
      </w:r>
      <w:r w:rsidR="00793572">
        <w:rPr>
          <w:sz w:val="24"/>
          <w:szCs w:val="24"/>
          <w:lang w:val="en-GB"/>
        </w:rPr>
        <w:t>”</w:t>
      </w:r>
      <w:r>
        <w:rPr>
          <w:sz w:val="24"/>
          <w:szCs w:val="24"/>
          <w:lang w:val="en-GB"/>
        </w:rPr>
        <w:t xml:space="preserve"> repetitions in Latin hexameter poetry from Ennius to Lucan’, in </w:t>
      </w:r>
      <w:r w:rsidR="00793572" w:rsidRPr="00735A35">
        <w:rPr>
          <w:sz w:val="24"/>
          <w:szCs w:val="24"/>
          <w:lang w:val="en-GB"/>
        </w:rPr>
        <w:t xml:space="preserve">. Dainotti, A. Hasegawa, and S. Harrison (eds.) </w:t>
      </w:r>
      <w:r w:rsidR="00793572" w:rsidRPr="00735A35">
        <w:rPr>
          <w:i/>
          <w:iCs/>
          <w:sz w:val="24"/>
          <w:szCs w:val="24"/>
          <w:lang w:val="en-GB"/>
        </w:rPr>
        <w:t xml:space="preserve">Style in Latin poetry. </w:t>
      </w:r>
      <w:r w:rsidR="00793572" w:rsidRPr="00735A35">
        <w:rPr>
          <w:sz w:val="24"/>
          <w:szCs w:val="24"/>
          <w:lang w:val="en-GB"/>
        </w:rPr>
        <w:t xml:space="preserve">Berlin, Boston: De Gruyter, pp. </w:t>
      </w:r>
      <w:r w:rsidR="00793572">
        <w:rPr>
          <w:sz w:val="24"/>
          <w:szCs w:val="24"/>
          <w:lang w:val="en-GB"/>
        </w:rPr>
        <w:t>263-81</w:t>
      </w:r>
      <w:r w:rsidR="00793572" w:rsidRPr="00735A35">
        <w:rPr>
          <w:sz w:val="24"/>
          <w:szCs w:val="24"/>
          <w:lang w:val="en-GB"/>
        </w:rPr>
        <w:t xml:space="preserve">. </w:t>
      </w:r>
    </w:p>
    <w:p w14:paraId="1B346D25" w14:textId="77777777" w:rsidR="00107978" w:rsidRPr="00735A35" w:rsidRDefault="00107978" w:rsidP="00735A35">
      <w:pPr>
        <w:spacing w:line="480" w:lineRule="auto"/>
        <w:rPr>
          <w:sz w:val="24"/>
          <w:szCs w:val="24"/>
          <w:lang w:val="en-GB"/>
        </w:rPr>
      </w:pPr>
    </w:p>
    <w:p w14:paraId="6523B024" w14:textId="1255BC73" w:rsidR="0016753F" w:rsidRPr="0016753F" w:rsidRDefault="0016753F" w:rsidP="0016753F">
      <w:pPr>
        <w:spacing w:line="480" w:lineRule="auto"/>
        <w:jc w:val="left"/>
        <w:rPr>
          <w:sz w:val="24"/>
          <w:szCs w:val="24"/>
          <w:lang w:val="en-GB"/>
        </w:rPr>
      </w:pPr>
      <w:r w:rsidRPr="0016753F">
        <w:rPr>
          <w:sz w:val="24"/>
          <w:szCs w:val="24"/>
          <w:lang w:val="en-GB"/>
        </w:rPr>
        <w:t xml:space="preserve">Green, D. (2003) ‘Literature </w:t>
      </w:r>
      <w:r>
        <w:rPr>
          <w:sz w:val="24"/>
          <w:szCs w:val="24"/>
          <w:lang w:val="en-GB"/>
        </w:rPr>
        <w:t>i</w:t>
      </w:r>
      <w:r w:rsidRPr="0016753F">
        <w:rPr>
          <w:sz w:val="24"/>
          <w:szCs w:val="24"/>
          <w:lang w:val="en-GB"/>
        </w:rPr>
        <w:t xml:space="preserve">tself: </w:t>
      </w:r>
      <w:r>
        <w:rPr>
          <w:sz w:val="24"/>
          <w:szCs w:val="24"/>
          <w:lang w:val="en-GB"/>
        </w:rPr>
        <w:t>t</w:t>
      </w:r>
      <w:r w:rsidRPr="0016753F">
        <w:rPr>
          <w:sz w:val="24"/>
          <w:szCs w:val="24"/>
          <w:lang w:val="en-GB"/>
        </w:rPr>
        <w:t xml:space="preserve">he New Criticism and </w:t>
      </w:r>
      <w:r>
        <w:rPr>
          <w:sz w:val="24"/>
          <w:szCs w:val="24"/>
          <w:lang w:val="en-GB"/>
        </w:rPr>
        <w:t>a</w:t>
      </w:r>
      <w:r w:rsidRPr="0016753F">
        <w:rPr>
          <w:sz w:val="24"/>
          <w:szCs w:val="24"/>
          <w:lang w:val="en-GB"/>
        </w:rPr>
        <w:t xml:space="preserve">esthetic </w:t>
      </w:r>
      <w:r>
        <w:rPr>
          <w:sz w:val="24"/>
          <w:szCs w:val="24"/>
          <w:lang w:val="en-GB"/>
        </w:rPr>
        <w:t>e</w:t>
      </w:r>
      <w:r w:rsidRPr="0016753F">
        <w:rPr>
          <w:sz w:val="24"/>
          <w:szCs w:val="24"/>
          <w:lang w:val="en-GB"/>
        </w:rPr>
        <w:t xml:space="preserve">xperience’, </w:t>
      </w:r>
      <w:r w:rsidRPr="0016753F">
        <w:rPr>
          <w:i/>
          <w:iCs/>
          <w:sz w:val="24"/>
          <w:szCs w:val="24"/>
          <w:lang w:val="en-GB"/>
        </w:rPr>
        <w:t>Philosophy and literature</w:t>
      </w:r>
      <w:r w:rsidRPr="0016753F">
        <w:rPr>
          <w:sz w:val="24"/>
          <w:szCs w:val="24"/>
          <w:lang w:val="en-GB"/>
        </w:rPr>
        <w:t xml:space="preserve">, 27(1), pp. 62–79. Available at: </w:t>
      </w:r>
      <w:hyperlink r:id="rId10" w:history="1">
        <w:r w:rsidRPr="0016753F">
          <w:rPr>
            <w:rStyle w:val="Hyperlink"/>
            <w:sz w:val="24"/>
            <w:szCs w:val="24"/>
            <w:lang w:val="en-GB"/>
          </w:rPr>
          <w:t>https://doi.org/10.1353/phl.2003.0022</w:t>
        </w:r>
      </w:hyperlink>
      <w:r>
        <w:rPr>
          <w:sz w:val="24"/>
          <w:szCs w:val="24"/>
          <w:lang w:val="en-GB"/>
        </w:rPr>
        <w:t xml:space="preserve"> (Accessed: 20 December 2025)</w:t>
      </w:r>
      <w:r w:rsidRPr="0016753F">
        <w:rPr>
          <w:sz w:val="24"/>
          <w:szCs w:val="24"/>
          <w:lang w:val="en-GB"/>
        </w:rPr>
        <w:t>.</w:t>
      </w:r>
    </w:p>
    <w:p w14:paraId="6F9F3675" w14:textId="77777777" w:rsidR="00735A35" w:rsidRPr="00735A35" w:rsidRDefault="00735A35" w:rsidP="00735A35">
      <w:pPr>
        <w:spacing w:line="480" w:lineRule="auto"/>
        <w:jc w:val="left"/>
        <w:rPr>
          <w:sz w:val="24"/>
          <w:szCs w:val="24"/>
          <w:lang w:val="en-GB"/>
        </w:rPr>
      </w:pPr>
    </w:p>
    <w:p w14:paraId="0B526E79" w14:textId="77777777" w:rsidR="0016753F" w:rsidRDefault="0016753F" w:rsidP="0016753F">
      <w:pPr>
        <w:spacing w:line="480" w:lineRule="auto"/>
        <w:jc w:val="left"/>
        <w:rPr>
          <w:sz w:val="24"/>
          <w:szCs w:val="24"/>
          <w:lang w:val="en-GB"/>
        </w:rPr>
      </w:pPr>
      <w:r w:rsidRPr="00735A35">
        <w:rPr>
          <w:sz w:val="24"/>
          <w:szCs w:val="24"/>
          <w:lang w:val="en-GB"/>
        </w:rPr>
        <w:t xml:space="preserve">Hasegawa, A. P. (2024) ‘Iconic word order in Horace’s Odes’, in P. Dainotti, A. Hasegawa, and S. Harrison (eds.) </w:t>
      </w:r>
      <w:r w:rsidRPr="00735A35">
        <w:rPr>
          <w:i/>
          <w:iCs/>
          <w:sz w:val="24"/>
          <w:szCs w:val="24"/>
          <w:lang w:val="en-GB"/>
        </w:rPr>
        <w:t xml:space="preserve">Style in Latin poetry. </w:t>
      </w:r>
      <w:r w:rsidRPr="00735A35">
        <w:rPr>
          <w:sz w:val="24"/>
          <w:szCs w:val="24"/>
          <w:lang w:val="en-GB"/>
        </w:rPr>
        <w:t xml:space="preserve">Berlin, Boston: De Gruyter, pp. 149-68. </w:t>
      </w:r>
    </w:p>
    <w:p w14:paraId="595BD8D1" w14:textId="77777777" w:rsidR="0016753F" w:rsidRPr="00735A35" w:rsidRDefault="0016753F" w:rsidP="0016753F">
      <w:pPr>
        <w:spacing w:line="480" w:lineRule="auto"/>
        <w:jc w:val="left"/>
        <w:rPr>
          <w:sz w:val="24"/>
          <w:szCs w:val="24"/>
          <w:lang w:val="en-GB"/>
        </w:rPr>
      </w:pPr>
    </w:p>
    <w:p w14:paraId="3FE4F80F" w14:textId="60672264" w:rsidR="00107D81" w:rsidRPr="00735A35" w:rsidRDefault="00B35244" w:rsidP="00735A35">
      <w:pPr>
        <w:spacing w:line="480" w:lineRule="auto"/>
        <w:jc w:val="left"/>
        <w:rPr>
          <w:sz w:val="24"/>
          <w:szCs w:val="24"/>
          <w:lang w:val="en-GB"/>
        </w:rPr>
      </w:pPr>
      <w:r w:rsidRPr="00735A35">
        <w:rPr>
          <w:sz w:val="24"/>
          <w:szCs w:val="24"/>
          <w:lang w:val="en-GB"/>
        </w:rPr>
        <w:t xml:space="preserve">Hasegawa, A. P. </w:t>
      </w:r>
      <w:r w:rsidR="0053391C" w:rsidRPr="00735A35">
        <w:rPr>
          <w:sz w:val="24"/>
          <w:szCs w:val="24"/>
          <w:lang w:val="en-GB"/>
        </w:rPr>
        <w:t xml:space="preserve">and Dainotti, P. </w:t>
      </w:r>
      <w:r w:rsidR="00107D81" w:rsidRPr="00735A35">
        <w:rPr>
          <w:sz w:val="24"/>
          <w:szCs w:val="24"/>
          <w:lang w:val="en-GB"/>
        </w:rPr>
        <w:t>(2024)</w:t>
      </w:r>
      <w:r w:rsidR="0053391C" w:rsidRPr="00735A35">
        <w:rPr>
          <w:sz w:val="24"/>
          <w:szCs w:val="24"/>
          <w:lang w:val="en-GB"/>
        </w:rPr>
        <w:t xml:space="preserve"> ‘The style of Latin poetry’, i</w:t>
      </w:r>
      <w:r w:rsidR="00107D81" w:rsidRPr="00735A35">
        <w:rPr>
          <w:sz w:val="24"/>
          <w:szCs w:val="24"/>
          <w:lang w:val="en-GB"/>
        </w:rPr>
        <w:t xml:space="preserve">n P. Dainotti, A. Hasegawa, and S. Harrison (eds.) </w:t>
      </w:r>
      <w:r w:rsidR="00107D81" w:rsidRPr="00735A35">
        <w:rPr>
          <w:i/>
          <w:iCs/>
          <w:sz w:val="24"/>
          <w:szCs w:val="24"/>
          <w:lang w:val="en-GB"/>
        </w:rPr>
        <w:t xml:space="preserve">Style in Latin poetry. </w:t>
      </w:r>
      <w:r w:rsidR="00107D81" w:rsidRPr="00735A35">
        <w:rPr>
          <w:sz w:val="24"/>
          <w:szCs w:val="24"/>
          <w:lang w:val="en-GB"/>
        </w:rPr>
        <w:t>Berlin, Boston: De Gruyter</w:t>
      </w:r>
      <w:r w:rsidRPr="00735A35">
        <w:rPr>
          <w:sz w:val="24"/>
          <w:szCs w:val="24"/>
          <w:lang w:val="en-GB"/>
        </w:rPr>
        <w:t>, pp.</w:t>
      </w:r>
      <w:r w:rsidR="00107D81" w:rsidRPr="00735A35">
        <w:rPr>
          <w:sz w:val="24"/>
          <w:szCs w:val="24"/>
          <w:lang w:val="en-GB"/>
        </w:rPr>
        <w:t xml:space="preserve"> </w:t>
      </w:r>
      <w:r w:rsidR="0053391C" w:rsidRPr="00735A35">
        <w:rPr>
          <w:sz w:val="24"/>
          <w:szCs w:val="24"/>
          <w:lang w:val="en-GB"/>
        </w:rPr>
        <w:t>1-18.</w:t>
      </w:r>
    </w:p>
    <w:p w14:paraId="1CAB65FB" w14:textId="77777777" w:rsidR="0053391C" w:rsidRPr="00735A35" w:rsidRDefault="0053391C" w:rsidP="00735A35">
      <w:pPr>
        <w:spacing w:line="480" w:lineRule="auto"/>
        <w:jc w:val="left"/>
        <w:rPr>
          <w:sz w:val="24"/>
          <w:szCs w:val="24"/>
          <w:lang w:val="en-GB"/>
        </w:rPr>
      </w:pPr>
    </w:p>
    <w:p w14:paraId="20B31093" w14:textId="5A417D7D" w:rsidR="00B35244" w:rsidRPr="00735A35" w:rsidRDefault="0001294D" w:rsidP="00735A35">
      <w:pPr>
        <w:spacing w:line="480" w:lineRule="auto"/>
        <w:jc w:val="left"/>
        <w:rPr>
          <w:sz w:val="24"/>
          <w:szCs w:val="24"/>
          <w:lang w:val="en-GB"/>
        </w:rPr>
      </w:pPr>
      <w:r w:rsidRPr="00735A35">
        <w:rPr>
          <w:sz w:val="24"/>
          <w:szCs w:val="24"/>
          <w:lang w:val="en-GB"/>
        </w:rPr>
        <w:t xml:space="preserve">Harrison, S. </w:t>
      </w:r>
      <w:r w:rsidR="0053391C" w:rsidRPr="00735A35">
        <w:rPr>
          <w:sz w:val="24"/>
          <w:szCs w:val="24"/>
          <w:lang w:val="en-GB"/>
        </w:rPr>
        <w:t xml:space="preserve">(2024) </w:t>
      </w:r>
      <w:r w:rsidRPr="00735A35">
        <w:rPr>
          <w:sz w:val="24"/>
          <w:szCs w:val="24"/>
          <w:lang w:val="en-GB"/>
        </w:rPr>
        <w:t>‘Vertical juxtaposition in Horace Odes 1’, i</w:t>
      </w:r>
      <w:r w:rsidR="0053391C" w:rsidRPr="00735A35">
        <w:rPr>
          <w:sz w:val="24"/>
          <w:szCs w:val="24"/>
          <w:lang w:val="en-GB"/>
        </w:rPr>
        <w:t xml:space="preserve">n P. Dainotti, A. Hasegawa, and S. Harrison (eds.) </w:t>
      </w:r>
      <w:r w:rsidR="0053391C" w:rsidRPr="00735A35">
        <w:rPr>
          <w:i/>
          <w:iCs/>
          <w:sz w:val="24"/>
          <w:szCs w:val="24"/>
          <w:lang w:val="en-GB"/>
        </w:rPr>
        <w:t xml:space="preserve">Style in Latin poetry. </w:t>
      </w:r>
      <w:r w:rsidR="0053391C" w:rsidRPr="00735A35">
        <w:rPr>
          <w:sz w:val="24"/>
          <w:szCs w:val="24"/>
          <w:lang w:val="en-GB"/>
        </w:rPr>
        <w:t xml:space="preserve">Berlin, Boston: De Gruyter, pp. </w:t>
      </w:r>
      <w:r w:rsidR="00CF4778" w:rsidRPr="00735A35">
        <w:rPr>
          <w:sz w:val="24"/>
          <w:szCs w:val="24"/>
          <w:lang w:val="en-GB"/>
        </w:rPr>
        <w:t>169-98.</w:t>
      </w:r>
    </w:p>
    <w:p w14:paraId="71E8DC34" w14:textId="77777777" w:rsidR="00B35244" w:rsidRPr="00735A35" w:rsidRDefault="00B35244" w:rsidP="00735A35">
      <w:pPr>
        <w:spacing w:line="480" w:lineRule="auto"/>
        <w:jc w:val="left"/>
        <w:rPr>
          <w:sz w:val="24"/>
          <w:szCs w:val="24"/>
          <w:lang w:val="en-GB"/>
        </w:rPr>
      </w:pPr>
    </w:p>
    <w:p w14:paraId="3D725ECC" w14:textId="4E0D3E66" w:rsidR="00E91855" w:rsidRPr="00735A35" w:rsidRDefault="00E91855" w:rsidP="00735A35">
      <w:pPr>
        <w:spacing w:line="480" w:lineRule="auto"/>
        <w:jc w:val="left"/>
        <w:rPr>
          <w:sz w:val="24"/>
          <w:szCs w:val="24"/>
          <w:lang w:val="en-GB"/>
        </w:rPr>
      </w:pPr>
      <w:r w:rsidRPr="00735A35">
        <w:rPr>
          <w:sz w:val="24"/>
          <w:szCs w:val="24"/>
          <w:lang w:val="en-GB"/>
        </w:rPr>
        <w:t xml:space="preserve">Helzl, M. (1997) ‘Gareth D. Williams “The curse of exile: a study of Ovid’s Ibis” (Book Review)’, </w:t>
      </w:r>
      <w:r w:rsidRPr="00735A35">
        <w:rPr>
          <w:i/>
          <w:iCs/>
          <w:sz w:val="24"/>
          <w:szCs w:val="24"/>
          <w:lang w:val="en-GB"/>
        </w:rPr>
        <w:t>Bryn Mawr Classical Review</w:t>
      </w:r>
      <w:r w:rsidRPr="00735A35">
        <w:rPr>
          <w:sz w:val="24"/>
          <w:szCs w:val="24"/>
          <w:lang w:val="en-GB"/>
        </w:rPr>
        <w:t>, 1997.07.05</w:t>
      </w:r>
      <w:r w:rsidRPr="00735A35">
        <w:rPr>
          <w:i/>
          <w:iCs/>
          <w:sz w:val="24"/>
          <w:szCs w:val="24"/>
          <w:lang w:val="en-GB"/>
        </w:rPr>
        <w:t xml:space="preserve">. </w:t>
      </w:r>
      <w:r w:rsidRPr="00735A35">
        <w:rPr>
          <w:sz w:val="24"/>
          <w:szCs w:val="24"/>
          <w:lang w:val="en-GB"/>
        </w:rPr>
        <w:t xml:space="preserve">Available at: </w:t>
      </w:r>
      <w:hyperlink r:id="rId11" w:history="1">
        <w:r w:rsidRPr="00735A35">
          <w:rPr>
            <w:rStyle w:val="Hyperlink"/>
            <w:sz w:val="24"/>
            <w:szCs w:val="24"/>
            <w:lang w:val="en-GB"/>
          </w:rPr>
          <w:t>https://bmcr.brynmawr.edu/1997/1997.07.05/</w:t>
        </w:r>
      </w:hyperlink>
      <w:r w:rsidRPr="00735A35">
        <w:rPr>
          <w:sz w:val="24"/>
          <w:szCs w:val="24"/>
          <w:lang w:val="en-GB"/>
        </w:rPr>
        <w:t xml:space="preserve"> (Accessed: 30 December 2025).</w:t>
      </w:r>
    </w:p>
    <w:p w14:paraId="2AD346B1" w14:textId="77777777" w:rsidR="00744884" w:rsidRPr="00735A35" w:rsidRDefault="00744884" w:rsidP="00735A35">
      <w:pPr>
        <w:spacing w:line="480" w:lineRule="auto"/>
        <w:jc w:val="left"/>
        <w:rPr>
          <w:sz w:val="24"/>
          <w:szCs w:val="24"/>
          <w:lang w:val="en-GB"/>
        </w:rPr>
      </w:pPr>
    </w:p>
    <w:p w14:paraId="23C5DD0C" w14:textId="57D37EF6" w:rsidR="00744884" w:rsidRPr="00735A35" w:rsidRDefault="00744884" w:rsidP="00735A35">
      <w:pPr>
        <w:spacing w:line="480" w:lineRule="auto"/>
        <w:jc w:val="left"/>
        <w:rPr>
          <w:sz w:val="24"/>
          <w:szCs w:val="24"/>
          <w:lang w:val="en-GB"/>
        </w:rPr>
      </w:pPr>
      <w:r w:rsidRPr="00735A35">
        <w:rPr>
          <w:sz w:val="24"/>
          <w:szCs w:val="24"/>
          <w:lang w:val="en-GB"/>
        </w:rPr>
        <w:t xml:space="preserve">Helzle, M. (2009) ‘Ibis’, in P. E. Knox (ed.) </w:t>
      </w:r>
      <w:r w:rsidRPr="00735A35">
        <w:rPr>
          <w:i/>
          <w:iCs/>
          <w:sz w:val="24"/>
          <w:szCs w:val="24"/>
          <w:lang w:val="en-GB"/>
        </w:rPr>
        <w:t xml:space="preserve">A companion to Ovid. </w:t>
      </w:r>
      <w:r w:rsidRPr="00735A35">
        <w:rPr>
          <w:sz w:val="24"/>
          <w:szCs w:val="24"/>
          <w:lang w:val="en-GB"/>
        </w:rPr>
        <w:t>(1st edn.) Malden, MA: Wiley-Blackwell, pp.184-93.</w:t>
      </w:r>
    </w:p>
    <w:p w14:paraId="426E5AF0" w14:textId="77777777" w:rsidR="00E05496" w:rsidRPr="00735A35" w:rsidRDefault="00E05496" w:rsidP="00735A35">
      <w:pPr>
        <w:spacing w:line="480" w:lineRule="auto"/>
        <w:jc w:val="left"/>
        <w:rPr>
          <w:sz w:val="24"/>
          <w:szCs w:val="24"/>
          <w:lang w:val="en-GB"/>
        </w:rPr>
      </w:pPr>
    </w:p>
    <w:p w14:paraId="035F990E" w14:textId="2D324E07" w:rsidR="0016753F" w:rsidRPr="0016753F" w:rsidRDefault="00E05496" w:rsidP="0016753F">
      <w:pPr>
        <w:spacing w:line="480" w:lineRule="auto"/>
        <w:jc w:val="left"/>
        <w:rPr>
          <w:sz w:val="24"/>
          <w:szCs w:val="24"/>
          <w:lang w:val="en-GB"/>
        </w:rPr>
      </w:pPr>
      <w:r w:rsidRPr="0016753F">
        <w:rPr>
          <w:sz w:val="24"/>
          <w:szCs w:val="24"/>
          <w:lang w:val="en-GB"/>
        </w:rPr>
        <w:lastRenderedPageBreak/>
        <w:t>Hickman, M. B. (2012) ‘Introduction</w:t>
      </w:r>
      <w:r w:rsidR="0016753F" w:rsidRPr="0016753F">
        <w:rPr>
          <w:sz w:val="24"/>
          <w:szCs w:val="24"/>
          <w:lang w:val="en-GB"/>
        </w:rPr>
        <w:t>: rereading the New Criticism</w:t>
      </w:r>
      <w:r w:rsidRPr="0016753F">
        <w:rPr>
          <w:sz w:val="24"/>
          <w:szCs w:val="24"/>
          <w:lang w:val="en-GB"/>
        </w:rPr>
        <w:t>’, in J. D. McIntyre</w:t>
      </w:r>
      <w:r w:rsidR="0016753F" w:rsidRPr="0016753F">
        <w:rPr>
          <w:sz w:val="24"/>
          <w:szCs w:val="24"/>
          <w:lang w:val="en-GB"/>
        </w:rPr>
        <w:t xml:space="preserve"> and</w:t>
      </w:r>
      <w:r w:rsidRPr="0016753F">
        <w:rPr>
          <w:sz w:val="24"/>
          <w:szCs w:val="24"/>
          <w:lang w:val="en-GB"/>
        </w:rPr>
        <w:t xml:space="preserve"> </w:t>
      </w:r>
      <w:r w:rsidR="0016753F" w:rsidRPr="0016753F">
        <w:rPr>
          <w:sz w:val="24"/>
          <w:szCs w:val="24"/>
          <w:lang w:val="en-GB"/>
        </w:rPr>
        <w:t xml:space="preserve">M. B. Hickman </w:t>
      </w:r>
      <w:r w:rsidRPr="0016753F">
        <w:rPr>
          <w:sz w:val="24"/>
          <w:szCs w:val="24"/>
          <w:lang w:val="en-GB"/>
        </w:rPr>
        <w:t xml:space="preserve">(eds.) </w:t>
      </w:r>
      <w:r w:rsidRPr="0016753F">
        <w:rPr>
          <w:i/>
          <w:iCs/>
          <w:sz w:val="24"/>
          <w:szCs w:val="24"/>
          <w:lang w:val="en-GB"/>
        </w:rPr>
        <w:t xml:space="preserve">Rereading the New Criticism. </w:t>
      </w:r>
      <w:r w:rsidR="0016753F" w:rsidRPr="0016753F">
        <w:rPr>
          <w:sz w:val="24"/>
          <w:szCs w:val="24"/>
          <w:lang w:val="en-GB"/>
        </w:rPr>
        <w:t>Columbus: Ohio State University Press, pp. 1-24.</w:t>
      </w:r>
    </w:p>
    <w:p w14:paraId="5378FCEE" w14:textId="77777777" w:rsidR="00B27846" w:rsidRPr="00735A35" w:rsidRDefault="00B27846" w:rsidP="00735A35">
      <w:pPr>
        <w:spacing w:line="480" w:lineRule="auto"/>
        <w:jc w:val="left"/>
        <w:rPr>
          <w:sz w:val="24"/>
          <w:szCs w:val="24"/>
          <w:lang w:val="en-GB"/>
        </w:rPr>
      </w:pPr>
    </w:p>
    <w:p w14:paraId="4E3288BE" w14:textId="77777777" w:rsidR="006F7DCF" w:rsidRPr="00735A35" w:rsidRDefault="00B27846" w:rsidP="00735A35">
      <w:pPr>
        <w:spacing w:line="480" w:lineRule="auto"/>
        <w:jc w:val="left"/>
        <w:rPr>
          <w:sz w:val="24"/>
          <w:szCs w:val="24"/>
          <w:lang w:val="en-GB"/>
        </w:rPr>
      </w:pPr>
      <w:r w:rsidRPr="00735A35">
        <w:rPr>
          <w:sz w:val="24"/>
          <w:szCs w:val="24"/>
          <w:lang w:val="en-GB"/>
        </w:rPr>
        <w:t xml:space="preserve">Krasne, D. (2013) ‘Starving the slender muse: identity, mythography, and intertextuality in Ovid’s Ibis’, in </w:t>
      </w:r>
      <w:r w:rsidR="00ED04D0" w:rsidRPr="00735A35">
        <w:rPr>
          <w:sz w:val="24"/>
          <w:szCs w:val="24"/>
          <w:lang w:val="en-GB"/>
        </w:rPr>
        <w:t xml:space="preserve">J. F. Nagy (ed.) </w:t>
      </w:r>
      <w:r w:rsidR="00ED04D0" w:rsidRPr="00735A35">
        <w:rPr>
          <w:i/>
          <w:iCs/>
          <w:sz w:val="24"/>
          <w:szCs w:val="24"/>
          <w:lang w:val="en-GB"/>
        </w:rPr>
        <w:t>Writing down the myths.</w:t>
      </w:r>
      <w:r w:rsidR="00E2219B" w:rsidRPr="00735A35">
        <w:rPr>
          <w:sz w:val="24"/>
          <w:szCs w:val="24"/>
          <w:lang w:val="en-GB"/>
        </w:rPr>
        <w:t xml:space="preserve"> Turnhout: Brepols,</w:t>
      </w:r>
      <w:r w:rsidR="00ED04D0" w:rsidRPr="00735A35">
        <w:rPr>
          <w:i/>
          <w:iCs/>
          <w:sz w:val="24"/>
          <w:szCs w:val="24"/>
          <w:lang w:val="en-GB"/>
        </w:rPr>
        <w:t xml:space="preserve"> </w:t>
      </w:r>
      <w:r w:rsidR="00ED04D0" w:rsidRPr="00735A35">
        <w:rPr>
          <w:sz w:val="24"/>
          <w:szCs w:val="24"/>
          <w:lang w:val="en-GB"/>
        </w:rPr>
        <w:t>pp. 67-85.</w:t>
      </w:r>
      <w:r w:rsidR="006F7DCF" w:rsidRPr="00735A35">
        <w:rPr>
          <w:sz w:val="24"/>
          <w:szCs w:val="24"/>
          <w:lang w:val="en-GB"/>
        </w:rPr>
        <w:t xml:space="preserve"> </w:t>
      </w:r>
    </w:p>
    <w:p w14:paraId="08CE3B52" w14:textId="77777777" w:rsidR="00604141" w:rsidRPr="00735A35" w:rsidRDefault="00604141" w:rsidP="00735A35">
      <w:pPr>
        <w:spacing w:line="480" w:lineRule="auto"/>
        <w:jc w:val="left"/>
        <w:rPr>
          <w:sz w:val="24"/>
          <w:szCs w:val="24"/>
          <w:lang w:val="en-GB"/>
        </w:rPr>
      </w:pPr>
    </w:p>
    <w:p w14:paraId="685D3146" w14:textId="3D68C880" w:rsidR="00604141" w:rsidRPr="00604141" w:rsidRDefault="00604141" w:rsidP="00735A35">
      <w:pPr>
        <w:spacing w:line="480" w:lineRule="auto"/>
        <w:jc w:val="left"/>
        <w:rPr>
          <w:sz w:val="24"/>
          <w:szCs w:val="24"/>
          <w:lang w:val="en-GB"/>
        </w:rPr>
      </w:pPr>
      <w:r w:rsidRPr="00604141">
        <w:rPr>
          <w:sz w:val="24"/>
          <w:szCs w:val="24"/>
          <w:lang w:val="en-GB"/>
        </w:rPr>
        <w:t xml:space="preserve">Levine, N. (2020) ‘Understanding poetry otherwise: New criticism and historical poetics’, </w:t>
      </w:r>
      <w:r w:rsidRPr="00604141">
        <w:rPr>
          <w:i/>
          <w:iCs/>
          <w:sz w:val="24"/>
          <w:szCs w:val="24"/>
          <w:lang w:val="en-GB"/>
        </w:rPr>
        <w:t>Literature compass</w:t>
      </w:r>
      <w:r w:rsidRPr="00604141">
        <w:rPr>
          <w:sz w:val="24"/>
          <w:szCs w:val="24"/>
          <w:lang w:val="en-GB"/>
        </w:rPr>
        <w:t xml:space="preserve">, 17(7). Available at: </w:t>
      </w:r>
      <w:hyperlink r:id="rId12" w:history="1">
        <w:r w:rsidRPr="00604141">
          <w:rPr>
            <w:rStyle w:val="Hyperlink"/>
            <w:sz w:val="24"/>
            <w:szCs w:val="24"/>
            <w:lang w:val="en-GB"/>
          </w:rPr>
          <w:t>https://doi.org/10.1111/lic3.12575</w:t>
        </w:r>
      </w:hyperlink>
      <w:r w:rsidRPr="00735A35">
        <w:rPr>
          <w:sz w:val="24"/>
          <w:szCs w:val="24"/>
          <w:lang w:val="en-GB"/>
        </w:rPr>
        <w:t xml:space="preserve"> (Accessed: 1 January 2026).</w:t>
      </w:r>
    </w:p>
    <w:p w14:paraId="55F6EC98" w14:textId="77777777" w:rsidR="00604141" w:rsidRPr="00735A35" w:rsidRDefault="00604141" w:rsidP="00735A35">
      <w:pPr>
        <w:spacing w:line="480" w:lineRule="auto"/>
        <w:jc w:val="left"/>
        <w:rPr>
          <w:sz w:val="24"/>
          <w:szCs w:val="24"/>
          <w:lang w:val="en-GB"/>
        </w:rPr>
      </w:pPr>
    </w:p>
    <w:p w14:paraId="63A6512F" w14:textId="66D18FB4" w:rsidR="00160610" w:rsidRDefault="00160610" w:rsidP="00735A35">
      <w:pPr>
        <w:spacing w:line="480" w:lineRule="auto"/>
        <w:jc w:val="left"/>
        <w:rPr>
          <w:sz w:val="24"/>
          <w:szCs w:val="24"/>
          <w:lang w:val="en-GB"/>
        </w:rPr>
      </w:pPr>
      <w:r w:rsidRPr="00735A35">
        <w:rPr>
          <w:sz w:val="24"/>
          <w:szCs w:val="24"/>
          <w:lang w:val="en-GB"/>
        </w:rPr>
        <w:t>P</w:t>
      </w:r>
      <w:r w:rsidR="00451DCB" w:rsidRPr="00735A35">
        <w:rPr>
          <w:sz w:val="24"/>
          <w:szCs w:val="24"/>
          <w:lang w:val="en-GB"/>
        </w:rPr>
        <w:t>ilshchikov, I.</w:t>
      </w:r>
      <w:r w:rsidRPr="00735A35">
        <w:rPr>
          <w:sz w:val="24"/>
          <w:szCs w:val="24"/>
          <w:lang w:val="en-GB"/>
        </w:rPr>
        <w:t xml:space="preserve"> (2022) ‘</w:t>
      </w:r>
      <w:r w:rsidR="004D23B5" w:rsidRPr="00735A35">
        <w:rPr>
          <w:sz w:val="24"/>
          <w:szCs w:val="24"/>
          <w:lang w:val="en-GB"/>
        </w:rPr>
        <w:t>The four faces of Russian Formalism</w:t>
      </w:r>
      <w:r w:rsidRPr="00735A35">
        <w:rPr>
          <w:sz w:val="24"/>
          <w:szCs w:val="24"/>
          <w:lang w:val="en-GB"/>
        </w:rPr>
        <w:t xml:space="preserve">’, in M. Mrugalski, S. Schahadat and I. Wutsdorff (eds.) </w:t>
      </w:r>
      <w:r w:rsidRPr="00735A35">
        <w:rPr>
          <w:i/>
          <w:iCs/>
          <w:sz w:val="24"/>
          <w:szCs w:val="24"/>
          <w:lang w:val="en-GB"/>
        </w:rPr>
        <w:t>Central and Eastern European literary theory and the West</w:t>
      </w:r>
      <w:r w:rsidRPr="00735A35">
        <w:rPr>
          <w:sz w:val="24"/>
          <w:szCs w:val="24"/>
          <w:lang w:val="en-GB"/>
        </w:rPr>
        <w:t>. Berlin: De Gruyter</w:t>
      </w:r>
      <w:r w:rsidR="00451DCB" w:rsidRPr="00735A35">
        <w:rPr>
          <w:sz w:val="24"/>
          <w:szCs w:val="24"/>
          <w:lang w:val="en-GB"/>
        </w:rPr>
        <w:t>, pp.212-</w:t>
      </w:r>
      <w:r w:rsidR="00477FD1" w:rsidRPr="00735A35">
        <w:rPr>
          <w:sz w:val="24"/>
          <w:szCs w:val="24"/>
          <w:lang w:val="en-GB"/>
        </w:rPr>
        <w:t>57.</w:t>
      </w:r>
      <w:r w:rsidRPr="00735A35">
        <w:rPr>
          <w:sz w:val="24"/>
          <w:szCs w:val="24"/>
          <w:lang w:val="en-GB"/>
        </w:rPr>
        <w:t xml:space="preserve"> Available at: https://research-ebsco-com.ezproxy.uwtsd.ac.uk/linkprocessor/plink?id=b468ef5b-2074-356a-a659-88649bfc5b35 (Accessed: 2 January 2026).</w:t>
      </w:r>
    </w:p>
    <w:p w14:paraId="78E82B91" w14:textId="77777777" w:rsidR="00C6676A" w:rsidRDefault="00C6676A" w:rsidP="00735A35">
      <w:pPr>
        <w:spacing w:line="480" w:lineRule="auto"/>
        <w:jc w:val="left"/>
        <w:rPr>
          <w:sz w:val="24"/>
          <w:szCs w:val="24"/>
          <w:lang w:val="en-GB"/>
        </w:rPr>
      </w:pPr>
    </w:p>
    <w:p w14:paraId="444864C5" w14:textId="1664A7A5" w:rsidR="00793572" w:rsidRPr="00793572" w:rsidRDefault="00793572" w:rsidP="00793572">
      <w:pPr>
        <w:spacing w:line="480" w:lineRule="auto"/>
        <w:jc w:val="left"/>
        <w:rPr>
          <w:sz w:val="24"/>
          <w:szCs w:val="24"/>
          <w:lang w:val="en-GB"/>
        </w:rPr>
      </w:pPr>
      <w:r w:rsidRPr="00793572">
        <w:rPr>
          <w:sz w:val="24"/>
          <w:szCs w:val="24"/>
          <w:lang w:val="en-GB"/>
        </w:rPr>
        <w:t>Ransom</w:t>
      </w:r>
      <w:r w:rsidRPr="00793572">
        <w:rPr>
          <w:sz w:val="24"/>
          <w:szCs w:val="24"/>
          <w:lang w:val="en-GB"/>
        </w:rPr>
        <w:t>, J.C. (1937) ‘</w:t>
      </w:r>
      <w:r w:rsidRPr="00793572">
        <w:rPr>
          <w:sz w:val="24"/>
          <w:szCs w:val="24"/>
          <w:lang w:val="en-GB"/>
        </w:rPr>
        <w:t>Criticism</w:t>
      </w:r>
      <w:r w:rsidRPr="00793572">
        <w:rPr>
          <w:sz w:val="24"/>
          <w:szCs w:val="24"/>
          <w:lang w:val="en-GB"/>
        </w:rPr>
        <w:t>, I</w:t>
      </w:r>
      <w:r w:rsidRPr="00793572">
        <w:rPr>
          <w:sz w:val="24"/>
          <w:szCs w:val="24"/>
          <w:lang w:val="en-GB"/>
        </w:rPr>
        <w:t>nc</w:t>
      </w:r>
      <w:r w:rsidRPr="00793572">
        <w:rPr>
          <w:sz w:val="24"/>
          <w:szCs w:val="24"/>
          <w:lang w:val="en-GB"/>
        </w:rPr>
        <w:t xml:space="preserve">’, </w:t>
      </w:r>
      <w:r w:rsidRPr="00793572">
        <w:rPr>
          <w:i/>
          <w:iCs/>
          <w:sz w:val="24"/>
          <w:szCs w:val="24"/>
          <w:lang w:val="en-GB"/>
        </w:rPr>
        <w:t>The Virginia quarterly review</w:t>
      </w:r>
      <w:r w:rsidRPr="00793572">
        <w:rPr>
          <w:sz w:val="24"/>
          <w:szCs w:val="24"/>
          <w:lang w:val="en-GB"/>
        </w:rPr>
        <w:t>, 13(4), pp. 586–602.</w:t>
      </w:r>
    </w:p>
    <w:p w14:paraId="01E541AE" w14:textId="77777777" w:rsidR="00793572" w:rsidRDefault="00793572" w:rsidP="00735A35">
      <w:pPr>
        <w:spacing w:line="480" w:lineRule="auto"/>
        <w:jc w:val="left"/>
        <w:rPr>
          <w:sz w:val="24"/>
          <w:szCs w:val="24"/>
          <w:lang w:val="en-GB"/>
        </w:rPr>
      </w:pPr>
    </w:p>
    <w:p w14:paraId="4BFF6AAD" w14:textId="2E800FA7" w:rsidR="00C6676A" w:rsidRPr="00793572" w:rsidRDefault="00C6676A" w:rsidP="00735A35">
      <w:pPr>
        <w:spacing w:line="480" w:lineRule="auto"/>
        <w:jc w:val="left"/>
        <w:rPr>
          <w:sz w:val="24"/>
          <w:szCs w:val="24"/>
          <w:lang w:val="en-GB"/>
        </w:rPr>
      </w:pPr>
      <w:r w:rsidRPr="00793572">
        <w:rPr>
          <w:sz w:val="24"/>
          <w:szCs w:val="24"/>
          <w:lang w:val="en-GB"/>
        </w:rPr>
        <w:t>Richards</w:t>
      </w:r>
      <w:r w:rsidR="00793572">
        <w:rPr>
          <w:sz w:val="24"/>
          <w:szCs w:val="24"/>
          <w:lang w:val="en-GB"/>
        </w:rPr>
        <w:t xml:space="preserve">, I. A. (1929) </w:t>
      </w:r>
      <w:r w:rsidR="00793572">
        <w:rPr>
          <w:i/>
          <w:iCs/>
          <w:sz w:val="24"/>
          <w:szCs w:val="24"/>
          <w:lang w:val="en-GB"/>
        </w:rPr>
        <w:t xml:space="preserve">Practical criticism. </w:t>
      </w:r>
      <w:r w:rsidR="00793572">
        <w:rPr>
          <w:sz w:val="24"/>
          <w:szCs w:val="24"/>
          <w:lang w:val="en-GB"/>
        </w:rPr>
        <w:t>London: Routledge &amp; Kegan Paul.</w:t>
      </w:r>
    </w:p>
    <w:p w14:paraId="2B251DF6" w14:textId="77777777" w:rsidR="008D1115" w:rsidRDefault="008D1115" w:rsidP="00735A35">
      <w:pPr>
        <w:spacing w:line="480" w:lineRule="auto"/>
        <w:jc w:val="left"/>
        <w:rPr>
          <w:sz w:val="24"/>
          <w:szCs w:val="24"/>
          <w:lang w:val="en-GB"/>
        </w:rPr>
      </w:pPr>
    </w:p>
    <w:p w14:paraId="43D5C5B7" w14:textId="63FD4207" w:rsidR="008D1115" w:rsidRPr="00735A35" w:rsidRDefault="008D1115" w:rsidP="00735A35">
      <w:pPr>
        <w:spacing w:line="480" w:lineRule="auto"/>
        <w:jc w:val="left"/>
        <w:rPr>
          <w:sz w:val="24"/>
          <w:szCs w:val="24"/>
          <w:lang w:val="en-GB"/>
        </w:rPr>
      </w:pPr>
      <w:r w:rsidRPr="008D1115">
        <w:rPr>
          <w:sz w:val="24"/>
          <w:szCs w:val="24"/>
        </w:rPr>
        <w:t xml:space="preserve">Silk, </w:t>
      </w:r>
      <w:r>
        <w:rPr>
          <w:sz w:val="24"/>
          <w:szCs w:val="24"/>
        </w:rPr>
        <w:t>M. S</w:t>
      </w:r>
      <w:r w:rsidRPr="008D1115">
        <w:rPr>
          <w:sz w:val="24"/>
          <w:szCs w:val="24"/>
        </w:rPr>
        <w:t xml:space="preserve">. </w:t>
      </w:r>
      <w:r>
        <w:rPr>
          <w:sz w:val="24"/>
          <w:szCs w:val="24"/>
        </w:rPr>
        <w:t>(2012) ‘l</w:t>
      </w:r>
      <w:r w:rsidRPr="008D1115">
        <w:rPr>
          <w:sz w:val="24"/>
          <w:szCs w:val="24"/>
        </w:rPr>
        <w:t>iterary theory and the classics.</w:t>
      </w:r>
      <w:r>
        <w:rPr>
          <w:sz w:val="24"/>
          <w:szCs w:val="24"/>
        </w:rPr>
        <w:t xml:space="preserve">’ In </w:t>
      </w:r>
      <w:r w:rsidRPr="008D1115">
        <w:rPr>
          <w:i/>
          <w:iCs/>
          <w:sz w:val="24"/>
          <w:szCs w:val="24"/>
        </w:rPr>
        <w:t>The Oxford Classical Dictionary</w:t>
      </w:r>
      <w:r w:rsidRPr="008D1115">
        <w:rPr>
          <w:sz w:val="24"/>
          <w:szCs w:val="24"/>
        </w:rPr>
        <w:t>. Oxford University Press. </w:t>
      </w:r>
      <w:r>
        <w:rPr>
          <w:sz w:val="24"/>
          <w:szCs w:val="24"/>
        </w:rPr>
        <w:t xml:space="preserve">Available at: </w:t>
      </w:r>
      <w:hyperlink r:id="rId13" w:history="1">
        <w:r w:rsidRPr="00FF6C6D">
          <w:rPr>
            <w:rStyle w:val="Hyperlink"/>
            <w:sz w:val="24"/>
            <w:szCs w:val="24"/>
          </w:rPr>
          <w:t>https://www-oxfordreference-</w:t>
        </w:r>
        <w:r w:rsidRPr="00FF6C6D">
          <w:rPr>
            <w:rStyle w:val="Hyperlink"/>
            <w:sz w:val="24"/>
            <w:szCs w:val="24"/>
          </w:rPr>
          <w:lastRenderedPageBreak/>
          <w:t>com.ezproxy.uwtsd.ac.uk/view/10.1093/acref/9780199545568.001.0001/acref-9780199545568-e-7009</w:t>
        </w:r>
      </w:hyperlink>
      <w:r w:rsidRPr="008D1115">
        <w:rPr>
          <w:sz w:val="24"/>
          <w:szCs w:val="24"/>
        </w:rPr>
        <w:t>&gt;</w:t>
      </w:r>
      <w:r>
        <w:rPr>
          <w:sz w:val="24"/>
          <w:szCs w:val="24"/>
        </w:rPr>
        <w:t xml:space="preserve"> (Accessed: 1 December 2025)</w:t>
      </w:r>
      <w:r w:rsidRPr="008D1115">
        <w:rPr>
          <w:sz w:val="24"/>
          <w:szCs w:val="24"/>
        </w:rPr>
        <w:t>.</w:t>
      </w:r>
    </w:p>
    <w:p w14:paraId="1FDA5D19" w14:textId="7E85755A" w:rsidR="00160610" w:rsidRPr="00735A35" w:rsidRDefault="00160610" w:rsidP="00735A35">
      <w:pPr>
        <w:spacing w:line="480" w:lineRule="auto"/>
        <w:jc w:val="left"/>
        <w:rPr>
          <w:sz w:val="24"/>
          <w:szCs w:val="24"/>
          <w:lang w:val="en-GB"/>
        </w:rPr>
      </w:pPr>
      <w:r w:rsidRPr="00735A35">
        <w:rPr>
          <w:sz w:val="24"/>
          <w:szCs w:val="24"/>
          <w:lang w:val="en-GB"/>
        </w:rPr>
        <w:t xml:space="preserve"> </w:t>
      </w:r>
    </w:p>
    <w:p w14:paraId="3CE506B2" w14:textId="77777777" w:rsidR="00697A61" w:rsidRPr="00735A35" w:rsidRDefault="00697A61" w:rsidP="00735A35">
      <w:pPr>
        <w:spacing w:line="480" w:lineRule="auto"/>
        <w:rPr>
          <w:sz w:val="24"/>
          <w:szCs w:val="24"/>
          <w:lang w:val="en-GB"/>
        </w:rPr>
      </w:pPr>
      <w:r w:rsidRPr="00735A35">
        <w:rPr>
          <w:sz w:val="24"/>
          <w:szCs w:val="24"/>
          <w:lang w:val="en-GB"/>
        </w:rPr>
        <w:t xml:space="preserve">Williams, G. D. (1996) ‘The curse of exile: a study of Ovid’s Ibis’, </w:t>
      </w:r>
      <w:r w:rsidRPr="00735A35">
        <w:rPr>
          <w:i/>
          <w:iCs/>
          <w:sz w:val="24"/>
          <w:szCs w:val="24"/>
          <w:lang w:val="en-GB"/>
        </w:rPr>
        <w:t xml:space="preserve">The Cambridge Philological Society. </w:t>
      </w:r>
      <w:r w:rsidRPr="00735A35">
        <w:rPr>
          <w:sz w:val="24"/>
          <w:szCs w:val="24"/>
          <w:lang w:val="en-GB"/>
        </w:rPr>
        <w:t>Supplementary Vol. 19. Cambridge: Cambridge University Press.</w:t>
      </w:r>
    </w:p>
    <w:p w14:paraId="3D49378E" w14:textId="77777777" w:rsidR="00697A61" w:rsidRPr="00735A35" w:rsidRDefault="00697A61" w:rsidP="00735A35">
      <w:pPr>
        <w:spacing w:line="480" w:lineRule="auto"/>
        <w:jc w:val="left"/>
        <w:rPr>
          <w:sz w:val="24"/>
          <w:szCs w:val="24"/>
          <w:lang w:val="en-GB"/>
        </w:rPr>
      </w:pPr>
    </w:p>
    <w:sectPr w:rsidR="00697A61" w:rsidRPr="00735A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7C7E5" w14:textId="77777777" w:rsidR="00996089" w:rsidRDefault="00996089" w:rsidP="001C777B">
      <w:pPr>
        <w:spacing w:line="240" w:lineRule="auto"/>
      </w:pPr>
      <w:r>
        <w:separator/>
      </w:r>
    </w:p>
  </w:endnote>
  <w:endnote w:type="continuationSeparator" w:id="0">
    <w:p w14:paraId="67493999" w14:textId="77777777" w:rsidR="00996089" w:rsidRDefault="00996089" w:rsidP="001C77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C902E" w14:textId="77777777" w:rsidR="00996089" w:rsidRDefault="00996089" w:rsidP="001C777B">
      <w:pPr>
        <w:spacing w:line="240" w:lineRule="auto"/>
      </w:pPr>
      <w:r>
        <w:separator/>
      </w:r>
    </w:p>
  </w:footnote>
  <w:footnote w:type="continuationSeparator" w:id="0">
    <w:p w14:paraId="5EDFCBBD" w14:textId="77777777" w:rsidR="00996089" w:rsidRDefault="00996089" w:rsidP="001C777B">
      <w:pPr>
        <w:spacing w:line="240" w:lineRule="auto"/>
      </w:pPr>
      <w:r>
        <w:continuationSeparator/>
      </w:r>
    </w:p>
  </w:footnote>
  <w:footnote w:id="1">
    <w:p w14:paraId="36B74412" w14:textId="5D0B2D84" w:rsidR="001C777B" w:rsidRPr="001C777B" w:rsidRDefault="001C777B">
      <w:pPr>
        <w:pStyle w:val="FootnoteText"/>
        <w:rPr>
          <w:lang w:val="en-GB"/>
        </w:rPr>
      </w:pPr>
      <w:r>
        <w:rPr>
          <w:rStyle w:val="FootnoteReference"/>
        </w:rPr>
        <w:footnoteRef/>
      </w:r>
      <w:r>
        <w:t xml:space="preserve"> </w:t>
      </w:r>
      <w:r>
        <w:rPr>
          <w:lang w:val="en-GB"/>
        </w:rPr>
        <w:t>Williams, 1996</w:t>
      </w:r>
    </w:p>
  </w:footnote>
  <w:footnote w:id="2">
    <w:p w14:paraId="4DB5CA42" w14:textId="61434835" w:rsidR="00531CE2" w:rsidRPr="00531CE2" w:rsidRDefault="00531CE2">
      <w:pPr>
        <w:pStyle w:val="FootnoteText"/>
        <w:rPr>
          <w:lang w:val="en-GB"/>
        </w:rPr>
      </w:pPr>
      <w:r>
        <w:rPr>
          <w:rStyle w:val="FootnoteReference"/>
        </w:rPr>
        <w:footnoteRef/>
      </w:r>
      <w:r>
        <w:t xml:space="preserve"> </w:t>
      </w:r>
      <w:r>
        <w:rPr>
          <w:lang w:val="en-GB"/>
        </w:rPr>
        <w:t xml:space="preserve">Krasne, </w:t>
      </w:r>
      <w:r w:rsidR="00D60005">
        <w:rPr>
          <w:lang w:val="en-GB"/>
        </w:rPr>
        <w:t>2013</w:t>
      </w:r>
    </w:p>
  </w:footnote>
  <w:footnote w:id="3">
    <w:p w14:paraId="3D9C6CB6" w14:textId="1BC3E814" w:rsidR="00A35561" w:rsidRPr="00A35561" w:rsidRDefault="00A35561">
      <w:pPr>
        <w:pStyle w:val="FootnoteText"/>
        <w:rPr>
          <w:lang w:val="en-GB"/>
        </w:rPr>
      </w:pPr>
      <w:r>
        <w:rPr>
          <w:rStyle w:val="FootnoteReference"/>
        </w:rPr>
        <w:footnoteRef/>
      </w:r>
      <w:r>
        <w:t xml:space="preserve"> Helzle, 2009</w:t>
      </w:r>
    </w:p>
  </w:footnote>
  <w:footnote w:id="4">
    <w:p w14:paraId="264698A5" w14:textId="0B11AF3F" w:rsidR="003C0D38" w:rsidRPr="003C0D38" w:rsidRDefault="003C0D38">
      <w:pPr>
        <w:pStyle w:val="FootnoteText"/>
      </w:pPr>
      <w:r>
        <w:rPr>
          <w:rStyle w:val="FootnoteReference"/>
        </w:rPr>
        <w:footnoteRef/>
      </w:r>
      <w:r>
        <w:t xml:space="preserve"> e.g</w:t>
      </w:r>
      <w:r w:rsidRPr="00927CCF">
        <w:t>. Helzl, 1997</w:t>
      </w:r>
    </w:p>
  </w:footnote>
  <w:footnote w:id="5">
    <w:p w14:paraId="39630EC7" w14:textId="34B835E6" w:rsidR="00D25A88" w:rsidRPr="001F28A5" w:rsidRDefault="00D25A88" w:rsidP="00D25A88">
      <w:pPr>
        <w:pStyle w:val="FootnoteText"/>
        <w:rPr>
          <w:lang w:val="en-GB"/>
        </w:rPr>
      </w:pPr>
      <w:r>
        <w:rPr>
          <w:rStyle w:val="FootnoteReference"/>
        </w:rPr>
        <w:footnoteRef/>
      </w:r>
      <w:r>
        <w:t xml:space="preserve"> </w:t>
      </w:r>
      <w:r w:rsidR="00B73420">
        <w:rPr>
          <w:lang w:val="en-GB"/>
        </w:rPr>
        <w:t>Pilshchikov,</w:t>
      </w:r>
      <w:r w:rsidR="00B17CA6">
        <w:rPr>
          <w:lang w:val="en-GB"/>
        </w:rPr>
        <w:t xml:space="preserve"> </w:t>
      </w:r>
      <w:r w:rsidR="00102575">
        <w:rPr>
          <w:lang w:val="en-GB"/>
        </w:rPr>
        <w:t>2022</w:t>
      </w:r>
    </w:p>
  </w:footnote>
  <w:footnote w:id="6">
    <w:p w14:paraId="79353A46" w14:textId="4D94981E" w:rsidR="001C7BFB" w:rsidRPr="001C7BFB" w:rsidRDefault="001C7BFB">
      <w:pPr>
        <w:pStyle w:val="FootnoteText"/>
        <w:rPr>
          <w:lang w:val="en-GB"/>
        </w:rPr>
      </w:pPr>
      <w:r>
        <w:rPr>
          <w:rStyle w:val="FootnoteReference"/>
        </w:rPr>
        <w:footnoteRef/>
      </w:r>
      <w:r>
        <w:t xml:space="preserve"> </w:t>
      </w:r>
      <w:r w:rsidR="00604141">
        <w:rPr>
          <w:lang w:val="en-GB"/>
        </w:rPr>
        <w:t>Levine, 2020, p.1</w:t>
      </w:r>
    </w:p>
  </w:footnote>
  <w:footnote w:id="7">
    <w:p w14:paraId="21D38DF1" w14:textId="6F91EBCF" w:rsidR="008D1115" w:rsidRPr="008D1115" w:rsidRDefault="008D1115">
      <w:pPr>
        <w:pStyle w:val="FootnoteText"/>
      </w:pPr>
      <w:r>
        <w:rPr>
          <w:rStyle w:val="FootnoteReference"/>
        </w:rPr>
        <w:footnoteRef/>
      </w:r>
      <w:r>
        <w:t xml:space="preserve"> Silk, 2012</w:t>
      </w:r>
    </w:p>
  </w:footnote>
  <w:footnote w:id="8">
    <w:p w14:paraId="0E2A5ACC" w14:textId="0053AC7C" w:rsidR="007E1607" w:rsidRPr="007E1607" w:rsidRDefault="007E1607">
      <w:pPr>
        <w:pStyle w:val="FootnoteText"/>
        <w:rPr>
          <w:lang w:val="en-GB"/>
        </w:rPr>
      </w:pPr>
      <w:r>
        <w:rPr>
          <w:rStyle w:val="FootnoteReference"/>
        </w:rPr>
        <w:footnoteRef/>
      </w:r>
      <w:r>
        <w:t xml:space="preserve"> </w:t>
      </w:r>
      <w:r w:rsidR="00DF0D90">
        <w:t>See e.g. Pilshchikov, 2022, p.</w:t>
      </w:r>
      <w:r w:rsidR="005703F8">
        <w:t xml:space="preserve">214 (Russian Formalism); </w:t>
      </w:r>
      <w:r w:rsidR="00513645">
        <w:rPr>
          <w:lang w:val="en-GB"/>
        </w:rPr>
        <w:t>Hickman, 2012, p.4</w:t>
      </w:r>
      <w:r w:rsidR="005703F8">
        <w:rPr>
          <w:lang w:val="en-GB"/>
        </w:rPr>
        <w:t xml:space="preserve"> (New Criticism)</w:t>
      </w:r>
    </w:p>
  </w:footnote>
  <w:footnote w:id="9">
    <w:p w14:paraId="4C680F01" w14:textId="22CE6D73" w:rsidR="006263EF" w:rsidRPr="006263EF" w:rsidRDefault="006263EF">
      <w:pPr>
        <w:pStyle w:val="FootnoteText"/>
        <w:rPr>
          <w:lang w:val="en-GB"/>
        </w:rPr>
      </w:pPr>
      <w:r>
        <w:rPr>
          <w:rStyle w:val="FootnoteReference"/>
        </w:rPr>
        <w:footnoteRef/>
      </w:r>
      <w:r>
        <w:t xml:space="preserve"> </w:t>
      </w:r>
      <w:r>
        <w:rPr>
          <w:lang w:val="en-GB"/>
        </w:rPr>
        <w:t>2022, p.215</w:t>
      </w:r>
    </w:p>
  </w:footnote>
  <w:footnote w:id="10">
    <w:p w14:paraId="344C6BA1" w14:textId="33CEE513" w:rsidR="003A55D0" w:rsidRPr="00A44F73" w:rsidRDefault="003A55D0" w:rsidP="003A55D0">
      <w:pPr>
        <w:pStyle w:val="FootnoteText"/>
        <w:rPr>
          <w:lang w:val="en-GB"/>
        </w:rPr>
      </w:pPr>
      <w:r>
        <w:rPr>
          <w:rStyle w:val="FootnoteReference"/>
        </w:rPr>
        <w:footnoteRef/>
      </w:r>
      <w:r>
        <w:rPr>
          <w:lang w:val="en-GB"/>
        </w:rPr>
        <w:t xml:space="preserve"> </w:t>
      </w:r>
      <w:r w:rsidR="008977AA">
        <w:rPr>
          <w:lang w:val="en-GB"/>
        </w:rPr>
        <w:t xml:space="preserve">1937, </w:t>
      </w:r>
      <w:r>
        <w:rPr>
          <w:lang w:val="en-GB"/>
        </w:rPr>
        <w:t>p.590</w:t>
      </w:r>
    </w:p>
  </w:footnote>
  <w:footnote w:id="11">
    <w:p w14:paraId="40EEA7DE" w14:textId="3F19B9DF" w:rsidR="003A55D0" w:rsidRPr="00900AA6" w:rsidRDefault="003A55D0" w:rsidP="003A55D0">
      <w:pPr>
        <w:pStyle w:val="FootnoteText"/>
        <w:rPr>
          <w:lang w:val="en-GB"/>
        </w:rPr>
      </w:pPr>
      <w:r>
        <w:rPr>
          <w:rStyle w:val="FootnoteReference"/>
        </w:rPr>
        <w:footnoteRef/>
      </w:r>
      <w:r>
        <w:t xml:space="preserve"> </w:t>
      </w:r>
      <w:r w:rsidR="00DD7AB0">
        <w:t xml:space="preserve">1942, </w:t>
      </w:r>
      <w:r>
        <w:rPr>
          <w:lang w:val="en-GB"/>
        </w:rPr>
        <w:t>p.215</w:t>
      </w:r>
    </w:p>
  </w:footnote>
  <w:footnote w:id="12">
    <w:p w14:paraId="35DBAAEB" w14:textId="50E5DC88" w:rsidR="005E5856" w:rsidRPr="005E5856" w:rsidRDefault="005E5856">
      <w:pPr>
        <w:pStyle w:val="FootnoteText"/>
      </w:pPr>
      <w:r>
        <w:rPr>
          <w:rStyle w:val="FootnoteReference"/>
        </w:rPr>
        <w:footnoteRef/>
      </w:r>
      <w:r>
        <w:t xml:space="preserve"> </w:t>
      </w:r>
      <w:r w:rsidR="00E05496">
        <w:t>Hickman, 2012, p.10</w:t>
      </w:r>
    </w:p>
  </w:footnote>
  <w:footnote w:id="13">
    <w:p w14:paraId="5F4D949F" w14:textId="2EDE5D64" w:rsidR="003A55D0" w:rsidRPr="007B2D74" w:rsidRDefault="003A55D0" w:rsidP="003A55D0">
      <w:pPr>
        <w:pStyle w:val="FootnoteText"/>
        <w:rPr>
          <w:lang w:val="en-GB"/>
        </w:rPr>
      </w:pPr>
      <w:r>
        <w:rPr>
          <w:rStyle w:val="FootnoteReference"/>
        </w:rPr>
        <w:footnoteRef/>
      </w:r>
      <w:r w:rsidR="008977AA">
        <w:t xml:space="preserve"> Richards, 1929,</w:t>
      </w:r>
      <w:r>
        <w:t xml:space="preserve"> </w:t>
      </w:r>
      <w:r>
        <w:rPr>
          <w:lang w:val="en-GB"/>
        </w:rPr>
        <w:t>p.11 – I will address Richards’ final point later</w:t>
      </w:r>
    </w:p>
  </w:footnote>
  <w:footnote w:id="14">
    <w:p w14:paraId="6D5663AC" w14:textId="035D6850" w:rsidR="00735A35" w:rsidRPr="00735A35" w:rsidRDefault="00735A35">
      <w:pPr>
        <w:pStyle w:val="FootnoteText"/>
      </w:pPr>
      <w:r>
        <w:rPr>
          <w:rStyle w:val="FootnoteReference"/>
        </w:rPr>
        <w:footnoteRef/>
      </w:r>
      <w:r>
        <w:t xml:space="preserve"> Green, 2003, p.62</w:t>
      </w:r>
    </w:p>
  </w:footnote>
  <w:footnote w:id="15">
    <w:p w14:paraId="6FA355A4" w14:textId="6338DB0B" w:rsidR="001C52B4" w:rsidRPr="001C52B4" w:rsidRDefault="001C52B4">
      <w:pPr>
        <w:pStyle w:val="FootnoteText"/>
        <w:rPr>
          <w:lang w:val="en-GB"/>
        </w:rPr>
      </w:pPr>
      <w:r>
        <w:rPr>
          <w:rStyle w:val="FootnoteReference"/>
        </w:rPr>
        <w:footnoteRef/>
      </w:r>
      <w:r>
        <w:t xml:space="preserve"> </w:t>
      </w:r>
      <w:r>
        <w:rPr>
          <w:lang w:val="en-GB"/>
        </w:rPr>
        <w:t xml:space="preserve">Such as </w:t>
      </w:r>
      <w:r w:rsidR="00BE7F35">
        <w:rPr>
          <w:lang w:val="en-GB"/>
        </w:rPr>
        <w:t xml:space="preserve">repetition, chiasmus, alliteration and tricolon crescendos. </w:t>
      </w:r>
    </w:p>
  </w:footnote>
  <w:footnote w:id="16">
    <w:p w14:paraId="5ABC6B18" w14:textId="7AAA233C" w:rsidR="00035D39" w:rsidRPr="00035D39" w:rsidRDefault="00035D39">
      <w:pPr>
        <w:pStyle w:val="FootnoteText"/>
        <w:rPr>
          <w:lang w:val="en-GB"/>
        </w:rPr>
      </w:pPr>
      <w:r>
        <w:rPr>
          <w:rStyle w:val="FootnoteReference"/>
        </w:rPr>
        <w:footnoteRef/>
      </w:r>
      <w:r>
        <w:t xml:space="preserve"> </w:t>
      </w:r>
      <w:r w:rsidR="005B3ED4">
        <w:t xml:space="preserve">Dainotti, Hasegawa and Harrison, </w:t>
      </w:r>
      <w:r>
        <w:rPr>
          <w:lang w:val="en-GB"/>
        </w:rPr>
        <w:t>2024</w:t>
      </w:r>
    </w:p>
  </w:footnote>
  <w:footnote w:id="17">
    <w:p w14:paraId="3D4EE904" w14:textId="24E3F24E" w:rsidR="00C57E28" w:rsidRPr="00C57E28" w:rsidRDefault="00C57E28">
      <w:pPr>
        <w:pStyle w:val="FootnoteText"/>
        <w:rPr>
          <w:lang w:val="en-GB"/>
        </w:rPr>
      </w:pPr>
      <w:r>
        <w:rPr>
          <w:rStyle w:val="FootnoteReference"/>
        </w:rPr>
        <w:footnoteRef/>
      </w:r>
      <w:r>
        <w:t xml:space="preserve"> </w:t>
      </w:r>
      <w:r>
        <w:rPr>
          <w:lang w:val="en-GB"/>
        </w:rPr>
        <w:t>2024</w:t>
      </w:r>
    </w:p>
  </w:footnote>
  <w:footnote w:id="18">
    <w:p w14:paraId="06400A26" w14:textId="10CF3347" w:rsidR="00197592" w:rsidRPr="00197592" w:rsidRDefault="00197592">
      <w:pPr>
        <w:pStyle w:val="FootnoteText"/>
        <w:rPr>
          <w:lang w:val="en-GB"/>
        </w:rPr>
      </w:pPr>
      <w:r>
        <w:rPr>
          <w:rStyle w:val="FootnoteReference"/>
        </w:rPr>
        <w:footnoteRef/>
      </w:r>
      <w:r>
        <w:t xml:space="preserve"> </w:t>
      </w:r>
      <w:r>
        <w:rPr>
          <w:lang w:val="en-GB"/>
        </w:rPr>
        <w:t>2024</w:t>
      </w:r>
    </w:p>
  </w:footnote>
  <w:footnote w:id="19">
    <w:p w14:paraId="5CC1CE94" w14:textId="77777777" w:rsidR="005D3ABD" w:rsidRPr="00F102B1" w:rsidRDefault="005D3ABD" w:rsidP="005D3ABD">
      <w:pPr>
        <w:pStyle w:val="FootnoteText"/>
        <w:rPr>
          <w:lang w:val="en-GB"/>
        </w:rPr>
      </w:pPr>
      <w:r>
        <w:rPr>
          <w:rStyle w:val="FootnoteReference"/>
        </w:rPr>
        <w:footnoteRef/>
      </w:r>
      <w:r>
        <w:t xml:space="preserve"> </w:t>
      </w:r>
      <w:r>
        <w:rPr>
          <w:lang w:val="en-GB"/>
        </w:rPr>
        <w:t>2024</w:t>
      </w:r>
    </w:p>
  </w:footnote>
  <w:footnote w:id="20">
    <w:p w14:paraId="121EE327" w14:textId="77777777" w:rsidR="005D3ABD" w:rsidRPr="00F102B1" w:rsidRDefault="005D3ABD" w:rsidP="005D3ABD">
      <w:pPr>
        <w:pStyle w:val="FootnoteText"/>
        <w:rPr>
          <w:lang w:val="en-GB"/>
        </w:rPr>
      </w:pPr>
      <w:r>
        <w:rPr>
          <w:rStyle w:val="FootnoteReference"/>
        </w:rPr>
        <w:footnoteRef/>
      </w:r>
      <w:r>
        <w:t xml:space="preserve"> </w:t>
      </w:r>
      <w:r>
        <w:rPr>
          <w:lang w:val="en-GB"/>
        </w:rPr>
        <w:t>p.149</w:t>
      </w:r>
    </w:p>
  </w:footnote>
  <w:footnote w:id="21">
    <w:p w14:paraId="5CE21506" w14:textId="3492DB65" w:rsidR="00B40214" w:rsidRPr="00B40214" w:rsidRDefault="00B40214">
      <w:pPr>
        <w:pStyle w:val="FootnoteText"/>
      </w:pPr>
      <w:r>
        <w:rPr>
          <w:rStyle w:val="FootnoteReference"/>
        </w:rPr>
        <w:footnoteRef/>
      </w:r>
      <w:r>
        <w:t xml:space="preserve"> </w:t>
      </w:r>
      <w:r>
        <w:rPr>
          <w:lang w:val="en-GB"/>
        </w:rPr>
        <w:t>in hyperbaton and enclosing structures (where, for example, a noun and its adjective are separated and enclose another semantic unit)</w:t>
      </w:r>
    </w:p>
  </w:footnote>
  <w:footnote w:id="22">
    <w:p w14:paraId="17AB967C" w14:textId="77777777" w:rsidR="005D3ABD" w:rsidRPr="00762B0B" w:rsidRDefault="005D3ABD" w:rsidP="005D3ABD">
      <w:pPr>
        <w:pStyle w:val="FootnoteText"/>
        <w:rPr>
          <w:lang w:val="en-GB"/>
        </w:rPr>
      </w:pPr>
      <w:r>
        <w:rPr>
          <w:rStyle w:val="FootnoteReference"/>
        </w:rPr>
        <w:footnoteRef/>
      </w:r>
      <w:r>
        <w:t xml:space="preserve"> </w:t>
      </w:r>
      <w:r>
        <w:rPr>
          <w:lang w:val="en-GB"/>
        </w:rPr>
        <w:t>p.155</w:t>
      </w:r>
    </w:p>
  </w:footnote>
  <w:footnote w:id="23">
    <w:p w14:paraId="2CB8D6A2" w14:textId="77777777" w:rsidR="005D3ABD" w:rsidRPr="00762B0B" w:rsidRDefault="005D3ABD" w:rsidP="005D3ABD">
      <w:pPr>
        <w:pStyle w:val="FootnoteText"/>
        <w:rPr>
          <w:lang w:val="en-GB"/>
        </w:rPr>
      </w:pPr>
      <w:r>
        <w:rPr>
          <w:rStyle w:val="FootnoteReference"/>
        </w:rPr>
        <w:footnoteRef/>
      </w:r>
      <w:r>
        <w:t xml:space="preserve"> </w:t>
      </w:r>
      <w:r>
        <w:rPr>
          <w:lang w:val="en-GB"/>
        </w:rPr>
        <w:t>1981, p.592</w:t>
      </w:r>
    </w:p>
  </w:footnote>
  <w:footnote w:id="24">
    <w:p w14:paraId="4A0ED88C" w14:textId="77777777" w:rsidR="005D3ABD" w:rsidRPr="00762B0B" w:rsidRDefault="005D3ABD" w:rsidP="005D3ABD">
      <w:pPr>
        <w:pStyle w:val="FootnoteText"/>
        <w:rPr>
          <w:lang w:val="en-GB"/>
        </w:rPr>
      </w:pPr>
      <w:r>
        <w:rPr>
          <w:rStyle w:val="FootnoteReference"/>
        </w:rPr>
        <w:footnoteRef/>
      </w:r>
      <w:r>
        <w:t xml:space="preserve"> </w:t>
      </w:r>
      <w:r>
        <w:rPr>
          <w:lang w:val="en-GB"/>
        </w:rPr>
        <w:t>1937, p.601-2</w:t>
      </w:r>
    </w:p>
  </w:footnote>
  <w:footnote w:id="25">
    <w:p w14:paraId="36964894" w14:textId="77777777" w:rsidR="005D3ABD" w:rsidRPr="00373A1B" w:rsidRDefault="005D3ABD" w:rsidP="005D3ABD">
      <w:pPr>
        <w:pStyle w:val="FootnoteText"/>
        <w:rPr>
          <w:lang w:val="en-GB"/>
        </w:rPr>
      </w:pPr>
      <w:r>
        <w:rPr>
          <w:rStyle w:val="FootnoteReference"/>
        </w:rPr>
        <w:footnoteRef/>
      </w:r>
      <w:r>
        <w:t xml:space="preserve"> </w:t>
      </w:r>
      <w:r>
        <w:rPr>
          <w:lang w:val="en-GB"/>
        </w:rPr>
        <w:t>2024, p.9-10</w:t>
      </w:r>
    </w:p>
  </w:footnote>
  <w:footnote w:id="26">
    <w:p w14:paraId="6D0D6594" w14:textId="77777777" w:rsidR="005D3ABD" w:rsidRPr="00373A1B" w:rsidRDefault="005D3ABD" w:rsidP="005D3ABD">
      <w:pPr>
        <w:pStyle w:val="FootnoteText"/>
        <w:rPr>
          <w:lang w:val="en-GB"/>
        </w:rPr>
      </w:pPr>
      <w:r>
        <w:rPr>
          <w:rStyle w:val="FootnoteReference"/>
        </w:rPr>
        <w:footnoteRef/>
      </w:r>
      <w:r>
        <w:t xml:space="preserve"> </w:t>
      </w:r>
      <w:r>
        <w:rPr>
          <w:lang w:val="en-GB"/>
        </w:rPr>
        <w:t>2020, p.6-8</w:t>
      </w:r>
    </w:p>
  </w:footnote>
  <w:footnote w:id="27">
    <w:p w14:paraId="35FEDA06" w14:textId="74161755" w:rsidR="005D3ABD" w:rsidRPr="00BD7502" w:rsidRDefault="005D3ABD" w:rsidP="005D3ABD">
      <w:pPr>
        <w:pStyle w:val="FootnoteText"/>
        <w:rPr>
          <w:lang w:val="en-GB"/>
        </w:rPr>
      </w:pPr>
      <w:r>
        <w:rPr>
          <w:rStyle w:val="FootnoteReference"/>
        </w:rPr>
        <w:footnoteRef/>
      </w:r>
      <w:r>
        <w:t xml:space="preserve"> </w:t>
      </w:r>
      <w:r w:rsidR="00604141">
        <w:rPr>
          <w:lang w:val="en-GB"/>
        </w:rPr>
        <w:t>Brooks and Warren, 1938 cited in Levine, 2020</w:t>
      </w:r>
      <w:r w:rsidR="00107978">
        <w:rPr>
          <w:lang w:val="en-GB"/>
        </w:rPr>
        <w:t>, pp.6-8</w:t>
      </w:r>
    </w:p>
  </w:footnote>
  <w:footnote w:id="28">
    <w:p w14:paraId="0CFEEA61" w14:textId="77777777" w:rsidR="005D3ABD" w:rsidRPr="001368B8" w:rsidRDefault="005D3ABD" w:rsidP="005D3ABD">
      <w:pPr>
        <w:pStyle w:val="FootnoteText"/>
        <w:rPr>
          <w:lang w:val="en-GB"/>
        </w:rPr>
      </w:pPr>
      <w:r>
        <w:rPr>
          <w:rStyle w:val="FootnoteReference"/>
        </w:rPr>
        <w:footnoteRef/>
      </w:r>
      <w:r>
        <w:t xml:space="preserve"> 1937, p.595</w:t>
      </w:r>
    </w:p>
  </w:footnote>
  <w:footnote w:id="29">
    <w:p w14:paraId="2A7248AE" w14:textId="77777777" w:rsidR="005D3ABD" w:rsidRPr="001368B8" w:rsidRDefault="005D3ABD" w:rsidP="005D3ABD">
      <w:pPr>
        <w:pStyle w:val="FootnoteText"/>
        <w:rPr>
          <w:lang w:val="en-GB"/>
        </w:rPr>
      </w:pPr>
      <w:r>
        <w:rPr>
          <w:rStyle w:val="FootnoteReference"/>
        </w:rPr>
        <w:footnoteRef/>
      </w:r>
      <w:r>
        <w:t xml:space="preserve"> </w:t>
      </w:r>
      <w:r>
        <w:rPr>
          <w:lang w:val="en-GB"/>
        </w:rPr>
        <w:t xml:space="preserve">1942, p.x; </w:t>
      </w:r>
    </w:p>
  </w:footnote>
  <w:footnote w:id="30">
    <w:p w14:paraId="7D5B12F3" w14:textId="77777777" w:rsidR="005D3ABD" w:rsidRPr="00131D4B" w:rsidRDefault="005D3ABD" w:rsidP="005D3ABD">
      <w:pPr>
        <w:pStyle w:val="FootnoteText"/>
        <w:rPr>
          <w:lang w:val="en-GB"/>
        </w:rPr>
      </w:pPr>
      <w:r>
        <w:rPr>
          <w:rStyle w:val="FootnoteReference"/>
        </w:rPr>
        <w:footnoteRef/>
      </w:r>
      <w:r>
        <w:rPr>
          <w:lang w:val="en-GB"/>
        </w:rPr>
        <w:t xml:space="preserve"> Brooks’ claim that he takes historical background into account post-dates the 1938 analysis of </w:t>
      </w:r>
      <w:r>
        <w:rPr>
          <w:i/>
          <w:iCs/>
          <w:lang w:val="en-GB"/>
        </w:rPr>
        <w:t>The Bells of Shandon</w:t>
      </w:r>
      <w:r>
        <w:rPr>
          <w:lang w:val="en-GB"/>
        </w:rPr>
        <w:t>, raising the question of whether he had recognised the mistake and adapted his methodology, or whether that analysis is an indication of his external researches being less effective than he believed.</w:t>
      </w:r>
    </w:p>
  </w:footnote>
  <w:footnote w:id="31">
    <w:p w14:paraId="29F2E904" w14:textId="1072F011" w:rsidR="005D3ABD" w:rsidRPr="00131D4B" w:rsidRDefault="005D3ABD" w:rsidP="005D3ABD">
      <w:pPr>
        <w:pStyle w:val="FootnoteText"/>
        <w:rPr>
          <w:lang w:val="en-GB"/>
        </w:rPr>
      </w:pPr>
      <w:r>
        <w:rPr>
          <w:rStyle w:val="FootnoteReference"/>
        </w:rPr>
        <w:footnoteRef/>
      </w:r>
      <w:r>
        <w:rPr>
          <w:lang w:val="en-GB"/>
        </w:rPr>
        <w:t xml:space="preserve"> e.g. </w:t>
      </w:r>
      <w:r w:rsidR="00735A35">
        <w:rPr>
          <w:lang w:val="en-GB"/>
        </w:rPr>
        <w:t>Krasne, 2013</w:t>
      </w:r>
    </w:p>
  </w:footnote>
  <w:footnote w:id="32">
    <w:p w14:paraId="66E2184A" w14:textId="52265ECF" w:rsidR="005D3ABD" w:rsidRPr="00131D4B" w:rsidRDefault="005D3ABD" w:rsidP="005D3ABD">
      <w:pPr>
        <w:pStyle w:val="FootnoteText"/>
      </w:pPr>
      <w:r>
        <w:rPr>
          <w:rStyle w:val="FootnoteReference"/>
        </w:rPr>
        <w:footnoteRef/>
      </w:r>
      <w:r>
        <w:t xml:space="preserve"> e.g. </w:t>
      </w:r>
      <w:r w:rsidR="00735A35">
        <w:t>Helzle, 2009</w:t>
      </w:r>
    </w:p>
  </w:footnote>
  <w:footnote w:id="33">
    <w:p w14:paraId="0ACAC6EC" w14:textId="77777777" w:rsidR="005D3ABD" w:rsidRPr="00251CDB" w:rsidRDefault="005D3ABD" w:rsidP="005D3ABD">
      <w:pPr>
        <w:pStyle w:val="FootnoteText"/>
        <w:rPr>
          <w:lang w:val="en-GB"/>
        </w:rPr>
      </w:pPr>
      <w:r>
        <w:rPr>
          <w:rStyle w:val="FootnoteReference"/>
        </w:rPr>
        <w:footnoteRef/>
      </w:r>
      <w:r>
        <w:t xml:space="preserve"> </w:t>
      </w:r>
      <w:r>
        <w:rPr>
          <w:lang w:val="en-GB"/>
        </w:rPr>
        <w:t>2012, p.227</w:t>
      </w:r>
    </w:p>
  </w:footnote>
  <w:footnote w:id="34">
    <w:p w14:paraId="23CE4817" w14:textId="77777777" w:rsidR="005D3ABD" w:rsidRPr="007B2D74" w:rsidRDefault="005D3ABD" w:rsidP="005D3ABD">
      <w:pPr>
        <w:pStyle w:val="FootnoteText"/>
        <w:rPr>
          <w:lang w:val="en-GB"/>
        </w:rPr>
      </w:pPr>
      <w:r>
        <w:rPr>
          <w:rStyle w:val="FootnoteReference"/>
        </w:rPr>
        <w:footnoteRef/>
      </w:r>
      <w:r>
        <w:t xml:space="preserve"> 1929, </w:t>
      </w:r>
      <w:r>
        <w:rPr>
          <w:lang w:val="en-GB"/>
        </w:rPr>
        <w:t xml:space="preserve">p.11 </w:t>
      </w:r>
    </w:p>
  </w:footnote>
  <w:footnote w:id="35">
    <w:p w14:paraId="3BB05553" w14:textId="77777777" w:rsidR="005D3ABD" w:rsidRPr="00367497" w:rsidRDefault="005D3ABD" w:rsidP="005D3ABD">
      <w:pPr>
        <w:pStyle w:val="FootnoteText"/>
      </w:pPr>
      <w:r>
        <w:rPr>
          <w:rStyle w:val="FootnoteReference"/>
        </w:rPr>
        <w:footnoteRef/>
      </w:r>
      <w:r>
        <w:t xml:space="preserve"> 1942, p.235</w:t>
      </w:r>
    </w:p>
  </w:footnote>
  <w:footnote w:id="36">
    <w:p w14:paraId="76C6291D" w14:textId="7DB0442E" w:rsidR="005D3ABD" w:rsidRPr="00367497" w:rsidRDefault="005D3ABD" w:rsidP="005D3ABD">
      <w:pPr>
        <w:pStyle w:val="FootnoteText"/>
      </w:pPr>
      <w:r>
        <w:rPr>
          <w:rStyle w:val="FootnoteReference"/>
        </w:rPr>
        <w:footnoteRef/>
      </w:r>
      <w:r>
        <w:t xml:space="preserve"> Levine</w:t>
      </w:r>
      <w:r w:rsidR="00604141">
        <w:t xml:space="preserve">, </w:t>
      </w:r>
      <w:r>
        <w:t>2020, p.3</w:t>
      </w:r>
      <w:r w:rsidR="00604141">
        <w:t xml:space="preserve"> </w:t>
      </w:r>
    </w:p>
  </w:footnote>
  <w:footnote w:id="37">
    <w:p w14:paraId="4C806D9D" w14:textId="6042ABA4" w:rsidR="003F3C7C" w:rsidRPr="003F3C7C" w:rsidRDefault="003F3C7C">
      <w:pPr>
        <w:pStyle w:val="FootnoteText"/>
        <w:rPr>
          <w:lang w:val="en-GB"/>
        </w:rPr>
      </w:pPr>
      <w:r>
        <w:rPr>
          <w:rStyle w:val="FootnoteReference"/>
        </w:rPr>
        <w:footnoteRef/>
      </w:r>
      <w:r>
        <w:t xml:space="preserve"> </w:t>
      </w:r>
      <w:r>
        <w:rPr>
          <w:lang w:val="en-GB"/>
        </w:rPr>
        <w:t>1929, p.</w:t>
      </w:r>
      <w:r w:rsidR="00833ECE">
        <w:rPr>
          <w:lang w:val="en-GB"/>
        </w:rPr>
        <w:t>13-7</w:t>
      </w:r>
    </w:p>
  </w:footnote>
  <w:footnote w:id="38">
    <w:p w14:paraId="2B24472E" w14:textId="77777777" w:rsidR="005D3ABD" w:rsidRPr="0060227E" w:rsidRDefault="005D3ABD" w:rsidP="005D3ABD">
      <w:pPr>
        <w:pStyle w:val="FootnoteText"/>
        <w:rPr>
          <w:lang w:val="en-GB"/>
        </w:rPr>
      </w:pPr>
      <w:r>
        <w:rPr>
          <w:rStyle w:val="FootnoteReference"/>
        </w:rPr>
        <w:footnoteRef/>
      </w:r>
      <w:r>
        <w:t xml:space="preserve"> </w:t>
      </w:r>
      <w:r>
        <w:rPr>
          <w:lang w:val="en-GB"/>
        </w:rPr>
        <w:t>1929, p.11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27BE9"/>
    <w:multiLevelType w:val="hybridMultilevel"/>
    <w:tmpl w:val="BBCAC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0338FC"/>
    <w:multiLevelType w:val="hybridMultilevel"/>
    <w:tmpl w:val="F27867A8"/>
    <w:lvl w:ilvl="0" w:tplc="FA2E5240">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355367"/>
    <w:multiLevelType w:val="hybridMultilevel"/>
    <w:tmpl w:val="D018C238"/>
    <w:lvl w:ilvl="0" w:tplc="CD4C82AE">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44989612">
    <w:abstractNumId w:val="2"/>
  </w:num>
  <w:num w:numId="2" w16cid:durableId="1701709740">
    <w:abstractNumId w:val="1"/>
  </w:num>
  <w:num w:numId="3" w16cid:durableId="1104692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255"/>
    <w:rsid w:val="00011275"/>
    <w:rsid w:val="0001294D"/>
    <w:rsid w:val="00013A37"/>
    <w:rsid w:val="00035D39"/>
    <w:rsid w:val="00067D57"/>
    <w:rsid w:val="000A1CCD"/>
    <w:rsid w:val="000C029A"/>
    <w:rsid w:val="000C0EC7"/>
    <w:rsid w:val="00102575"/>
    <w:rsid w:val="001043C5"/>
    <w:rsid w:val="00107978"/>
    <w:rsid w:val="00107D81"/>
    <w:rsid w:val="001150D6"/>
    <w:rsid w:val="00125C33"/>
    <w:rsid w:val="001262CA"/>
    <w:rsid w:val="00141D4D"/>
    <w:rsid w:val="00160610"/>
    <w:rsid w:val="0016753F"/>
    <w:rsid w:val="00197592"/>
    <w:rsid w:val="001A10A6"/>
    <w:rsid w:val="001C1743"/>
    <w:rsid w:val="001C225F"/>
    <w:rsid w:val="001C52B4"/>
    <w:rsid w:val="001C7496"/>
    <w:rsid w:val="001C777B"/>
    <w:rsid w:val="001C7BFB"/>
    <w:rsid w:val="001D04DA"/>
    <w:rsid w:val="001D5E33"/>
    <w:rsid w:val="001E71D5"/>
    <w:rsid w:val="001F28A5"/>
    <w:rsid w:val="00206B0E"/>
    <w:rsid w:val="00225789"/>
    <w:rsid w:val="00254C2E"/>
    <w:rsid w:val="00256DAB"/>
    <w:rsid w:val="00260BC1"/>
    <w:rsid w:val="00265A90"/>
    <w:rsid w:val="00270FF0"/>
    <w:rsid w:val="00275C29"/>
    <w:rsid w:val="002C6C65"/>
    <w:rsid w:val="002E4E9F"/>
    <w:rsid w:val="00302E8C"/>
    <w:rsid w:val="003153C1"/>
    <w:rsid w:val="00320645"/>
    <w:rsid w:val="00320D3E"/>
    <w:rsid w:val="00340413"/>
    <w:rsid w:val="00344E37"/>
    <w:rsid w:val="0035266E"/>
    <w:rsid w:val="00353F64"/>
    <w:rsid w:val="00360318"/>
    <w:rsid w:val="00367C66"/>
    <w:rsid w:val="003804AE"/>
    <w:rsid w:val="003871E5"/>
    <w:rsid w:val="00390A1A"/>
    <w:rsid w:val="003A0410"/>
    <w:rsid w:val="003A55D0"/>
    <w:rsid w:val="003C0D38"/>
    <w:rsid w:val="003D7929"/>
    <w:rsid w:val="003F3C7C"/>
    <w:rsid w:val="004271C5"/>
    <w:rsid w:val="0044254A"/>
    <w:rsid w:val="00446CA8"/>
    <w:rsid w:val="00451DCB"/>
    <w:rsid w:val="00474B15"/>
    <w:rsid w:val="00477FD1"/>
    <w:rsid w:val="004A4747"/>
    <w:rsid w:val="004B121D"/>
    <w:rsid w:val="004B59DA"/>
    <w:rsid w:val="004D23B5"/>
    <w:rsid w:val="004E4D06"/>
    <w:rsid w:val="00513645"/>
    <w:rsid w:val="00525E62"/>
    <w:rsid w:val="00531279"/>
    <w:rsid w:val="00531CE2"/>
    <w:rsid w:val="0053391C"/>
    <w:rsid w:val="00540C61"/>
    <w:rsid w:val="005703F8"/>
    <w:rsid w:val="00577927"/>
    <w:rsid w:val="00585D55"/>
    <w:rsid w:val="005961E1"/>
    <w:rsid w:val="005967F6"/>
    <w:rsid w:val="00597595"/>
    <w:rsid w:val="005B3ED4"/>
    <w:rsid w:val="005C0748"/>
    <w:rsid w:val="005D1194"/>
    <w:rsid w:val="005D3ABD"/>
    <w:rsid w:val="005E238C"/>
    <w:rsid w:val="005E5856"/>
    <w:rsid w:val="00604141"/>
    <w:rsid w:val="006111C3"/>
    <w:rsid w:val="00615FC4"/>
    <w:rsid w:val="006263EF"/>
    <w:rsid w:val="006275C8"/>
    <w:rsid w:val="006441C2"/>
    <w:rsid w:val="00646441"/>
    <w:rsid w:val="00652216"/>
    <w:rsid w:val="00654FC7"/>
    <w:rsid w:val="006565CC"/>
    <w:rsid w:val="00697A61"/>
    <w:rsid w:val="006D7C81"/>
    <w:rsid w:val="006E5C26"/>
    <w:rsid w:val="006E7423"/>
    <w:rsid w:val="006F7DCF"/>
    <w:rsid w:val="007049A8"/>
    <w:rsid w:val="007305A9"/>
    <w:rsid w:val="00735A35"/>
    <w:rsid w:val="00744884"/>
    <w:rsid w:val="00746A8A"/>
    <w:rsid w:val="00746FC8"/>
    <w:rsid w:val="007516ED"/>
    <w:rsid w:val="0079159A"/>
    <w:rsid w:val="00793572"/>
    <w:rsid w:val="007C515B"/>
    <w:rsid w:val="007E1607"/>
    <w:rsid w:val="007F4A9F"/>
    <w:rsid w:val="00803C49"/>
    <w:rsid w:val="00805E2B"/>
    <w:rsid w:val="0081069F"/>
    <w:rsid w:val="00823126"/>
    <w:rsid w:val="00833ECE"/>
    <w:rsid w:val="00842B1C"/>
    <w:rsid w:val="00844A33"/>
    <w:rsid w:val="00854DAF"/>
    <w:rsid w:val="008672E2"/>
    <w:rsid w:val="00875B70"/>
    <w:rsid w:val="0088556D"/>
    <w:rsid w:val="0089162F"/>
    <w:rsid w:val="00893E72"/>
    <w:rsid w:val="008977AA"/>
    <w:rsid w:val="008C0554"/>
    <w:rsid w:val="008C4ABA"/>
    <w:rsid w:val="008C5EE4"/>
    <w:rsid w:val="008D1115"/>
    <w:rsid w:val="008D5E4A"/>
    <w:rsid w:val="008E039C"/>
    <w:rsid w:val="008E6F5F"/>
    <w:rsid w:val="008E7486"/>
    <w:rsid w:val="008F08F8"/>
    <w:rsid w:val="00900C58"/>
    <w:rsid w:val="009074B9"/>
    <w:rsid w:val="00914853"/>
    <w:rsid w:val="00915101"/>
    <w:rsid w:val="00927CCF"/>
    <w:rsid w:val="00932019"/>
    <w:rsid w:val="009529D6"/>
    <w:rsid w:val="00956E1E"/>
    <w:rsid w:val="00981F55"/>
    <w:rsid w:val="00983BE3"/>
    <w:rsid w:val="00996089"/>
    <w:rsid w:val="009A2F95"/>
    <w:rsid w:val="009C100A"/>
    <w:rsid w:val="009C3255"/>
    <w:rsid w:val="009D008F"/>
    <w:rsid w:val="00A00AEB"/>
    <w:rsid w:val="00A200DB"/>
    <w:rsid w:val="00A224EC"/>
    <w:rsid w:val="00A35561"/>
    <w:rsid w:val="00A56705"/>
    <w:rsid w:val="00A742C5"/>
    <w:rsid w:val="00A825A8"/>
    <w:rsid w:val="00AA12FD"/>
    <w:rsid w:val="00AB036E"/>
    <w:rsid w:val="00AF4204"/>
    <w:rsid w:val="00AF70CD"/>
    <w:rsid w:val="00B15DF1"/>
    <w:rsid w:val="00B17CA6"/>
    <w:rsid w:val="00B25038"/>
    <w:rsid w:val="00B27846"/>
    <w:rsid w:val="00B35244"/>
    <w:rsid w:val="00B40214"/>
    <w:rsid w:val="00B44286"/>
    <w:rsid w:val="00B47866"/>
    <w:rsid w:val="00B62C32"/>
    <w:rsid w:val="00B710BB"/>
    <w:rsid w:val="00B73420"/>
    <w:rsid w:val="00B734EB"/>
    <w:rsid w:val="00BC2568"/>
    <w:rsid w:val="00BC5028"/>
    <w:rsid w:val="00BE2018"/>
    <w:rsid w:val="00BE7F35"/>
    <w:rsid w:val="00BF14F3"/>
    <w:rsid w:val="00BF437C"/>
    <w:rsid w:val="00C16CC5"/>
    <w:rsid w:val="00C25729"/>
    <w:rsid w:val="00C539FA"/>
    <w:rsid w:val="00C57E28"/>
    <w:rsid w:val="00C61A0F"/>
    <w:rsid w:val="00C6676A"/>
    <w:rsid w:val="00C75BC9"/>
    <w:rsid w:val="00C91D3B"/>
    <w:rsid w:val="00CA43B4"/>
    <w:rsid w:val="00CC2E91"/>
    <w:rsid w:val="00CD4AD6"/>
    <w:rsid w:val="00CF4778"/>
    <w:rsid w:val="00CF5527"/>
    <w:rsid w:val="00D00273"/>
    <w:rsid w:val="00D00E07"/>
    <w:rsid w:val="00D21D42"/>
    <w:rsid w:val="00D25236"/>
    <w:rsid w:val="00D25A88"/>
    <w:rsid w:val="00D27BEE"/>
    <w:rsid w:val="00D319B3"/>
    <w:rsid w:val="00D50FEC"/>
    <w:rsid w:val="00D60005"/>
    <w:rsid w:val="00D70B4C"/>
    <w:rsid w:val="00D8236D"/>
    <w:rsid w:val="00D90732"/>
    <w:rsid w:val="00DD320D"/>
    <w:rsid w:val="00DD677B"/>
    <w:rsid w:val="00DD7AB0"/>
    <w:rsid w:val="00DE2D0A"/>
    <w:rsid w:val="00DE520C"/>
    <w:rsid w:val="00DF0D90"/>
    <w:rsid w:val="00E05496"/>
    <w:rsid w:val="00E10235"/>
    <w:rsid w:val="00E15C18"/>
    <w:rsid w:val="00E2219B"/>
    <w:rsid w:val="00E2501D"/>
    <w:rsid w:val="00E2550C"/>
    <w:rsid w:val="00E306AC"/>
    <w:rsid w:val="00E55A2E"/>
    <w:rsid w:val="00E70A4C"/>
    <w:rsid w:val="00E86B02"/>
    <w:rsid w:val="00E91855"/>
    <w:rsid w:val="00EA2D19"/>
    <w:rsid w:val="00EB21DA"/>
    <w:rsid w:val="00EB2FF5"/>
    <w:rsid w:val="00EB544D"/>
    <w:rsid w:val="00ED04D0"/>
    <w:rsid w:val="00EE5272"/>
    <w:rsid w:val="00EF0AC6"/>
    <w:rsid w:val="00EF57EA"/>
    <w:rsid w:val="00EF5AA5"/>
    <w:rsid w:val="00F12534"/>
    <w:rsid w:val="00F30EDB"/>
    <w:rsid w:val="00F318A0"/>
    <w:rsid w:val="00F32C6B"/>
    <w:rsid w:val="00F50E86"/>
    <w:rsid w:val="00F618A2"/>
    <w:rsid w:val="00F81A63"/>
    <w:rsid w:val="00F91CA6"/>
    <w:rsid w:val="00FA56D1"/>
    <w:rsid w:val="00FC0D61"/>
    <w:rsid w:val="00FC2B68"/>
    <w:rsid w:val="00FE7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E496D"/>
  <w15:chartTrackingRefBased/>
  <w15:docId w15:val="{1132D3F2-D440-468E-98EA-BAAB87FDB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36E"/>
    <w:pPr>
      <w:spacing w:after="0" w:line="360" w:lineRule="auto"/>
      <w:jc w:val="both"/>
    </w:pPr>
    <w:rPr>
      <w:lang w:val="en-US"/>
    </w:rPr>
  </w:style>
  <w:style w:type="paragraph" w:styleId="Heading1">
    <w:name w:val="heading 1"/>
    <w:next w:val="Normal"/>
    <w:link w:val="Heading1Char"/>
    <w:uiPriority w:val="9"/>
    <w:qFormat/>
    <w:rsid w:val="00AB036E"/>
    <w:pPr>
      <w:keepNext/>
      <w:keepLines/>
      <w:spacing w:before="120" w:after="40" w:line="360" w:lineRule="auto"/>
      <w:jc w:val="both"/>
      <w:outlineLvl w:val="0"/>
    </w:pPr>
    <w:rPr>
      <w:rFonts w:ascii="Times New Roman" w:eastAsiaTheme="majorEastAsia" w:hAnsi="Times New Roman" w:cstheme="majorBidi"/>
      <w:b/>
      <w:color w:val="993366"/>
      <w:sz w:val="32"/>
      <w:szCs w:val="32"/>
    </w:rPr>
  </w:style>
  <w:style w:type="paragraph" w:styleId="Heading2">
    <w:name w:val="heading 2"/>
    <w:basedOn w:val="Normal"/>
    <w:next w:val="Normal"/>
    <w:link w:val="Heading2Char"/>
    <w:uiPriority w:val="9"/>
    <w:semiHidden/>
    <w:unhideWhenUsed/>
    <w:qFormat/>
    <w:rsid w:val="009C32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2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2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2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25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25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25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25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36E"/>
    <w:rPr>
      <w:rFonts w:ascii="Times New Roman" w:eastAsiaTheme="majorEastAsia" w:hAnsi="Times New Roman" w:cstheme="majorBidi"/>
      <w:b/>
      <w:color w:val="993366"/>
      <w:sz w:val="32"/>
      <w:szCs w:val="32"/>
    </w:rPr>
  </w:style>
  <w:style w:type="paragraph" w:styleId="Subtitle">
    <w:name w:val="Subtitle"/>
    <w:basedOn w:val="Heading1"/>
    <w:next w:val="Normal"/>
    <w:link w:val="SubtitleChar"/>
    <w:uiPriority w:val="11"/>
    <w:qFormat/>
    <w:rsid w:val="00AB036E"/>
    <w:pPr>
      <w:numPr>
        <w:ilvl w:val="1"/>
      </w:numPr>
      <w:spacing w:before="0" w:after="0"/>
    </w:pPr>
    <w:rPr>
      <w:rFonts w:eastAsiaTheme="minorEastAsia"/>
      <w:b w:val="0"/>
      <w:i/>
      <w:color w:val="auto"/>
      <w:spacing w:val="15"/>
      <w:sz w:val="28"/>
    </w:rPr>
  </w:style>
  <w:style w:type="character" w:customStyle="1" w:styleId="SubtitleChar">
    <w:name w:val="Subtitle Char"/>
    <w:basedOn w:val="DefaultParagraphFont"/>
    <w:link w:val="Subtitle"/>
    <w:uiPriority w:val="11"/>
    <w:rsid w:val="00AB036E"/>
    <w:rPr>
      <w:rFonts w:ascii="Times New Roman" w:eastAsiaTheme="minorEastAsia" w:hAnsi="Times New Roman" w:cstheme="majorBidi"/>
      <w:i/>
      <w:spacing w:val="15"/>
      <w:sz w:val="28"/>
      <w:szCs w:val="32"/>
    </w:rPr>
  </w:style>
  <w:style w:type="character" w:styleId="Emphasis">
    <w:name w:val="Emphasis"/>
    <w:uiPriority w:val="20"/>
    <w:qFormat/>
    <w:rsid w:val="00AB036E"/>
    <w:rPr>
      <w:rFonts w:asciiTheme="minorHAnsi" w:hAnsiTheme="minorHAnsi"/>
      <w:b/>
      <w:i w:val="0"/>
      <w:iCs/>
      <w:color w:val="993366"/>
      <w:sz w:val="22"/>
    </w:rPr>
  </w:style>
  <w:style w:type="paragraph" w:styleId="Quote">
    <w:name w:val="Quote"/>
    <w:basedOn w:val="Normal"/>
    <w:next w:val="Normal"/>
    <w:link w:val="QuoteChar"/>
    <w:uiPriority w:val="29"/>
    <w:qFormat/>
    <w:rsid w:val="00AB036E"/>
    <w:pPr>
      <w:spacing w:before="80" w:after="40"/>
      <w:ind w:left="720" w:right="864"/>
    </w:pPr>
    <w:rPr>
      <w:i/>
      <w:iCs/>
      <w:color w:val="404040" w:themeColor="text1" w:themeTint="BF"/>
      <w:lang w:val="en-GB"/>
    </w:rPr>
  </w:style>
  <w:style w:type="character" w:customStyle="1" w:styleId="QuoteChar">
    <w:name w:val="Quote Char"/>
    <w:basedOn w:val="DefaultParagraphFont"/>
    <w:link w:val="Quote"/>
    <w:uiPriority w:val="29"/>
    <w:rsid w:val="00AB036E"/>
    <w:rPr>
      <w:i/>
      <w:iCs/>
      <w:color w:val="404040" w:themeColor="text1" w:themeTint="BF"/>
    </w:rPr>
  </w:style>
  <w:style w:type="character" w:customStyle="1" w:styleId="Heading2Char">
    <w:name w:val="Heading 2 Char"/>
    <w:basedOn w:val="DefaultParagraphFont"/>
    <w:link w:val="Heading2"/>
    <w:uiPriority w:val="9"/>
    <w:semiHidden/>
    <w:rsid w:val="009C3255"/>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9C3255"/>
    <w:rPr>
      <w:rFonts w:eastAsiaTheme="majorEastAsia"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9C3255"/>
    <w:rPr>
      <w:rFonts w:eastAsiaTheme="majorEastAsia"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9C3255"/>
    <w:rPr>
      <w:rFonts w:eastAsiaTheme="majorEastAsia" w:cstheme="majorBidi"/>
      <w:color w:val="0F4761" w:themeColor="accent1" w:themeShade="BF"/>
      <w:lang w:val="en-US"/>
    </w:rPr>
  </w:style>
  <w:style w:type="character" w:customStyle="1" w:styleId="Heading6Char">
    <w:name w:val="Heading 6 Char"/>
    <w:basedOn w:val="DefaultParagraphFont"/>
    <w:link w:val="Heading6"/>
    <w:uiPriority w:val="9"/>
    <w:semiHidden/>
    <w:rsid w:val="009C3255"/>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9C3255"/>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9C3255"/>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9C3255"/>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9C32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255"/>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9C3255"/>
    <w:pPr>
      <w:ind w:left="720"/>
      <w:contextualSpacing/>
    </w:pPr>
  </w:style>
  <w:style w:type="character" w:styleId="IntenseEmphasis">
    <w:name w:val="Intense Emphasis"/>
    <w:basedOn w:val="DefaultParagraphFont"/>
    <w:uiPriority w:val="21"/>
    <w:qFormat/>
    <w:rsid w:val="009C3255"/>
    <w:rPr>
      <w:i/>
      <w:iCs/>
      <w:color w:val="0F4761" w:themeColor="accent1" w:themeShade="BF"/>
    </w:rPr>
  </w:style>
  <w:style w:type="paragraph" w:styleId="IntenseQuote">
    <w:name w:val="Intense Quote"/>
    <w:basedOn w:val="Normal"/>
    <w:next w:val="Normal"/>
    <w:link w:val="IntenseQuoteChar"/>
    <w:uiPriority w:val="30"/>
    <w:qFormat/>
    <w:rsid w:val="009C32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255"/>
    <w:rPr>
      <w:i/>
      <w:iCs/>
      <w:color w:val="0F4761" w:themeColor="accent1" w:themeShade="BF"/>
      <w:lang w:val="en-US"/>
    </w:rPr>
  </w:style>
  <w:style w:type="character" w:styleId="IntenseReference">
    <w:name w:val="Intense Reference"/>
    <w:basedOn w:val="DefaultParagraphFont"/>
    <w:uiPriority w:val="32"/>
    <w:qFormat/>
    <w:rsid w:val="009C3255"/>
    <w:rPr>
      <w:b/>
      <w:bCs/>
      <w:smallCaps/>
      <w:color w:val="0F4761" w:themeColor="accent1" w:themeShade="BF"/>
      <w:spacing w:val="5"/>
    </w:rPr>
  </w:style>
  <w:style w:type="paragraph" w:styleId="FootnoteText">
    <w:name w:val="footnote text"/>
    <w:basedOn w:val="Normal"/>
    <w:link w:val="FootnoteTextChar"/>
    <w:uiPriority w:val="99"/>
    <w:semiHidden/>
    <w:unhideWhenUsed/>
    <w:rsid w:val="001C777B"/>
    <w:pPr>
      <w:spacing w:line="240" w:lineRule="auto"/>
    </w:pPr>
    <w:rPr>
      <w:sz w:val="20"/>
      <w:szCs w:val="20"/>
    </w:rPr>
  </w:style>
  <w:style w:type="character" w:customStyle="1" w:styleId="FootnoteTextChar">
    <w:name w:val="Footnote Text Char"/>
    <w:basedOn w:val="DefaultParagraphFont"/>
    <w:link w:val="FootnoteText"/>
    <w:uiPriority w:val="99"/>
    <w:semiHidden/>
    <w:rsid w:val="001C777B"/>
    <w:rPr>
      <w:sz w:val="20"/>
      <w:szCs w:val="20"/>
      <w:lang w:val="en-US"/>
    </w:rPr>
  </w:style>
  <w:style w:type="character" w:styleId="FootnoteReference">
    <w:name w:val="footnote reference"/>
    <w:basedOn w:val="DefaultParagraphFont"/>
    <w:uiPriority w:val="99"/>
    <w:semiHidden/>
    <w:unhideWhenUsed/>
    <w:rsid w:val="001C777B"/>
    <w:rPr>
      <w:vertAlign w:val="superscript"/>
    </w:rPr>
  </w:style>
  <w:style w:type="paragraph" w:styleId="Header">
    <w:name w:val="header"/>
    <w:basedOn w:val="Normal"/>
    <w:link w:val="HeaderChar"/>
    <w:uiPriority w:val="99"/>
    <w:unhideWhenUsed/>
    <w:rsid w:val="004E4D06"/>
    <w:pPr>
      <w:tabs>
        <w:tab w:val="center" w:pos="4513"/>
        <w:tab w:val="right" w:pos="9026"/>
      </w:tabs>
      <w:spacing w:line="240" w:lineRule="auto"/>
    </w:pPr>
  </w:style>
  <w:style w:type="character" w:customStyle="1" w:styleId="HeaderChar">
    <w:name w:val="Header Char"/>
    <w:basedOn w:val="DefaultParagraphFont"/>
    <w:link w:val="Header"/>
    <w:uiPriority w:val="99"/>
    <w:rsid w:val="004E4D06"/>
    <w:rPr>
      <w:lang w:val="en-US"/>
    </w:rPr>
  </w:style>
  <w:style w:type="paragraph" w:styleId="Footer">
    <w:name w:val="footer"/>
    <w:basedOn w:val="Normal"/>
    <w:link w:val="FooterChar"/>
    <w:uiPriority w:val="99"/>
    <w:unhideWhenUsed/>
    <w:rsid w:val="004E4D06"/>
    <w:pPr>
      <w:tabs>
        <w:tab w:val="center" w:pos="4513"/>
        <w:tab w:val="right" w:pos="9026"/>
      </w:tabs>
      <w:spacing w:line="240" w:lineRule="auto"/>
    </w:pPr>
  </w:style>
  <w:style w:type="character" w:customStyle="1" w:styleId="FooterChar">
    <w:name w:val="Footer Char"/>
    <w:basedOn w:val="DefaultParagraphFont"/>
    <w:link w:val="Footer"/>
    <w:uiPriority w:val="99"/>
    <w:rsid w:val="004E4D06"/>
    <w:rPr>
      <w:lang w:val="en-US"/>
    </w:rPr>
  </w:style>
  <w:style w:type="character" w:styleId="Hyperlink">
    <w:name w:val="Hyperlink"/>
    <w:basedOn w:val="DefaultParagraphFont"/>
    <w:uiPriority w:val="99"/>
    <w:unhideWhenUsed/>
    <w:rsid w:val="00E91855"/>
    <w:rPr>
      <w:color w:val="467886" w:themeColor="hyperlink"/>
      <w:u w:val="single"/>
    </w:rPr>
  </w:style>
  <w:style w:type="character" w:styleId="UnresolvedMention">
    <w:name w:val="Unresolved Mention"/>
    <w:basedOn w:val="DefaultParagraphFont"/>
    <w:uiPriority w:val="99"/>
    <w:semiHidden/>
    <w:unhideWhenUsed/>
    <w:rsid w:val="00E918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yperlink" Target="https://www-oxfordreference-com.ezproxy.uwtsd.ac.uk/view/10.1093/acref/9780199545568.001.0001/acref-9780199545568-e-700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lic3.1257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cr.brynmawr.edu/1997/1997.07.0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353/phl.2003.0022"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1-04T17:05:32.025"/>
    </inkml:context>
    <inkml:brush xml:id="br0">
      <inkml:brushProperty name="width" value="0.025" units="cm"/>
      <inkml:brushProperty name="height" value="0.025" units="cm"/>
      <inkml:brushProperty name="color" value="#CC0066"/>
    </inkml:brush>
  </inkml:definitions>
  <inkml:trace contextRef="#ctx0" brushRef="#br0">201 71 1375 0 0,'-23'-37'488'0'0,"23"34"-282"0"0,5 3-176 0 0,-4 0-212 0 0,3 0-49 0 0,4 2 154 0 0,0-1 16 0 0,1 1 1 0 0,-1-1 0 0 0,16 0-1 0 0,-16-2 141 0 0</inkml:trace>
  <inkml:trace contextRef="#ctx0" brushRef="#br0" timeOffset="1000.16">39 65 2303 0 0,'-10'-10'1176'0'0,"-17"-23"0"0"0,27 33-1163 0 0,-1-1 0 0 0,1 1 1 0 0,0 0-1 0 0,0 0 0 0 0,0 0 0 0 0,0 0 0 0 0,0 0 0 0 0,0-1 0 0 0,0 1 0 0 0,0 0 0 0 0,0 0 0 0 0,0 0 0 0 0,0 0 0 0 0,0-1 0 0 0,0 1 0 0 0,0 0 0 0 0,0 0 0 0 0,0 0 0 0 0,0 0 0 0 0,0 0 0 0 0,0-1 0 0 0,0 1 0 0 0,0 0 0 0 0,0 0 0 0 0,0 0 0 0 0,1 0 0 0 0,-1 0 0 0 0,0-1 0 0 0,0 1 0 0 0,0 0 0 0 0,0 0 0 0 0,0 0 0 0 0,0 0 0 0 0,0 0 0 0 0,1 0 0 0 0,-1 0 0 0 0,0-1 0 0 0,0 1 1 0 0,0 0-1 0 0,0 0 0 0 0,0 0 0 0 0,1 0 0 0 0,10-3 99 0 0,16 2-497 0 0,-24 1 313 0 0,8 0-458 0 0,-1-1 1 0 0,12-3-1 0 0,-12 2 14 0 0,0 1 1 0 0,13-1-1 0 0,-18 2 516 0 0,-1-2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EA480A-BFFB-4AD0-9BFC-2545DCF40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816</TotalTime>
  <Pages>12</Pages>
  <Words>2346</Words>
  <Characters>13376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BOYD</dc:creator>
  <cp:keywords/>
  <dc:description/>
  <cp:lastModifiedBy>JANE BOYD</cp:lastModifiedBy>
  <cp:revision>201</cp:revision>
  <dcterms:created xsi:type="dcterms:W3CDTF">2025-12-30T19:59:00Z</dcterms:created>
  <dcterms:modified xsi:type="dcterms:W3CDTF">2026-01-04T19:58:00Z</dcterms:modified>
</cp:coreProperties>
</file>