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7" w14:textId="0D06AF5C" w:rsidR="0037183C" w:rsidRPr="00DE53B8" w:rsidRDefault="006F0DB9" w:rsidP="00DE53B8">
      <w:pPr>
        <w:pStyle w:val="Title"/>
        <w:jc w:val="both"/>
        <w:rPr>
          <w:rFonts w:ascii="Arial" w:hAnsi="Arial" w:cs="Arial"/>
        </w:rPr>
      </w:pPr>
      <w:bookmarkStart w:id="0" w:name="_z4lzb5uto4g6" w:colFirst="0" w:colLast="0"/>
      <w:bookmarkStart w:id="1" w:name="_hffugpdvk5hy" w:colFirst="0" w:colLast="0"/>
      <w:bookmarkEnd w:id="0"/>
      <w:bookmarkEnd w:id="1"/>
      <w:r w:rsidRPr="00964953">
        <w:rPr>
          <w:noProof/>
          <w:lang w:val="en-IN"/>
        </w:rPr>
        <w:drawing>
          <wp:inline distT="0" distB="0" distL="0" distR="0" wp14:anchorId="54820B07" wp14:editId="1BEDE4A3">
            <wp:extent cx="5730240" cy="2009775"/>
            <wp:effectExtent l="0" t="0" r="3810" b="9525"/>
            <wp:docPr id="81120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532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41696" cy="2013793"/>
                    </a:xfrm>
                    <a:prstGeom prst="rect">
                      <a:avLst/>
                    </a:prstGeom>
                  </pic:spPr>
                </pic:pic>
              </a:graphicData>
            </a:graphic>
          </wp:inline>
        </w:drawing>
      </w:r>
    </w:p>
    <w:p w14:paraId="0190E1B8" w14:textId="45CE4D6E" w:rsidR="00DE53B8" w:rsidRPr="009D4EC5" w:rsidRDefault="009D4EC5" w:rsidP="009D4EC5">
      <w:pPr>
        <w:pStyle w:val="Title"/>
        <w:jc w:val="both"/>
        <w:rPr>
          <w:rFonts w:asciiTheme="minorHAnsi" w:hAnsiTheme="minorHAnsi" w:cs="Arial"/>
        </w:rPr>
      </w:pPr>
      <w:bookmarkStart w:id="2" w:name="_gpgunfa3uv2v" w:colFirst="0" w:colLast="0"/>
      <w:bookmarkStart w:id="3" w:name="_799vj1500l99" w:colFirst="0" w:colLast="0"/>
      <w:bookmarkStart w:id="4" w:name="_lzxqa32d5aqa" w:colFirst="0" w:colLast="0"/>
      <w:bookmarkEnd w:id="2"/>
      <w:bookmarkEnd w:id="3"/>
      <w:bookmarkEnd w:id="4"/>
      <w:r>
        <w:rPr>
          <w:rFonts w:ascii="Arial" w:hAnsi="Arial" w:cs="Arial"/>
        </w:rPr>
        <w:t xml:space="preserve">                            </w:t>
      </w:r>
      <w:r w:rsidR="00DE53B8" w:rsidRPr="009D4EC5">
        <w:rPr>
          <w:rFonts w:asciiTheme="minorHAnsi" w:hAnsiTheme="minorHAnsi" w:cs="Arial"/>
        </w:rPr>
        <w:t xml:space="preserve">Master of Business Administration </w:t>
      </w:r>
    </w:p>
    <w:p w14:paraId="02B455B3" w14:textId="287D22F3" w:rsidR="00DE53B8" w:rsidRPr="009D4EC5" w:rsidRDefault="00DE53B8" w:rsidP="009D4EC5">
      <w:pPr>
        <w:pStyle w:val="Title"/>
        <w:rPr>
          <w:rFonts w:asciiTheme="minorHAnsi" w:hAnsiTheme="minorHAnsi" w:cs="Arial"/>
          <w:sz w:val="28"/>
          <w:szCs w:val="28"/>
        </w:rPr>
      </w:pPr>
      <w:r w:rsidRPr="009D4EC5">
        <w:rPr>
          <w:rFonts w:asciiTheme="minorHAnsi" w:hAnsiTheme="minorHAnsi" w:cs="Arial"/>
          <w:sz w:val="28"/>
          <w:szCs w:val="28"/>
        </w:rPr>
        <w:t xml:space="preserve">Marketing Management </w:t>
      </w:r>
      <w:r w:rsidR="000D5DF2">
        <w:rPr>
          <w:rFonts w:asciiTheme="minorHAnsi" w:hAnsiTheme="minorHAnsi" w:cs="Arial"/>
          <w:sz w:val="28"/>
          <w:szCs w:val="28"/>
        </w:rPr>
        <w:t xml:space="preserve">[ </w:t>
      </w:r>
      <w:r w:rsidRPr="009D4EC5">
        <w:rPr>
          <w:rFonts w:asciiTheme="minorHAnsi" w:hAnsiTheme="minorHAnsi" w:cs="Arial"/>
          <w:sz w:val="28"/>
          <w:szCs w:val="28"/>
        </w:rPr>
        <w:t>LCMB7024</w:t>
      </w:r>
      <w:r w:rsidR="000D5DF2">
        <w:rPr>
          <w:rFonts w:asciiTheme="minorHAnsi" w:hAnsiTheme="minorHAnsi" w:cs="Arial"/>
          <w:sz w:val="28"/>
          <w:szCs w:val="28"/>
        </w:rPr>
        <w:t xml:space="preserve"> ] </w:t>
      </w:r>
    </w:p>
    <w:p w14:paraId="0390C34A" w14:textId="11EE4BD0" w:rsidR="00DE53B8" w:rsidRPr="000D5DF2" w:rsidRDefault="00DE53B8" w:rsidP="000D5DF2">
      <w:pPr>
        <w:pStyle w:val="Title"/>
        <w:rPr>
          <w:rFonts w:asciiTheme="minorHAnsi" w:hAnsiTheme="minorHAnsi" w:cs="Arial"/>
        </w:rPr>
      </w:pPr>
      <w:r w:rsidRPr="009D4EC5">
        <w:rPr>
          <w:rFonts w:asciiTheme="minorHAnsi" w:hAnsiTheme="minorHAnsi" w:cs="Arial"/>
        </w:rPr>
        <w:t>Assessment component 2:</w:t>
      </w:r>
      <w:r w:rsidR="000D5DF2">
        <w:rPr>
          <w:rFonts w:asciiTheme="minorHAnsi" w:hAnsiTheme="minorHAnsi" w:cs="Arial"/>
        </w:rPr>
        <w:t xml:space="preserve"> </w:t>
      </w:r>
      <w:r w:rsidRPr="009D4EC5">
        <w:rPr>
          <w:rFonts w:asciiTheme="minorHAnsi" w:hAnsiTheme="minorHAnsi" w:cs="Arial"/>
        </w:rPr>
        <w:t>Marketing Strategies Portfolio</w:t>
      </w:r>
    </w:p>
    <w:p w14:paraId="63A08F99" w14:textId="77777777" w:rsidR="00DE53B8" w:rsidRPr="00DE53B8" w:rsidRDefault="00DE53B8" w:rsidP="00DE53B8">
      <w:pPr>
        <w:pStyle w:val="Title"/>
        <w:rPr>
          <w:rFonts w:ascii="Arial" w:hAnsi="Arial" w:cs="Arial"/>
        </w:rPr>
      </w:pPr>
    </w:p>
    <w:p w14:paraId="21B1D6BF" w14:textId="77777777" w:rsidR="00DE53B8" w:rsidRPr="000D5DF2" w:rsidRDefault="00DE53B8" w:rsidP="00DE53B8">
      <w:pPr>
        <w:pStyle w:val="Title"/>
        <w:rPr>
          <w:rFonts w:asciiTheme="minorHAnsi" w:hAnsiTheme="minorHAnsi" w:cs="Arial"/>
          <w:color w:val="31849B" w:themeColor="accent5" w:themeShade="BF"/>
        </w:rPr>
      </w:pPr>
      <w:bookmarkStart w:id="5" w:name="_xmjosoprffip" w:colFirst="0" w:colLast="0"/>
      <w:bookmarkEnd w:id="5"/>
      <w:r w:rsidRPr="000D5DF2">
        <w:rPr>
          <w:rFonts w:asciiTheme="minorHAnsi" w:hAnsiTheme="minorHAnsi" w:cs="Arial"/>
          <w:color w:val="31849B" w:themeColor="accent5" w:themeShade="BF"/>
        </w:rPr>
        <w:t>MARKETING STRATEGY PORTFOLIO: BRAND EXTENSION OF PATEK PHILIPPE SMART HERITAGE WATCH</w:t>
      </w:r>
    </w:p>
    <w:p w14:paraId="3E882205" w14:textId="77777777" w:rsidR="00DE53B8" w:rsidRPr="000D5DF2" w:rsidRDefault="00DE53B8" w:rsidP="00DE53B8">
      <w:pPr>
        <w:pStyle w:val="Title"/>
        <w:rPr>
          <w:rFonts w:ascii="Aptos" w:hAnsi="Aptos" w:cs="Arial"/>
          <w:color w:val="31849B" w:themeColor="accent5" w:themeShade="BF"/>
          <w:sz w:val="24"/>
          <w:szCs w:val="24"/>
        </w:rPr>
      </w:pPr>
    </w:p>
    <w:p w14:paraId="078E0258" w14:textId="77777777" w:rsidR="00DE53B8" w:rsidRPr="00BF48EA" w:rsidRDefault="00DE53B8" w:rsidP="00DE53B8">
      <w:pPr>
        <w:pStyle w:val="Title"/>
        <w:rPr>
          <w:rFonts w:ascii="Aptos" w:hAnsi="Aptos" w:cs="Arial"/>
          <w:color w:val="403152" w:themeColor="accent4" w:themeShade="80"/>
          <w:sz w:val="28"/>
          <w:szCs w:val="28"/>
        </w:rPr>
      </w:pPr>
      <w:r w:rsidRPr="00BF48EA">
        <w:rPr>
          <w:rFonts w:ascii="Aptos" w:hAnsi="Aptos" w:cs="Arial"/>
          <w:color w:val="403152" w:themeColor="accent4" w:themeShade="80"/>
          <w:sz w:val="28"/>
          <w:szCs w:val="28"/>
        </w:rPr>
        <w:t>Lecturer name: Laila Maazouz, Dian Mayasari</w:t>
      </w:r>
    </w:p>
    <w:p w14:paraId="6DFCAC5A" w14:textId="77777777" w:rsidR="00DE53B8" w:rsidRPr="000D5DF2" w:rsidRDefault="00DE53B8" w:rsidP="00DE53B8">
      <w:pPr>
        <w:pStyle w:val="Title"/>
        <w:rPr>
          <w:rFonts w:ascii="Aptos" w:hAnsi="Aptos" w:cs="Arial"/>
          <w:sz w:val="24"/>
          <w:szCs w:val="24"/>
        </w:rPr>
      </w:pPr>
    </w:p>
    <w:p w14:paraId="116CF65A" w14:textId="46426727" w:rsidR="00DE53B8" w:rsidRPr="000D5DF2" w:rsidRDefault="00DE53B8" w:rsidP="00DE53B8">
      <w:pPr>
        <w:pStyle w:val="Title"/>
        <w:rPr>
          <w:rFonts w:ascii="Aptos" w:hAnsi="Aptos" w:cs="Arial"/>
          <w:sz w:val="24"/>
          <w:szCs w:val="24"/>
        </w:rPr>
      </w:pPr>
      <w:r w:rsidRPr="000D5DF2">
        <w:rPr>
          <w:rFonts w:ascii="Aptos" w:hAnsi="Aptos" w:cs="Arial"/>
          <w:sz w:val="24"/>
          <w:szCs w:val="24"/>
        </w:rPr>
        <w:t>Student name:</w:t>
      </w:r>
      <w:r w:rsidR="00BF48EA">
        <w:rPr>
          <w:rFonts w:ascii="Aptos" w:hAnsi="Aptos" w:cs="Arial"/>
          <w:sz w:val="24"/>
          <w:szCs w:val="24"/>
        </w:rPr>
        <w:t xml:space="preserve">  Hari Mohan Singh</w:t>
      </w:r>
    </w:p>
    <w:p w14:paraId="1C33A5B3" w14:textId="5CC1D153" w:rsidR="00DE53B8" w:rsidRPr="000D5DF2" w:rsidRDefault="00DE53B8" w:rsidP="00DE53B8">
      <w:pPr>
        <w:pStyle w:val="Title"/>
        <w:rPr>
          <w:rFonts w:ascii="Aptos" w:hAnsi="Aptos" w:cs="Arial"/>
          <w:sz w:val="24"/>
          <w:szCs w:val="24"/>
        </w:rPr>
      </w:pPr>
      <w:r w:rsidRPr="000D5DF2">
        <w:rPr>
          <w:rFonts w:ascii="Aptos" w:hAnsi="Aptos" w:cs="Arial"/>
          <w:sz w:val="24"/>
          <w:szCs w:val="24"/>
        </w:rPr>
        <w:t>Student ID:</w:t>
      </w:r>
      <w:r w:rsidR="00BF48EA">
        <w:rPr>
          <w:rFonts w:ascii="Aptos" w:hAnsi="Aptos" w:cs="Arial"/>
          <w:sz w:val="24"/>
          <w:szCs w:val="24"/>
        </w:rPr>
        <w:t xml:space="preserve"> 2506569</w:t>
      </w:r>
    </w:p>
    <w:p w14:paraId="0468970D" w14:textId="77777777" w:rsidR="00DE53B8" w:rsidRPr="000D5DF2" w:rsidRDefault="00DE53B8" w:rsidP="00DE53B8">
      <w:pPr>
        <w:pStyle w:val="Title"/>
        <w:rPr>
          <w:rFonts w:ascii="Aptos" w:hAnsi="Aptos" w:cs="Arial"/>
          <w:sz w:val="24"/>
          <w:szCs w:val="24"/>
        </w:rPr>
      </w:pPr>
    </w:p>
    <w:p w14:paraId="3B778B17" w14:textId="77777777" w:rsidR="00DE53B8" w:rsidRPr="000D5DF2" w:rsidRDefault="00DE53B8" w:rsidP="00DE53B8">
      <w:pPr>
        <w:pStyle w:val="Title"/>
        <w:rPr>
          <w:rFonts w:ascii="Aptos" w:hAnsi="Aptos" w:cs="Arial"/>
          <w:sz w:val="24"/>
          <w:szCs w:val="24"/>
        </w:rPr>
      </w:pPr>
      <w:r w:rsidRPr="000D5DF2">
        <w:rPr>
          <w:rFonts w:ascii="Aptos" w:hAnsi="Aptos" w:cs="Arial"/>
          <w:sz w:val="24"/>
          <w:szCs w:val="24"/>
        </w:rPr>
        <w:t>Word count: 2589 words</w:t>
      </w:r>
    </w:p>
    <w:p w14:paraId="741FC220" w14:textId="77777777" w:rsidR="00DE53B8" w:rsidRPr="000D5DF2" w:rsidRDefault="00DE53B8" w:rsidP="00DE53B8">
      <w:pPr>
        <w:pStyle w:val="Title"/>
        <w:rPr>
          <w:rFonts w:ascii="Aptos" w:hAnsi="Aptos" w:cs="Arial"/>
          <w:sz w:val="24"/>
          <w:szCs w:val="24"/>
        </w:rPr>
      </w:pPr>
    </w:p>
    <w:p w14:paraId="01673E7D" w14:textId="6F7768F1" w:rsidR="00DE53B8" w:rsidRPr="000D5DF2" w:rsidRDefault="00DE53B8" w:rsidP="00DE53B8">
      <w:pPr>
        <w:pStyle w:val="Title"/>
        <w:rPr>
          <w:rFonts w:ascii="Aptos" w:hAnsi="Aptos" w:cs="Arial"/>
          <w:sz w:val="24"/>
          <w:szCs w:val="24"/>
        </w:rPr>
      </w:pPr>
      <w:r w:rsidRPr="000D5DF2">
        <w:rPr>
          <w:rFonts w:ascii="Aptos" w:hAnsi="Aptos" w:cs="Arial"/>
          <w:sz w:val="24"/>
          <w:szCs w:val="24"/>
        </w:rPr>
        <w:t>Submission date:</w:t>
      </w:r>
      <w:r w:rsidR="00BF48EA">
        <w:rPr>
          <w:rFonts w:ascii="Aptos" w:hAnsi="Aptos" w:cs="Arial"/>
          <w:sz w:val="24"/>
          <w:szCs w:val="24"/>
        </w:rPr>
        <w:t xml:space="preserve"> </w:t>
      </w:r>
      <w:r w:rsidR="00C26B31">
        <w:rPr>
          <w:rFonts w:ascii="Aptos" w:hAnsi="Aptos" w:cs="Arial"/>
          <w:sz w:val="24"/>
          <w:szCs w:val="24"/>
        </w:rPr>
        <w:t>30</w:t>
      </w:r>
      <w:r w:rsidR="00BF48EA">
        <w:rPr>
          <w:rFonts w:ascii="Aptos" w:hAnsi="Aptos" w:cs="Arial"/>
          <w:sz w:val="24"/>
          <w:szCs w:val="24"/>
        </w:rPr>
        <w:t>-04-2026</w:t>
      </w:r>
    </w:p>
    <w:p w14:paraId="74410DF3" w14:textId="7EC11996" w:rsidR="0038345A" w:rsidRPr="00DE53B8" w:rsidRDefault="0038345A">
      <w:pPr>
        <w:rPr>
          <w:rFonts w:ascii="Arial" w:hAnsi="Arial" w:cs="Arial"/>
        </w:rPr>
      </w:pPr>
      <w:r w:rsidRPr="00DE53B8">
        <w:rPr>
          <w:rFonts w:ascii="Arial" w:hAnsi="Arial" w:cs="Arial"/>
        </w:rPr>
        <w:br w:type="page"/>
      </w:r>
    </w:p>
    <w:sdt>
      <w:sdtPr>
        <w:rPr>
          <w:rFonts w:ascii="Arial" w:eastAsia="Times New Roman" w:hAnsi="Arial" w:cs="Arial"/>
          <w:color w:val="auto"/>
          <w:sz w:val="24"/>
          <w:szCs w:val="24"/>
          <w:lang w:val="en-GB" w:eastAsia="en-IN"/>
        </w:rPr>
        <w:id w:val="-795137176"/>
        <w:docPartObj>
          <w:docPartGallery w:val="Table of Contents"/>
          <w:docPartUnique/>
        </w:docPartObj>
      </w:sdtPr>
      <w:sdtEndPr>
        <w:rPr>
          <w:rFonts w:asciiTheme="minorHAnsi" w:hAnsiTheme="minorHAnsi"/>
          <w:b/>
          <w:bCs/>
          <w:noProof/>
        </w:rPr>
      </w:sdtEndPr>
      <w:sdtContent>
        <w:p w14:paraId="590E9232" w14:textId="5BAF1F3B" w:rsidR="0038345A" w:rsidRPr="00945EBD" w:rsidRDefault="0038345A" w:rsidP="0038345A">
          <w:pPr>
            <w:pStyle w:val="TOCHeading"/>
            <w:jc w:val="center"/>
            <w:rPr>
              <w:rFonts w:asciiTheme="minorHAnsi" w:hAnsiTheme="minorHAnsi" w:cs="Arial"/>
              <w:b/>
              <w:bCs/>
              <w:color w:val="000000" w:themeColor="text1"/>
            </w:rPr>
          </w:pPr>
          <w:r w:rsidRPr="00945EBD">
            <w:rPr>
              <w:rFonts w:asciiTheme="minorHAnsi" w:hAnsiTheme="minorHAnsi" w:cs="Arial"/>
              <w:b/>
              <w:bCs/>
              <w:color w:val="000000" w:themeColor="text1"/>
            </w:rPr>
            <w:t>Table of Contents</w:t>
          </w:r>
        </w:p>
        <w:p w14:paraId="1EE43AC8" w14:textId="52A45A8C" w:rsidR="008C35EE" w:rsidRPr="00945EBD" w:rsidRDefault="0038345A">
          <w:pPr>
            <w:pStyle w:val="TOC1"/>
            <w:tabs>
              <w:tab w:val="right" w:leader="dot" w:pos="9350"/>
            </w:tabs>
            <w:rPr>
              <w:rFonts w:asciiTheme="minorHAnsi" w:eastAsiaTheme="minorEastAsia" w:hAnsiTheme="minorHAnsi" w:cstheme="minorBidi"/>
              <w:noProof/>
              <w:kern w:val="2"/>
              <w:lang w:val="en-IN"/>
              <w14:ligatures w14:val="standardContextual"/>
            </w:rPr>
          </w:pPr>
          <w:r w:rsidRPr="00945EBD">
            <w:rPr>
              <w:rFonts w:asciiTheme="minorHAnsi" w:hAnsiTheme="minorHAnsi" w:cs="Arial"/>
            </w:rPr>
            <w:fldChar w:fldCharType="begin"/>
          </w:r>
          <w:r w:rsidRPr="00945EBD">
            <w:rPr>
              <w:rFonts w:asciiTheme="minorHAnsi" w:hAnsiTheme="minorHAnsi" w:cs="Arial"/>
            </w:rPr>
            <w:instrText xml:space="preserve"> TOC \o "1-3" \h \z \u </w:instrText>
          </w:r>
          <w:r w:rsidRPr="00945EBD">
            <w:rPr>
              <w:rFonts w:asciiTheme="minorHAnsi" w:hAnsiTheme="minorHAnsi" w:cs="Arial"/>
            </w:rPr>
            <w:fldChar w:fldCharType="separate"/>
          </w:r>
          <w:hyperlink w:anchor="_Toc226231784" w:history="1">
            <w:r w:rsidR="008C35EE" w:rsidRPr="00945EBD">
              <w:rPr>
                <w:rStyle w:val="Hyperlink"/>
                <w:rFonts w:asciiTheme="minorHAnsi" w:hAnsiTheme="minorHAnsi" w:cs="Arial"/>
                <w:noProof/>
              </w:rPr>
              <w:t>1. Introduction</w:t>
            </w:r>
            <w:r w:rsidR="008C35EE" w:rsidRPr="00945EBD">
              <w:rPr>
                <w:rFonts w:asciiTheme="minorHAnsi" w:hAnsiTheme="minorHAnsi"/>
                <w:noProof/>
                <w:webHidden/>
              </w:rPr>
              <w:tab/>
            </w:r>
            <w:r w:rsidR="008C35EE" w:rsidRPr="00945EBD">
              <w:rPr>
                <w:rFonts w:asciiTheme="minorHAnsi" w:hAnsiTheme="minorHAnsi"/>
                <w:noProof/>
                <w:webHidden/>
              </w:rPr>
              <w:fldChar w:fldCharType="begin"/>
            </w:r>
            <w:r w:rsidR="008C35EE" w:rsidRPr="00945EBD">
              <w:rPr>
                <w:rFonts w:asciiTheme="minorHAnsi" w:hAnsiTheme="minorHAnsi"/>
                <w:noProof/>
                <w:webHidden/>
              </w:rPr>
              <w:instrText xml:space="preserve"> PAGEREF _Toc226231784 \h </w:instrText>
            </w:r>
            <w:r w:rsidR="008C35EE" w:rsidRPr="00945EBD">
              <w:rPr>
                <w:rFonts w:asciiTheme="minorHAnsi" w:hAnsiTheme="minorHAnsi"/>
                <w:noProof/>
                <w:webHidden/>
              </w:rPr>
            </w:r>
            <w:r w:rsidR="008C35EE" w:rsidRPr="00945EBD">
              <w:rPr>
                <w:rFonts w:asciiTheme="minorHAnsi" w:hAnsiTheme="minorHAnsi"/>
                <w:noProof/>
                <w:webHidden/>
              </w:rPr>
              <w:fldChar w:fldCharType="separate"/>
            </w:r>
            <w:r w:rsidR="008C35EE" w:rsidRPr="00945EBD">
              <w:rPr>
                <w:rFonts w:asciiTheme="minorHAnsi" w:hAnsiTheme="minorHAnsi"/>
                <w:noProof/>
                <w:webHidden/>
              </w:rPr>
              <w:t>3</w:t>
            </w:r>
            <w:r w:rsidR="008C35EE" w:rsidRPr="00945EBD">
              <w:rPr>
                <w:rFonts w:asciiTheme="minorHAnsi" w:hAnsiTheme="minorHAnsi"/>
                <w:noProof/>
                <w:webHidden/>
              </w:rPr>
              <w:fldChar w:fldCharType="end"/>
            </w:r>
          </w:hyperlink>
        </w:p>
        <w:p w14:paraId="34AFDA9B" w14:textId="5DDEB63F" w:rsidR="008C35EE" w:rsidRPr="00945EBD" w:rsidRDefault="008C35EE">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31785" w:history="1">
            <w:r w:rsidRPr="00945EBD">
              <w:rPr>
                <w:rStyle w:val="Hyperlink"/>
                <w:rFonts w:asciiTheme="minorHAnsi" w:hAnsiTheme="minorHAnsi" w:cs="Arial"/>
                <w:noProof/>
              </w:rPr>
              <w:t>Element 1: Brand Extension Poster</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_Toc226231785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4</w:t>
            </w:r>
            <w:r w:rsidRPr="00945EBD">
              <w:rPr>
                <w:rFonts w:asciiTheme="minorHAnsi" w:hAnsiTheme="minorHAnsi"/>
                <w:noProof/>
                <w:webHidden/>
              </w:rPr>
              <w:fldChar w:fldCharType="end"/>
            </w:r>
          </w:hyperlink>
        </w:p>
        <w:p w14:paraId="59623EE1" w14:textId="2D83A1B5" w:rsidR="008C35EE" w:rsidRPr="00945EBD" w:rsidRDefault="008C35EE">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31786" w:history="1">
            <w:r w:rsidRPr="00945EBD">
              <w:rPr>
                <w:rStyle w:val="Hyperlink"/>
                <w:rFonts w:asciiTheme="minorHAnsi" w:hAnsiTheme="minorHAnsi" w:cs="Arial"/>
                <w:noProof/>
              </w:rPr>
              <w:t>Element 2: STDP Analysis</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_Toc226231786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5</w:t>
            </w:r>
            <w:r w:rsidRPr="00945EBD">
              <w:rPr>
                <w:rFonts w:asciiTheme="minorHAnsi" w:hAnsiTheme="minorHAnsi"/>
                <w:noProof/>
                <w:webHidden/>
              </w:rPr>
              <w:fldChar w:fldCharType="end"/>
            </w:r>
          </w:hyperlink>
        </w:p>
        <w:p w14:paraId="29131E06" w14:textId="6D999C22"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87" w:history="1">
            <w:r w:rsidRPr="00945EBD">
              <w:rPr>
                <w:rStyle w:val="Hyperlink"/>
                <w:rFonts w:asciiTheme="minorHAnsi" w:hAnsiTheme="minorHAnsi" w:cs="Arial"/>
                <w:noProof/>
              </w:rPr>
              <w:t>2.1 Market Segmentation</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_Toc226231787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5</w:t>
            </w:r>
            <w:r w:rsidRPr="00945EBD">
              <w:rPr>
                <w:rFonts w:asciiTheme="minorHAnsi" w:hAnsiTheme="minorHAnsi"/>
                <w:noProof/>
                <w:webHidden/>
              </w:rPr>
              <w:fldChar w:fldCharType="end"/>
            </w:r>
          </w:hyperlink>
        </w:p>
        <w:p w14:paraId="5D738F50" w14:textId="799F123E"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88" w:history="1">
            <w:r w:rsidRPr="00945EBD">
              <w:rPr>
                <w:rStyle w:val="Hyperlink"/>
                <w:rFonts w:asciiTheme="minorHAnsi" w:hAnsiTheme="minorHAnsi" w:cs="Arial"/>
                <w:noProof/>
              </w:rPr>
              <w:t>2.2 Targeting Strategy</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_Toc226231788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6</w:t>
            </w:r>
            <w:r w:rsidRPr="00945EBD">
              <w:rPr>
                <w:rFonts w:asciiTheme="minorHAnsi" w:hAnsiTheme="minorHAnsi"/>
                <w:noProof/>
                <w:webHidden/>
              </w:rPr>
              <w:fldChar w:fldCharType="end"/>
            </w:r>
          </w:hyperlink>
        </w:p>
        <w:p w14:paraId="354DE6AD" w14:textId="1EDF8490"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89" w:history="1">
            <w:r w:rsidRPr="00945EBD">
              <w:rPr>
                <w:rStyle w:val="Hyperlink"/>
                <w:rFonts w:asciiTheme="minorHAnsi" w:hAnsiTheme="minorHAnsi" w:cs="Arial"/>
                <w:noProof/>
              </w:rPr>
              <w:t>2.3 Differentiation Strategy</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_Toc226231789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6</w:t>
            </w:r>
            <w:r w:rsidRPr="00945EBD">
              <w:rPr>
                <w:rFonts w:asciiTheme="minorHAnsi" w:hAnsiTheme="minorHAnsi"/>
                <w:noProof/>
                <w:webHidden/>
              </w:rPr>
              <w:fldChar w:fldCharType="end"/>
            </w:r>
          </w:hyperlink>
        </w:p>
        <w:p w14:paraId="089742EF" w14:textId="4BDC1D64"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90" w:history="1">
            <w:r w:rsidRPr="00945EBD">
              <w:rPr>
                <w:rStyle w:val="Hyperlink"/>
                <w:rFonts w:asciiTheme="minorHAnsi" w:hAnsiTheme="minorHAnsi" w:cs="Arial"/>
                <w:noProof/>
              </w:rPr>
              <w:t>2.4 Positioning Strategy</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_Toc226231790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7</w:t>
            </w:r>
            <w:r w:rsidRPr="00945EBD">
              <w:rPr>
                <w:rFonts w:asciiTheme="minorHAnsi" w:hAnsiTheme="minorHAnsi"/>
                <w:noProof/>
                <w:webHidden/>
              </w:rPr>
              <w:fldChar w:fldCharType="end"/>
            </w:r>
          </w:hyperlink>
        </w:p>
        <w:p w14:paraId="2DEF7443" w14:textId="48FF1400" w:rsidR="008C35EE" w:rsidRPr="00945EBD" w:rsidRDefault="008C35EE">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31791" w:history="1">
            <w:r w:rsidRPr="00945EBD">
              <w:rPr>
                <w:rStyle w:val="Hyperlink"/>
                <w:rFonts w:asciiTheme="minorHAnsi" w:hAnsiTheme="minorHAnsi" w:cs="Arial"/>
                <w:noProof/>
              </w:rPr>
              <w:t>Element 3: Marketing Mix</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_Toc226231791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7</w:t>
            </w:r>
            <w:r w:rsidRPr="00945EBD">
              <w:rPr>
                <w:rFonts w:asciiTheme="minorHAnsi" w:hAnsiTheme="minorHAnsi"/>
                <w:noProof/>
                <w:webHidden/>
              </w:rPr>
              <w:fldChar w:fldCharType="end"/>
            </w:r>
          </w:hyperlink>
        </w:p>
        <w:p w14:paraId="564BF2F9" w14:textId="674079F2"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92" w:history="1">
            <w:r w:rsidRPr="00945EBD">
              <w:rPr>
                <w:rStyle w:val="Hyperlink"/>
                <w:rFonts w:asciiTheme="minorHAnsi" w:hAnsiTheme="minorHAnsi" w:cs="Arial"/>
                <w:noProof/>
              </w:rPr>
              <w:t>3.1 Product</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_Toc226231792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7</w:t>
            </w:r>
            <w:r w:rsidRPr="00945EBD">
              <w:rPr>
                <w:rFonts w:asciiTheme="minorHAnsi" w:hAnsiTheme="minorHAnsi"/>
                <w:noProof/>
                <w:webHidden/>
              </w:rPr>
              <w:fldChar w:fldCharType="end"/>
            </w:r>
          </w:hyperlink>
        </w:p>
        <w:p w14:paraId="3AB522FC" w14:textId="3A5FAF79"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93" w:history="1">
            <w:r w:rsidRPr="00945EBD">
              <w:rPr>
                <w:rStyle w:val="Hyperlink"/>
                <w:rFonts w:asciiTheme="minorHAnsi" w:hAnsiTheme="minorHAnsi" w:cs="Arial"/>
                <w:noProof/>
              </w:rPr>
              <w:t>3.2 Price</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_Toc226231793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7</w:t>
            </w:r>
            <w:r w:rsidRPr="00945EBD">
              <w:rPr>
                <w:rFonts w:asciiTheme="minorHAnsi" w:hAnsiTheme="minorHAnsi"/>
                <w:noProof/>
                <w:webHidden/>
              </w:rPr>
              <w:fldChar w:fldCharType="end"/>
            </w:r>
          </w:hyperlink>
        </w:p>
        <w:p w14:paraId="520BDFEF" w14:textId="17D1477E"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94" w:history="1">
            <w:r w:rsidRPr="00945EBD">
              <w:rPr>
                <w:rStyle w:val="Hyperlink"/>
                <w:rFonts w:asciiTheme="minorHAnsi" w:hAnsiTheme="minorHAnsi" w:cs="Arial"/>
                <w:noProof/>
              </w:rPr>
              <w:t>3.3 Place</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_Toc226231794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8</w:t>
            </w:r>
            <w:r w:rsidRPr="00945EBD">
              <w:rPr>
                <w:rFonts w:asciiTheme="minorHAnsi" w:hAnsiTheme="minorHAnsi"/>
                <w:noProof/>
                <w:webHidden/>
              </w:rPr>
              <w:fldChar w:fldCharType="end"/>
            </w:r>
          </w:hyperlink>
        </w:p>
        <w:p w14:paraId="2C9AAB1E" w14:textId="55913017"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95" w:history="1">
            <w:r w:rsidRPr="00945EBD">
              <w:rPr>
                <w:rStyle w:val="Hyperlink"/>
                <w:rFonts w:asciiTheme="minorHAnsi" w:hAnsiTheme="minorHAnsi" w:cs="Arial"/>
                <w:noProof/>
              </w:rPr>
              <w:t>3.4 Promotion</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_Toc226231795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8</w:t>
            </w:r>
            <w:r w:rsidRPr="00945EBD">
              <w:rPr>
                <w:rFonts w:asciiTheme="minorHAnsi" w:hAnsiTheme="minorHAnsi"/>
                <w:noProof/>
                <w:webHidden/>
              </w:rPr>
              <w:fldChar w:fldCharType="end"/>
            </w:r>
          </w:hyperlink>
        </w:p>
        <w:p w14:paraId="44A368D4" w14:textId="0CCD43C9"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96" w:history="1">
            <w:r w:rsidRPr="00945EBD">
              <w:rPr>
                <w:rStyle w:val="Hyperlink"/>
                <w:rFonts w:asciiTheme="minorHAnsi" w:hAnsiTheme="minorHAnsi" w:cs="Arial"/>
                <w:noProof/>
              </w:rPr>
              <w:t>3.5 People</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_Toc226231796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9</w:t>
            </w:r>
            <w:r w:rsidRPr="00945EBD">
              <w:rPr>
                <w:rFonts w:asciiTheme="minorHAnsi" w:hAnsiTheme="minorHAnsi"/>
                <w:noProof/>
                <w:webHidden/>
              </w:rPr>
              <w:fldChar w:fldCharType="end"/>
            </w:r>
          </w:hyperlink>
        </w:p>
        <w:p w14:paraId="4BF95911" w14:textId="69863E4A"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97" w:history="1">
            <w:r w:rsidRPr="00945EBD">
              <w:rPr>
                <w:rStyle w:val="Hyperlink"/>
                <w:rFonts w:asciiTheme="minorHAnsi" w:hAnsiTheme="minorHAnsi" w:cs="Arial"/>
                <w:noProof/>
              </w:rPr>
              <w:t>3.6 Process</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_Toc226231797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9</w:t>
            </w:r>
            <w:r w:rsidRPr="00945EBD">
              <w:rPr>
                <w:rFonts w:asciiTheme="minorHAnsi" w:hAnsiTheme="minorHAnsi"/>
                <w:noProof/>
                <w:webHidden/>
              </w:rPr>
              <w:fldChar w:fldCharType="end"/>
            </w:r>
          </w:hyperlink>
        </w:p>
        <w:p w14:paraId="37DAC907" w14:textId="3BDD83E4"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798" w:history="1">
            <w:r w:rsidRPr="00945EBD">
              <w:rPr>
                <w:rStyle w:val="Hyperlink"/>
                <w:rFonts w:asciiTheme="minorHAnsi" w:hAnsiTheme="minorHAnsi" w:cs="Arial"/>
                <w:noProof/>
              </w:rPr>
              <w:t>3.7 Physical Evidence</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_Toc226231798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9</w:t>
            </w:r>
            <w:r w:rsidRPr="00945EBD">
              <w:rPr>
                <w:rFonts w:asciiTheme="minorHAnsi" w:hAnsiTheme="minorHAnsi"/>
                <w:noProof/>
                <w:webHidden/>
              </w:rPr>
              <w:fldChar w:fldCharType="end"/>
            </w:r>
          </w:hyperlink>
        </w:p>
        <w:p w14:paraId="5F5EE1F0" w14:textId="3EFCAF34" w:rsidR="008C35EE" w:rsidRPr="00945EBD" w:rsidRDefault="008C35EE">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31799" w:history="1">
            <w:r w:rsidRPr="00945EBD">
              <w:rPr>
                <w:rStyle w:val="Hyperlink"/>
                <w:rFonts w:asciiTheme="minorHAnsi" w:hAnsiTheme="minorHAnsi" w:cs="Arial"/>
                <w:noProof/>
              </w:rPr>
              <w:t>Element 4: Reflection</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_Toc226231799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10</w:t>
            </w:r>
            <w:r w:rsidRPr="00945EBD">
              <w:rPr>
                <w:rFonts w:asciiTheme="minorHAnsi" w:hAnsiTheme="minorHAnsi"/>
                <w:noProof/>
                <w:webHidden/>
              </w:rPr>
              <w:fldChar w:fldCharType="end"/>
            </w:r>
          </w:hyperlink>
        </w:p>
        <w:p w14:paraId="560EB091" w14:textId="16C67985"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800" w:history="1">
            <w:r w:rsidRPr="00945EBD">
              <w:rPr>
                <w:rStyle w:val="Hyperlink"/>
                <w:rFonts w:asciiTheme="minorHAnsi" w:hAnsiTheme="minorHAnsi" w:cs="Arial"/>
                <w:noProof/>
              </w:rPr>
              <w:t>4.1 Learning Experience</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_Toc226231800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10</w:t>
            </w:r>
            <w:r w:rsidRPr="00945EBD">
              <w:rPr>
                <w:rFonts w:asciiTheme="minorHAnsi" w:hAnsiTheme="minorHAnsi"/>
                <w:noProof/>
                <w:webHidden/>
              </w:rPr>
              <w:fldChar w:fldCharType="end"/>
            </w:r>
          </w:hyperlink>
        </w:p>
        <w:p w14:paraId="0C989899" w14:textId="7EF03196"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801" w:history="1">
            <w:r w:rsidRPr="00945EBD">
              <w:rPr>
                <w:rStyle w:val="Hyperlink"/>
                <w:rFonts w:asciiTheme="minorHAnsi" w:hAnsiTheme="minorHAnsi" w:cs="Arial"/>
                <w:noProof/>
              </w:rPr>
              <w:t>4.2 Skills Developed</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_Toc226231801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10</w:t>
            </w:r>
            <w:r w:rsidRPr="00945EBD">
              <w:rPr>
                <w:rFonts w:asciiTheme="minorHAnsi" w:hAnsiTheme="minorHAnsi"/>
                <w:noProof/>
                <w:webHidden/>
              </w:rPr>
              <w:fldChar w:fldCharType="end"/>
            </w:r>
          </w:hyperlink>
        </w:p>
        <w:p w14:paraId="5522EAF7" w14:textId="47E7950D"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802" w:history="1">
            <w:r w:rsidRPr="00945EBD">
              <w:rPr>
                <w:rStyle w:val="Hyperlink"/>
                <w:rFonts w:asciiTheme="minorHAnsi" w:hAnsiTheme="minorHAnsi" w:cs="Arial"/>
                <w:noProof/>
              </w:rPr>
              <w:t>4.3 Challenges Faced</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_Toc226231802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10</w:t>
            </w:r>
            <w:r w:rsidRPr="00945EBD">
              <w:rPr>
                <w:rFonts w:asciiTheme="minorHAnsi" w:hAnsiTheme="minorHAnsi"/>
                <w:noProof/>
                <w:webHidden/>
              </w:rPr>
              <w:fldChar w:fldCharType="end"/>
            </w:r>
          </w:hyperlink>
        </w:p>
        <w:p w14:paraId="379CE737" w14:textId="39B0E9B8" w:rsidR="008C35EE" w:rsidRPr="00945EBD" w:rsidRDefault="008C35EE">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6231803" w:history="1">
            <w:r w:rsidRPr="00945EBD">
              <w:rPr>
                <w:rStyle w:val="Hyperlink"/>
                <w:rFonts w:asciiTheme="minorHAnsi" w:hAnsiTheme="minorHAnsi" w:cs="Arial"/>
                <w:noProof/>
              </w:rPr>
              <w:t>4.4 Future Improvement</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_Toc226231803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11</w:t>
            </w:r>
            <w:r w:rsidRPr="00945EBD">
              <w:rPr>
                <w:rFonts w:asciiTheme="minorHAnsi" w:hAnsiTheme="minorHAnsi"/>
                <w:noProof/>
                <w:webHidden/>
              </w:rPr>
              <w:fldChar w:fldCharType="end"/>
            </w:r>
          </w:hyperlink>
        </w:p>
        <w:p w14:paraId="195EE886" w14:textId="373D5E95" w:rsidR="008C35EE" w:rsidRPr="00945EBD" w:rsidRDefault="008C35EE">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6231804" w:history="1">
            <w:r w:rsidRPr="00945EBD">
              <w:rPr>
                <w:rStyle w:val="Hyperlink"/>
                <w:rFonts w:asciiTheme="minorHAnsi" w:hAnsiTheme="minorHAnsi" w:cs="Arial"/>
                <w:noProof/>
              </w:rPr>
              <w:t>References</w:t>
            </w:r>
            <w:r w:rsidRPr="00945EBD">
              <w:rPr>
                <w:rFonts w:asciiTheme="minorHAnsi" w:hAnsiTheme="minorHAnsi"/>
                <w:noProof/>
                <w:webHidden/>
              </w:rPr>
              <w:tab/>
            </w:r>
            <w:r w:rsidRPr="00945EBD">
              <w:rPr>
                <w:rFonts w:asciiTheme="minorHAnsi" w:hAnsiTheme="minorHAnsi"/>
                <w:noProof/>
                <w:webHidden/>
              </w:rPr>
              <w:fldChar w:fldCharType="begin"/>
            </w:r>
            <w:r w:rsidRPr="00945EBD">
              <w:rPr>
                <w:rFonts w:asciiTheme="minorHAnsi" w:hAnsiTheme="minorHAnsi"/>
                <w:noProof/>
                <w:webHidden/>
              </w:rPr>
              <w:instrText xml:space="preserve"> PAGEREF _Toc226231804 \h </w:instrText>
            </w:r>
            <w:r w:rsidRPr="00945EBD">
              <w:rPr>
                <w:rFonts w:asciiTheme="minorHAnsi" w:hAnsiTheme="minorHAnsi"/>
                <w:noProof/>
                <w:webHidden/>
              </w:rPr>
            </w:r>
            <w:r w:rsidRPr="00945EBD">
              <w:rPr>
                <w:rFonts w:asciiTheme="minorHAnsi" w:hAnsiTheme="minorHAnsi"/>
                <w:noProof/>
                <w:webHidden/>
              </w:rPr>
              <w:fldChar w:fldCharType="separate"/>
            </w:r>
            <w:r w:rsidRPr="00945EBD">
              <w:rPr>
                <w:rFonts w:asciiTheme="minorHAnsi" w:hAnsiTheme="minorHAnsi"/>
                <w:noProof/>
                <w:webHidden/>
              </w:rPr>
              <w:t>12</w:t>
            </w:r>
            <w:r w:rsidRPr="00945EBD">
              <w:rPr>
                <w:rFonts w:asciiTheme="minorHAnsi" w:hAnsiTheme="minorHAnsi"/>
                <w:noProof/>
                <w:webHidden/>
              </w:rPr>
              <w:fldChar w:fldCharType="end"/>
            </w:r>
          </w:hyperlink>
        </w:p>
        <w:p w14:paraId="1F0B7AE2" w14:textId="690B115A" w:rsidR="0038345A" w:rsidRPr="00945EBD" w:rsidRDefault="0038345A">
          <w:pPr>
            <w:rPr>
              <w:rFonts w:asciiTheme="minorHAnsi" w:hAnsiTheme="minorHAnsi" w:cs="Arial"/>
            </w:rPr>
          </w:pPr>
          <w:r w:rsidRPr="00945EBD">
            <w:rPr>
              <w:rFonts w:asciiTheme="minorHAnsi" w:hAnsiTheme="minorHAnsi" w:cs="Arial"/>
              <w:b/>
              <w:bCs/>
              <w:noProof/>
            </w:rPr>
            <w:fldChar w:fldCharType="end"/>
          </w:r>
        </w:p>
      </w:sdtContent>
    </w:sdt>
    <w:p w14:paraId="50FF8880" w14:textId="77777777" w:rsidR="0038345A" w:rsidRPr="00DE53B8" w:rsidRDefault="0038345A" w:rsidP="0038345A">
      <w:pPr>
        <w:rPr>
          <w:rFonts w:ascii="Arial" w:hAnsi="Arial" w:cs="Arial"/>
        </w:rPr>
      </w:pPr>
    </w:p>
    <w:p w14:paraId="00000009" w14:textId="77777777" w:rsidR="0037183C" w:rsidRPr="00DE53B8" w:rsidRDefault="00000000">
      <w:pPr>
        <w:rPr>
          <w:rFonts w:ascii="Arial" w:hAnsi="Arial" w:cs="Arial"/>
        </w:rPr>
      </w:pPr>
      <w:r w:rsidRPr="00DE53B8">
        <w:rPr>
          <w:rFonts w:ascii="Arial" w:hAnsi="Arial" w:cs="Arial"/>
        </w:rPr>
        <w:br w:type="page"/>
      </w:r>
    </w:p>
    <w:p w14:paraId="0000000A" w14:textId="77777777" w:rsidR="0037183C" w:rsidRPr="00945EBD" w:rsidRDefault="00000000">
      <w:pPr>
        <w:pStyle w:val="Heading1"/>
        <w:rPr>
          <w:rFonts w:asciiTheme="minorHAnsi" w:hAnsiTheme="minorHAnsi" w:cs="Arial"/>
        </w:rPr>
      </w:pPr>
      <w:bookmarkStart w:id="6" w:name="_mxqhksh72o87" w:colFirst="0" w:colLast="0"/>
      <w:bookmarkStart w:id="7" w:name="_Toc226231784"/>
      <w:bookmarkEnd w:id="6"/>
      <w:r w:rsidRPr="00945EBD">
        <w:rPr>
          <w:rFonts w:asciiTheme="minorHAnsi" w:hAnsiTheme="minorHAnsi" w:cs="Arial"/>
        </w:rPr>
        <w:lastRenderedPageBreak/>
        <w:t>1. Introduction</w:t>
      </w:r>
      <w:bookmarkEnd w:id="7"/>
    </w:p>
    <w:p w14:paraId="0000000B"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This project is a detailed marketing plan for an extension of the brand created at Patek Philippe. The project is aimed at developing the Project of Smart Heritage Watch, combining traditional luxury artisanship with smart technology. It is proposed to investigate the ways in which brand extension may be used to promote business development, but also preserve the exclusivity and brand identity. The report will feature an analysis of segmentation strategy, targeting strategy, differentiation strategy and positioning strategy, and these will be followed by the marketing mix in detail. It also analyses the issues of sustainability and reconsiders the experience during the project and its main insights and practical use.</w:t>
      </w:r>
    </w:p>
    <w:p w14:paraId="226F9D47" w14:textId="77777777" w:rsidR="008F25BC" w:rsidRPr="00945EBD" w:rsidRDefault="008F25BC">
      <w:pPr>
        <w:pStyle w:val="Heading1"/>
        <w:rPr>
          <w:rFonts w:asciiTheme="minorHAnsi" w:hAnsiTheme="minorHAnsi" w:cs="Arial"/>
        </w:rPr>
      </w:pPr>
      <w:bookmarkStart w:id="8" w:name="_7u1r1ht1bm69" w:colFirst="0" w:colLast="0"/>
      <w:bookmarkStart w:id="9" w:name="_Toc226231785"/>
      <w:bookmarkEnd w:id="8"/>
    </w:p>
    <w:p w14:paraId="0000000C" w14:textId="5202D8FE" w:rsidR="0037183C" w:rsidRPr="00945EBD" w:rsidRDefault="00000000">
      <w:pPr>
        <w:pStyle w:val="Heading1"/>
        <w:rPr>
          <w:rFonts w:asciiTheme="minorHAnsi" w:hAnsiTheme="minorHAnsi" w:cs="Arial"/>
        </w:rPr>
      </w:pPr>
      <w:r w:rsidRPr="00945EBD">
        <w:rPr>
          <w:rFonts w:asciiTheme="minorHAnsi" w:hAnsiTheme="minorHAnsi" w:cs="Arial"/>
        </w:rPr>
        <w:t>Element 1: Brand Extension Poster</w:t>
      </w:r>
      <w:bookmarkEnd w:id="9"/>
      <w:r w:rsidR="008F25BC" w:rsidRPr="00945EBD">
        <w:rPr>
          <w:rFonts w:asciiTheme="minorHAnsi" w:hAnsiTheme="minorHAnsi" w:cs="Arial"/>
        </w:rPr>
        <w:t xml:space="preserve"> :---</w:t>
      </w:r>
    </w:p>
    <w:p w14:paraId="314CC05B" w14:textId="77777777" w:rsidR="008F25BC" w:rsidRPr="00945EBD" w:rsidRDefault="008F25BC" w:rsidP="008F25BC">
      <w:pPr>
        <w:rPr>
          <w:sz w:val="28"/>
          <w:szCs w:val="28"/>
        </w:rPr>
      </w:pPr>
    </w:p>
    <w:p w14:paraId="33BF97BF" w14:textId="77777777" w:rsidR="008F25BC" w:rsidRPr="00DE53B8" w:rsidRDefault="008F25BC" w:rsidP="008F25BC">
      <w:pPr>
        <w:pStyle w:val="Title"/>
        <w:jc w:val="both"/>
        <w:rPr>
          <w:rFonts w:ascii="Arial" w:hAnsi="Arial" w:cs="Arial"/>
        </w:rPr>
      </w:pPr>
      <w:r w:rsidRPr="00964953">
        <w:rPr>
          <w:noProof/>
          <w:lang w:val="en-IN"/>
        </w:rPr>
        <w:lastRenderedPageBreak/>
        <w:drawing>
          <wp:inline distT="0" distB="0" distL="0" distR="0" wp14:anchorId="34E20A00" wp14:editId="5EA67D7C">
            <wp:extent cx="5730240" cy="2009775"/>
            <wp:effectExtent l="0" t="0" r="3810" b="9525"/>
            <wp:docPr id="1333593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532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41696" cy="2013793"/>
                    </a:xfrm>
                    <a:prstGeom prst="rect">
                      <a:avLst/>
                    </a:prstGeom>
                  </pic:spPr>
                </pic:pic>
              </a:graphicData>
            </a:graphic>
          </wp:inline>
        </w:drawing>
      </w:r>
    </w:p>
    <w:p w14:paraId="582D53ED" w14:textId="77777777" w:rsidR="008F25BC" w:rsidRPr="009D4EC5" w:rsidRDefault="008F25BC" w:rsidP="008F25BC">
      <w:pPr>
        <w:pStyle w:val="Title"/>
        <w:jc w:val="both"/>
        <w:rPr>
          <w:rFonts w:asciiTheme="minorHAnsi" w:hAnsiTheme="minorHAnsi" w:cs="Arial"/>
        </w:rPr>
      </w:pPr>
      <w:r>
        <w:rPr>
          <w:rFonts w:ascii="Arial" w:hAnsi="Arial" w:cs="Arial"/>
        </w:rPr>
        <w:t xml:space="preserve">                            </w:t>
      </w:r>
      <w:r w:rsidRPr="009D4EC5">
        <w:rPr>
          <w:rFonts w:asciiTheme="minorHAnsi" w:hAnsiTheme="minorHAnsi" w:cs="Arial"/>
        </w:rPr>
        <w:t xml:space="preserve">Master of Business Administration </w:t>
      </w:r>
    </w:p>
    <w:p w14:paraId="5DF98742" w14:textId="77777777" w:rsidR="008F25BC" w:rsidRPr="009D4EC5" w:rsidRDefault="008F25BC" w:rsidP="008F25BC">
      <w:pPr>
        <w:pStyle w:val="Title"/>
        <w:rPr>
          <w:rFonts w:asciiTheme="minorHAnsi" w:hAnsiTheme="minorHAnsi" w:cs="Arial"/>
          <w:sz w:val="28"/>
          <w:szCs w:val="28"/>
        </w:rPr>
      </w:pPr>
      <w:r w:rsidRPr="009D4EC5">
        <w:rPr>
          <w:rFonts w:asciiTheme="minorHAnsi" w:hAnsiTheme="minorHAnsi" w:cs="Arial"/>
          <w:sz w:val="28"/>
          <w:szCs w:val="28"/>
        </w:rPr>
        <w:t xml:space="preserve">Marketing Management </w:t>
      </w:r>
      <w:r>
        <w:rPr>
          <w:rFonts w:asciiTheme="minorHAnsi" w:hAnsiTheme="minorHAnsi" w:cs="Arial"/>
          <w:sz w:val="28"/>
          <w:szCs w:val="28"/>
        </w:rPr>
        <w:t xml:space="preserve">[ </w:t>
      </w:r>
      <w:r w:rsidRPr="009D4EC5">
        <w:rPr>
          <w:rFonts w:asciiTheme="minorHAnsi" w:hAnsiTheme="minorHAnsi" w:cs="Arial"/>
          <w:sz w:val="28"/>
          <w:szCs w:val="28"/>
        </w:rPr>
        <w:t>LCMB7024</w:t>
      </w:r>
      <w:r>
        <w:rPr>
          <w:rFonts w:asciiTheme="minorHAnsi" w:hAnsiTheme="minorHAnsi" w:cs="Arial"/>
          <w:sz w:val="28"/>
          <w:szCs w:val="28"/>
        </w:rPr>
        <w:t xml:space="preserve"> ] </w:t>
      </w:r>
    </w:p>
    <w:p w14:paraId="48C6D8DA" w14:textId="77777777" w:rsidR="008F25BC" w:rsidRPr="000D5DF2" w:rsidRDefault="008F25BC" w:rsidP="008F25BC">
      <w:pPr>
        <w:pStyle w:val="Title"/>
        <w:rPr>
          <w:rFonts w:asciiTheme="minorHAnsi" w:hAnsiTheme="minorHAnsi" w:cs="Arial"/>
        </w:rPr>
      </w:pPr>
      <w:r w:rsidRPr="009D4EC5">
        <w:rPr>
          <w:rFonts w:asciiTheme="minorHAnsi" w:hAnsiTheme="minorHAnsi" w:cs="Arial"/>
        </w:rPr>
        <w:t>Assessment component 2:</w:t>
      </w:r>
      <w:r>
        <w:rPr>
          <w:rFonts w:asciiTheme="minorHAnsi" w:hAnsiTheme="minorHAnsi" w:cs="Arial"/>
        </w:rPr>
        <w:t xml:space="preserve"> </w:t>
      </w:r>
      <w:r w:rsidRPr="009D4EC5">
        <w:rPr>
          <w:rFonts w:asciiTheme="minorHAnsi" w:hAnsiTheme="minorHAnsi" w:cs="Arial"/>
        </w:rPr>
        <w:t>Marketing Strategies Portfolio</w:t>
      </w:r>
    </w:p>
    <w:p w14:paraId="0F79EFED" w14:textId="77777777" w:rsidR="008F25BC" w:rsidRPr="00DE53B8" w:rsidRDefault="008F25BC" w:rsidP="008F25BC">
      <w:pPr>
        <w:pStyle w:val="Title"/>
        <w:rPr>
          <w:rFonts w:ascii="Arial" w:hAnsi="Arial" w:cs="Arial"/>
        </w:rPr>
      </w:pPr>
    </w:p>
    <w:p w14:paraId="53F60A93" w14:textId="77777777" w:rsidR="008F25BC" w:rsidRPr="000D5DF2" w:rsidRDefault="008F25BC" w:rsidP="008F25BC">
      <w:pPr>
        <w:pStyle w:val="Title"/>
        <w:rPr>
          <w:rFonts w:asciiTheme="minorHAnsi" w:hAnsiTheme="minorHAnsi" w:cs="Arial"/>
          <w:color w:val="31849B" w:themeColor="accent5" w:themeShade="BF"/>
        </w:rPr>
      </w:pPr>
      <w:r w:rsidRPr="000D5DF2">
        <w:rPr>
          <w:rFonts w:asciiTheme="minorHAnsi" w:hAnsiTheme="minorHAnsi" w:cs="Arial"/>
          <w:color w:val="31849B" w:themeColor="accent5" w:themeShade="BF"/>
        </w:rPr>
        <w:t>MARKETING STRATEGY PORTFOLIO: BRAND EXTENSION OF PATEK PHILIPPE SMART HERITAGE WATCH</w:t>
      </w:r>
    </w:p>
    <w:p w14:paraId="21007B14" w14:textId="77777777" w:rsidR="008F25BC" w:rsidRPr="000D5DF2" w:rsidRDefault="008F25BC" w:rsidP="008F25BC">
      <w:pPr>
        <w:pStyle w:val="Title"/>
        <w:rPr>
          <w:rFonts w:ascii="Aptos" w:hAnsi="Aptos" w:cs="Arial"/>
          <w:color w:val="31849B" w:themeColor="accent5" w:themeShade="BF"/>
          <w:sz w:val="24"/>
          <w:szCs w:val="24"/>
        </w:rPr>
      </w:pPr>
    </w:p>
    <w:p w14:paraId="2A7E614B" w14:textId="77777777" w:rsidR="008F25BC" w:rsidRPr="00BF48EA" w:rsidRDefault="008F25BC" w:rsidP="008F25BC">
      <w:pPr>
        <w:pStyle w:val="Title"/>
        <w:rPr>
          <w:rFonts w:ascii="Aptos" w:hAnsi="Aptos" w:cs="Arial"/>
          <w:color w:val="403152" w:themeColor="accent4" w:themeShade="80"/>
          <w:sz w:val="28"/>
          <w:szCs w:val="28"/>
        </w:rPr>
      </w:pPr>
      <w:r w:rsidRPr="00BF48EA">
        <w:rPr>
          <w:rFonts w:ascii="Aptos" w:hAnsi="Aptos" w:cs="Arial"/>
          <w:color w:val="403152" w:themeColor="accent4" w:themeShade="80"/>
          <w:sz w:val="28"/>
          <w:szCs w:val="28"/>
        </w:rPr>
        <w:t>Lecturer name: Laila Maazouz, Dian Mayasari</w:t>
      </w:r>
    </w:p>
    <w:p w14:paraId="4D674879" w14:textId="77777777" w:rsidR="008F25BC" w:rsidRPr="000D5DF2" w:rsidRDefault="008F25BC" w:rsidP="008F25BC">
      <w:pPr>
        <w:pStyle w:val="Title"/>
        <w:rPr>
          <w:rFonts w:ascii="Aptos" w:hAnsi="Aptos" w:cs="Arial"/>
          <w:sz w:val="24"/>
          <w:szCs w:val="24"/>
        </w:rPr>
      </w:pPr>
    </w:p>
    <w:p w14:paraId="0E5415B7" w14:textId="77777777" w:rsidR="008F25BC" w:rsidRPr="000D5DF2" w:rsidRDefault="008F25BC" w:rsidP="008F25BC">
      <w:pPr>
        <w:pStyle w:val="Title"/>
        <w:rPr>
          <w:rFonts w:ascii="Aptos" w:hAnsi="Aptos" w:cs="Arial"/>
          <w:sz w:val="24"/>
          <w:szCs w:val="24"/>
        </w:rPr>
      </w:pPr>
      <w:r w:rsidRPr="000D5DF2">
        <w:rPr>
          <w:rFonts w:ascii="Aptos" w:hAnsi="Aptos" w:cs="Arial"/>
          <w:sz w:val="24"/>
          <w:szCs w:val="24"/>
        </w:rPr>
        <w:t>Student name:</w:t>
      </w:r>
      <w:r>
        <w:rPr>
          <w:rFonts w:ascii="Aptos" w:hAnsi="Aptos" w:cs="Arial"/>
          <w:sz w:val="24"/>
          <w:szCs w:val="24"/>
        </w:rPr>
        <w:t xml:space="preserve">  Hari Mohan Singh</w:t>
      </w:r>
    </w:p>
    <w:p w14:paraId="4AD1B318" w14:textId="77777777" w:rsidR="008F25BC" w:rsidRPr="000D5DF2" w:rsidRDefault="008F25BC" w:rsidP="008F25BC">
      <w:pPr>
        <w:pStyle w:val="Title"/>
        <w:rPr>
          <w:rFonts w:ascii="Aptos" w:hAnsi="Aptos" w:cs="Arial"/>
          <w:sz w:val="24"/>
          <w:szCs w:val="24"/>
        </w:rPr>
      </w:pPr>
      <w:r w:rsidRPr="000D5DF2">
        <w:rPr>
          <w:rFonts w:ascii="Aptos" w:hAnsi="Aptos" w:cs="Arial"/>
          <w:sz w:val="24"/>
          <w:szCs w:val="24"/>
        </w:rPr>
        <w:t>Student ID:</w:t>
      </w:r>
      <w:r>
        <w:rPr>
          <w:rFonts w:ascii="Aptos" w:hAnsi="Aptos" w:cs="Arial"/>
          <w:sz w:val="24"/>
          <w:szCs w:val="24"/>
        </w:rPr>
        <w:t xml:space="preserve"> 2506569</w:t>
      </w:r>
    </w:p>
    <w:p w14:paraId="69D08099" w14:textId="77777777" w:rsidR="008F25BC" w:rsidRPr="000D5DF2" w:rsidRDefault="008F25BC" w:rsidP="008F25BC">
      <w:pPr>
        <w:pStyle w:val="Title"/>
        <w:rPr>
          <w:rFonts w:ascii="Aptos" w:hAnsi="Aptos" w:cs="Arial"/>
          <w:sz w:val="24"/>
          <w:szCs w:val="24"/>
        </w:rPr>
      </w:pPr>
    </w:p>
    <w:p w14:paraId="7EE26876" w14:textId="528EE303" w:rsidR="008F25BC" w:rsidRPr="000D5DF2" w:rsidRDefault="008F25BC" w:rsidP="008F25BC">
      <w:pPr>
        <w:pStyle w:val="Title"/>
        <w:rPr>
          <w:rFonts w:ascii="Aptos" w:hAnsi="Aptos" w:cs="Arial"/>
          <w:sz w:val="24"/>
          <w:szCs w:val="24"/>
        </w:rPr>
      </w:pPr>
      <w:r w:rsidRPr="000D5DF2">
        <w:rPr>
          <w:rFonts w:ascii="Aptos" w:hAnsi="Aptos" w:cs="Arial"/>
          <w:sz w:val="24"/>
          <w:szCs w:val="24"/>
        </w:rPr>
        <w:t>Word count: 2</w:t>
      </w:r>
      <w:r>
        <w:rPr>
          <w:rFonts w:ascii="Aptos" w:hAnsi="Aptos" w:cs="Arial"/>
          <w:sz w:val="24"/>
          <w:szCs w:val="24"/>
        </w:rPr>
        <w:t>09</w:t>
      </w:r>
      <w:r w:rsidRPr="000D5DF2">
        <w:rPr>
          <w:rFonts w:ascii="Aptos" w:hAnsi="Aptos" w:cs="Arial"/>
          <w:sz w:val="24"/>
          <w:szCs w:val="24"/>
        </w:rPr>
        <w:t xml:space="preserve"> words</w:t>
      </w:r>
    </w:p>
    <w:p w14:paraId="4ECE72DF" w14:textId="77777777" w:rsidR="008F25BC" w:rsidRPr="000D5DF2" w:rsidRDefault="008F25BC" w:rsidP="008F25BC">
      <w:pPr>
        <w:pStyle w:val="Title"/>
        <w:rPr>
          <w:rFonts w:ascii="Aptos" w:hAnsi="Aptos" w:cs="Arial"/>
          <w:sz w:val="24"/>
          <w:szCs w:val="24"/>
        </w:rPr>
      </w:pPr>
    </w:p>
    <w:p w14:paraId="6119C687" w14:textId="1F2580DC" w:rsidR="008F25BC" w:rsidRPr="000D5DF2" w:rsidRDefault="008F25BC" w:rsidP="008F25BC">
      <w:pPr>
        <w:pStyle w:val="Title"/>
        <w:rPr>
          <w:rFonts w:ascii="Aptos" w:hAnsi="Aptos" w:cs="Arial"/>
          <w:sz w:val="24"/>
          <w:szCs w:val="24"/>
        </w:rPr>
      </w:pPr>
      <w:r w:rsidRPr="000D5DF2">
        <w:rPr>
          <w:rFonts w:ascii="Aptos" w:hAnsi="Aptos" w:cs="Arial"/>
          <w:sz w:val="24"/>
          <w:szCs w:val="24"/>
        </w:rPr>
        <w:t>Submission date:</w:t>
      </w:r>
      <w:r>
        <w:rPr>
          <w:rFonts w:ascii="Aptos" w:hAnsi="Aptos" w:cs="Arial"/>
          <w:sz w:val="24"/>
          <w:szCs w:val="24"/>
        </w:rPr>
        <w:t xml:space="preserve"> </w:t>
      </w:r>
      <w:r w:rsidR="00C26B31">
        <w:rPr>
          <w:rFonts w:ascii="Aptos" w:hAnsi="Aptos" w:cs="Arial"/>
          <w:sz w:val="24"/>
          <w:szCs w:val="24"/>
        </w:rPr>
        <w:t>30</w:t>
      </w:r>
      <w:r>
        <w:rPr>
          <w:rFonts w:ascii="Aptos" w:hAnsi="Aptos" w:cs="Arial"/>
          <w:sz w:val="24"/>
          <w:szCs w:val="24"/>
        </w:rPr>
        <w:t>-04-2026</w:t>
      </w:r>
    </w:p>
    <w:p w14:paraId="7E1CD90C" w14:textId="77777777" w:rsidR="008F25BC" w:rsidRPr="008F25BC" w:rsidRDefault="008F25BC" w:rsidP="008F25BC"/>
    <w:p w14:paraId="3BE52855" w14:textId="529DAA9F" w:rsidR="00DE53B8" w:rsidRPr="00DE53B8" w:rsidRDefault="00DE53B8" w:rsidP="00DE53B8">
      <w:pPr>
        <w:jc w:val="center"/>
        <w:rPr>
          <w:rFonts w:ascii="Arial" w:hAnsi="Arial" w:cs="Arial"/>
        </w:rPr>
      </w:pPr>
    </w:p>
    <w:p w14:paraId="40C2C5FD" w14:textId="22059F86" w:rsidR="0038345A" w:rsidRPr="00DE53B8" w:rsidRDefault="0038345A" w:rsidP="0038345A">
      <w:pPr>
        <w:jc w:val="center"/>
        <w:rPr>
          <w:rFonts w:ascii="Arial" w:hAnsi="Arial" w:cs="Arial"/>
        </w:rPr>
      </w:pPr>
      <w:r w:rsidRPr="00945EBD">
        <w:rPr>
          <w:rFonts w:asciiTheme="minorHAnsi" w:hAnsiTheme="minorHAnsi" w:cs="Arial"/>
          <w:noProof/>
        </w:rPr>
        <w:lastRenderedPageBreak/>
        <w:drawing>
          <wp:anchor distT="0" distB="0" distL="114300" distR="114300" simplePos="0" relativeHeight="251658240" behindDoc="0" locked="0" layoutInCell="1" allowOverlap="1" wp14:anchorId="4CC5A7ED" wp14:editId="49D432E2">
            <wp:simplePos x="0" y="0"/>
            <wp:positionH relativeFrom="margin">
              <wp:posOffset>-609600</wp:posOffset>
            </wp:positionH>
            <wp:positionV relativeFrom="margin">
              <wp:posOffset>-609600</wp:posOffset>
            </wp:positionV>
            <wp:extent cx="7153275" cy="9439275"/>
            <wp:effectExtent l="0" t="0" r="9525" b="9525"/>
            <wp:wrapSquare wrapText="bothSides"/>
            <wp:docPr id="21393652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36524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7153275" cy="9439275"/>
                    </a:xfrm>
                    <a:prstGeom prst="rect">
                      <a:avLst/>
                    </a:prstGeom>
                  </pic:spPr>
                </pic:pic>
              </a:graphicData>
            </a:graphic>
            <wp14:sizeRelH relativeFrom="margin">
              <wp14:pctWidth>0</wp14:pctWidth>
            </wp14:sizeRelH>
            <wp14:sizeRelV relativeFrom="margin">
              <wp14:pctHeight>0</wp14:pctHeight>
            </wp14:sizeRelV>
          </wp:anchor>
        </w:drawing>
      </w:r>
    </w:p>
    <w:p w14:paraId="00000017" w14:textId="111D1F46" w:rsidR="0037183C" w:rsidRPr="00945EBD" w:rsidRDefault="00000000">
      <w:pPr>
        <w:pStyle w:val="Heading1"/>
        <w:rPr>
          <w:rFonts w:asciiTheme="minorHAnsi" w:hAnsiTheme="minorHAnsi" w:cs="Arial"/>
        </w:rPr>
      </w:pPr>
      <w:bookmarkStart w:id="10" w:name="_5o3dhfa8vfcb" w:colFirst="0" w:colLast="0"/>
      <w:bookmarkStart w:id="11" w:name="_Toc226231786"/>
      <w:bookmarkEnd w:id="10"/>
      <w:r w:rsidRPr="00945EBD">
        <w:rPr>
          <w:rFonts w:asciiTheme="minorHAnsi" w:hAnsiTheme="minorHAnsi" w:cs="Arial"/>
        </w:rPr>
        <w:lastRenderedPageBreak/>
        <w:t>Element 2: STDP Analysis</w:t>
      </w:r>
      <w:bookmarkEnd w:id="11"/>
      <w:r w:rsidRPr="00945EBD">
        <w:rPr>
          <w:rFonts w:asciiTheme="minorHAnsi" w:hAnsiTheme="minorHAnsi" w:cs="Arial"/>
        </w:rPr>
        <w:t xml:space="preserve"> </w:t>
      </w:r>
    </w:p>
    <w:p w14:paraId="00000018" w14:textId="77777777" w:rsidR="0037183C" w:rsidRPr="00945EBD" w:rsidRDefault="00000000">
      <w:pPr>
        <w:pStyle w:val="Heading2"/>
        <w:rPr>
          <w:rFonts w:asciiTheme="minorHAnsi" w:hAnsiTheme="minorHAnsi" w:cs="Arial"/>
          <w:sz w:val="28"/>
          <w:szCs w:val="28"/>
        </w:rPr>
      </w:pPr>
      <w:bookmarkStart w:id="12" w:name="_3m0cv0z7h421" w:colFirst="0" w:colLast="0"/>
      <w:bookmarkStart w:id="13" w:name="_Toc226231787"/>
      <w:bookmarkEnd w:id="12"/>
      <w:r w:rsidRPr="00945EBD">
        <w:rPr>
          <w:rFonts w:asciiTheme="minorHAnsi" w:hAnsiTheme="minorHAnsi" w:cs="Arial"/>
          <w:sz w:val="28"/>
          <w:szCs w:val="28"/>
        </w:rPr>
        <w:t>2.1 Market Segmentation</w:t>
      </w:r>
      <w:bookmarkEnd w:id="13"/>
    </w:p>
    <w:p w14:paraId="00000019"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 xml:space="preserve">Market segmentation is necessary in order to target the right customers of the Smart Heritage Watch by Patek Philippe. The market size of luxury watches is expected to rise considerably, reaching into the billions with a consistent CAGR growth, and due to this, there is a high potential for segmentation (MI, 2025). The target market would consist of individuals aged 30 to 65 and whose annual incomes are above 100,000 dollars. These are the consumers who are usually executives, entrepreneurs and high net worth individuals and are ready to spend money on premium products that are the indicator of status and exclusivity (Roy et al., 2025). </w:t>
      </w:r>
    </w:p>
    <w:p w14:paraId="0000001A" w14:textId="2F3507DB" w:rsidR="0037183C" w:rsidRPr="00945EBD" w:rsidRDefault="00000000">
      <w:pPr>
        <w:rPr>
          <w:rFonts w:asciiTheme="minorHAnsi" w:hAnsiTheme="minorHAnsi" w:cs="Arial"/>
          <w:sz w:val="28"/>
          <w:szCs w:val="28"/>
        </w:rPr>
      </w:pPr>
      <w:r w:rsidRPr="00945EBD">
        <w:rPr>
          <w:rFonts w:asciiTheme="minorHAnsi" w:hAnsiTheme="minorHAnsi" w:cs="Arial"/>
          <w:sz w:val="28"/>
          <w:szCs w:val="28"/>
        </w:rPr>
        <w:t xml:space="preserve">In the geographical aspect, the major markets are North America, Europe, the Middle East and Asia-Pacific, where people live luxuriously. A substantial portion of the luxury watch sales is centred on Asia-Pacific, and the sales in China and India are looking promising as more disposable income is achieved (FBI, 2025). The psychographic segment of the customers is that the customers believe in prestige, uniqueness, and </w:t>
      </w:r>
      <w:r w:rsidR="00591F2D" w:rsidRPr="00945EBD">
        <w:rPr>
          <w:rFonts w:asciiTheme="minorHAnsi" w:hAnsiTheme="minorHAnsi" w:cs="Arial"/>
          <w:sz w:val="28"/>
          <w:szCs w:val="28"/>
        </w:rPr>
        <w:t>heritage</w:t>
      </w:r>
      <w:r w:rsidRPr="00945EBD">
        <w:rPr>
          <w:rFonts w:asciiTheme="minorHAnsi" w:hAnsiTheme="minorHAnsi" w:cs="Arial"/>
          <w:sz w:val="28"/>
          <w:szCs w:val="28"/>
        </w:rPr>
        <w:t xml:space="preserve"> but they also love innovation. These people are interested in the products that can be regarded as traditional with modernistic touches, and are more selective in accepting the technologies that are not excessive in their looks (Leppälä, 2025). Customers are also brand loyal behaviourally and buy luxury watches as long-term investments or heirlooms. Resale value and authenticity are very important to many buyers, and such features as digital ownership records are very appealing (Biallowons et al., 2026).</w:t>
      </w:r>
    </w:p>
    <w:p w14:paraId="0000001B" w14:textId="77777777" w:rsidR="0037183C" w:rsidRPr="00945EBD" w:rsidRDefault="00000000">
      <w:pPr>
        <w:pStyle w:val="Heading2"/>
        <w:rPr>
          <w:rFonts w:asciiTheme="minorHAnsi" w:hAnsiTheme="minorHAnsi" w:cs="Arial"/>
          <w:sz w:val="28"/>
          <w:szCs w:val="28"/>
        </w:rPr>
      </w:pPr>
      <w:bookmarkStart w:id="14" w:name="_9nbh8an4hqy8" w:colFirst="0" w:colLast="0"/>
      <w:bookmarkStart w:id="15" w:name="_Toc226231788"/>
      <w:bookmarkEnd w:id="14"/>
      <w:r w:rsidRPr="00945EBD">
        <w:rPr>
          <w:rFonts w:asciiTheme="minorHAnsi" w:hAnsiTheme="minorHAnsi" w:cs="Arial"/>
          <w:sz w:val="28"/>
          <w:szCs w:val="28"/>
        </w:rPr>
        <w:lastRenderedPageBreak/>
        <w:t>2.2 Targeting Strategy</w:t>
      </w:r>
      <w:bookmarkEnd w:id="15"/>
    </w:p>
    <w:p w14:paraId="0000001C" w14:textId="7FB32E17" w:rsidR="0037183C" w:rsidRPr="00945EBD" w:rsidRDefault="00000000">
      <w:pPr>
        <w:rPr>
          <w:rFonts w:asciiTheme="minorHAnsi" w:hAnsiTheme="minorHAnsi" w:cs="Arial"/>
          <w:sz w:val="28"/>
          <w:szCs w:val="28"/>
        </w:rPr>
      </w:pPr>
      <w:r w:rsidRPr="00945EBD">
        <w:rPr>
          <w:rFonts w:asciiTheme="minorHAnsi" w:hAnsiTheme="minorHAnsi" w:cs="Arial"/>
          <w:sz w:val="28"/>
          <w:szCs w:val="28"/>
        </w:rPr>
        <w:t>The penetration of the high-end-net-worth individuals (UHNWI) and luxury collectors represents the main target market. Such consumers are exclusive, craftsmen and innovative, and they will pay a premium price for differentiated products (Barrenechea Fernández, 2026). The second target market is young rich professionals between 28-40 years old, who are tech-savvy and prefer functionality along with fashion. This group is expanding at a high rate and is a future luxury customer segment (Mo et al., 2025). The rationale behind such targeting is that it will strike a balance between the traditional luxury customers and emerging segments. Younger buyers are becoming increasingly influential in the luxury market, and they help drive growth and demand innovation (Zeng, 2025).</w:t>
      </w:r>
    </w:p>
    <w:p w14:paraId="0000001D" w14:textId="77777777" w:rsidR="0037183C" w:rsidRPr="00945EBD" w:rsidRDefault="00000000">
      <w:pPr>
        <w:pStyle w:val="Heading2"/>
        <w:rPr>
          <w:rFonts w:asciiTheme="minorHAnsi" w:hAnsiTheme="minorHAnsi" w:cs="Arial"/>
          <w:sz w:val="28"/>
          <w:szCs w:val="28"/>
        </w:rPr>
      </w:pPr>
      <w:bookmarkStart w:id="16" w:name="_nd0ysbley7ub" w:colFirst="0" w:colLast="0"/>
      <w:bookmarkStart w:id="17" w:name="_Toc226231789"/>
      <w:bookmarkEnd w:id="16"/>
      <w:r w:rsidRPr="00945EBD">
        <w:rPr>
          <w:rFonts w:asciiTheme="minorHAnsi" w:hAnsiTheme="minorHAnsi" w:cs="Arial"/>
          <w:sz w:val="28"/>
          <w:szCs w:val="28"/>
        </w:rPr>
        <w:t>2.3 Differentiation Strategy</w:t>
      </w:r>
      <w:bookmarkEnd w:id="17"/>
    </w:p>
    <w:p w14:paraId="0000001E" w14:textId="3916C5E7" w:rsidR="0037183C" w:rsidRPr="00945EBD" w:rsidRDefault="00B35AB5">
      <w:pPr>
        <w:rPr>
          <w:rFonts w:asciiTheme="minorHAnsi" w:hAnsiTheme="minorHAnsi" w:cs="Arial"/>
          <w:color w:val="000000" w:themeColor="text1"/>
          <w:sz w:val="28"/>
          <w:szCs w:val="28"/>
        </w:rPr>
      </w:pPr>
      <w:r w:rsidRPr="00945EBD">
        <w:rPr>
          <w:rFonts w:asciiTheme="minorHAnsi" w:hAnsiTheme="minorHAnsi" w:cs="Arial"/>
          <w:sz w:val="28"/>
          <w:szCs w:val="28"/>
        </w:rPr>
        <w:t xml:space="preserve">The Smart Heritage Watch is differentiated by incorporating the invisible smart technology in the design of a classic luxury watch to form a unique value proposition with a combination of craftsmanship and innovation. This strategy will make the product retain the beauty and the prestige that comes with luxury watches and provide advanced technological features. It is an indication of a strategic move to maintain the heritage and to keep up with the changing consumer demands in the luxury market (Caniglia, 2025). Hiding the health monitoring system, NFC-based authentication, and blockchain-enforced digital ownership records are the main distinction features. These aspects improve functionality, security, and convenience without affecting the aesthetic appeal, which is a very important element of luxury consumption. The product can attract both sophistication and innovation in that by incorporating technology in a covert manner, the product is appealing to consumers who appreciate </w:t>
      </w:r>
      <w:r w:rsidRPr="00945EBD">
        <w:rPr>
          <w:rFonts w:asciiTheme="minorHAnsi" w:hAnsiTheme="minorHAnsi" w:cs="Arial"/>
          <w:sz w:val="28"/>
          <w:szCs w:val="28"/>
        </w:rPr>
        <w:lastRenderedPageBreak/>
        <w:t>technology (Xu, 2026). Comparatively, smartwatches are more utilitarian and have less heritage and exclusivity, whereas traditional luxury watches are more craft-oriented and do not include the latest digital capabilities. This positioning would enable the Smart Heritage Watch to be positioned between these two groups. Consequently, it enjoys a niche and untapped market position, which provides technological progress and classic luxury within one product (Wang et al., 2025).</w:t>
      </w:r>
    </w:p>
    <w:p w14:paraId="0000001F" w14:textId="77777777" w:rsidR="0037183C" w:rsidRPr="00945EBD" w:rsidRDefault="00000000">
      <w:pPr>
        <w:pStyle w:val="Heading2"/>
        <w:rPr>
          <w:rFonts w:asciiTheme="minorHAnsi" w:hAnsiTheme="minorHAnsi" w:cs="Arial"/>
          <w:sz w:val="28"/>
          <w:szCs w:val="28"/>
        </w:rPr>
      </w:pPr>
      <w:bookmarkStart w:id="18" w:name="_dn983pt89v8q" w:colFirst="0" w:colLast="0"/>
      <w:bookmarkStart w:id="19" w:name="_Toc226231790"/>
      <w:bookmarkEnd w:id="18"/>
      <w:r w:rsidRPr="00945EBD">
        <w:rPr>
          <w:rFonts w:asciiTheme="minorHAnsi" w:hAnsiTheme="minorHAnsi" w:cs="Arial"/>
          <w:sz w:val="28"/>
          <w:szCs w:val="28"/>
        </w:rPr>
        <w:t>2.4 Positioning Strategy</w:t>
      </w:r>
      <w:bookmarkEnd w:id="19"/>
    </w:p>
    <w:p w14:paraId="00000020" w14:textId="5E20F37D" w:rsidR="0037183C" w:rsidRPr="00945EBD" w:rsidRDefault="00B35AB5">
      <w:pPr>
        <w:rPr>
          <w:rFonts w:asciiTheme="minorHAnsi" w:hAnsiTheme="minorHAnsi" w:cs="Arial"/>
          <w:sz w:val="28"/>
          <w:szCs w:val="28"/>
        </w:rPr>
      </w:pPr>
      <w:r w:rsidRPr="00945EBD">
        <w:rPr>
          <w:rFonts w:asciiTheme="minorHAnsi" w:hAnsiTheme="minorHAnsi" w:cs="Arial"/>
          <w:sz w:val="28"/>
          <w:szCs w:val="28"/>
        </w:rPr>
        <w:t xml:space="preserve">The Smart Heritage Watch will be positioned as a high-quality product that combines style and innovation in a smooth blend of luxury and high-tech digital technology. It is a luxury product that is a balance between traditional watchmaking quality and modern smart features and is targeted at the consumers who appreciate both tradition and innovations. This dyadic positioning enables the product to exist in a differentiated position between classic luxury watches and high-tech wearables, which enhances its competitive edge in the dynamic luxury market (Minh and Hue, 2025). The core value proposition of the brand is well conveyed through the positioning statement, which is A classic luxury watch with unseen smarts. It focuses on the ability to blend classic beauty and concealed technological features without losing brand identity and exclusivity. This unobtrusive incorporation of innovation makes sure that the product is in line with the demands of luxury clients who like being sophisticated rather than seeing the technological workings (He, 2025). Moreover, the positioning strategy would improve brand equity by responding to the essential consumer needs like exclusivity, innovation, and authenticity. In a luxury market that is becoming more saturated, it is necessary to establish a unique identity in order to succeed in </w:t>
      </w:r>
      <w:r w:rsidRPr="00945EBD">
        <w:rPr>
          <w:rFonts w:asciiTheme="minorHAnsi" w:hAnsiTheme="minorHAnsi" w:cs="Arial"/>
          <w:sz w:val="28"/>
          <w:szCs w:val="28"/>
        </w:rPr>
        <w:lastRenderedPageBreak/>
        <w:t>the long run. The Smart Heritage Watch will be able to achieve the desired level of differentiation by providing a hybrid product, combining both tradition and innovation, and further support the brand as a progressive but heritage-inspired luxury (Kim et al., 2025).</w:t>
      </w:r>
    </w:p>
    <w:p w14:paraId="00000021" w14:textId="782B3288" w:rsidR="0037183C" w:rsidRPr="00945EBD" w:rsidRDefault="00000000">
      <w:pPr>
        <w:pStyle w:val="Heading1"/>
        <w:rPr>
          <w:rFonts w:asciiTheme="minorHAnsi" w:hAnsiTheme="minorHAnsi" w:cs="Arial"/>
        </w:rPr>
      </w:pPr>
      <w:bookmarkStart w:id="20" w:name="_6lrnheplgq5x" w:colFirst="0" w:colLast="0"/>
      <w:bookmarkStart w:id="21" w:name="_Toc226231791"/>
      <w:bookmarkEnd w:id="20"/>
      <w:r w:rsidRPr="00945EBD">
        <w:rPr>
          <w:rFonts w:asciiTheme="minorHAnsi" w:hAnsiTheme="minorHAnsi" w:cs="Arial"/>
        </w:rPr>
        <w:t>Element 3: Marketing Mix</w:t>
      </w:r>
      <w:bookmarkEnd w:id="21"/>
      <w:r w:rsidRPr="00945EBD">
        <w:rPr>
          <w:rFonts w:asciiTheme="minorHAnsi" w:hAnsiTheme="minorHAnsi" w:cs="Arial"/>
        </w:rPr>
        <w:t xml:space="preserve"> </w:t>
      </w:r>
    </w:p>
    <w:p w14:paraId="00000022" w14:textId="77777777" w:rsidR="0037183C" w:rsidRPr="00945EBD" w:rsidRDefault="00000000">
      <w:pPr>
        <w:pStyle w:val="Heading2"/>
        <w:rPr>
          <w:rFonts w:asciiTheme="minorHAnsi" w:hAnsiTheme="minorHAnsi" w:cs="Arial"/>
          <w:sz w:val="28"/>
          <w:szCs w:val="28"/>
        </w:rPr>
      </w:pPr>
      <w:bookmarkStart w:id="22" w:name="_qlneugeuyy1j" w:colFirst="0" w:colLast="0"/>
      <w:bookmarkStart w:id="23" w:name="_Toc226231792"/>
      <w:bookmarkEnd w:id="22"/>
      <w:r w:rsidRPr="00945EBD">
        <w:rPr>
          <w:rFonts w:asciiTheme="minorHAnsi" w:hAnsiTheme="minorHAnsi" w:cs="Arial"/>
          <w:sz w:val="28"/>
          <w:szCs w:val="28"/>
        </w:rPr>
        <w:t>3.1 Product</w:t>
      </w:r>
      <w:bookmarkEnd w:id="23"/>
    </w:p>
    <w:p w14:paraId="00000023"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The Smart Heritage Watch is a blend of vintage mechanical handcraftsmanship and smart technology. It combines such sophisticated capabilities as health and sleep tracking and NFC-based authentication, along with the timeless luxury design. The technology is also inconspicuous without interfering with the aesthetic value fitted in Patek Philippe. This will make innovation not destroy heritage. The product is also developed in a way that is durable and can serve long-term use, which is in accordance with the sustainability objectives. Compared to electronics with a limited lifespan, luxury watches have a long lifespan of decades or even generations. This renders the product environmentally sustainable as well as valuable to the consumers (Hess, 2025). The sustainability of such products is that their use is sustainable with regard to longevity (GVR, 2025).</w:t>
      </w:r>
    </w:p>
    <w:p w14:paraId="00000024" w14:textId="77777777" w:rsidR="0037183C" w:rsidRPr="00945EBD" w:rsidRDefault="00000000">
      <w:pPr>
        <w:pStyle w:val="Heading2"/>
        <w:rPr>
          <w:rFonts w:asciiTheme="minorHAnsi" w:hAnsiTheme="minorHAnsi" w:cs="Arial"/>
          <w:sz w:val="28"/>
          <w:szCs w:val="28"/>
        </w:rPr>
      </w:pPr>
      <w:bookmarkStart w:id="24" w:name="_mi047wxuxole" w:colFirst="0" w:colLast="0"/>
      <w:bookmarkStart w:id="25" w:name="_Toc226231793"/>
      <w:bookmarkEnd w:id="24"/>
      <w:r w:rsidRPr="00945EBD">
        <w:rPr>
          <w:rFonts w:asciiTheme="minorHAnsi" w:hAnsiTheme="minorHAnsi" w:cs="Arial"/>
          <w:sz w:val="28"/>
          <w:szCs w:val="28"/>
        </w:rPr>
        <w:t>3.2 Price</w:t>
      </w:r>
      <w:bookmarkEnd w:id="25"/>
    </w:p>
    <w:p w14:paraId="00000025"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 xml:space="preserve">The Smart Heritage Watch product positions itself through a premium pricing strategy that is aligned with the luxury positioning of the brand. The prices will be higher than the regular smartwatches, and they will be more comparable to the high price tags of the mechanical watches. The luxury watches average around 10,000 to above 100,000, depending on the craft, materials and exclusivity (BRC, 2025). The selected and considered high pricing strategy cultivates the notion of exclusivity and prestige, which play crucial roles in </w:t>
      </w:r>
      <w:r w:rsidRPr="00945EBD">
        <w:rPr>
          <w:rFonts w:asciiTheme="minorHAnsi" w:hAnsiTheme="minorHAnsi" w:cs="Arial"/>
          <w:sz w:val="28"/>
          <w:szCs w:val="28"/>
        </w:rPr>
        <w:lastRenderedPageBreak/>
        <w:t>luxury branding. The consumers of this segment, in most cases, might associate quality, craftsmanship and status with the higher price. This is also reflected in the pricing of the watch, which blends innovative technology and traditional watchmaking experience. Thus, the product preserves its elite position and attracts potential buyers with high incomes who can value the luxury and the functionality of the product (Artero-Sanromán, 2025).</w:t>
      </w:r>
    </w:p>
    <w:p w14:paraId="00000026" w14:textId="77777777" w:rsidR="0037183C" w:rsidRPr="00945EBD" w:rsidRDefault="00000000">
      <w:pPr>
        <w:pStyle w:val="Heading2"/>
        <w:rPr>
          <w:rFonts w:asciiTheme="minorHAnsi" w:hAnsiTheme="minorHAnsi" w:cs="Arial"/>
          <w:sz w:val="28"/>
          <w:szCs w:val="28"/>
        </w:rPr>
      </w:pPr>
      <w:bookmarkStart w:id="26" w:name="_vkc84lei7gqk" w:colFirst="0" w:colLast="0"/>
      <w:bookmarkStart w:id="27" w:name="_Toc226231794"/>
      <w:bookmarkEnd w:id="26"/>
      <w:r w:rsidRPr="00945EBD">
        <w:rPr>
          <w:rFonts w:asciiTheme="minorHAnsi" w:hAnsiTheme="minorHAnsi" w:cs="Arial"/>
          <w:sz w:val="28"/>
          <w:szCs w:val="28"/>
        </w:rPr>
        <w:t>3.3 Place</w:t>
      </w:r>
      <w:bookmarkEnd w:id="27"/>
    </w:p>
    <w:p w14:paraId="00000027"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The Smart Heritage Watch is only distributed with great tact so as to be exclusive and brand prestigious. Only authorised dealers and flagship stores that are found in major cities across the world carry the product. Luxury watches are sold primarily through offline retail channels, which sell a significant amount of the overall revenue through providing personalised customer experiences (MRF, 2025). Despite this, however, there is also an exclusive online presence to enhance accessibility without reducing exclusivity. Customers can get to know about the product online, and still need to be purchased through appointments. The flagship stores provide differentiated services such as consultations and product demonstrations, which give customer satisfaction. This is a controlled distribution approach which will keep the brand image high-end and heightened throughout the touchpoints (Ozer et al., 2025).</w:t>
      </w:r>
    </w:p>
    <w:p w14:paraId="00000028" w14:textId="77777777" w:rsidR="0037183C" w:rsidRPr="00945EBD" w:rsidRDefault="00000000">
      <w:pPr>
        <w:pStyle w:val="Heading2"/>
        <w:rPr>
          <w:rFonts w:asciiTheme="minorHAnsi" w:hAnsiTheme="minorHAnsi" w:cs="Arial"/>
          <w:sz w:val="28"/>
          <w:szCs w:val="28"/>
        </w:rPr>
      </w:pPr>
      <w:bookmarkStart w:id="28" w:name="_k5zviqp7has2" w:colFirst="0" w:colLast="0"/>
      <w:bookmarkStart w:id="29" w:name="_Toc226231795"/>
      <w:bookmarkEnd w:id="28"/>
      <w:r w:rsidRPr="00945EBD">
        <w:rPr>
          <w:rFonts w:asciiTheme="minorHAnsi" w:hAnsiTheme="minorHAnsi" w:cs="Arial"/>
          <w:sz w:val="28"/>
          <w:szCs w:val="28"/>
        </w:rPr>
        <w:t>3.4 Promotion</w:t>
      </w:r>
      <w:bookmarkEnd w:id="29"/>
    </w:p>
    <w:p w14:paraId="00000029" w14:textId="4A958BA5" w:rsidR="0037183C" w:rsidRPr="00945EBD" w:rsidRDefault="00125858">
      <w:pPr>
        <w:rPr>
          <w:rFonts w:asciiTheme="minorHAnsi" w:hAnsiTheme="minorHAnsi" w:cs="Arial"/>
          <w:sz w:val="28"/>
          <w:szCs w:val="28"/>
        </w:rPr>
      </w:pPr>
      <w:r w:rsidRPr="00945EBD">
        <w:rPr>
          <w:rFonts w:asciiTheme="minorHAnsi" w:hAnsiTheme="minorHAnsi" w:cs="Arial"/>
          <w:sz w:val="28"/>
          <w:szCs w:val="28"/>
        </w:rPr>
        <w:t xml:space="preserve">Marketing of Smart Heritage Watch rests on the principle of narration, tradition and exclusivity as contrast to mass marketing. Luxury brands are often dependent on emotional appeals and brand narratives in order to appeal to customers (Kim et al., 2025). Some of the marketing strategies include VIP events and exclusive product launch, and collaboration with key personalities. </w:t>
      </w:r>
      <w:r w:rsidRPr="00945EBD">
        <w:rPr>
          <w:rFonts w:asciiTheme="minorHAnsi" w:hAnsiTheme="minorHAnsi" w:cs="Arial"/>
          <w:sz w:val="28"/>
          <w:szCs w:val="28"/>
        </w:rPr>
        <w:lastRenderedPageBreak/>
        <w:t>The digital campaigns will target the high-income groups on high-end media that will make the transfer of communication selective and sophisticated. Through these promotional exercises, one gets to appreciate the product in terms of its craftsmanship, innovation, and sustainability attributes. It aimed at the formation of yearning and desire for brand prestige. In this manner, the product will not be exposed to the wrong people, jeopardising its luxury status (Leppälä, 2025).</w:t>
      </w:r>
    </w:p>
    <w:p w14:paraId="0000002A" w14:textId="77777777" w:rsidR="0037183C" w:rsidRPr="00945EBD" w:rsidRDefault="00000000">
      <w:pPr>
        <w:pStyle w:val="Heading2"/>
        <w:rPr>
          <w:rFonts w:asciiTheme="minorHAnsi" w:hAnsiTheme="minorHAnsi" w:cs="Arial"/>
          <w:sz w:val="28"/>
          <w:szCs w:val="28"/>
        </w:rPr>
      </w:pPr>
      <w:bookmarkStart w:id="30" w:name="_rzumk3a1c2ng" w:colFirst="0" w:colLast="0"/>
      <w:bookmarkStart w:id="31" w:name="_Toc226231796"/>
      <w:bookmarkEnd w:id="30"/>
      <w:r w:rsidRPr="00945EBD">
        <w:rPr>
          <w:rFonts w:asciiTheme="minorHAnsi" w:hAnsiTheme="minorHAnsi" w:cs="Arial"/>
          <w:sz w:val="28"/>
          <w:szCs w:val="28"/>
        </w:rPr>
        <w:t>3.5 People</w:t>
      </w:r>
      <w:bookmarkEnd w:id="31"/>
    </w:p>
    <w:p w14:paraId="0000002B"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Human beings are critical towards the provision of high-quality customer experience in the luxury market. Through highly trained employees, they serve as brand analysts offering their professional knowledge regarding features of the product, its craftsmanship and heritage. They are also to ensure that they create trust and establish long-term relationships with customers (Barrenechea Fernández, 2026). The high level of attention to detail and exclusivity is important in luxury retail, and the culture of personalised service is the most important expectation of the customer. Good relations with the customers would guarantee customer loyalty and repeat buying, which are critical to success in the long term. The employees should also learn both traditional watchmaking and the new technology in order to know how to bring out the unique product value proposal (Roy et al., 2025).</w:t>
      </w:r>
    </w:p>
    <w:p w14:paraId="0000002C" w14:textId="77777777" w:rsidR="0037183C" w:rsidRPr="00945EBD" w:rsidRDefault="00000000">
      <w:pPr>
        <w:pStyle w:val="Heading2"/>
        <w:rPr>
          <w:rFonts w:asciiTheme="minorHAnsi" w:hAnsiTheme="minorHAnsi" w:cs="Arial"/>
          <w:sz w:val="28"/>
          <w:szCs w:val="28"/>
        </w:rPr>
      </w:pPr>
      <w:bookmarkStart w:id="32" w:name="_791m3ckj27cb" w:colFirst="0" w:colLast="0"/>
      <w:bookmarkStart w:id="33" w:name="_Toc226231797"/>
      <w:bookmarkEnd w:id="32"/>
      <w:r w:rsidRPr="00945EBD">
        <w:rPr>
          <w:rFonts w:asciiTheme="minorHAnsi" w:hAnsiTheme="minorHAnsi" w:cs="Arial"/>
          <w:sz w:val="28"/>
          <w:szCs w:val="28"/>
        </w:rPr>
        <w:t>3.6 Process</w:t>
      </w:r>
      <w:bookmarkEnd w:id="33"/>
    </w:p>
    <w:p w14:paraId="0000002D"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 xml:space="preserve">The Smart Heritage Watch buying process is modelled after an exclusive and personalised buying procedure. Boutiques usually require customers to make a reservation to sample the product and make a purchase. This increases the exclusivity and decadence. Maintenance, repair and updates of authentication are key parts of the process that must be provided as a result of after-sales </w:t>
      </w:r>
      <w:r w:rsidRPr="00945EBD">
        <w:rPr>
          <w:rFonts w:asciiTheme="minorHAnsi" w:hAnsiTheme="minorHAnsi" w:cs="Arial"/>
          <w:sz w:val="28"/>
          <w:szCs w:val="28"/>
        </w:rPr>
        <w:lastRenderedPageBreak/>
        <w:t>(Biallowons et al., 2026). Moreover, the digitalisation of the ownership records makes the process of verification and resale much easier, and the process is worth a lot to customers. This will assure transparency and security in ownership. The entire experience is strategically structured in such a way that it offers a smooth and quality experience through the purchase to its long-term service (Xu, 2026).</w:t>
      </w:r>
    </w:p>
    <w:p w14:paraId="0000002E" w14:textId="77777777" w:rsidR="0037183C" w:rsidRPr="00945EBD" w:rsidRDefault="00000000">
      <w:pPr>
        <w:pStyle w:val="Heading2"/>
        <w:rPr>
          <w:rFonts w:asciiTheme="minorHAnsi" w:hAnsiTheme="minorHAnsi" w:cs="Arial"/>
          <w:sz w:val="28"/>
          <w:szCs w:val="28"/>
        </w:rPr>
      </w:pPr>
      <w:bookmarkStart w:id="34" w:name="_kijy4s4c8l5v" w:colFirst="0" w:colLast="0"/>
      <w:bookmarkStart w:id="35" w:name="_Toc226231798"/>
      <w:bookmarkEnd w:id="34"/>
      <w:r w:rsidRPr="00945EBD">
        <w:rPr>
          <w:rFonts w:asciiTheme="minorHAnsi" w:hAnsiTheme="minorHAnsi" w:cs="Arial"/>
          <w:sz w:val="28"/>
          <w:szCs w:val="28"/>
        </w:rPr>
        <w:t>3.7 Physical Evidence</w:t>
      </w:r>
      <w:bookmarkEnd w:id="35"/>
    </w:p>
    <w:p w14:paraId="0000002F" w14:textId="03987B56" w:rsidR="0037183C" w:rsidRPr="00945EBD" w:rsidRDefault="00125858">
      <w:pPr>
        <w:rPr>
          <w:rFonts w:asciiTheme="minorHAnsi" w:hAnsiTheme="minorHAnsi" w:cs="Arial"/>
          <w:color w:val="000000" w:themeColor="text1"/>
          <w:sz w:val="28"/>
          <w:szCs w:val="28"/>
        </w:rPr>
      </w:pPr>
      <w:r w:rsidRPr="00945EBD">
        <w:rPr>
          <w:rFonts w:asciiTheme="minorHAnsi" w:hAnsiTheme="minorHAnsi" w:cs="Arial"/>
          <w:color w:val="000000" w:themeColor="text1"/>
          <w:sz w:val="28"/>
          <w:szCs w:val="28"/>
        </w:rPr>
        <w:t>The tangible manifestation would mean a lot as far as supporting the luxury positioning of the Smart Heritage Watch. This is comprised of up-rustic boutique environment, beautiful store design and high-end packaging containing the brand name. Certs of authenticity are also intensified, with the use of certificates of authenticity, customers, and the perceived value (Caniglia, 2025). The concrete object of the watch is an untarnished expression of the quality and precision and innovativeness of the art. These facts, such as the manner of materials up to the finishing, communicate the idea of quality and exclusivity. Further, the statement about owning digital objects is also another novel testament to authenticity of which are providing some security and transparency. Combined, these physical and online components make up an active and consistent brand experience (Wang et al., 2025).</w:t>
      </w:r>
    </w:p>
    <w:p w14:paraId="00000030" w14:textId="751481B6" w:rsidR="0037183C" w:rsidRPr="00945EBD" w:rsidRDefault="00000000">
      <w:pPr>
        <w:pStyle w:val="Heading1"/>
        <w:rPr>
          <w:rFonts w:asciiTheme="minorHAnsi" w:hAnsiTheme="minorHAnsi" w:cs="Arial"/>
        </w:rPr>
      </w:pPr>
      <w:bookmarkStart w:id="36" w:name="_4w2tixarxlqh" w:colFirst="0" w:colLast="0"/>
      <w:bookmarkStart w:id="37" w:name="_Toc226231799"/>
      <w:bookmarkEnd w:id="36"/>
      <w:r w:rsidRPr="00945EBD">
        <w:rPr>
          <w:rFonts w:asciiTheme="minorHAnsi" w:hAnsiTheme="minorHAnsi" w:cs="Arial"/>
        </w:rPr>
        <w:t>Element 4: Reflection</w:t>
      </w:r>
      <w:bookmarkEnd w:id="37"/>
      <w:r w:rsidRPr="00945EBD">
        <w:rPr>
          <w:rFonts w:asciiTheme="minorHAnsi" w:hAnsiTheme="minorHAnsi" w:cs="Arial"/>
        </w:rPr>
        <w:t xml:space="preserve"> </w:t>
      </w:r>
    </w:p>
    <w:p w14:paraId="00000031" w14:textId="77777777" w:rsidR="0037183C" w:rsidRPr="00945EBD" w:rsidRDefault="00000000">
      <w:pPr>
        <w:pStyle w:val="Heading2"/>
        <w:rPr>
          <w:rFonts w:asciiTheme="minorHAnsi" w:hAnsiTheme="minorHAnsi" w:cs="Arial"/>
          <w:sz w:val="28"/>
          <w:szCs w:val="28"/>
        </w:rPr>
      </w:pPr>
      <w:bookmarkStart w:id="38" w:name="_3et2v5fp5h9w" w:colFirst="0" w:colLast="0"/>
      <w:bookmarkStart w:id="39" w:name="_Toc226231800"/>
      <w:bookmarkEnd w:id="38"/>
      <w:r w:rsidRPr="00945EBD">
        <w:rPr>
          <w:rFonts w:asciiTheme="minorHAnsi" w:hAnsiTheme="minorHAnsi" w:cs="Arial"/>
          <w:sz w:val="28"/>
          <w:szCs w:val="28"/>
        </w:rPr>
        <w:t>4.1 Learning Experience</w:t>
      </w:r>
      <w:bookmarkEnd w:id="39"/>
    </w:p>
    <w:p w14:paraId="00000032" w14:textId="10A447F3" w:rsidR="0037183C" w:rsidRPr="00945EBD" w:rsidRDefault="000364D7">
      <w:pPr>
        <w:rPr>
          <w:rFonts w:asciiTheme="minorHAnsi" w:hAnsiTheme="minorHAnsi" w:cs="Arial"/>
          <w:color w:val="EE0000"/>
          <w:sz w:val="28"/>
          <w:szCs w:val="28"/>
        </w:rPr>
      </w:pPr>
      <w:r w:rsidRPr="00945EBD">
        <w:rPr>
          <w:rFonts w:asciiTheme="minorHAnsi" w:hAnsiTheme="minorHAnsi" w:cs="Arial"/>
          <w:color w:val="000000" w:themeColor="text1"/>
          <w:sz w:val="28"/>
          <w:szCs w:val="28"/>
        </w:rPr>
        <w:t xml:space="preserve">This project was an excellent learning process on elaborating a marketing strategy in the luxury industry. It increased the knowledge on brand extension, consumer behaviour and incorporation of technology into conventional products. It was a thought process where critical thinking and application of theoretical concepts such as segmentation and positioning were used. It also </w:t>
      </w:r>
      <w:r w:rsidRPr="00945EBD">
        <w:rPr>
          <w:rFonts w:asciiTheme="minorHAnsi" w:hAnsiTheme="minorHAnsi" w:cs="Arial"/>
          <w:color w:val="000000" w:themeColor="text1"/>
          <w:sz w:val="28"/>
          <w:szCs w:val="28"/>
        </w:rPr>
        <w:lastRenderedPageBreak/>
        <w:t>emphasised how it is essential to be innovative in order to stay competitive in the evolving markets. The research was structured, and this increased the ability to connect theory to the practical strategies of the business. The experience also reflected the element of self-regulated learning in the education system in which it was required to analyse and make independent decisions that will promote the academic and professional development. (Lan and Zhou, 2025).</w:t>
      </w:r>
    </w:p>
    <w:p w14:paraId="00000033" w14:textId="77777777" w:rsidR="0037183C" w:rsidRPr="00945EBD" w:rsidRDefault="00000000">
      <w:pPr>
        <w:pStyle w:val="Heading2"/>
        <w:rPr>
          <w:rFonts w:asciiTheme="minorHAnsi" w:hAnsiTheme="minorHAnsi" w:cs="Arial"/>
          <w:sz w:val="28"/>
          <w:szCs w:val="28"/>
        </w:rPr>
      </w:pPr>
      <w:bookmarkStart w:id="40" w:name="_d9zsmg5awpbl" w:colFirst="0" w:colLast="0"/>
      <w:bookmarkStart w:id="41" w:name="_Toc226231801"/>
      <w:bookmarkEnd w:id="40"/>
      <w:r w:rsidRPr="00945EBD">
        <w:rPr>
          <w:rFonts w:asciiTheme="minorHAnsi" w:hAnsiTheme="minorHAnsi" w:cs="Arial"/>
          <w:sz w:val="28"/>
          <w:szCs w:val="28"/>
        </w:rPr>
        <w:t>4.2 Skills Developed</w:t>
      </w:r>
      <w:bookmarkEnd w:id="41"/>
    </w:p>
    <w:p w14:paraId="00000034"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The assignment helped to acquire several important skills. The analytical capabilities were enhanced in the process of analysing the market trends and customer segments. The review of academic literature and the use of the applicable theories strengthened research skills. The communication skills were developed in terms of composing organised content and putting across ideas in a straightforward manner. Many other designs led to the development of creativity in terms of the brand extension concept and poster. Moreover, the project enhanced resilience in emotions and the ability to manage the intricate academic activities. Self-reflection facilitated lifelong learning and flexibility, crucial in college-level and workplace settings. (He et al., 2025).</w:t>
      </w:r>
    </w:p>
    <w:p w14:paraId="00000035" w14:textId="77777777" w:rsidR="0037183C" w:rsidRPr="00945EBD" w:rsidRDefault="00000000">
      <w:pPr>
        <w:pStyle w:val="Heading2"/>
        <w:rPr>
          <w:rFonts w:asciiTheme="minorHAnsi" w:hAnsiTheme="minorHAnsi" w:cs="Arial"/>
          <w:sz w:val="28"/>
          <w:szCs w:val="28"/>
        </w:rPr>
      </w:pPr>
      <w:bookmarkStart w:id="42" w:name="_vk54my1gitff" w:colFirst="0" w:colLast="0"/>
      <w:bookmarkStart w:id="43" w:name="_Toc226231802"/>
      <w:bookmarkEnd w:id="42"/>
      <w:r w:rsidRPr="00945EBD">
        <w:rPr>
          <w:rFonts w:asciiTheme="minorHAnsi" w:hAnsiTheme="minorHAnsi" w:cs="Arial"/>
          <w:sz w:val="28"/>
          <w:szCs w:val="28"/>
        </w:rPr>
        <w:t>4.3 Challenges Faced</w:t>
      </w:r>
      <w:bookmarkEnd w:id="43"/>
    </w:p>
    <w:p w14:paraId="00000036"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 xml:space="preserve">Balancing traditional luxury values, as opposed to the modern technological innovativeness, was one of the key dilemmas of this project. It had to be careful in ensuring that the concepts did not go out of the brand identity. The other challenge was time management during the research and the organisation of the assignment. Since the collection of appropriate and recent scholarly resources was not an easy task. Moreover, it was difficult to remove the complexity of ideas and use short and clear explanations. Nevertheless, they </w:t>
      </w:r>
      <w:r w:rsidRPr="00945EBD">
        <w:rPr>
          <w:rFonts w:asciiTheme="minorHAnsi" w:hAnsiTheme="minorHAnsi" w:cs="Arial"/>
          <w:sz w:val="28"/>
          <w:szCs w:val="28"/>
        </w:rPr>
        <w:lastRenderedPageBreak/>
        <w:t>were all problems of learning and gaining deeper knowledge. The approaches of project-based learning emphasise that these challenges are among the parts of the learning process and contribute to the enhancement of problem-solving skills. (Boakye-Yiadom et al., 2025).</w:t>
      </w:r>
    </w:p>
    <w:p w14:paraId="00000037" w14:textId="77777777" w:rsidR="0037183C" w:rsidRPr="00945EBD" w:rsidRDefault="00000000">
      <w:pPr>
        <w:pStyle w:val="Heading2"/>
        <w:rPr>
          <w:rFonts w:asciiTheme="minorHAnsi" w:hAnsiTheme="minorHAnsi" w:cs="Arial"/>
          <w:sz w:val="28"/>
          <w:szCs w:val="28"/>
        </w:rPr>
      </w:pPr>
      <w:bookmarkStart w:id="44" w:name="_coo8mhsnclur" w:colFirst="0" w:colLast="0"/>
      <w:bookmarkStart w:id="45" w:name="_Toc226231803"/>
      <w:bookmarkEnd w:id="44"/>
      <w:r w:rsidRPr="00945EBD">
        <w:rPr>
          <w:rFonts w:asciiTheme="minorHAnsi" w:hAnsiTheme="minorHAnsi" w:cs="Arial"/>
          <w:sz w:val="28"/>
          <w:szCs w:val="28"/>
        </w:rPr>
        <w:t>4.4 Future Improvement</w:t>
      </w:r>
      <w:bookmarkEnd w:id="45"/>
    </w:p>
    <w:p w14:paraId="00000038" w14:textId="77777777" w:rsidR="0037183C" w:rsidRPr="00945EBD" w:rsidRDefault="00000000">
      <w:pPr>
        <w:rPr>
          <w:rFonts w:asciiTheme="minorHAnsi" w:hAnsiTheme="minorHAnsi" w:cs="Arial"/>
          <w:sz w:val="28"/>
          <w:szCs w:val="28"/>
        </w:rPr>
      </w:pPr>
      <w:r w:rsidRPr="00945EBD">
        <w:rPr>
          <w:rFonts w:asciiTheme="minorHAnsi" w:hAnsiTheme="minorHAnsi" w:cs="Arial"/>
          <w:sz w:val="28"/>
          <w:szCs w:val="28"/>
        </w:rPr>
        <w:t>In further projects, it will pay more attention to the time management issues and change the research efficiency. The greater focus will be put upon the utilisation of various scholarly resources and the introduction of practical data to reinforce the arguments. The quality of analysis will also be improved by enhancing critical thinking and reflective practices. Besides, the improvement in presentation and communication skills will contribute to making the delivery of ideas more effective. However, self-evaluation will also be a significant part of determining weaknesses and areas of strength. The approaches that can allow achieving long-term academic growth and a successful career by fostering a more profound understanding and flexibility are reflective learning orientation. (Esfandiari et al., 2025).</w:t>
      </w:r>
      <w:r w:rsidRPr="00945EBD">
        <w:rPr>
          <w:rFonts w:asciiTheme="minorHAnsi" w:hAnsiTheme="minorHAnsi" w:cs="Arial"/>
          <w:sz w:val="28"/>
          <w:szCs w:val="28"/>
        </w:rPr>
        <w:br w:type="page"/>
      </w:r>
    </w:p>
    <w:p w14:paraId="00000039" w14:textId="77777777" w:rsidR="0037183C" w:rsidRPr="00945EBD" w:rsidRDefault="00000000">
      <w:pPr>
        <w:pStyle w:val="Heading1"/>
        <w:rPr>
          <w:rFonts w:asciiTheme="minorHAnsi" w:hAnsiTheme="minorHAnsi" w:cs="Arial"/>
          <w:sz w:val="24"/>
          <w:szCs w:val="24"/>
        </w:rPr>
      </w:pPr>
      <w:bookmarkStart w:id="46" w:name="_4ohum2wx9dwz" w:colFirst="0" w:colLast="0"/>
      <w:bookmarkStart w:id="47" w:name="_Toc226231804"/>
      <w:bookmarkEnd w:id="46"/>
      <w:r w:rsidRPr="00945EBD">
        <w:rPr>
          <w:rFonts w:asciiTheme="minorHAnsi" w:hAnsiTheme="minorHAnsi" w:cs="Arial"/>
          <w:sz w:val="24"/>
          <w:szCs w:val="24"/>
        </w:rPr>
        <w:lastRenderedPageBreak/>
        <w:t>References</w:t>
      </w:r>
      <w:bookmarkEnd w:id="47"/>
    </w:p>
    <w:p w14:paraId="297C0616"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 xml:space="preserve">Artero-Sanromán, M., (2025). Luxury Fashion Brands extending into the accommodation industry: The case of Bulgari Hotels and the impact on consumer perception. </w:t>
      </w:r>
      <w:hyperlink r:id="rId11" w:history="1">
        <w:r w:rsidRPr="00945EBD">
          <w:rPr>
            <w:rStyle w:val="Hyperlink"/>
            <w:rFonts w:asciiTheme="minorHAnsi" w:hAnsiTheme="minorHAnsi" w:cs="Arial"/>
          </w:rPr>
          <w:t>https://dadun.unav.edu/entities/publication/5f660fb0-40c9-4271-ae63-d57f973731cc</w:t>
        </w:r>
      </w:hyperlink>
    </w:p>
    <w:p w14:paraId="16023078"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 xml:space="preserve">Barrenechea Fernández, F., (2026). Luxury's DNA: A Systematic Review of Brand Attributes and Transfer Strategies. </w:t>
      </w:r>
      <w:hyperlink r:id="rId12" w:history="1">
        <w:r w:rsidRPr="00945EBD">
          <w:rPr>
            <w:rStyle w:val="Hyperlink"/>
            <w:rFonts w:asciiTheme="minorHAnsi" w:hAnsiTheme="minorHAnsi" w:cs="Arial"/>
          </w:rPr>
          <w:t>https://papers.ssrn.com/sol3/papers.cfm?abstract_id=6152931</w:t>
        </w:r>
      </w:hyperlink>
    </w:p>
    <w:p w14:paraId="6D0A2117"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Biallowons, S., Schmitz, A.K. and Fassnacht, M., (2026). Perceived fit in the context of brand extensions: a systematic literature review. </w:t>
      </w:r>
      <w:r w:rsidRPr="00945EBD">
        <w:rPr>
          <w:rFonts w:asciiTheme="minorHAnsi" w:hAnsiTheme="minorHAnsi" w:cs="Arial"/>
          <w:i/>
          <w:iCs/>
        </w:rPr>
        <w:t>European Journal of Marketing</w:t>
      </w:r>
      <w:r w:rsidRPr="00945EBD">
        <w:rPr>
          <w:rFonts w:asciiTheme="minorHAnsi" w:hAnsiTheme="minorHAnsi" w:cs="Arial"/>
        </w:rPr>
        <w:t>, </w:t>
      </w:r>
      <w:r w:rsidRPr="00945EBD">
        <w:rPr>
          <w:rFonts w:asciiTheme="minorHAnsi" w:hAnsiTheme="minorHAnsi" w:cs="Arial"/>
          <w:i/>
          <w:iCs/>
        </w:rPr>
        <w:t>60</w:t>
      </w:r>
      <w:r w:rsidRPr="00945EBD">
        <w:rPr>
          <w:rFonts w:asciiTheme="minorHAnsi" w:hAnsiTheme="minorHAnsi" w:cs="Arial"/>
        </w:rPr>
        <w:t xml:space="preserve">(13), pp.202-228. </w:t>
      </w:r>
      <w:hyperlink r:id="rId13" w:history="1">
        <w:r w:rsidRPr="00945EBD">
          <w:rPr>
            <w:rStyle w:val="Hyperlink"/>
            <w:rFonts w:asciiTheme="minorHAnsi" w:hAnsiTheme="minorHAnsi" w:cs="Arial"/>
          </w:rPr>
          <w:t>https://www.emerald.com/ejm/article/60/13/202/1346495</w:t>
        </w:r>
      </w:hyperlink>
    </w:p>
    <w:p w14:paraId="38A463B8" w14:textId="77777777" w:rsidR="00591F2D" w:rsidRPr="00945EBD" w:rsidRDefault="00591F2D" w:rsidP="00591F2D">
      <w:pPr>
        <w:spacing w:before="240"/>
        <w:rPr>
          <w:rFonts w:asciiTheme="minorHAnsi" w:hAnsiTheme="minorHAnsi" w:cs="Arial"/>
          <w:lang w:val="en-IN"/>
        </w:rPr>
      </w:pPr>
      <w:r w:rsidRPr="00945EBD">
        <w:rPr>
          <w:rFonts w:asciiTheme="minorHAnsi" w:hAnsiTheme="minorHAnsi" w:cs="Arial"/>
        </w:rPr>
        <w:t>Boakye-Yiadom, F., Donkor, E.K. and Mensah, R.O., (2025). Exploring the role of project-based learning in higher education to promote indigenous knowledge through sculpture students’ engagement with Ghanaian Adinkra symbols. </w:t>
      </w:r>
      <w:r w:rsidRPr="00945EBD">
        <w:rPr>
          <w:rFonts w:asciiTheme="minorHAnsi" w:hAnsiTheme="minorHAnsi" w:cs="Arial"/>
          <w:i/>
          <w:iCs/>
        </w:rPr>
        <w:t>Discover Global Society</w:t>
      </w:r>
      <w:r w:rsidRPr="00945EBD">
        <w:rPr>
          <w:rFonts w:asciiTheme="minorHAnsi" w:hAnsiTheme="minorHAnsi" w:cs="Arial"/>
        </w:rPr>
        <w:t>, </w:t>
      </w:r>
      <w:r w:rsidRPr="00945EBD">
        <w:rPr>
          <w:rFonts w:asciiTheme="minorHAnsi" w:hAnsiTheme="minorHAnsi" w:cs="Arial"/>
          <w:i/>
          <w:iCs/>
        </w:rPr>
        <w:t>3</w:t>
      </w:r>
      <w:r w:rsidRPr="00945EBD">
        <w:rPr>
          <w:rFonts w:asciiTheme="minorHAnsi" w:hAnsiTheme="minorHAnsi" w:cs="Arial"/>
        </w:rPr>
        <w:t xml:space="preserve">(1), p.4. </w:t>
      </w:r>
      <w:hyperlink r:id="rId14" w:history="1">
        <w:r w:rsidRPr="00945EBD">
          <w:rPr>
            <w:rStyle w:val="Hyperlink"/>
            <w:rFonts w:asciiTheme="minorHAnsi" w:hAnsiTheme="minorHAnsi" w:cs="Arial"/>
          </w:rPr>
          <w:t>https://link.springer.com/article/10.1007/s44282-024-00135-8</w:t>
        </w:r>
      </w:hyperlink>
    </w:p>
    <w:p w14:paraId="15926722" w14:textId="77777777" w:rsidR="00591F2D" w:rsidRPr="00945EBD" w:rsidRDefault="00591F2D" w:rsidP="00591F2D">
      <w:pPr>
        <w:spacing w:before="240"/>
        <w:rPr>
          <w:rFonts w:asciiTheme="minorHAnsi" w:hAnsiTheme="minorHAnsi" w:cs="Arial"/>
          <w:lang w:val="en-IN"/>
        </w:rPr>
      </w:pPr>
      <w:r w:rsidRPr="00945EBD">
        <w:rPr>
          <w:rFonts w:asciiTheme="minorHAnsi" w:hAnsiTheme="minorHAnsi" w:cs="Arial"/>
          <w:lang w:val="en-IN"/>
        </w:rPr>
        <w:t xml:space="preserve">BRC., (2025). Luxury Watch Market Report 2026. </w:t>
      </w:r>
      <w:hyperlink r:id="rId15" w:history="1">
        <w:r w:rsidRPr="00945EBD">
          <w:rPr>
            <w:rStyle w:val="Hyperlink"/>
            <w:rFonts w:asciiTheme="minorHAnsi" w:hAnsiTheme="minorHAnsi" w:cs="Arial"/>
            <w:lang w:val="en-IN"/>
          </w:rPr>
          <w:t>https://www.thebusinessresearchcompany.com/report/luxury-watch-global-market-report</w:t>
        </w:r>
      </w:hyperlink>
    </w:p>
    <w:p w14:paraId="2C8B3C4C"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Caniglia, S., (2025). </w:t>
      </w:r>
      <w:r w:rsidRPr="00945EBD">
        <w:rPr>
          <w:rFonts w:asciiTheme="minorHAnsi" w:hAnsiTheme="minorHAnsi" w:cs="Arial"/>
          <w:i/>
          <w:iCs/>
        </w:rPr>
        <w:t>Strategic Differentiation and Multi-Sector Brand Development in the Luxury Industry: The Case of LVMH Beyond Fashion</w:t>
      </w:r>
      <w:r w:rsidRPr="00945EBD">
        <w:rPr>
          <w:rFonts w:asciiTheme="minorHAnsi" w:hAnsiTheme="minorHAnsi" w:cs="Arial"/>
        </w:rPr>
        <w:t xml:space="preserve"> (Doctoral dissertation, Politecnico di Torino). </w:t>
      </w:r>
      <w:hyperlink r:id="rId16" w:history="1">
        <w:r w:rsidRPr="00945EBD">
          <w:rPr>
            <w:rStyle w:val="Hyperlink"/>
            <w:rFonts w:asciiTheme="minorHAnsi" w:hAnsiTheme="minorHAnsi" w:cs="Arial"/>
          </w:rPr>
          <w:t>https://webthesis.biblio.polito.it/38185/</w:t>
        </w:r>
      </w:hyperlink>
    </w:p>
    <w:p w14:paraId="74950B3E" w14:textId="77777777" w:rsidR="00591F2D" w:rsidRPr="00945EBD" w:rsidRDefault="00591F2D" w:rsidP="00591F2D">
      <w:pPr>
        <w:spacing w:before="240"/>
        <w:rPr>
          <w:rFonts w:asciiTheme="minorHAnsi" w:hAnsiTheme="minorHAnsi" w:cs="Arial"/>
          <w:lang w:val="en-IN"/>
        </w:rPr>
      </w:pPr>
      <w:r w:rsidRPr="00945EBD">
        <w:rPr>
          <w:rFonts w:asciiTheme="minorHAnsi" w:hAnsiTheme="minorHAnsi" w:cs="Arial"/>
        </w:rPr>
        <w:t>Esfandiari, R., Arefian, M.H. and Lam, R., (2025). Understanding Collective and Reflective Learning-Oriented Assessment among Iranian EFL Pre-Service Teachers in Learner-Centered Language Teacher Education. </w:t>
      </w:r>
      <w:r w:rsidRPr="00945EBD">
        <w:rPr>
          <w:rFonts w:asciiTheme="minorHAnsi" w:hAnsiTheme="minorHAnsi" w:cs="Arial"/>
          <w:i/>
          <w:iCs/>
        </w:rPr>
        <w:t>International Journal of Language Testing</w:t>
      </w:r>
      <w:r w:rsidRPr="00945EBD">
        <w:rPr>
          <w:rFonts w:asciiTheme="minorHAnsi" w:hAnsiTheme="minorHAnsi" w:cs="Arial"/>
        </w:rPr>
        <w:t>, </w:t>
      </w:r>
      <w:r w:rsidRPr="00945EBD">
        <w:rPr>
          <w:rFonts w:asciiTheme="minorHAnsi" w:hAnsiTheme="minorHAnsi" w:cs="Arial"/>
          <w:i/>
          <w:iCs/>
        </w:rPr>
        <w:t>15</w:t>
      </w:r>
      <w:r w:rsidRPr="00945EBD">
        <w:rPr>
          <w:rFonts w:asciiTheme="minorHAnsi" w:hAnsiTheme="minorHAnsi" w:cs="Arial"/>
        </w:rPr>
        <w:t xml:space="preserve">(1), pp.91-106. </w:t>
      </w:r>
      <w:hyperlink r:id="rId17" w:history="1">
        <w:r w:rsidRPr="00945EBD">
          <w:rPr>
            <w:rStyle w:val="Hyperlink"/>
            <w:rFonts w:asciiTheme="minorHAnsi" w:hAnsiTheme="minorHAnsi" w:cs="Arial"/>
          </w:rPr>
          <w:t>https://eric.ed.gov/?id=EJ1463876</w:t>
        </w:r>
      </w:hyperlink>
    </w:p>
    <w:p w14:paraId="14DD4F59"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 xml:space="preserve">FBI., (2025). Luxury Watch Market Size, Share &amp; Industry Analysis, By Type (Mechanical and Electronic), By Band Type (Strap-Based and Chain-Based), By Distribution Channel (Offline </w:t>
      </w:r>
      <w:r w:rsidRPr="00945EBD">
        <w:rPr>
          <w:rFonts w:asciiTheme="minorHAnsi" w:hAnsiTheme="minorHAnsi" w:cs="Arial"/>
        </w:rPr>
        <w:lastRenderedPageBreak/>
        <w:t xml:space="preserve">Stores and Online Channels), and Regional Forecast, 2026-2034. </w:t>
      </w:r>
      <w:hyperlink r:id="rId18" w:history="1">
        <w:r w:rsidRPr="00945EBD">
          <w:rPr>
            <w:rStyle w:val="Hyperlink"/>
            <w:rFonts w:asciiTheme="minorHAnsi" w:hAnsiTheme="minorHAnsi" w:cs="Arial"/>
          </w:rPr>
          <w:t>https://www.fortunebusinessinsights.com/luxury-watch-market-104410</w:t>
        </w:r>
      </w:hyperlink>
    </w:p>
    <w:p w14:paraId="0939CCB2" w14:textId="77777777" w:rsidR="00591F2D" w:rsidRPr="00945EBD" w:rsidRDefault="00591F2D" w:rsidP="00591F2D">
      <w:pPr>
        <w:spacing w:before="240"/>
        <w:rPr>
          <w:rFonts w:asciiTheme="minorHAnsi" w:hAnsiTheme="minorHAnsi" w:cs="Arial"/>
          <w:lang w:val="en-IN"/>
        </w:rPr>
      </w:pPr>
      <w:r w:rsidRPr="00945EBD">
        <w:rPr>
          <w:rFonts w:asciiTheme="minorHAnsi" w:hAnsiTheme="minorHAnsi" w:cs="Arial"/>
        </w:rPr>
        <w:t xml:space="preserve">GVR., (2025). </w:t>
      </w:r>
      <w:r w:rsidRPr="00945EBD">
        <w:rPr>
          <w:rFonts w:asciiTheme="minorHAnsi" w:eastAsiaTheme="minorHAnsi" w:hAnsiTheme="minorHAnsi" w:cs="Arial"/>
          <w:lang w:val="en-IN"/>
        </w:rPr>
        <w:t>Luxury Watch Market (2024 - 2030)</w:t>
      </w:r>
      <w:r w:rsidRPr="00945EBD">
        <w:rPr>
          <w:rFonts w:asciiTheme="minorHAnsi" w:hAnsiTheme="minorHAnsi" w:cs="Arial"/>
          <w:lang w:val="en-IN"/>
        </w:rPr>
        <w:t xml:space="preserve">. </w:t>
      </w:r>
      <w:hyperlink r:id="rId19" w:history="1">
        <w:r w:rsidRPr="00945EBD">
          <w:rPr>
            <w:rStyle w:val="Hyperlink"/>
            <w:rFonts w:asciiTheme="minorHAnsi" w:hAnsiTheme="minorHAnsi" w:cs="Arial"/>
            <w:lang w:val="en-IN"/>
          </w:rPr>
          <w:t>https://www.grandviewresearch.com/industry-analysis/luxury-watch-market</w:t>
        </w:r>
      </w:hyperlink>
    </w:p>
    <w:p w14:paraId="096E8775" w14:textId="77777777" w:rsidR="00591F2D" w:rsidRPr="00945EBD" w:rsidRDefault="00591F2D" w:rsidP="00591F2D">
      <w:pPr>
        <w:spacing w:before="240"/>
        <w:rPr>
          <w:rFonts w:asciiTheme="minorHAnsi" w:hAnsiTheme="minorHAnsi" w:cs="Arial"/>
          <w:lang w:val="en-IN"/>
        </w:rPr>
      </w:pPr>
      <w:r w:rsidRPr="00945EBD">
        <w:rPr>
          <w:rFonts w:asciiTheme="minorHAnsi" w:hAnsiTheme="minorHAnsi" w:cs="Arial"/>
        </w:rPr>
        <w:t>He, M., Abbasi, B.N. and He, J., (2025). AI-driven language learning in higher education: an empirical study on self-reflection, creativity, anxiety, and emotional resilience in EFL learners. </w:t>
      </w:r>
      <w:r w:rsidRPr="00945EBD">
        <w:rPr>
          <w:rFonts w:asciiTheme="minorHAnsi" w:hAnsiTheme="minorHAnsi" w:cs="Arial"/>
          <w:i/>
          <w:iCs/>
        </w:rPr>
        <w:t>Humanities and Social Sciences Communications</w:t>
      </w:r>
      <w:r w:rsidRPr="00945EBD">
        <w:rPr>
          <w:rFonts w:asciiTheme="minorHAnsi" w:hAnsiTheme="minorHAnsi" w:cs="Arial"/>
        </w:rPr>
        <w:t>, </w:t>
      </w:r>
      <w:r w:rsidRPr="00945EBD">
        <w:rPr>
          <w:rFonts w:asciiTheme="minorHAnsi" w:hAnsiTheme="minorHAnsi" w:cs="Arial"/>
          <w:i/>
          <w:iCs/>
        </w:rPr>
        <w:t>12</w:t>
      </w:r>
      <w:r w:rsidRPr="00945EBD">
        <w:rPr>
          <w:rFonts w:asciiTheme="minorHAnsi" w:hAnsiTheme="minorHAnsi" w:cs="Arial"/>
        </w:rPr>
        <w:t xml:space="preserve">(1), pp.1-20. </w:t>
      </w:r>
      <w:hyperlink r:id="rId20" w:history="1">
        <w:r w:rsidRPr="00945EBD">
          <w:rPr>
            <w:rStyle w:val="Hyperlink"/>
            <w:rFonts w:asciiTheme="minorHAnsi" w:hAnsiTheme="minorHAnsi" w:cs="Arial"/>
          </w:rPr>
          <w:t>https://www.nature.com/articles/s41599-025-05817-5</w:t>
        </w:r>
      </w:hyperlink>
    </w:p>
    <w:p w14:paraId="704F4F38"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He, Y., (2025). </w:t>
      </w:r>
      <w:r w:rsidRPr="00945EBD">
        <w:rPr>
          <w:rFonts w:asciiTheme="minorHAnsi" w:hAnsiTheme="minorHAnsi" w:cs="Arial"/>
          <w:i/>
          <w:iCs/>
        </w:rPr>
        <w:t>Vertical Logo Positioning in Brand Extensions</w:t>
      </w:r>
      <w:r w:rsidRPr="00945EBD">
        <w:rPr>
          <w:rFonts w:asciiTheme="minorHAnsi" w:hAnsiTheme="minorHAnsi" w:cs="Arial"/>
        </w:rPr>
        <w:t xml:space="preserve"> (Doctoral dissertation, Oklahoma State University). </w:t>
      </w:r>
      <w:hyperlink r:id="rId21" w:history="1">
        <w:r w:rsidRPr="00945EBD">
          <w:rPr>
            <w:rStyle w:val="Hyperlink"/>
            <w:rFonts w:asciiTheme="minorHAnsi" w:hAnsiTheme="minorHAnsi" w:cs="Arial"/>
          </w:rPr>
          <w:t>https://search.proquest.com/openview/64fc13c788015ef78476f053520525d3/1?pq-origsite=gscholar&amp;cbl=18750&amp;diss=y</w:t>
        </w:r>
      </w:hyperlink>
    </w:p>
    <w:p w14:paraId="2D9F0EA2"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 xml:space="preserve">Hess, A.R., (2025). A Literature Review Exploring Luxury Brand Extension. </w:t>
      </w:r>
      <w:hyperlink r:id="rId22" w:history="1">
        <w:r w:rsidRPr="00945EBD">
          <w:rPr>
            <w:rStyle w:val="Hyperlink"/>
            <w:rFonts w:asciiTheme="minorHAnsi" w:hAnsiTheme="minorHAnsi" w:cs="Arial"/>
          </w:rPr>
          <w:t>https://www.researchgate.net/profile/Allison-Hess-2/publication/391441909_A_Literature_Review_Exploring_Luxury_Brand_Extension_Consumer_Perceptions_and_Evaluations_in_the_Makeup_Product_Category/links/6817de94bfbe974b23c2ecce/A-Literature-Review-Exploring-Luxury-Brand-Extension-Consumer-Perceptions-and-Evaluations-in-the-Makeup-Product-Category.pdf</w:t>
        </w:r>
      </w:hyperlink>
    </w:p>
    <w:p w14:paraId="4A0116EC"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Kim, S., Cuevas, L. and Chang, H.J., (2025). Revisiting consumer loyalty: luxury brand extension into restaurants and cafés. </w:t>
      </w:r>
      <w:r w:rsidRPr="00945EBD">
        <w:rPr>
          <w:rFonts w:asciiTheme="minorHAnsi" w:hAnsiTheme="minorHAnsi" w:cs="Arial"/>
          <w:i/>
          <w:iCs/>
        </w:rPr>
        <w:t>International Journal of Retail &amp; Distribution Management</w:t>
      </w:r>
      <w:r w:rsidRPr="00945EBD">
        <w:rPr>
          <w:rFonts w:asciiTheme="minorHAnsi" w:hAnsiTheme="minorHAnsi" w:cs="Arial"/>
        </w:rPr>
        <w:t>, </w:t>
      </w:r>
      <w:r w:rsidRPr="00945EBD">
        <w:rPr>
          <w:rFonts w:asciiTheme="minorHAnsi" w:hAnsiTheme="minorHAnsi" w:cs="Arial"/>
          <w:i/>
          <w:iCs/>
        </w:rPr>
        <w:t>53</w:t>
      </w:r>
      <w:r w:rsidRPr="00945EBD">
        <w:rPr>
          <w:rFonts w:asciiTheme="minorHAnsi" w:hAnsiTheme="minorHAnsi" w:cs="Arial"/>
        </w:rPr>
        <w:t xml:space="preserve">(2), pp.199-215. </w:t>
      </w:r>
      <w:hyperlink r:id="rId23" w:history="1">
        <w:r w:rsidRPr="00945EBD">
          <w:rPr>
            <w:rStyle w:val="Hyperlink"/>
            <w:rFonts w:asciiTheme="minorHAnsi" w:hAnsiTheme="minorHAnsi" w:cs="Arial"/>
          </w:rPr>
          <w:t>https://www.emerald.com/ijrdm/article/53/2/199/1244725</w:t>
        </w:r>
      </w:hyperlink>
    </w:p>
    <w:p w14:paraId="26D92CCF" w14:textId="77777777" w:rsidR="00591F2D" w:rsidRPr="00945EBD" w:rsidRDefault="00591F2D" w:rsidP="00591F2D">
      <w:pPr>
        <w:spacing w:before="240"/>
        <w:rPr>
          <w:rFonts w:asciiTheme="minorHAnsi" w:hAnsiTheme="minorHAnsi" w:cs="Arial"/>
          <w:lang w:val="en-IN"/>
        </w:rPr>
      </w:pPr>
      <w:r w:rsidRPr="00945EBD">
        <w:rPr>
          <w:rFonts w:asciiTheme="minorHAnsi" w:hAnsiTheme="minorHAnsi" w:cs="Arial"/>
        </w:rPr>
        <w:t>Lan, M. and Zhou, X., (2025). A qualitative systematic review on AI empowered self-regulated learning in higher education. </w:t>
      </w:r>
      <w:r w:rsidRPr="00945EBD">
        <w:rPr>
          <w:rFonts w:asciiTheme="minorHAnsi" w:hAnsiTheme="minorHAnsi" w:cs="Arial"/>
          <w:i/>
          <w:iCs/>
        </w:rPr>
        <w:t>npj Science of Learning</w:t>
      </w:r>
      <w:r w:rsidRPr="00945EBD">
        <w:rPr>
          <w:rFonts w:asciiTheme="minorHAnsi" w:hAnsiTheme="minorHAnsi" w:cs="Arial"/>
        </w:rPr>
        <w:t>, </w:t>
      </w:r>
      <w:r w:rsidRPr="00945EBD">
        <w:rPr>
          <w:rFonts w:asciiTheme="minorHAnsi" w:hAnsiTheme="minorHAnsi" w:cs="Arial"/>
          <w:i/>
          <w:iCs/>
        </w:rPr>
        <w:t>10</w:t>
      </w:r>
      <w:r w:rsidRPr="00945EBD">
        <w:rPr>
          <w:rFonts w:asciiTheme="minorHAnsi" w:hAnsiTheme="minorHAnsi" w:cs="Arial"/>
        </w:rPr>
        <w:t xml:space="preserve">(1), p.21. </w:t>
      </w:r>
      <w:hyperlink r:id="rId24" w:history="1">
        <w:r w:rsidRPr="00945EBD">
          <w:rPr>
            <w:rStyle w:val="Hyperlink"/>
            <w:rFonts w:asciiTheme="minorHAnsi" w:hAnsiTheme="minorHAnsi" w:cs="Arial"/>
          </w:rPr>
          <w:t>https://www.nature.com/articles/s41539-025-00319-0</w:t>
        </w:r>
      </w:hyperlink>
    </w:p>
    <w:p w14:paraId="7498C934"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lastRenderedPageBreak/>
        <w:t xml:space="preserve">Leppälä, J., (2025). Building brand authority and exclusivity in the digital era: a strategic study for emerging luxury brands in a hyper-connected market. </w:t>
      </w:r>
      <w:hyperlink r:id="rId25" w:history="1">
        <w:r w:rsidRPr="00945EBD">
          <w:rPr>
            <w:rStyle w:val="Hyperlink"/>
            <w:rFonts w:asciiTheme="minorHAnsi" w:hAnsiTheme="minorHAnsi" w:cs="Arial"/>
          </w:rPr>
          <w:t>https://dl.designresearchsociety.org/retaildesign/rsf(2025)/researchpapers/4/</w:t>
        </w:r>
      </w:hyperlink>
    </w:p>
    <w:p w14:paraId="246BBF16"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 xml:space="preserve">MI., (2025). LUXURY WATCH MARKET SIZE &amp; SHARE ANALYSIS - GROWTH TRENDS AND FORECAST (2026 – 2031. </w:t>
      </w:r>
      <w:hyperlink r:id="rId26" w:history="1">
        <w:r w:rsidRPr="00945EBD">
          <w:rPr>
            <w:rStyle w:val="Hyperlink"/>
            <w:rFonts w:asciiTheme="minorHAnsi" w:hAnsiTheme="minorHAnsi" w:cs="Arial"/>
          </w:rPr>
          <w:t>https://www.mordorintelligence.com/industry-reports/luxury-watch-market</w:t>
        </w:r>
      </w:hyperlink>
    </w:p>
    <w:p w14:paraId="548E77BF"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Minh, H.V. and Hue, N.T.T., (2025), October. Branding Strategies in the Luxury Goods Market: Managing Brand Identity, Customer Perception, and Competitive Positioning in a Saturated Market. In </w:t>
      </w:r>
      <w:r w:rsidRPr="00945EBD">
        <w:rPr>
          <w:rFonts w:asciiTheme="minorHAnsi" w:hAnsiTheme="minorHAnsi" w:cs="Arial"/>
          <w:i/>
          <w:iCs/>
        </w:rPr>
        <w:t>Proceedings of the International Conference on Contemporary Studies in Social Sciences (ICSSSS (2025))</w:t>
      </w:r>
      <w:r w:rsidRPr="00945EBD">
        <w:rPr>
          <w:rFonts w:asciiTheme="minorHAnsi" w:hAnsiTheme="minorHAnsi" w:cs="Arial"/>
        </w:rPr>
        <w:t xml:space="preserve"> (p. 97). Springer Nature. </w:t>
      </w:r>
      <w:hyperlink r:id="rId27" w:history="1">
        <w:r w:rsidRPr="00945EBD">
          <w:rPr>
            <w:rStyle w:val="Hyperlink"/>
            <w:rFonts w:asciiTheme="minorHAnsi" w:hAnsiTheme="minorHAnsi" w:cs="Arial"/>
          </w:rPr>
          <w:t>https://books.google.com/books?hl=en&amp;lr=&amp;id=ULOPEQAAQBAJ&amp;oi=fnd&amp;pg=PA97&amp;dq=Luxury+brand+extension+strategy&amp;ots=tjQ5qhfumO&amp;sig=IgiP4JBXNSz7ry6DJE2NWyVWyog</w:t>
        </w:r>
      </w:hyperlink>
    </w:p>
    <w:p w14:paraId="7894C289"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Mo, Z., Li, M., He, Y., Yu, C. and Fu, H., (2025). Enhancing upward extension effectiveness: the roles of brand architecture and need for uniqueness. </w:t>
      </w:r>
      <w:r w:rsidRPr="00945EBD">
        <w:rPr>
          <w:rFonts w:asciiTheme="minorHAnsi" w:hAnsiTheme="minorHAnsi" w:cs="Arial"/>
          <w:i/>
          <w:iCs/>
        </w:rPr>
        <w:t>Journal of Consumer Behaviour</w:t>
      </w:r>
      <w:r w:rsidRPr="00945EBD">
        <w:rPr>
          <w:rFonts w:asciiTheme="minorHAnsi" w:hAnsiTheme="minorHAnsi" w:cs="Arial"/>
        </w:rPr>
        <w:t>, </w:t>
      </w:r>
      <w:r w:rsidRPr="00945EBD">
        <w:rPr>
          <w:rFonts w:asciiTheme="minorHAnsi" w:hAnsiTheme="minorHAnsi" w:cs="Arial"/>
          <w:i/>
          <w:iCs/>
        </w:rPr>
        <w:t>24</w:t>
      </w:r>
      <w:r w:rsidRPr="00945EBD">
        <w:rPr>
          <w:rFonts w:asciiTheme="minorHAnsi" w:hAnsiTheme="minorHAnsi" w:cs="Arial"/>
        </w:rPr>
        <w:t xml:space="preserve">(3), pp.1567-1581. </w:t>
      </w:r>
      <w:hyperlink r:id="rId28" w:history="1">
        <w:r w:rsidRPr="00945EBD">
          <w:rPr>
            <w:rStyle w:val="Hyperlink"/>
            <w:rFonts w:asciiTheme="minorHAnsi" w:hAnsiTheme="minorHAnsi" w:cs="Arial"/>
          </w:rPr>
          <w:t>https://onlinelibrary.wiley.com/doi/abs/10.1002/cb.2486</w:t>
        </w:r>
      </w:hyperlink>
    </w:p>
    <w:p w14:paraId="7DF7EE0A" w14:textId="77777777" w:rsidR="00591F2D" w:rsidRPr="00945EBD" w:rsidRDefault="00591F2D" w:rsidP="00591F2D">
      <w:pPr>
        <w:spacing w:before="240"/>
        <w:rPr>
          <w:rFonts w:asciiTheme="minorHAnsi" w:hAnsiTheme="minorHAnsi" w:cs="Arial"/>
          <w:lang w:val="en-IN"/>
        </w:rPr>
      </w:pPr>
      <w:r w:rsidRPr="00945EBD">
        <w:rPr>
          <w:rFonts w:asciiTheme="minorHAnsi" w:hAnsiTheme="minorHAnsi" w:cs="Arial"/>
          <w:lang w:val="en-IN"/>
        </w:rPr>
        <w:t xml:space="preserve">MRF., (2025). </w:t>
      </w:r>
      <w:r w:rsidRPr="00945EBD">
        <w:rPr>
          <w:rFonts w:asciiTheme="minorHAnsi" w:eastAsiaTheme="minorHAnsi" w:hAnsiTheme="minorHAnsi" w:cs="Arial"/>
          <w:lang w:val="en-IN"/>
        </w:rPr>
        <w:t>Luxury Watch Market</w:t>
      </w:r>
      <w:r w:rsidRPr="00945EBD">
        <w:rPr>
          <w:rFonts w:asciiTheme="minorHAnsi" w:hAnsiTheme="minorHAnsi" w:cs="Arial"/>
          <w:lang w:val="en-IN"/>
        </w:rPr>
        <w:t xml:space="preserve">. </w:t>
      </w:r>
      <w:hyperlink r:id="rId29" w:history="1">
        <w:r w:rsidRPr="00945EBD">
          <w:rPr>
            <w:rStyle w:val="Hyperlink"/>
            <w:rFonts w:asciiTheme="minorHAnsi" w:hAnsiTheme="minorHAnsi" w:cs="Arial"/>
            <w:lang w:val="en-IN"/>
          </w:rPr>
          <w:t>https://www.marketresearchfuture.com/reports/luxury-watch-market-10897</w:t>
        </w:r>
      </w:hyperlink>
    </w:p>
    <w:p w14:paraId="2B73E19B"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Ozer, M., Ozer, A., Ekinci, Y. and Gursoy, D., (2025). REVEALING PSYCHOLOGICAL DRIVERS OF BRAND IDENTIFICATION IN THE HOTEL INDUSTRY: COMPARING BORN-MASSTIGE HOTELS AND LUXURY BRAND EXTENSIONS. </w:t>
      </w:r>
      <w:r w:rsidRPr="00945EBD">
        <w:rPr>
          <w:rFonts w:asciiTheme="minorHAnsi" w:hAnsiTheme="minorHAnsi" w:cs="Arial"/>
          <w:i/>
          <w:iCs/>
        </w:rPr>
        <w:t>Dogan Gursoy, Mahlagha Darvishmotevali, Manuela Guerreiro and Patrícia Pinto</w:t>
      </w:r>
      <w:r w:rsidRPr="00945EBD">
        <w:rPr>
          <w:rFonts w:asciiTheme="minorHAnsi" w:hAnsiTheme="minorHAnsi" w:cs="Arial"/>
        </w:rPr>
        <w:t xml:space="preserve">. </w:t>
      </w:r>
      <w:hyperlink r:id="rId30" w:anchor="page=87" w:history="1">
        <w:r w:rsidRPr="00945EBD">
          <w:rPr>
            <w:rStyle w:val="Hyperlink"/>
            <w:rFonts w:asciiTheme="minorHAnsi" w:hAnsiTheme="minorHAnsi" w:cs="Arial"/>
          </w:rPr>
          <w:t>https://www.researchgate.net/profile/Jorge-Ramos-4/publication/395149576_12th_AHTMM_Conference_Proceedings/links/68b5ec30d9261f6f51b0a392/12th-AHTMM-Conference-Proceedings.pdf#page=87</w:t>
        </w:r>
      </w:hyperlink>
    </w:p>
    <w:p w14:paraId="17A2C769"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Roy, A., Das, M., Lim, W.M. and Kalai, A., (2025). Masstige consumption: A motivation-desire-outcome framework with implications for luxury brand management. </w:t>
      </w:r>
      <w:r w:rsidRPr="00945EBD">
        <w:rPr>
          <w:rFonts w:asciiTheme="minorHAnsi" w:hAnsiTheme="minorHAnsi" w:cs="Arial"/>
          <w:i/>
          <w:iCs/>
        </w:rPr>
        <w:t xml:space="preserve">Journal of Global </w:t>
      </w:r>
      <w:r w:rsidRPr="00945EBD">
        <w:rPr>
          <w:rFonts w:asciiTheme="minorHAnsi" w:hAnsiTheme="minorHAnsi" w:cs="Arial"/>
          <w:i/>
          <w:iCs/>
        </w:rPr>
        <w:lastRenderedPageBreak/>
        <w:t>Marketing</w:t>
      </w:r>
      <w:r w:rsidRPr="00945EBD">
        <w:rPr>
          <w:rFonts w:asciiTheme="minorHAnsi" w:hAnsiTheme="minorHAnsi" w:cs="Arial"/>
        </w:rPr>
        <w:t>, </w:t>
      </w:r>
      <w:r w:rsidRPr="00945EBD">
        <w:rPr>
          <w:rFonts w:asciiTheme="minorHAnsi" w:hAnsiTheme="minorHAnsi" w:cs="Arial"/>
          <w:i/>
          <w:iCs/>
        </w:rPr>
        <w:t>38</w:t>
      </w:r>
      <w:r w:rsidRPr="00945EBD">
        <w:rPr>
          <w:rFonts w:asciiTheme="minorHAnsi" w:hAnsiTheme="minorHAnsi" w:cs="Arial"/>
        </w:rPr>
        <w:t xml:space="preserve">(1), pp.27-58. </w:t>
      </w:r>
      <w:hyperlink r:id="rId31" w:history="1">
        <w:r w:rsidRPr="00945EBD">
          <w:rPr>
            <w:rStyle w:val="Hyperlink"/>
            <w:rFonts w:asciiTheme="minorHAnsi" w:hAnsiTheme="minorHAnsi" w:cs="Arial"/>
          </w:rPr>
          <w:t>https://www.tandfonline.com/doi/abs/10.1080/08911762.(2025).2449697</w:t>
        </w:r>
      </w:hyperlink>
    </w:p>
    <w:p w14:paraId="5AC8C14A" w14:textId="77777777" w:rsidR="00591F2D" w:rsidRPr="00945EBD" w:rsidRDefault="00591F2D" w:rsidP="00591F2D">
      <w:pPr>
        <w:spacing w:before="240"/>
        <w:rPr>
          <w:rFonts w:asciiTheme="minorHAnsi" w:hAnsiTheme="minorHAnsi" w:cs="Arial"/>
          <w:lang w:val="en-IN"/>
        </w:rPr>
      </w:pPr>
      <w:r w:rsidRPr="00945EBD">
        <w:rPr>
          <w:rFonts w:asciiTheme="minorHAnsi" w:hAnsiTheme="minorHAnsi" w:cs="Arial"/>
        </w:rPr>
        <w:t>Shi, P. and Liu, W., (2025). Adaptive learning oriented higher educational classroom teaching strategies. </w:t>
      </w:r>
      <w:r w:rsidRPr="00945EBD">
        <w:rPr>
          <w:rFonts w:asciiTheme="minorHAnsi" w:hAnsiTheme="minorHAnsi" w:cs="Arial"/>
          <w:i/>
          <w:iCs/>
        </w:rPr>
        <w:t>Scientific Reports</w:t>
      </w:r>
      <w:r w:rsidRPr="00945EBD">
        <w:rPr>
          <w:rFonts w:asciiTheme="minorHAnsi" w:hAnsiTheme="minorHAnsi" w:cs="Arial"/>
        </w:rPr>
        <w:t>, </w:t>
      </w:r>
      <w:r w:rsidRPr="00945EBD">
        <w:rPr>
          <w:rFonts w:asciiTheme="minorHAnsi" w:hAnsiTheme="minorHAnsi" w:cs="Arial"/>
          <w:i/>
          <w:iCs/>
        </w:rPr>
        <w:t>15</w:t>
      </w:r>
      <w:r w:rsidRPr="00945EBD">
        <w:rPr>
          <w:rFonts w:asciiTheme="minorHAnsi" w:hAnsiTheme="minorHAnsi" w:cs="Arial"/>
        </w:rPr>
        <w:t xml:space="preserve">(1), p.15661. </w:t>
      </w:r>
      <w:hyperlink r:id="rId32" w:history="1">
        <w:r w:rsidRPr="00945EBD">
          <w:rPr>
            <w:rStyle w:val="Hyperlink"/>
            <w:rFonts w:asciiTheme="minorHAnsi" w:hAnsiTheme="minorHAnsi" w:cs="Arial"/>
          </w:rPr>
          <w:t>https://www.nature.com/articles/s41598-025-00536-y</w:t>
        </w:r>
      </w:hyperlink>
    </w:p>
    <w:p w14:paraId="62AC0BEC"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Wang, Q., Fan, X., Fu, Z. and Wang, J., (2025). From smartphones to electric cars: a multidimensional analysis of Xiaomi’s brand extension and consumer perceptions. </w:t>
      </w:r>
      <w:r w:rsidRPr="00945EBD">
        <w:rPr>
          <w:rFonts w:asciiTheme="minorHAnsi" w:hAnsiTheme="minorHAnsi" w:cs="Arial"/>
          <w:i/>
          <w:iCs/>
        </w:rPr>
        <w:t>Journal of Strategic Marketing</w:t>
      </w:r>
      <w:r w:rsidRPr="00945EBD">
        <w:rPr>
          <w:rFonts w:asciiTheme="minorHAnsi" w:hAnsiTheme="minorHAnsi" w:cs="Arial"/>
        </w:rPr>
        <w:t>, </w:t>
      </w:r>
      <w:r w:rsidRPr="00945EBD">
        <w:rPr>
          <w:rFonts w:asciiTheme="minorHAnsi" w:hAnsiTheme="minorHAnsi" w:cs="Arial"/>
          <w:i/>
          <w:iCs/>
        </w:rPr>
        <w:t>33</w:t>
      </w:r>
      <w:r w:rsidRPr="00945EBD">
        <w:rPr>
          <w:rFonts w:asciiTheme="minorHAnsi" w:hAnsiTheme="minorHAnsi" w:cs="Arial"/>
        </w:rPr>
        <w:t xml:space="preserve">(5), pp.685-706. </w:t>
      </w:r>
      <w:hyperlink r:id="rId33" w:history="1">
        <w:r w:rsidRPr="00945EBD">
          <w:rPr>
            <w:rStyle w:val="Hyperlink"/>
            <w:rFonts w:asciiTheme="minorHAnsi" w:hAnsiTheme="minorHAnsi" w:cs="Arial"/>
          </w:rPr>
          <w:t>https://www.tandfonline.com/doi/abs/10.1080/0965254X.(2025).2520318</w:t>
        </w:r>
      </w:hyperlink>
    </w:p>
    <w:p w14:paraId="7D5246FB"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 xml:space="preserve">Xu, Y., (2026). Eco-Friendly Luxury Brand Extensions and Consumer Ethnocentrism. </w:t>
      </w:r>
      <w:hyperlink r:id="rId34" w:history="1">
        <w:r w:rsidRPr="00945EBD">
          <w:rPr>
            <w:rStyle w:val="Hyperlink"/>
            <w:rFonts w:asciiTheme="minorHAnsi" w:hAnsiTheme="minorHAnsi" w:cs="Arial"/>
          </w:rPr>
          <w:t>https://papers.ssrn.com/sol3/papers.cfm?abstract_id=6031854</w:t>
        </w:r>
      </w:hyperlink>
    </w:p>
    <w:p w14:paraId="5879FAC0" w14:textId="77777777" w:rsidR="00591F2D" w:rsidRPr="00945EBD" w:rsidRDefault="00591F2D" w:rsidP="00591F2D">
      <w:pPr>
        <w:spacing w:before="240"/>
        <w:rPr>
          <w:rFonts w:asciiTheme="minorHAnsi" w:hAnsiTheme="minorHAnsi" w:cs="Arial"/>
        </w:rPr>
      </w:pPr>
      <w:r w:rsidRPr="00945EBD">
        <w:rPr>
          <w:rFonts w:asciiTheme="minorHAnsi" w:hAnsiTheme="minorHAnsi" w:cs="Arial"/>
        </w:rPr>
        <w:t>Zeng, S., (2025), December. Research on the Innovation of Luxury Brand Marketing Model: Taking LV Café as an Example. In </w:t>
      </w:r>
      <w:r w:rsidRPr="00945EBD">
        <w:rPr>
          <w:rFonts w:asciiTheme="minorHAnsi" w:hAnsiTheme="minorHAnsi" w:cs="Arial"/>
          <w:i/>
          <w:iCs/>
        </w:rPr>
        <w:t>(2025) 7th International Conference on Economic Management and Cultural Industry (ICEMCI (2025))</w:t>
      </w:r>
      <w:r w:rsidRPr="00945EBD">
        <w:rPr>
          <w:rFonts w:asciiTheme="minorHAnsi" w:hAnsiTheme="minorHAnsi" w:cs="Arial"/>
        </w:rPr>
        <w:t xml:space="preserve"> (pp. 792-798). Atlantis Press. </w:t>
      </w:r>
      <w:hyperlink r:id="rId35" w:history="1">
        <w:r w:rsidRPr="00945EBD">
          <w:rPr>
            <w:rStyle w:val="Hyperlink"/>
            <w:rFonts w:asciiTheme="minorHAnsi" w:hAnsiTheme="minorHAnsi" w:cs="Arial"/>
          </w:rPr>
          <w:t>https://www.atlantis-press.com/proceedings/icemci-25/126018637</w:t>
        </w:r>
      </w:hyperlink>
    </w:p>
    <w:p w14:paraId="051EECAD" w14:textId="77777777" w:rsidR="00591F2D" w:rsidRPr="00945EBD" w:rsidRDefault="00591F2D" w:rsidP="00591F2D">
      <w:pPr>
        <w:pStyle w:val="ListParagraph"/>
        <w:rPr>
          <w:rFonts w:cs="Arial"/>
          <w:lang w:val="en-IN"/>
        </w:rPr>
      </w:pPr>
    </w:p>
    <w:p w14:paraId="466A386F" w14:textId="77777777" w:rsidR="00591F2D" w:rsidRPr="00945EBD" w:rsidRDefault="00591F2D" w:rsidP="00591F2D">
      <w:pPr>
        <w:rPr>
          <w:rFonts w:asciiTheme="minorHAnsi" w:hAnsiTheme="minorHAnsi" w:cs="Arial"/>
        </w:rPr>
      </w:pPr>
    </w:p>
    <w:sectPr w:rsidR="00591F2D" w:rsidRPr="00945EBD" w:rsidSect="00591F2D">
      <w:footerReference w:type="default" r:id="rId3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166A6" w14:textId="77777777" w:rsidR="005E218E" w:rsidRDefault="005E218E" w:rsidP="0038345A">
      <w:pPr>
        <w:spacing w:line="240" w:lineRule="auto"/>
      </w:pPr>
      <w:r>
        <w:separator/>
      </w:r>
    </w:p>
  </w:endnote>
  <w:endnote w:type="continuationSeparator" w:id="0">
    <w:p w14:paraId="01BEACE5" w14:textId="77777777" w:rsidR="005E218E" w:rsidRDefault="005E218E" w:rsidP="003834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9BF803F-DE30-42E9-8DF1-A4473A78AC02}"/>
    <w:embedBold r:id="rId2" w:fontKey="{D0D93275-5090-43EE-8917-D91380B44961}"/>
    <w:embedItalic r:id="rId3" w:fontKey="{D0C3770B-0B0B-4B8E-9DBF-1BEEEEBF5376}"/>
  </w:font>
  <w:font w:name="Mangal">
    <w:panose1 w:val="00000400000000000000"/>
    <w:charset w:val="00"/>
    <w:family w:val="roman"/>
    <w:pitch w:val="variable"/>
    <w:sig w:usb0="00008003" w:usb1="00000000" w:usb2="00000000" w:usb3="00000000" w:csb0="00000001" w:csb1="00000000"/>
    <w:embedRegular r:id="rId4" w:fontKey="{2A138569-C8AA-4B5D-8D47-989718A1AE51}"/>
  </w:font>
  <w:font w:name="Calibri">
    <w:panose1 w:val="020F0502020204030204"/>
    <w:charset w:val="00"/>
    <w:family w:val="swiss"/>
    <w:pitch w:val="variable"/>
    <w:sig w:usb0="E4002EFF" w:usb1="C200247B" w:usb2="00000009" w:usb3="00000000" w:csb0="000001FF" w:csb1="00000000"/>
    <w:embedRegular r:id="rId5" w:fontKey="{47CF23AB-B8A3-4E03-BFC3-FCF0E523F70C}"/>
  </w:font>
  <w:font w:name="Aptos">
    <w:charset w:val="00"/>
    <w:family w:val="swiss"/>
    <w:pitch w:val="variable"/>
    <w:sig w:usb0="20000287" w:usb1="00000003" w:usb2="00000000" w:usb3="00000000" w:csb0="0000019F" w:csb1="00000000"/>
    <w:embedBold r:id="rId6" w:fontKey="{34119EE6-BFFC-444E-A044-56444ABE850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540372"/>
      <w:docPartObj>
        <w:docPartGallery w:val="Page Numbers (Bottom of Page)"/>
        <w:docPartUnique/>
      </w:docPartObj>
    </w:sdtPr>
    <w:sdtEndPr>
      <w:rPr>
        <w:noProof/>
      </w:rPr>
    </w:sdtEndPr>
    <w:sdtContent>
      <w:p w14:paraId="678F6F2E" w14:textId="09318998" w:rsidR="0038345A" w:rsidRDefault="003834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9C7B1B" w14:textId="77777777" w:rsidR="0038345A" w:rsidRDefault="00383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21E7" w14:textId="77777777" w:rsidR="005E218E" w:rsidRDefault="005E218E" w:rsidP="0038345A">
      <w:pPr>
        <w:spacing w:line="240" w:lineRule="auto"/>
      </w:pPr>
      <w:r>
        <w:separator/>
      </w:r>
    </w:p>
  </w:footnote>
  <w:footnote w:type="continuationSeparator" w:id="0">
    <w:p w14:paraId="50B46DD7" w14:textId="77777777" w:rsidR="005E218E" w:rsidRDefault="005E218E" w:rsidP="003834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B06984"/>
    <w:multiLevelType w:val="hybridMultilevel"/>
    <w:tmpl w:val="84C4DF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4C55043"/>
    <w:multiLevelType w:val="hybridMultilevel"/>
    <w:tmpl w:val="E1CABF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4275136"/>
    <w:multiLevelType w:val="hybridMultilevel"/>
    <w:tmpl w:val="6714FE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19117547">
    <w:abstractNumId w:val="2"/>
  </w:num>
  <w:num w:numId="2" w16cid:durableId="1440104320">
    <w:abstractNumId w:val="1"/>
  </w:num>
  <w:num w:numId="3" w16cid:durableId="978802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83C"/>
    <w:rsid w:val="000364D7"/>
    <w:rsid w:val="00080181"/>
    <w:rsid w:val="000D5DF2"/>
    <w:rsid w:val="00125858"/>
    <w:rsid w:val="00131A96"/>
    <w:rsid w:val="001F5445"/>
    <w:rsid w:val="00322DE5"/>
    <w:rsid w:val="003341C4"/>
    <w:rsid w:val="0037183C"/>
    <w:rsid w:val="0038345A"/>
    <w:rsid w:val="00591F2D"/>
    <w:rsid w:val="005A7F01"/>
    <w:rsid w:val="005E218E"/>
    <w:rsid w:val="005F5D9B"/>
    <w:rsid w:val="006F0DB9"/>
    <w:rsid w:val="006F57A0"/>
    <w:rsid w:val="00706BA4"/>
    <w:rsid w:val="007F1EA0"/>
    <w:rsid w:val="007F4CCB"/>
    <w:rsid w:val="00867BF2"/>
    <w:rsid w:val="008C35EE"/>
    <w:rsid w:val="008F25BC"/>
    <w:rsid w:val="00945EBD"/>
    <w:rsid w:val="009D4EC5"/>
    <w:rsid w:val="00A100D7"/>
    <w:rsid w:val="00B058DA"/>
    <w:rsid w:val="00B35AB5"/>
    <w:rsid w:val="00BF48EA"/>
    <w:rsid w:val="00C26B31"/>
    <w:rsid w:val="00C94AC1"/>
    <w:rsid w:val="00CD5D88"/>
    <w:rsid w:val="00DE53B8"/>
    <w:rsid w:val="00E22294"/>
    <w:rsid w:val="00FC23E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B294A"/>
  <w15:docId w15:val="{5C9BB8D5-492F-419A-8E84-833D23AD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591F2D"/>
    <w:pPr>
      <w:spacing w:after="160" w:line="278" w:lineRule="auto"/>
      <w:ind w:left="720"/>
      <w:contextualSpacing/>
      <w:jc w:val="left"/>
    </w:pPr>
    <w:rPr>
      <w:rFonts w:asciiTheme="minorHAnsi" w:eastAsiaTheme="minorHAnsi" w:hAnsiTheme="minorHAnsi" w:cstheme="minorBidi"/>
      <w:kern w:val="2"/>
      <w:lang w:eastAsia="en-US"/>
      <w14:ligatures w14:val="standardContextual"/>
    </w:rPr>
  </w:style>
  <w:style w:type="character" w:styleId="Hyperlink">
    <w:name w:val="Hyperlink"/>
    <w:basedOn w:val="DefaultParagraphFont"/>
    <w:uiPriority w:val="99"/>
    <w:unhideWhenUsed/>
    <w:rsid w:val="00591F2D"/>
    <w:rPr>
      <w:color w:val="0000FF" w:themeColor="hyperlink"/>
      <w:u w:val="single"/>
    </w:rPr>
  </w:style>
  <w:style w:type="paragraph" w:styleId="Header">
    <w:name w:val="header"/>
    <w:basedOn w:val="Normal"/>
    <w:link w:val="HeaderChar"/>
    <w:uiPriority w:val="99"/>
    <w:unhideWhenUsed/>
    <w:rsid w:val="0038345A"/>
    <w:pPr>
      <w:tabs>
        <w:tab w:val="center" w:pos="4513"/>
        <w:tab w:val="right" w:pos="9026"/>
      </w:tabs>
      <w:spacing w:line="240" w:lineRule="auto"/>
    </w:pPr>
  </w:style>
  <w:style w:type="character" w:customStyle="1" w:styleId="HeaderChar">
    <w:name w:val="Header Char"/>
    <w:basedOn w:val="DefaultParagraphFont"/>
    <w:link w:val="Header"/>
    <w:uiPriority w:val="99"/>
    <w:rsid w:val="0038345A"/>
    <w:rPr>
      <w:lang w:val="en-GB"/>
    </w:rPr>
  </w:style>
  <w:style w:type="paragraph" w:styleId="Footer">
    <w:name w:val="footer"/>
    <w:basedOn w:val="Normal"/>
    <w:link w:val="FooterChar"/>
    <w:uiPriority w:val="99"/>
    <w:unhideWhenUsed/>
    <w:rsid w:val="0038345A"/>
    <w:pPr>
      <w:tabs>
        <w:tab w:val="center" w:pos="4513"/>
        <w:tab w:val="right" w:pos="9026"/>
      </w:tabs>
      <w:spacing w:line="240" w:lineRule="auto"/>
    </w:pPr>
  </w:style>
  <w:style w:type="character" w:customStyle="1" w:styleId="FooterChar">
    <w:name w:val="Footer Char"/>
    <w:basedOn w:val="DefaultParagraphFont"/>
    <w:link w:val="Footer"/>
    <w:uiPriority w:val="99"/>
    <w:rsid w:val="0038345A"/>
    <w:rPr>
      <w:lang w:val="en-GB"/>
    </w:rPr>
  </w:style>
  <w:style w:type="paragraph" w:styleId="TOCHeading">
    <w:name w:val="TOC Heading"/>
    <w:basedOn w:val="Heading1"/>
    <w:next w:val="Normal"/>
    <w:uiPriority w:val="39"/>
    <w:unhideWhenUsed/>
    <w:qFormat/>
    <w:rsid w:val="0038345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8345A"/>
    <w:pPr>
      <w:spacing w:after="100"/>
    </w:pPr>
  </w:style>
  <w:style w:type="paragraph" w:styleId="TOC2">
    <w:name w:val="toc 2"/>
    <w:basedOn w:val="Normal"/>
    <w:next w:val="Normal"/>
    <w:autoRedefine/>
    <w:uiPriority w:val="39"/>
    <w:unhideWhenUsed/>
    <w:rsid w:val="0038345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emerald.com/ejm/article/60/13/202/1346495" TargetMode="External"/><Relationship Id="rId18" Type="http://schemas.openxmlformats.org/officeDocument/2006/relationships/hyperlink" Target="https://www.fortunebusinessinsights.com/luxury-watch-market-104410" TargetMode="External"/><Relationship Id="rId26" Type="http://schemas.openxmlformats.org/officeDocument/2006/relationships/hyperlink" Target="https://www.mordorintelligence.com/industry-reports/luxury-watch-market" TargetMode="External"/><Relationship Id="rId21" Type="http://schemas.openxmlformats.org/officeDocument/2006/relationships/hyperlink" Target="https://search.proquest.com/openview/64fc13c788015ef78476f053520525d3/1?pq-origsite=gscholar&amp;cbl=18750&amp;diss=y" TargetMode="External"/><Relationship Id="rId34" Type="http://schemas.openxmlformats.org/officeDocument/2006/relationships/hyperlink" Target="https://papers.ssrn.com/sol3/papers.cfm?abstract_id=6031854" TargetMode="External"/><Relationship Id="rId7" Type="http://schemas.openxmlformats.org/officeDocument/2006/relationships/endnotes" Target="endnotes.xml"/><Relationship Id="rId12" Type="http://schemas.openxmlformats.org/officeDocument/2006/relationships/hyperlink" Target="https://papers.ssrn.com/sol3/papers.cfm?abstract_id=6152931" TargetMode="External"/><Relationship Id="rId17" Type="http://schemas.openxmlformats.org/officeDocument/2006/relationships/hyperlink" Target="https://eric.ed.gov/?id=EJ1463876" TargetMode="External"/><Relationship Id="rId25" Type="http://schemas.openxmlformats.org/officeDocument/2006/relationships/hyperlink" Target="https://dl.designresearchsociety.org/retaildesign/rsf2025/researchpapers/4/" TargetMode="External"/><Relationship Id="rId33" Type="http://schemas.openxmlformats.org/officeDocument/2006/relationships/hyperlink" Target="https://www.tandfonline.com/doi/abs/10.1080/0965254X.2025.2520318"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ebthesis.biblio.polito.it/38185/" TargetMode="External"/><Relationship Id="rId20" Type="http://schemas.openxmlformats.org/officeDocument/2006/relationships/hyperlink" Target="https://www.nature.com/articles/s41599-025-05817-5" TargetMode="External"/><Relationship Id="rId29" Type="http://schemas.openxmlformats.org/officeDocument/2006/relationships/hyperlink" Target="https://www.marketresearchfuture.com/reports/luxury-watch-market-108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dun.unav.edu/entities/publication/5f660fb0-40c9-4271-ae63-d57f973731cc" TargetMode="External"/><Relationship Id="rId24" Type="http://schemas.openxmlformats.org/officeDocument/2006/relationships/hyperlink" Target="https://www.nature.com/articles/s41539-025-00319-0" TargetMode="External"/><Relationship Id="rId32" Type="http://schemas.openxmlformats.org/officeDocument/2006/relationships/hyperlink" Target="https://www.nature.com/articles/s41598-025-00536-y"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businessresearchcompany.com/report/luxury-watch-global-market-report" TargetMode="External"/><Relationship Id="rId23" Type="http://schemas.openxmlformats.org/officeDocument/2006/relationships/hyperlink" Target="https://www.emerald.com/ijrdm/article/53/2/199/1244725" TargetMode="External"/><Relationship Id="rId28" Type="http://schemas.openxmlformats.org/officeDocument/2006/relationships/hyperlink" Target="https://onlinelibrary.wiley.com/doi/abs/10.1002/cb.2486" TargetMode="External"/><Relationship Id="rId36" Type="http://schemas.openxmlformats.org/officeDocument/2006/relationships/footer" Target="footer1.xml"/><Relationship Id="rId10" Type="http://schemas.openxmlformats.org/officeDocument/2006/relationships/image" Target="media/image3.svg"/><Relationship Id="rId19" Type="http://schemas.openxmlformats.org/officeDocument/2006/relationships/hyperlink" Target="https://www.grandviewresearch.com/industry-analysis/luxury-watch-market" TargetMode="External"/><Relationship Id="rId31" Type="http://schemas.openxmlformats.org/officeDocument/2006/relationships/hyperlink" Target="https://www.tandfonline.com/doi/abs/10.1080/08911762.2025.244969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article/10.1007/s44282-024-00135-8" TargetMode="External"/><Relationship Id="rId22" Type="http://schemas.openxmlformats.org/officeDocument/2006/relationships/hyperlink" Target="https://www.researchgate.net/profile/Allison-Hess-2/publication/391441909_A_Literature_Review_Exploring_Luxury_Brand_Extension_Consumer_Perceptions_and_Evaluations_in_the_Makeup_Product_Category/links/6817de94bfbe974b23c2ecce/A-Literature-Review-Exploring-Luxury-Brand-Extension-Consumer-Perceptions-and-Evaluations-in-the-Makeup-Product-Category.pdf" TargetMode="External"/><Relationship Id="rId27" Type="http://schemas.openxmlformats.org/officeDocument/2006/relationships/hyperlink" Target="https://books.google.com/books?hl=en&amp;lr=&amp;id=ULOPEQAAQBAJ&amp;oi=fnd&amp;pg=PA97&amp;dq=Luxury+brand+extension+strategy&amp;ots=tjQ5qhfumO&amp;sig=IgiP4JBXNSz7ry6DJE2NWyVWyog" TargetMode="External"/><Relationship Id="rId30" Type="http://schemas.openxmlformats.org/officeDocument/2006/relationships/hyperlink" Target="https://www.researchgate.net/profile/Jorge-Ramos-4/publication/395149576_12th_AHTMM_Conference_Proceedings/links/68b5ec30d9261f6f51b0a392/12th-AHTMM-Conference-Proceedings.pdf" TargetMode="External"/><Relationship Id="rId35" Type="http://schemas.openxmlformats.org/officeDocument/2006/relationships/hyperlink" Target="https://www.atlantis-press.com/proceedings/icemci-25/126018637"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32824-A8B2-4B81-9F44-03885DF63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4104</Words>
  <Characters>23394</Characters>
  <Application>Microsoft Office Word</Application>
  <DocSecurity>0</DocSecurity>
  <Lines>194</Lines>
  <Paragraphs>54</Paragraphs>
  <ScaleCrop>false</ScaleCrop>
  <Company/>
  <LinksUpToDate>false</LinksUpToDate>
  <CharactersWithSpaces>27444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Sidharth Prasad</dc:creator>
  <cp:lastModifiedBy>Harimohan Singh</cp:lastModifiedBy>
  <cp:revision>21</cp:revision>
  <dcterms:created xsi:type="dcterms:W3CDTF">2026-04-04T12:07:00Z</dcterms:created>
  <dcterms:modified xsi:type="dcterms:W3CDTF">2026-04-30T19:22:00Z</dcterms:modified>
</cp:coreProperties>
</file>