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7BFF7" w14:textId="77777777" w:rsidR="00FD7EBE" w:rsidRPr="00E45CCA" w:rsidRDefault="00FD7EBE" w:rsidP="00FD7EBE">
      <w:pPr>
        <w:jc w:val="both"/>
        <w:rPr>
          <w:b/>
          <w:bCs/>
          <w:color w:val="000000" w:themeColor="text1"/>
        </w:rPr>
      </w:pPr>
      <w:r>
        <w:rPr>
          <w:b/>
          <w:bCs/>
          <w:noProof/>
          <w:color w:val="000000" w:themeColor="text1"/>
        </w:rPr>
        <w:drawing>
          <wp:inline distT="0" distB="0" distL="0" distR="0" wp14:anchorId="4F818166" wp14:editId="364DFDDF">
            <wp:extent cx="3003082" cy="12512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2128" cy="1255053"/>
                    </a:xfrm>
                    <a:prstGeom prst="rect">
                      <a:avLst/>
                    </a:prstGeom>
                    <a:noFill/>
                    <a:ln>
                      <a:noFill/>
                    </a:ln>
                  </pic:spPr>
                </pic:pic>
              </a:graphicData>
            </a:graphic>
          </wp:inline>
        </w:drawing>
      </w:r>
    </w:p>
    <w:p w14:paraId="102C223A" w14:textId="77777777" w:rsidR="00FD7EBE" w:rsidRPr="00E45CCA" w:rsidRDefault="00FD7EBE" w:rsidP="00FD7EBE">
      <w:pPr>
        <w:jc w:val="both"/>
        <w:rPr>
          <w:b/>
          <w:bCs/>
        </w:rPr>
      </w:pPr>
    </w:p>
    <w:p w14:paraId="0829C717" w14:textId="77777777" w:rsidR="00FD7EBE" w:rsidRDefault="00FD7EBE" w:rsidP="00FD7EBE">
      <w:pPr>
        <w:jc w:val="both"/>
        <w:rPr>
          <w:b/>
          <w:bCs/>
        </w:rPr>
      </w:pPr>
    </w:p>
    <w:p w14:paraId="45C783CA" w14:textId="77777777" w:rsidR="00FD7EBE" w:rsidRDefault="00FD7EBE" w:rsidP="00FD7EBE">
      <w:pPr>
        <w:jc w:val="both"/>
        <w:rPr>
          <w:b/>
          <w:bCs/>
        </w:rPr>
      </w:pPr>
    </w:p>
    <w:p w14:paraId="1217AC56" w14:textId="77777777" w:rsidR="00FD7EBE" w:rsidRDefault="00FD7EBE" w:rsidP="00FD7EBE">
      <w:pPr>
        <w:jc w:val="both"/>
        <w:rPr>
          <w:b/>
          <w:bCs/>
        </w:rPr>
      </w:pPr>
    </w:p>
    <w:p w14:paraId="313B0B73" w14:textId="77777777" w:rsidR="00FD7EBE" w:rsidRDefault="00FD7EBE" w:rsidP="00FD7EBE">
      <w:pPr>
        <w:jc w:val="both"/>
        <w:rPr>
          <w:b/>
          <w:bCs/>
        </w:rPr>
      </w:pPr>
    </w:p>
    <w:p w14:paraId="41331B0F" w14:textId="77777777" w:rsidR="00FD7EBE" w:rsidRDefault="00FD7EBE" w:rsidP="00FD7EBE">
      <w:pPr>
        <w:jc w:val="both"/>
        <w:rPr>
          <w:b/>
          <w:bCs/>
        </w:rPr>
      </w:pPr>
    </w:p>
    <w:p w14:paraId="60A1F7F2" w14:textId="77777777" w:rsidR="00FD7EBE" w:rsidRDefault="00FD7EBE" w:rsidP="00FD7EBE">
      <w:pPr>
        <w:jc w:val="both"/>
        <w:rPr>
          <w:b/>
          <w:bCs/>
        </w:rPr>
      </w:pPr>
    </w:p>
    <w:p w14:paraId="40B1F587" w14:textId="674E85F7" w:rsidR="00FD7EBE" w:rsidRDefault="00FD7EBE" w:rsidP="00FD7EBE">
      <w:pPr>
        <w:jc w:val="both"/>
        <w:rPr>
          <w:b/>
          <w:bCs/>
        </w:rPr>
      </w:pPr>
    </w:p>
    <w:p w14:paraId="4A763337" w14:textId="3397A0B2" w:rsidR="00D444EE" w:rsidRDefault="00D444EE" w:rsidP="00FD7EBE">
      <w:pPr>
        <w:jc w:val="both"/>
        <w:rPr>
          <w:b/>
          <w:bCs/>
        </w:rPr>
      </w:pPr>
    </w:p>
    <w:p w14:paraId="5AFC8CBA" w14:textId="25AFA106" w:rsidR="00D444EE" w:rsidRDefault="00D444EE" w:rsidP="00FD7EBE">
      <w:pPr>
        <w:jc w:val="both"/>
        <w:rPr>
          <w:b/>
          <w:bCs/>
        </w:rPr>
      </w:pPr>
    </w:p>
    <w:p w14:paraId="5014BE14" w14:textId="77777777" w:rsidR="00D444EE" w:rsidRDefault="00D444EE" w:rsidP="00FD7EBE">
      <w:pPr>
        <w:jc w:val="both"/>
        <w:rPr>
          <w:b/>
          <w:bCs/>
        </w:rPr>
      </w:pPr>
    </w:p>
    <w:p w14:paraId="06250421" w14:textId="77777777" w:rsidR="00FD7EBE" w:rsidRDefault="00FD7EBE" w:rsidP="00FD7EBE">
      <w:pPr>
        <w:jc w:val="both"/>
        <w:rPr>
          <w:b/>
          <w:bCs/>
        </w:rPr>
      </w:pPr>
    </w:p>
    <w:p w14:paraId="551C0F6C" w14:textId="77777777" w:rsidR="00FD7EBE" w:rsidRDefault="00FD7EBE" w:rsidP="00FD7EBE">
      <w:pPr>
        <w:jc w:val="both"/>
        <w:rPr>
          <w:b/>
          <w:bCs/>
        </w:rPr>
      </w:pPr>
    </w:p>
    <w:p w14:paraId="30888D3C" w14:textId="77777777" w:rsidR="00FD7EBE" w:rsidRDefault="00FD7EBE" w:rsidP="00FD7EBE">
      <w:pPr>
        <w:jc w:val="both"/>
        <w:rPr>
          <w:b/>
          <w:bCs/>
        </w:rPr>
      </w:pPr>
    </w:p>
    <w:p w14:paraId="019EF8F6" w14:textId="77777777" w:rsidR="00FD7EBE" w:rsidRDefault="00FD7EBE" w:rsidP="00FD7EBE">
      <w:pPr>
        <w:jc w:val="both"/>
        <w:rPr>
          <w:b/>
          <w:bCs/>
        </w:rPr>
      </w:pPr>
    </w:p>
    <w:p w14:paraId="4AC1B7C1" w14:textId="77777777" w:rsidR="00FD7EBE" w:rsidRDefault="00FD7EBE" w:rsidP="00FD7EBE">
      <w:pPr>
        <w:jc w:val="both"/>
        <w:rPr>
          <w:b/>
          <w:bCs/>
        </w:rPr>
      </w:pPr>
      <w:r>
        <w:rPr>
          <w:b/>
          <w:bCs/>
        </w:rPr>
        <w:t>NAME: CHITUKULA SAI KIRAN REDDY</w:t>
      </w:r>
    </w:p>
    <w:p w14:paraId="04B33E69" w14:textId="77777777" w:rsidR="00FD7EBE" w:rsidRDefault="00FD7EBE" w:rsidP="00FD7EBE">
      <w:pPr>
        <w:jc w:val="both"/>
        <w:rPr>
          <w:b/>
          <w:bCs/>
        </w:rPr>
      </w:pPr>
      <w:r>
        <w:rPr>
          <w:b/>
          <w:bCs/>
        </w:rPr>
        <w:t>STUDENT ID: 2126691</w:t>
      </w:r>
    </w:p>
    <w:p w14:paraId="6B6DF22C" w14:textId="77777777" w:rsidR="00FD7EBE" w:rsidRDefault="00FD7EBE" w:rsidP="00FD7EBE">
      <w:pPr>
        <w:jc w:val="both"/>
        <w:rPr>
          <w:b/>
          <w:bCs/>
        </w:rPr>
      </w:pPr>
      <w:r>
        <w:rPr>
          <w:b/>
          <w:bCs/>
        </w:rPr>
        <w:t>COURSE: MASTERS IN BUSINESS ADMINISTRATION(HR)</w:t>
      </w:r>
    </w:p>
    <w:p w14:paraId="73F06C61" w14:textId="568CE778" w:rsidR="00FD7EBE" w:rsidRDefault="00FD7EBE" w:rsidP="00FD7EBE">
      <w:pPr>
        <w:jc w:val="both"/>
        <w:rPr>
          <w:b/>
          <w:bCs/>
        </w:rPr>
      </w:pPr>
      <w:r>
        <w:rPr>
          <w:b/>
          <w:bCs/>
        </w:rPr>
        <w:t xml:space="preserve">MODULE: </w:t>
      </w:r>
      <w:r w:rsidR="00D444EE">
        <w:rPr>
          <w:b/>
          <w:bCs/>
        </w:rPr>
        <w:t xml:space="preserve">HUMAN RESOURCE </w:t>
      </w:r>
      <w:r>
        <w:rPr>
          <w:b/>
          <w:bCs/>
        </w:rPr>
        <w:t xml:space="preserve">MANAGEMENT-ASSESSMENT </w:t>
      </w:r>
      <w:r w:rsidR="00D444EE">
        <w:rPr>
          <w:b/>
          <w:bCs/>
        </w:rPr>
        <w:t>1</w:t>
      </w:r>
      <w:r>
        <w:rPr>
          <w:b/>
          <w:bCs/>
        </w:rPr>
        <w:t xml:space="preserve"> (5</w:t>
      </w:r>
      <w:r w:rsidR="00D444EE">
        <w:rPr>
          <w:b/>
          <w:bCs/>
        </w:rPr>
        <w:t>0</w:t>
      </w:r>
      <w:r>
        <w:rPr>
          <w:b/>
          <w:bCs/>
        </w:rPr>
        <w:t>%)</w:t>
      </w:r>
    </w:p>
    <w:p w14:paraId="697AC2BE" w14:textId="3EEAE5B6" w:rsidR="00FD7EBE" w:rsidRDefault="00FD7EBE" w:rsidP="00FD7EBE">
      <w:pPr>
        <w:jc w:val="both"/>
        <w:rPr>
          <w:b/>
          <w:bCs/>
        </w:rPr>
      </w:pPr>
      <w:r>
        <w:rPr>
          <w:b/>
          <w:bCs/>
        </w:rPr>
        <w:t>MODULE CODE: LCMB700</w:t>
      </w:r>
      <w:r w:rsidR="00D444EE">
        <w:rPr>
          <w:b/>
          <w:bCs/>
        </w:rPr>
        <w:t>0</w:t>
      </w:r>
    </w:p>
    <w:p w14:paraId="258DD675" w14:textId="15663CE3" w:rsidR="00FD7EBE" w:rsidRDefault="00FD7EBE" w:rsidP="00FD7EBE">
      <w:pPr>
        <w:jc w:val="both"/>
        <w:rPr>
          <w:b/>
          <w:bCs/>
        </w:rPr>
      </w:pPr>
      <w:r>
        <w:rPr>
          <w:b/>
          <w:bCs/>
        </w:rPr>
        <w:t xml:space="preserve">PROFFESOR: </w:t>
      </w:r>
      <w:r w:rsidR="00D444EE">
        <w:rPr>
          <w:b/>
          <w:bCs/>
        </w:rPr>
        <w:t>GLADIUS KULOTHUGAN</w:t>
      </w:r>
    </w:p>
    <w:p w14:paraId="15CA64B5" w14:textId="0ADBB68D" w:rsidR="00AC0C04" w:rsidRDefault="00FD7EBE" w:rsidP="002917B3">
      <w:pPr>
        <w:jc w:val="both"/>
        <w:rPr>
          <w:sz w:val="32"/>
          <w:szCs w:val="32"/>
        </w:rPr>
      </w:pPr>
      <w:r>
        <w:rPr>
          <w:b/>
          <w:bCs/>
        </w:rPr>
        <w:t>SUBMISSION DATE: 08-09-2022</w:t>
      </w:r>
    </w:p>
    <w:p w14:paraId="1F377CE8" w14:textId="77777777" w:rsidR="0067197E" w:rsidRDefault="0067197E">
      <w:pPr>
        <w:pStyle w:val="Heading1"/>
        <w:spacing w:line="360" w:lineRule="auto"/>
        <w:jc w:val="center"/>
      </w:pPr>
      <w:bookmarkStart w:id="0" w:name="_2jqkpdfm1ev1" w:colFirst="0" w:colLast="0"/>
      <w:bookmarkEnd w:id="0"/>
    </w:p>
    <w:p w14:paraId="2EBFA34E" w14:textId="77777777" w:rsidR="0067197E" w:rsidRDefault="0067197E">
      <w:pPr>
        <w:pStyle w:val="Heading1"/>
        <w:spacing w:line="360" w:lineRule="auto"/>
        <w:jc w:val="center"/>
      </w:pPr>
      <w:bookmarkStart w:id="1" w:name="_lfpsvghq5zec" w:colFirst="0" w:colLast="0"/>
      <w:bookmarkEnd w:id="1"/>
    </w:p>
    <w:p w14:paraId="08E8A4B5" w14:textId="77777777" w:rsidR="0067197E" w:rsidRDefault="0067197E">
      <w:pPr>
        <w:pStyle w:val="Heading1"/>
        <w:spacing w:line="360" w:lineRule="auto"/>
        <w:jc w:val="center"/>
      </w:pPr>
      <w:bookmarkStart w:id="2" w:name="_cief1fizjzd" w:colFirst="0" w:colLast="0"/>
      <w:bookmarkEnd w:id="2"/>
    </w:p>
    <w:p w14:paraId="504B424D" w14:textId="77777777" w:rsidR="006414FB" w:rsidRDefault="006414FB">
      <w:pPr>
        <w:pStyle w:val="Heading1"/>
        <w:spacing w:line="360" w:lineRule="auto"/>
        <w:jc w:val="center"/>
      </w:pPr>
      <w:bookmarkStart w:id="3" w:name="_na4hzjvwgzg" w:colFirst="0" w:colLast="0"/>
      <w:bookmarkStart w:id="4" w:name="_Toc112334007"/>
      <w:bookmarkEnd w:id="3"/>
    </w:p>
    <w:p w14:paraId="6D4B068C" w14:textId="77777777" w:rsidR="006414FB" w:rsidRDefault="006414FB">
      <w:pPr>
        <w:pStyle w:val="Heading1"/>
        <w:spacing w:line="360" w:lineRule="auto"/>
        <w:jc w:val="center"/>
      </w:pPr>
    </w:p>
    <w:p w14:paraId="2D1C324A" w14:textId="77777777" w:rsidR="006414FB" w:rsidRDefault="006414FB">
      <w:pPr>
        <w:pStyle w:val="Heading1"/>
        <w:spacing w:line="360" w:lineRule="auto"/>
        <w:jc w:val="center"/>
      </w:pPr>
    </w:p>
    <w:p w14:paraId="060A309D" w14:textId="77777777" w:rsidR="006414FB" w:rsidRDefault="006414FB">
      <w:pPr>
        <w:pStyle w:val="Heading1"/>
        <w:spacing w:line="360" w:lineRule="auto"/>
        <w:jc w:val="center"/>
      </w:pPr>
    </w:p>
    <w:p w14:paraId="6B15F81B" w14:textId="77777777" w:rsidR="006414FB" w:rsidRDefault="006414FB">
      <w:pPr>
        <w:pStyle w:val="Heading1"/>
        <w:spacing w:line="360" w:lineRule="auto"/>
        <w:jc w:val="center"/>
      </w:pPr>
    </w:p>
    <w:p w14:paraId="0475AFEC" w14:textId="77777777" w:rsidR="002917B3" w:rsidRDefault="002917B3">
      <w:pPr>
        <w:pStyle w:val="Heading1"/>
        <w:spacing w:line="360" w:lineRule="auto"/>
        <w:jc w:val="center"/>
      </w:pPr>
    </w:p>
    <w:p w14:paraId="1417615C" w14:textId="77777777" w:rsidR="002917B3" w:rsidRDefault="002917B3">
      <w:pPr>
        <w:pStyle w:val="Heading1"/>
        <w:spacing w:line="360" w:lineRule="auto"/>
        <w:jc w:val="center"/>
      </w:pPr>
    </w:p>
    <w:p w14:paraId="60035E29" w14:textId="5FFEB1A7" w:rsidR="0067197E" w:rsidRDefault="00D444EE">
      <w:pPr>
        <w:pStyle w:val="Heading1"/>
        <w:spacing w:line="360" w:lineRule="auto"/>
        <w:jc w:val="center"/>
      </w:pPr>
      <w:r>
        <w:t>A STUDY ON HUMAN RESOURCE MANAGEMENT</w:t>
      </w:r>
      <w:bookmarkEnd w:id="4"/>
    </w:p>
    <w:p w14:paraId="7C4043C0" w14:textId="77777777" w:rsidR="0067197E" w:rsidRDefault="0067197E">
      <w:pPr>
        <w:pStyle w:val="Heading1"/>
        <w:spacing w:line="360" w:lineRule="auto"/>
        <w:jc w:val="both"/>
      </w:pPr>
    </w:p>
    <w:p w14:paraId="48741C6D" w14:textId="77777777" w:rsidR="0067197E" w:rsidRDefault="0067197E">
      <w:pPr>
        <w:pStyle w:val="Heading1"/>
        <w:spacing w:line="360" w:lineRule="auto"/>
        <w:jc w:val="both"/>
      </w:pPr>
    </w:p>
    <w:p w14:paraId="29736F38" w14:textId="77777777" w:rsidR="0067197E" w:rsidRDefault="0067197E">
      <w:pPr>
        <w:pStyle w:val="Heading1"/>
        <w:spacing w:line="360" w:lineRule="auto"/>
        <w:jc w:val="both"/>
      </w:pPr>
    </w:p>
    <w:p w14:paraId="4C7E8738" w14:textId="77777777" w:rsidR="0067197E" w:rsidRDefault="0067197E">
      <w:pPr>
        <w:pStyle w:val="Heading1"/>
        <w:spacing w:line="360" w:lineRule="auto"/>
        <w:jc w:val="both"/>
      </w:pPr>
    </w:p>
    <w:p w14:paraId="2D163AF3" w14:textId="77777777" w:rsidR="0067197E" w:rsidRDefault="0067197E">
      <w:pPr>
        <w:pStyle w:val="Heading1"/>
        <w:spacing w:line="360" w:lineRule="auto"/>
        <w:jc w:val="both"/>
      </w:pPr>
    </w:p>
    <w:p w14:paraId="48E03A51" w14:textId="77777777" w:rsidR="0067197E" w:rsidRDefault="0067197E">
      <w:pPr>
        <w:pStyle w:val="Heading1"/>
        <w:spacing w:line="360" w:lineRule="auto"/>
        <w:jc w:val="both"/>
      </w:pPr>
    </w:p>
    <w:p w14:paraId="5D2A1E8C" w14:textId="77777777" w:rsidR="0067197E" w:rsidRDefault="0067197E">
      <w:pPr>
        <w:pStyle w:val="Heading1"/>
        <w:spacing w:line="360" w:lineRule="auto"/>
        <w:jc w:val="both"/>
      </w:pPr>
    </w:p>
    <w:p w14:paraId="33E2DAFE" w14:textId="77777777" w:rsidR="0067197E" w:rsidRDefault="0067197E">
      <w:pPr>
        <w:pStyle w:val="Heading1"/>
        <w:spacing w:line="360" w:lineRule="auto"/>
        <w:jc w:val="both"/>
      </w:pPr>
    </w:p>
    <w:p w14:paraId="20F81EF6" w14:textId="77777777" w:rsidR="0067197E" w:rsidRDefault="0067197E">
      <w:pPr>
        <w:pStyle w:val="Heading1"/>
        <w:spacing w:line="360" w:lineRule="auto"/>
        <w:jc w:val="both"/>
      </w:pPr>
    </w:p>
    <w:p w14:paraId="69C8914A" w14:textId="77777777" w:rsidR="0067197E" w:rsidRDefault="0067197E">
      <w:pPr>
        <w:pStyle w:val="Heading1"/>
        <w:spacing w:line="360" w:lineRule="auto"/>
        <w:jc w:val="both"/>
      </w:pPr>
    </w:p>
    <w:p w14:paraId="4E7AC07D" w14:textId="4EC5BDA6" w:rsidR="0067197E" w:rsidRDefault="0067197E">
      <w:pPr>
        <w:pStyle w:val="Heading1"/>
        <w:spacing w:line="360" w:lineRule="auto"/>
        <w:jc w:val="both"/>
      </w:pPr>
    </w:p>
    <w:p w14:paraId="130976A1" w14:textId="77777777" w:rsidR="00A21345" w:rsidRPr="00A21345" w:rsidRDefault="00A21345" w:rsidP="00A21345"/>
    <w:p w14:paraId="731BE894" w14:textId="77777777" w:rsidR="0067197E" w:rsidRDefault="0067197E">
      <w:pPr>
        <w:pStyle w:val="Heading1"/>
        <w:spacing w:line="360" w:lineRule="auto"/>
        <w:jc w:val="both"/>
      </w:pPr>
    </w:p>
    <w:p w14:paraId="10B66A5B" w14:textId="126BD07D" w:rsidR="0067197E" w:rsidRPr="002917B3" w:rsidRDefault="00000000" w:rsidP="002917B3">
      <w:pPr>
        <w:keepNext/>
        <w:keepLines/>
        <w:pBdr>
          <w:top w:val="nil"/>
          <w:left w:val="nil"/>
          <w:bottom w:val="nil"/>
          <w:right w:val="nil"/>
          <w:between w:val="nil"/>
        </w:pBdr>
        <w:spacing w:before="240" w:after="0" w:line="240" w:lineRule="auto"/>
        <w:rPr>
          <w:rFonts w:ascii="Calibri" w:eastAsia="Calibri" w:hAnsi="Calibri" w:cs="Calibri"/>
          <w:color w:val="2F5496"/>
          <w:sz w:val="36"/>
          <w:szCs w:val="36"/>
        </w:rPr>
      </w:pPr>
      <w:r w:rsidRPr="002917B3">
        <w:rPr>
          <w:rFonts w:ascii="Calibri" w:eastAsia="Calibri" w:hAnsi="Calibri" w:cs="Calibri"/>
          <w:color w:val="2F5496"/>
          <w:sz w:val="36"/>
          <w:szCs w:val="36"/>
        </w:rPr>
        <w:t>Contents</w:t>
      </w:r>
    </w:p>
    <w:p w14:paraId="4D2A16CA" w14:textId="77777777" w:rsidR="002917B3" w:rsidRDefault="002917B3" w:rsidP="002917B3">
      <w:pPr>
        <w:keepNext/>
        <w:keepLines/>
        <w:pBdr>
          <w:top w:val="nil"/>
          <w:left w:val="nil"/>
          <w:bottom w:val="nil"/>
          <w:right w:val="nil"/>
          <w:between w:val="nil"/>
        </w:pBdr>
        <w:spacing w:before="240" w:after="0" w:line="240" w:lineRule="auto"/>
        <w:rPr>
          <w:rFonts w:ascii="Calibri" w:eastAsia="Calibri" w:hAnsi="Calibri" w:cs="Calibri"/>
          <w:color w:val="2F5496"/>
          <w:sz w:val="32"/>
          <w:szCs w:val="32"/>
        </w:rPr>
      </w:pPr>
    </w:p>
    <w:sdt>
      <w:sdtPr>
        <w:id w:val="396550731"/>
        <w:docPartObj>
          <w:docPartGallery w:val="Table of Contents"/>
          <w:docPartUnique/>
        </w:docPartObj>
      </w:sdtPr>
      <w:sdtContent>
        <w:p w14:paraId="41FE2B6D" w14:textId="4E7DCC9E" w:rsidR="008A13F9" w:rsidRDefault="00000000">
          <w:pPr>
            <w:pStyle w:val="TOC1"/>
            <w:tabs>
              <w:tab w:val="right" w:pos="9016"/>
            </w:tabs>
            <w:rPr>
              <w:rFonts w:asciiTheme="minorHAnsi" w:eastAsiaTheme="minorEastAsia" w:hAnsiTheme="minorHAnsi" w:cstheme="minorBidi"/>
              <w:noProof/>
              <w:sz w:val="22"/>
              <w:szCs w:val="22"/>
            </w:rPr>
          </w:pPr>
          <w:r>
            <w:fldChar w:fldCharType="begin"/>
          </w:r>
          <w:r>
            <w:instrText xml:space="preserve"> TOC \h \u \z </w:instrText>
          </w:r>
          <w:r>
            <w:fldChar w:fldCharType="separate"/>
          </w:r>
          <w:hyperlink w:anchor="_Toc112334007" w:history="1">
            <w:r w:rsidR="008A13F9" w:rsidRPr="00F24082">
              <w:rPr>
                <w:rStyle w:val="Hyperlink"/>
                <w:noProof/>
              </w:rPr>
              <w:t>A Study on Human Resource Management</w:t>
            </w:r>
            <w:r w:rsidR="008A13F9">
              <w:rPr>
                <w:noProof/>
                <w:webHidden/>
              </w:rPr>
              <w:tab/>
            </w:r>
            <w:r w:rsidR="008A13F9">
              <w:rPr>
                <w:noProof/>
                <w:webHidden/>
              </w:rPr>
              <w:fldChar w:fldCharType="begin"/>
            </w:r>
            <w:r w:rsidR="008A13F9">
              <w:rPr>
                <w:noProof/>
                <w:webHidden/>
              </w:rPr>
              <w:instrText xml:space="preserve"> PAGEREF _Toc112334007 \h </w:instrText>
            </w:r>
            <w:r w:rsidR="008A13F9">
              <w:rPr>
                <w:noProof/>
                <w:webHidden/>
              </w:rPr>
            </w:r>
            <w:r w:rsidR="008A13F9">
              <w:rPr>
                <w:noProof/>
                <w:webHidden/>
              </w:rPr>
              <w:fldChar w:fldCharType="separate"/>
            </w:r>
            <w:r w:rsidR="008A13F9">
              <w:rPr>
                <w:noProof/>
                <w:webHidden/>
              </w:rPr>
              <w:t>1</w:t>
            </w:r>
            <w:r w:rsidR="008A13F9">
              <w:rPr>
                <w:noProof/>
                <w:webHidden/>
              </w:rPr>
              <w:fldChar w:fldCharType="end"/>
            </w:r>
          </w:hyperlink>
        </w:p>
        <w:p w14:paraId="4ED4D388" w14:textId="496F8376" w:rsidR="008A13F9" w:rsidRDefault="00000000">
          <w:pPr>
            <w:pStyle w:val="TOC1"/>
            <w:tabs>
              <w:tab w:val="right" w:pos="9016"/>
            </w:tabs>
            <w:rPr>
              <w:rFonts w:asciiTheme="minorHAnsi" w:eastAsiaTheme="minorEastAsia" w:hAnsiTheme="minorHAnsi" w:cstheme="minorBidi"/>
              <w:noProof/>
              <w:sz w:val="22"/>
              <w:szCs w:val="22"/>
            </w:rPr>
          </w:pPr>
          <w:hyperlink w:anchor="_Toc112334008" w:history="1">
            <w:r w:rsidR="008A13F9" w:rsidRPr="00F24082">
              <w:rPr>
                <w:rStyle w:val="Hyperlink"/>
                <w:noProof/>
              </w:rPr>
              <w:t>1. Introduction</w:t>
            </w:r>
            <w:r w:rsidR="008A13F9">
              <w:rPr>
                <w:noProof/>
                <w:webHidden/>
              </w:rPr>
              <w:tab/>
            </w:r>
            <w:r w:rsidR="008A13F9">
              <w:rPr>
                <w:noProof/>
                <w:webHidden/>
              </w:rPr>
              <w:fldChar w:fldCharType="begin"/>
            </w:r>
            <w:r w:rsidR="008A13F9">
              <w:rPr>
                <w:noProof/>
                <w:webHidden/>
              </w:rPr>
              <w:instrText xml:space="preserve"> PAGEREF _Toc112334008 \h </w:instrText>
            </w:r>
            <w:r w:rsidR="008A13F9">
              <w:rPr>
                <w:noProof/>
                <w:webHidden/>
              </w:rPr>
            </w:r>
            <w:r w:rsidR="008A13F9">
              <w:rPr>
                <w:noProof/>
                <w:webHidden/>
              </w:rPr>
              <w:fldChar w:fldCharType="separate"/>
            </w:r>
            <w:r w:rsidR="008A13F9">
              <w:rPr>
                <w:noProof/>
                <w:webHidden/>
              </w:rPr>
              <w:t>3</w:t>
            </w:r>
            <w:r w:rsidR="008A13F9">
              <w:rPr>
                <w:noProof/>
                <w:webHidden/>
              </w:rPr>
              <w:fldChar w:fldCharType="end"/>
            </w:r>
          </w:hyperlink>
        </w:p>
        <w:p w14:paraId="55C3E790" w14:textId="427C7565" w:rsidR="008A13F9" w:rsidRDefault="00000000">
          <w:pPr>
            <w:pStyle w:val="TOC1"/>
            <w:tabs>
              <w:tab w:val="right" w:pos="9016"/>
            </w:tabs>
            <w:rPr>
              <w:rFonts w:asciiTheme="minorHAnsi" w:eastAsiaTheme="minorEastAsia" w:hAnsiTheme="minorHAnsi" w:cstheme="minorBidi"/>
              <w:noProof/>
              <w:sz w:val="22"/>
              <w:szCs w:val="22"/>
            </w:rPr>
          </w:pPr>
          <w:hyperlink w:anchor="_Toc112334009" w:history="1">
            <w:r w:rsidR="008A13F9" w:rsidRPr="00F24082">
              <w:rPr>
                <w:rStyle w:val="Hyperlink"/>
                <w:noProof/>
              </w:rPr>
              <w:t>2. Discussion and Analysis</w:t>
            </w:r>
            <w:r w:rsidR="008A13F9">
              <w:rPr>
                <w:noProof/>
                <w:webHidden/>
              </w:rPr>
              <w:tab/>
            </w:r>
            <w:r w:rsidR="008A13F9">
              <w:rPr>
                <w:noProof/>
                <w:webHidden/>
              </w:rPr>
              <w:fldChar w:fldCharType="begin"/>
            </w:r>
            <w:r w:rsidR="008A13F9">
              <w:rPr>
                <w:noProof/>
                <w:webHidden/>
              </w:rPr>
              <w:instrText xml:space="preserve"> PAGEREF _Toc112334009 \h </w:instrText>
            </w:r>
            <w:r w:rsidR="008A13F9">
              <w:rPr>
                <w:noProof/>
                <w:webHidden/>
              </w:rPr>
            </w:r>
            <w:r w:rsidR="008A13F9">
              <w:rPr>
                <w:noProof/>
                <w:webHidden/>
              </w:rPr>
              <w:fldChar w:fldCharType="separate"/>
            </w:r>
            <w:r w:rsidR="008A13F9">
              <w:rPr>
                <w:noProof/>
                <w:webHidden/>
              </w:rPr>
              <w:t>4</w:t>
            </w:r>
            <w:r w:rsidR="008A13F9">
              <w:rPr>
                <w:noProof/>
                <w:webHidden/>
              </w:rPr>
              <w:fldChar w:fldCharType="end"/>
            </w:r>
          </w:hyperlink>
        </w:p>
        <w:p w14:paraId="57977360" w14:textId="1C81D4C4" w:rsidR="008A13F9" w:rsidRDefault="00000000">
          <w:pPr>
            <w:pStyle w:val="TOC2"/>
            <w:tabs>
              <w:tab w:val="right" w:pos="9016"/>
            </w:tabs>
            <w:rPr>
              <w:rFonts w:asciiTheme="minorHAnsi" w:eastAsiaTheme="minorEastAsia" w:hAnsiTheme="minorHAnsi" w:cstheme="minorBidi"/>
              <w:noProof/>
              <w:sz w:val="22"/>
              <w:szCs w:val="22"/>
            </w:rPr>
          </w:pPr>
          <w:hyperlink w:anchor="_Toc112334010" w:history="1">
            <w:r w:rsidR="008A13F9" w:rsidRPr="00F24082">
              <w:rPr>
                <w:rStyle w:val="Hyperlink"/>
                <w:noProof/>
              </w:rPr>
              <w:t>2.1 The current state of the labour market in the UK</w:t>
            </w:r>
            <w:r w:rsidR="008A13F9">
              <w:rPr>
                <w:noProof/>
                <w:webHidden/>
              </w:rPr>
              <w:tab/>
            </w:r>
            <w:r w:rsidR="008A13F9">
              <w:rPr>
                <w:noProof/>
                <w:webHidden/>
              </w:rPr>
              <w:fldChar w:fldCharType="begin"/>
            </w:r>
            <w:r w:rsidR="008A13F9">
              <w:rPr>
                <w:noProof/>
                <w:webHidden/>
              </w:rPr>
              <w:instrText xml:space="preserve"> PAGEREF _Toc112334010 \h </w:instrText>
            </w:r>
            <w:r w:rsidR="008A13F9">
              <w:rPr>
                <w:noProof/>
                <w:webHidden/>
              </w:rPr>
            </w:r>
            <w:r w:rsidR="008A13F9">
              <w:rPr>
                <w:noProof/>
                <w:webHidden/>
              </w:rPr>
              <w:fldChar w:fldCharType="separate"/>
            </w:r>
            <w:r w:rsidR="008A13F9">
              <w:rPr>
                <w:noProof/>
                <w:webHidden/>
              </w:rPr>
              <w:t>4</w:t>
            </w:r>
            <w:r w:rsidR="008A13F9">
              <w:rPr>
                <w:noProof/>
                <w:webHidden/>
              </w:rPr>
              <w:fldChar w:fldCharType="end"/>
            </w:r>
          </w:hyperlink>
        </w:p>
        <w:p w14:paraId="68321193" w14:textId="33271591" w:rsidR="008A13F9" w:rsidRDefault="00000000">
          <w:pPr>
            <w:pStyle w:val="TOC2"/>
            <w:tabs>
              <w:tab w:val="right" w:pos="9016"/>
            </w:tabs>
            <w:rPr>
              <w:rFonts w:asciiTheme="minorHAnsi" w:eastAsiaTheme="minorEastAsia" w:hAnsiTheme="minorHAnsi" w:cstheme="minorBidi"/>
              <w:noProof/>
              <w:sz w:val="22"/>
              <w:szCs w:val="22"/>
            </w:rPr>
          </w:pPr>
          <w:hyperlink w:anchor="_Toc112334011" w:history="1">
            <w:r w:rsidR="008A13F9" w:rsidRPr="00F24082">
              <w:rPr>
                <w:rStyle w:val="Hyperlink"/>
                <w:noProof/>
              </w:rPr>
              <w:t>2.2 The emerging changes in Human Resourcing Strategies in the post-Covid</w:t>
            </w:r>
            <w:r w:rsidR="008A13F9">
              <w:rPr>
                <w:noProof/>
                <w:webHidden/>
              </w:rPr>
              <w:tab/>
            </w:r>
            <w:r w:rsidR="008A13F9">
              <w:rPr>
                <w:noProof/>
                <w:webHidden/>
              </w:rPr>
              <w:fldChar w:fldCharType="begin"/>
            </w:r>
            <w:r w:rsidR="008A13F9">
              <w:rPr>
                <w:noProof/>
                <w:webHidden/>
              </w:rPr>
              <w:instrText xml:space="preserve"> PAGEREF _Toc112334011 \h </w:instrText>
            </w:r>
            <w:r w:rsidR="008A13F9">
              <w:rPr>
                <w:noProof/>
                <w:webHidden/>
              </w:rPr>
            </w:r>
            <w:r w:rsidR="008A13F9">
              <w:rPr>
                <w:noProof/>
                <w:webHidden/>
              </w:rPr>
              <w:fldChar w:fldCharType="separate"/>
            </w:r>
            <w:r w:rsidR="008A13F9">
              <w:rPr>
                <w:noProof/>
                <w:webHidden/>
              </w:rPr>
              <w:t>5</w:t>
            </w:r>
            <w:r w:rsidR="008A13F9">
              <w:rPr>
                <w:noProof/>
                <w:webHidden/>
              </w:rPr>
              <w:fldChar w:fldCharType="end"/>
            </w:r>
          </w:hyperlink>
        </w:p>
        <w:p w14:paraId="63D91D3A" w14:textId="6DD798CE" w:rsidR="008A13F9" w:rsidRDefault="00000000">
          <w:pPr>
            <w:pStyle w:val="TOC2"/>
            <w:tabs>
              <w:tab w:val="right" w:pos="9016"/>
            </w:tabs>
            <w:rPr>
              <w:rFonts w:asciiTheme="minorHAnsi" w:eastAsiaTheme="minorEastAsia" w:hAnsiTheme="minorHAnsi" w:cstheme="minorBidi"/>
              <w:noProof/>
              <w:sz w:val="22"/>
              <w:szCs w:val="22"/>
            </w:rPr>
          </w:pPr>
          <w:hyperlink w:anchor="_Toc112334012" w:history="1">
            <w:r w:rsidR="008A13F9" w:rsidRPr="00F24082">
              <w:rPr>
                <w:rStyle w:val="Hyperlink"/>
                <w:noProof/>
              </w:rPr>
              <w:t>2.3  Changes in human resource strategies in post Brexit</w:t>
            </w:r>
            <w:r w:rsidR="008A13F9">
              <w:rPr>
                <w:noProof/>
                <w:webHidden/>
              </w:rPr>
              <w:tab/>
            </w:r>
            <w:r w:rsidR="008A13F9">
              <w:rPr>
                <w:noProof/>
                <w:webHidden/>
              </w:rPr>
              <w:fldChar w:fldCharType="begin"/>
            </w:r>
            <w:r w:rsidR="008A13F9">
              <w:rPr>
                <w:noProof/>
                <w:webHidden/>
              </w:rPr>
              <w:instrText xml:space="preserve"> PAGEREF _Toc112334012 \h </w:instrText>
            </w:r>
            <w:r w:rsidR="008A13F9">
              <w:rPr>
                <w:noProof/>
                <w:webHidden/>
              </w:rPr>
            </w:r>
            <w:r w:rsidR="008A13F9">
              <w:rPr>
                <w:noProof/>
                <w:webHidden/>
              </w:rPr>
              <w:fldChar w:fldCharType="separate"/>
            </w:r>
            <w:r w:rsidR="008A13F9">
              <w:rPr>
                <w:noProof/>
                <w:webHidden/>
              </w:rPr>
              <w:t>7</w:t>
            </w:r>
            <w:r w:rsidR="008A13F9">
              <w:rPr>
                <w:noProof/>
                <w:webHidden/>
              </w:rPr>
              <w:fldChar w:fldCharType="end"/>
            </w:r>
          </w:hyperlink>
        </w:p>
        <w:p w14:paraId="1B431855" w14:textId="3AFE7A88" w:rsidR="008A13F9" w:rsidRDefault="00000000">
          <w:pPr>
            <w:pStyle w:val="TOC1"/>
            <w:tabs>
              <w:tab w:val="right" w:pos="9016"/>
            </w:tabs>
            <w:rPr>
              <w:rFonts w:asciiTheme="minorHAnsi" w:eastAsiaTheme="minorEastAsia" w:hAnsiTheme="minorHAnsi" w:cstheme="minorBidi"/>
              <w:noProof/>
              <w:sz w:val="22"/>
              <w:szCs w:val="22"/>
            </w:rPr>
          </w:pPr>
          <w:hyperlink w:anchor="_Toc112334013" w:history="1">
            <w:r w:rsidR="008B64CF">
              <w:rPr>
                <w:rStyle w:val="Hyperlink"/>
                <w:noProof/>
              </w:rPr>
              <w:t>3</w:t>
            </w:r>
            <w:r w:rsidR="008A13F9" w:rsidRPr="00F24082">
              <w:rPr>
                <w:rStyle w:val="Hyperlink"/>
                <w:noProof/>
              </w:rPr>
              <w:t>. Brexit post changes in human resourcing strategies</w:t>
            </w:r>
            <w:r w:rsidR="008A13F9">
              <w:rPr>
                <w:noProof/>
                <w:webHidden/>
              </w:rPr>
              <w:tab/>
            </w:r>
            <w:r w:rsidR="008A13F9">
              <w:rPr>
                <w:noProof/>
                <w:webHidden/>
              </w:rPr>
              <w:fldChar w:fldCharType="begin"/>
            </w:r>
            <w:r w:rsidR="008A13F9">
              <w:rPr>
                <w:noProof/>
                <w:webHidden/>
              </w:rPr>
              <w:instrText xml:space="preserve"> PAGEREF _Toc112334013 \h </w:instrText>
            </w:r>
            <w:r w:rsidR="008A13F9">
              <w:rPr>
                <w:noProof/>
                <w:webHidden/>
              </w:rPr>
            </w:r>
            <w:r w:rsidR="008A13F9">
              <w:rPr>
                <w:noProof/>
                <w:webHidden/>
              </w:rPr>
              <w:fldChar w:fldCharType="separate"/>
            </w:r>
            <w:r w:rsidR="008A13F9">
              <w:rPr>
                <w:noProof/>
                <w:webHidden/>
              </w:rPr>
              <w:t>8</w:t>
            </w:r>
            <w:r w:rsidR="008A13F9">
              <w:rPr>
                <w:noProof/>
                <w:webHidden/>
              </w:rPr>
              <w:fldChar w:fldCharType="end"/>
            </w:r>
          </w:hyperlink>
        </w:p>
        <w:p w14:paraId="78093BAF" w14:textId="1DF56E1C" w:rsidR="008A13F9" w:rsidRDefault="00000000">
          <w:pPr>
            <w:pStyle w:val="TOC2"/>
            <w:tabs>
              <w:tab w:val="right" w:pos="9016"/>
            </w:tabs>
            <w:rPr>
              <w:rFonts w:asciiTheme="minorHAnsi" w:eastAsiaTheme="minorEastAsia" w:hAnsiTheme="minorHAnsi" w:cstheme="minorBidi"/>
              <w:noProof/>
              <w:sz w:val="22"/>
              <w:szCs w:val="22"/>
            </w:rPr>
          </w:pPr>
          <w:hyperlink w:anchor="_Toc112334014" w:history="1">
            <w:r w:rsidR="008B64CF">
              <w:rPr>
                <w:rStyle w:val="Hyperlink"/>
                <w:noProof/>
              </w:rPr>
              <w:t>3</w:t>
            </w:r>
            <w:r w:rsidR="008A13F9" w:rsidRPr="00F24082">
              <w:rPr>
                <w:rStyle w:val="Hyperlink"/>
                <w:noProof/>
              </w:rPr>
              <w:t>.1 Labour supply</w:t>
            </w:r>
            <w:r w:rsidR="008A13F9">
              <w:rPr>
                <w:noProof/>
                <w:webHidden/>
              </w:rPr>
              <w:tab/>
            </w:r>
            <w:r w:rsidR="008A13F9">
              <w:rPr>
                <w:noProof/>
                <w:webHidden/>
              </w:rPr>
              <w:fldChar w:fldCharType="begin"/>
            </w:r>
            <w:r w:rsidR="008A13F9">
              <w:rPr>
                <w:noProof/>
                <w:webHidden/>
              </w:rPr>
              <w:instrText xml:space="preserve"> PAGEREF _Toc112334014 \h </w:instrText>
            </w:r>
            <w:r w:rsidR="008A13F9">
              <w:rPr>
                <w:noProof/>
                <w:webHidden/>
              </w:rPr>
            </w:r>
            <w:r w:rsidR="008A13F9">
              <w:rPr>
                <w:noProof/>
                <w:webHidden/>
              </w:rPr>
              <w:fldChar w:fldCharType="separate"/>
            </w:r>
            <w:r w:rsidR="008A13F9">
              <w:rPr>
                <w:noProof/>
                <w:webHidden/>
              </w:rPr>
              <w:t>9</w:t>
            </w:r>
            <w:r w:rsidR="008A13F9">
              <w:rPr>
                <w:noProof/>
                <w:webHidden/>
              </w:rPr>
              <w:fldChar w:fldCharType="end"/>
            </w:r>
          </w:hyperlink>
        </w:p>
        <w:p w14:paraId="15439B5E" w14:textId="40E1CAEB" w:rsidR="008A13F9" w:rsidRDefault="00000000">
          <w:pPr>
            <w:pStyle w:val="TOC2"/>
            <w:tabs>
              <w:tab w:val="right" w:pos="9016"/>
            </w:tabs>
            <w:rPr>
              <w:rFonts w:asciiTheme="minorHAnsi" w:eastAsiaTheme="minorEastAsia" w:hAnsiTheme="minorHAnsi" w:cstheme="minorBidi"/>
              <w:noProof/>
              <w:sz w:val="22"/>
              <w:szCs w:val="22"/>
            </w:rPr>
          </w:pPr>
          <w:hyperlink w:anchor="_Toc112334015" w:history="1">
            <w:r w:rsidR="008B64CF">
              <w:rPr>
                <w:rStyle w:val="Hyperlink"/>
                <w:noProof/>
              </w:rPr>
              <w:t>3</w:t>
            </w:r>
            <w:r w:rsidR="008A13F9" w:rsidRPr="00F24082">
              <w:rPr>
                <w:rStyle w:val="Hyperlink"/>
                <w:noProof/>
              </w:rPr>
              <w:t>.2 Training and development</w:t>
            </w:r>
            <w:r w:rsidR="008A13F9">
              <w:rPr>
                <w:noProof/>
                <w:webHidden/>
              </w:rPr>
              <w:tab/>
            </w:r>
            <w:r w:rsidR="008A13F9">
              <w:rPr>
                <w:noProof/>
                <w:webHidden/>
              </w:rPr>
              <w:fldChar w:fldCharType="begin"/>
            </w:r>
            <w:r w:rsidR="008A13F9">
              <w:rPr>
                <w:noProof/>
                <w:webHidden/>
              </w:rPr>
              <w:instrText xml:space="preserve"> PAGEREF _Toc112334015 \h </w:instrText>
            </w:r>
            <w:r w:rsidR="008A13F9">
              <w:rPr>
                <w:noProof/>
                <w:webHidden/>
              </w:rPr>
            </w:r>
            <w:r w:rsidR="008A13F9">
              <w:rPr>
                <w:noProof/>
                <w:webHidden/>
              </w:rPr>
              <w:fldChar w:fldCharType="separate"/>
            </w:r>
            <w:r w:rsidR="008A13F9">
              <w:rPr>
                <w:noProof/>
                <w:webHidden/>
              </w:rPr>
              <w:t>9</w:t>
            </w:r>
            <w:r w:rsidR="008A13F9">
              <w:rPr>
                <w:noProof/>
                <w:webHidden/>
              </w:rPr>
              <w:fldChar w:fldCharType="end"/>
            </w:r>
          </w:hyperlink>
        </w:p>
        <w:p w14:paraId="5DAC231D" w14:textId="77F92A98" w:rsidR="008A13F9" w:rsidRDefault="00000000">
          <w:pPr>
            <w:pStyle w:val="TOC2"/>
            <w:tabs>
              <w:tab w:val="right" w:pos="9016"/>
            </w:tabs>
            <w:rPr>
              <w:rFonts w:asciiTheme="minorHAnsi" w:eastAsiaTheme="minorEastAsia" w:hAnsiTheme="minorHAnsi" w:cstheme="minorBidi"/>
              <w:noProof/>
              <w:sz w:val="22"/>
              <w:szCs w:val="22"/>
            </w:rPr>
          </w:pPr>
          <w:hyperlink w:anchor="_Toc112334016" w:history="1">
            <w:r w:rsidR="008B64CF">
              <w:rPr>
                <w:rStyle w:val="Hyperlink"/>
                <w:noProof/>
              </w:rPr>
              <w:t>3</w:t>
            </w:r>
            <w:r w:rsidR="008A13F9" w:rsidRPr="00F24082">
              <w:rPr>
                <w:rStyle w:val="Hyperlink"/>
                <w:noProof/>
              </w:rPr>
              <w:t>.3 Employee engagement or retention</w:t>
            </w:r>
            <w:r w:rsidR="008A13F9">
              <w:rPr>
                <w:noProof/>
                <w:webHidden/>
              </w:rPr>
              <w:tab/>
            </w:r>
            <w:r w:rsidR="008A13F9">
              <w:rPr>
                <w:noProof/>
                <w:webHidden/>
              </w:rPr>
              <w:fldChar w:fldCharType="begin"/>
            </w:r>
            <w:r w:rsidR="008A13F9">
              <w:rPr>
                <w:noProof/>
                <w:webHidden/>
              </w:rPr>
              <w:instrText xml:space="preserve"> PAGEREF _Toc112334016 \h </w:instrText>
            </w:r>
            <w:r w:rsidR="008A13F9">
              <w:rPr>
                <w:noProof/>
                <w:webHidden/>
              </w:rPr>
            </w:r>
            <w:r w:rsidR="008A13F9">
              <w:rPr>
                <w:noProof/>
                <w:webHidden/>
              </w:rPr>
              <w:fldChar w:fldCharType="separate"/>
            </w:r>
            <w:r w:rsidR="008A13F9">
              <w:rPr>
                <w:noProof/>
                <w:webHidden/>
              </w:rPr>
              <w:t>9</w:t>
            </w:r>
            <w:r w:rsidR="008A13F9">
              <w:rPr>
                <w:noProof/>
                <w:webHidden/>
              </w:rPr>
              <w:fldChar w:fldCharType="end"/>
            </w:r>
          </w:hyperlink>
        </w:p>
        <w:p w14:paraId="2FCBF1B1" w14:textId="44CB74A7" w:rsidR="008A13F9" w:rsidRDefault="00000000">
          <w:pPr>
            <w:pStyle w:val="TOC1"/>
            <w:tabs>
              <w:tab w:val="right" w:pos="9016"/>
            </w:tabs>
            <w:rPr>
              <w:rFonts w:asciiTheme="minorHAnsi" w:eastAsiaTheme="minorEastAsia" w:hAnsiTheme="minorHAnsi" w:cstheme="minorBidi"/>
              <w:noProof/>
              <w:sz w:val="22"/>
              <w:szCs w:val="22"/>
            </w:rPr>
          </w:pPr>
          <w:hyperlink w:anchor="_Toc112334017" w:history="1">
            <w:r w:rsidR="008B64CF">
              <w:rPr>
                <w:rStyle w:val="Hyperlink"/>
                <w:noProof/>
              </w:rPr>
              <w:t>4</w:t>
            </w:r>
            <w:r w:rsidR="008A13F9" w:rsidRPr="00F24082">
              <w:rPr>
                <w:rStyle w:val="Hyperlink"/>
                <w:noProof/>
              </w:rPr>
              <w:t>. Conclusion</w:t>
            </w:r>
            <w:r w:rsidR="008A13F9">
              <w:rPr>
                <w:noProof/>
                <w:webHidden/>
              </w:rPr>
              <w:tab/>
            </w:r>
            <w:r w:rsidR="008A13F9">
              <w:rPr>
                <w:noProof/>
                <w:webHidden/>
              </w:rPr>
              <w:fldChar w:fldCharType="begin"/>
            </w:r>
            <w:r w:rsidR="008A13F9">
              <w:rPr>
                <w:noProof/>
                <w:webHidden/>
              </w:rPr>
              <w:instrText xml:space="preserve"> PAGEREF _Toc112334017 \h </w:instrText>
            </w:r>
            <w:r w:rsidR="008A13F9">
              <w:rPr>
                <w:noProof/>
                <w:webHidden/>
              </w:rPr>
            </w:r>
            <w:r w:rsidR="008A13F9">
              <w:rPr>
                <w:noProof/>
                <w:webHidden/>
              </w:rPr>
              <w:fldChar w:fldCharType="separate"/>
            </w:r>
            <w:r w:rsidR="008A13F9">
              <w:rPr>
                <w:noProof/>
                <w:webHidden/>
              </w:rPr>
              <w:t>9</w:t>
            </w:r>
            <w:r w:rsidR="008A13F9">
              <w:rPr>
                <w:noProof/>
                <w:webHidden/>
              </w:rPr>
              <w:fldChar w:fldCharType="end"/>
            </w:r>
          </w:hyperlink>
        </w:p>
        <w:p w14:paraId="3E03EB31" w14:textId="02E1531A" w:rsidR="008A13F9" w:rsidRDefault="00000000">
          <w:pPr>
            <w:pStyle w:val="TOC1"/>
            <w:tabs>
              <w:tab w:val="right" w:pos="9016"/>
            </w:tabs>
            <w:rPr>
              <w:rFonts w:asciiTheme="minorHAnsi" w:eastAsiaTheme="minorEastAsia" w:hAnsiTheme="minorHAnsi" w:cstheme="minorBidi"/>
              <w:noProof/>
              <w:sz w:val="22"/>
              <w:szCs w:val="22"/>
            </w:rPr>
          </w:pPr>
          <w:hyperlink w:anchor="_Toc112334018" w:history="1">
            <w:r w:rsidR="008A13F9" w:rsidRPr="00F24082">
              <w:rPr>
                <w:rStyle w:val="Hyperlink"/>
                <w:noProof/>
              </w:rPr>
              <w:t>References</w:t>
            </w:r>
            <w:r w:rsidR="008A13F9">
              <w:rPr>
                <w:noProof/>
                <w:webHidden/>
              </w:rPr>
              <w:tab/>
            </w:r>
            <w:r w:rsidR="008A13F9">
              <w:rPr>
                <w:noProof/>
                <w:webHidden/>
              </w:rPr>
              <w:fldChar w:fldCharType="begin"/>
            </w:r>
            <w:r w:rsidR="008A13F9">
              <w:rPr>
                <w:noProof/>
                <w:webHidden/>
              </w:rPr>
              <w:instrText xml:space="preserve"> PAGEREF _Toc112334018 \h </w:instrText>
            </w:r>
            <w:r w:rsidR="008A13F9">
              <w:rPr>
                <w:noProof/>
                <w:webHidden/>
              </w:rPr>
            </w:r>
            <w:r w:rsidR="008A13F9">
              <w:rPr>
                <w:noProof/>
                <w:webHidden/>
              </w:rPr>
              <w:fldChar w:fldCharType="separate"/>
            </w:r>
            <w:r w:rsidR="008A13F9">
              <w:rPr>
                <w:noProof/>
                <w:webHidden/>
              </w:rPr>
              <w:t>11</w:t>
            </w:r>
            <w:r w:rsidR="008A13F9">
              <w:rPr>
                <w:noProof/>
                <w:webHidden/>
              </w:rPr>
              <w:fldChar w:fldCharType="end"/>
            </w:r>
          </w:hyperlink>
        </w:p>
        <w:p w14:paraId="1197BF32" w14:textId="3762931D" w:rsidR="0067197E" w:rsidRDefault="00000000">
          <w:r>
            <w:fldChar w:fldCharType="end"/>
          </w:r>
        </w:p>
      </w:sdtContent>
    </w:sdt>
    <w:p w14:paraId="058E8C40" w14:textId="77777777" w:rsidR="0067197E" w:rsidRDefault="0067197E">
      <w:pPr>
        <w:pStyle w:val="Heading1"/>
        <w:spacing w:line="360" w:lineRule="auto"/>
        <w:jc w:val="both"/>
      </w:pPr>
    </w:p>
    <w:p w14:paraId="48A737BC" w14:textId="77777777" w:rsidR="0067197E" w:rsidRDefault="0067197E">
      <w:pPr>
        <w:pStyle w:val="Heading1"/>
        <w:spacing w:line="360" w:lineRule="auto"/>
        <w:jc w:val="both"/>
      </w:pPr>
    </w:p>
    <w:p w14:paraId="6EB7965D" w14:textId="6D833F80" w:rsidR="00C64462" w:rsidRDefault="00C64462">
      <w:pPr>
        <w:pStyle w:val="Heading1"/>
        <w:spacing w:line="360" w:lineRule="auto"/>
        <w:jc w:val="both"/>
      </w:pPr>
    </w:p>
    <w:p w14:paraId="5F280111" w14:textId="1CBDD4DA" w:rsidR="008A13F9" w:rsidRDefault="008A13F9" w:rsidP="008A13F9"/>
    <w:p w14:paraId="399B6359" w14:textId="193F10FF" w:rsidR="008A13F9" w:rsidRDefault="008A13F9" w:rsidP="008A13F9"/>
    <w:p w14:paraId="237BBAF0" w14:textId="5CBF5AC8" w:rsidR="008A13F9" w:rsidRDefault="008A13F9" w:rsidP="008A13F9"/>
    <w:p w14:paraId="340AA371" w14:textId="172CF866" w:rsidR="008A13F9" w:rsidRDefault="008A13F9" w:rsidP="008A13F9"/>
    <w:p w14:paraId="33422C6F" w14:textId="0CAF6DD4" w:rsidR="008A13F9" w:rsidRDefault="008A13F9" w:rsidP="008A13F9"/>
    <w:p w14:paraId="411506C7" w14:textId="5EB1D2F0" w:rsidR="008A13F9" w:rsidRDefault="008A13F9" w:rsidP="008A13F9"/>
    <w:p w14:paraId="3EE0D382" w14:textId="096BA20F" w:rsidR="0067197E" w:rsidRDefault="00000000" w:rsidP="002F0CA6">
      <w:pPr>
        <w:pStyle w:val="Heading1"/>
        <w:numPr>
          <w:ilvl w:val="0"/>
          <w:numId w:val="1"/>
        </w:numPr>
        <w:spacing w:line="360" w:lineRule="auto"/>
        <w:ind w:left="0"/>
        <w:jc w:val="both"/>
      </w:pPr>
      <w:bookmarkStart w:id="5" w:name="_Toc112334008"/>
      <w:r>
        <w:lastRenderedPageBreak/>
        <w:t>Introduction</w:t>
      </w:r>
      <w:bookmarkEnd w:id="5"/>
      <w:r>
        <w:t xml:space="preserve"> </w:t>
      </w:r>
    </w:p>
    <w:p w14:paraId="4C0225A9" w14:textId="77777777" w:rsidR="00421AF0" w:rsidRPr="00421AF0" w:rsidRDefault="00421AF0" w:rsidP="002F0CA6">
      <w:pPr>
        <w:spacing w:line="240" w:lineRule="auto"/>
        <w:jc w:val="both"/>
      </w:pPr>
    </w:p>
    <w:p w14:paraId="521EFD6A" w14:textId="5C1291E8" w:rsidR="0067197E" w:rsidRPr="00EC4616" w:rsidRDefault="00000000">
      <w:pPr>
        <w:jc w:val="both"/>
      </w:pPr>
      <w:r>
        <w:t xml:space="preserve">The strategic aims and objectives of the organization, human resource management is an operation carried out in organizations. HRM </w:t>
      </w:r>
      <w:r w:rsidR="00421AF0">
        <w:t>is people</w:t>
      </w:r>
      <w:r>
        <w:t xml:space="preserve"> management within organizations with a focus on rules and processes. HRM is the method of hiring, choosing employees, </w:t>
      </w:r>
      <w:r w:rsidR="00421AF0">
        <w:t>offering suitable</w:t>
      </w:r>
      <w:r>
        <w:t xml:space="preserve"> orientation and induction, providing training, and assisting</w:t>
      </w:r>
      <w:r w:rsidR="008A13F9">
        <w:t xml:space="preserve"> </w:t>
      </w:r>
      <w:r>
        <w:t>developing their skills.</w:t>
      </w:r>
      <w:r w:rsidR="00EC4616">
        <w:t xml:space="preserve"> </w:t>
      </w:r>
      <w:r w:rsidR="00EC4616">
        <w:rPr>
          <w:highlight w:val="white"/>
        </w:rPr>
        <w:t>(Zehir and Başar, 2020).</w:t>
      </w:r>
      <w:r>
        <w:t xml:space="preserve"> HRM also includes employee appraisal procedures like performance evaluations, empowering suitable compensation and benefits, cultivating encouragement, maintaining good relations with migrant </w:t>
      </w:r>
      <w:r w:rsidR="00EC4616">
        <w:t>labour</w:t>
      </w:r>
      <w:r>
        <w:t xml:space="preserve"> and with trade unions, and going to look out for the safety, well-being, and health of employees by having to abide by the </w:t>
      </w:r>
      <w:r w:rsidR="00EC4616">
        <w:t>exhibit’s</w:t>
      </w:r>
      <w:r>
        <w:t xml:space="preserve"> laws of the state or country in inquiry </w:t>
      </w:r>
      <w:r w:rsidR="00EC4616">
        <w:rPr>
          <w:highlight w:val="white"/>
        </w:rPr>
        <w:t>(Paulet and Morgan, 2021).</w:t>
      </w:r>
    </w:p>
    <w:p w14:paraId="09ECA786" w14:textId="77777777" w:rsidR="0067197E" w:rsidRDefault="0067197E">
      <w:pPr>
        <w:jc w:val="both"/>
      </w:pPr>
    </w:p>
    <w:p w14:paraId="56E37541" w14:textId="289D0863" w:rsidR="0067197E" w:rsidRDefault="00000000">
      <w:pPr>
        <w:jc w:val="both"/>
        <w:rPr>
          <w:highlight w:val="white"/>
        </w:rPr>
      </w:pPr>
      <w:r>
        <w:t xml:space="preserve">Managing a team in any organization uses a strategy called human resource management (HRM), which is still newish. In this strategy, people are considered to be the most crucial resource. It is concerned with the administration of an organization's people component. A group is a system of individuals, </w:t>
      </w:r>
      <w:r w:rsidR="00EC4616">
        <w:t>r</w:t>
      </w:r>
      <w:r>
        <w:t xml:space="preserve">ecruiting, and </w:t>
      </w:r>
      <w:r w:rsidR="00EC4616">
        <w:t>developing</w:t>
      </w:r>
      <w:r>
        <w:t xml:space="preserve"> skills, desire for greater levels of achievement, or ensuring they maintain their level of dedication to notable activities These duties are the responsibility of HRM. The method of managing human resources involves Acquiring, development, motivation, and funding are indeed the four main activities. alongside maintaining up with human resources</w:t>
      </w:r>
      <w:r w:rsidR="00EC4616">
        <w:t xml:space="preserve"> </w:t>
      </w:r>
      <w:r w:rsidR="00EC4616">
        <w:rPr>
          <w:highlight w:val="white"/>
        </w:rPr>
        <w:t xml:space="preserve">(Paulet and Morgan, 2021). </w:t>
      </w:r>
    </w:p>
    <w:p w14:paraId="6F161394" w14:textId="77777777" w:rsidR="0067197E" w:rsidRDefault="0067197E">
      <w:pPr>
        <w:jc w:val="both"/>
      </w:pPr>
    </w:p>
    <w:p w14:paraId="3CFA1438" w14:textId="3E69163C" w:rsidR="0067197E" w:rsidRDefault="00000000">
      <w:pPr>
        <w:jc w:val="both"/>
        <w:rPr>
          <w:highlight w:val="white"/>
        </w:rPr>
      </w:pPr>
      <w:r>
        <w:t xml:space="preserve">The works of the human accurate job description, which put a great premium on the human factor, are responsible for the development of human resource management. Posted a comment to Lawrence Appley. Management is the management of people. This picture is barely partially true considering that management values efficiency and effectiveness integration of both human and non-human resources. Therefore, human Only a small portion of the management process is resource management. Nevertheless, it's also necessary to recognize that human capital Management is a crucial component of management operations. A stealing manager has to perform a specific duty. To obtain the Best of his people should undertake the fundamental duty of selecting individuals for his growth, Support, and </w:t>
      </w:r>
      <w:r w:rsidR="00421AF0">
        <w:t>direct supply</w:t>
      </w:r>
      <w:r>
        <w:t xml:space="preserve">. Trump, nevertheless </w:t>
      </w:r>
      <w:r>
        <w:rPr>
          <w:highlight w:val="white"/>
        </w:rPr>
        <w:t>(Harney</w:t>
      </w:r>
      <w:r w:rsidR="00D62F6A">
        <w:rPr>
          <w:highlight w:val="white"/>
        </w:rPr>
        <w:t xml:space="preserve"> </w:t>
      </w:r>
      <w:r>
        <w:rPr>
          <w:highlight w:val="white"/>
        </w:rPr>
        <w:t>and Alkhalaf</w:t>
      </w:r>
      <w:r w:rsidR="00D62F6A">
        <w:rPr>
          <w:highlight w:val="white"/>
        </w:rPr>
        <w:t xml:space="preserve">, </w:t>
      </w:r>
      <w:r>
        <w:rPr>
          <w:highlight w:val="white"/>
        </w:rPr>
        <w:t>2021).</w:t>
      </w:r>
    </w:p>
    <w:p w14:paraId="60E68122" w14:textId="77777777" w:rsidR="0067197E" w:rsidRDefault="00000000">
      <w:pPr>
        <w:jc w:val="both"/>
      </w:pPr>
      <w:r>
        <w:t xml:space="preserve"> </w:t>
      </w:r>
    </w:p>
    <w:p w14:paraId="6379B8E7" w14:textId="77777777" w:rsidR="0067197E" w:rsidRDefault="0067197E">
      <w:pPr>
        <w:jc w:val="both"/>
      </w:pPr>
    </w:p>
    <w:p w14:paraId="4FB755D3" w14:textId="126CADEF" w:rsidR="0067197E" w:rsidRDefault="00000000" w:rsidP="00994A71">
      <w:pPr>
        <w:pStyle w:val="Heading1"/>
        <w:numPr>
          <w:ilvl w:val="0"/>
          <w:numId w:val="1"/>
        </w:numPr>
        <w:spacing w:line="240" w:lineRule="auto"/>
        <w:ind w:left="0"/>
        <w:jc w:val="both"/>
      </w:pPr>
      <w:bookmarkStart w:id="6" w:name="_Toc112334009"/>
      <w:r>
        <w:lastRenderedPageBreak/>
        <w:t>Discussion and Analysis</w:t>
      </w:r>
      <w:bookmarkEnd w:id="6"/>
    </w:p>
    <w:p w14:paraId="6E5970B4" w14:textId="77777777" w:rsidR="002F0CA6" w:rsidRPr="002F0CA6" w:rsidRDefault="002F0CA6" w:rsidP="00994A71">
      <w:pPr>
        <w:spacing w:line="240" w:lineRule="auto"/>
      </w:pPr>
    </w:p>
    <w:p w14:paraId="28DD4EFA" w14:textId="19AFD528" w:rsidR="0067197E" w:rsidRDefault="00000000">
      <w:pPr>
        <w:jc w:val="both"/>
      </w:pPr>
      <w:r>
        <w:t>Organization outcomes are directly affected by HRM processes and policies. The effectiveness of HRM procedures in healthcare organizations influences the performance levels of healthcare staff</w:t>
      </w:r>
      <w:r w:rsidR="00EC4616">
        <w:t>.</w:t>
      </w:r>
      <w:r w:rsidR="001B62FB">
        <w:t xml:space="preserve"> </w:t>
      </w:r>
      <w:r w:rsidR="00A11455" w:rsidRPr="00A11455">
        <w:t>The organization's overarching aim, vision, and values—which are shared by all HRM staff members and are a part of their duties—have a significant impact on employees' desire to work for their company</w:t>
      </w:r>
      <w:r>
        <w:t xml:space="preserve">. These elements can be inspiring and give the workers </w:t>
      </w:r>
      <w:r w:rsidR="001D1944" w:rsidRPr="001D1944">
        <w:t>a feeling of community</w:t>
      </w:r>
      <w:r>
        <w:t xml:space="preserve"> something larger selves</w:t>
      </w:r>
      <w:r w:rsidR="00C64462">
        <w:t xml:space="preserve"> </w:t>
      </w:r>
      <w:r w:rsidR="00C64462">
        <w:rPr>
          <w:highlight w:val="white"/>
        </w:rPr>
        <w:t>(Paulet and Morgan, 2021).</w:t>
      </w:r>
    </w:p>
    <w:p w14:paraId="4D2B8876" w14:textId="77777777" w:rsidR="0067197E" w:rsidRDefault="0067197E">
      <w:pPr>
        <w:jc w:val="both"/>
      </w:pPr>
    </w:p>
    <w:p w14:paraId="11A7527B" w14:textId="6C755BCF" w:rsidR="00570042" w:rsidRDefault="00000000" w:rsidP="00570042">
      <w:pPr>
        <w:pStyle w:val="Heading2"/>
        <w:numPr>
          <w:ilvl w:val="1"/>
          <w:numId w:val="1"/>
        </w:numPr>
        <w:spacing w:line="360" w:lineRule="auto"/>
        <w:jc w:val="both"/>
      </w:pPr>
      <w:bookmarkStart w:id="7" w:name="_Toc112334010"/>
      <w:r>
        <w:t xml:space="preserve">The current state of the </w:t>
      </w:r>
      <w:r w:rsidR="00E64308">
        <w:t>labour</w:t>
      </w:r>
      <w:r>
        <w:t xml:space="preserve"> market in the UK</w:t>
      </w:r>
      <w:bookmarkEnd w:id="7"/>
    </w:p>
    <w:p w14:paraId="6D500903" w14:textId="77777777" w:rsidR="00570042" w:rsidRPr="00570042" w:rsidRDefault="00570042" w:rsidP="00994A71">
      <w:pPr>
        <w:spacing w:line="240" w:lineRule="auto"/>
      </w:pPr>
    </w:p>
    <w:p w14:paraId="33637AA1" w14:textId="7D023919" w:rsidR="0067197E" w:rsidRDefault="00000000">
      <w:pPr>
        <w:jc w:val="both"/>
        <w:rPr>
          <w:highlight w:val="white"/>
        </w:rPr>
      </w:pPr>
      <w:r>
        <w:t xml:space="preserve">The </w:t>
      </w:r>
      <w:r w:rsidR="00E64308">
        <w:t>labour</w:t>
      </w:r>
      <w:r>
        <w:t xml:space="preserve"> market has been broadly stable lately, and through 2021, the UK's jobless rate is expected to remain between 5 and 6%. At 76.2%,</w:t>
      </w:r>
      <w:r w:rsidR="001B62FB">
        <w:t xml:space="preserve"> </w:t>
      </w:r>
      <w:r w:rsidR="001B62FB">
        <w:rPr>
          <w:highlight w:val="white"/>
        </w:rPr>
        <w:t>(Wilton, 2022).</w:t>
      </w:r>
      <w:r w:rsidR="001B62FB">
        <w:t xml:space="preserve"> </w:t>
      </w:r>
      <w:r>
        <w:t xml:space="preserve"> work is likewise largely stable (see panel below). Even if employment and poverty have barely moved, economic activity has substantially increased according to growth rates compared to a year ago. </w:t>
      </w:r>
      <w:r w:rsidR="001B62FB">
        <w:rPr>
          <w:highlight w:val="white"/>
        </w:rPr>
        <w:t>(Wilton, 2022).</w:t>
      </w:r>
      <w:r w:rsidR="001B62FB">
        <w:t xml:space="preserve"> </w:t>
      </w:r>
      <w:r>
        <w:t xml:space="preserve">Wage growth experienced a massive decrease before catching up. It is not all good news. People are working shorter hours despite the rebound. The number of hours worked per week dropped by 91 million, or almost 8%, from a year ago. Furthermore, there are fewer new jobs available, with 608,000 jobs available projected between January to March 2021 </w:t>
      </w:r>
      <w:r>
        <w:rPr>
          <w:highlight w:val="white"/>
        </w:rPr>
        <w:t>(Harney</w:t>
      </w:r>
      <w:r w:rsidR="00D62F6A">
        <w:rPr>
          <w:highlight w:val="white"/>
        </w:rPr>
        <w:t xml:space="preserve"> </w:t>
      </w:r>
      <w:r>
        <w:rPr>
          <w:highlight w:val="white"/>
        </w:rPr>
        <w:t>and Alkhala, 2021).</w:t>
      </w:r>
    </w:p>
    <w:p w14:paraId="2CA22081" w14:textId="77777777" w:rsidR="0067197E" w:rsidRDefault="0067197E">
      <w:pPr>
        <w:jc w:val="both"/>
      </w:pPr>
    </w:p>
    <w:p w14:paraId="62C5C842" w14:textId="77777777" w:rsidR="0067197E" w:rsidRDefault="00000000">
      <w:pPr>
        <w:keepNext/>
        <w:jc w:val="both"/>
      </w:pPr>
      <w:r>
        <w:rPr>
          <w:noProof/>
        </w:rPr>
        <w:drawing>
          <wp:inline distT="0" distB="0" distL="0" distR="0" wp14:anchorId="37262179" wp14:editId="4CDEDD99">
            <wp:extent cx="5637839" cy="288595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637839" cy="2885957"/>
                    </a:xfrm>
                    <a:prstGeom prst="rect">
                      <a:avLst/>
                    </a:prstGeom>
                    <a:ln/>
                  </pic:spPr>
                </pic:pic>
              </a:graphicData>
            </a:graphic>
          </wp:inline>
        </w:drawing>
      </w:r>
    </w:p>
    <w:p w14:paraId="77B02300" w14:textId="77777777" w:rsidR="00E64308" w:rsidRDefault="00000000" w:rsidP="00E64308">
      <w:pPr>
        <w:pBdr>
          <w:top w:val="nil"/>
          <w:left w:val="nil"/>
          <w:bottom w:val="nil"/>
          <w:right w:val="nil"/>
          <w:between w:val="nil"/>
        </w:pBdr>
        <w:spacing w:after="200"/>
        <w:jc w:val="both"/>
        <w:rPr>
          <w:i/>
          <w:color w:val="000000"/>
          <w:sz w:val="16"/>
          <w:szCs w:val="16"/>
        </w:rPr>
      </w:pPr>
      <w:r w:rsidRPr="00E64308">
        <w:rPr>
          <w:i/>
          <w:color w:val="000000"/>
          <w:sz w:val="16"/>
          <w:szCs w:val="16"/>
        </w:rPr>
        <w:t xml:space="preserve">Figure 1 </w:t>
      </w:r>
      <w:r w:rsidR="00E64308" w:rsidRPr="00E64308">
        <w:rPr>
          <w:i/>
          <w:color w:val="000000"/>
          <w:sz w:val="16"/>
          <w:szCs w:val="16"/>
        </w:rPr>
        <w:t>Current state of the labour market in the UK statistics</w:t>
      </w:r>
    </w:p>
    <w:p w14:paraId="4DA651F8" w14:textId="3CDFFB15" w:rsidR="00B91D81" w:rsidRPr="00E64308" w:rsidRDefault="00000000" w:rsidP="00E64308">
      <w:pPr>
        <w:pBdr>
          <w:top w:val="nil"/>
          <w:left w:val="nil"/>
          <w:bottom w:val="nil"/>
          <w:right w:val="nil"/>
          <w:between w:val="nil"/>
        </w:pBdr>
        <w:spacing w:after="200"/>
        <w:jc w:val="both"/>
        <w:rPr>
          <w:i/>
          <w:color w:val="000000"/>
          <w:sz w:val="16"/>
          <w:szCs w:val="16"/>
        </w:rPr>
      </w:pPr>
      <w:r w:rsidRPr="00E64308">
        <w:rPr>
          <w:sz w:val="16"/>
          <w:szCs w:val="16"/>
        </w:rPr>
        <w:t>Source:</w:t>
      </w:r>
      <w:r w:rsidR="00B91D81" w:rsidRPr="00E64308">
        <w:rPr>
          <w:sz w:val="16"/>
          <w:szCs w:val="16"/>
          <w:highlight w:val="white"/>
        </w:rPr>
        <w:t xml:space="preserve"> (Macke and Genari,2019).</w:t>
      </w:r>
    </w:p>
    <w:p w14:paraId="1D2DCF27" w14:textId="37B6FBA6" w:rsidR="00C64462" w:rsidRPr="00E64308" w:rsidRDefault="00E64308" w:rsidP="00C64462">
      <w:pPr>
        <w:jc w:val="both"/>
      </w:pPr>
      <w:r>
        <w:lastRenderedPageBreak/>
        <w:t xml:space="preserve">The chart above is our new series of data explainers this linked the charts to ONS update automatically new information available. The UK economy tracing the recovery of metrics in as soon as new data available display.  </w:t>
      </w:r>
      <w:r w:rsidR="00C64462">
        <w:t xml:space="preserve">The first of the newest series of data explanations is the chart up top. To guarantee that the charts automatically update as new data becomes available, we have linked </w:t>
      </w:r>
      <w:r w:rsidR="008A13F9">
        <w:t>it</w:t>
      </w:r>
      <w:r w:rsidR="00C64462">
        <w:t xml:space="preserve"> directly to the Office for national statistics </w:t>
      </w:r>
      <w:r w:rsidR="00C64462">
        <w:rPr>
          <w:highlight w:val="white"/>
        </w:rPr>
        <w:t>(Harney and Alkhalaf, 2021).</w:t>
      </w:r>
    </w:p>
    <w:p w14:paraId="03A1F8EE" w14:textId="77777777" w:rsidR="0067197E" w:rsidRDefault="0067197E">
      <w:pPr>
        <w:jc w:val="both"/>
        <w:rPr>
          <w:b/>
        </w:rPr>
      </w:pPr>
    </w:p>
    <w:p w14:paraId="77D77E07" w14:textId="77777777" w:rsidR="0067197E" w:rsidRDefault="00000000">
      <w:pPr>
        <w:pStyle w:val="Heading2"/>
        <w:spacing w:line="360" w:lineRule="auto"/>
        <w:jc w:val="both"/>
      </w:pPr>
      <w:bookmarkStart w:id="8" w:name="_Toc112334011"/>
      <w:r>
        <w:t>2.2 The emerging changes in Human Resourcing Strategies in the post-Covid</w:t>
      </w:r>
      <w:bookmarkEnd w:id="8"/>
    </w:p>
    <w:p w14:paraId="3536AFF5" w14:textId="6F7D9E9A" w:rsidR="001B62FB" w:rsidRDefault="00000000" w:rsidP="001B62FB">
      <w:pPr>
        <w:jc w:val="both"/>
        <w:rPr>
          <w:highlight w:val="white"/>
        </w:rPr>
      </w:pPr>
      <w:r>
        <w:t xml:space="preserve">The global </w:t>
      </w:r>
      <w:r w:rsidR="008A13F9">
        <w:t>labour</w:t>
      </w:r>
      <w:r>
        <w:t xml:space="preserve"> force has indeed been permanently impacted by COVID-19.</w:t>
      </w:r>
      <w:r w:rsidR="00BB46FE">
        <w:t xml:space="preserve"> It is common for employees to feel uneasy discussing about bad mental health, and the pandemic is unlikely to alter this. The need is of COVID-19 on mental health still are known. There are numerous factors to take into account, such as the consequences of the lockdown and ongoing restrictions like social isolation and self-isolation. Some employees will fear about getting the illness, whereas others will fret about their family members. During the pandemic, many individuals will have lost loved ones often without being able to say goodbye or visit funerals</w:t>
      </w:r>
      <w:r w:rsidR="001B62FB">
        <w:t xml:space="preserve"> </w:t>
      </w:r>
      <w:r w:rsidR="001B62FB">
        <w:rPr>
          <w:highlight w:val="white"/>
        </w:rPr>
        <w:t>(Wilton, 2022).</w:t>
      </w:r>
    </w:p>
    <w:p w14:paraId="210ABBE5" w14:textId="0E092A24" w:rsidR="0067197E" w:rsidRPr="00BB46FE" w:rsidRDefault="0067197E" w:rsidP="00BB46FE">
      <w:pPr>
        <w:jc w:val="both"/>
      </w:pPr>
    </w:p>
    <w:p w14:paraId="33D702A7" w14:textId="77777777" w:rsidR="0067197E" w:rsidRDefault="00000000">
      <w:pPr>
        <w:jc w:val="both"/>
        <w:rPr>
          <w:b/>
        </w:rPr>
      </w:pPr>
      <w:r>
        <w:rPr>
          <w:b/>
        </w:rPr>
        <w:t>1. Master the art of handling a remote staff</w:t>
      </w:r>
    </w:p>
    <w:p w14:paraId="5A8D9EED" w14:textId="738C7290" w:rsidR="0067197E" w:rsidRDefault="00000000">
      <w:pPr>
        <w:jc w:val="both"/>
        <w:rPr>
          <w:highlight w:val="white"/>
        </w:rPr>
      </w:pPr>
      <w:r>
        <w:t>The reality of working at home is there and will stay so. A recent Gartner survey revealed that 74% of CFOs intend to permanently shift at least 6</w:t>
      </w:r>
      <w:r w:rsidR="00421AF0">
        <w:t>% (</w:t>
      </w:r>
      <w:r w:rsidR="00421AF0">
        <w:rPr>
          <w:highlight w:val="white"/>
        </w:rPr>
        <w:t>Vrontis and</w:t>
      </w:r>
      <w:r w:rsidR="00C64462">
        <w:rPr>
          <w:highlight w:val="white"/>
        </w:rPr>
        <w:t xml:space="preserve"> Trichina, 2022).</w:t>
      </w:r>
      <w:r w:rsidR="00C64462">
        <w:t xml:space="preserve"> </w:t>
      </w:r>
      <w:r>
        <w:t xml:space="preserve">of their workforce to a remote working structure after COVID-19. Organizations will have to adapt their strategic plans in the context of this new dynamic and come up with fresh concepts for incorporating digital into current </w:t>
      </w:r>
      <w:r w:rsidR="008A13F9">
        <w:t>labour</w:t>
      </w:r>
      <w:r>
        <w:t xml:space="preserve"> structures</w:t>
      </w:r>
      <w:r w:rsidR="000037C7">
        <w:t xml:space="preserve">. </w:t>
      </w:r>
      <w:r>
        <w:t xml:space="preserve">HR teams first must and foremost make sure that all of their procedures are digital. The ability of companies to adapt fast is essential for managing a dispersed workforce in an unstable environment </w:t>
      </w:r>
      <w:r>
        <w:rPr>
          <w:highlight w:val="white"/>
        </w:rPr>
        <w:t>(Paule</w:t>
      </w:r>
      <w:r w:rsidR="00D62F6A">
        <w:rPr>
          <w:highlight w:val="white"/>
        </w:rPr>
        <w:t>t</w:t>
      </w:r>
      <w:r>
        <w:rPr>
          <w:highlight w:val="white"/>
        </w:rPr>
        <w:t xml:space="preserve"> and Morgan, 2021).</w:t>
      </w:r>
    </w:p>
    <w:p w14:paraId="0616D746" w14:textId="77777777" w:rsidR="0067197E" w:rsidRDefault="0067197E">
      <w:pPr>
        <w:jc w:val="both"/>
      </w:pPr>
    </w:p>
    <w:p w14:paraId="354D3E7F" w14:textId="56A70E21" w:rsidR="0067197E" w:rsidRDefault="00000000">
      <w:pPr>
        <w:jc w:val="both"/>
        <w:rPr>
          <w:highlight w:val="white"/>
        </w:rPr>
      </w:pPr>
      <w:r>
        <w:t xml:space="preserve">Additionally, technology like digital assistants or bots can be utilized to quickly provide data to employees, whether they're in the office or working from home. For example, </w:t>
      </w:r>
      <w:r w:rsidR="001D1944" w:rsidRPr="001D1944">
        <w:t>Virtual assistants can give the most recent information on corporate policies, health and safety upgrades, or new employment standards with only the touch of a button or voice command</w:t>
      </w:r>
      <w:r>
        <w:t xml:space="preserve"> </w:t>
      </w:r>
      <w:r>
        <w:rPr>
          <w:highlight w:val="white"/>
        </w:rPr>
        <w:t>(Paulet and Morgan, 2021).</w:t>
      </w:r>
    </w:p>
    <w:p w14:paraId="6F634C1A" w14:textId="6E37EE88" w:rsidR="0067197E" w:rsidRDefault="0067197E">
      <w:pPr>
        <w:jc w:val="both"/>
      </w:pPr>
    </w:p>
    <w:p w14:paraId="72C6D4E9" w14:textId="77777777" w:rsidR="00994A71" w:rsidRDefault="00994A71">
      <w:pPr>
        <w:jc w:val="both"/>
      </w:pPr>
    </w:p>
    <w:p w14:paraId="4F6B639A" w14:textId="77777777" w:rsidR="0067197E" w:rsidRDefault="0067197E">
      <w:pPr>
        <w:jc w:val="both"/>
      </w:pPr>
    </w:p>
    <w:p w14:paraId="65D8E2FC" w14:textId="50E2D213" w:rsidR="0067197E" w:rsidRDefault="00000000">
      <w:pPr>
        <w:jc w:val="both"/>
        <w:rPr>
          <w:b/>
        </w:rPr>
      </w:pPr>
      <w:r>
        <w:rPr>
          <w:b/>
        </w:rPr>
        <w:lastRenderedPageBreak/>
        <w:t xml:space="preserve">2. Deliver a helpful and positive employee skill </w:t>
      </w:r>
    </w:p>
    <w:p w14:paraId="28A1FE3E" w14:textId="77777777" w:rsidR="00994A71" w:rsidRDefault="00994A71" w:rsidP="003D7779">
      <w:pPr>
        <w:spacing w:line="240" w:lineRule="auto"/>
        <w:jc w:val="both"/>
        <w:rPr>
          <w:b/>
        </w:rPr>
      </w:pPr>
    </w:p>
    <w:p w14:paraId="4C88C7CB" w14:textId="37647F09" w:rsidR="0067197E" w:rsidRDefault="00000000">
      <w:pPr>
        <w:jc w:val="both"/>
        <w:rPr>
          <w:highlight w:val="white"/>
        </w:rPr>
      </w:pPr>
      <w:r>
        <w:t xml:space="preserve">Support of HR for employees is much more important than ever. As businesses start to reopen, employees today already are dealing with very high levels of anxiety from the new work-from-home environments. It is important to consider the employees' health and safety. And it's up to HR to give their teams a nice, secure, and efficient workplace environment. irrespective of their geographical place </w:t>
      </w:r>
      <w:r w:rsidR="000037C7">
        <w:t>(</w:t>
      </w:r>
      <w:r>
        <w:rPr>
          <w:highlight w:val="white"/>
        </w:rPr>
        <w:t>Hamouche, 2021).</w:t>
      </w:r>
    </w:p>
    <w:p w14:paraId="3665A651" w14:textId="77777777" w:rsidR="0067197E" w:rsidRDefault="0067197E">
      <w:pPr>
        <w:jc w:val="both"/>
      </w:pPr>
    </w:p>
    <w:p w14:paraId="74AA36A8" w14:textId="256A5D3B" w:rsidR="0067197E" w:rsidRDefault="00000000">
      <w:pPr>
        <w:jc w:val="both"/>
        <w:rPr>
          <w:highlight w:val="white"/>
        </w:rPr>
      </w:pPr>
      <w:r>
        <w:t xml:space="preserve">Raising the importance put on benefits like flexible schedules, child care, and support for mental health is one way to do this. While remote work offers you the freedom to set your schedule, many employees certainly feel that they must be available all the time </w:t>
      </w:r>
      <w:r w:rsidR="000037C7">
        <w:t>(</w:t>
      </w:r>
      <w:r>
        <w:rPr>
          <w:highlight w:val="white"/>
        </w:rPr>
        <w:t>Hamouche, 2021).</w:t>
      </w:r>
    </w:p>
    <w:p w14:paraId="2F331969" w14:textId="77777777" w:rsidR="0067197E" w:rsidRDefault="0067197E">
      <w:pPr>
        <w:jc w:val="both"/>
        <w:rPr>
          <w:b/>
        </w:rPr>
      </w:pPr>
    </w:p>
    <w:p w14:paraId="56628C0A" w14:textId="39F5DE64" w:rsidR="0067197E" w:rsidRDefault="00000000">
      <w:pPr>
        <w:jc w:val="both"/>
        <w:rPr>
          <w:b/>
        </w:rPr>
      </w:pPr>
      <w:r>
        <w:rPr>
          <w:b/>
        </w:rPr>
        <w:t xml:space="preserve">3. Redefine work-life integration </w:t>
      </w:r>
    </w:p>
    <w:p w14:paraId="28618276" w14:textId="77777777" w:rsidR="003D7779" w:rsidRDefault="003D7779" w:rsidP="003D7779">
      <w:pPr>
        <w:spacing w:line="240" w:lineRule="auto"/>
        <w:jc w:val="both"/>
        <w:rPr>
          <w:b/>
        </w:rPr>
      </w:pPr>
    </w:p>
    <w:p w14:paraId="1DA32CA2" w14:textId="49486859" w:rsidR="0067197E" w:rsidRDefault="00000000">
      <w:pPr>
        <w:jc w:val="both"/>
        <w:rPr>
          <w:highlight w:val="white"/>
        </w:rPr>
      </w:pPr>
      <w:r>
        <w:t>The benefit of this new remote work lifestyle is also that employees are now working from home, notwithstanding the possible downsides.</w:t>
      </w:r>
      <w:r w:rsidR="000037C7">
        <w:t xml:space="preserve"> </w:t>
      </w:r>
      <w:r>
        <w:t xml:space="preserve">the opportunity to have quality time, like family dinners, each day while spending time with their families and connecting with their children more. </w:t>
      </w:r>
      <w:r w:rsidR="00C64462">
        <w:rPr>
          <w:highlight w:val="white"/>
        </w:rPr>
        <w:t>(Santana and Lopez‐Cabrales, 2019</w:t>
      </w:r>
      <w:r w:rsidR="00C64462">
        <w:t xml:space="preserve">). </w:t>
      </w:r>
      <w:r>
        <w:t xml:space="preserve">In the past, when people spent the majority of their time at work, people have developed a habit of arranging their lives around their employment. </w:t>
      </w:r>
      <w:r w:rsidR="002B2AF6" w:rsidRPr="002B2AF6">
        <w:t>However, the pandemic has allowed us to switch those responsibilities. It is now possible to schedule work around our houses</w:t>
      </w:r>
      <w:r>
        <w:t>. This is a major shift from how "work-life balance" has typically been viewed. I think it's a positive change for the better. HR leaders should recognize the significance of placing children at the core of our society and functioning forward to navigate around that precedence</w:t>
      </w:r>
      <w:r w:rsidR="00421AF0">
        <w:t xml:space="preserve"> </w:t>
      </w:r>
      <w:r w:rsidR="000037C7">
        <w:t>(</w:t>
      </w:r>
      <w:r>
        <w:rPr>
          <w:highlight w:val="white"/>
        </w:rPr>
        <w:t>Hamouche</w:t>
      </w:r>
      <w:r w:rsidR="00D62F6A">
        <w:rPr>
          <w:highlight w:val="white"/>
        </w:rPr>
        <w:t>,</w:t>
      </w:r>
      <w:r>
        <w:rPr>
          <w:highlight w:val="white"/>
        </w:rPr>
        <w:t xml:space="preserve"> 2021).</w:t>
      </w:r>
    </w:p>
    <w:p w14:paraId="17F403E4" w14:textId="77777777" w:rsidR="0067197E" w:rsidRDefault="0067197E">
      <w:pPr>
        <w:jc w:val="both"/>
      </w:pPr>
    </w:p>
    <w:p w14:paraId="07460EC9" w14:textId="7FD51A82" w:rsidR="0067197E" w:rsidRDefault="00000000">
      <w:pPr>
        <w:jc w:val="both"/>
        <w:rPr>
          <w:highlight w:val="white"/>
        </w:rPr>
      </w:pPr>
      <w:r>
        <w:t xml:space="preserve">The business world will undoubtedly change in the future. Despite the awful tragedy put on by the global pandemic, it has to be able to look forward and be prepared to evolve with the times. Work's future might not be known. But just how humans define it is down to us </w:t>
      </w:r>
      <w:r w:rsidR="000037C7">
        <w:t>(</w:t>
      </w:r>
      <w:r>
        <w:rPr>
          <w:highlight w:val="white"/>
        </w:rPr>
        <w:t>Hamouche, 2021).</w:t>
      </w:r>
    </w:p>
    <w:p w14:paraId="25B1D70A" w14:textId="77777777" w:rsidR="0067197E" w:rsidRDefault="0067197E">
      <w:pPr>
        <w:jc w:val="both"/>
      </w:pPr>
    </w:p>
    <w:p w14:paraId="3DC7E90E" w14:textId="77777777" w:rsidR="003D7779" w:rsidRDefault="003D7779">
      <w:pPr>
        <w:pStyle w:val="Heading2"/>
        <w:spacing w:line="360" w:lineRule="auto"/>
        <w:jc w:val="both"/>
      </w:pPr>
    </w:p>
    <w:p w14:paraId="32935FF1" w14:textId="7B5317E0" w:rsidR="0067197E" w:rsidRDefault="00000000">
      <w:pPr>
        <w:pStyle w:val="Heading2"/>
        <w:spacing w:line="360" w:lineRule="auto"/>
        <w:jc w:val="both"/>
      </w:pPr>
      <w:r>
        <w:t xml:space="preserve">2.3 </w:t>
      </w:r>
      <w:bookmarkStart w:id="9" w:name="_Toc112334012"/>
      <w:r w:rsidR="001D2C09">
        <w:t>C</w:t>
      </w:r>
      <w:r w:rsidR="001D2C09" w:rsidRPr="001D2C09">
        <w:t xml:space="preserve">hanges in human resource </w:t>
      </w:r>
      <w:r w:rsidR="001D2C09">
        <w:t>strategies</w:t>
      </w:r>
      <w:r w:rsidR="001D2C09" w:rsidRPr="001D2C09">
        <w:t xml:space="preserve"> in post </w:t>
      </w:r>
      <w:r w:rsidR="001D2C09">
        <w:t>Brexit</w:t>
      </w:r>
      <w:bookmarkEnd w:id="9"/>
    </w:p>
    <w:p w14:paraId="28ED5B82" w14:textId="77777777" w:rsidR="003D7779" w:rsidRPr="003D7779" w:rsidRDefault="003D7779" w:rsidP="003D7779">
      <w:pPr>
        <w:spacing w:line="240" w:lineRule="auto"/>
      </w:pPr>
    </w:p>
    <w:p w14:paraId="4A0C9161" w14:textId="18F52038" w:rsidR="0067197E" w:rsidRDefault="003B5E36" w:rsidP="003B5E36">
      <w:pPr>
        <w:jc w:val="both"/>
      </w:pPr>
      <w:r>
        <w:rPr>
          <w:highlight w:val="white"/>
        </w:rPr>
        <w:t xml:space="preserve"> </w:t>
      </w:r>
      <w:r w:rsidR="003D7779">
        <w:t>T</w:t>
      </w:r>
      <w:r>
        <w:t xml:space="preserve">he effects of Brexit, both historical and contemporary. In order </w:t>
      </w:r>
      <w:r w:rsidR="0062396F" w:rsidRPr="0062396F">
        <w:t>HR directors should have asked their employees to obtain the right data, participate in scenario planning, and offer the essential resources long before the more competitive post-Brexit environment</w:t>
      </w:r>
      <w:r>
        <w:t>. The number of candidates from European states has already decreased, and talent seems to be much more difficult to reach.</w:t>
      </w:r>
      <w:r>
        <w:rPr>
          <w:highlight w:val="white"/>
        </w:rPr>
        <w:t xml:space="preserve"> (Paulet</w:t>
      </w:r>
      <w:r w:rsidR="00EC4616">
        <w:rPr>
          <w:highlight w:val="white"/>
        </w:rPr>
        <w:t xml:space="preserve"> </w:t>
      </w:r>
      <w:r>
        <w:rPr>
          <w:highlight w:val="white"/>
        </w:rPr>
        <w:t>and Morgan, 2021).</w:t>
      </w:r>
      <w:r w:rsidR="00FC5E1C">
        <w:t xml:space="preserve"> </w:t>
      </w:r>
    </w:p>
    <w:p w14:paraId="587FF9BD" w14:textId="54CFC4DF" w:rsidR="00C64462" w:rsidRPr="00A500FE" w:rsidRDefault="00AB78A1" w:rsidP="00C64462">
      <w:pPr>
        <w:jc w:val="both"/>
        <w:rPr>
          <w:highlight w:val="white"/>
        </w:rPr>
      </w:pPr>
      <w:r>
        <w:t xml:space="preserve">The truth is that there are a lot of possibilities that "might" or "could" affect how HR would function in the decades to come, </w:t>
      </w:r>
      <w:r w:rsidR="00962397" w:rsidRPr="00962397">
        <w:t>however we can say with certainty that Brexit represents more than just a change in the political landscape</w:t>
      </w:r>
      <w:r>
        <w:t xml:space="preserve">. Future planning for institutions will be greatly affected by Britain's exit from the EU, so HR leaders should start </w:t>
      </w:r>
      <w:r w:rsidR="008A13F9">
        <w:t>analysing</w:t>
      </w:r>
      <w:r>
        <w:t>, assessing, and preparing for the procedures and processes that Britain might good way to ensure</w:t>
      </w:r>
      <w:r w:rsidR="00C64462">
        <w:t xml:space="preserve"> </w:t>
      </w:r>
      <w:r w:rsidR="00C64462">
        <w:rPr>
          <w:highlight w:val="white"/>
        </w:rPr>
        <w:t>(Santana and Lopez‐Cabrales, 2019</w:t>
      </w:r>
      <w:r w:rsidR="00C64462">
        <w:t>).</w:t>
      </w:r>
    </w:p>
    <w:p w14:paraId="1D830DBE" w14:textId="77777777" w:rsidR="0067197E" w:rsidRDefault="0067197E">
      <w:pPr>
        <w:jc w:val="both"/>
      </w:pPr>
    </w:p>
    <w:p w14:paraId="47B2FD67" w14:textId="1368AA33" w:rsidR="0067197E" w:rsidRDefault="00000000">
      <w:pPr>
        <w:jc w:val="both"/>
        <w:rPr>
          <w:highlight w:val="white"/>
        </w:rPr>
      </w:pPr>
      <w:r>
        <w:t xml:space="preserve">HR must carefully monitor whether immigration laws change in the aftermath of Brexit. Probably, present EU workers in the UK will now be subject to global immigration laws and the current national "Points Based System," which is designed to attract skilled immigrants with a particular level of English language ability There could also be a role for visas and work permits, that would imply additional bureaucratic requirements </w:t>
      </w:r>
      <w:r>
        <w:rPr>
          <w:highlight w:val="white"/>
        </w:rPr>
        <w:t>(Paulet and Morgan, 2021).</w:t>
      </w:r>
    </w:p>
    <w:p w14:paraId="6FFEE917" w14:textId="77777777" w:rsidR="00CF5266" w:rsidRDefault="00CF5266" w:rsidP="00CF5266">
      <w:pPr>
        <w:spacing w:line="240" w:lineRule="auto"/>
        <w:jc w:val="both"/>
      </w:pPr>
    </w:p>
    <w:p w14:paraId="03CBA566" w14:textId="3B1000E3" w:rsidR="00CF5266" w:rsidRPr="004747BD" w:rsidRDefault="00000000" w:rsidP="004747BD">
      <w:pPr>
        <w:pStyle w:val="ListParagraph"/>
        <w:numPr>
          <w:ilvl w:val="0"/>
          <w:numId w:val="2"/>
        </w:numPr>
        <w:spacing w:line="240" w:lineRule="auto"/>
        <w:ind w:left="0" w:hanging="284"/>
        <w:jc w:val="both"/>
        <w:rPr>
          <w:b/>
        </w:rPr>
      </w:pPr>
      <w:r w:rsidRPr="004747BD">
        <w:rPr>
          <w:b/>
        </w:rPr>
        <w:t xml:space="preserve">Global implications </w:t>
      </w:r>
    </w:p>
    <w:p w14:paraId="1E892C8F" w14:textId="77777777" w:rsidR="00CF5266" w:rsidRDefault="00CF5266" w:rsidP="00CF5266">
      <w:pPr>
        <w:spacing w:line="240" w:lineRule="auto"/>
        <w:jc w:val="both"/>
        <w:rPr>
          <w:b/>
        </w:rPr>
      </w:pPr>
    </w:p>
    <w:p w14:paraId="448FA7C8" w14:textId="48F134BE" w:rsidR="0067197E" w:rsidRDefault="00C8694F">
      <w:pPr>
        <w:jc w:val="both"/>
        <w:rPr>
          <w:highlight w:val="white"/>
        </w:rPr>
      </w:pPr>
      <w:r w:rsidRPr="00C8694F">
        <w:t>It should come as no surprise that the UK's exit from the EU will have an effect on where a global organisation bases itself. If there is no freedom of labour movement from the EU to the UK, organisations may believe that the talent pool in the UK is smaller than what may be available elsewhere. The main influence on this situation comes from US organisations trying to grow in Europe.</w:t>
      </w:r>
      <w:r>
        <w:t xml:space="preserve"> </w:t>
      </w:r>
      <w:r>
        <w:rPr>
          <w:highlight w:val="white"/>
        </w:rPr>
        <w:t>(Paule</w:t>
      </w:r>
      <w:r w:rsidR="00D62F6A">
        <w:rPr>
          <w:highlight w:val="white"/>
        </w:rPr>
        <w:t>t</w:t>
      </w:r>
      <w:r>
        <w:rPr>
          <w:highlight w:val="white"/>
        </w:rPr>
        <w:t xml:space="preserve"> and Morgan, 2021).</w:t>
      </w:r>
    </w:p>
    <w:p w14:paraId="56248AE8" w14:textId="683F9651" w:rsidR="0067197E" w:rsidRDefault="00000000">
      <w:pPr>
        <w:jc w:val="both"/>
        <w:rPr>
          <w:highlight w:val="white"/>
        </w:rPr>
      </w:pPr>
      <w:r>
        <w:t xml:space="preserve">Even though it is unlikely that US businesses with operations in the UK will move, there are other decent alternatives, such as Ireland or the Netherlands, in which access to a bigger talent pool and </w:t>
      </w:r>
      <w:r w:rsidR="008579D3">
        <w:t>t</w:t>
      </w:r>
      <w:r w:rsidR="008579D3" w:rsidRPr="008579D3">
        <w:t>he advantages of a shared language and similar laws afforded by the UK may offset the disadvantages of a more complicated system.</w:t>
      </w:r>
      <w:r>
        <w:t xml:space="preserve"> </w:t>
      </w:r>
      <w:r>
        <w:rPr>
          <w:highlight w:val="white"/>
        </w:rPr>
        <w:t>(Paulet and Morgan, 2021).</w:t>
      </w:r>
    </w:p>
    <w:p w14:paraId="52F1CBA9" w14:textId="77777777" w:rsidR="0067197E" w:rsidRDefault="0067197E">
      <w:pPr>
        <w:jc w:val="both"/>
      </w:pPr>
    </w:p>
    <w:p w14:paraId="211EE305" w14:textId="77777777" w:rsidR="0067197E" w:rsidRDefault="0067197E">
      <w:pPr>
        <w:jc w:val="both"/>
      </w:pPr>
    </w:p>
    <w:p w14:paraId="38F7FB60" w14:textId="77777777" w:rsidR="0067197E" w:rsidRDefault="00000000" w:rsidP="004747BD">
      <w:pPr>
        <w:pStyle w:val="ListParagraph"/>
        <w:numPr>
          <w:ilvl w:val="0"/>
          <w:numId w:val="2"/>
        </w:numPr>
        <w:spacing w:line="240" w:lineRule="auto"/>
        <w:ind w:left="0" w:hanging="284"/>
        <w:jc w:val="both"/>
        <w:rPr>
          <w:b/>
        </w:rPr>
      </w:pPr>
      <w:r>
        <w:rPr>
          <w:b/>
        </w:rPr>
        <w:lastRenderedPageBreak/>
        <w:t xml:space="preserve">Impact on employee legislation </w:t>
      </w:r>
    </w:p>
    <w:p w14:paraId="2E743480" w14:textId="77777777" w:rsidR="004747BD" w:rsidRDefault="004747BD" w:rsidP="004747BD">
      <w:pPr>
        <w:spacing w:line="240" w:lineRule="auto"/>
        <w:jc w:val="both"/>
      </w:pPr>
    </w:p>
    <w:p w14:paraId="1C73736F" w14:textId="0CC2F66C" w:rsidR="0067197E" w:rsidRDefault="00000000">
      <w:pPr>
        <w:jc w:val="both"/>
      </w:pPr>
      <w:r>
        <w:t>One of the most difficult and stressful parts of managing the team in an organization is trying to keep up with legal changes, and Brexit may make the matter better.</w:t>
      </w:r>
    </w:p>
    <w:p w14:paraId="14202FD6" w14:textId="125A2933" w:rsidR="0067197E" w:rsidRDefault="00000000">
      <w:pPr>
        <w:jc w:val="both"/>
      </w:pPr>
      <w:r>
        <w:t xml:space="preserve">Owing to the UK's separate membership in the European Convention of Human Rights, the EU introduced strict safeguards for trade unions and essentially humane hiring practices. Similarly, rules regulating shared parental leave and pension auto-enrolment which were not affected by the EU will remain to be in force </w:t>
      </w:r>
      <w:r>
        <w:rPr>
          <w:highlight w:val="white"/>
        </w:rPr>
        <w:t>(Zehir and Başar</w:t>
      </w:r>
      <w:r w:rsidR="00D62F6A">
        <w:rPr>
          <w:highlight w:val="white"/>
        </w:rPr>
        <w:t xml:space="preserve">, </w:t>
      </w:r>
      <w:r>
        <w:rPr>
          <w:highlight w:val="white"/>
        </w:rPr>
        <w:t>2020).</w:t>
      </w:r>
    </w:p>
    <w:p w14:paraId="31D7D54C" w14:textId="77777777" w:rsidR="0067197E" w:rsidRDefault="0067197E">
      <w:pPr>
        <w:jc w:val="both"/>
      </w:pPr>
    </w:p>
    <w:p w14:paraId="401E930F" w14:textId="77777777" w:rsidR="0067197E" w:rsidRDefault="00000000" w:rsidP="004747BD">
      <w:pPr>
        <w:pStyle w:val="ListParagraph"/>
        <w:numPr>
          <w:ilvl w:val="0"/>
          <w:numId w:val="2"/>
        </w:numPr>
        <w:spacing w:line="240" w:lineRule="auto"/>
        <w:ind w:left="0" w:hanging="284"/>
        <w:jc w:val="both"/>
        <w:rPr>
          <w:b/>
        </w:rPr>
      </w:pPr>
      <w:r>
        <w:rPr>
          <w:b/>
        </w:rPr>
        <w:t xml:space="preserve">Attraction of talent </w:t>
      </w:r>
    </w:p>
    <w:p w14:paraId="4EA74FD9" w14:textId="77777777" w:rsidR="004747BD" w:rsidRDefault="004747BD" w:rsidP="004747BD">
      <w:pPr>
        <w:spacing w:line="240" w:lineRule="auto"/>
        <w:jc w:val="both"/>
      </w:pPr>
    </w:p>
    <w:p w14:paraId="2B76EF5F" w14:textId="236401D7" w:rsidR="0067197E" w:rsidRDefault="00000000">
      <w:pPr>
        <w:jc w:val="both"/>
      </w:pPr>
      <w:r>
        <w:t xml:space="preserve">Following Brexit, the UK may lose a portion of its appeal as a destination because it won't be as available </w:t>
      </w:r>
      <w:r w:rsidR="003E092A" w:rsidRPr="003E092A">
        <w:t>overly gifted</w:t>
      </w:r>
      <w:r>
        <w:t xml:space="preserve"> people from across the EU. </w:t>
      </w:r>
      <w:r w:rsidR="003E092A" w:rsidRPr="003E092A">
        <w:t>It is undoubtedly feasible that the number of EU citizens looking for work in the UK would decrease given that the numbers are already declining, and HR will need to support a staffing strategy that includes measures to deal with this. There are several industries in the UK where hiring EU workers is necessary to keep the manufacturing</w:t>
      </w:r>
      <w:r>
        <w:t xml:space="preserve">. Organizations that rely on seasonal or EU </w:t>
      </w:r>
      <w:r w:rsidR="008A13F9">
        <w:t>labour</w:t>
      </w:r>
      <w:r>
        <w:t xml:space="preserve"> should undoubtedly have a backup plan, with HR identifying and preparing for such eventualities </w:t>
      </w:r>
      <w:r>
        <w:rPr>
          <w:highlight w:val="white"/>
        </w:rPr>
        <w:t>(Zehir and Başar,</w:t>
      </w:r>
      <w:r w:rsidR="00D62F6A">
        <w:rPr>
          <w:highlight w:val="white"/>
        </w:rPr>
        <w:t xml:space="preserve"> </w:t>
      </w:r>
      <w:r>
        <w:rPr>
          <w:highlight w:val="white"/>
        </w:rPr>
        <w:t>2020).</w:t>
      </w:r>
    </w:p>
    <w:p w14:paraId="7230B050" w14:textId="77777777" w:rsidR="00F44987" w:rsidRDefault="00F44987">
      <w:pPr>
        <w:jc w:val="both"/>
      </w:pPr>
    </w:p>
    <w:p w14:paraId="0CC9C996" w14:textId="275DD9B4" w:rsidR="0067197E" w:rsidRDefault="00000000">
      <w:pPr>
        <w:jc w:val="both"/>
      </w:pPr>
      <w:r>
        <w:t xml:space="preserve">HR must carefully monitor as migration laws change in the aftermath of Brexit. Current EU workers in the UK may suddenly be governed by international immigration rules and the country's Points Based System, which would be intended to attract skilled immigrants with a particular level of English language proficiency. There could also be a role for visas and work permits, which would mean additional bureaucratic requirements </w:t>
      </w:r>
      <w:r>
        <w:rPr>
          <w:highlight w:val="white"/>
        </w:rPr>
        <w:t>(Zehir and Başar</w:t>
      </w:r>
      <w:r w:rsidR="00D62F6A">
        <w:rPr>
          <w:highlight w:val="white"/>
        </w:rPr>
        <w:t>,</w:t>
      </w:r>
      <w:r>
        <w:rPr>
          <w:highlight w:val="white"/>
        </w:rPr>
        <w:t xml:space="preserve"> 2020).</w:t>
      </w:r>
    </w:p>
    <w:p w14:paraId="34472A34" w14:textId="77777777" w:rsidR="0067197E" w:rsidRDefault="0067197E">
      <w:pPr>
        <w:jc w:val="both"/>
      </w:pPr>
    </w:p>
    <w:p w14:paraId="292AD4E6" w14:textId="4627ACE0" w:rsidR="0067197E" w:rsidRDefault="00FD6FD7">
      <w:pPr>
        <w:pStyle w:val="Heading1"/>
        <w:spacing w:line="360" w:lineRule="auto"/>
        <w:jc w:val="both"/>
      </w:pPr>
      <w:bookmarkStart w:id="10" w:name="_Toc112334013"/>
      <w:r>
        <w:t>3</w:t>
      </w:r>
      <w:r w:rsidR="001B62FB">
        <w:t xml:space="preserve">. </w:t>
      </w:r>
      <w:r w:rsidR="007320BD">
        <w:t>Brexit post changes in human resourcing strategies</w:t>
      </w:r>
      <w:bookmarkEnd w:id="10"/>
      <w:r w:rsidR="007320BD">
        <w:t xml:space="preserve"> </w:t>
      </w:r>
    </w:p>
    <w:p w14:paraId="53A0FD1B" w14:textId="77777777" w:rsidR="007320BD" w:rsidRPr="007320BD" w:rsidRDefault="007320BD" w:rsidP="004747BD">
      <w:pPr>
        <w:spacing w:line="240" w:lineRule="auto"/>
      </w:pPr>
    </w:p>
    <w:p w14:paraId="25C840BF" w14:textId="77FD2D4D" w:rsidR="0067197E" w:rsidRDefault="007320BD" w:rsidP="002A427B">
      <w:pPr>
        <w:jc w:val="both"/>
      </w:pPr>
      <w:r w:rsidRPr="007320BD">
        <w:t xml:space="preserve"> </w:t>
      </w:r>
      <w:r>
        <w:t>Any plan needs to be developed, as well as the objectives that must be followed out in order to achieve the vision. Given previous negotiations' failings and the reality that David Cameron's failed strategy was just what ultimately caused Brexit, I would advise the new British leadership to create a number of fresh strategies, game plans, and execution tactics for Brexit. Let's prevent giving people only one option once more. Let's make sure there are plenty of options available so they can be evaluated and then utilized to get the best results.</w:t>
      </w:r>
    </w:p>
    <w:p w14:paraId="46BFCE7F" w14:textId="7BF05F06" w:rsidR="002A427B" w:rsidRDefault="00842873" w:rsidP="00693143">
      <w:pPr>
        <w:pStyle w:val="Heading2"/>
      </w:pPr>
      <w:bookmarkStart w:id="11" w:name="_Toc112334014"/>
      <w:r>
        <w:lastRenderedPageBreak/>
        <w:t>3</w:t>
      </w:r>
      <w:r w:rsidR="00693143">
        <w:t xml:space="preserve">.1 </w:t>
      </w:r>
      <w:r w:rsidR="002A427B" w:rsidRPr="00B86D27">
        <w:t>Labour supply</w:t>
      </w:r>
      <w:bookmarkEnd w:id="11"/>
      <w:r w:rsidR="00B86D27" w:rsidRPr="00B86D27">
        <w:t xml:space="preserve"> </w:t>
      </w:r>
    </w:p>
    <w:p w14:paraId="709BAA41" w14:textId="77777777" w:rsidR="004747BD" w:rsidRPr="004747BD" w:rsidRDefault="004747BD" w:rsidP="004747BD">
      <w:pPr>
        <w:spacing w:line="240" w:lineRule="auto"/>
      </w:pPr>
    </w:p>
    <w:p w14:paraId="13270264" w14:textId="6AE5DDD9" w:rsidR="00A500FE" w:rsidRPr="00693143" w:rsidRDefault="00B86D27" w:rsidP="00A500FE">
      <w:pPr>
        <w:jc w:val="both"/>
      </w:pPr>
      <w:r w:rsidRPr="00B86D27">
        <w:t xml:space="preserve">Further restrictions on skilled work visas, according to </w:t>
      </w:r>
      <w:r>
        <w:t xml:space="preserve">the </w:t>
      </w:r>
      <w:r w:rsidRPr="00B86D27">
        <w:t>government's Migration Advisory Committee, would present a "significant risk</w:t>
      </w:r>
      <w:r>
        <w:t xml:space="preserve"> of </w:t>
      </w:r>
      <w:r w:rsidRPr="00B86D27">
        <w:t xml:space="preserve">harmful impacts on UK productivity, innovation, and competitiveness." In industries like construction, where EU workers have acted as a </w:t>
      </w:r>
      <w:r>
        <w:t>safety valve</w:t>
      </w:r>
      <w:r w:rsidRPr="00B86D27">
        <w:t xml:space="preserve"> as workloads have climbed, this could be more acute. </w:t>
      </w:r>
      <w:r>
        <w:t>Rendering to</w:t>
      </w:r>
      <w:r w:rsidRPr="00B86D27">
        <w:t xml:space="preserve"> estimates, 1</w:t>
      </w:r>
      <w:r>
        <w:t>3</w:t>
      </w:r>
      <w:r w:rsidRPr="00B86D27">
        <w:t>% of building workers in the UK come from outside the country, and over the next five months, the industry is expected to grow at a 2.</w:t>
      </w:r>
      <w:r>
        <w:t>6</w:t>
      </w:r>
      <w:r w:rsidRPr="00B86D27">
        <w:t>%</w:t>
      </w:r>
      <w:r w:rsidR="00421AF0">
        <w:t xml:space="preserve"> </w:t>
      </w:r>
      <w:r w:rsidR="001B62FB">
        <w:rPr>
          <w:highlight w:val="white"/>
        </w:rPr>
        <w:t>(Vrontis and Trichina, 2022).</w:t>
      </w:r>
      <w:r w:rsidR="001B62FB">
        <w:t xml:space="preserve"> </w:t>
      </w:r>
      <w:r w:rsidRPr="00B86D27">
        <w:t xml:space="preserve"> annual rate of growth. Employers in the UK may be concerned that there may not be enough workers to fill the unskilled roles currently held by EU citizens, especially in the agricultural, tourism, catering, and healthcare industries</w:t>
      </w:r>
      <w:r w:rsidR="00A500FE">
        <w:t xml:space="preserve"> </w:t>
      </w:r>
      <w:r w:rsidR="00A500FE">
        <w:rPr>
          <w:highlight w:val="white"/>
        </w:rPr>
        <w:t>(Santana and Lopez‐Cabrales, 2019</w:t>
      </w:r>
      <w:r w:rsidR="00A500FE">
        <w:t>).</w:t>
      </w:r>
    </w:p>
    <w:p w14:paraId="42DAA4E6" w14:textId="5A936FCD" w:rsidR="00FD39E9" w:rsidRDefault="00FD39E9" w:rsidP="002A427B">
      <w:pPr>
        <w:jc w:val="both"/>
      </w:pPr>
    </w:p>
    <w:p w14:paraId="12FD39A7" w14:textId="263AE593" w:rsidR="007A3D3F" w:rsidRDefault="00842873" w:rsidP="00DC76F7">
      <w:pPr>
        <w:pStyle w:val="Heading2"/>
      </w:pPr>
      <w:bookmarkStart w:id="12" w:name="_Toc112334015"/>
      <w:r>
        <w:t>3</w:t>
      </w:r>
      <w:r w:rsidR="00693143">
        <w:t xml:space="preserve">.2 </w:t>
      </w:r>
      <w:r w:rsidR="007A3D3F">
        <w:t>Training and development</w:t>
      </w:r>
      <w:bookmarkEnd w:id="12"/>
      <w:r w:rsidR="007A3D3F">
        <w:t xml:space="preserve"> </w:t>
      </w:r>
    </w:p>
    <w:p w14:paraId="7D2C1E35" w14:textId="77777777" w:rsidR="004747BD" w:rsidRPr="004747BD" w:rsidRDefault="004747BD" w:rsidP="004747BD">
      <w:pPr>
        <w:spacing w:line="240" w:lineRule="auto"/>
      </w:pPr>
    </w:p>
    <w:p w14:paraId="28E1BEC0" w14:textId="77777777" w:rsidR="00A500FE" w:rsidRPr="00A500FE" w:rsidRDefault="005C39B6" w:rsidP="00A500FE">
      <w:pPr>
        <w:jc w:val="both"/>
        <w:rPr>
          <w:highlight w:val="white"/>
        </w:rPr>
      </w:pPr>
      <w:r w:rsidRPr="005C39B6">
        <w:t xml:space="preserve">Employers may briefly put a halt on hiring decisions or look to hire temporary staff while the economy remains unclear. Investments in training </w:t>
      </w:r>
      <w:r>
        <w:t>programs</w:t>
      </w:r>
      <w:r w:rsidRPr="005C39B6">
        <w:t xml:space="preserve"> will indeed be required to expand the skill set of the present employees, put back-to-work </w:t>
      </w:r>
      <w:r>
        <w:t>programs</w:t>
      </w:r>
      <w:r w:rsidRPr="005C39B6">
        <w:t xml:space="preserve"> into action, and maintain an apprenticeship focus. By enticing women and disadvantaged minorities into fields such as engineering, it will be crucial to encourage inclusion and diversity and discover candidates from the widest skill pool possible</w:t>
      </w:r>
      <w:r w:rsidR="00A500FE">
        <w:t xml:space="preserve"> </w:t>
      </w:r>
      <w:r w:rsidR="00A500FE">
        <w:rPr>
          <w:highlight w:val="white"/>
        </w:rPr>
        <w:t>(Santana and Lopez‐Cabrales, 2019</w:t>
      </w:r>
      <w:r w:rsidR="00A500FE">
        <w:t>).</w:t>
      </w:r>
    </w:p>
    <w:p w14:paraId="48E6C933" w14:textId="775F8F08" w:rsidR="005C39B6" w:rsidRPr="005C39B6" w:rsidRDefault="005C39B6" w:rsidP="002A427B">
      <w:pPr>
        <w:jc w:val="both"/>
      </w:pPr>
    </w:p>
    <w:p w14:paraId="35BE3911" w14:textId="7BBC259E" w:rsidR="00B86D27" w:rsidRDefault="00842873" w:rsidP="00DC76F7">
      <w:pPr>
        <w:pStyle w:val="Heading2"/>
      </w:pPr>
      <w:bookmarkStart w:id="13" w:name="_Toc112334016"/>
      <w:r>
        <w:t>3</w:t>
      </w:r>
      <w:r w:rsidR="00DC76F7">
        <w:t xml:space="preserve">.3 </w:t>
      </w:r>
      <w:r w:rsidR="00FD39E9">
        <w:t>Employee engagement or retention</w:t>
      </w:r>
      <w:bookmarkEnd w:id="13"/>
      <w:r w:rsidR="00FD39E9">
        <w:t xml:space="preserve"> </w:t>
      </w:r>
    </w:p>
    <w:p w14:paraId="65A67606" w14:textId="77777777" w:rsidR="00421AF0" w:rsidRDefault="00421AF0" w:rsidP="00421AF0">
      <w:pPr>
        <w:spacing w:line="240" w:lineRule="auto"/>
        <w:jc w:val="both"/>
      </w:pPr>
    </w:p>
    <w:p w14:paraId="473CEC5B" w14:textId="1CA06990" w:rsidR="00FD39E9" w:rsidRPr="00421AF0" w:rsidRDefault="007A3D3F" w:rsidP="002A427B">
      <w:pPr>
        <w:jc w:val="both"/>
        <w:rPr>
          <w:highlight w:val="white"/>
        </w:rPr>
      </w:pPr>
      <w:r w:rsidRPr="007A3D3F">
        <w:t>Brexit will increase job instability among semi and those employed by companies that rely heavily on exports or have access to the European market. As per reports, some EU workers in</w:t>
      </w:r>
      <w:r>
        <w:t xml:space="preserve"> </w:t>
      </w:r>
      <w:r w:rsidRPr="007A3D3F">
        <w:t>the UK believe that the nation's inhabitants are not handled as well, which could lead to anxiety and tension</w:t>
      </w:r>
      <w:r w:rsidR="00A500FE">
        <w:t xml:space="preserve"> </w:t>
      </w:r>
      <w:r w:rsidR="00A500FE">
        <w:rPr>
          <w:highlight w:val="white"/>
        </w:rPr>
        <w:t>(Santana and Lopez‐Cabrales, 2019</w:t>
      </w:r>
      <w:r w:rsidR="00A500FE">
        <w:t>).</w:t>
      </w:r>
    </w:p>
    <w:p w14:paraId="7C704947" w14:textId="77777777" w:rsidR="00FD39E9" w:rsidRPr="007A3D3F" w:rsidRDefault="00FD39E9" w:rsidP="002A427B">
      <w:pPr>
        <w:jc w:val="both"/>
      </w:pPr>
    </w:p>
    <w:p w14:paraId="0E68A3A6" w14:textId="2C879819" w:rsidR="0067197E" w:rsidRDefault="00EB6FD1">
      <w:pPr>
        <w:pStyle w:val="Heading1"/>
        <w:spacing w:line="360" w:lineRule="auto"/>
        <w:jc w:val="both"/>
      </w:pPr>
      <w:bookmarkStart w:id="14" w:name="_Toc112334017"/>
      <w:r>
        <w:t>4</w:t>
      </w:r>
      <w:r w:rsidR="00000000">
        <w:t>. Conclusion</w:t>
      </w:r>
      <w:bookmarkEnd w:id="14"/>
      <w:r w:rsidR="00000000">
        <w:t xml:space="preserve"> </w:t>
      </w:r>
    </w:p>
    <w:p w14:paraId="47AE67AB" w14:textId="77777777" w:rsidR="004747BD" w:rsidRPr="004747BD" w:rsidRDefault="004747BD" w:rsidP="004747BD">
      <w:pPr>
        <w:spacing w:line="240" w:lineRule="auto"/>
        <w:rPr>
          <w:sz w:val="16"/>
          <w:szCs w:val="16"/>
        </w:rPr>
      </w:pPr>
    </w:p>
    <w:p w14:paraId="5F5ADCFD" w14:textId="08CBF260" w:rsidR="0067197E" w:rsidRDefault="00000000">
      <w:pPr>
        <w:jc w:val="both"/>
      </w:pPr>
      <w:r>
        <w:t xml:space="preserve">The conclusion is only a definition of what happened. A substantial portion of data for analysis should be given in this section. Most of the time, it is seen that there is a notable change between both the writing of established authors and that of trainees, and that distinction is related to experience. Since they have been doing the duty for quite a while, the conclusion of human </w:t>
      </w:r>
      <w:r>
        <w:lastRenderedPageBreak/>
        <w:t xml:space="preserve">resource management assignment has become simple for the providers. Essay Corp’s writers are aware of all of the twists and flips, so they can easily gain the upper hand so over students. Humans are inclined to never be content with the things they have. They always aspire to be better. Human resource oversight was needed since the issues with human capital had conflicting responses every time.  HRM is a complex process, human resource managers must have a lot of patience, a measured approach, and a diplomatic attitude in order to effectively oversee a company's core capital. </w:t>
      </w:r>
    </w:p>
    <w:p w14:paraId="7A6EC2AB" w14:textId="062F2677" w:rsidR="000037C7" w:rsidRDefault="000037C7">
      <w:pPr>
        <w:jc w:val="both"/>
      </w:pPr>
    </w:p>
    <w:p w14:paraId="59E35EF2" w14:textId="02BE6134" w:rsidR="000037C7" w:rsidRDefault="000037C7">
      <w:pPr>
        <w:jc w:val="both"/>
      </w:pPr>
    </w:p>
    <w:p w14:paraId="5CA3C1F5" w14:textId="1154CB72" w:rsidR="000037C7" w:rsidRDefault="000037C7">
      <w:pPr>
        <w:jc w:val="both"/>
      </w:pPr>
    </w:p>
    <w:p w14:paraId="7D0D8D0E" w14:textId="0BE95E94" w:rsidR="000037C7" w:rsidRDefault="000037C7">
      <w:pPr>
        <w:jc w:val="both"/>
      </w:pPr>
    </w:p>
    <w:p w14:paraId="12DE1D6C" w14:textId="6E1B80EA" w:rsidR="000037C7" w:rsidRDefault="000037C7">
      <w:pPr>
        <w:jc w:val="both"/>
      </w:pPr>
    </w:p>
    <w:p w14:paraId="302D7231" w14:textId="5A828BE7" w:rsidR="000037C7" w:rsidRDefault="000037C7">
      <w:pPr>
        <w:jc w:val="both"/>
      </w:pPr>
    </w:p>
    <w:p w14:paraId="5D3E0F68" w14:textId="30E1F79A" w:rsidR="000037C7" w:rsidRDefault="000037C7">
      <w:pPr>
        <w:jc w:val="both"/>
      </w:pPr>
    </w:p>
    <w:p w14:paraId="67E49B38" w14:textId="4823B019" w:rsidR="000037C7" w:rsidRDefault="000037C7">
      <w:pPr>
        <w:jc w:val="both"/>
      </w:pPr>
    </w:p>
    <w:p w14:paraId="1C27997C" w14:textId="3637DAD3" w:rsidR="000037C7" w:rsidRDefault="000037C7">
      <w:pPr>
        <w:jc w:val="both"/>
      </w:pPr>
    </w:p>
    <w:p w14:paraId="17D2B403" w14:textId="09508506" w:rsidR="000037C7" w:rsidRDefault="000037C7">
      <w:pPr>
        <w:jc w:val="both"/>
      </w:pPr>
    </w:p>
    <w:p w14:paraId="710BF7EA" w14:textId="7332C9CF" w:rsidR="000037C7" w:rsidRDefault="000037C7">
      <w:pPr>
        <w:jc w:val="both"/>
      </w:pPr>
    </w:p>
    <w:p w14:paraId="7E750980" w14:textId="6AFA64B7" w:rsidR="000037C7" w:rsidRDefault="000037C7">
      <w:pPr>
        <w:jc w:val="both"/>
      </w:pPr>
    </w:p>
    <w:p w14:paraId="22F6AC01" w14:textId="6C316F03" w:rsidR="000037C7" w:rsidRDefault="000037C7">
      <w:pPr>
        <w:jc w:val="both"/>
      </w:pPr>
    </w:p>
    <w:p w14:paraId="3F7CBF53" w14:textId="2FC4A919" w:rsidR="000037C7" w:rsidRDefault="000037C7">
      <w:pPr>
        <w:jc w:val="both"/>
      </w:pPr>
    </w:p>
    <w:p w14:paraId="2697E4AC" w14:textId="2C2C63FE" w:rsidR="000037C7" w:rsidRDefault="000037C7">
      <w:pPr>
        <w:jc w:val="both"/>
      </w:pPr>
    </w:p>
    <w:p w14:paraId="3E04C205" w14:textId="5793FCE0" w:rsidR="000037C7" w:rsidRDefault="000037C7">
      <w:pPr>
        <w:jc w:val="both"/>
      </w:pPr>
    </w:p>
    <w:p w14:paraId="63590D04" w14:textId="5CDEA9C7" w:rsidR="000037C7" w:rsidRDefault="000037C7">
      <w:pPr>
        <w:jc w:val="both"/>
      </w:pPr>
    </w:p>
    <w:p w14:paraId="65242E6D" w14:textId="38160475" w:rsidR="00BB46FE" w:rsidRDefault="00BB46FE">
      <w:pPr>
        <w:jc w:val="both"/>
      </w:pPr>
    </w:p>
    <w:p w14:paraId="3FB5D5D2" w14:textId="3DD8A08C" w:rsidR="00BB46FE" w:rsidRDefault="00BB46FE">
      <w:pPr>
        <w:jc w:val="both"/>
      </w:pPr>
    </w:p>
    <w:p w14:paraId="3A93EABC" w14:textId="57A0F9E6" w:rsidR="00BB46FE" w:rsidRDefault="00BB46FE">
      <w:pPr>
        <w:jc w:val="both"/>
      </w:pPr>
    </w:p>
    <w:p w14:paraId="559FD0F5" w14:textId="6F203020" w:rsidR="00BB46FE" w:rsidRDefault="00BB46FE">
      <w:pPr>
        <w:jc w:val="both"/>
      </w:pPr>
    </w:p>
    <w:p w14:paraId="40E335C2" w14:textId="67923050" w:rsidR="00BB46FE" w:rsidRDefault="00BB46FE">
      <w:pPr>
        <w:jc w:val="both"/>
      </w:pPr>
    </w:p>
    <w:p w14:paraId="35464324" w14:textId="77777777" w:rsidR="00BB46FE" w:rsidRDefault="00BB46FE">
      <w:pPr>
        <w:jc w:val="both"/>
      </w:pPr>
    </w:p>
    <w:p w14:paraId="3BDCACE7" w14:textId="77777777" w:rsidR="0067197E" w:rsidRDefault="00000000">
      <w:pPr>
        <w:pStyle w:val="Heading1"/>
        <w:spacing w:line="360" w:lineRule="auto"/>
        <w:jc w:val="both"/>
      </w:pPr>
      <w:bookmarkStart w:id="15" w:name="_Toc112334018"/>
      <w:r>
        <w:lastRenderedPageBreak/>
        <w:t>References</w:t>
      </w:r>
      <w:bookmarkEnd w:id="15"/>
    </w:p>
    <w:p w14:paraId="1BE1EF57" w14:textId="77777777" w:rsidR="0067197E" w:rsidRDefault="0067197E">
      <w:pPr>
        <w:jc w:val="both"/>
      </w:pPr>
    </w:p>
    <w:p w14:paraId="45A792C7" w14:textId="77777777" w:rsidR="0067197E" w:rsidRDefault="00000000">
      <w:pPr>
        <w:jc w:val="both"/>
      </w:pPr>
      <w:r>
        <w:rPr>
          <w:highlight w:val="white"/>
        </w:rPr>
        <w:t>Butterick, M. and Charlwood, A., 2021. HRM and the COVID‐19 pandemic: How can we stop making a bad situation worse?. </w:t>
      </w:r>
      <w:r>
        <w:rPr>
          <w:i/>
          <w:highlight w:val="white"/>
        </w:rPr>
        <w:t>Human Resource Management Journal</w:t>
      </w:r>
      <w:r>
        <w:rPr>
          <w:highlight w:val="white"/>
        </w:rPr>
        <w:t>, </w:t>
      </w:r>
      <w:r>
        <w:rPr>
          <w:i/>
          <w:highlight w:val="white"/>
        </w:rPr>
        <w:t>31</w:t>
      </w:r>
      <w:r>
        <w:rPr>
          <w:highlight w:val="white"/>
        </w:rPr>
        <w:t>(4), pp.847-856.</w:t>
      </w:r>
    </w:p>
    <w:p w14:paraId="48B6C2A5" w14:textId="77777777" w:rsidR="0067197E" w:rsidRDefault="00000000">
      <w:pPr>
        <w:jc w:val="both"/>
        <w:rPr>
          <w:highlight w:val="white"/>
        </w:rPr>
      </w:pPr>
      <w:r>
        <w:rPr>
          <w:highlight w:val="white"/>
        </w:rPr>
        <w:t>Harney, B. and Alkhalaf, H., 2021. A quarter‐century review of HRM in small and medium‐sized enterprises: Capturing what we know, exploring where we need to go. </w:t>
      </w:r>
      <w:r>
        <w:rPr>
          <w:i/>
          <w:highlight w:val="white"/>
        </w:rPr>
        <w:t>Human Resource Management</w:t>
      </w:r>
      <w:r>
        <w:rPr>
          <w:highlight w:val="white"/>
        </w:rPr>
        <w:t>, </w:t>
      </w:r>
      <w:r>
        <w:rPr>
          <w:i/>
          <w:highlight w:val="white"/>
        </w:rPr>
        <w:t>60</w:t>
      </w:r>
      <w:r>
        <w:rPr>
          <w:highlight w:val="white"/>
        </w:rPr>
        <w:t>(1), pp.5-29.</w:t>
      </w:r>
    </w:p>
    <w:p w14:paraId="2656126E" w14:textId="77777777" w:rsidR="0067197E" w:rsidRDefault="00000000">
      <w:pPr>
        <w:jc w:val="both"/>
        <w:rPr>
          <w:highlight w:val="white"/>
        </w:rPr>
      </w:pPr>
      <w:r>
        <w:rPr>
          <w:highlight w:val="white"/>
        </w:rPr>
        <w:t>Paulet, R., Holland, P. and Morgan, D., 2021. A meta‐review of 10 years of green human resource management: is Green HRM headed towards a roadblock or a revitalisation?. </w:t>
      </w:r>
      <w:r>
        <w:rPr>
          <w:i/>
          <w:highlight w:val="white"/>
        </w:rPr>
        <w:t>Asia Pacific Journal of Human Resources</w:t>
      </w:r>
      <w:r>
        <w:rPr>
          <w:highlight w:val="white"/>
        </w:rPr>
        <w:t>, </w:t>
      </w:r>
      <w:r>
        <w:rPr>
          <w:i/>
          <w:highlight w:val="white"/>
        </w:rPr>
        <w:t>59</w:t>
      </w:r>
      <w:r>
        <w:rPr>
          <w:highlight w:val="white"/>
        </w:rPr>
        <w:t>(2), pp.159-183.</w:t>
      </w:r>
    </w:p>
    <w:p w14:paraId="4F0DBB4F" w14:textId="77777777" w:rsidR="0067197E" w:rsidRDefault="00000000">
      <w:pPr>
        <w:jc w:val="both"/>
        <w:rPr>
          <w:highlight w:val="white"/>
        </w:rPr>
      </w:pPr>
      <w:r>
        <w:rPr>
          <w:highlight w:val="white"/>
        </w:rPr>
        <w:t>Aust, I., Matthews, B. and Muller-Camen, M., 2020. Common Good HRM: A paradigm shift in Sustainable HRM?. </w:t>
      </w:r>
      <w:r>
        <w:rPr>
          <w:i/>
          <w:highlight w:val="white"/>
        </w:rPr>
        <w:t>Human Resource Management Review</w:t>
      </w:r>
      <w:r>
        <w:rPr>
          <w:highlight w:val="white"/>
        </w:rPr>
        <w:t>, </w:t>
      </w:r>
      <w:r>
        <w:rPr>
          <w:i/>
          <w:highlight w:val="white"/>
        </w:rPr>
        <w:t>30</w:t>
      </w:r>
      <w:r>
        <w:rPr>
          <w:highlight w:val="white"/>
        </w:rPr>
        <w:t>(3), p.100705.</w:t>
      </w:r>
    </w:p>
    <w:p w14:paraId="5CD7AC20" w14:textId="77777777" w:rsidR="0067197E" w:rsidRDefault="00000000">
      <w:pPr>
        <w:jc w:val="both"/>
        <w:rPr>
          <w:highlight w:val="white"/>
        </w:rPr>
      </w:pPr>
      <w:r>
        <w:rPr>
          <w:highlight w:val="white"/>
        </w:rPr>
        <w:t>Wilton, N., 2022. An introduction to human resource management. </w:t>
      </w:r>
      <w:r>
        <w:rPr>
          <w:i/>
          <w:highlight w:val="white"/>
        </w:rPr>
        <w:t>An Introduction to Human Resource Management</w:t>
      </w:r>
      <w:r>
        <w:rPr>
          <w:highlight w:val="white"/>
        </w:rPr>
        <w:t>, pp.1-100.</w:t>
      </w:r>
    </w:p>
    <w:p w14:paraId="58F32D14" w14:textId="77777777" w:rsidR="0067197E" w:rsidRDefault="00000000">
      <w:pPr>
        <w:jc w:val="both"/>
        <w:rPr>
          <w:highlight w:val="white"/>
        </w:rPr>
      </w:pPr>
      <w:r>
        <w:rPr>
          <w:highlight w:val="white"/>
        </w:rPr>
        <w:t>Garg, S., Sinha, S., Kar, A.K. and Mani, M., 2021. A review of machine learning applications in human resource management. </w:t>
      </w:r>
      <w:r>
        <w:rPr>
          <w:i/>
          <w:highlight w:val="white"/>
        </w:rPr>
        <w:t>International Journal of Productivity and Performance Management</w:t>
      </w:r>
      <w:r>
        <w:rPr>
          <w:highlight w:val="white"/>
        </w:rPr>
        <w:t>.</w:t>
      </w:r>
    </w:p>
    <w:p w14:paraId="04152FDC" w14:textId="77777777" w:rsidR="0067197E" w:rsidRDefault="00000000">
      <w:pPr>
        <w:jc w:val="both"/>
        <w:rPr>
          <w:highlight w:val="white"/>
        </w:rPr>
      </w:pPr>
      <w:r>
        <w:rPr>
          <w:highlight w:val="white"/>
        </w:rPr>
        <w:t>Hamouche, S., 2021. Human resource management and the COVID-19 crisis: Implications, challenges, opportunities, and future organizational directions. </w:t>
      </w:r>
      <w:r>
        <w:rPr>
          <w:i/>
          <w:highlight w:val="white"/>
        </w:rPr>
        <w:t>Journal of Management &amp; Organization</w:t>
      </w:r>
      <w:r>
        <w:rPr>
          <w:highlight w:val="white"/>
        </w:rPr>
        <w:t>, </w:t>
      </w:r>
      <w:r>
        <w:rPr>
          <w:i/>
          <w:highlight w:val="white"/>
        </w:rPr>
        <w:t>1</w:t>
      </w:r>
      <w:r>
        <w:rPr>
          <w:highlight w:val="white"/>
        </w:rPr>
        <w:t>, pp.1-16.</w:t>
      </w:r>
    </w:p>
    <w:p w14:paraId="3BD9CB5C" w14:textId="77777777" w:rsidR="0067197E" w:rsidRDefault="00000000">
      <w:pPr>
        <w:jc w:val="both"/>
        <w:rPr>
          <w:highlight w:val="white"/>
        </w:rPr>
      </w:pPr>
      <w:r>
        <w:rPr>
          <w:highlight w:val="white"/>
        </w:rPr>
        <w:t>Macke, J. and Genari, D., 2019. Systematic literature review on sustainable human resource management. </w:t>
      </w:r>
      <w:r>
        <w:rPr>
          <w:i/>
          <w:highlight w:val="white"/>
        </w:rPr>
        <w:t>Journal of cleaner production</w:t>
      </w:r>
      <w:r>
        <w:rPr>
          <w:highlight w:val="white"/>
        </w:rPr>
        <w:t>, </w:t>
      </w:r>
      <w:r>
        <w:rPr>
          <w:i/>
          <w:highlight w:val="white"/>
        </w:rPr>
        <w:t>208</w:t>
      </w:r>
      <w:r>
        <w:rPr>
          <w:highlight w:val="white"/>
        </w:rPr>
        <w:t>, pp.806-815.</w:t>
      </w:r>
    </w:p>
    <w:p w14:paraId="2D5B6A5B" w14:textId="77777777" w:rsidR="0067197E" w:rsidRDefault="00000000">
      <w:pPr>
        <w:jc w:val="both"/>
        <w:rPr>
          <w:highlight w:val="white"/>
        </w:rPr>
      </w:pPr>
      <w:r>
        <w:rPr>
          <w:highlight w:val="white"/>
        </w:rPr>
        <w:t>Santosa, S. and Devi, A.D., 2021. The Problematics Online Lectures on Human Resource Management Courses (HRM) at The Islamic College Level. </w:t>
      </w:r>
      <w:r>
        <w:rPr>
          <w:i/>
          <w:highlight w:val="white"/>
        </w:rPr>
        <w:t>Nazhruna: Jurnal Pendidikan Islam</w:t>
      </w:r>
      <w:r>
        <w:rPr>
          <w:highlight w:val="white"/>
        </w:rPr>
        <w:t>, </w:t>
      </w:r>
      <w:r>
        <w:rPr>
          <w:i/>
          <w:highlight w:val="white"/>
        </w:rPr>
        <w:t>4</w:t>
      </w:r>
      <w:r>
        <w:rPr>
          <w:highlight w:val="white"/>
        </w:rPr>
        <w:t>(2), pp.261-271.</w:t>
      </w:r>
    </w:p>
    <w:p w14:paraId="270BE80C" w14:textId="77777777" w:rsidR="0067197E" w:rsidRDefault="00000000">
      <w:pPr>
        <w:jc w:val="both"/>
        <w:rPr>
          <w:highlight w:val="white"/>
        </w:rPr>
      </w:pPr>
      <w:r>
        <w:rPr>
          <w:highlight w:val="white"/>
        </w:rPr>
        <w:t>Santana, M. and Lopez‐Cabrales, A., 2019. Sustainable development and human resource management: A science mapping approach. </w:t>
      </w:r>
      <w:r>
        <w:rPr>
          <w:i/>
          <w:highlight w:val="white"/>
        </w:rPr>
        <w:t>Corporate Social Responsibility and Environmental Management</w:t>
      </w:r>
      <w:r>
        <w:rPr>
          <w:highlight w:val="white"/>
        </w:rPr>
        <w:t>, </w:t>
      </w:r>
      <w:r>
        <w:rPr>
          <w:i/>
          <w:highlight w:val="white"/>
        </w:rPr>
        <w:t>26</w:t>
      </w:r>
      <w:r>
        <w:rPr>
          <w:highlight w:val="white"/>
        </w:rPr>
        <w:t>(6), pp.1171-1183.</w:t>
      </w:r>
    </w:p>
    <w:p w14:paraId="0ED1D6AD" w14:textId="77777777" w:rsidR="0067197E" w:rsidRDefault="00000000">
      <w:pPr>
        <w:jc w:val="both"/>
        <w:rPr>
          <w:highlight w:val="white"/>
        </w:rPr>
      </w:pPr>
      <w:r>
        <w:rPr>
          <w:highlight w:val="white"/>
        </w:rPr>
        <w:t>Vrontis, D., Christofi, M., Pereira, V., Tarba, S., Makrides, A. and Trichina, E., 2022. Artificial intelligence, robotics, advanced technologies and human resource management: a systematic review. </w:t>
      </w:r>
      <w:r>
        <w:rPr>
          <w:i/>
          <w:highlight w:val="white"/>
        </w:rPr>
        <w:t>The International Journal of Human Resource Management</w:t>
      </w:r>
      <w:r>
        <w:rPr>
          <w:highlight w:val="white"/>
        </w:rPr>
        <w:t>, </w:t>
      </w:r>
      <w:r>
        <w:rPr>
          <w:i/>
          <w:highlight w:val="white"/>
        </w:rPr>
        <w:t>33</w:t>
      </w:r>
      <w:r>
        <w:rPr>
          <w:highlight w:val="white"/>
        </w:rPr>
        <w:t>(6), pp.1237-1266.</w:t>
      </w:r>
    </w:p>
    <w:p w14:paraId="232554CF" w14:textId="77777777" w:rsidR="0067197E" w:rsidRDefault="00000000">
      <w:pPr>
        <w:jc w:val="both"/>
        <w:rPr>
          <w:highlight w:val="white"/>
        </w:rPr>
      </w:pPr>
      <w:r>
        <w:rPr>
          <w:highlight w:val="white"/>
        </w:rPr>
        <w:lastRenderedPageBreak/>
        <w:t>Paulet, R., Holland, P. and Morgan, D., 2021. A meta‐review of 10 years of green human resource management: is Green HRM headed towards a roadblock or a revitalisation?. </w:t>
      </w:r>
      <w:r>
        <w:rPr>
          <w:i/>
          <w:highlight w:val="white"/>
        </w:rPr>
        <w:t>Asia Pacific Journal of Human Resources</w:t>
      </w:r>
      <w:r>
        <w:rPr>
          <w:highlight w:val="white"/>
        </w:rPr>
        <w:t>, </w:t>
      </w:r>
      <w:r>
        <w:rPr>
          <w:i/>
          <w:highlight w:val="white"/>
        </w:rPr>
        <w:t>59</w:t>
      </w:r>
      <w:r>
        <w:rPr>
          <w:highlight w:val="white"/>
        </w:rPr>
        <w:t>(2), pp.159-183.</w:t>
      </w:r>
    </w:p>
    <w:p w14:paraId="6A33583F" w14:textId="68E15CD9" w:rsidR="0067197E" w:rsidRDefault="00000000">
      <w:pPr>
        <w:jc w:val="both"/>
        <w:rPr>
          <w:highlight w:val="white"/>
        </w:rPr>
      </w:pPr>
      <w:r>
        <w:rPr>
          <w:highlight w:val="white"/>
        </w:rPr>
        <w:t>Zehir, C., Karaboğa, T. and Başar, D., 2020. The transformation of human resource management and its impact on overall business performance: big data analytics and AI technologies in strategic HRM. In </w:t>
      </w:r>
      <w:r>
        <w:rPr>
          <w:i/>
          <w:highlight w:val="white"/>
        </w:rPr>
        <w:t>Digital business strategies in blockchain ecosystems</w:t>
      </w:r>
      <w:r>
        <w:rPr>
          <w:highlight w:val="white"/>
        </w:rPr>
        <w:t> (pp. 265-279). Springer, Cham.</w:t>
      </w:r>
    </w:p>
    <w:p w14:paraId="28B3D52A" w14:textId="1605680E" w:rsidR="00C64462" w:rsidRDefault="00C64462">
      <w:pPr>
        <w:jc w:val="both"/>
        <w:rPr>
          <w:highlight w:val="white"/>
        </w:rPr>
      </w:pPr>
    </w:p>
    <w:sectPr w:rsidR="00C64462" w:rsidSect="00EA7BA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A13DA" w14:textId="77777777" w:rsidR="00B74C67" w:rsidRDefault="00B74C67" w:rsidP="008A13F9">
      <w:pPr>
        <w:spacing w:after="0" w:line="240" w:lineRule="auto"/>
      </w:pPr>
      <w:r>
        <w:separator/>
      </w:r>
    </w:p>
  </w:endnote>
  <w:endnote w:type="continuationSeparator" w:id="0">
    <w:p w14:paraId="3E6BC86C" w14:textId="77777777" w:rsidR="00B74C67" w:rsidRDefault="00B74C67" w:rsidP="008A1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5CC11" w14:textId="77777777" w:rsidR="00B74C67" w:rsidRDefault="00B74C67" w:rsidP="008A13F9">
      <w:pPr>
        <w:spacing w:after="0" w:line="240" w:lineRule="auto"/>
      </w:pPr>
      <w:r>
        <w:separator/>
      </w:r>
    </w:p>
  </w:footnote>
  <w:footnote w:type="continuationSeparator" w:id="0">
    <w:p w14:paraId="5148C64A" w14:textId="77777777" w:rsidR="00B74C67" w:rsidRDefault="00B74C67" w:rsidP="008A13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757EB"/>
    <w:multiLevelType w:val="hybridMultilevel"/>
    <w:tmpl w:val="238640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C8D7564"/>
    <w:multiLevelType w:val="multilevel"/>
    <w:tmpl w:val="0E54FC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88621132">
    <w:abstractNumId w:val="1"/>
  </w:num>
  <w:num w:numId="2" w16cid:durableId="771780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97E"/>
    <w:rsid w:val="000037C7"/>
    <w:rsid w:val="001B62FB"/>
    <w:rsid w:val="001D1944"/>
    <w:rsid w:val="001D2C09"/>
    <w:rsid w:val="002917B3"/>
    <w:rsid w:val="002A427B"/>
    <w:rsid w:val="002B2AF6"/>
    <w:rsid w:val="002F0CA6"/>
    <w:rsid w:val="002F6885"/>
    <w:rsid w:val="00315A17"/>
    <w:rsid w:val="003B5E36"/>
    <w:rsid w:val="003D7779"/>
    <w:rsid w:val="003E092A"/>
    <w:rsid w:val="00421AF0"/>
    <w:rsid w:val="004747BD"/>
    <w:rsid w:val="00536F89"/>
    <w:rsid w:val="00570042"/>
    <w:rsid w:val="005C39B6"/>
    <w:rsid w:val="0062396F"/>
    <w:rsid w:val="006414FB"/>
    <w:rsid w:val="0067197E"/>
    <w:rsid w:val="00693143"/>
    <w:rsid w:val="007320BD"/>
    <w:rsid w:val="0077475A"/>
    <w:rsid w:val="007A3D3F"/>
    <w:rsid w:val="00842873"/>
    <w:rsid w:val="008579D3"/>
    <w:rsid w:val="008A13F9"/>
    <w:rsid w:val="008B64CF"/>
    <w:rsid w:val="009518E1"/>
    <w:rsid w:val="00962397"/>
    <w:rsid w:val="00974EE9"/>
    <w:rsid w:val="00994A71"/>
    <w:rsid w:val="00A11455"/>
    <w:rsid w:val="00A21345"/>
    <w:rsid w:val="00A500FE"/>
    <w:rsid w:val="00AB78A1"/>
    <w:rsid w:val="00AC0C04"/>
    <w:rsid w:val="00B74C67"/>
    <w:rsid w:val="00B86D27"/>
    <w:rsid w:val="00B91D81"/>
    <w:rsid w:val="00BB46FE"/>
    <w:rsid w:val="00C64462"/>
    <w:rsid w:val="00C8694F"/>
    <w:rsid w:val="00CC4C65"/>
    <w:rsid w:val="00CF5266"/>
    <w:rsid w:val="00D444EE"/>
    <w:rsid w:val="00D5035B"/>
    <w:rsid w:val="00D62F6A"/>
    <w:rsid w:val="00DC76F7"/>
    <w:rsid w:val="00DD2B50"/>
    <w:rsid w:val="00E41C0C"/>
    <w:rsid w:val="00E64308"/>
    <w:rsid w:val="00EA7BA9"/>
    <w:rsid w:val="00EB6FD1"/>
    <w:rsid w:val="00EC4616"/>
    <w:rsid w:val="00F44987"/>
    <w:rsid w:val="00FC5E1C"/>
    <w:rsid w:val="00FD39E9"/>
    <w:rsid w:val="00FD6FD7"/>
    <w:rsid w:val="00FD7E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63B68"/>
  <w15:docId w15:val="{F34A35C6-2417-4A47-A747-5812126B5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after="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259" w:lineRule="auto"/>
      <w:outlineLvl w:val="0"/>
    </w:pPr>
    <w:rPr>
      <w:b/>
      <w:color w:val="000000"/>
    </w:rPr>
  </w:style>
  <w:style w:type="paragraph" w:styleId="Heading2">
    <w:name w:val="heading 2"/>
    <w:basedOn w:val="Normal"/>
    <w:next w:val="Normal"/>
    <w:uiPriority w:val="9"/>
    <w:unhideWhenUsed/>
    <w:qFormat/>
    <w:pPr>
      <w:keepNext/>
      <w:keepLines/>
      <w:spacing w:before="40" w:after="0" w:line="259" w:lineRule="auto"/>
      <w:outlineLvl w:val="1"/>
    </w:pPr>
    <w:rPr>
      <w:b/>
      <w:color w:val="000000"/>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outlineLvl w:val="3"/>
    </w:pPr>
    <w:rPr>
      <w:b/>
    </w:rPr>
  </w:style>
  <w:style w:type="paragraph" w:styleId="Heading5">
    <w:name w:val="heading 5"/>
    <w:basedOn w:val="Normal"/>
    <w:next w:val="Normal"/>
    <w:uiPriority w:val="9"/>
    <w:semiHidden/>
    <w:unhideWhenUsed/>
    <w:qFormat/>
    <w:pPr>
      <w:keepNext/>
      <w:keepLines/>
      <w:spacing w:before="220"/>
      <w:outlineLvl w:val="4"/>
    </w:pPr>
    <w:rPr>
      <w:b/>
      <w:sz w:val="22"/>
      <w:szCs w:val="22"/>
    </w:rPr>
  </w:style>
  <w:style w:type="paragraph" w:styleId="Heading6">
    <w:name w:val="heading 6"/>
    <w:basedOn w:val="Normal"/>
    <w:next w:val="Normal"/>
    <w:uiPriority w:val="9"/>
    <w:semiHidden/>
    <w:unhideWhenUsed/>
    <w:qFormat/>
    <w:pPr>
      <w:keepNext/>
      <w:keepLines/>
      <w:spacing w:before="20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8A13F9"/>
    <w:pPr>
      <w:spacing w:after="100"/>
    </w:pPr>
  </w:style>
  <w:style w:type="paragraph" w:styleId="TOC2">
    <w:name w:val="toc 2"/>
    <w:basedOn w:val="Normal"/>
    <w:next w:val="Normal"/>
    <w:autoRedefine/>
    <w:uiPriority w:val="39"/>
    <w:unhideWhenUsed/>
    <w:rsid w:val="008A13F9"/>
    <w:pPr>
      <w:spacing w:after="100"/>
      <w:ind w:left="240"/>
    </w:pPr>
  </w:style>
  <w:style w:type="character" w:styleId="Hyperlink">
    <w:name w:val="Hyperlink"/>
    <w:basedOn w:val="DefaultParagraphFont"/>
    <w:uiPriority w:val="99"/>
    <w:unhideWhenUsed/>
    <w:rsid w:val="008A13F9"/>
    <w:rPr>
      <w:color w:val="0000FF" w:themeColor="hyperlink"/>
      <w:u w:val="single"/>
    </w:rPr>
  </w:style>
  <w:style w:type="paragraph" w:styleId="Header">
    <w:name w:val="header"/>
    <w:basedOn w:val="Normal"/>
    <w:link w:val="HeaderChar"/>
    <w:uiPriority w:val="99"/>
    <w:unhideWhenUsed/>
    <w:rsid w:val="008A13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3F9"/>
  </w:style>
  <w:style w:type="paragraph" w:styleId="Footer">
    <w:name w:val="footer"/>
    <w:basedOn w:val="Normal"/>
    <w:link w:val="FooterChar"/>
    <w:uiPriority w:val="99"/>
    <w:unhideWhenUsed/>
    <w:rsid w:val="008A13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3F9"/>
  </w:style>
  <w:style w:type="paragraph" w:styleId="ListParagraph">
    <w:name w:val="List Paragraph"/>
    <w:basedOn w:val="Normal"/>
    <w:uiPriority w:val="34"/>
    <w:qFormat/>
    <w:rsid w:val="005700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13</Pages>
  <Words>2912</Words>
  <Characters>16603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Sai Kiran Reddy</cp:lastModifiedBy>
  <cp:revision>38</cp:revision>
  <dcterms:created xsi:type="dcterms:W3CDTF">2022-08-25T06:58:00Z</dcterms:created>
  <dcterms:modified xsi:type="dcterms:W3CDTF">2022-09-09T00:02:00Z</dcterms:modified>
</cp:coreProperties>
</file>