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5127FB88" w14:textId="77777777" w:rsidR="009F62B9" w:rsidRDefault="009F62B9" w:rsidP="009F62B9">
      <w:pPr>
        <w:jc w:val="center"/>
        <w:rPr>
          <w:b/>
          <w:sz w:val="32"/>
          <w:szCs w:val="32"/>
        </w:rPr>
      </w:pPr>
    </w:p>
    <w:p w14:paraId="05E96827" w14:textId="77777777" w:rsidR="009F62B9" w:rsidRDefault="009F62B9" w:rsidP="009F62B9">
      <w:pPr>
        <w:jc w:val="center"/>
        <w:rPr>
          <w:b/>
          <w:sz w:val="32"/>
          <w:szCs w:val="32"/>
        </w:rPr>
      </w:pPr>
    </w:p>
    <w:p w14:paraId="664D482D" w14:textId="77777777" w:rsidR="009F62B9" w:rsidRDefault="009F62B9" w:rsidP="009F62B9">
      <w:pPr>
        <w:jc w:val="center"/>
        <w:rPr>
          <w:b/>
          <w:sz w:val="32"/>
          <w:szCs w:val="32"/>
        </w:rPr>
      </w:pPr>
    </w:p>
    <w:p w14:paraId="3DD6E667" w14:textId="77777777" w:rsidR="009F62B9" w:rsidRDefault="009F62B9" w:rsidP="009F62B9">
      <w:pPr>
        <w:jc w:val="center"/>
        <w:rPr>
          <w:b/>
          <w:sz w:val="32"/>
          <w:szCs w:val="32"/>
        </w:rPr>
      </w:pPr>
    </w:p>
    <w:p w14:paraId="7851C126" w14:textId="77777777" w:rsidR="009F62B9" w:rsidRDefault="009F62B9" w:rsidP="009F62B9">
      <w:pPr>
        <w:jc w:val="center"/>
        <w:rPr>
          <w:b/>
          <w:sz w:val="32"/>
          <w:szCs w:val="32"/>
        </w:rPr>
      </w:pPr>
    </w:p>
    <w:p w14:paraId="736BD6CC" w14:textId="77FDADDE" w:rsidR="009F62B9" w:rsidRDefault="00F64966" w:rsidP="009F62B9">
      <w:pPr>
        <w:jc w:val="center"/>
        <w:rPr>
          <w:b/>
          <w:sz w:val="32"/>
          <w:szCs w:val="32"/>
        </w:rPr>
      </w:pPr>
      <w:r>
        <w:rPr>
          <w:b/>
          <w:sz w:val="32"/>
          <w:szCs w:val="32"/>
        </w:rPr>
        <w:t>UNIVERSITY OF WALES TRINITY SAINT DAVID</w:t>
      </w:r>
    </w:p>
    <w:p w14:paraId="0B1C4407" w14:textId="77777777" w:rsidR="009F62B9" w:rsidRDefault="009F62B9" w:rsidP="009F62B9">
      <w:pPr>
        <w:jc w:val="center"/>
        <w:rPr>
          <w:b/>
          <w:sz w:val="32"/>
          <w:szCs w:val="32"/>
        </w:rPr>
      </w:pPr>
    </w:p>
    <w:p w14:paraId="50151569" w14:textId="77777777" w:rsidR="009F62B9" w:rsidRPr="00967BB9" w:rsidRDefault="009F62B9" w:rsidP="009F62B9">
      <w:pPr>
        <w:jc w:val="center"/>
        <w:rPr>
          <w:b/>
          <w:sz w:val="32"/>
          <w:szCs w:val="32"/>
        </w:rPr>
      </w:pPr>
      <w:r w:rsidRPr="00967BB9">
        <w:rPr>
          <w:b/>
          <w:sz w:val="32"/>
          <w:szCs w:val="32"/>
        </w:rPr>
        <w:t>“International Financial Management”</w:t>
      </w:r>
    </w:p>
    <w:p w14:paraId="7268D527" w14:textId="77777777" w:rsidR="00F64966" w:rsidRDefault="009F62B9" w:rsidP="00F64966">
      <w:pPr>
        <w:pBdr>
          <w:bottom w:val="single" w:sz="4" w:space="3" w:color="auto"/>
        </w:pBdr>
        <w:jc w:val="center"/>
        <w:rPr>
          <w:b/>
          <w:sz w:val="32"/>
          <w:szCs w:val="32"/>
        </w:rPr>
      </w:pPr>
      <w:r w:rsidRPr="00967BB9">
        <w:rPr>
          <w:b/>
          <w:sz w:val="32"/>
          <w:szCs w:val="32"/>
        </w:rPr>
        <w:t>Assessment 1</w:t>
      </w:r>
    </w:p>
    <w:p w14:paraId="60ED0AC2" w14:textId="4CF3FE6F" w:rsidR="00F64966" w:rsidRDefault="00F64966" w:rsidP="00F64966">
      <w:pPr>
        <w:pBdr>
          <w:bottom w:val="single" w:sz="4" w:space="3" w:color="auto"/>
        </w:pBdr>
        <w:jc w:val="center"/>
        <w:rPr>
          <w:b/>
          <w:sz w:val="32"/>
          <w:szCs w:val="32"/>
        </w:rPr>
      </w:pPr>
      <w:r>
        <w:rPr>
          <w:b/>
          <w:sz w:val="32"/>
          <w:szCs w:val="32"/>
        </w:rPr>
        <w:t>Module Code: LCBB6002</w:t>
      </w:r>
    </w:p>
    <w:p w14:paraId="4527D096" w14:textId="77777777" w:rsidR="00F64966" w:rsidRDefault="00F64966" w:rsidP="00F64966">
      <w:pPr>
        <w:pBdr>
          <w:bottom w:val="single" w:sz="4" w:space="3" w:color="auto"/>
        </w:pBdr>
        <w:jc w:val="center"/>
        <w:rPr>
          <w:b/>
          <w:sz w:val="32"/>
          <w:szCs w:val="32"/>
        </w:rPr>
      </w:pPr>
    </w:p>
    <w:p w14:paraId="16089037" w14:textId="77777777" w:rsidR="00F64966" w:rsidRDefault="00F64966" w:rsidP="00F64966">
      <w:pPr>
        <w:pBdr>
          <w:bottom w:val="single" w:sz="4" w:space="3" w:color="auto"/>
        </w:pBdr>
        <w:jc w:val="center"/>
        <w:rPr>
          <w:b/>
          <w:sz w:val="32"/>
          <w:szCs w:val="32"/>
        </w:rPr>
      </w:pPr>
    </w:p>
    <w:p w14:paraId="20040F16" w14:textId="77777777" w:rsidR="00F64966" w:rsidRDefault="00F64966" w:rsidP="00F64966">
      <w:pPr>
        <w:pBdr>
          <w:bottom w:val="single" w:sz="4" w:space="3" w:color="auto"/>
        </w:pBdr>
        <w:jc w:val="center"/>
        <w:rPr>
          <w:b/>
          <w:sz w:val="32"/>
          <w:szCs w:val="32"/>
        </w:rPr>
      </w:pPr>
    </w:p>
    <w:p w14:paraId="26FF09BF" w14:textId="77777777" w:rsidR="00F64966" w:rsidRDefault="00F64966" w:rsidP="00F64966">
      <w:pPr>
        <w:pBdr>
          <w:bottom w:val="single" w:sz="4" w:space="3" w:color="auto"/>
        </w:pBdr>
        <w:jc w:val="center"/>
        <w:rPr>
          <w:b/>
          <w:sz w:val="32"/>
          <w:szCs w:val="32"/>
        </w:rPr>
      </w:pPr>
    </w:p>
    <w:p w14:paraId="3B427F51" w14:textId="77777777" w:rsidR="00F64966" w:rsidRDefault="00F64966" w:rsidP="00F64966">
      <w:pPr>
        <w:pBdr>
          <w:bottom w:val="single" w:sz="4" w:space="3" w:color="auto"/>
        </w:pBdr>
        <w:jc w:val="center"/>
        <w:rPr>
          <w:b/>
          <w:sz w:val="32"/>
          <w:szCs w:val="32"/>
        </w:rPr>
      </w:pPr>
    </w:p>
    <w:p w14:paraId="0A890D2B" w14:textId="77777777" w:rsidR="00F64966" w:rsidRDefault="00F64966" w:rsidP="00F64966">
      <w:pPr>
        <w:pBdr>
          <w:bottom w:val="single" w:sz="4" w:space="3" w:color="auto"/>
        </w:pBdr>
        <w:jc w:val="center"/>
        <w:rPr>
          <w:b/>
          <w:sz w:val="32"/>
          <w:szCs w:val="32"/>
        </w:rPr>
      </w:pPr>
    </w:p>
    <w:p w14:paraId="71D969AE" w14:textId="77777777" w:rsidR="00F64966" w:rsidRDefault="00F64966" w:rsidP="00F64966">
      <w:pPr>
        <w:pBdr>
          <w:bottom w:val="single" w:sz="4" w:space="3" w:color="auto"/>
        </w:pBdr>
        <w:jc w:val="center"/>
        <w:rPr>
          <w:b/>
          <w:sz w:val="32"/>
          <w:szCs w:val="32"/>
        </w:rPr>
      </w:pPr>
    </w:p>
    <w:p w14:paraId="021CAF0D" w14:textId="77777777" w:rsidR="00F64966" w:rsidRDefault="00F64966" w:rsidP="00F64966">
      <w:pPr>
        <w:pBdr>
          <w:bottom w:val="single" w:sz="4" w:space="3" w:color="auto"/>
        </w:pBdr>
        <w:jc w:val="center"/>
        <w:rPr>
          <w:b/>
          <w:sz w:val="32"/>
          <w:szCs w:val="32"/>
        </w:rPr>
      </w:pPr>
    </w:p>
    <w:p w14:paraId="3C68D0B2" w14:textId="77777777" w:rsidR="00F64966" w:rsidRDefault="00F64966" w:rsidP="00F64966">
      <w:pPr>
        <w:pBdr>
          <w:bottom w:val="single" w:sz="4" w:space="3" w:color="auto"/>
        </w:pBdr>
        <w:jc w:val="center"/>
        <w:rPr>
          <w:b/>
          <w:sz w:val="32"/>
          <w:szCs w:val="32"/>
        </w:rPr>
      </w:pPr>
      <w:r>
        <w:rPr>
          <w:b/>
          <w:sz w:val="32"/>
          <w:szCs w:val="32"/>
        </w:rPr>
        <w:t>Student Name: Hagiu Maria</w:t>
      </w:r>
    </w:p>
    <w:p w14:paraId="1BF7F354" w14:textId="17E99BD3" w:rsidR="00F64966" w:rsidRDefault="00F64966" w:rsidP="00F64966">
      <w:pPr>
        <w:pBdr>
          <w:bottom w:val="single" w:sz="4" w:space="3" w:color="auto"/>
        </w:pBdr>
        <w:jc w:val="center"/>
        <w:rPr>
          <w:b/>
          <w:sz w:val="32"/>
          <w:szCs w:val="32"/>
        </w:rPr>
      </w:pPr>
      <w:r>
        <w:rPr>
          <w:b/>
          <w:sz w:val="32"/>
          <w:szCs w:val="32"/>
        </w:rPr>
        <w:t>Student ID: 2024157</w:t>
      </w:r>
    </w:p>
    <w:p w14:paraId="7208D6F5" w14:textId="2A02CFDE" w:rsidR="00F64966" w:rsidRDefault="00F64966" w:rsidP="00F64966">
      <w:pPr>
        <w:pBdr>
          <w:bottom w:val="single" w:sz="4" w:space="3" w:color="auto"/>
        </w:pBdr>
        <w:jc w:val="center"/>
        <w:rPr>
          <w:b/>
          <w:sz w:val="32"/>
          <w:szCs w:val="32"/>
        </w:rPr>
      </w:pPr>
      <w:r>
        <w:rPr>
          <w:b/>
          <w:sz w:val="32"/>
          <w:szCs w:val="32"/>
        </w:rPr>
        <w:t>APRIL 2023</w:t>
      </w:r>
    </w:p>
    <w:p w14:paraId="5712BAD6" w14:textId="77777777" w:rsidR="00F64966" w:rsidRDefault="00F64966" w:rsidP="00F64966">
      <w:pPr>
        <w:pBdr>
          <w:bottom w:val="single" w:sz="4" w:space="3" w:color="auto"/>
        </w:pBdr>
        <w:jc w:val="center"/>
        <w:rPr>
          <w:b/>
          <w:sz w:val="32"/>
          <w:szCs w:val="32"/>
        </w:rPr>
      </w:pPr>
    </w:p>
    <w:p w14:paraId="25947532" w14:textId="1C1B1C20" w:rsidR="009F62B9" w:rsidRDefault="009F62B9" w:rsidP="00F64966">
      <w:pPr>
        <w:pBdr>
          <w:bottom w:val="single" w:sz="4" w:space="3" w:color="auto"/>
        </w:pBdr>
        <w:jc w:val="center"/>
        <w:rPr>
          <w:b/>
        </w:rPr>
      </w:pPr>
      <w:r>
        <w:rPr>
          <w:b/>
        </w:rPr>
        <w:br w:type="page"/>
      </w:r>
    </w:p>
    <w:sdt>
      <w:sdtPr>
        <w:rPr>
          <w:rFonts w:ascii="Times New Roman" w:eastAsia="Times New Roman" w:hAnsi="Times New Roman" w:cs="Times New Roman"/>
          <w:b w:val="0"/>
          <w:bCs w:val="0"/>
          <w:color w:val="auto"/>
          <w:sz w:val="24"/>
          <w:szCs w:val="24"/>
          <w:lang w:val="en-GB" w:eastAsia="en-IN"/>
        </w:rPr>
        <w:id w:val="1550657917"/>
        <w:docPartObj>
          <w:docPartGallery w:val="Table of Contents"/>
          <w:docPartUnique/>
        </w:docPartObj>
      </w:sdtPr>
      <w:sdtEndPr>
        <w:rPr>
          <w:noProof/>
        </w:rPr>
      </w:sdtEndPr>
      <w:sdtContent>
        <w:p w14:paraId="1CEDAAFD" w14:textId="0CF8573B" w:rsidR="009F62B9" w:rsidRPr="009F62B9" w:rsidRDefault="009F62B9" w:rsidP="009F62B9">
          <w:pPr>
            <w:pStyle w:val="TOCHeading"/>
            <w:jc w:val="center"/>
            <w:rPr>
              <w:rFonts w:ascii="Times New Roman" w:hAnsi="Times New Roman" w:cs="Times New Roman"/>
              <w:color w:val="000000" w:themeColor="text1"/>
            </w:rPr>
          </w:pPr>
          <w:r w:rsidRPr="009F62B9">
            <w:rPr>
              <w:rFonts w:ascii="Times New Roman" w:hAnsi="Times New Roman" w:cs="Times New Roman"/>
              <w:color w:val="000000" w:themeColor="text1"/>
            </w:rPr>
            <w:t>Table of Contents</w:t>
          </w:r>
        </w:p>
        <w:p w14:paraId="0656FDE8" w14:textId="77777777" w:rsidR="009F62B9" w:rsidRDefault="009F62B9">
          <w:pPr>
            <w:pStyle w:val="TOC1"/>
            <w:tabs>
              <w:tab w:val="right" w:leader="dot" w:pos="9016"/>
            </w:tabs>
            <w:rPr>
              <w:noProof/>
            </w:rPr>
          </w:pPr>
          <w:r>
            <w:fldChar w:fldCharType="begin"/>
          </w:r>
          <w:r>
            <w:instrText xml:space="preserve"> TOC \o "1-3" \h \z \u </w:instrText>
          </w:r>
          <w:r>
            <w:fldChar w:fldCharType="separate"/>
          </w:r>
          <w:hyperlink w:anchor="_Toc131444599" w:history="1">
            <w:r w:rsidRPr="00B45460">
              <w:rPr>
                <w:rStyle w:val="Hyperlink"/>
                <w:noProof/>
              </w:rPr>
              <w:t>Introduction</w:t>
            </w:r>
            <w:r>
              <w:rPr>
                <w:noProof/>
                <w:webHidden/>
              </w:rPr>
              <w:tab/>
            </w:r>
            <w:r>
              <w:rPr>
                <w:noProof/>
                <w:webHidden/>
              </w:rPr>
              <w:fldChar w:fldCharType="begin"/>
            </w:r>
            <w:r>
              <w:rPr>
                <w:noProof/>
                <w:webHidden/>
              </w:rPr>
              <w:instrText xml:space="preserve"> PAGEREF _Toc131444599 \h </w:instrText>
            </w:r>
            <w:r>
              <w:rPr>
                <w:noProof/>
                <w:webHidden/>
              </w:rPr>
            </w:r>
            <w:r>
              <w:rPr>
                <w:noProof/>
                <w:webHidden/>
              </w:rPr>
              <w:fldChar w:fldCharType="separate"/>
            </w:r>
            <w:r>
              <w:rPr>
                <w:noProof/>
                <w:webHidden/>
              </w:rPr>
              <w:t>3</w:t>
            </w:r>
            <w:r>
              <w:rPr>
                <w:noProof/>
                <w:webHidden/>
              </w:rPr>
              <w:fldChar w:fldCharType="end"/>
            </w:r>
          </w:hyperlink>
        </w:p>
        <w:p w14:paraId="525754D8" w14:textId="77777777" w:rsidR="009F62B9" w:rsidRDefault="00000000">
          <w:pPr>
            <w:pStyle w:val="TOC1"/>
            <w:tabs>
              <w:tab w:val="right" w:leader="dot" w:pos="9016"/>
            </w:tabs>
            <w:rPr>
              <w:noProof/>
            </w:rPr>
          </w:pPr>
          <w:hyperlink w:anchor="_Toc131444600" w:history="1">
            <w:r w:rsidR="009F62B9" w:rsidRPr="00B45460">
              <w:rPr>
                <w:rStyle w:val="Hyperlink"/>
                <w:noProof/>
              </w:rPr>
              <w:t>Main Body</w:t>
            </w:r>
            <w:r w:rsidR="009F62B9">
              <w:rPr>
                <w:noProof/>
                <w:webHidden/>
              </w:rPr>
              <w:tab/>
            </w:r>
            <w:r w:rsidR="009F62B9">
              <w:rPr>
                <w:noProof/>
                <w:webHidden/>
              </w:rPr>
              <w:fldChar w:fldCharType="begin"/>
            </w:r>
            <w:r w:rsidR="009F62B9">
              <w:rPr>
                <w:noProof/>
                <w:webHidden/>
              </w:rPr>
              <w:instrText xml:space="preserve"> PAGEREF _Toc131444600 \h </w:instrText>
            </w:r>
            <w:r w:rsidR="009F62B9">
              <w:rPr>
                <w:noProof/>
                <w:webHidden/>
              </w:rPr>
            </w:r>
            <w:r w:rsidR="009F62B9">
              <w:rPr>
                <w:noProof/>
                <w:webHidden/>
              </w:rPr>
              <w:fldChar w:fldCharType="separate"/>
            </w:r>
            <w:r w:rsidR="009F62B9">
              <w:rPr>
                <w:noProof/>
                <w:webHidden/>
              </w:rPr>
              <w:t>3</w:t>
            </w:r>
            <w:r w:rsidR="009F62B9">
              <w:rPr>
                <w:noProof/>
                <w:webHidden/>
              </w:rPr>
              <w:fldChar w:fldCharType="end"/>
            </w:r>
          </w:hyperlink>
        </w:p>
        <w:p w14:paraId="7B5EB8B5" w14:textId="77777777" w:rsidR="009F62B9" w:rsidRDefault="00000000">
          <w:pPr>
            <w:pStyle w:val="TOC1"/>
            <w:tabs>
              <w:tab w:val="right" w:leader="dot" w:pos="9016"/>
            </w:tabs>
            <w:rPr>
              <w:noProof/>
            </w:rPr>
          </w:pPr>
          <w:hyperlink w:anchor="_Toc131444601" w:history="1">
            <w:r w:rsidR="009F62B9" w:rsidRPr="00B45460">
              <w:rPr>
                <w:rStyle w:val="Hyperlink"/>
                <w:noProof/>
              </w:rPr>
              <w:t>Conclusions</w:t>
            </w:r>
            <w:r w:rsidR="009F62B9">
              <w:rPr>
                <w:noProof/>
                <w:webHidden/>
              </w:rPr>
              <w:tab/>
            </w:r>
            <w:r w:rsidR="009F62B9">
              <w:rPr>
                <w:noProof/>
                <w:webHidden/>
              </w:rPr>
              <w:fldChar w:fldCharType="begin"/>
            </w:r>
            <w:r w:rsidR="009F62B9">
              <w:rPr>
                <w:noProof/>
                <w:webHidden/>
              </w:rPr>
              <w:instrText xml:space="preserve"> PAGEREF _Toc131444601 \h </w:instrText>
            </w:r>
            <w:r w:rsidR="009F62B9">
              <w:rPr>
                <w:noProof/>
                <w:webHidden/>
              </w:rPr>
            </w:r>
            <w:r w:rsidR="009F62B9">
              <w:rPr>
                <w:noProof/>
                <w:webHidden/>
              </w:rPr>
              <w:fldChar w:fldCharType="separate"/>
            </w:r>
            <w:r w:rsidR="009F62B9">
              <w:rPr>
                <w:noProof/>
                <w:webHidden/>
              </w:rPr>
              <w:t>6</w:t>
            </w:r>
            <w:r w:rsidR="009F62B9">
              <w:rPr>
                <w:noProof/>
                <w:webHidden/>
              </w:rPr>
              <w:fldChar w:fldCharType="end"/>
            </w:r>
          </w:hyperlink>
        </w:p>
        <w:p w14:paraId="7BE0FA93" w14:textId="77777777" w:rsidR="009F62B9" w:rsidRDefault="00000000">
          <w:pPr>
            <w:pStyle w:val="TOC1"/>
            <w:tabs>
              <w:tab w:val="right" w:leader="dot" w:pos="9016"/>
            </w:tabs>
            <w:rPr>
              <w:noProof/>
            </w:rPr>
          </w:pPr>
          <w:hyperlink w:anchor="_Toc131444602" w:history="1">
            <w:r w:rsidR="009F62B9" w:rsidRPr="00B45460">
              <w:rPr>
                <w:rStyle w:val="Hyperlink"/>
                <w:noProof/>
              </w:rPr>
              <w:t>References</w:t>
            </w:r>
            <w:r w:rsidR="009F62B9">
              <w:rPr>
                <w:noProof/>
                <w:webHidden/>
              </w:rPr>
              <w:tab/>
            </w:r>
            <w:r w:rsidR="009F62B9">
              <w:rPr>
                <w:noProof/>
                <w:webHidden/>
              </w:rPr>
              <w:fldChar w:fldCharType="begin"/>
            </w:r>
            <w:r w:rsidR="009F62B9">
              <w:rPr>
                <w:noProof/>
                <w:webHidden/>
              </w:rPr>
              <w:instrText xml:space="preserve"> PAGEREF _Toc131444602 \h </w:instrText>
            </w:r>
            <w:r w:rsidR="009F62B9">
              <w:rPr>
                <w:noProof/>
                <w:webHidden/>
              </w:rPr>
            </w:r>
            <w:r w:rsidR="009F62B9">
              <w:rPr>
                <w:noProof/>
                <w:webHidden/>
              </w:rPr>
              <w:fldChar w:fldCharType="separate"/>
            </w:r>
            <w:r w:rsidR="009F62B9">
              <w:rPr>
                <w:noProof/>
                <w:webHidden/>
              </w:rPr>
              <w:t>7</w:t>
            </w:r>
            <w:r w:rsidR="009F62B9">
              <w:rPr>
                <w:noProof/>
                <w:webHidden/>
              </w:rPr>
              <w:fldChar w:fldCharType="end"/>
            </w:r>
          </w:hyperlink>
        </w:p>
        <w:p w14:paraId="64C57CAE" w14:textId="00F9DF4E" w:rsidR="009F62B9" w:rsidRDefault="009F62B9">
          <w:r>
            <w:rPr>
              <w:b/>
              <w:bCs/>
              <w:noProof/>
            </w:rPr>
            <w:fldChar w:fldCharType="end"/>
          </w:r>
        </w:p>
      </w:sdtContent>
    </w:sdt>
    <w:p w14:paraId="5AE82A43" w14:textId="77777777" w:rsidR="009F62B9" w:rsidRDefault="009F62B9">
      <w:pPr>
        <w:rPr>
          <w:b/>
        </w:rPr>
      </w:pPr>
      <w:r>
        <w:rPr>
          <w:b/>
        </w:rPr>
        <w:br w:type="page"/>
      </w:r>
    </w:p>
    <w:p w14:paraId="00000001" w14:textId="4B60C812" w:rsidR="00B27E6E" w:rsidRDefault="00B4283B" w:rsidP="009F62B9">
      <w:pPr>
        <w:pStyle w:val="Heading1"/>
      </w:pPr>
      <w:bookmarkStart w:id="0" w:name="_Toc131444599"/>
      <w:r>
        <w:lastRenderedPageBreak/>
        <w:t>Introduction</w:t>
      </w:r>
      <w:bookmarkEnd w:id="0"/>
      <w:r>
        <w:t xml:space="preserve"> </w:t>
      </w:r>
    </w:p>
    <w:p w14:paraId="00000002" w14:textId="77777777" w:rsidR="00B27E6E" w:rsidRDefault="00B4283B">
      <w:r>
        <w:t xml:space="preserve">The primary involvement of Financial Management is recognised as an integral part of every individual company with the successful implementation of which proper financial growth and competency can be balanced. In this essay general discussions related to the application of different financial management aspects over the business of Shell PLC have been provided which is recognised as a well-known company in the energy industry. </w:t>
      </w:r>
    </w:p>
    <w:p w14:paraId="00000003" w14:textId="77777777" w:rsidR="00B27E6E" w:rsidRDefault="00B4283B">
      <w:r>
        <w:t xml:space="preserve">This Organisation is mainly recognised as a multinational oil and gas company which is operated in more than 70 countries. It has a strong innovation approach and energy production processing with initiating sustainability and environmental responsibility. One of the key areas of development and the engagement of financial management in this business is related to financial planning and analysis which is initiated to develop the robust approach to financial development and some of the accurate formulations of accounting engagement in this business. </w:t>
      </w:r>
    </w:p>
    <w:p w14:paraId="00000004" w14:textId="77777777" w:rsidR="00B27E6E" w:rsidRDefault="00B4283B" w:rsidP="009F62B9">
      <w:pPr>
        <w:pStyle w:val="Heading1"/>
      </w:pPr>
      <w:bookmarkStart w:id="1" w:name="_Toc131444600"/>
      <w:r>
        <w:t>Main Body</w:t>
      </w:r>
      <w:bookmarkEnd w:id="1"/>
      <w:r>
        <w:t xml:space="preserve"> </w:t>
      </w:r>
    </w:p>
    <w:p w14:paraId="00000005" w14:textId="19CF4650" w:rsidR="00B27E6E" w:rsidRDefault="00B4283B">
      <w:r>
        <w:t>The Organisation Shell Plc was founded in 1907 wi</w:t>
      </w:r>
      <w:r w:rsidR="009F62B9">
        <w:t>th the amalgamated support of “t</w:t>
      </w:r>
      <w:r>
        <w:t xml:space="preserve">he Royal Dutch Petroleum Company of the Netherlands and the Shell Transport and Trading Company of the United Kingdom”. Depending on the financial details in the present period the organisation gained revenue of $261,504 million with a net income of $20,101 million. As per the present market position the organisation consisted of a market capitalization value of $202,699 billion a strong level of beta with low risks assessment support around 0.68 (Shell, 2021). The current price-earnings ratio of the business is 5.06 which </w:t>
      </w:r>
      <w:r w:rsidR="009F62B9">
        <w:t>indicate</w:t>
      </w:r>
      <w:r>
        <w:t xml:space="preserve"> comparatively sustainable financial stability. In 2022, </w:t>
      </w:r>
      <w:r w:rsidR="009F62B9">
        <w:t>with</w:t>
      </w:r>
      <w:r>
        <w:t xml:space="preserve"> the primary intention of business formulated development, the organisation mainly acquired the share of “Nature Energy Biogas A/S (Nature Energy) by contributing around USD 2 billion (€ 1.9 billion)” which initiates an optimised operating progress support (Shell Annual Report, 2022). </w:t>
      </w:r>
    </w:p>
    <w:p w14:paraId="00000006" w14:textId="6BAC8A73" w:rsidR="00B27E6E" w:rsidRDefault="00B4283B">
      <w:pPr>
        <w:rPr>
          <w:color w:val="222222"/>
          <w:highlight w:val="white"/>
        </w:rPr>
      </w:pPr>
      <w:r>
        <w:t xml:space="preserve">According to </w:t>
      </w:r>
      <w:r>
        <w:rPr>
          <w:color w:val="222222"/>
          <w:highlight w:val="white"/>
        </w:rPr>
        <w:t xml:space="preserve">Shim (2022), the general involvement of the Dividend approach is initiated as a distributary processing support of business profit among the shareholder on behalf of their capital contribution to the business. It is one type of constitution which is initiated by an organisation towards the shareholder to influence the market value and some of the basic returning support over their capital support. General involvement of dividend engagement associated with individual business is formulated with the appearances of some specific policy support which is applied to structure the </w:t>
      </w:r>
      <w:r w:rsidR="009F62B9">
        <w:rPr>
          <w:color w:val="222222"/>
          <w:highlight w:val="white"/>
        </w:rPr>
        <w:t>pay-out</w:t>
      </w:r>
      <w:r>
        <w:rPr>
          <w:color w:val="222222"/>
          <w:highlight w:val="white"/>
        </w:rPr>
        <w:t xml:space="preserve"> processing of business to the shareholder mainly (Alkaabi and Nobanee, 2019). A proper dividend policy support is </w:t>
      </w:r>
      <w:r>
        <w:rPr>
          <w:color w:val="222222"/>
          <w:highlight w:val="white"/>
        </w:rPr>
        <w:lastRenderedPageBreak/>
        <w:t xml:space="preserve">necessary for businesses to initiate some communication engagement and manage the financial health approach of business on a proper basis apart from balancing the Goodwill value as well.  The appearance of this type of engagement generally formulates the stock of demand in the market </w:t>
      </w:r>
      <w:proofErr w:type="gramStart"/>
      <w:r>
        <w:rPr>
          <w:color w:val="222222"/>
          <w:highlight w:val="white"/>
        </w:rPr>
        <w:t>and also</w:t>
      </w:r>
      <w:proofErr w:type="gramEnd"/>
      <w:r>
        <w:rPr>
          <w:color w:val="222222"/>
          <w:highlight w:val="white"/>
        </w:rPr>
        <w:t xml:space="preserve"> </w:t>
      </w:r>
      <w:r w:rsidR="009F62B9">
        <w:rPr>
          <w:color w:val="222222"/>
          <w:highlight w:val="white"/>
        </w:rPr>
        <w:t>precedes</w:t>
      </w:r>
      <w:r>
        <w:rPr>
          <w:color w:val="222222"/>
          <w:highlight w:val="white"/>
        </w:rPr>
        <w:t xml:space="preserve"> the formulated appearances to support financial stability that is progressive for the maintenance management. During the processing of this type of engagement, every business including Shell plc mainly initiated the engagement of the Going Concern accounting approach so that the feasibility level can be identified. Over this </w:t>
      </w:r>
      <w:proofErr w:type="gramStart"/>
      <w:r>
        <w:rPr>
          <w:color w:val="222222"/>
          <w:highlight w:val="white"/>
        </w:rPr>
        <w:t>particular identification</w:t>
      </w:r>
      <w:proofErr w:type="gramEnd"/>
      <w:r>
        <w:rPr>
          <w:color w:val="222222"/>
          <w:highlight w:val="white"/>
        </w:rPr>
        <w:t xml:space="preserve"> of regular Dividend policy is initiated which indicates dividend payment to the shareholder along with managing the retained earning level on a proper basis (Brigham and Houston, 2021). In the present situation, the management of the business has initiated the approach of dividend payment of around $0.24 per share basis including the engagement of a share buyback approach of $3.5 billion respectively. Compared to the previous year's structure the primary volume of business dividend growth is indicating around 4% on an annual basis with a proper dividend yield support which is optimised for the maintenance of business stability. The organisation provides significance to the intrinsic value of dividends in a proper order which is structured through “return cash to shareholders through a combination of dividends and share buybacks” on a proper basis. </w:t>
      </w:r>
    </w:p>
    <w:p w14:paraId="00000007" w14:textId="52F70731" w:rsidR="00B27E6E" w:rsidRDefault="00B4283B">
      <w:r>
        <w:t xml:space="preserve">According to Alkaabi and Nobanee (2019), the identified engagement of the Efficient Market Hypothesis (EMH) is a theoretical presence that mainly suggests that financial markets are “efficient” as such information is used to reflect all the necessary and available information and adjust instantaneously to new information. However, Brigham and Houston (2021), opined that the market is always </w:t>
      </w:r>
      <w:proofErr w:type="gramStart"/>
      <w:r>
        <w:t>fairly priced</w:t>
      </w:r>
      <w:proofErr w:type="gramEnd"/>
      <w:r>
        <w:t xml:space="preserve"> and any attempts to outperform the market are essentially futile. According to this identification, it is recognised that this theory indicates the financial market is made up of rational and profit maximisation participants who are seeking to get the advantages of any available information to make the trade profitable. With a proper availability of fair information about the general estimated processing regarding the profitability positions of business can be identified which will provide a proper volume of return for individual investors. As per the present market position the organisation consisted of a market capitalization value of $202,699 billion a strong level of beta with low risks assessment support around 0.68. The current price-earnings ratio of the business is 5.06 which </w:t>
      </w:r>
      <w:r w:rsidR="009F62B9">
        <w:t>indicate</w:t>
      </w:r>
      <w:r>
        <w:t xml:space="preserve"> comparatively sustainable financial stability. According to the present market position the primary volume of the share price related to this business is indicating the level of GBX 2,366.50 ($28.75), while in the last 50 days, it was GBX 2,354.95 and in the last 200 days around GBX 2,254.24 respectively (MarketBeat.com, 2022). </w:t>
      </w:r>
      <w:proofErr w:type="gramStart"/>
      <w:r>
        <w:t>Therefore</w:t>
      </w:r>
      <w:proofErr w:type="gramEnd"/>
      <w:r>
        <w:t xml:space="preserve"> a positive </w:t>
      </w:r>
      <w:r>
        <w:lastRenderedPageBreak/>
        <w:t>expansion of the share pricing position related to this particular business is identified which indicates a proper volume of returning support as well as a cash flow initiative approach mainly. According to the primary identification current initiative including productivity formulations and initiated project support are formulating a systematic volume of opportunity for this business to gain financial feasibility value on an effective basis. It also identified the optimised performances as well as the marketing capital structure of this business which is influential for the maintenance of effective returns to an individual shareholder (</w:t>
      </w:r>
      <w:r>
        <w:rPr>
          <w:color w:val="222222"/>
          <w:highlight w:val="white"/>
        </w:rPr>
        <w:t>Madura, 2020)</w:t>
      </w:r>
      <w:r>
        <w:t xml:space="preserve">. </w:t>
      </w:r>
    </w:p>
    <w:p w14:paraId="00000008" w14:textId="77777777" w:rsidR="00B27E6E" w:rsidRDefault="00B4283B">
      <w:pPr>
        <w:rPr>
          <w:b/>
        </w:rPr>
      </w:pPr>
      <w:r>
        <w:t xml:space="preserve">Under the presence of the Financial Management concept, the application of project evaluation is identified as investment appraisal processing. The concept of this </w:t>
      </w:r>
      <w:proofErr w:type="gramStart"/>
      <w:r>
        <w:t>particular analysis</w:t>
      </w:r>
      <w:proofErr w:type="gramEnd"/>
      <w:r>
        <w:t xml:space="preserve"> indicates the competency of an individual project can be evaluated through the basis of generated financial value from the project along with initiating the time value concern.  The appearance and formulation of this processing are essential to formulate compatibility value as well which is also noticed in the case of Shell plc mainly. In 2019, “the organisation Shell plc initiated an investment project named </w:t>
      </w:r>
      <w:r>
        <w:rPr>
          <w:b/>
        </w:rPr>
        <w:t xml:space="preserve">Appomattox </w:t>
      </w:r>
      <w:r>
        <w:t xml:space="preserve">with the initiative of which the organisation mainly intended to develop a deep-water oil and gas development project with the inclusion of a floating platform in the Gulf of Mexico” (Blackmon, 2023). This </w:t>
      </w:r>
      <w:proofErr w:type="gramStart"/>
      <w:r>
        <w:t>particular project</w:t>
      </w:r>
      <w:proofErr w:type="gramEnd"/>
      <w:r>
        <w:t xml:space="preserve"> initiated the engagement of around $600 million and the applied processing of net present value is mainly initiated for evaluating the project competency mainly. Identifying the presence of nitrogen value is considered one of the primary methods of investment appraisal under which the appearance of the time value of money has been initiated to measure the competency of cash flow generating capability of the project mainly. The identification of this </w:t>
      </w:r>
      <w:proofErr w:type="gramStart"/>
      <w:r>
        <w:t>particular project</w:t>
      </w:r>
      <w:proofErr w:type="gramEnd"/>
      <w:r>
        <w:t xml:space="preserve"> through the presence of this analysis can easily identify the opportunity costing structure including the return of project efficiency properly which is influential for the development and compatibility purpose. The appearance of this </w:t>
      </w:r>
      <w:proofErr w:type="gramStart"/>
      <w:r>
        <w:t>particular project</w:t>
      </w:r>
      <w:proofErr w:type="gramEnd"/>
      <w:r>
        <w:t xml:space="preserve"> can also be maintained in this business to identify the sunk cost processing and also evaluate the competency structure on a more effective basis which optimises the feasibility position of the business project properly (</w:t>
      </w:r>
      <w:r>
        <w:rPr>
          <w:color w:val="222222"/>
          <w:highlight w:val="white"/>
        </w:rPr>
        <w:t xml:space="preserve">Block </w:t>
      </w:r>
      <w:r>
        <w:rPr>
          <w:i/>
          <w:color w:val="222222"/>
          <w:highlight w:val="white"/>
        </w:rPr>
        <w:t xml:space="preserve">et al., </w:t>
      </w:r>
      <w:r>
        <w:rPr>
          <w:color w:val="222222"/>
          <w:highlight w:val="white"/>
        </w:rPr>
        <w:t>2018)</w:t>
      </w:r>
      <w:r>
        <w:t xml:space="preserve">. The environment of the internal rate of return concept is also noticed which is initiated for evaluating the project competency on behalf of returning support. The identified processing of this measurement is also necessary for the project to recognise the compatibility growth and sum of the optimised market positions as well so that the market capitalisation value and associated investment processing can be effectively balanced. The presence of this </w:t>
      </w:r>
      <w:proofErr w:type="gramStart"/>
      <w:r>
        <w:t>particular project</w:t>
      </w:r>
      <w:proofErr w:type="gramEnd"/>
      <w:r>
        <w:t xml:space="preserve"> is also indicating a proper opportunity related to product development mainly which is influential for </w:t>
      </w:r>
      <w:r>
        <w:lastRenderedPageBreak/>
        <w:t>the business revenue formulations as well as assignment impact over the market capitalisation approach (</w:t>
      </w:r>
      <w:r>
        <w:rPr>
          <w:color w:val="222222"/>
          <w:highlight w:val="white"/>
        </w:rPr>
        <w:t xml:space="preserve">Finkler </w:t>
      </w:r>
      <w:r>
        <w:rPr>
          <w:i/>
          <w:color w:val="222222"/>
          <w:highlight w:val="white"/>
        </w:rPr>
        <w:t>et al.,</w:t>
      </w:r>
      <w:r>
        <w:rPr>
          <w:color w:val="222222"/>
          <w:highlight w:val="white"/>
        </w:rPr>
        <w:t xml:space="preserve"> 2022)</w:t>
      </w:r>
      <w:r>
        <w:t xml:space="preserve">. Due to this </w:t>
      </w:r>
      <w:proofErr w:type="gramStart"/>
      <w:r>
        <w:t>particular project</w:t>
      </w:r>
      <w:proofErr w:type="gramEnd"/>
      <w:r>
        <w:t>, the present level of the beta of the business is also indicating a comparatively influential market to provide an effective volume of returning support to individual investors mainly. Associated with the same engagement at the present situation related to an additional project of this business named “</w:t>
      </w:r>
      <w:r>
        <w:rPr>
          <w:b/>
        </w:rPr>
        <w:t xml:space="preserve">Prelude Flng” </w:t>
      </w:r>
      <w:r>
        <w:t xml:space="preserve">is also formulated with the appearances of the net present value concept which is influential for the stability and other associated progressive reasons (Shell.com, 2022). </w:t>
      </w:r>
    </w:p>
    <w:p w14:paraId="00000009" w14:textId="77777777" w:rsidR="00B27E6E" w:rsidRDefault="00B4283B" w:rsidP="009F62B9">
      <w:pPr>
        <w:pStyle w:val="Heading1"/>
      </w:pPr>
      <w:bookmarkStart w:id="2" w:name="_Toc131444601"/>
      <w:r>
        <w:t>Conclusions</w:t>
      </w:r>
      <w:bookmarkEnd w:id="2"/>
      <w:r>
        <w:t xml:space="preserve"> </w:t>
      </w:r>
    </w:p>
    <w:p w14:paraId="0000000A" w14:textId="2CFD9B78" w:rsidR="00B27E6E" w:rsidRDefault="00B4283B">
      <w:r>
        <w:t xml:space="preserve">The identified presence of current dividend policies of this </w:t>
      </w:r>
      <w:proofErr w:type="gramStart"/>
      <w:r>
        <w:t>particular business</w:t>
      </w:r>
      <w:proofErr w:type="gramEnd"/>
      <w:r>
        <w:t xml:space="preserve"> is indicating a comparatively formulated accounting stability approach in the present scenario. Over this business, the applied dividend formulations including the engagement of market hypothesis theory initiated standardised value and </w:t>
      </w:r>
      <w:r w:rsidR="009F62B9">
        <w:t>compatibility</w:t>
      </w:r>
      <w:r>
        <w:t xml:space="preserve"> benefit mainly which is influential for market development. The present initiated project engagement and the applied structured appearances of this business also provide the opportunity for maintenance management in a proper order that is optimised for the business stability in future. Apart from that, the primary approach of risk management processing and the availability of working capital structure is one of the primary strengths of this business that need to be formulated in a robust financial planning support. </w:t>
      </w:r>
    </w:p>
    <w:p w14:paraId="18421048" w14:textId="39774AC9" w:rsidR="009F62B9" w:rsidRDefault="009F62B9">
      <w:r>
        <w:br w:type="page"/>
      </w:r>
    </w:p>
    <w:p w14:paraId="307CD670" w14:textId="415A680F" w:rsidR="009F62B9" w:rsidRPr="009F62B9" w:rsidRDefault="009F62B9" w:rsidP="009F62B9">
      <w:pPr>
        <w:pStyle w:val="Heading1"/>
      </w:pPr>
      <w:bookmarkStart w:id="3" w:name="_Toc131444602"/>
      <w:r w:rsidRPr="009F62B9">
        <w:lastRenderedPageBreak/>
        <w:t>References</w:t>
      </w:r>
      <w:bookmarkEnd w:id="3"/>
    </w:p>
    <w:p w14:paraId="6FF3DB3D" w14:textId="77777777" w:rsidR="009F62B9" w:rsidRPr="00661A68" w:rsidRDefault="009F62B9" w:rsidP="009F62B9">
      <w:pPr>
        <w:rPr>
          <w:color w:val="222222"/>
          <w:shd w:val="clear" w:color="auto" w:fill="FFFFFF"/>
        </w:rPr>
      </w:pPr>
      <w:r w:rsidRPr="00661A68">
        <w:rPr>
          <w:color w:val="222222"/>
          <w:shd w:val="clear" w:color="auto" w:fill="FFFFFF"/>
        </w:rPr>
        <w:t>Alkaabi, H. and Nobanee, H., 2019. A study on financial management in promoting sustainable business practices &amp; development. </w:t>
      </w:r>
      <w:r w:rsidRPr="00661A68">
        <w:rPr>
          <w:i/>
          <w:iCs/>
          <w:color w:val="222222"/>
          <w:shd w:val="clear" w:color="auto" w:fill="FFFFFF"/>
        </w:rPr>
        <w:t>Available at SSRN 3472415</w:t>
      </w:r>
      <w:r w:rsidRPr="00661A68">
        <w:rPr>
          <w:color w:val="222222"/>
          <w:shd w:val="clear" w:color="auto" w:fill="FFFFFF"/>
        </w:rPr>
        <w:t>.</w:t>
      </w:r>
    </w:p>
    <w:p w14:paraId="792EB409" w14:textId="77777777" w:rsidR="009F62B9" w:rsidRDefault="009F62B9" w:rsidP="009F62B9">
      <w:pPr>
        <w:rPr>
          <w:color w:val="000000"/>
          <w:lang w:val="en-IN"/>
        </w:rPr>
      </w:pPr>
      <w:r>
        <w:rPr>
          <w:color w:val="000000"/>
          <w:lang w:val="en-IN"/>
        </w:rPr>
        <w:t>Blackmon, D. (2023</w:t>
      </w:r>
      <w:r w:rsidRPr="00626A95">
        <w:rPr>
          <w:color w:val="000000"/>
          <w:lang w:val="en-IN"/>
        </w:rPr>
        <w:t>). </w:t>
      </w:r>
      <w:r w:rsidRPr="00626A95">
        <w:rPr>
          <w:i/>
          <w:iCs/>
          <w:color w:val="000000"/>
          <w:lang w:val="en-IN"/>
        </w:rPr>
        <w:t xml:space="preserve">Shell Appomattox Project: Ahead </w:t>
      </w:r>
      <w:proofErr w:type="gramStart"/>
      <w:r w:rsidRPr="00626A95">
        <w:rPr>
          <w:i/>
          <w:iCs/>
          <w:color w:val="000000"/>
          <w:lang w:val="en-IN"/>
        </w:rPr>
        <w:t>Of</w:t>
      </w:r>
      <w:proofErr w:type="gramEnd"/>
      <w:r w:rsidRPr="00626A95">
        <w:rPr>
          <w:i/>
          <w:iCs/>
          <w:color w:val="000000"/>
          <w:lang w:val="en-IN"/>
        </w:rPr>
        <w:t xml:space="preserve"> Time And Under Budget</w:t>
      </w:r>
      <w:r w:rsidRPr="00626A95">
        <w:rPr>
          <w:color w:val="000000"/>
          <w:lang w:val="en-IN"/>
        </w:rPr>
        <w:t>. [online] Forbes. Available at: https://www.forbes.com/sites/davidblackmon/2019/05/24/shell-appomattox-project-ahead-of-time-and-under-budget/?sh=66d4d43fa576 [Accessed 3 Apr. 2023].</w:t>
      </w:r>
    </w:p>
    <w:p w14:paraId="0FBDBE60" w14:textId="77777777" w:rsidR="009F62B9" w:rsidRPr="00661A68" w:rsidRDefault="009F62B9" w:rsidP="009F62B9">
      <w:pPr>
        <w:rPr>
          <w:color w:val="222222"/>
          <w:shd w:val="clear" w:color="auto" w:fill="FFFFFF"/>
        </w:rPr>
      </w:pPr>
      <w:r w:rsidRPr="00661A68">
        <w:rPr>
          <w:color w:val="222222"/>
          <w:shd w:val="clear" w:color="auto" w:fill="FFFFFF"/>
        </w:rPr>
        <w:t>Block, S.B., Hirt, G.A. and Danielsen, B.R., 2018. </w:t>
      </w:r>
      <w:r w:rsidRPr="00661A68">
        <w:rPr>
          <w:i/>
          <w:iCs/>
          <w:color w:val="222222"/>
          <w:shd w:val="clear" w:color="auto" w:fill="FFFFFF"/>
        </w:rPr>
        <w:t>Foundations of financial management</w:t>
      </w:r>
      <w:r w:rsidRPr="00661A68">
        <w:rPr>
          <w:color w:val="222222"/>
          <w:shd w:val="clear" w:color="auto" w:fill="FFFFFF"/>
        </w:rPr>
        <w:t xml:space="preserve">. McGraw-Hill </w:t>
      </w:r>
      <w:proofErr w:type="gramStart"/>
      <w:r w:rsidRPr="00661A68">
        <w:rPr>
          <w:color w:val="222222"/>
          <w:shd w:val="clear" w:color="auto" w:fill="FFFFFF"/>
        </w:rPr>
        <w:t>Education..</w:t>
      </w:r>
      <w:proofErr w:type="gramEnd"/>
    </w:p>
    <w:p w14:paraId="7D3D1B26" w14:textId="77777777" w:rsidR="009F62B9" w:rsidRPr="00661A68" w:rsidRDefault="009F62B9" w:rsidP="009F62B9">
      <w:pPr>
        <w:rPr>
          <w:color w:val="222222"/>
          <w:shd w:val="clear" w:color="auto" w:fill="FFFFFF"/>
        </w:rPr>
      </w:pPr>
      <w:r w:rsidRPr="00661A68">
        <w:rPr>
          <w:color w:val="222222"/>
          <w:shd w:val="clear" w:color="auto" w:fill="FFFFFF"/>
        </w:rPr>
        <w:t>Brigham, E.F. and Daves, P.R., 2018. </w:t>
      </w:r>
      <w:r w:rsidRPr="00661A68">
        <w:rPr>
          <w:i/>
          <w:iCs/>
          <w:color w:val="222222"/>
          <w:shd w:val="clear" w:color="auto" w:fill="FFFFFF"/>
        </w:rPr>
        <w:t>Intermediate financial management</w:t>
      </w:r>
      <w:r w:rsidRPr="00661A68">
        <w:rPr>
          <w:color w:val="222222"/>
          <w:shd w:val="clear" w:color="auto" w:fill="FFFFFF"/>
        </w:rPr>
        <w:t xml:space="preserve">. Cengage Learning. </w:t>
      </w:r>
    </w:p>
    <w:p w14:paraId="2C477C70" w14:textId="77777777" w:rsidR="009F62B9" w:rsidRPr="00661A68" w:rsidRDefault="009F62B9" w:rsidP="009F62B9">
      <w:pPr>
        <w:rPr>
          <w:color w:val="222222"/>
          <w:shd w:val="clear" w:color="auto" w:fill="FFFFFF"/>
        </w:rPr>
      </w:pPr>
      <w:r w:rsidRPr="00661A68">
        <w:rPr>
          <w:color w:val="222222"/>
          <w:shd w:val="clear" w:color="auto" w:fill="FFFFFF"/>
        </w:rPr>
        <w:t>Brigham, E.F. and Houston, J.F., 2021. </w:t>
      </w:r>
      <w:r w:rsidRPr="00661A68">
        <w:rPr>
          <w:i/>
          <w:iCs/>
          <w:color w:val="222222"/>
          <w:shd w:val="clear" w:color="auto" w:fill="FFFFFF"/>
        </w:rPr>
        <w:t>Fundamentals of financial management</w:t>
      </w:r>
      <w:r w:rsidRPr="00661A68">
        <w:rPr>
          <w:color w:val="222222"/>
          <w:shd w:val="clear" w:color="auto" w:fill="FFFFFF"/>
        </w:rPr>
        <w:t>. Cengage Learning.</w:t>
      </w:r>
    </w:p>
    <w:p w14:paraId="4D7DA370" w14:textId="77777777" w:rsidR="009F62B9" w:rsidRPr="00661A68" w:rsidRDefault="009F62B9" w:rsidP="009F62B9">
      <w:pPr>
        <w:rPr>
          <w:color w:val="222222"/>
          <w:shd w:val="clear" w:color="auto" w:fill="FFFFFF"/>
        </w:rPr>
      </w:pPr>
      <w:r w:rsidRPr="00661A68">
        <w:rPr>
          <w:color w:val="222222"/>
          <w:shd w:val="clear" w:color="auto" w:fill="FFFFFF"/>
        </w:rPr>
        <w:t>Finkler, S.A., Calabrese, T.D. and Smith, D.L., 2022. </w:t>
      </w:r>
      <w:r w:rsidRPr="00661A68">
        <w:rPr>
          <w:i/>
          <w:iCs/>
          <w:color w:val="222222"/>
          <w:shd w:val="clear" w:color="auto" w:fill="FFFFFF"/>
        </w:rPr>
        <w:t>Financial management for public, health, and not-for-profit organizations</w:t>
      </w:r>
      <w:r w:rsidRPr="00661A68">
        <w:rPr>
          <w:color w:val="222222"/>
          <w:shd w:val="clear" w:color="auto" w:fill="FFFFFF"/>
        </w:rPr>
        <w:t>. CQ Press.</w:t>
      </w:r>
    </w:p>
    <w:p w14:paraId="67F3D5DA" w14:textId="77777777" w:rsidR="009F62B9" w:rsidRPr="00661A68" w:rsidRDefault="009F62B9" w:rsidP="009F62B9">
      <w:pPr>
        <w:rPr>
          <w:color w:val="222222"/>
          <w:shd w:val="clear" w:color="auto" w:fill="FFFFFF"/>
        </w:rPr>
      </w:pPr>
      <w:r w:rsidRPr="00661A68">
        <w:rPr>
          <w:color w:val="222222"/>
          <w:shd w:val="clear" w:color="auto" w:fill="FFFFFF"/>
        </w:rPr>
        <w:t>Madura, J., 2020. </w:t>
      </w:r>
      <w:r w:rsidRPr="00661A68">
        <w:rPr>
          <w:i/>
          <w:iCs/>
          <w:color w:val="222222"/>
          <w:shd w:val="clear" w:color="auto" w:fill="FFFFFF"/>
        </w:rPr>
        <w:t>International financial management</w:t>
      </w:r>
      <w:r w:rsidRPr="00661A68">
        <w:rPr>
          <w:color w:val="222222"/>
          <w:shd w:val="clear" w:color="auto" w:fill="FFFFFF"/>
        </w:rPr>
        <w:t>. Cengage Learning.</w:t>
      </w:r>
    </w:p>
    <w:p w14:paraId="1060080E" w14:textId="77777777" w:rsidR="009F62B9" w:rsidRPr="00661A68" w:rsidRDefault="009F62B9" w:rsidP="009F62B9">
      <w:pPr>
        <w:rPr>
          <w:color w:val="222222"/>
          <w:shd w:val="clear" w:color="auto" w:fill="FFFFFF"/>
        </w:rPr>
      </w:pPr>
      <w:r w:rsidRPr="00661A68">
        <w:rPr>
          <w:color w:val="222222"/>
          <w:shd w:val="clear" w:color="auto" w:fill="FFFFFF"/>
        </w:rPr>
        <w:t>Shapiro, A.C. and Hanouna, P., 2019. </w:t>
      </w:r>
      <w:r w:rsidRPr="00661A68">
        <w:rPr>
          <w:i/>
          <w:iCs/>
          <w:color w:val="222222"/>
          <w:shd w:val="clear" w:color="auto" w:fill="FFFFFF"/>
        </w:rPr>
        <w:t>Multinational financial management</w:t>
      </w:r>
      <w:r w:rsidRPr="00661A68">
        <w:rPr>
          <w:color w:val="222222"/>
          <w:shd w:val="clear" w:color="auto" w:fill="FFFFFF"/>
        </w:rPr>
        <w:t>. John Wiley &amp; Sons.</w:t>
      </w:r>
    </w:p>
    <w:p w14:paraId="4F21BE3A" w14:textId="77777777" w:rsidR="009F62B9" w:rsidRDefault="009F62B9" w:rsidP="009F62B9">
      <w:pPr>
        <w:rPr>
          <w:color w:val="000000"/>
          <w:lang w:val="en-IN"/>
        </w:rPr>
      </w:pPr>
      <w:r w:rsidRPr="00626A95">
        <w:rPr>
          <w:color w:val="000000"/>
          <w:lang w:val="en-IN"/>
        </w:rPr>
        <w:t>Shell (2021). </w:t>
      </w:r>
      <w:r w:rsidRPr="00626A95">
        <w:rPr>
          <w:i/>
          <w:iCs/>
          <w:color w:val="000000"/>
          <w:lang w:val="en-IN"/>
        </w:rPr>
        <w:t>About us</w:t>
      </w:r>
      <w:r w:rsidRPr="00626A95">
        <w:rPr>
          <w:color w:val="000000"/>
          <w:lang w:val="en-IN"/>
        </w:rPr>
        <w:t>. [online] Shell.com. Available at: https://www.shell.com/about-us.html</w:t>
      </w:r>
      <w:r>
        <w:rPr>
          <w:color w:val="000000"/>
          <w:lang w:val="en-IN"/>
        </w:rPr>
        <w:t xml:space="preserve"> </w:t>
      </w:r>
      <w:r w:rsidRPr="00626A95">
        <w:rPr>
          <w:color w:val="000000"/>
          <w:lang w:val="en-IN"/>
        </w:rPr>
        <w:t>[Accessed 3 Apr. 2023].</w:t>
      </w:r>
    </w:p>
    <w:p w14:paraId="5C8B994D" w14:textId="77777777" w:rsidR="009F62B9" w:rsidRPr="00626A95" w:rsidRDefault="009F62B9" w:rsidP="009F62B9">
      <w:pPr>
        <w:rPr>
          <w:color w:val="000000"/>
          <w:lang w:val="en-IN"/>
        </w:rPr>
      </w:pPr>
      <w:r w:rsidRPr="00626A95">
        <w:rPr>
          <w:color w:val="000000"/>
          <w:lang w:val="en-IN"/>
        </w:rPr>
        <w:t>Shell Annual Report (2022). </w:t>
      </w:r>
      <w:r w:rsidRPr="00626A95">
        <w:rPr>
          <w:i/>
          <w:iCs/>
          <w:color w:val="000000"/>
          <w:lang w:val="en-IN"/>
        </w:rPr>
        <w:t>Shell Annual Report and Accounts 2022 - Shell plc Annual Report and Accounts 2022</w:t>
      </w:r>
      <w:r w:rsidRPr="00626A95">
        <w:rPr>
          <w:color w:val="000000"/>
          <w:lang w:val="en-IN"/>
        </w:rPr>
        <w:t>. [online] Available at: https://reports.shell.com/annual-report/2022</w:t>
      </w:r>
      <w:r>
        <w:rPr>
          <w:color w:val="000000"/>
          <w:lang w:val="en-IN"/>
        </w:rPr>
        <w:t xml:space="preserve"> </w:t>
      </w:r>
      <w:r w:rsidRPr="00626A95">
        <w:rPr>
          <w:color w:val="000000"/>
          <w:lang w:val="en-IN"/>
        </w:rPr>
        <w:t>[Accessed 3 Apr. 2023].</w:t>
      </w:r>
    </w:p>
    <w:p w14:paraId="7284FDD4" w14:textId="77777777" w:rsidR="009F62B9" w:rsidRPr="00626A95" w:rsidRDefault="009F62B9" w:rsidP="009F62B9">
      <w:pPr>
        <w:rPr>
          <w:color w:val="000000"/>
          <w:lang w:val="en-IN"/>
        </w:rPr>
      </w:pPr>
      <w:r w:rsidRPr="00626A95">
        <w:rPr>
          <w:color w:val="000000"/>
          <w:lang w:val="en-IN"/>
        </w:rPr>
        <w:t>Shell.com. (2022). </w:t>
      </w:r>
      <w:r w:rsidRPr="00626A95">
        <w:rPr>
          <w:i/>
          <w:iCs/>
          <w:color w:val="000000"/>
          <w:lang w:val="en-IN"/>
        </w:rPr>
        <w:t>Prelude FLNG</w:t>
      </w:r>
      <w:r w:rsidRPr="00626A95">
        <w:rPr>
          <w:color w:val="000000"/>
          <w:lang w:val="en-IN"/>
        </w:rPr>
        <w:t>. [online] Available at: https://www.shell.com/about-us/major-projects/prelude-flng.html</w:t>
      </w:r>
      <w:r>
        <w:rPr>
          <w:color w:val="000000"/>
          <w:lang w:val="en-IN"/>
        </w:rPr>
        <w:t xml:space="preserve"> </w:t>
      </w:r>
      <w:r w:rsidRPr="00626A95">
        <w:rPr>
          <w:color w:val="000000"/>
          <w:lang w:val="en-IN"/>
        </w:rPr>
        <w:t>[Accessed 3 Apr. 2023].</w:t>
      </w:r>
    </w:p>
    <w:p w14:paraId="730AAC91" w14:textId="77777777" w:rsidR="009F62B9" w:rsidRPr="00661A68" w:rsidRDefault="009F62B9" w:rsidP="009F62B9">
      <w:pPr>
        <w:rPr>
          <w:color w:val="222222"/>
          <w:shd w:val="clear" w:color="auto" w:fill="FFFFFF"/>
        </w:rPr>
      </w:pPr>
      <w:r w:rsidRPr="00661A68">
        <w:rPr>
          <w:color w:val="222222"/>
          <w:shd w:val="clear" w:color="auto" w:fill="FFFFFF"/>
        </w:rPr>
        <w:t>Shim, J.K., 2022. </w:t>
      </w:r>
      <w:r w:rsidRPr="00661A68">
        <w:rPr>
          <w:i/>
          <w:iCs/>
          <w:color w:val="222222"/>
          <w:shd w:val="clear" w:color="auto" w:fill="FFFFFF"/>
        </w:rPr>
        <w:t>Financial management</w:t>
      </w:r>
      <w:r w:rsidRPr="00661A68">
        <w:rPr>
          <w:color w:val="222222"/>
          <w:shd w:val="clear" w:color="auto" w:fill="FFFFFF"/>
        </w:rPr>
        <w:t>. Professor of Finance and Accounting Queens College City University of New York.</w:t>
      </w:r>
    </w:p>
    <w:p w14:paraId="403B6339" w14:textId="77777777" w:rsidR="009F62B9" w:rsidRDefault="009F62B9"/>
    <w:sectPr w:rsidR="009F62B9">
      <w:footerReference w:type="default" r:id="rId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2BD32E" w14:textId="77777777" w:rsidR="00A409D2" w:rsidRDefault="00A409D2">
      <w:pPr>
        <w:spacing w:line="240" w:lineRule="auto"/>
      </w:pPr>
      <w:r>
        <w:separator/>
      </w:r>
    </w:p>
  </w:endnote>
  <w:endnote w:type="continuationSeparator" w:id="0">
    <w:p w14:paraId="07F1E61D" w14:textId="77777777" w:rsidR="00A409D2" w:rsidRDefault="00A409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456361"/>
      <w:docPartObj>
        <w:docPartGallery w:val="Page Numbers (Bottom of Page)"/>
        <w:docPartUnique/>
      </w:docPartObj>
    </w:sdtPr>
    <w:sdtEndPr>
      <w:rPr>
        <w:noProof/>
      </w:rPr>
    </w:sdtEndPr>
    <w:sdtContent>
      <w:p w14:paraId="44890426" w14:textId="2667FEF7" w:rsidR="008F4FF6" w:rsidRDefault="008F4FF6">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4D2A07A5" w14:textId="77777777" w:rsidR="008F4FF6" w:rsidRDefault="008F4F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6A830" w14:textId="77777777" w:rsidR="00A409D2" w:rsidRDefault="00A409D2">
      <w:pPr>
        <w:spacing w:line="240" w:lineRule="auto"/>
      </w:pPr>
      <w:r>
        <w:separator/>
      </w:r>
    </w:p>
  </w:footnote>
  <w:footnote w:type="continuationSeparator" w:id="0">
    <w:p w14:paraId="3F27DCFC" w14:textId="77777777" w:rsidR="00A409D2" w:rsidRDefault="00A409D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B27E6E"/>
    <w:rsid w:val="00196E70"/>
    <w:rsid w:val="002E6C4E"/>
    <w:rsid w:val="008F4FF6"/>
    <w:rsid w:val="009545C1"/>
    <w:rsid w:val="009F62B9"/>
    <w:rsid w:val="00A32BC9"/>
    <w:rsid w:val="00A409D2"/>
    <w:rsid w:val="00B27E6E"/>
    <w:rsid w:val="00B4283B"/>
    <w:rsid w:val="00F649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05FE6"/>
  <w15:docId w15:val="{CF513DFE-CC1F-4711-BD7C-EAC814766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autoRedefine/>
    <w:rsid w:val="009F62B9"/>
    <w:pPr>
      <w:outlineLvl w:val="0"/>
    </w:pPr>
    <w:rPr>
      <w:b/>
      <w:color w:val="000000" w:themeColor="text1"/>
      <w:sz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semiHidden/>
    <w:unhideWhenUsed/>
    <w:qFormat/>
    <w:rsid w:val="009F62B9"/>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9F62B9"/>
    <w:pPr>
      <w:spacing w:after="100"/>
    </w:pPr>
  </w:style>
  <w:style w:type="character" w:styleId="Hyperlink">
    <w:name w:val="Hyperlink"/>
    <w:basedOn w:val="DefaultParagraphFont"/>
    <w:uiPriority w:val="99"/>
    <w:unhideWhenUsed/>
    <w:rsid w:val="009F62B9"/>
    <w:rPr>
      <w:color w:val="0000FF" w:themeColor="hyperlink"/>
      <w:u w:val="single"/>
    </w:rPr>
  </w:style>
  <w:style w:type="paragraph" w:styleId="BalloonText">
    <w:name w:val="Balloon Text"/>
    <w:basedOn w:val="Normal"/>
    <w:link w:val="BalloonTextChar"/>
    <w:uiPriority w:val="99"/>
    <w:semiHidden/>
    <w:unhideWhenUsed/>
    <w:rsid w:val="009F62B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62B9"/>
    <w:rPr>
      <w:rFonts w:ascii="Tahoma" w:hAnsi="Tahoma" w:cs="Tahoma"/>
      <w:sz w:val="16"/>
      <w:szCs w:val="16"/>
      <w:lang w:val="en-GB"/>
    </w:rPr>
  </w:style>
  <w:style w:type="paragraph" w:styleId="Header">
    <w:name w:val="header"/>
    <w:basedOn w:val="Normal"/>
    <w:link w:val="HeaderChar"/>
    <w:uiPriority w:val="99"/>
    <w:unhideWhenUsed/>
    <w:rsid w:val="008F4FF6"/>
    <w:pPr>
      <w:tabs>
        <w:tab w:val="center" w:pos="4513"/>
        <w:tab w:val="right" w:pos="9026"/>
      </w:tabs>
      <w:spacing w:line="240" w:lineRule="auto"/>
    </w:pPr>
  </w:style>
  <w:style w:type="character" w:customStyle="1" w:styleId="HeaderChar">
    <w:name w:val="Header Char"/>
    <w:basedOn w:val="DefaultParagraphFont"/>
    <w:link w:val="Header"/>
    <w:uiPriority w:val="99"/>
    <w:rsid w:val="008F4FF6"/>
    <w:rPr>
      <w:lang w:val="en-GB"/>
    </w:rPr>
  </w:style>
  <w:style w:type="paragraph" w:styleId="Footer">
    <w:name w:val="footer"/>
    <w:basedOn w:val="Normal"/>
    <w:link w:val="FooterChar"/>
    <w:uiPriority w:val="99"/>
    <w:unhideWhenUsed/>
    <w:rsid w:val="008F4FF6"/>
    <w:pPr>
      <w:tabs>
        <w:tab w:val="center" w:pos="4513"/>
        <w:tab w:val="right" w:pos="9026"/>
      </w:tabs>
      <w:spacing w:line="240" w:lineRule="auto"/>
    </w:pPr>
  </w:style>
  <w:style w:type="character" w:customStyle="1" w:styleId="FooterChar">
    <w:name w:val="Footer Char"/>
    <w:basedOn w:val="DefaultParagraphFont"/>
    <w:link w:val="Footer"/>
    <w:uiPriority w:val="99"/>
    <w:rsid w:val="008F4FF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C16514-20ED-4E98-AD01-7B062FA3E4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1862</Words>
  <Characters>10618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2024157@student.uwtsd.ac.uk</dc:creator>
  <cp:lastModifiedBy>Maria Hagiu</cp:lastModifiedBy>
  <cp:revision>13</cp:revision>
  <dcterms:created xsi:type="dcterms:W3CDTF">2023-04-03T14:31:00Z</dcterms:created>
  <dcterms:modified xsi:type="dcterms:W3CDTF">2023-04-30T18:48:00Z</dcterms:modified>
</cp:coreProperties>
</file>