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41F9B" w14:textId="7CBD2752" w:rsidR="00922FE1" w:rsidRPr="00C07899" w:rsidRDefault="00922FE1" w:rsidP="00922FE1">
      <w:pPr>
        <w:jc w:val="center"/>
        <w:rPr>
          <w:rFonts w:ascii="Arial" w:hAnsi="Arial" w:cs="Arial"/>
          <w:b/>
          <w:bCs/>
          <w:spacing w:val="-2"/>
          <w:sz w:val="40"/>
          <w:szCs w:val="40"/>
        </w:rPr>
      </w:pPr>
      <w:r>
        <w:rPr>
          <w:rFonts w:ascii="Arial" w:hAnsi="Arial" w:cs="Arial"/>
          <w:b/>
          <w:bCs/>
          <w:sz w:val="40"/>
          <w:szCs w:val="40"/>
        </w:rPr>
        <w:t>Early Years Education and Care</w:t>
      </w:r>
    </w:p>
    <w:p w14:paraId="1E0D326F" w14:textId="77777777" w:rsidR="00922FE1" w:rsidRPr="00C07899" w:rsidRDefault="00922FE1" w:rsidP="00922FE1">
      <w:pPr>
        <w:rPr>
          <w:rFonts w:ascii="Arial" w:hAnsi="Arial" w:cs="Arial"/>
          <w:b/>
          <w:bCs/>
          <w:spacing w:val="-2"/>
          <w:sz w:val="40"/>
          <w:szCs w:val="40"/>
        </w:rPr>
      </w:pPr>
    </w:p>
    <w:p w14:paraId="7B549DD8" w14:textId="2CF1B0E8" w:rsidR="00922FE1" w:rsidRDefault="00922FE1" w:rsidP="00922FE1">
      <w:pPr>
        <w:jc w:val="center"/>
        <w:rPr>
          <w:rFonts w:ascii="Arial" w:hAnsi="Arial" w:cs="Arial"/>
          <w:b/>
          <w:bCs/>
          <w:sz w:val="40"/>
          <w:szCs w:val="40"/>
        </w:rPr>
      </w:pPr>
      <w:r>
        <w:rPr>
          <w:rFonts w:ascii="Arial" w:hAnsi="Arial" w:cs="Arial"/>
          <w:b/>
          <w:bCs/>
          <w:sz w:val="40"/>
          <w:szCs w:val="40"/>
        </w:rPr>
        <w:t>ECEY6010</w:t>
      </w:r>
      <w:r w:rsidRPr="00C07899">
        <w:rPr>
          <w:rFonts w:ascii="Arial" w:hAnsi="Arial" w:cs="Arial"/>
          <w:b/>
          <w:bCs/>
          <w:sz w:val="40"/>
          <w:szCs w:val="40"/>
        </w:rPr>
        <w:t xml:space="preserve">  </w:t>
      </w:r>
    </w:p>
    <w:p w14:paraId="78385948" w14:textId="4B31D4B2" w:rsidR="00922FE1" w:rsidRPr="00C07899" w:rsidRDefault="00922FE1" w:rsidP="00922FE1">
      <w:pPr>
        <w:jc w:val="center"/>
        <w:rPr>
          <w:rFonts w:ascii="Arial" w:hAnsi="Arial" w:cs="Arial"/>
          <w:b/>
          <w:bCs/>
          <w:sz w:val="40"/>
          <w:szCs w:val="40"/>
        </w:rPr>
      </w:pPr>
      <w:r>
        <w:rPr>
          <w:rFonts w:ascii="Arial" w:hAnsi="Arial" w:cs="Arial"/>
          <w:b/>
          <w:bCs/>
          <w:sz w:val="40"/>
          <w:szCs w:val="40"/>
        </w:rPr>
        <w:t>Early Years Curricula</w:t>
      </w:r>
    </w:p>
    <w:p w14:paraId="24C61C10" w14:textId="77777777" w:rsidR="00922FE1" w:rsidRPr="00C07899" w:rsidRDefault="00922FE1" w:rsidP="00922FE1">
      <w:pPr>
        <w:rPr>
          <w:rFonts w:ascii="Arial" w:hAnsi="Arial" w:cs="Arial"/>
          <w:b/>
          <w:bCs/>
          <w:sz w:val="40"/>
          <w:szCs w:val="40"/>
        </w:rPr>
      </w:pPr>
    </w:p>
    <w:p w14:paraId="5F2F63DB" w14:textId="35DD5650" w:rsidR="00922FE1" w:rsidRPr="00C07899" w:rsidRDefault="00922FE1" w:rsidP="00922FE1">
      <w:pPr>
        <w:rPr>
          <w:rFonts w:ascii="Arial" w:hAnsi="Arial" w:cs="Arial"/>
          <w:b/>
          <w:bCs/>
          <w:sz w:val="40"/>
          <w:szCs w:val="40"/>
        </w:rPr>
      </w:pPr>
      <w:r w:rsidRPr="00C07899">
        <w:rPr>
          <w:rFonts w:ascii="Arial" w:hAnsi="Arial" w:cs="Arial"/>
          <w:b/>
          <w:bCs/>
          <w:sz w:val="40"/>
          <w:szCs w:val="40"/>
        </w:rPr>
        <w:t>Student Num</w:t>
      </w:r>
      <w:r>
        <w:rPr>
          <w:rFonts w:ascii="Arial" w:hAnsi="Arial" w:cs="Arial"/>
          <w:b/>
          <w:bCs/>
          <w:sz w:val="40"/>
          <w:szCs w:val="40"/>
        </w:rPr>
        <w:t xml:space="preserve">ber: </w:t>
      </w:r>
      <w:r>
        <w:rPr>
          <w:rFonts w:ascii="Arial" w:hAnsi="Arial" w:cs="Arial"/>
          <w:b/>
          <w:bCs/>
          <w:sz w:val="40"/>
          <w:szCs w:val="40"/>
        </w:rPr>
        <w:tab/>
      </w:r>
      <w:r w:rsidR="00D83B54">
        <w:rPr>
          <w:rFonts w:ascii="Arial" w:hAnsi="Arial" w:cs="Arial"/>
          <w:b/>
          <w:bCs/>
          <w:sz w:val="40"/>
          <w:szCs w:val="40"/>
        </w:rPr>
        <w:t>2310796</w:t>
      </w:r>
    </w:p>
    <w:p w14:paraId="3816C4CA" w14:textId="6D3AD13C" w:rsidR="00922FE1" w:rsidRPr="00C07899" w:rsidRDefault="00922FE1" w:rsidP="00922FE1">
      <w:pPr>
        <w:rPr>
          <w:rFonts w:ascii="Arial" w:hAnsi="Arial" w:cs="Arial"/>
          <w:b/>
          <w:bCs/>
          <w:sz w:val="40"/>
          <w:szCs w:val="40"/>
        </w:rPr>
      </w:pPr>
      <w:r w:rsidRPr="00C07899">
        <w:rPr>
          <w:rFonts w:ascii="Arial" w:hAnsi="Arial" w:cs="Arial"/>
          <w:b/>
          <w:bCs/>
          <w:sz w:val="40"/>
          <w:szCs w:val="40"/>
        </w:rPr>
        <w:t>Student Name</w:t>
      </w:r>
      <w:r>
        <w:rPr>
          <w:rFonts w:ascii="Arial" w:hAnsi="Arial" w:cs="Arial"/>
          <w:b/>
          <w:bCs/>
          <w:sz w:val="40"/>
          <w:szCs w:val="40"/>
        </w:rPr>
        <w:t xml:space="preserve">: </w:t>
      </w:r>
      <w:r>
        <w:rPr>
          <w:rFonts w:ascii="Arial" w:hAnsi="Arial" w:cs="Arial"/>
          <w:b/>
          <w:bCs/>
          <w:sz w:val="40"/>
          <w:szCs w:val="40"/>
        </w:rPr>
        <w:tab/>
        <w:t>Amie Handley</w:t>
      </w:r>
    </w:p>
    <w:p w14:paraId="5C88595D" w14:textId="77777777" w:rsidR="00922FE1" w:rsidRPr="00C07899" w:rsidRDefault="00922FE1" w:rsidP="00922FE1">
      <w:pPr>
        <w:rPr>
          <w:rFonts w:ascii="Arial" w:hAnsi="Arial" w:cs="Arial"/>
          <w:b/>
          <w:bCs/>
          <w:sz w:val="40"/>
          <w:szCs w:val="40"/>
        </w:rPr>
      </w:pPr>
    </w:p>
    <w:p w14:paraId="75D938C5" w14:textId="3A618DFE" w:rsidR="00922FE1" w:rsidRPr="00C07899" w:rsidRDefault="00922FE1" w:rsidP="00922FE1">
      <w:pPr>
        <w:rPr>
          <w:rFonts w:ascii="Arial" w:hAnsi="Arial" w:cs="Arial"/>
          <w:b/>
          <w:bCs/>
          <w:sz w:val="40"/>
          <w:szCs w:val="40"/>
        </w:rPr>
      </w:pPr>
      <w:r w:rsidRPr="00C07899">
        <w:rPr>
          <w:rFonts w:ascii="Arial" w:hAnsi="Arial" w:cs="Arial"/>
          <w:b/>
          <w:bCs/>
          <w:sz w:val="40"/>
          <w:szCs w:val="40"/>
        </w:rPr>
        <w:t>Tutor Details</w:t>
      </w:r>
      <w:r>
        <w:rPr>
          <w:rFonts w:ascii="Arial" w:hAnsi="Arial" w:cs="Arial"/>
          <w:b/>
          <w:bCs/>
          <w:sz w:val="40"/>
          <w:szCs w:val="40"/>
        </w:rPr>
        <w:t>:</w:t>
      </w:r>
      <w:r w:rsidR="001E64DD">
        <w:rPr>
          <w:rFonts w:ascii="Arial" w:hAnsi="Arial" w:cs="Arial"/>
          <w:b/>
          <w:bCs/>
          <w:sz w:val="40"/>
          <w:szCs w:val="40"/>
        </w:rPr>
        <w:t xml:space="preserve"> </w:t>
      </w:r>
      <w:r w:rsidR="00B31BCE" w:rsidRPr="00B31BCE">
        <w:rPr>
          <w:rFonts w:ascii="Arial" w:hAnsi="Arial" w:cs="Arial"/>
          <w:b/>
          <w:bCs/>
          <w:sz w:val="40"/>
          <w:szCs w:val="40"/>
        </w:rPr>
        <w:t>Debra Odeh</w:t>
      </w:r>
    </w:p>
    <w:p w14:paraId="2963E4AA" w14:textId="77777777" w:rsidR="00922FE1" w:rsidRDefault="00922FE1" w:rsidP="00922FE1">
      <w:pPr>
        <w:rPr>
          <w:rFonts w:ascii="Arial" w:hAnsi="Arial" w:cs="Arial"/>
          <w:b/>
          <w:bCs/>
          <w:sz w:val="40"/>
          <w:szCs w:val="40"/>
        </w:rPr>
      </w:pPr>
    </w:p>
    <w:p w14:paraId="78481469" w14:textId="2691644B" w:rsidR="00922FE1" w:rsidRPr="00C07899" w:rsidRDefault="00922FE1" w:rsidP="00922FE1">
      <w:pPr>
        <w:rPr>
          <w:rFonts w:ascii="Arial" w:hAnsi="Arial" w:cs="Arial"/>
          <w:b/>
          <w:bCs/>
          <w:sz w:val="40"/>
          <w:szCs w:val="40"/>
        </w:rPr>
      </w:pPr>
      <w:r w:rsidRPr="00C07899">
        <w:rPr>
          <w:rFonts w:ascii="Arial" w:hAnsi="Arial" w:cs="Arial"/>
          <w:b/>
          <w:bCs/>
          <w:sz w:val="40"/>
          <w:szCs w:val="40"/>
        </w:rPr>
        <w:t>Module Lead</w:t>
      </w:r>
      <w:r>
        <w:rPr>
          <w:rFonts w:ascii="Arial" w:hAnsi="Arial" w:cs="Arial"/>
          <w:b/>
          <w:bCs/>
          <w:sz w:val="40"/>
          <w:szCs w:val="40"/>
        </w:rPr>
        <w:t>: Natalie MacDonald</w:t>
      </w:r>
    </w:p>
    <w:p w14:paraId="00440B5E" w14:textId="77777777" w:rsidR="00922FE1" w:rsidRPr="00C07899" w:rsidRDefault="00922FE1" w:rsidP="00922FE1">
      <w:pPr>
        <w:rPr>
          <w:rFonts w:ascii="Arial" w:hAnsi="Arial" w:cs="Arial"/>
          <w:b/>
          <w:bCs/>
          <w:sz w:val="40"/>
          <w:szCs w:val="40"/>
        </w:rPr>
      </w:pPr>
    </w:p>
    <w:p w14:paraId="4D74B524" w14:textId="737EC140" w:rsidR="00922FE1" w:rsidRDefault="00922FE1" w:rsidP="00922FE1">
      <w:pPr>
        <w:rPr>
          <w:rFonts w:ascii="Arial" w:hAnsi="Arial" w:cs="Arial"/>
          <w:b/>
          <w:bCs/>
          <w:sz w:val="40"/>
          <w:szCs w:val="40"/>
        </w:rPr>
      </w:pPr>
      <w:r w:rsidRPr="00C07899">
        <w:rPr>
          <w:rFonts w:ascii="Arial" w:hAnsi="Arial" w:cs="Arial"/>
          <w:b/>
          <w:bCs/>
          <w:sz w:val="40"/>
          <w:szCs w:val="40"/>
        </w:rPr>
        <w:t>Portfolio</w:t>
      </w:r>
      <w:r>
        <w:rPr>
          <w:rFonts w:ascii="Arial" w:hAnsi="Arial" w:cs="Arial"/>
          <w:b/>
          <w:bCs/>
          <w:sz w:val="40"/>
          <w:szCs w:val="40"/>
        </w:rPr>
        <w:t>:</w:t>
      </w:r>
      <w:r w:rsidRPr="00C07899">
        <w:rPr>
          <w:rFonts w:ascii="Arial" w:hAnsi="Arial" w:cs="Arial"/>
          <w:b/>
          <w:bCs/>
          <w:sz w:val="40"/>
          <w:szCs w:val="40"/>
        </w:rPr>
        <w:t xml:space="preserve"> T</w:t>
      </w:r>
      <w:r>
        <w:rPr>
          <w:rFonts w:ascii="Arial" w:hAnsi="Arial" w:cs="Arial"/>
          <w:b/>
          <w:bCs/>
          <w:sz w:val="40"/>
          <w:szCs w:val="40"/>
        </w:rPr>
        <w:t>hree</w:t>
      </w:r>
      <w:r w:rsidRPr="00C07899">
        <w:rPr>
          <w:rFonts w:ascii="Arial" w:hAnsi="Arial" w:cs="Arial"/>
          <w:b/>
          <w:bCs/>
          <w:sz w:val="40"/>
          <w:szCs w:val="40"/>
        </w:rPr>
        <w:t xml:space="preserve"> Tasks </w:t>
      </w:r>
    </w:p>
    <w:p w14:paraId="3F411EC7" w14:textId="49B2973D" w:rsidR="00922FE1" w:rsidRPr="00922FE1" w:rsidRDefault="00922FE1" w:rsidP="00922FE1">
      <w:r>
        <w:rPr>
          <w:rFonts w:ascii="Arial" w:hAnsi="Arial" w:cs="Arial"/>
          <w:b/>
          <w:bCs/>
          <w:sz w:val="40"/>
          <w:szCs w:val="40"/>
        </w:rPr>
        <w:t>Word count: 4,</w:t>
      </w:r>
      <w:r w:rsidR="00AB2B6C">
        <w:rPr>
          <w:rFonts w:ascii="Arial" w:hAnsi="Arial" w:cs="Arial"/>
          <w:b/>
          <w:bCs/>
          <w:sz w:val="40"/>
          <w:szCs w:val="40"/>
        </w:rPr>
        <w:t>363</w:t>
      </w:r>
      <w:r>
        <w:rPr>
          <w:rFonts w:ascii="Arial" w:hAnsi="Arial" w:cs="Arial"/>
          <w:b/>
          <w:bCs/>
          <w:sz w:val="40"/>
          <w:szCs w:val="40"/>
        </w:rPr>
        <w:t xml:space="preserve"> words </w:t>
      </w:r>
      <w:r>
        <w:t xml:space="preserve"> </w:t>
      </w:r>
    </w:p>
    <w:p w14:paraId="1156156D" w14:textId="2DE686E3" w:rsidR="00922FE1" w:rsidRDefault="00922FE1" w:rsidP="00922FE1">
      <w:pPr>
        <w:rPr>
          <w:rFonts w:ascii="Arial" w:hAnsi="Arial" w:cs="Arial"/>
          <w:b/>
          <w:bCs/>
          <w:sz w:val="40"/>
          <w:szCs w:val="40"/>
        </w:rPr>
      </w:pPr>
      <w:r w:rsidRPr="00C07899">
        <w:rPr>
          <w:rFonts w:ascii="Arial" w:hAnsi="Arial" w:cs="Arial"/>
          <w:b/>
          <w:bCs/>
          <w:sz w:val="40"/>
          <w:szCs w:val="40"/>
        </w:rPr>
        <w:t>Submission Date</w:t>
      </w:r>
      <w:r>
        <w:rPr>
          <w:rFonts w:ascii="Arial" w:hAnsi="Arial" w:cs="Arial"/>
          <w:b/>
          <w:bCs/>
          <w:sz w:val="40"/>
          <w:szCs w:val="40"/>
        </w:rPr>
        <w:t>:</w:t>
      </w:r>
      <w:r w:rsidRPr="00C07899">
        <w:rPr>
          <w:rFonts w:ascii="Arial" w:hAnsi="Arial" w:cs="Arial"/>
          <w:b/>
          <w:bCs/>
          <w:sz w:val="40"/>
          <w:szCs w:val="40"/>
        </w:rPr>
        <w:t xml:space="preserve"> </w:t>
      </w:r>
      <w:r>
        <w:rPr>
          <w:rFonts w:ascii="Arial" w:hAnsi="Arial" w:cs="Arial"/>
          <w:b/>
          <w:bCs/>
          <w:sz w:val="40"/>
          <w:szCs w:val="40"/>
        </w:rPr>
        <w:t>22</w:t>
      </w:r>
      <w:r>
        <w:rPr>
          <w:rFonts w:ascii="Arial" w:hAnsi="Arial" w:cs="Arial"/>
          <w:b/>
          <w:bCs/>
          <w:sz w:val="40"/>
          <w:szCs w:val="40"/>
          <w:vertAlign w:val="superscript"/>
        </w:rPr>
        <w:t>nd</w:t>
      </w:r>
      <w:r>
        <w:rPr>
          <w:rFonts w:ascii="Arial" w:hAnsi="Arial" w:cs="Arial"/>
          <w:b/>
          <w:bCs/>
          <w:sz w:val="40"/>
          <w:szCs w:val="40"/>
        </w:rPr>
        <w:t xml:space="preserve"> June </w:t>
      </w:r>
      <w:r w:rsidRPr="00C07899">
        <w:rPr>
          <w:rFonts w:ascii="Arial" w:hAnsi="Arial" w:cs="Arial"/>
          <w:b/>
          <w:bCs/>
          <w:sz w:val="40"/>
          <w:szCs w:val="40"/>
        </w:rPr>
        <w:t>202</w:t>
      </w:r>
      <w:r>
        <w:rPr>
          <w:rFonts w:ascii="Arial" w:hAnsi="Arial" w:cs="Arial"/>
          <w:b/>
          <w:bCs/>
          <w:sz w:val="40"/>
          <w:szCs w:val="40"/>
        </w:rPr>
        <w:t>5</w:t>
      </w:r>
    </w:p>
    <w:p w14:paraId="5B738054" w14:textId="77777777" w:rsidR="00922FE1" w:rsidRDefault="00922FE1" w:rsidP="00922FE1"/>
    <w:p w14:paraId="4E021AE7" w14:textId="77777777" w:rsidR="00922FE1" w:rsidRDefault="00922FE1" w:rsidP="00922FE1"/>
    <w:p w14:paraId="38ED9488" w14:textId="77777777" w:rsidR="00922FE1" w:rsidRDefault="00922FE1" w:rsidP="00922FE1"/>
    <w:p w14:paraId="6681CA8B" w14:textId="77777777" w:rsidR="00922FE1" w:rsidRDefault="00922FE1" w:rsidP="00922FE1"/>
    <w:p w14:paraId="7E49D5D6" w14:textId="77777777" w:rsidR="00922FE1" w:rsidRDefault="00922FE1" w:rsidP="00922FE1"/>
    <w:p w14:paraId="3FA8C729" w14:textId="77777777" w:rsidR="00922FE1" w:rsidRDefault="00922FE1" w:rsidP="00922FE1"/>
    <w:p w14:paraId="5482A854" w14:textId="77777777" w:rsidR="00922FE1" w:rsidRDefault="00922FE1" w:rsidP="00922FE1"/>
    <w:p w14:paraId="61C7160A" w14:textId="77777777" w:rsidR="00922FE1" w:rsidRDefault="00922FE1" w:rsidP="00922FE1"/>
    <w:p w14:paraId="2E179F93" w14:textId="77777777" w:rsidR="00922FE1" w:rsidRDefault="00922FE1" w:rsidP="0047374E">
      <w:pPr>
        <w:rPr>
          <w:rFonts w:ascii="Arial" w:hAnsi="Arial" w:cs="Arial"/>
          <w:b/>
          <w:bCs/>
          <w:sz w:val="32"/>
          <w:szCs w:val="32"/>
        </w:rPr>
      </w:pPr>
    </w:p>
    <w:p w14:paraId="5F9F77FF" w14:textId="52A5388B" w:rsidR="00922FE1" w:rsidRPr="00922FE1" w:rsidRDefault="00922FE1" w:rsidP="0047374E">
      <w:pPr>
        <w:rPr>
          <w:rFonts w:ascii="Arial" w:hAnsi="Arial" w:cs="Arial"/>
        </w:rPr>
      </w:pPr>
      <w:r w:rsidRPr="00922FE1">
        <w:rPr>
          <w:rFonts w:ascii="Arial" w:hAnsi="Arial" w:cs="Arial"/>
          <w:b/>
          <w:bCs/>
          <w:sz w:val="32"/>
          <w:szCs w:val="32"/>
        </w:rPr>
        <w:lastRenderedPageBreak/>
        <w:t xml:space="preserve">Portfolio Content </w:t>
      </w:r>
      <w:r>
        <w:rPr>
          <w:rFonts w:ascii="Arial" w:hAnsi="Arial" w:cs="Arial"/>
          <w:b/>
          <w:bCs/>
          <w:sz w:val="32"/>
          <w:szCs w:val="32"/>
        </w:rPr>
        <w:t xml:space="preserve">                                                     </w:t>
      </w:r>
      <w:r w:rsidR="00A24CA6">
        <w:rPr>
          <w:rFonts w:ascii="Arial" w:hAnsi="Arial" w:cs="Arial"/>
          <w:b/>
          <w:bCs/>
          <w:sz w:val="32"/>
          <w:szCs w:val="32"/>
        </w:rPr>
        <w:tab/>
      </w:r>
      <w:r w:rsidRPr="00922FE1">
        <w:rPr>
          <w:rFonts w:ascii="Arial" w:hAnsi="Arial" w:cs="Arial"/>
          <w:sz w:val="32"/>
          <w:szCs w:val="32"/>
        </w:rPr>
        <w:t xml:space="preserve">      </w:t>
      </w:r>
      <w:r w:rsidRPr="00922FE1">
        <w:rPr>
          <w:rFonts w:ascii="Arial" w:hAnsi="Arial" w:cs="Arial"/>
          <w:b/>
          <w:bCs/>
          <w:sz w:val="32"/>
          <w:szCs w:val="32"/>
        </w:rPr>
        <w:t xml:space="preserve">       </w:t>
      </w:r>
      <w:r w:rsidRPr="00922FE1">
        <w:rPr>
          <w:rFonts w:ascii="Arial" w:hAnsi="Arial" w:cs="Arial"/>
        </w:rPr>
        <w:t xml:space="preserve">                                                                                                                    </w:t>
      </w:r>
    </w:p>
    <w:p w14:paraId="0B54BF97" w14:textId="07971AC6" w:rsidR="00922FE1" w:rsidRPr="00922FE1" w:rsidRDefault="00922FE1" w:rsidP="00922FE1">
      <w:pPr>
        <w:rPr>
          <w:rFonts w:ascii="Arial" w:hAnsi="Arial" w:cs="Arial"/>
          <w:b/>
          <w:bCs/>
        </w:rPr>
      </w:pPr>
      <w:r w:rsidRPr="00922FE1">
        <w:rPr>
          <w:rFonts w:ascii="Arial" w:hAnsi="Arial" w:cs="Arial"/>
          <w:b/>
          <w:bCs/>
        </w:rPr>
        <w:t>Section 1: Compare and contrast two different play-based approaches, you                    should include a critical analysis of the curricula guidance</w:t>
      </w:r>
    </w:p>
    <w:p w14:paraId="32831E20" w14:textId="1BFEF7E2" w:rsidR="00922FE1" w:rsidRPr="00922FE1" w:rsidRDefault="00922FE1" w:rsidP="0047374E">
      <w:pPr>
        <w:rPr>
          <w:rFonts w:ascii="Arial" w:hAnsi="Arial" w:cs="Arial"/>
        </w:rPr>
      </w:pPr>
      <w:r w:rsidRPr="00922FE1">
        <w:rPr>
          <w:rFonts w:ascii="Arial" w:hAnsi="Arial" w:cs="Arial"/>
        </w:rPr>
        <w:t>Contextual Foundation</w:t>
      </w:r>
    </w:p>
    <w:p w14:paraId="6CE5DDB3" w14:textId="65C6618E" w:rsidR="00922FE1" w:rsidRPr="00922FE1" w:rsidRDefault="00922FE1" w:rsidP="0047374E">
      <w:pPr>
        <w:rPr>
          <w:rFonts w:ascii="Arial" w:hAnsi="Arial" w:cs="Arial"/>
        </w:rPr>
      </w:pPr>
      <w:r w:rsidRPr="00922FE1">
        <w:rPr>
          <w:rFonts w:ascii="Arial" w:hAnsi="Arial" w:cs="Arial"/>
        </w:rPr>
        <w:tab/>
        <w:t xml:space="preserve">Curricular Overview </w:t>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00A24CA6">
        <w:rPr>
          <w:rFonts w:ascii="Arial" w:hAnsi="Arial" w:cs="Arial"/>
        </w:rPr>
        <w:tab/>
      </w:r>
    </w:p>
    <w:p w14:paraId="2D384472" w14:textId="06997428" w:rsidR="00922FE1" w:rsidRPr="00922FE1" w:rsidRDefault="00922FE1" w:rsidP="0047374E">
      <w:pPr>
        <w:rPr>
          <w:rFonts w:ascii="Arial" w:hAnsi="Arial" w:cs="Arial"/>
        </w:rPr>
      </w:pPr>
      <w:r w:rsidRPr="00922FE1">
        <w:rPr>
          <w:rFonts w:ascii="Arial" w:hAnsi="Arial" w:cs="Arial"/>
        </w:rPr>
        <w:tab/>
        <w:t>Policy Intentions</w:t>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00A24CA6">
        <w:rPr>
          <w:rFonts w:ascii="Arial" w:hAnsi="Arial" w:cs="Arial"/>
        </w:rPr>
        <w:tab/>
      </w:r>
    </w:p>
    <w:p w14:paraId="73249D70" w14:textId="644FA4BF" w:rsidR="00922FE1" w:rsidRPr="00922FE1" w:rsidRDefault="00922FE1" w:rsidP="0047374E">
      <w:pPr>
        <w:rPr>
          <w:rFonts w:ascii="Arial" w:hAnsi="Arial" w:cs="Arial"/>
        </w:rPr>
      </w:pPr>
      <w:r w:rsidRPr="00922FE1">
        <w:rPr>
          <w:rFonts w:ascii="Arial" w:hAnsi="Arial" w:cs="Arial"/>
        </w:rPr>
        <w:t>Theoretical Underpinnings</w:t>
      </w:r>
    </w:p>
    <w:p w14:paraId="1849B938" w14:textId="4809E7C4" w:rsidR="00922FE1" w:rsidRPr="00922FE1" w:rsidRDefault="00922FE1" w:rsidP="00922FE1">
      <w:pPr>
        <w:ind w:firstLine="720"/>
        <w:rPr>
          <w:rFonts w:ascii="Arial" w:hAnsi="Arial" w:cs="Arial"/>
        </w:rPr>
      </w:pPr>
      <w:r w:rsidRPr="00922FE1">
        <w:rPr>
          <w:rFonts w:ascii="Arial" w:hAnsi="Arial" w:cs="Arial"/>
        </w:rPr>
        <w:t>Key Theorists</w:t>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00A24CA6">
        <w:rPr>
          <w:rFonts w:ascii="Arial" w:hAnsi="Arial" w:cs="Arial"/>
        </w:rPr>
        <w:tab/>
      </w:r>
    </w:p>
    <w:p w14:paraId="38776E21" w14:textId="3F0D1DC0" w:rsidR="00922FE1" w:rsidRPr="00922FE1" w:rsidRDefault="00922FE1" w:rsidP="00922FE1">
      <w:pPr>
        <w:spacing w:line="278" w:lineRule="auto"/>
        <w:ind w:left="720"/>
        <w:rPr>
          <w:rFonts w:ascii="Arial" w:hAnsi="Arial" w:cs="Arial"/>
        </w:rPr>
      </w:pPr>
      <w:r w:rsidRPr="00922FE1">
        <w:rPr>
          <w:rFonts w:ascii="Arial" w:hAnsi="Arial" w:cs="Arial"/>
        </w:rPr>
        <w:t>Critical Lens</w:t>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00A24CA6">
        <w:rPr>
          <w:rFonts w:ascii="Arial" w:hAnsi="Arial" w:cs="Arial"/>
        </w:rPr>
        <w:tab/>
      </w:r>
    </w:p>
    <w:p w14:paraId="3D05E0AF" w14:textId="179DCCF6" w:rsidR="00922FE1" w:rsidRPr="00922FE1" w:rsidRDefault="00922FE1" w:rsidP="00922FE1">
      <w:pPr>
        <w:spacing w:line="278" w:lineRule="auto"/>
        <w:rPr>
          <w:rFonts w:ascii="Arial" w:hAnsi="Arial" w:cs="Arial"/>
          <w:b/>
          <w:bCs/>
        </w:rPr>
      </w:pPr>
      <w:r w:rsidRPr="00922FE1">
        <w:rPr>
          <w:rFonts w:ascii="Arial" w:hAnsi="Arial" w:cs="Arial"/>
        </w:rPr>
        <w:t>Pedagogical Application</w:t>
      </w:r>
    </w:p>
    <w:p w14:paraId="258973B7" w14:textId="753B1687" w:rsidR="00922FE1" w:rsidRPr="00922FE1" w:rsidRDefault="00922FE1" w:rsidP="00922FE1">
      <w:pPr>
        <w:spacing w:line="278" w:lineRule="auto"/>
        <w:ind w:left="720"/>
        <w:rPr>
          <w:rFonts w:ascii="Arial" w:hAnsi="Arial" w:cs="Arial"/>
        </w:rPr>
      </w:pPr>
      <w:r w:rsidRPr="00922FE1">
        <w:rPr>
          <w:rFonts w:ascii="Arial" w:hAnsi="Arial" w:cs="Arial"/>
        </w:rPr>
        <w:t>Role of the Practitioner</w:t>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00A24CA6">
        <w:rPr>
          <w:rFonts w:ascii="Arial" w:hAnsi="Arial" w:cs="Arial"/>
        </w:rPr>
        <w:tab/>
      </w:r>
    </w:p>
    <w:p w14:paraId="339E11DF" w14:textId="76DC39B1" w:rsidR="00922FE1" w:rsidRPr="00922FE1" w:rsidRDefault="00922FE1" w:rsidP="00922FE1">
      <w:pPr>
        <w:spacing w:line="278" w:lineRule="auto"/>
        <w:ind w:left="720"/>
        <w:rPr>
          <w:rFonts w:ascii="Arial" w:hAnsi="Arial" w:cs="Arial"/>
        </w:rPr>
      </w:pPr>
      <w:r w:rsidRPr="00922FE1">
        <w:rPr>
          <w:rFonts w:ascii="Arial" w:hAnsi="Arial" w:cs="Arial"/>
        </w:rPr>
        <w:t>Environment as a Third Teacher</w:t>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00A24CA6">
        <w:rPr>
          <w:rFonts w:ascii="Arial" w:hAnsi="Arial" w:cs="Arial"/>
        </w:rPr>
        <w:tab/>
      </w:r>
    </w:p>
    <w:p w14:paraId="3ABF90C6" w14:textId="799E36DB" w:rsidR="00922FE1" w:rsidRPr="00922FE1" w:rsidRDefault="00922FE1" w:rsidP="00922FE1">
      <w:pPr>
        <w:spacing w:line="278" w:lineRule="auto"/>
        <w:rPr>
          <w:rFonts w:ascii="Arial" w:hAnsi="Arial" w:cs="Arial"/>
        </w:rPr>
      </w:pPr>
      <w:r w:rsidRPr="00922FE1">
        <w:rPr>
          <w:rFonts w:ascii="Arial" w:hAnsi="Arial" w:cs="Arial"/>
        </w:rPr>
        <w:t>Benefits of Play-Based Learning</w:t>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Pr="00922FE1">
        <w:rPr>
          <w:rFonts w:ascii="Arial" w:hAnsi="Arial" w:cs="Arial"/>
        </w:rPr>
        <w:tab/>
      </w:r>
      <w:r w:rsidR="00A24CA6">
        <w:rPr>
          <w:rFonts w:ascii="Arial" w:hAnsi="Arial" w:cs="Arial"/>
        </w:rPr>
        <w:tab/>
      </w:r>
    </w:p>
    <w:p w14:paraId="7AB377E7" w14:textId="45AB5DA1" w:rsidR="00922FE1" w:rsidRPr="00922FE1" w:rsidRDefault="00922FE1" w:rsidP="00922FE1">
      <w:pPr>
        <w:spacing w:line="278" w:lineRule="auto"/>
        <w:rPr>
          <w:rFonts w:ascii="Arial" w:hAnsi="Arial" w:cs="Arial"/>
        </w:rPr>
      </w:pPr>
      <w:r w:rsidRPr="00922FE1">
        <w:rPr>
          <w:rFonts w:ascii="Arial" w:hAnsi="Arial" w:cs="Arial"/>
        </w:rPr>
        <w:t xml:space="preserve">Recommendations for Practice and Policy </w:t>
      </w:r>
      <w:r w:rsidRPr="00922FE1">
        <w:rPr>
          <w:rFonts w:ascii="Arial" w:hAnsi="Arial" w:cs="Arial"/>
          <w:color w:val="FF0000"/>
        </w:rPr>
        <w:tab/>
      </w:r>
      <w:r w:rsidRPr="00922FE1">
        <w:rPr>
          <w:rFonts w:ascii="Arial" w:hAnsi="Arial" w:cs="Arial"/>
          <w:color w:val="FF0000"/>
        </w:rPr>
        <w:tab/>
      </w:r>
      <w:r w:rsidRPr="00922FE1">
        <w:rPr>
          <w:rFonts w:ascii="Arial" w:hAnsi="Arial" w:cs="Arial"/>
          <w:color w:val="FF0000"/>
        </w:rPr>
        <w:tab/>
      </w:r>
      <w:r w:rsidRPr="00922FE1">
        <w:rPr>
          <w:rFonts w:ascii="Arial" w:hAnsi="Arial" w:cs="Arial"/>
          <w:color w:val="FF0000"/>
        </w:rPr>
        <w:tab/>
      </w:r>
      <w:r w:rsidRPr="00922FE1">
        <w:rPr>
          <w:rFonts w:ascii="Arial" w:hAnsi="Arial" w:cs="Arial"/>
          <w:color w:val="FF0000"/>
        </w:rPr>
        <w:tab/>
      </w:r>
      <w:r w:rsidRPr="00922FE1">
        <w:rPr>
          <w:rFonts w:ascii="Arial" w:hAnsi="Arial" w:cs="Arial"/>
          <w:color w:val="FF0000"/>
        </w:rPr>
        <w:tab/>
      </w:r>
      <w:r w:rsidR="00A24CA6">
        <w:rPr>
          <w:rFonts w:ascii="Arial" w:hAnsi="Arial" w:cs="Arial"/>
          <w:color w:val="FF0000"/>
        </w:rPr>
        <w:tab/>
      </w:r>
    </w:p>
    <w:p w14:paraId="38CD659A" w14:textId="0A020312" w:rsidR="00922FE1" w:rsidRDefault="00922FE1" w:rsidP="00922FE1">
      <w:pPr>
        <w:spacing w:line="278" w:lineRule="auto"/>
        <w:rPr>
          <w:rFonts w:ascii="Arial" w:hAnsi="Arial" w:cs="Arial"/>
        </w:rPr>
      </w:pPr>
      <w:r w:rsidRPr="00922FE1">
        <w:rPr>
          <w:rFonts w:ascii="Arial" w:hAnsi="Arial" w:cs="Arial"/>
        </w:rPr>
        <w:t>Conclusion</w:t>
      </w:r>
    </w:p>
    <w:p w14:paraId="60936CCF" w14:textId="77777777" w:rsidR="00922FE1" w:rsidRPr="00922FE1" w:rsidRDefault="00922FE1" w:rsidP="00922FE1">
      <w:pPr>
        <w:spacing w:line="278" w:lineRule="auto"/>
        <w:rPr>
          <w:rFonts w:ascii="Arial" w:hAnsi="Arial" w:cs="Arial"/>
        </w:rPr>
      </w:pPr>
    </w:p>
    <w:p w14:paraId="032B1E87" w14:textId="70593CBB" w:rsidR="00922FE1" w:rsidRPr="00922FE1" w:rsidRDefault="00922FE1" w:rsidP="00922FE1">
      <w:pPr>
        <w:spacing w:after="0" w:line="360" w:lineRule="auto"/>
        <w:rPr>
          <w:rFonts w:ascii="Arial" w:hAnsi="Arial" w:cs="Arial"/>
        </w:rPr>
      </w:pPr>
      <w:r w:rsidRPr="00922FE1">
        <w:rPr>
          <w:rFonts w:ascii="Arial" w:hAnsi="Arial" w:cs="Arial"/>
          <w:b/>
          <w:bCs/>
        </w:rPr>
        <w:t xml:space="preserve">Section 2: A critical evaluation of assessment methods, progress tracking or                          age and stage related development models within play-based curricula                                                     </w:t>
      </w:r>
      <w:r w:rsidRPr="00922FE1">
        <w:rPr>
          <w:rFonts w:ascii="Arial" w:hAnsi="Arial" w:cs="Arial"/>
        </w:rPr>
        <w:t xml:space="preserve">Role of assessment </w:t>
      </w:r>
    </w:p>
    <w:p w14:paraId="283EC922" w14:textId="77777777" w:rsidR="00922FE1" w:rsidRPr="00922FE1" w:rsidRDefault="00922FE1" w:rsidP="00922FE1">
      <w:pPr>
        <w:spacing w:after="0" w:line="360" w:lineRule="auto"/>
        <w:rPr>
          <w:rFonts w:ascii="Arial" w:hAnsi="Arial" w:cs="Arial"/>
        </w:rPr>
      </w:pPr>
      <w:r w:rsidRPr="00922FE1">
        <w:rPr>
          <w:rFonts w:ascii="Arial" w:hAnsi="Arial" w:cs="Arial"/>
        </w:rPr>
        <w:t xml:space="preserve">Early Years Assessment Strategies in England and Wales </w:t>
      </w:r>
    </w:p>
    <w:p w14:paraId="3750A0E6" w14:textId="4954E3CC" w:rsidR="00922FE1" w:rsidRPr="00922FE1" w:rsidRDefault="00922FE1" w:rsidP="00922FE1">
      <w:pPr>
        <w:spacing w:after="0" w:line="360" w:lineRule="auto"/>
        <w:rPr>
          <w:rFonts w:ascii="Arial" w:hAnsi="Arial" w:cs="Arial"/>
        </w:rPr>
      </w:pPr>
      <w:r w:rsidRPr="00922FE1">
        <w:rPr>
          <w:rFonts w:ascii="Arial" w:hAnsi="Arial" w:cs="Arial"/>
        </w:rPr>
        <w:tab/>
        <w:t>Formative</w:t>
      </w:r>
    </w:p>
    <w:p w14:paraId="05E00F6E" w14:textId="7174D8B4" w:rsidR="00922FE1" w:rsidRPr="00922FE1" w:rsidRDefault="00922FE1" w:rsidP="00922FE1">
      <w:pPr>
        <w:spacing w:after="0" w:line="360" w:lineRule="auto"/>
        <w:rPr>
          <w:rFonts w:ascii="Arial" w:hAnsi="Arial" w:cs="Arial"/>
        </w:rPr>
      </w:pPr>
      <w:r w:rsidRPr="00922FE1">
        <w:rPr>
          <w:rFonts w:ascii="Arial" w:hAnsi="Arial" w:cs="Arial"/>
        </w:rPr>
        <w:tab/>
        <w:t>Summative</w:t>
      </w:r>
    </w:p>
    <w:p w14:paraId="73F4A41D" w14:textId="40EFF199" w:rsidR="00922FE1" w:rsidRPr="00922FE1" w:rsidRDefault="00922FE1" w:rsidP="00922FE1">
      <w:pPr>
        <w:spacing w:after="0" w:line="360" w:lineRule="auto"/>
        <w:rPr>
          <w:rFonts w:ascii="Arial" w:hAnsi="Arial" w:cs="Arial"/>
        </w:rPr>
      </w:pPr>
      <w:r w:rsidRPr="00922FE1">
        <w:rPr>
          <w:rFonts w:ascii="Arial" w:hAnsi="Arial" w:cs="Arial"/>
        </w:rPr>
        <w:t>Assessment in Practice centred around the ‘Unique Child’</w:t>
      </w:r>
    </w:p>
    <w:p w14:paraId="7CF343EA" w14:textId="77777777" w:rsidR="00922FE1" w:rsidRPr="00922FE1" w:rsidRDefault="00922FE1" w:rsidP="00922FE1">
      <w:pPr>
        <w:spacing w:after="0" w:line="360" w:lineRule="auto"/>
        <w:rPr>
          <w:rFonts w:ascii="Arial" w:hAnsi="Arial" w:cs="Arial"/>
        </w:rPr>
      </w:pPr>
      <w:r w:rsidRPr="00922FE1">
        <w:rPr>
          <w:rFonts w:ascii="Arial" w:hAnsi="Arial" w:cs="Arial"/>
        </w:rPr>
        <w:tab/>
        <w:t xml:space="preserve">Observation </w:t>
      </w:r>
    </w:p>
    <w:p w14:paraId="35F38CC3" w14:textId="77777777" w:rsidR="00922FE1" w:rsidRPr="00922FE1" w:rsidRDefault="00922FE1" w:rsidP="00922FE1">
      <w:pPr>
        <w:spacing w:after="0" w:line="360" w:lineRule="auto"/>
        <w:rPr>
          <w:rFonts w:ascii="Arial" w:hAnsi="Arial" w:cs="Arial"/>
        </w:rPr>
      </w:pPr>
      <w:r w:rsidRPr="00922FE1">
        <w:rPr>
          <w:rFonts w:ascii="Arial" w:hAnsi="Arial" w:cs="Arial"/>
        </w:rPr>
        <w:tab/>
        <w:t xml:space="preserve">Baseline Assessment </w:t>
      </w:r>
    </w:p>
    <w:p w14:paraId="693D52A5" w14:textId="77777777" w:rsidR="00922FE1" w:rsidRPr="00922FE1" w:rsidRDefault="00922FE1" w:rsidP="00922FE1">
      <w:pPr>
        <w:spacing w:after="0" w:line="360" w:lineRule="auto"/>
        <w:rPr>
          <w:rFonts w:ascii="Arial" w:hAnsi="Arial" w:cs="Arial"/>
        </w:rPr>
      </w:pPr>
      <w:r w:rsidRPr="00922FE1">
        <w:rPr>
          <w:rFonts w:ascii="Arial" w:hAnsi="Arial" w:cs="Arial"/>
        </w:rPr>
        <w:tab/>
        <w:t>Electronic Tracking Programmes</w:t>
      </w:r>
    </w:p>
    <w:p w14:paraId="72B27132" w14:textId="42AD7483" w:rsidR="00922FE1" w:rsidRPr="00922FE1" w:rsidRDefault="00922FE1" w:rsidP="00922FE1">
      <w:pPr>
        <w:spacing w:after="0" w:line="360" w:lineRule="auto"/>
        <w:rPr>
          <w:rFonts w:ascii="Arial" w:hAnsi="Arial" w:cs="Arial"/>
        </w:rPr>
      </w:pPr>
      <w:r w:rsidRPr="00922FE1">
        <w:rPr>
          <w:rFonts w:ascii="Arial" w:hAnsi="Arial" w:cs="Arial"/>
        </w:rPr>
        <w:t>Conclusion</w:t>
      </w:r>
    </w:p>
    <w:p w14:paraId="46ADC97D" w14:textId="70986220" w:rsidR="00922FE1" w:rsidRPr="00922FE1" w:rsidRDefault="00922FE1" w:rsidP="00922FE1">
      <w:pPr>
        <w:spacing w:after="0" w:line="360" w:lineRule="auto"/>
        <w:rPr>
          <w:rFonts w:ascii="Arial" w:hAnsi="Arial" w:cs="Arial"/>
        </w:rPr>
      </w:pPr>
    </w:p>
    <w:p w14:paraId="6784CC89" w14:textId="70E0BFFB" w:rsidR="00922FE1" w:rsidRDefault="00922FE1" w:rsidP="00922FE1">
      <w:pPr>
        <w:spacing w:line="360" w:lineRule="auto"/>
        <w:rPr>
          <w:rFonts w:ascii="Arial" w:hAnsi="Arial" w:cs="Arial"/>
        </w:rPr>
      </w:pPr>
      <w:r w:rsidRPr="00922FE1">
        <w:rPr>
          <w:rFonts w:ascii="Arial" w:hAnsi="Arial" w:cs="Arial"/>
          <w:b/>
          <w:bCs/>
        </w:rPr>
        <w:t>Section 3: Blog suitable for a professional publication linked to considerations needed when implementing a play-based curriculum/curriculum change</w:t>
      </w:r>
      <w:r w:rsidRPr="00922FE1">
        <w:rPr>
          <w:rFonts w:ascii="Arial" w:hAnsi="Arial" w:cs="Arial"/>
        </w:rPr>
        <w:t xml:space="preserve"> </w:t>
      </w:r>
    </w:p>
    <w:p w14:paraId="3F3EF6C5" w14:textId="223E918C" w:rsidR="00922FE1" w:rsidRPr="00922FE1" w:rsidRDefault="00922FE1" w:rsidP="00922FE1">
      <w:pPr>
        <w:spacing w:line="360" w:lineRule="auto"/>
        <w:rPr>
          <w:rFonts w:ascii="Arial" w:hAnsi="Arial" w:cs="Arial"/>
          <w:b/>
          <w:bCs/>
        </w:rPr>
      </w:pPr>
      <w:r w:rsidRPr="00922FE1">
        <w:rPr>
          <w:rFonts w:ascii="Arial" w:hAnsi="Arial" w:cs="Arial"/>
          <w:b/>
          <w:bCs/>
        </w:rPr>
        <w:t>Reference List</w:t>
      </w:r>
    </w:p>
    <w:p w14:paraId="1DEB4A1B" w14:textId="6CA7A3D2" w:rsidR="00922FE1" w:rsidRDefault="00922FE1" w:rsidP="00922FE1">
      <w:pPr>
        <w:spacing w:after="0" w:line="360" w:lineRule="auto"/>
      </w:pPr>
    </w:p>
    <w:p w14:paraId="4771AB28" w14:textId="0E23BE1F" w:rsidR="0047374E" w:rsidRPr="00C41424" w:rsidRDefault="00FF2C12" w:rsidP="00A8074A">
      <w:pPr>
        <w:spacing w:after="0" w:line="360" w:lineRule="auto"/>
        <w:rPr>
          <w:rFonts w:ascii="Arial" w:hAnsi="Arial" w:cs="Arial"/>
          <w:b/>
          <w:bCs/>
          <w:highlight w:val="green"/>
        </w:rPr>
      </w:pPr>
      <w:r w:rsidRPr="00C41424">
        <w:rPr>
          <w:rFonts w:ascii="Arial" w:hAnsi="Arial" w:cs="Arial"/>
          <w:b/>
          <w:bCs/>
        </w:rPr>
        <w:lastRenderedPageBreak/>
        <w:t>Section 1:</w:t>
      </w:r>
      <w:r w:rsidR="0047374E" w:rsidRPr="00C41424">
        <w:rPr>
          <w:rFonts w:ascii="Arial" w:hAnsi="Arial" w:cs="Arial"/>
          <w:b/>
          <w:bCs/>
        </w:rPr>
        <w:t xml:space="preserve"> Compar</w:t>
      </w:r>
      <w:r w:rsidR="002D5E6E" w:rsidRPr="00C41424">
        <w:rPr>
          <w:rFonts w:ascii="Arial" w:hAnsi="Arial" w:cs="Arial"/>
          <w:b/>
          <w:bCs/>
        </w:rPr>
        <w:t>ing</w:t>
      </w:r>
      <w:r w:rsidR="0047374E" w:rsidRPr="00C41424">
        <w:rPr>
          <w:rFonts w:ascii="Arial" w:hAnsi="Arial" w:cs="Arial"/>
          <w:b/>
          <w:bCs/>
        </w:rPr>
        <w:t xml:space="preserve"> and contrast</w:t>
      </w:r>
      <w:r w:rsidR="002D5E6E" w:rsidRPr="00C41424">
        <w:rPr>
          <w:rFonts w:ascii="Arial" w:hAnsi="Arial" w:cs="Arial"/>
          <w:b/>
          <w:bCs/>
        </w:rPr>
        <w:t>ing</w:t>
      </w:r>
      <w:r w:rsidR="0047374E" w:rsidRPr="00C41424">
        <w:rPr>
          <w:rFonts w:ascii="Arial" w:hAnsi="Arial" w:cs="Arial"/>
          <w:b/>
          <w:bCs/>
        </w:rPr>
        <w:t xml:space="preserve"> two different play-based approaches, includ</w:t>
      </w:r>
      <w:r w:rsidR="002D5E6E" w:rsidRPr="00C41424">
        <w:rPr>
          <w:rFonts w:ascii="Arial" w:hAnsi="Arial" w:cs="Arial"/>
          <w:b/>
          <w:bCs/>
        </w:rPr>
        <w:t>ing</w:t>
      </w:r>
      <w:r w:rsidR="0047374E" w:rsidRPr="00C41424">
        <w:rPr>
          <w:rFonts w:ascii="Arial" w:hAnsi="Arial" w:cs="Arial"/>
          <w:b/>
          <w:bCs/>
        </w:rPr>
        <w:t xml:space="preserve"> a critical analysis of the curricula guidance. </w:t>
      </w:r>
    </w:p>
    <w:p w14:paraId="34C98C2B" w14:textId="77777777" w:rsidR="002D5E6E" w:rsidRDefault="002D5E6E" w:rsidP="00A8074A">
      <w:pPr>
        <w:spacing w:after="0" w:line="360" w:lineRule="auto"/>
        <w:rPr>
          <w:rFonts w:ascii="Arial" w:hAnsi="Arial" w:cs="Arial"/>
          <w:b/>
          <w:bCs/>
        </w:rPr>
      </w:pPr>
    </w:p>
    <w:p w14:paraId="7BF16FD1" w14:textId="2F0437B1" w:rsidR="006942BC" w:rsidRPr="00A8074A" w:rsidRDefault="006942BC" w:rsidP="00A8074A">
      <w:pPr>
        <w:spacing w:after="0" w:line="360" w:lineRule="auto"/>
        <w:rPr>
          <w:rFonts w:ascii="Arial" w:hAnsi="Arial" w:cs="Arial"/>
          <w:b/>
          <w:bCs/>
        </w:rPr>
      </w:pPr>
      <w:r w:rsidRPr="00A8074A">
        <w:rPr>
          <w:rFonts w:ascii="Arial" w:hAnsi="Arial" w:cs="Arial"/>
          <w:b/>
          <w:bCs/>
        </w:rPr>
        <w:t>Contextual Foundation</w:t>
      </w:r>
    </w:p>
    <w:p w14:paraId="785BA520" w14:textId="77777777" w:rsidR="006942BC" w:rsidRPr="00A8074A" w:rsidRDefault="006942BC" w:rsidP="00A8074A">
      <w:pPr>
        <w:numPr>
          <w:ilvl w:val="0"/>
          <w:numId w:val="4"/>
        </w:numPr>
        <w:spacing w:after="0" w:line="360" w:lineRule="auto"/>
        <w:rPr>
          <w:rFonts w:ascii="Arial" w:hAnsi="Arial" w:cs="Arial"/>
        </w:rPr>
      </w:pPr>
      <w:r w:rsidRPr="00A8074A">
        <w:rPr>
          <w:rFonts w:ascii="Arial" w:hAnsi="Arial" w:cs="Arial"/>
          <w:b/>
          <w:bCs/>
        </w:rPr>
        <w:t>Curricular Overview:</w:t>
      </w:r>
    </w:p>
    <w:p w14:paraId="575470BA" w14:textId="51EC6B2E" w:rsidR="006942BC" w:rsidRDefault="006942BC" w:rsidP="00A8074A">
      <w:pPr>
        <w:spacing w:after="0" w:line="360" w:lineRule="auto"/>
        <w:rPr>
          <w:rFonts w:ascii="Arial" w:hAnsi="Arial" w:cs="Arial"/>
        </w:rPr>
      </w:pPr>
      <w:r w:rsidRPr="00A8074A">
        <w:rPr>
          <w:rFonts w:ascii="Arial" w:hAnsi="Arial" w:cs="Arial"/>
        </w:rPr>
        <w:t xml:space="preserve">For children in England from birth to age five, the </w:t>
      </w:r>
      <w:r w:rsidR="00922FE1" w:rsidRPr="00A8074A">
        <w:rPr>
          <w:rFonts w:ascii="Arial" w:hAnsi="Arial" w:cs="Arial"/>
        </w:rPr>
        <w:t xml:space="preserve">Early Years Foundation Stage [hereafter EYFS] Framework </w:t>
      </w:r>
      <w:r w:rsidRPr="00A8074A">
        <w:rPr>
          <w:rFonts w:ascii="Arial" w:hAnsi="Arial" w:cs="Arial"/>
        </w:rPr>
        <w:t>(</w:t>
      </w:r>
      <w:r w:rsidR="00491512" w:rsidRPr="00A8074A">
        <w:rPr>
          <w:rFonts w:ascii="Arial" w:hAnsi="Arial" w:cs="Arial"/>
        </w:rPr>
        <w:t>Department for Education</w:t>
      </w:r>
      <w:r w:rsidRPr="00A8074A">
        <w:rPr>
          <w:rFonts w:ascii="Arial" w:hAnsi="Arial" w:cs="Arial"/>
        </w:rPr>
        <w:t xml:space="preserve">, 2021) </w:t>
      </w:r>
      <w:r w:rsidR="00922FE1" w:rsidRPr="00A8074A">
        <w:rPr>
          <w:rFonts w:ascii="Arial" w:hAnsi="Arial" w:cs="Arial"/>
        </w:rPr>
        <w:t xml:space="preserve">[hereafter DfE] </w:t>
      </w:r>
      <w:r w:rsidRPr="00A8074A">
        <w:rPr>
          <w:rFonts w:ascii="Arial" w:hAnsi="Arial" w:cs="Arial"/>
        </w:rPr>
        <w:t xml:space="preserve">establishes legislative criteria for learning, development, and care. Underpinned by the Characteristics of Effective Teaching and Learning, it specifies seven domains of learning, such as active learning, critical thinking and creation, play and exploration. </w:t>
      </w:r>
    </w:p>
    <w:p w14:paraId="4DA6C839" w14:textId="77777777" w:rsidR="00A8074A" w:rsidRPr="00A8074A" w:rsidRDefault="00A8074A" w:rsidP="00A8074A">
      <w:pPr>
        <w:spacing w:after="0" w:line="360" w:lineRule="auto"/>
        <w:rPr>
          <w:rFonts w:ascii="Arial" w:hAnsi="Arial" w:cs="Arial"/>
        </w:rPr>
      </w:pPr>
    </w:p>
    <w:p w14:paraId="4B6962F2" w14:textId="3DAED170" w:rsidR="006942BC" w:rsidRPr="00A8074A" w:rsidRDefault="006942BC" w:rsidP="00A8074A">
      <w:pPr>
        <w:spacing w:after="0" w:line="360" w:lineRule="auto"/>
        <w:rPr>
          <w:rFonts w:ascii="Arial" w:hAnsi="Arial" w:cs="Arial"/>
        </w:rPr>
      </w:pPr>
      <w:r w:rsidRPr="00A8074A">
        <w:rPr>
          <w:rFonts w:ascii="Arial" w:hAnsi="Arial" w:cs="Arial"/>
        </w:rPr>
        <w:t>The Curriculum for Wales, which outlines Wales's early years framework, emphasises a customised, play-based approach to learning to acknowledge each child as a unique individual</w:t>
      </w:r>
      <w:r w:rsidR="00922FE1" w:rsidRPr="00A8074A">
        <w:rPr>
          <w:rFonts w:ascii="Arial" w:hAnsi="Arial" w:cs="Arial"/>
        </w:rPr>
        <w:t xml:space="preserve"> (Welsh Government, 2022) [hereafter WG]</w:t>
      </w:r>
      <w:r w:rsidRPr="00A8074A">
        <w:rPr>
          <w:rFonts w:ascii="Arial" w:hAnsi="Arial" w:cs="Arial"/>
        </w:rPr>
        <w:t xml:space="preserve">. </w:t>
      </w:r>
      <w:r w:rsidR="00922FE1" w:rsidRPr="00A8074A">
        <w:rPr>
          <w:rFonts w:ascii="Arial" w:hAnsi="Arial" w:cs="Arial"/>
        </w:rPr>
        <w:t>Similar to the</w:t>
      </w:r>
      <w:r w:rsidRPr="00A8074A">
        <w:rPr>
          <w:rFonts w:ascii="Arial" w:hAnsi="Arial" w:cs="Arial"/>
        </w:rPr>
        <w:t xml:space="preserve"> EYFS</w:t>
      </w:r>
      <w:r w:rsidR="00922FE1" w:rsidRPr="00A8074A">
        <w:rPr>
          <w:rFonts w:ascii="Arial" w:hAnsi="Arial" w:cs="Arial"/>
        </w:rPr>
        <w:t xml:space="preserve"> framework</w:t>
      </w:r>
      <w:r w:rsidRPr="00A8074A">
        <w:rPr>
          <w:rFonts w:ascii="Arial" w:hAnsi="Arial" w:cs="Arial"/>
        </w:rPr>
        <w:t>, it emphasises fostering strong bonds and wellbeing</w:t>
      </w:r>
      <w:r w:rsidR="00922FE1" w:rsidRPr="00A8074A">
        <w:rPr>
          <w:rFonts w:ascii="Arial" w:hAnsi="Arial" w:cs="Arial"/>
        </w:rPr>
        <w:t>,</w:t>
      </w:r>
      <w:r w:rsidRPr="00A8074A">
        <w:rPr>
          <w:rFonts w:ascii="Arial" w:hAnsi="Arial" w:cs="Arial"/>
        </w:rPr>
        <w:t xml:space="preserve"> while assisting children in becoming aspirational learners, healthy people, moral citizens, and creative contributors. In keeping with Wales's bilingual and diverse setting, the framework also places a high priority on inclusivity and cultural responsiveness (WG, 2022; DfE, 2021).</w:t>
      </w:r>
      <w:r w:rsidR="00922FE1" w:rsidRPr="00A8074A">
        <w:rPr>
          <w:rFonts w:ascii="Arial" w:hAnsi="Arial" w:cs="Arial"/>
        </w:rPr>
        <w:t xml:space="preserve"> </w:t>
      </w:r>
      <w:r w:rsidRPr="00A8074A">
        <w:rPr>
          <w:rFonts w:ascii="Arial" w:hAnsi="Arial" w:cs="Arial"/>
        </w:rPr>
        <w:t>Curriculum for Wales considers each child to be unique, allowing everyone to grow at a distinct, individual pace. Children should have an opportunity to practise new skills in various contexts</w:t>
      </w:r>
      <w:r w:rsidR="00922FE1" w:rsidRPr="00A8074A">
        <w:rPr>
          <w:rFonts w:ascii="Arial" w:hAnsi="Arial" w:cs="Arial"/>
        </w:rPr>
        <w:t xml:space="preserve"> and</w:t>
      </w:r>
      <w:r w:rsidRPr="00A8074A">
        <w:rPr>
          <w:rFonts w:ascii="Arial" w:hAnsi="Arial" w:cs="Arial"/>
        </w:rPr>
        <w:t xml:space="preserve"> reflect on their work. Children should have their own work acknowledged, respected, and supported in all facets of their growth since it is honest and unique (WG</w:t>
      </w:r>
      <w:r w:rsidR="00922FE1" w:rsidRPr="00A8074A">
        <w:rPr>
          <w:rFonts w:ascii="Arial" w:hAnsi="Arial" w:cs="Arial"/>
        </w:rPr>
        <w:t>,</w:t>
      </w:r>
      <w:r w:rsidRPr="00A8074A">
        <w:rPr>
          <w:rFonts w:ascii="Arial" w:hAnsi="Arial" w:cs="Arial"/>
        </w:rPr>
        <w:t xml:space="preserve"> 2015)</w:t>
      </w:r>
    </w:p>
    <w:p w14:paraId="14FC1FB0" w14:textId="77777777" w:rsidR="00922FE1" w:rsidRPr="00A8074A" w:rsidRDefault="00922FE1" w:rsidP="00A8074A">
      <w:pPr>
        <w:spacing w:after="0" w:line="360" w:lineRule="auto"/>
        <w:rPr>
          <w:rFonts w:ascii="Arial" w:hAnsi="Arial" w:cs="Arial"/>
        </w:rPr>
      </w:pPr>
    </w:p>
    <w:p w14:paraId="6ABE6259" w14:textId="3C55DAB7" w:rsidR="006942BC" w:rsidRPr="00A8074A" w:rsidRDefault="006942BC" w:rsidP="00A8074A">
      <w:pPr>
        <w:spacing w:after="0" w:line="360" w:lineRule="auto"/>
        <w:rPr>
          <w:rFonts w:ascii="Arial" w:hAnsi="Arial" w:cs="Arial"/>
        </w:rPr>
      </w:pPr>
      <w:r w:rsidRPr="00A8074A">
        <w:rPr>
          <w:rFonts w:ascii="Arial" w:hAnsi="Arial" w:cs="Arial"/>
        </w:rPr>
        <w:t>Despite their shared belief in the value of play in early childhood education, England and Wales have very different curricula in actual use</w:t>
      </w:r>
      <w:r w:rsidR="008B780B" w:rsidRPr="00A8074A">
        <w:rPr>
          <w:rFonts w:ascii="Arial" w:hAnsi="Arial" w:cs="Arial"/>
        </w:rPr>
        <w:t xml:space="preserve">. </w:t>
      </w:r>
      <w:r w:rsidR="00922FE1" w:rsidRPr="00A8074A">
        <w:rPr>
          <w:rFonts w:ascii="Arial" w:hAnsi="Arial" w:cs="Arial"/>
        </w:rPr>
        <w:t xml:space="preserve">Curriculum for Wales </w:t>
      </w:r>
      <w:r w:rsidRPr="00A8074A">
        <w:rPr>
          <w:rFonts w:ascii="Arial" w:hAnsi="Arial" w:cs="Arial"/>
        </w:rPr>
        <w:t xml:space="preserve">maintains a more flexible, child-led philosophy based on developmental psychology and children's rights, while </w:t>
      </w:r>
      <w:r w:rsidR="00922FE1" w:rsidRPr="00A8074A">
        <w:rPr>
          <w:rFonts w:ascii="Arial" w:hAnsi="Arial" w:cs="Arial"/>
        </w:rPr>
        <w:t>the EYFS framework</w:t>
      </w:r>
      <w:r w:rsidRPr="00A8074A">
        <w:rPr>
          <w:rFonts w:ascii="Arial" w:hAnsi="Arial" w:cs="Arial"/>
        </w:rPr>
        <w:t xml:space="preserve"> tends towards a structured, outcome-focused model inspired by school readiness and assessment. A critical analysis of these methods reveals the persistent conflict between pedagogy and play, as well as the necessity of regulations that strike a balance between professional autonomy and accountability to promote children’s overall development</w:t>
      </w:r>
    </w:p>
    <w:p w14:paraId="24CFCED2" w14:textId="77777777" w:rsidR="006942BC" w:rsidRPr="00A8074A" w:rsidRDefault="006942BC" w:rsidP="00A8074A">
      <w:pPr>
        <w:spacing w:after="0" w:line="360" w:lineRule="auto"/>
        <w:ind w:firstLine="360"/>
        <w:rPr>
          <w:rFonts w:ascii="Arial" w:hAnsi="Arial" w:cs="Arial"/>
        </w:rPr>
      </w:pPr>
    </w:p>
    <w:p w14:paraId="533E03A3" w14:textId="77777777" w:rsidR="006942BC" w:rsidRPr="00A8074A" w:rsidRDefault="006942BC" w:rsidP="00A8074A">
      <w:pPr>
        <w:numPr>
          <w:ilvl w:val="0"/>
          <w:numId w:val="4"/>
        </w:numPr>
        <w:spacing w:after="0" w:line="360" w:lineRule="auto"/>
        <w:rPr>
          <w:rFonts w:ascii="Arial" w:hAnsi="Arial" w:cs="Arial"/>
        </w:rPr>
      </w:pPr>
      <w:r w:rsidRPr="00A8074A">
        <w:rPr>
          <w:rFonts w:ascii="Arial" w:hAnsi="Arial" w:cs="Arial"/>
          <w:b/>
          <w:bCs/>
        </w:rPr>
        <w:t>Policy Intentions:</w:t>
      </w:r>
    </w:p>
    <w:p w14:paraId="62EDFB07" w14:textId="1FE8F4C3" w:rsidR="006942BC" w:rsidRDefault="006942BC" w:rsidP="00A8074A">
      <w:pPr>
        <w:spacing w:after="0" w:line="360" w:lineRule="auto"/>
        <w:rPr>
          <w:rFonts w:ascii="Arial" w:hAnsi="Arial" w:cs="Arial"/>
        </w:rPr>
      </w:pPr>
      <w:r w:rsidRPr="00A8074A">
        <w:rPr>
          <w:rFonts w:ascii="Arial" w:hAnsi="Arial" w:cs="Arial"/>
        </w:rPr>
        <w:t>The EYFS framework (</w:t>
      </w:r>
      <w:r w:rsidR="00922FE1" w:rsidRPr="00A8074A">
        <w:rPr>
          <w:rFonts w:ascii="Arial" w:hAnsi="Arial" w:cs="Arial"/>
        </w:rPr>
        <w:t>D</w:t>
      </w:r>
      <w:r w:rsidR="00491512" w:rsidRPr="00A8074A">
        <w:rPr>
          <w:rFonts w:ascii="Arial" w:hAnsi="Arial" w:cs="Arial"/>
        </w:rPr>
        <w:t>fE</w:t>
      </w:r>
      <w:r w:rsidRPr="00A8074A">
        <w:rPr>
          <w:rFonts w:ascii="Arial" w:hAnsi="Arial" w:cs="Arial"/>
        </w:rPr>
        <w:t>, 2021) outlines that children learn best through play and active interaction. It promotes</w:t>
      </w:r>
      <w:r w:rsidR="00491512" w:rsidRPr="00A8074A">
        <w:rPr>
          <w:rFonts w:ascii="Arial" w:hAnsi="Arial" w:cs="Arial"/>
        </w:rPr>
        <w:t xml:space="preserve"> </w:t>
      </w:r>
      <w:r w:rsidR="00922FE1" w:rsidRPr="00A8074A">
        <w:rPr>
          <w:rFonts w:ascii="Arial" w:hAnsi="Arial" w:cs="Arial"/>
        </w:rPr>
        <w:t>p</w:t>
      </w:r>
      <w:r w:rsidRPr="00A8074A">
        <w:rPr>
          <w:rFonts w:ascii="Arial" w:hAnsi="Arial" w:cs="Arial"/>
        </w:rPr>
        <w:t xml:space="preserve">laying and exploring by interacting with novel situations, active learning by maintaining motivation and engagement and critical thinking and creation by </w:t>
      </w:r>
      <w:r w:rsidRPr="00A8074A">
        <w:rPr>
          <w:rFonts w:ascii="Arial" w:hAnsi="Arial" w:cs="Arial"/>
        </w:rPr>
        <w:lastRenderedPageBreak/>
        <w:t>innovation and problem-solving. This illustrates a developmental strategy in which play fosters cognitive, emotional, and physical development (Broadhead, 2003).</w:t>
      </w:r>
    </w:p>
    <w:p w14:paraId="5A2B6F7F" w14:textId="77777777" w:rsidR="00A8074A" w:rsidRDefault="00A8074A" w:rsidP="00A8074A">
      <w:pPr>
        <w:spacing w:after="0" w:line="360" w:lineRule="auto"/>
        <w:rPr>
          <w:rFonts w:ascii="Arial" w:hAnsi="Arial" w:cs="Arial"/>
        </w:rPr>
      </w:pPr>
    </w:p>
    <w:p w14:paraId="41068F65" w14:textId="77777777" w:rsidR="007A29EC" w:rsidRDefault="006942BC" w:rsidP="00A8074A">
      <w:pPr>
        <w:spacing w:after="0" w:line="360" w:lineRule="auto"/>
        <w:rPr>
          <w:rFonts w:ascii="Arial" w:hAnsi="Arial" w:cs="Arial"/>
        </w:rPr>
      </w:pPr>
      <w:r w:rsidRPr="00A8074A">
        <w:rPr>
          <w:rFonts w:ascii="Arial" w:hAnsi="Arial" w:cs="Arial"/>
        </w:rPr>
        <w:t xml:space="preserve">Curriculum for Wales incorporates play-based learning as a key component within the Foundation Learning phase and encompasses children as early as age 3 (WG, 2020). With early education centred around six Areas of Learning and Experience </w:t>
      </w:r>
      <w:r w:rsidR="00922FE1" w:rsidRPr="00A8074A">
        <w:rPr>
          <w:rFonts w:ascii="Arial" w:hAnsi="Arial" w:cs="Arial"/>
        </w:rPr>
        <w:t xml:space="preserve">[hereafter </w:t>
      </w:r>
      <w:r w:rsidRPr="00A8074A">
        <w:rPr>
          <w:rFonts w:ascii="Arial" w:hAnsi="Arial" w:cs="Arial"/>
        </w:rPr>
        <w:t>AoLEs</w:t>
      </w:r>
      <w:r w:rsidR="00922FE1" w:rsidRPr="00A8074A">
        <w:rPr>
          <w:rFonts w:ascii="Arial" w:hAnsi="Arial" w:cs="Arial"/>
        </w:rPr>
        <w:t>]</w:t>
      </w:r>
      <w:r w:rsidRPr="00A8074A">
        <w:rPr>
          <w:rFonts w:ascii="Arial" w:hAnsi="Arial" w:cs="Arial"/>
        </w:rPr>
        <w:t xml:space="preserve"> that promote holistic development and child-led inquiry, the curriculum emphasises experiential and developmentally appropriate learning. </w:t>
      </w:r>
    </w:p>
    <w:p w14:paraId="34A90C58" w14:textId="77777777" w:rsidR="007A29EC" w:rsidRDefault="007A29EC" w:rsidP="00A8074A">
      <w:pPr>
        <w:spacing w:after="0" w:line="360" w:lineRule="auto"/>
        <w:rPr>
          <w:rFonts w:ascii="Arial" w:hAnsi="Arial" w:cs="Arial"/>
        </w:rPr>
      </w:pPr>
    </w:p>
    <w:p w14:paraId="4E2B383F" w14:textId="40241735" w:rsidR="006942BC" w:rsidRDefault="006942BC" w:rsidP="00A8074A">
      <w:pPr>
        <w:spacing w:after="0" w:line="360" w:lineRule="auto"/>
        <w:rPr>
          <w:rFonts w:ascii="Arial" w:hAnsi="Arial" w:cs="Arial"/>
        </w:rPr>
      </w:pPr>
      <w:r w:rsidRPr="00A8074A">
        <w:rPr>
          <w:rFonts w:ascii="Arial" w:hAnsi="Arial" w:cs="Arial"/>
        </w:rPr>
        <w:t>Policy research</w:t>
      </w:r>
      <w:r w:rsidRPr="00A8074A">
        <w:rPr>
          <w:rFonts w:ascii="Arial" w:hAnsi="Arial" w:cs="Arial"/>
          <w:b/>
          <w:bCs/>
        </w:rPr>
        <w:t xml:space="preserve"> </w:t>
      </w:r>
      <w:r w:rsidRPr="00A8074A">
        <w:rPr>
          <w:rFonts w:ascii="Arial" w:hAnsi="Arial" w:cs="Arial"/>
        </w:rPr>
        <w:t>in Wales indicates that practitioners enjoy more professional freedom and are trusted to use their discretion when implementing play-based learning</w:t>
      </w:r>
      <w:r w:rsidR="001E7E54" w:rsidRPr="00A8074A">
        <w:rPr>
          <w:rFonts w:ascii="Arial" w:eastAsia="Times New Roman" w:hAnsi="Arial" w:cs="Arial"/>
          <w:kern w:val="0"/>
          <w:lang w:eastAsia="en-GB"/>
          <w14:ligatures w14:val="none"/>
        </w:rPr>
        <w:t xml:space="preserve"> </w:t>
      </w:r>
      <w:r w:rsidR="001E7E54" w:rsidRPr="00A8074A">
        <w:rPr>
          <w:rFonts w:ascii="Arial" w:hAnsi="Arial" w:cs="Arial"/>
        </w:rPr>
        <w:t xml:space="preserve">(Scherr and Johnson, 2017) </w:t>
      </w:r>
      <w:r w:rsidRPr="00A8074A">
        <w:rPr>
          <w:rFonts w:ascii="Arial" w:hAnsi="Arial" w:cs="Arial"/>
        </w:rPr>
        <w:t>This independence is consistent with Welsh policy's rights-based stance, particularly UNCRC Article 31 “right to play” (United NCRC, 2006).</w:t>
      </w:r>
      <w:r w:rsidR="007A29EC">
        <w:rPr>
          <w:rFonts w:ascii="Arial" w:hAnsi="Arial" w:cs="Arial"/>
        </w:rPr>
        <w:t xml:space="preserve"> </w:t>
      </w:r>
      <w:r w:rsidRPr="00A8074A">
        <w:rPr>
          <w:rFonts w:ascii="Arial" w:hAnsi="Arial" w:cs="Arial"/>
        </w:rPr>
        <w:t>However, Ofsted's inspection system has an influential impact on practice in England. According to research, policy accountability measures may cause the curriculum to become more constrained, making play less important than test preparation (Wood, 2020).</w:t>
      </w:r>
    </w:p>
    <w:p w14:paraId="0EA63688" w14:textId="77777777" w:rsidR="00A8074A" w:rsidRPr="00A8074A" w:rsidRDefault="00A8074A" w:rsidP="00A8074A">
      <w:pPr>
        <w:spacing w:after="0" w:line="360" w:lineRule="auto"/>
        <w:rPr>
          <w:rFonts w:ascii="Arial" w:hAnsi="Arial" w:cs="Arial"/>
        </w:rPr>
      </w:pPr>
    </w:p>
    <w:p w14:paraId="53BDC005" w14:textId="5D6AC12A" w:rsidR="006942BC" w:rsidRPr="00A8074A" w:rsidRDefault="006942BC" w:rsidP="00A8074A">
      <w:pPr>
        <w:tabs>
          <w:tab w:val="left" w:pos="3633"/>
        </w:tabs>
        <w:spacing w:after="0" w:line="360" w:lineRule="auto"/>
        <w:rPr>
          <w:rFonts w:ascii="Arial" w:hAnsi="Arial" w:cs="Arial"/>
          <w:b/>
          <w:bCs/>
        </w:rPr>
      </w:pPr>
      <w:r w:rsidRPr="00A8074A">
        <w:rPr>
          <w:rFonts w:ascii="Arial" w:hAnsi="Arial" w:cs="Arial"/>
          <w:b/>
          <w:bCs/>
        </w:rPr>
        <w:t>Theoretical Underpinnings</w:t>
      </w:r>
      <w:r w:rsidRPr="00A8074A">
        <w:rPr>
          <w:rFonts w:ascii="Arial" w:hAnsi="Arial" w:cs="Arial"/>
          <w:b/>
          <w:bCs/>
        </w:rPr>
        <w:tab/>
      </w:r>
    </w:p>
    <w:p w14:paraId="317C706F" w14:textId="5CB21A6B" w:rsidR="006942BC" w:rsidRDefault="00DB7399" w:rsidP="00A8074A">
      <w:pPr>
        <w:tabs>
          <w:tab w:val="left" w:pos="3633"/>
        </w:tabs>
        <w:spacing w:after="0" w:line="360" w:lineRule="auto"/>
        <w:rPr>
          <w:rFonts w:ascii="Arial" w:hAnsi="Arial" w:cs="Arial"/>
        </w:rPr>
      </w:pPr>
      <w:r w:rsidRPr="00A8074A">
        <w:rPr>
          <w:rFonts w:ascii="Arial" w:hAnsi="Arial" w:cs="Arial"/>
        </w:rPr>
        <w:t>A p</w:t>
      </w:r>
      <w:r w:rsidR="006942BC" w:rsidRPr="00A8074A">
        <w:rPr>
          <w:rFonts w:ascii="Arial" w:hAnsi="Arial" w:cs="Arial"/>
        </w:rPr>
        <w:t xml:space="preserve">edagogical </w:t>
      </w:r>
      <w:r w:rsidR="00922FE1" w:rsidRPr="00A8074A">
        <w:rPr>
          <w:rFonts w:ascii="Arial" w:hAnsi="Arial" w:cs="Arial"/>
        </w:rPr>
        <w:t>a</w:t>
      </w:r>
      <w:r w:rsidR="006942BC" w:rsidRPr="00A8074A">
        <w:rPr>
          <w:rFonts w:ascii="Arial" w:hAnsi="Arial" w:cs="Arial"/>
        </w:rPr>
        <w:t>pproach in early years</w:t>
      </w:r>
      <w:r w:rsidRPr="00A8074A">
        <w:rPr>
          <w:rFonts w:ascii="Arial" w:hAnsi="Arial" w:cs="Arial"/>
        </w:rPr>
        <w:t xml:space="preserve"> practise</w:t>
      </w:r>
      <w:r w:rsidR="006942BC" w:rsidRPr="00A8074A">
        <w:rPr>
          <w:rFonts w:ascii="Arial" w:hAnsi="Arial" w:cs="Arial"/>
        </w:rPr>
        <w:t xml:space="preserve"> is </w:t>
      </w:r>
      <w:r w:rsidRPr="00A8074A">
        <w:rPr>
          <w:rFonts w:ascii="Arial" w:hAnsi="Arial" w:cs="Arial"/>
        </w:rPr>
        <w:t>paramount.</w:t>
      </w:r>
      <w:r w:rsidR="006942BC" w:rsidRPr="00A8074A">
        <w:rPr>
          <w:rFonts w:ascii="Arial" w:hAnsi="Arial" w:cs="Arial"/>
          <w:b/>
          <w:bCs/>
        </w:rPr>
        <w:t xml:space="preserve"> </w:t>
      </w:r>
      <w:r w:rsidRPr="00A8074A">
        <w:rPr>
          <w:rFonts w:ascii="Arial" w:hAnsi="Arial" w:cs="Arial"/>
        </w:rPr>
        <w:t>A</w:t>
      </w:r>
      <w:r w:rsidR="006942BC" w:rsidRPr="00A8074A">
        <w:rPr>
          <w:rFonts w:ascii="Arial" w:hAnsi="Arial" w:cs="Arial"/>
        </w:rPr>
        <w:t>lthough play is acknowledged as being crucial to early development in both curricul</w:t>
      </w:r>
      <w:r w:rsidR="007A29EC">
        <w:rPr>
          <w:rFonts w:ascii="Arial" w:hAnsi="Arial" w:cs="Arial"/>
        </w:rPr>
        <w:t>ums</w:t>
      </w:r>
      <w:r w:rsidR="006942BC" w:rsidRPr="00A8074A">
        <w:rPr>
          <w:rFonts w:ascii="Arial" w:hAnsi="Arial" w:cs="Arial"/>
        </w:rPr>
        <w:t>, their pedagogical interpretations are different.</w:t>
      </w:r>
    </w:p>
    <w:p w14:paraId="6174E3A8" w14:textId="77777777" w:rsidR="00A8074A" w:rsidRPr="00A8074A" w:rsidRDefault="00A8074A" w:rsidP="00A8074A">
      <w:pPr>
        <w:tabs>
          <w:tab w:val="left" w:pos="3633"/>
        </w:tabs>
        <w:spacing w:after="0" w:line="360" w:lineRule="auto"/>
        <w:rPr>
          <w:rFonts w:ascii="Arial" w:hAnsi="Arial" w:cs="Arial"/>
          <w:b/>
          <w:bCs/>
        </w:rPr>
      </w:pPr>
    </w:p>
    <w:p w14:paraId="0DF22C64" w14:textId="77777777" w:rsidR="006942BC" w:rsidRPr="00A8074A" w:rsidRDefault="006942BC" w:rsidP="00A8074A">
      <w:pPr>
        <w:numPr>
          <w:ilvl w:val="0"/>
          <w:numId w:val="5"/>
        </w:numPr>
        <w:spacing w:after="0" w:line="360" w:lineRule="auto"/>
        <w:rPr>
          <w:rFonts w:ascii="Arial" w:hAnsi="Arial" w:cs="Arial"/>
        </w:rPr>
      </w:pPr>
      <w:r w:rsidRPr="00A8074A">
        <w:rPr>
          <w:rFonts w:ascii="Arial" w:hAnsi="Arial" w:cs="Arial"/>
          <w:b/>
          <w:bCs/>
        </w:rPr>
        <w:t>Key Theorists: Piaget; Vygotsky</w:t>
      </w:r>
      <w:r w:rsidRPr="00A8074A">
        <w:rPr>
          <w:rFonts w:ascii="Arial" w:hAnsi="Arial" w:cs="Arial"/>
        </w:rPr>
        <w:t>:</w:t>
      </w:r>
    </w:p>
    <w:p w14:paraId="23BD7986" w14:textId="38009B21" w:rsidR="006942BC" w:rsidRDefault="006942BC" w:rsidP="00A8074A">
      <w:pPr>
        <w:spacing w:after="0" w:line="360" w:lineRule="auto"/>
        <w:rPr>
          <w:rFonts w:ascii="Arial" w:hAnsi="Arial" w:cs="Arial"/>
        </w:rPr>
      </w:pPr>
      <w:r w:rsidRPr="00A8074A">
        <w:rPr>
          <w:rFonts w:ascii="Arial" w:hAnsi="Arial" w:cs="Arial"/>
        </w:rPr>
        <w:t xml:space="preserve">With a significant emphasis on adult scaffolding and controlled observation, the EYFS framework encourages a balance between play that is initiated by children and play that is </w:t>
      </w:r>
      <w:r w:rsidR="00DB7399" w:rsidRPr="00A8074A">
        <w:rPr>
          <w:rFonts w:ascii="Arial" w:hAnsi="Arial" w:cs="Arial"/>
        </w:rPr>
        <w:t>led</w:t>
      </w:r>
      <w:r w:rsidRPr="00A8074A">
        <w:rPr>
          <w:rFonts w:ascii="Arial" w:hAnsi="Arial" w:cs="Arial"/>
        </w:rPr>
        <w:t xml:space="preserve"> by adults. The Welsh model, on the other hand, places more emphasis on child-led, unstructured inquiry and views adults more as facilitators than </w:t>
      </w:r>
      <w:r w:rsidR="00491512" w:rsidRPr="00A8074A">
        <w:rPr>
          <w:rFonts w:ascii="Arial" w:hAnsi="Arial" w:cs="Arial"/>
        </w:rPr>
        <w:t>teachers. Based</w:t>
      </w:r>
      <w:r w:rsidRPr="00A8074A">
        <w:rPr>
          <w:rFonts w:ascii="Arial" w:hAnsi="Arial" w:cs="Arial"/>
        </w:rPr>
        <w:t xml:space="preserve"> on constructivist theories </w:t>
      </w:r>
      <w:r w:rsidR="00C54CA4">
        <w:rPr>
          <w:rFonts w:ascii="Arial" w:hAnsi="Arial" w:cs="Arial"/>
        </w:rPr>
        <w:t>that</w:t>
      </w:r>
      <w:r w:rsidRPr="00A8074A">
        <w:rPr>
          <w:rFonts w:ascii="Arial" w:hAnsi="Arial" w:cs="Arial"/>
        </w:rPr>
        <w:t xml:space="preserve"> view children as active learners, Wales's method is based on developmentally appropriate practice (Piaget,1936; Vygotsky,1896</w:t>
      </w:r>
      <w:r w:rsidR="00DB7399" w:rsidRPr="00A8074A">
        <w:rPr>
          <w:rFonts w:ascii="Arial" w:hAnsi="Arial" w:cs="Arial"/>
        </w:rPr>
        <w:t xml:space="preserve"> cited in Bradbury, 2019)</w:t>
      </w:r>
      <w:r w:rsidRPr="00A8074A">
        <w:rPr>
          <w:rFonts w:ascii="Arial" w:hAnsi="Arial" w:cs="Arial"/>
        </w:rPr>
        <w:t>. While accepting these theories, England's framework prioritises school preparation, which is frequently viewed through the prism of quantifiable academic results (</w:t>
      </w:r>
      <w:bookmarkStart w:id="0" w:name="_Hlk201245973"/>
      <w:r w:rsidRPr="00A8074A">
        <w:rPr>
          <w:rFonts w:ascii="Arial" w:hAnsi="Arial" w:cs="Arial"/>
        </w:rPr>
        <w:t>Bradbury, 2019</w:t>
      </w:r>
      <w:bookmarkEnd w:id="0"/>
      <w:r w:rsidRPr="00A8074A">
        <w:rPr>
          <w:rFonts w:ascii="Arial" w:hAnsi="Arial" w:cs="Arial"/>
        </w:rPr>
        <w:t>).</w:t>
      </w:r>
    </w:p>
    <w:p w14:paraId="3E58393C" w14:textId="77777777" w:rsidR="00A8074A" w:rsidRDefault="00A8074A" w:rsidP="00A8074A">
      <w:pPr>
        <w:spacing w:after="0" w:line="360" w:lineRule="auto"/>
        <w:rPr>
          <w:rFonts w:ascii="Arial" w:hAnsi="Arial" w:cs="Arial"/>
          <w:b/>
          <w:bCs/>
        </w:rPr>
      </w:pPr>
    </w:p>
    <w:p w14:paraId="36EBD908" w14:textId="66E70E21" w:rsidR="006942BC" w:rsidRPr="00A8074A" w:rsidRDefault="006942BC" w:rsidP="00A8074A">
      <w:pPr>
        <w:spacing w:after="0" w:line="360" w:lineRule="auto"/>
        <w:rPr>
          <w:rFonts w:ascii="Arial" w:hAnsi="Arial" w:cs="Arial"/>
          <w:color w:val="FF0000"/>
        </w:rPr>
      </w:pPr>
      <w:r w:rsidRPr="00A74960">
        <w:rPr>
          <w:rFonts w:ascii="Arial" w:hAnsi="Arial" w:cs="Arial"/>
        </w:rPr>
        <w:t>According to Waller, Whitmarsh and Clarke (2011), Vygotsky</w:t>
      </w:r>
      <w:r w:rsidR="00B34439" w:rsidRPr="00A74960">
        <w:rPr>
          <w:rFonts w:ascii="Arial" w:hAnsi="Arial" w:cs="Arial"/>
        </w:rPr>
        <w:t>’s social play theory, as a mechanism for learning,</w:t>
      </w:r>
      <w:r w:rsidRPr="00A74960">
        <w:rPr>
          <w:rFonts w:ascii="Arial" w:hAnsi="Arial" w:cs="Arial"/>
        </w:rPr>
        <w:t xml:space="preserve"> placed a high value on the adult's position and conversations with children, especially when it comes to adults who interact with children as cooperative partners. Vygotsky highlights the importance of the adult's role in helping children engage in</w:t>
      </w:r>
      <w:r w:rsidRPr="00A8074A">
        <w:rPr>
          <w:rFonts w:ascii="Arial" w:hAnsi="Arial" w:cs="Arial"/>
        </w:rPr>
        <w:t xml:space="preserve"> </w:t>
      </w:r>
      <w:r w:rsidRPr="00A8074A">
        <w:rPr>
          <w:rFonts w:ascii="Arial" w:hAnsi="Arial" w:cs="Arial"/>
        </w:rPr>
        <w:lastRenderedPageBreak/>
        <w:t>activities such as make-believe play, constructive play, outdoor play, and more potentially structured activities</w:t>
      </w:r>
      <w:r w:rsidR="00DB7399" w:rsidRPr="00A8074A">
        <w:rPr>
          <w:rFonts w:ascii="Arial" w:hAnsi="Arial" w:cs="Arial"/>
        </w:rPr>
        <w:t>, which aligns</w:t>
      </w:r>
      <w:r w:rsidR="00CF1A7A">
        <w:rPr>
          <w:rFonts w:ascii="Arial" w:hAnsi="Arial" w:cs="Arial"/>
        </w:rPr>
        <w:t xml:space="preserve"> with</w:t>
      </w:r>
      <w:r w:rsidR="00DB7399" w:rsidRPr="00A8074A">
        <w:rPr>
          <w:rFonts w:ascii="Arial" w:hAnsi="Arial" w:cs="Arial"/>
        </w:rPr>
        <w:t xml:space="preserve"> both curriculums</w:t>
      </w:r>
      <w:r w:rsidRPr="00A8074A">
        <w:rPr>
          <w:rFonts w:ascii="Arial" w:hAnsi="Arial" w:cs="Arial"/>
        </w:rPr>
        <w:t>.</w:t>
      </w:r>
      <w:r w:rsidR="00922FE1" w:rsidRPr="00A8074A">
        <w:rPr>
          <w:rFonts w:ascii="Arial" w:hAnsi="Arial" w:cs="Arial"/>
        </w:rPr>
        <w:t xml:space="preserve"> </w:t>
      </w:r>
    </w:p>
    <w:p w14:paraId="49A919CC" w14:textId="77777777" w:rsidR="00A8074A" w:rsidRDefault="00A8074A" w:rsidP="00A8074A">
      <w:pPr>
        <w:spacing w:after="0" w:line="360" w:lineRule="auto"/>
        <w:rPr>
          <w:rFonts w:ascii="Arial" w:hAnsi="Arial" w:cs="Arial"/>
        </w:rPr>
      </w:pPr>
    </w:p>
    <w:p w14:paraId="10F1C919" w14:textId="59987ABA" w:rsidR="006942BC" w:rsidRDefault="006942BC" w:rsidP="00A8074A">
      <w:pPr>
        <w:spacing w:after="0" w:line="360" w:lineRule="auto"/>
        <w:rPr>
          <w:rFonts w:ascii="Arial" w:hAnsi="Arial" w:cs="Arial"/>
        </w:rPr>
      </w:pPr>
      <w:r w:rsidRPr="00A8074A">
        <w:rPr>
          <w:rFonts w:ascii="Arial" w:hAnsi="Arial" w:cs="Arial"/>
        </w:rPr>
        <w:t xml:space="preserve">McInnes </w:t>
      </w:r>
      <w:r w:rsidRPr="00A8074A">
        <w:rPr>
          <w:rFonts w:ascii="Arial" w:hAnsi="Arial" w:cs="Arial"/>
          <w:i/>
          <w:iCs/>
        </w:rPr>
        <w:t>et al.</w:t>
      </w:r>
      <w:r w:rsidRPr="00A8074A">
        <w:rPr>
          <w:rFonts w:ascii="Arial" w:hAnsi="Arial" w:cs="Arial"/>
        </w:rPr>
        <w:t xml:space="preserve"> (2011) suggest that variations in practitioners' perspectives on play and its connection to education could be linked to variations in their pedagogical approaches with children and in how children use the cue of an adult's presence to distinguish between play and non-play activities. </w:t>
      </w:r>
    </w:p>
    <w:p w14:paraId="69AD3ADB" w14:textId="77777777" w:rsidR="00CF1A7A" w:rsidRPr="00A8074A" w:rsidRDefault="00CF1A7A" w:rsidP="00A8074A">
      <w:pPr>
        <w:spacing w:after="0" w:line="360" w:lineRule="auto"/>
        <w:rPr>
          <w:rFonts w:ascii="Arial" w:hAnsi="Arial" w:cs="Arial"/>
        </w:rPr>
      </w:pPr>
    </w:p>
    <w:p w14:paraId="424CAC3B" w14:textId="77777777" w:rsidR="006942BC" w:rsidRPr="00A8074A" w:rsidRDefault="006942BC" w:rsidP="00A8074A">
      <w:pPr>
        <w:numPr>
          <w:ilvl w:val="0"/>
          <w:numId w:val="5"/>
        </w:numPr>
        <w:spacing w:after="0" w:line="360" w:lineRule="auto"/>
        <w:rPr>
          <w:rFonts w:ascii="Arial" w:hAnsi="Arial" w:cs="Arial"/>
        </w:rPr>
      </w:pPr>
      <w:r w:rsidRPr="00A8074A">
        <w:rPr>
          <w:rFonts w:ascii="Arial" w:hAnsi="Arial" w:cs="Arial"/>
          <w:b/>
          <w:bCs/>
        </w:rPr>
        <w:t>Critical Lens</w:t>
      </w:r>
      <w:r w:rsidRPr="00A8074A">
        <w:rPr>
          <w:rFonts w:ascii="Arial" w:hAnsi="Arial" w:cs="Arial"/>
        </w:rPr>
        <w:t>:</w:t>
      </w:r>
    </w:p>
    <w:p w14:paraId="162F5F14" w14:textId="77777777" w:rsidR="0015431C" w:rsidRDefault="0015431C" w:rsidP="00BC4BC7">
      <w:pPr>
        <w:spacing w:after="0" w:line="360" w:lineRule="auto"/>
        <w:rPr>
          <w:rFonts w:ascii="Arial" w:hAnsi="Arial" w:cs="Arial"/>
          <w:color w:val="0070C0"/>
        </w:rPr>
      </w:pPr>
    </w:p>
    <w:p w14:paraId="1F94CC91" w14:textId="77777777" w:rsidR="0015431C" w:rsidRDefault="00BC4BC7" w:rsidP="00BC4BC7">
      <w:pPr>
        <w:spacing w:after="0" w:line="360" w:lineRule="auto"/>
        <w:rPr>
          <w:rFonts w:ascii="Arial" w:hAnsi="Arial" w:cs="Arial"/>
        </w:rPr>
      </w:pPr>
      <w:r w:rsidRPr="0015431C">
        <w:rPr>
          <w:rFonts w:ascii="Arial" w:hAnsi="Arial" w:cs="Arial"/>
        </w:rPr>
        <w:t xml:space="preserve">Even while play is officially supported as a teaching technique in national curricula such as the Foundation Learning phase in Wales and the Early Years Foundation Stage in England, there is still a disconnect between these theoretical commitments and actual practice. </w:t>
      </w:r>
    </w:p>
    <w:p w14:paraId="70A8D130" w14:textId="77777777" w:rsidR="0015431C" w:rsidRDefault="0015431C" w:rsidP="00BC4BC7">
      <w:pPr>
        <w:spacing w:after="0" w:line="360" w:lineRule="auto"/>
        <w:rPr>
          <w:rFonts w:ascii="Arial" w:hAnsi="Arial" w:cs="Arial"/>
        </w:rPr>
      </w:pPr>
    </w:p>
    <w:p w14:paraId="296D5115" w14:textId="121FAE77" w:rsidR="006942BC" w:rsidRPr="0015431C" w:rsidRDefault="00BC4BC7" w:rsidP="00A8074A">
      <w:pPr>
        <w:spacing w:after="0" w:line="360" w:lineRule="auto"/>
        <w:rPr>
          <w:rFonts w:ascii="Arial" w:hAnsi="Arial" w:cs="Arial"/>
        </w:rPr>
      </w:pPr>
      <w:r w:rsidRPr="0015431C">
        <w:rPr>
          <w:rFonts w:ascii="Arial" w:hAnsi="Arial" w:cs="Arial"/>
        </w:rPr>
        <w:t>External factors, such as assessment-driven cultures and school readiness goals, frequently make it difficult for practitioners to apply authentic play-based learning (Maynard and Chicken, 2010).</w:t>
      </w:r>
      <w:r w:rsidR="0015431C">
        <w:rPr>
          <w:rFonts w:ascii="Arial" w:hAnsi="Arial" w:cs="Arial"/>
        </w:rPr>
        <w:t xml:space="preserve"> </w:t>
      </w:r>
      <w:r w:rsidR="006942BC" w:rsidRPr="00A8074A">
        <w:rPr>
          <w:rFonts w:ascii="Arial" w:hAnsi="Arial" w:cs="Arial"/>
        </w:rPr>
        <w:t>Although</w:t>
      </w:r>
      <w:r w:rsidR="00B34439" w:rsidRPr="00A8074A">
        <w:rPr>
          <w:rFonts w:ascii="Arial" w:hAnsi="Arial" w:cs="Arial"/>
        </w:rPr>
        <w:t xml:space="preserve"> England's EYFS framework </w:t>
      </w:r>
      <w:r w:rsidR="006942BC" w:rsidRPr="00A8074A">
        <w:rPr>
          <w:rFonts w:ascii="Arial" w:hAnsi="Arial" w:cs="Arial"/>
        </w:rPr>
        <w:t xml:space="preserve">is </w:t>
      </w:r>
      <w:r w:rsidR="00B34439" w:rsidRPr="00A8074A">
        <w:rPr>
          <w:rFonts w:ascii="Arial" w:hAnsi="Arial" w:cs="Arial"/>
        </w:rPr>
        <w:t>dedicated</w:t>
      </w:r>
      <w:r w:rsidR="006942BC" w:rsidRPr="00A8074A">
        <w:rPr>
          <w:rFonts w:ascii="Arial" w:hAnsi="Arial" w:cs="Arial"/>
        </w:rPr>
        <w:t xml:space="preserve"> to child development, </w:t>
      </w:r>
      <w:bookmarkStart w:id="1" w:name="_Hlk201246549"/>
      <w:r w:rsidR="00B34439" w:rsidRPr="00A8074A">
        <w:rPr>
          <w:rFonts w:ascii="Arial" w:hAnsi="Arial" w:cs="Arial"/>
        </w:rPr>
        <w:t xml:space="preserve">it </w:t>
      </w:r>
      <w:bookmarkEnd w:id="1"/>
      <w:r w:rsidR="006942BC" w:rsidRPr="00A8074A">
        <w:rPr>
          <w:rFonts w:ascii="Arial" w:hAnsi="Arial" w:cs="Arial"/>
        </w:rPr>
        <w:t>functions within a performance-oriented culture that favours accountability and standardisation. As play is subordinated to agendas motivated by results, this could lower the quality of play.</w:t>
      </w:r>
      <w:r w:rsidR="00922FE1" w:rsidRPr="00A8074A">
        <w:rPr>
          <w:rFonts w:ascii="Arial" w:hAnsi="Arial" w:cs="Arial"/>
        </w:rPr>
        <w:t xml:space="preserve"> </w:t>
      </w:r>
      <w:r w:rsidR="0015431C" w:rsidRPr="0015431C">
        <w:rPr>
          <w:rFonts w:ascii="Arial" w:hAnsi="Arial" w:cs="Arial"/>
        </w:rPr>
        <w:t>Teachers frequently find it difficult to balance systemic demands for quantifiable academic outcomes with curriculum advice (Chartered College of Teaching, 2022).</w:t>
      </w:r>
    </w:p>
    <w:p w14:paraId="39B105CB" w14:textId="77777777" w:rsidR="00A8074A" w:rsidRDefault="00A8074A" w:rsidP="00A8074A">
      <w:pPr>
        <w:spacing w:after="0" w:line="360" w:lineRule="auto"/>
        <w:rPr>
          <w:rFonts w:ascii="Arial" w:hAnsi="Arial" w:cs="Arial"/>
        </w:rPr>
      </w:pPr>
    </w:p>
    <w:p w14:paraId="30C91657" w14:textId="6474BC02" w:rsidR="0015431C" w:rsidRPr="0015431C" w:rsidRDefault="006942BC" w:rsidP="00A8074A">
      <w:pPr>
        <w:spacing w:after="0" w:line="360" w:lineRule="auto"/>
        <w:rPr>
          <w:rFonts w:ascii="Arial" w:hAnsi="Arial" w:cs="Arial"/>
          <w:color w:val="FF0000"/>
        </w:rPr>
      </w:pPr>
      <w:r w:rsidRPr="00A8074A">
        <w:rPr>
          <w:rFonts w:ascii="Arial" w:hAnsi="Arial" w:cs="Arial"/>
        </w:rPr>
        <w:t xml:space="preserve">Wales's curriculum, on the other hand, promotes a more inclusive and comprehensive view of children, where learning is viewed as emergent and highly contextual. For practitioners without strong training or well-defined support systems, its less prescriptive nature could prove difficult. </w:t>
      </w:r>
      <w:r w:rsidR="0015431C" w:rsidRPr="0015431C">
        <w:rPr>
          <w:rFonts w:ascii="Arial" w:hAnsi="Arial" w:cs="Arial"/>
        </w:rPr>
        <w:t>When the academic value of play is less acknowledged in planning and assessment frameworks, this tension causes a shift towards formalised instruction (Welsh Government, 2023).</w:t>
      </w:r>
    </w:p>
    <w:p w14:paraId="1A775051" w14:textId="77777777" w:rsidR="00A8074A" w:rsidRDefault="00A8074A" w:rsidP="00A8074A">
      <w:pPr>
        <w:spacing w:after="0" w:line="360" w:lineRule="auto"/>
        <w:rPr>
          <w:rFonts w:ascii="Arial" w:hAnsi="Arial" w:cs="Arial"/>
        </w:rPr>
      </w:pPr>
    </w:p>
    <w:p w14:paraId="28D964F2" w14:textId="785F218A" w:rsidR="00823E03" w:rsidRPr="0015431C" w:rsidRDefault="006942BC" w:rsidP="0015431C">
      <w:pPr>
        <w:spacing w:after="0" w:line="360" w:lineRule="auto"/>
        <w:rPr>
          <w:rFonts w:ascii="Arial" w:hAnsi="Arial" w:cs="Arial"/>
        </w:rPr>
      </w:pPr>
      <w:r w:rsidRPr="00A8074A">
        <w:rPr>
          <w:rFonts w:ascii="Arial" w:hAnsi="Arial" w:cs="Arial"/>
        </w:rPr>
        <w:t xml:space="preserve">Some parents may consider play to be less intellectual than traditional ways (Play Wales, 2023), and it can be subjective and inconsistent to assess progress (Estyn, 2020). It can be resource-intensive to maintain high-quality play environments, and not all practitioners feel confident in their ability to </w:t>
      </w:r>
      <w:r w:rsidR="006539DD" w:rsidRPr="00A8074A">
        <w:rPr>
          <w:rFonts w:ascii="Arial" w:hAnsi="Arial" w:cs="Arial"/>
        </w:rPr>
        <w:t>deliver effectively</w:t>
      </w:r>
      <w:r w:rsidRPr="00A8074A">
        <w:rPr>
          <w:rFonts w:ascii="Arial" w:hAnsi="Arial" w:cs="Arial"/>
        </w:rPr>
        <w:t xml:space="preserve"> (Welsh Government, 2022). Some children may find it challenging to make the switch to more formal education (Estyn, 2024), and uneven implementation in different contexts may result in uneven experiences (Welsh Government, 2020).</w:t>
      </w:r>
      <w:r w:rsidR="008822CB" w:rsidRPr="00A8074A">
        <w:rPr>
          <w:rFonts w:ascii="Arial" w:hAnsi="Arial" w:cs="Arial"/>
        </w:rPr>
        <w:t xml:space="preserve"> </w:t>
      </w:r>
      <w:r w:rsidR="002E62E2">
        <w:rPr>
          <w:rFonts w:ascii="Arial" w:hAnsi="Arial" w:cs="Arial"/>
        </w:rPr>
        <w:t>However, o</w:t>
      </w:r>
      <w:r w:rsidR="008822CB" w:rsidRPr="00A8074A">
        <w:rPr>
          <w:rFonts w:ascii="Arial" w:hAnsi="Arial" w:cs="Arial"/>
        </w:rPr>
        <w:t xml:space="preserve">ver time, </w:t>
      </w:r>
      <w:r w:rsidR="002E62E2" w:rsidRPr="00A8074A">
        <w:rPr>
          <w:rFonts w:ascii="Arial" w:hAnsi="Arial" w:cs="Arial"/>
        </w:rPr>
        <w:t xml:space="preserve">creativity, problem-solving techniques, and teamwork </w:t>
      </w:r>
      <w:r w:rsidR="002E62E2">
        <w:rPr>
          <w:rFonts w:ascii="Arial" w:hAnsi="Arial" w:cs="Arial"/>
        </w:rPr>
        <w:t xml:space="preserve">within </w:t>
      </w:r>
      <w:r w:rsidR="008822CB" w:rsidRPr="00A8074A">
        <w:rPr>
          <w:rFonts w:ascii="Arial" w:hAnsi="Arial" w:cs="Arial"/>
        </w:rPr>
        <w:t>play-</w:t>
      </w:r>
      <w:r w:rsidR="008822CB" w:rsidRPr="00A8074A">
        <w:rPr>
          <w:rFonts w:ascii="Arial" w:hAnsi="Arial" w:cs="Arial"/>
        </w:rPr>
        <w:lastRenderedPageBreak/>
        <w:t>based learning has contributed to future employability (Chartered College of Teaching, 2022).</w:t>
      </w:r>
    </w:p>
    <w:p w14:paraId="3A16E512" w14:textId="77777777" w:rsidR="00922FE1" w:rsidRPr="00A8074A" w:rsidRDefault="00922FE1" w:rsidP="00A8074A">
      <w:pPr>
        <w:spacing w:after="0" w:line="360" w:lineRule="auto"/>
        <w:rPr>
          <w:rFonts w:ascii="Arial" w:hAnsi="Arial" w:cs="Arial"/>
          <w:color w:val="0070C0"/>
          <w:highlight w:val="green"/>
        </w:rPr>
      </w:pPr>
    </w:p>
    <w:p w14:paraId="1D0C65AB" w14:textId="0F529FAB" w:rsidR="006942BC" w:rsidRPr="00A8074A" w:rsidRDefault="006942BC" w:rsidP="00A8074A">
      <w:pPr>
        <w:spacing w:after="0" w:line="360" w:lineRule="auto"/>
        <w:rPr>
          <w:rFonts w:ascii="Arial" w:hAnsi="Arial" w:cs="Arial"/>
          <w:b/>
          <w:bCs/>
        </w:rPr>
      </w:pPr>
      <w:r w:rsidRPr="00A8074A">
        <w:rPr>
          <w:rFonts w:ascii="Arial" w:hAnsi="Arial" w:cs="Arial"/>
          <w:b/>
          <w:bCs/>
        </w:rPr>
        <w:t>Pedagogical Application</w:t>
      </w:r>
    </w:p>
    <w:p w14:paraId="7FA5123B" w14:textId="6D5D7C14" w:rsidR="006942BC" w:rsidRPr="005A08CF" w:rsidRDefault="006942BC" w:rsidP="00A8074A">
      <w:pPr>
        <w:numPr>
          <w:ilvl w:val="0"/>
          <w:numId w:val="6"/>
        </w:numPr>
        <w:spacing w:after="0" w:line="360" w:lineRule="auto"/>
        <w:rPr>
          <w:rFonts w:ascii="Arial" w:hAnsi="Arial" w:cs="Arial"/>
        </w:rPr>
      </w:pPr>
      <w:r w:rsidRPr="00A8074A">
        <w:rPr>
          <w:rFonts w:ascii="Arial" w:hAnsi="Arial" w:cs="Arial"/>
          <w:b/>
          <w:bCs/>
        </w:rPr>
        <w:t>Role of the Practitioner</w:t>
      </w:r>
    </w:p>
    <w:p w14:paraId="332A1602" w14:textId="47A9600F" w:rsidR="000B3BD3" w:rsidRDefault="005A08CF" w:rsidP="00A8074A">
      <w:pPr>
        <w:spacing w:after="0" w:line="360" w:lineRule="auto"/>
        <w:rPr>
          <w:rFonts w:ascii="Arial" w:hAnsi="Arial" w:cs="Arial"/>
        </w:rPr>
      </w:pPr>
      <w:r w:rsidRPr="000B3BD3">
        <w:rPr>
          <w:rFonts w:ascii="Arial" w:hAnsi="Arial" w:cs="Arial"/>
        </w:rPr>
        <w:t>In early childhood education, the practitioner's role in attentive observation and intervention is essential to promote the growth and learning. Teachers can create successful, tailored learning experiences by using skilled observation to understand each child's interests, requirements, and developmental stage (Nutbrown, 2011). Teachers can learn a great deal about children's play, language use, social connections, and problem-solving abilities by conducting ongoing, non-intrusive observation. As a result, observational data helps the practitioner decide when to gently step in to assist or extend learning without taking over or rerouting the child's initiative.</w:t>
      </w:r>
    </w:p>
    <w:p w14:paraId="1C770572" w14:textId="77777777" w:rsidR="000B3BD3" w:rsidRPr="000B3BD3" w:rsidRDefault="000B3BD3" w:rsidP="00A8074A">
      <w:pPr>
        <w:spacing w:after="0" w:line="360" w:lineRule="auto"/>
        <w:rPr>
          <w:rFonts w:ascii="Arial" w:hAnsi="Arial" w:cs="Arial"/>
        </w:rPr>
      </w:pPr>
    </w:p>
    <w:p w14:paraId="0E59DF92" w14:textId="274DCD8E" w:rsidR="006942BC" w:rsidRDefault="006942BC" w:rsidP="00A8074A">
      <w:pPr>
        <w:spacing w:after="0" w:line="360" w:lineRule="auto"/>
        <w:rPr>
          <w:rFonts w:ascii="Arial" w:hAnsi="Arial" w:cs="Arial"/>
        </w:rPr>
      </w:pPr>
      <w:r w:rsidRPr="00A8074A">
        <w:rPr>
          <w:rFonts w:ascii="Arial" w:hAnsi="Arial" w:cs="Arial"/>
        </w:rPr>
        <w:t xml:space="preserve">Research indicates the benefits </w:t>
      </w:r>
      <w:r w:rsidR="002E62E2" w:rsidRPr="00A8074A">
        <w:rPr>
          <w:rFonts w:ascii="Arial" w:hAnsi="Arial" w:cs="Arial"/>
        </w:rPr>
        <w:t>of practitioners</w:t>
      </w:r>
      <w:r w:rsidRPr="00A8074A">
        <w:rPr>
          <w:rFonts w:ascii="Arial" w:hAnsi="Arial" w:cs="Arial"/>
        </w:rPr>
        <w:t xml:space="preserve"> engaged in pedagogical exchanges that give children choice and control, offering a variety of adult-led and child-led activities, with adults participating in children's activities, provid</w:t>
      </w:r>
      <w:r w:rsidR="00DB001E">
        <w:rPr>
          <w:rFonts w:ascii="Arial" w:hAnsi="Arial" w:cs="Arial"/>
        </w:rPr>
        <w:t xml:space="preserve">ing </w:t>
      </w:r>
      <w:r w:rsidRPr="00A8074A">
        <w:rPr>
          <w:rFonts w:ascii="Arial" w:hAnsi="Arial" w:cs="Arial"/>
        </w:rPr>
        <w:t xml:space="preserve">a mixed framing approach, as opposed to practitioners still gaining a firm grasp of play and how to approach their involvement in children's play (McInnes </w:t>
      </w:r>
      <w:r w:rsidRPr="00A8074A">
        <w:rPr>
          <w:rFonts w:ascii="Arial" w:hAnsi="Arial" w:cs="Arial"/>
          <w:i/>
          <w:iCs/>
        </w:rPr>
        <w:t>et al</w:t>
      </w:r>
      <w:r w:rsidRPr="00A8074A">
        <w:rPr>
          <w:rFonts w:ascii="Arial" w:hAnsi="Arial" w:cs="Arial"/>
        </w:rPr>
        <w:t>., 2013).</w:t>
      </w:r>
    </w:p>
    <w:p w14:paraId="17835C00" w14:textId="77777777" w:rsidR="00A8074A" w:rsidRPr="00A8074A" w:rsidRDefault="00A8074A" w:rsidP="00A8074A">
      <w:pPr>
        <w:spacing w:after="0" w:line="360" w:lineRule="auto"/>
        <w:rPr>
          <w:rFonts w:ascii="Arial" w:hAnsi="Arial" w:cs="Arial"/>
          <w:b/>
          <w:bCs/>
          <w:highlight w:val="yellow"/>
        </w:rPr>
      </w:pPr>
    </w:p>
    <w:p w14:paraId="22C453B3" w14:textId="2ED913FA" w:rsidR="001C00FF" w:rsidRPr="0015431C" w:rsidRDefault="001C00FF" w:rsidP="00A8074A">
      <w:pPr>
        <w:spacing w:after="0" w:line="360" w:lineRule="auto"/>
        <w:rPr>
          <w:rFonts w:ascii="Arial" w:hAnsi="Arial" w:cs="Arial"/>
        </w:rPr>
      </w:pPr>
      <w:r w:rsidRPr="0015431C">
        <w:rPr>
          <w:rFonts w:ascii="Arial" w:hAnsi="Arial" w:cs="Arial"/>
        </w:rPr>
        <w:t>Practitioners must strike a balance between stepping in to expand thinking and pulling back to let autonomous investigation. Good answers, like open-ended enquiries or the supply of resources, encourage independence while fostering problem-solving and extended collaborative thought</w:t>
      </w:r>
      <w:r w:rsidR="00077214" w:rsidRPr="0015431C">
        <w:rPr>
          <w:rFonts w:ascii="Arial" w:hAnsi="Arial" w:cs="Arial"/>
        </w:rPr>
        <w:t xml:space="preserve"> (</w:t>
      </w:r>
      <w:r w:rsidR="00D61C7C" w:rsidRPr="0015431C">
        <w:rPr>
          <w:rFonts w:ascii="Arial" w:hAnsi="Arial" w:cs="Arial"/>
        </w:rPr>
        <w:t xml:space="preserve">Veraksa, Sheridan </w:t>
      </w:r>
      <w:r w:rsidR="00DB001E" w:rsidRPr="0015431C">
        <w:rPr>
          <w:rFonts w:ascii="Arial" w:hAnsi="Arial" w:cs="Arial"/>
        </w:rPr>
        <w:t xml:space="preserve">and </w:t>
      </w:r>
      <w:r w:rsidR="00D61C7C" w:rsidRPr="0015431C">
        <w:rPr>
          <w:rFonts w:ascii="Arial" w:hAnsi="Arial" w:cs="Arial"/>
        </w:rPr>
        <w:t>Colliver, 2021</w:t>
      </w:r>
      <w:r w:rsidR="00D61C7C" w:rsidRPr="0015431C">
        <w:rPr>
          <w:rFonts w:ascii="Arial" w:hAnsi="Arial" w:cs="Arial"/>
          <w:i/>
          <w:iCs/>
        </w:rPr>
        <w:t>)</w:t>
      </w:r>
      <w:r w:rsidRPr="0015431C">
        <w:rPr>
          <w:rFonts w:ascii="Arial" w:hAnsi="Arial" w:cs="Arial"/>
        </w:rPr>
        <w:t>. A key component of play-based, child-led learning is this careful balancing.</w:t>
      </w:r>
    </w:p>
    <w:p w14:paraId="5FE86254" w14:textId="6668DB9C" w:rsidR="00922FE1" w:rsidRPr="00A8074A" w:rsidRDefault="00922FE1" w:rsidP="00A8074A">
      <w:pPr>
        <w:spacing w:after="0" w:line="360" w:lineRule="auto"/>
        <w:rPr>
          <w:rFonts w:ascii="Arial" w:hAnsi="Arial" w:cs="Arial"/>
          <w:highlight w:val="yellow"/>
        </w:rPr>
      </w:pPr>
    </w:p>
    <w:p w14:paraId="18798D84" w14:textId="77777777" w:rsidR="006942BC" w:rsidRPr="00A8074A" w:rsidRDefault="006942BC" w:rsidP="00A8074A">
      <w:pPr>
        <w:numPr>
          <w:ilvl w:val="0"/>
          <w:numId w:val="6"/>
        </w:numPr>
        <w:spacing w:after="0" w:line="360" w:lineRule="auto"/>
        <w:rPr>
          <w:rFonts w:ascii="Arial" w:hAnsi="Arial" w:cs="Arial"/>
        </w:rPr>
      </w:pPr>
      <w:r w:rsidRPr="00A8074A">
        <w:rPr>
          <w:rFonts w:ascii="Arial" w:hAnsi="Arial" w:cs="Arial"/>
          <w:b/>
          <w:bCs/>
        </w:rPr>
        <w:t>Environment as a Third Teacher:</w:t>
      </w:r>
    </w:p>
    <w:p w14:paraId="702A8C54" w14:textId="15970A4E" w:rsidR="006942BC" w:rsidRPr="00A8074A" w:rsidRDefault="006942BC" w:rsidP="00A8074A">
      <w:pPr>
        <w:spacing w:after="0" w:line="360" w:lineRule="auto"/>
        <w:rPr>
          <w:rFonts w:ascii="Arial" w:hAnsi="Arial" w:cs="Arial"/>
        </w:rPr>
      </w:pPr>
      <w:r w:rsidRPr="00A8074A">
        <w:rPr>
          <w:rFonts w:ascii="Arial" w:hAnsi="Arial" w:cs="Arial"/>
        </w:rPr>
        <w:t xml:space="preserve">Although both indoor and outdoor learning contexts are supported by the EYFS framework, assessment demands and budget constraints frequently cause practical implementation to lean more towards indoor play. Although the importance of outdoor learning is emphasised, the EYFS </w:t>
      </w:r>
      <w:r w:rsidR="00922FE1" w:rsidRPr="00A8074A">
        <w:rPr>
          <w:rFonts w:ascii="Arial" w:hAnsi="Arial" w:cs="Arial"/>
        </w:rPr>
        <w:t xml:space="preserve">framework </w:t>
      </w:r>
      <w:r w:rsidRPr="00A8074A">
        <w:rPr>
          <w:rFonts w:ascii="Arial" w:hAnsi="Arial" w:cs="Arial"/>
        </w:rPr>
        <w:t>does not include specific instructions on how to incorporate it into daily activities or guarantee equal access in all contexts (</w:t>
      </w:r>
      <w:r w:rsidR="00A15D1F" w:rsidRPr="00A8074A">
        <w:rPr>
          <w:rFonts w:ascii="Arial" w:hAnsi="Arial" w:cs="Arial"/>
        </w:rPr>
        <w:t>Df</w:t>
      </w:r>
      <w:r w:rsidR="00922FE1" w:rsidRPr="00A8074A">
        <w:rPr>
          <w:rFonts w:ascii="Arial" w:hAnsi="Arial" w:cs="Arial"/>
        </w:rPr>
        <w:t>E</w:t>
      </w:r>
      <w:r w:rsidRPr="00A8074A">
        <w:rPr>
          <w:rFonts w:ascii="Arial" w:hAnsi="Arial" w:cs="Arial"/>
        </w:rPr>
        <w:t>, 2021).</w:t>
      </w:r>
    </w:p>
    <w:p w14:paraId="1DE43719" w14:textId="77777777" w:rsidR="00A8074A" w:rsidRDefault="00A8074A" w:rsidP="00A8074A">
      <w:pPr>
        <w:spacing w:after="0" w:line="360" w:lineRule="auto"/>
        <w:rPr>
          <w:rFonts w:ascii="Arial" w:hAnsi="Arial" w:cs="Arial"/>
          <w:b/>
          <w:bCs/>
        </w:rPr>
      </w:pPr>
    </w:p>
    <w:p w14:paraId="1B0610CC" w14:textId="177A3146" w:rsidR="006942BC" w:rsidRPr="00A8074A" w:rsidRDefault="006942BC" w:rsidP="00A8074A">
      <w:pPr>
        <w:spacing w:after="0" w:line="360" w:lineRule="auto"/>
        <w:rPr>
          <w:rFonts w:ascii="Arial" w:hAnsi="Arial" w:cs="Arial"/>
          <w:b/>
          <w:bCs/>
        </w:rPr>
      </w:pPr>
      <w:r w:rsidRPr="00A8074A">
        <w:rPr>
          <w:rFonts w:ascii="Arial" w:hAnsi="Arial" w:cs="Arial"/>
          <w:b/>
          <w:bCs/>
        </w:rPr>
        <w:t>Benefits of Play-Based Learning</w:t>
      </w:r>
    </w:p>
    <w:p w14:paraId="4B8FEA18" w14:textId="3357CC52" w:rsidR="001123AA" w:rsidRPr="00A8074A" w:rsidRDefault="006942BC" w:rsidP="00A8074A">
      <w:pPr>
        <w:spacing w:after="0" w:line="360" w:lineRule="auto"/>
        <w:rPr>
          <w:rFonts w:ascii="Arial" w:hAnsi="Arial" w:cs="Arial"/>
          <w:b/>
          <w:bCs/>
        </w:rPr>
      </w:pPr>
      <w:r w:rsidRPr="00A8074A">
        <w:rPr>
          <w:rFonts w:ascii="Arial" w:hAnsi="Arial" w:cs="Arial"/>
        </w:rPr>
        <w:t xml:space="preserve">According to Welsh Government (2015), children acquire knowledge through hands-on experiences, with the important activity of "play" serving as the medium. Children practise and solidify their learning through play; they engage with concepts, experiment, take </w:t>
      </w:r>
      <w:r w:rsidRPr="00A8074A">
        <w:rPr>
          <w:rFonts w:ascii="Arial" w:hAnsi="Arial" w:cs="Arial"/>
        </w:rPr>
        <w:lastRenderedPageBreak/>
        <w:t>chances, solve issues, and make choices both alone and in big groups. Children can get an awareness of themselves and their surroundings through first-hand experiences. Fundamental to this process is the formation of children's sense of self-worth, self-esteem, and self-image.</w:t>
      </w:r>
      <w:r w:rsidR="001123AA" w:rsidRPr="00A8074A">
        <w:rPr>
          <w:rFonts w:ascii="Arial" w:hAnsi="Arial" w:cs="Arial"/>
        </w:rPr>
        <w:t xml:space="preserve"> </w:t>
      </w:r>
      <w:r w:rsidR="001123AA" w:rsidRPr="003A24EE">
        <w:rPr>
          <w:rFonts w:ascii="Arial" w:hAnsi="Arial" w:cs="Arial"/>
        </w:rPr>
        <w:t xml:space="preserve">Through exercises like running, climbing, and object manipulation, play-based learning enhances motor skills, balance, and coordination, all of which promote physical </w:t>
      </w:r>
      <w:r w:rsidR="004F3873" w:rsidRPr="003A24EE">
        <w:rPr>
          <w:rFonts w:ascii="Arial" w:hAnsi="Arial" w:cs="Arial"/>
        </w:rPr>
        <w:t xml:space="preserve">growth (Bukvić, Ćirović and Nikolić, 2021). </w:t>
      </w:r>
      <w:r w:rsidR="001123AA" w:rsidRPr="003A24EE">
        <w:rPr>
          <w:rFonts w:ascii="Arial" w:hAnsi="Arial" w:cs="Arial"/>
        </w:rPr>
        <w:t>Additionally, this type of movement fosters brain development and learning preparedness (Gabbard, 2018).</w:t>
      </w:r>
    </w:p>
    <w:p w14:paraId="4E1CDBE6" w14:textId="77777777" w:rsidR="006942BC" w:rsidRPr="00A8074A" w:rsidRDefault="006942BC" w:rsidP="00DB001E">
      <w:pPr>
        <w:spacing w:after="0" w:line="360" w:lineRule="auto"/>
        <w:rPr>
          <w:rFonts w:ascii="Arial" w:hAnsi="Arial" w:cs="Arial"/>
        </w:rPr>
      </w:pPr>
    </w:p>
    <w:p w14:paraId="794EA984" w14:textId="17472CF8" w:rsidR="00F67FEA" w:rsidRPr="00A8074A" w:rsidRDefault="0020608E" w:rsidP="00A8074A">
      <w:pPr>
        <w:spacing w:after="0" w:line="360" w:lineRule="auto"/>
        <w:rPr>
          <w:rFonts w:ascii="Arial" w:hAnsi="Arial" w:cs="Arial"/>
          <w:b/>
          <w:bCs/>
        </w:rPr>
      </w:pPr>
      <w:r w:rsidRPr="00A8074A">
        <w:rPr>
          <w:rFonts w:ascii="Arial" w:hAnsi="Arial" w:cs="Arial"/>
        </w:rPr>
        <w:t>According to Fyffe and Lewis (2024), playful environments create controllable tension and mild cognitive dissonance, helping children develop healthy coping skills for stress and conflict. Through manageable challenges in play (low-stakes dysregulation), children progressively build self-regulation abilities. This supports positive mental health outcomes and reduces symptoms of anxiety and depression. Play is thus essential for emotional development, a view first proposed by Vygotsky, who linked play to the development of self-regulation in response to environmental demands.</w:t>
      </w:r>
      <w:r w:rsidR="002E31DD" w:rsidRPr="00A8074A">
        <w:rPr>
          <w:rFonts w:ascii="Arial" w:hAnsi="Arial" w:cs="Arial"/>
        </w:rPr>
        <w:t xml:space="preserve"> </w:t>
      </w:r>
      <w:r w:rsidR="002E31DD" w:rsidRPr="003A24EE">
        <w:rPr>
          <w:rFonts w:ascii="Arial" w:hAnsi="Arial" w:cs="Arial"/>
        </w:rPr>
        <w:t xml:space="preserve">Through open-ended, imaginative activities like role-playing, loose parts, or art, play-based learning fosters creativity by encouraging children to think creatively and solve </w:t>
      </w:r>
      <w:r w:rsidR="00F67FEA" w:rsidRPr="003A24EE">
        <w:rPr>
          <w:rFonts w:ascii="Arial" w:hAnsi="Arial" w:cs="Arial"/>
        </w:rPr>
        <w:t>problems (Paes, 2019).</w:t>
      </w:r>
    </w:p>
    <w:p w14:paraId="5E723198" w14:textId="59CA2643" w:rsidR="002E31DD" w:rsidRPr="00A8074A" w:rsidRDefault="002E31DD" w:rsidP="00A8074A">
      <w:pPr>
        <w:spacing w:after="0" w:line="360" w:lineRule="auto"/>
        <w:rPr>
          <w:rFonts w:ascii="Arial" w:hAnsi="Arial" w:cs="Arial"/>
        </w:rPr>
      </w:pPr>
      <w:r w:rsidRPr="00A8074A">
        <w:rPr>
          <w:rFonts w:ascii="Arial" w:hAnsi="Arial" w:cs="Arial"/>
        </w:rPr>
        <w:t xml:space="preserve"> </w:t>
      </w:r>
    </w:p>
    <w:p w14:paraId="2718C2F2" w14:textId="4D67A82A" w:rsidR="00D9392C" w:rsidRPr="00A8074A" w:rsidRDefault="00D9392C" w:rsidP="00A8074A">
      <w:pPr>
        <w:spacing w:after="0" w:line="360" w:lineRule="auto"/>
        <w:rPr>
          <w:rFonts w:ascii="Arial" w:hAnsi="Arial" w:cs="Arial"/>
        </w:rPr>
      </w:pPr>
      <w:r w:rsidRPr="00A8074A">
        <w:rPr>
          <w:rFonts w:ascii="Arial" w:hAnsi="Arial" w:cs="Arial"/>
        </w:rPr>
        <w:t xml:space="preserve">According </w:t>
      </w:r>
      <w:r w:rsidR="00B33AF6" w:rsidRPr="00A8074A">
        <w:rPr>
          <w:rFonts w:ascii="Arial" w:hAnsi="Arial" w:cs="Arial"/>
        </w:rPr>
        <w:t>to Dinnocenzo (2024)</w:t>
      </w:r>
      <w:r w:rsidR="00922FE1" w:rsidRPr="00A8074A">
        <w:rPr>
          <w:rFonts w:ascii="Arial" w:hAnsi="Arial" w:cs="Arial"/>
        </w:rPr>
        <w:t>,</w:t>
      </w:r>
      <w:r w:rsidR="00B33AF6" w:rsidRPr="00A8074A">
        <w:rPr>
          <w:rFonts w:ascii="Arial" w:hAnsi="Arial" w:cs="Arial"/>
        </w:rPr>
        <w:t xml:space="preserve"> </w:t>
      </w:r>
      <w:r w:rsidR="00922FE1" w:rsidRPr="00A8074A">
        <w:rPr>
          <w:rFonts w:ascii="Arial" w:hAnsi="Arial" w:cs="Arial"/>
        </w:rPr>
        <w:t>e</w:t>
      </w:r>
      <w:r w:rsidRPr="00A8074A">
        <w:rPr>
          <w:rFonts w:ascii="Arial" w:hAnsi="Arial" w:cs="Arial"/>
        </w:rPr>
        <w:t>xploration is one of the essential elements of both play and reading that promote the development of young children. As youngsters engage with their surroundings and use phonemes to construct words, they develop reading and writing skills via enjoyable play. Additionally, play promotes literacy comprehension and language use. Stegelin (2005) highlighted the importance of play for children's total development, describing it as a fulfilling activity that can be done alone or with others. It supports physical, emotional, spiritual, social, and behavioural growth.</w:t>
      </w:r>
    </w:p>
    <w:p w14:paraId="14754761" w14:textId="70C8E796" w:rsidR="006942BC" w:rsidRPr="00A8074A" w:rsidRDefault="006942BC" w:rsidP="00A8074A">
      <w:pPr>
        <w:spacing w:after="0" w:line="360" w:lineRule="auto"/>
        <w:rPr>
          <w:rFonts w:ascii="Arial" w:hAnsi="Arial" w:cs="Arial"/>
        </w:rPr>
      </w:pPr>
    </w:p>
    <w:p w14:paraId="0988ADD3" w14:textId="2158D1F9" w:rsidR="006942BC" w:rsidRPr="00A8074A" w:rsidRDefault="006942BC" w:rsidP="003A24EE">
      <w:pPr>
        <w:spacing w:after="0" w:line="360" w:lineRule="auto"/>
        <w:rPr>
          <w:rFonts w:ascii="Arial" w:hAnsi="Arial" w:cs="Arial"/>
        </w:rPr>
      </w:pPr>
      <w:r w:rsidRPr="00A8074A">
        <w:rPr>
          <w:rFonts w:ascii="Arial" w:hAnsi="Arial" w:cs="Arial"/>
          <w:b/>
          <w:bCs/>
        </w:rPr>
        <w:t>Recommendations for Practice and Policy</w:t>
      </w:r>
      <w:r w:rsidR="00922FE1" w:rsidRPr="00A8074A">
        <w:rPr>
          <w:rFonts w:ascii="Arial" w:hAnsi="Arial" w:cs="Arial"/>
          <w:b/>
          <w:bCs/>
        </w:rPr>
        <w:t xml:space="preserve"> </w:t>
      </w:r>
      <w:r w:rsidR="00922FE1" w:rsidRPr="00A8074A">
        <w:rPr>
          <w:rFonts w:ascii="Arial" w:hAnsi="Arial" w:cs="Arial"/>
          <w:b/>
          <w:bCs/>
          <w:color w:val="FF0000"/>
        </w:rPr>
        <w:t xml:space="preserve"> </w:t>
      </w:r>
    </w:p>
    <w:p w14:paraId="4FB2882B" w14:textId="6EA3D7E5" w:rsidR="00CF2946" w:rsidRPr="003A24EE" w:rsidRDefault="00CF2946" w:rsidP="00A8074A">
      <w:pPr>
        <w:spacing w:after="0" w:line="360" w:lineRule="auto"/>
        <w:rPr>
          <w:rFonts w:ascii="Arial" w:hAnsi="Arial" w:cs="Arial"/>
        </w:rPr>
      </w:pPr>
      <w:r w:rsidRPr="003A24EE">
        <w:rPr>
          <w:rFonts w:ascii="Arial" w:hAnsi="Arial" w:cs="Arial"/>
        </w:rPr>
        <w:t xml:space="preserve">To improve their knowledge of play theory, observation, and sensitive intervention, early childhood educators' professional development should be reinforced (Frede and Hodges, 2023). To permit genuine play-based practice, policy frameworks need to strike a new balance between increased pedagogical freedom and accountability requirements (Parker </w:t>
      </w:r>
      <w:r w:rsidRPr="003A24EE">
        <w:rPr>
          <w:rFonts w:ascii="Arial" w:hAnsi="Arial" w:cs="Arial"/>
          <w:i/>
          <w:iCs/>
        </w:rPr>
        <w:t>et al</w:t>
      </w:r>
      <w:r w:rsidRPr="003A24EE">
        <w:rPr>
          <w:rFonts w:ascii="Arial" w:hAnsi="Arial" w:cs="Arial"/>
        </w:rPr>
        <w:t>., 2022). Through focused communication and tools, it</w:t>
      </w:r>
      <w:r w:rsidR="002A257A" w:rsidRPr="003A24EE">
        <w:rPr>
          <w:rFonts w:ascii="Arial" w:hAnsi="Arial" w:cs="Arial"/>
        </w:rPr>
        <w:t xml:space="preserve"> i</w:t>
      </w:r>
      <w:r w:rsidRPr="003A24EE">
        <w:rPr>
          <w:rFonts w:ascii="Arial" w:hAnsi="Arial" w:cs="Arial"/>
        </w:rPr>
        <w:t>s also critical to raise parental understanding of play as an essential learning activity</w:t>
      </w:r>
      <w:r w:rsidR="006A762C" w:rsidRPr="003A24EE">
        <w:rPr>
          <w:rFonts w:ascii="Arial" w:hAnsi="Arial" w:cs="Arial"/>
        </w:rPr>
        <w:t xml:space="preserve"> (Bond, Moore and Hawkins, 2024)</w:t>
      </w:r>
      <w:r w:rsidRPr="003A24EE">
        <w:rPr>
          <w:rFonts w:ascii="Arial" w:hAnsi="Arial" w:cs="Arial"/>
        </w:rPr>
        <w:t xml:space="preserve">. Lastly, all children, including those from underprivileged homes, must have fair access to inclusive, high-quality play areas (Children </w:t>
      </w:r>
      <w:r w:rsidR="002A257A" w:rsidRPr="003A24EE">
        <w:rPr>
          <w:rFonts w:ascii="Arial" w:hAnsi="Arial" w:cs="Arial"/>
        </w:rPr>
        <w:t>and</w:t>
      </w:r>
      <w:r w:rsidRPr="003A24EE">
        <w:rPr>
          <w:rFonts w:ascii="Arial" w:hAnsi="Arial" w:cs="Arial"/>
        </w:rPr>
        <w:t xml:space="preserve"> Nature Network, 2024).</w:t>
      </w:r>
    </w:p>
    <w:p w14:paraId="5B8123B5" w14:textId="0EE7BCD0" w:rsidR="006942BC" w:rsidRPr="00A8074A" w:rsidRDefault="006942BC" w:rsidP="00A8074A">
      <w:pPr>
        <w:spacing w:after="0" w:line="360" w:lineRule="auto"/>
        <w:rPr>
          <w:rFonts w:ascii="Arial" w:hAnsi="Arial" w:cs="Arial"/>
        </w:rPr>
      </w:pPr>
    </w:p>
    <w:p w14:paraId="498F821C" w14:textId="1F2D6C6E" w:rsidR="006942BC" w:rsidRPr="00A8074A" w:rsidRDefault="006942BC" w:rsidP="003A24EE">
      <w:pPr>
        <w:spacing w:after="0" w:line="360" w:lineRule="auto"/>
        <w:rPr>
          <w:rFonts w:ascii="Arial" w:hAnsi="Arial" w:cs="Arial"/>
        </w:rPr>
      </w:pPr>
      <w:r w:rsidRPr="00A8074A">
        <w:rPr>
          <w:rFonts w:ascii="Arial" w:hAnsi="Arial" w:cs="Arial"/>
          <w:b/>
          <w:bCs/>
        </w:rPr>
        <w:t>Conclusion</w:t>
      </w:r>
      <w:r w:rsidR="00922FE1" w:rsidRPr="00A8074A">
        <w:rPr>
          <w:rFonts w:ascii="Arial" w:hAnsi="Arial" w:cs="Arial"/>
          <w:b/>
          <w:bCs/>
        </w:rPr>
        <w:t xml:space="preserve"> </w:t>
      </w:r>
    </w:p>
    <w:p w14:paraId="72FDF44D" w14:textId="65A0ADE9" w:rsidR="00883A05" w:rsidRPr="003A24EE" w:rsidRDefault="00883A05" w:rsidP="00A8074A">
      <w:pPr>
        <w:spacing w:after="0" w:line="360" w:lineRule="auto"/>
        <w:rPr>
          <w:rFonts w:ascii="Arial" w:hAnsi="Arial" w:cs="Arial"/>
        </w:rPr>
      </w:pPr>
      <w:r w:rsidRPr="003A24EE">
        <w:rPr>
          <w:rFonts w:ascii="Arial" w:hAnsi="Arial" w:cs="Arial"/>
        </w:rPr>
        <w:lastRenderedPageBreak/>
        <w:t>In conclusion, play is essential to the development of young children, and</w:t>
      </w:r>
      <w:r w:rsidR="002A257A" w:rsidRPr="003A24EE">
        <w:rPr>
          <w:rFonts w:ascii="Arial" w:hAnsi="Arial" w:cs="Arial"/>
        </w:rPr>
        <w:t xml:space="preserve"> the education authorities in</w:t>
      </w:r>
      <w:r w:rsidRPr="003A24EE">
        <w:rPr>
          <w:rFonts w:ascii="Arial" w:hAnsi="Arial" w:cs="Arial"/>
        </w:rPr>
        <w:t xml:space="preserve"> Wales and England have implemented significant legislative initiatives to promote it. To guarantee that play in early childhood settings stays authentic and meaningful, there must be constant communication between theory, policy, and practice.</w:t>
      </w:r>
    </w:p>
    <w:p w14:paraId="217F3ED2" w14:textId="77777777" w:rsidR="006942BC" w:rsidRPr="00A8074A" w:rsidRDefault="006942BC" w:rsidP="00A8074A">
      <w:pPr>
        <w:spacing w:after="0" w:line="360" w:lineRule="auto"/>
        <w:rPr>
          <w:rFonts w:ascii="Arial" w:hAnsi="Arial" w:cs="Arial"/>
          <w:b/>
          <w:bCs/>
        </w:rPr>
      </w:pPr>
    </w:p>
    <w:p w14:paraId="7A99F777" w14:textId="77777777" w:rsidR="006942BC" w:rsidRPr="00A8074A" w:rsidRDefault="006942BC" w:rsidP="00A8074A">
      <w:pPr>
        <w:spacing w:after="0" w:line="360" w:lineRule="auto"/>
        <w:rPr>
          <w:rFonts w:ascii="Arial" w:hAnsi="Arial" w:cs="Arial"/>
          <w:highlight w:val="green"/>
        </w:rPr>
      </w:pPr>
    </w:p>
    <w:p w14:paraId="530F2560" w14:textId="3B6C80FB" w:rsidR="0047374E" w:rsidRDefault="0047374E" w:rsidP="00A8074A">
      <w:pPr>
        <w:spacing w:after="0" w:line="360" w:lineRule="auto"/>
        <w:rPr>
          <w:rFonts w:ascii="Arial" w:hAnsi="Arial" w:cs="Arial"/>
          <w:b/>
          <w:bCs/>
        </w:rPr>
      </w:pPr>
      <w:r w:rsidRPr="00A90914">
        <w:rPr>
          <w:rFonts w:ascii="Arial" w:hAnsi="Arial" w:cs="Arial"/>
          <w:b/>
          <w:bCs/>
        </w:rPr>
        <w:t>2. Considering the concept of the ‘Unique Child’, critically evaluate methods of assessment, progress tracking or age and stage related development models within play-based curricula</w:t>
      </w:r>
      <w:r w:rsidR="00A90914" w:rsidRPr="00A90914">
        <w:rPr>
          <w:rFonts w:ascii="Arial" w:hAnsi="Arial" w:cs="Arial"/>
          <w:b/>
          <w:bCs/>
        </w:rPr>
        <w:t>.</w:t>
      </w:r>
    </w:p>
    <w:p w14:paraId="612B5450" w14:textId="77777777" w:rsidR="00A90914" w:rsidRPr="00A90914" w:rsidRDefault="00A90914" w:rsidP="00A8074A">
      <w:pPr>
        <w:spacing w:after="0" w:line="360" w:lineRule="auto"/>
        <w:rPr>
          <w:rFonts w:ascii="Arial" w:hAnsi="Arial" w:cs="Arial"/>
          <w:b/>
          <w:bCs/>
        </w:rPr>
      </w:pPr>
    </w:p>
    <w:p w14:paraId="4F3A327D" w14:textId="77777777" w:rsidR="00514468" w:rsidRPr="00A90914" w:rsidRDefault="00514468" w:rsidP="00A8074A">
      <w:pPr>
        <w:spacing w:after="0" w:line="360" w:lineRule="auto"/>
        <w:rPr>
          <w:rFonts w:ascii="Arial" w:hAnsi="Arial" w:cs="Arial"/>
          <w:b/>
          <w:bCs/>
          <w:color w:val="000000" w:themeColor="text1"/>
        </w:rPr>
      </w:pPr>
      <w:r w:rsidRPr="00A90914">
        <w:rPr>
          <w:rFonts w:ascii="Arial" w:hAnsi="Arial" w:cs="Arial"/>
          <w:b/>
          <w:bCs/>
          <w:color w:val="000000" w:themeColor="text1"/>
        </w:rPr>
        <w:t xml:space="preserve">Role of assessment </w:t>
      </w:r>
    </w:p>
    <w:p w14:paraId="06AFBCC8" w14:textId="0F516747" w:rsidR="00514468" w:rsidRPr="00A8074A" w:rsidRDefault="00514468" w:rsidP="00A8074A">
      <w:pPr>
        <w:spacing w:after="0" w:line="360" w:lineRule="auto"/>
        <w:rPr>
          <w:rFonts w:ascii="Arial" w:hAnsi="Arial" w:cs="Arial"/>
        </w:rPr>
      </w:pPr>
      <w:r w:rsidRPr="00A8074A">
        <w:rPr>
          <w:rFonts w:ascii="Arial" w:hAnsi="Arial" w:cs="Arial"/>
        </w:rPr>
        <w:t xml:space="preserve">Assessment is the process by which practitioners see children learn in their daily </w:t>
      </w:r>
      <w:r w:rsidR="00491512" w:rsidRPr="00A8074A">
        <w:rPr>
          <w:rFonts w:ascii="Arial" w:hAnsi="Arial" w:cs="Arial"/>
        </w:rPr>
        <w:t>work and</w:t>
      </w:r>
      <w:r w:rsidRPr="00A8074A">
        <w:rPr>
          <w:rFonts w:ascii="Arial" w:hAnsi="Arial" w:cs="Arial"/>
        </w:rPr>
        <w:t xml:space="preserve"> consider their findings to plan the way forward. By guiding what is taught and how, assessment in early childhood education is crucial in promoting healthy outcomes for children. Children's success in subsequent learning and education is significantly influenced by early childhood education's use of appropriate and successful evaluation, according to research (The Education Hub, 2022). </w:t>
      </w:r>
    </w:p>
    <w:p w14:paraId="1EE9F031" w14:textId="77777777" w:rsidR="00514468" w:rsidRPr="00A8074A" w:rsidRDefault="00514468" w:rsidP="00A8074A">
      <w:pPr>
        <w:spacing w:after="0" w:line="360" w:lineRule="auto"/>
        <w:rPr>
          <w:rFonts w:ascii="Arial" w:hAnsi="Arial" w:cs="Arial"/>
        </w:rPr>
      </w:pPr>
    </w:p>
    <w:p w14:paraId="0FB04FBC" w14:textId="77777777" w:rsidR="00514468" w:rsidRPr="00A90914" w:rsidRDefault="00514468" w:rsidP="00A8074A">
      <w:pPr>
        <w:spacing w:after="0" w:line="360" w:lineRule="auto"/>
        <w:rPr>
          <w:rFonts w:ascii="Arial" w:hAnsi="Arial" w:cs="Arial"/>
          <w:b/>
          <w:bCs/>
          <w:color w:val="000000" w:themeColor="text1"/>
        </w:rPr>
      </w:pPr>
      <w:r w:rsidRPr="00A90914">
        <w:rPr>
          <w:rFonts w:ascii="Arial" w:hAnsi="Arial" w:cs="Arial"/>
          <w:b/>
          <w:bCs/>
          <w:color w:val="000000" w:themeColor="text1"/>
        </w:rPr>
        <w:t xml:space="preserve">Early Years Assessment Strategies in England and Wales </w:t>
      </w:r>
    </w:p>
    <w:p w14:paraId="79EFA128" w14:textId="77777777" w:rsidR="00514468" w:rsidRPr="00A8074A" w:rsidRDefault="00514468" w:rsidP="00A8074A">
      <w:pPr>
        <w:spacing w:after="0" w:line="360" w:lineRule="auto"/>
        <w:rPr>
          <w:rFonts w:ascii="Arial" w:hAnsi="Arial" w:cs="Arial"/>
          <w:b/>
          <w:bCs/>
        </w:rPr>
      </w:pPr>
      <w:r w:rsidRPr="00A8074A">
        <w:rPr>
          <w:rFonts w:ascii="Arial" w:hAnsi="Arial" w:cs="Arial"/>
          <w:b/>
          <w:bCs/>
        </w:rPr>
        <w:t xml:space="preserve">Formative Assessment </w:t>
      </w:r>
    </w:p>
    <w:p w14:paraId="79066EC5" w14:textId="77777777" w:rsidR="00514468" w:rsidRPr="00A8074A" w:rsidRDefault="00514468" w:rsidP="00A8074A">
      <w:pPr>
        <w:spacing w:after="0" w:line="360" w:lineRule="auto"/>
        <w:rPr>
          <w:rFonts w:ascii="Arial" w:hAnsi="Arial" w:cs="Arial"/>
        </w:rPr>
      </w:pPr>
      <w:r w:rsidRPr="00A8074A">
        <w:rPr>
          <w:rFonts w:ascii="Arial" w:hAnsi="Arial" w:cs="Arial"/>
        </w:rPr>
        <w:t>Formative assessment in England and Wales has been widely recognised for its role in enhancing student learning by promoting reflection, personalised instruction, and active engagement (Black and Wiliam, 1998). It aligns well with recent curriculum reforms, as seen in the Curriculum for Wales, which emphasises holistic development and progression (Welsh Government, 2020).  Birth to 5 Matters (2021) agrees that formative assessment is an essential component within the education of young children.</w:t>
      </w:r>
    </w:p>
    <w:p w14:paraId="06D4637F" w14:textId="77777777" w:rsidR="00514468" w:rsidRPr="00A8074A" w:rsidRDefault="00514468" w:rsidP="00A8074A">
      <w:pPr>
        <w:spacing w:after="0" w:line="360" w:lineRule="auto"/>
        <w:rPr>
          <w:rFonts w:ascii="Arial" w:hAnsi="Arial" w:cs="Arial"/>
          <w:color w:val="196B24" w:themeColor="accent3"/>
        </w:rPr>
      </w:pPr>
    </w:p>
    <w:p w14:paraId="1CF9B038" w14:textId="77777777" w:rsidR="00514468" w:rsidRPr="00A8074A" w:rsidRDefault="00514468" w:rsidP="00A8074A">
      <w:pPr>
        <w:spacing w:after="0" w:line="360" w:lineRule="auto"/>
        <w:rPr>
          <w:rFonts w:ascii="Arial" w:hAnsi="Arial" w:cs="Arial"/>
          <w:b/>
          <w:bCs/>
        </w:rPr>
      </w:pPr>
      <w:r w:rsidRPr="00A8074A">
        <w:rPr>
          <w:rFonts w:ascii="Arial" w:hAnsi="Arial" w:cs="Arial"/>
          <w:b/>
          <w:bCs/>
        </w:rPr>
        <w:t xml:space="preserve">Summative Assessment </w:t>
      </w:r>
    </w:p>
    <w:p w14:paraId="31EA06D9" w14:textId="77777777" w:rsidR="00514468" w:rsidRPr="00A8074A" w:rsidRDefault="00514468" w:rsidP="00A8074A">
      <w:pPr>
        <w:spacing w:after="0" w:line="360" w:lineRule="auto"/>
        <w:rPr>
          <w:rFonts w:ascii="Arial" w:hAnsi="Arial" w:cs="Arial"/>
          <w:color w:val="196B24" w:themeColor="accent3"/>
        </w:rPr>
      </w:pPr>
      <w:r w:rsidRPr="00A8074A">
        <w:rPr>
          <w:rFonts w:ascii="Arial" w:hAnsi="Arial" w:cs="Arial"/>
        </w:rPr>
        <w:t xml:space="preserve">In England and Wales, summative assessments, which are frequently conducted using national curriculum assessments and standardised tests, are crucial for assessing student achievement at the conclusion of a learning period. It offers a methodical and transparent approach to monitoring development and evaluating student achievement across schools and geographical areas (Department for Education, 2014). This encourages accountability and helps guide choices about resource allocation and school development. Critics counter that an over-reliance on summative evaluation can lead to curriculum narrowing, more test-focused instruction, and high-stress conditions that could be detrimental to students' wellbeing (Harlen, 2007; Ofsted, 2019). Furthermore, tracking may inadvertently label pupils </w:t>
      </w:r>
      <w:r w:rsidRPr="00A8074A">
        <w:rPr>
          <w:rFonts w:ascii="Arial" w:hAnsi="Arial" w:cs="Arial"/>
        </w:rPr>
        <w:lastRenderedPageBreak/>
        <w:t>or encourage low expectations, especially for poor or SEND learners, even while it might highlight underperformance (Gillborn &amp; Youdell, 2000). The difficulty still lies in striking a balance between the requirements of a comprehensive, inclusive, and encouraging educational system and the accountability functions of summative evaluation</w:t>
      </w:r>
      <w:r w:rsidRPr="00A8074A">
        <w:rPr>
          <w:rFonts w:ascii="Arial" w:hAnsi="Arial" w:cs="Arial"/>
          <w:color w:val="196B24" w:themeColor="accent3"/>
        </w:rPr>
        <w:t>.</w:t>
      </w:r>
    </w:p>
    <w:p w14:paraId="7A1576A4" w14:textId="77777777" w:rsidR="00514468" w:rsidRPr="00A8074A" w:rsidRDefault="00514468" w:rsidP="00A8074A">
      <w:pPr>
        <w:spacing w:after="0" w:line="360" w:lineRule="auto"/>
        <w:rPr>
          <w:rFonts w:ascii="Arial" w:hAnsi="Arial" w:cs="Arial"/>
          <w:color w:val="196B24" w:themeColor="accent3"/>
        </w:rPr>
      </w:pPr>
    </w:p>
    <w:p w14:paraId="45116011" w14:textId="439AF58C" w:rsidR="00514468" w:rsidRPr="00A8074A" w:rsidRDefault="00514468" w:rsidP="00A8074A">
      <w:pPr>
        <w:spacing w:after="0" w:line="360" w:lineRule="auto"/>
        <w:rPr>
          <w:rFonts w:ascii="Arial" w:hAnsi="Arial" w:cs="Arial"/>
        </w:rPr>
      </w:pPr>
      <w:r w:rsidRPr="00A8074A">
        <w:rPr>
          <w:rFonts w:ascii="Arial" w:hAnsi="Arial" w:cs="Arial"/>
        </w:rPr>
        <w:t>When combined, formative and summative evaluations offer a thorough strategy for promoting students' success. Summative assessments offer structured data for monitoring achievement and accountability, while formative assessments provide continuous feedback that guides instruction. When properly balanced, they guarantee that every individual child gets the assistance required for consistent and significant development (Black and Wiliam, 1998; Harlen, 2007). Although these assessments are essential throughout England and Wales, there are significant policy disparities in how they are used. Wales is shifting away from high stakes testing and towards formative assessment, learner growth, and well-being, especially under the Curriculum for Wales 2022 (Welsh Government, 2020). In contrast, England continues to place more emphasis on league table results and summative evaluations, demonstrating a more data-driven approach to school accountability (</w:t>
      </w:r>
      <w:r w:rsidR="00491512" w:rsidRPr="00A8074A">
        <w:rPr>
          <w:rFonts w:ascii="Arial" w:hAnsi="Arial" w:cs="Arial"/>
        </w:rPr>
        <w:t>Department for Education</w:t>
      </w:r>
      <w:r w:rsidRPr="00A8074A">
        <w:rPr>
          <w:rFonts w:ascii="Arial" w:hAnsi="Arial" w:cs="Arial"/>
        </w:rPr>
        <w:t>, 2014). Both systems seek to balance evaluation methods to help all students realise their full potential despite these differences.</w:t>
      </w:r>
    </w:p>
    <w:p w14:paraId="469F3F59" w14:textId="77777777" w:rsidR="00514468" w:rsidRPr="00A8074A" w:rsidRDefault="00514468" w:rsidP="00A8074A">
      <w:pPr>
        <w:spacing w:after="0" w:line="360" w:lineRule="auto"/>
        <w:rPr>
          <w:rFonts w:ascii="Arial" w:hAnsi="Arial" w:cs="Arial"/>
          <w:color w:val="196B24" w:themeColor="accent3"/>
        </w:rPr>
      </w:pPr>
    </w:p>
    <w:p w14:paraId="664E04A2" w14:textId="77777777" w:rsidR="00514468" w:rsidRPr="00A90914" w:rsidRDefault="00514468" w:rsidP="00A8074A">
      <w:pPr>
        <w:spacing w:after="0" w:line="360" w:lineRule="auto"/>
        <w:rPr>
          <w:rFonts w:ascii="Arial" w:hAnsi="Arial" w:cs="Arial"/>
          <w:b/>
          <w:bCs/>
          <w:color w:val="000000" w:themeColor="text1"/>
        </w:rPr>
      </w:pPr>
      <w:r w:rsidRPr="00A90914">
        <w:rPr>
          <w:rFonts w:ascii="Arial" w:hAnsi="Arial" w:cs="Arial"/>
          <w:b/>
          <w:bCs/>
          <w:color w:val="000000" w:themeColor="text1"/>
        </w:rPr>
        <w:t>Assessment in Practice centred around the ‘Unique Child’</w:t>
      </w:r>
    </w:p>
    <w:p w14:paraId="5A14A9BF" w14:textId="77777777" w:rsidR="00514468" w:rsidRPr="00A8074A" w:rsidRDefault="00514468" w:rsidP="00A8074A">
      <w:pPr>
        <w:spacing w:after="0" w:line="360" w:lineRule="auto"/>
        <w:rPr>
          <w:rFonts w:ascii="Arial" w:hAnsi="Arial" w:cs="Arial"/>
          <w:color w:val="000000" w:themeColor="text1"/>
        </w:rPr>
      </w:pPr>
      <w:r w:rsidRPr="00A8074A">
        <w:rPr>
          <w:rFonts w:ascii="Arial" w:hAnsi="Arial" w:cs="Arial"/>
          <w:color w:val="000000" w:themeColor="text1"/>
        </w:rPr>
        <w:t>Various methods of assessment are applied in practice including:</w:t>
      </w:r>
    </w:p>
    <w:p w14:paraId="65C0D7A1" w14:textId="77777777" w:rsidR="00514468" w:rsidRPr="00A8074A" w:rsidRDefault="00514468" w:rsidP="00A8074A">
      <w:pPr>
        <w:spacing w:after="0" w:line="360" w:lineRule="auto"/>
        <w:rPr>
          <w:rFonts w:ascii="Arial" w:hAnsi="Arial" w:cs="Arial"/>
          <w:b/>
          <w:bCs/>
        </w:rPr>
      </w:pPr>
      <w:r w:rsidRPr="00A8074A">
        <w:rPr>
          <w:rFonts w:ascii="Arial" w:hAnsi="Arial" w:cs="Arial"/>
          <w:b/>
          <w:bCs/>
        </w:rPr>
        <w:t xml:space="preserve">Observation </w:t>
      </w:r>
    </w:p>
    <w:p w14:paraId="321D3420" w14:textId="777A1D51" w:rsidR="00514468" w:rsidRDefault="00514468" w:rsidP="00A8074A">
      <w:pPr>
        <w:spacing w:after="0" w:line="360" w:lineRule="auto"/>
        <w:rPr>
          <w:rFonts w:ascii="Arial" w:hAnsi="Arial" w:cs="Arial"/>
        </w:rPr>
      </w:pPr>
      <w:r w:rsidRPr="00A8074A">
        <w:rPr>
          <w:rFonts w:ascii="Arial" w:hAnsi="Arial" w:cs="Arial"/>
        </w:rPr>
        <w:t xml:space="preserve">A familiar method of formative assessment is observation and is often referred to as assessment for learning (Browne, 2016). Due to the fluid nature of teaching within the Curriculum </w:t>
      </w:r>
      <w:r w:rsidR="00A90914">
        <w:rPr>
          <w:rFonts w:ascii="Arial" w:hAnsi="Arial" w:cs="Arial"/>
        </w:rPr>
        <w:t xml:space="preserve">for </w:t>
      </w:r>
      <w:r w:rsidRPr="00A8074A">
        <w:rPr>
          <w:rFonts w:ascii="Arial" w:hAnsi="Arial" w:cs="Arial"/>
        </w:rPr>
        <w:t>Wales, practitioners will observe the development of skills within teacher led focus tasks, along with independent learning through play. Findings will be considered when planning the way forward for each individual child (Welsh Government</w:t>
      </w:r>
      <w:r w:rsidR="00A90914">
        <w:rPr>
          <w:rFonts w:ascii="Arial" w:hAnsi="Arial" w:cs="Arial"/>
        </w:rPr>
        <w:t>,</w:t>
      </w:r>
      <w:r w:rsidRPr="00A8074A">
        <w:rPr>
          <w:rFonts w:ascii="Arial" w:hAnsi="Arial" w:cs="Arial"/>
        </w:rPr>
        <w:t xml:space="preserve"> 2017).  Birth to 5 Matters (2021) refers to the process as the observation, assessment, and planning cycle. This allows practitioners to determine how a child is growing, learning, and developing, and then plan the next steps for the adults to support and extend the learning, without having to evaluate each child's talents against predetermined criteria. On the other hand, inconsistent practice may result from the absence of nationally standardised benchmarks. According to some critics, it might be more difficult to detect additional learning needs or guarantee coherence across contexts in the absence of explicit progression pathways (Estyn, 2018). Furthermore, assessments may become ambiguous or lack rigour in situations when practitioners lack confidence or training. Siraj-Blatchford </w:t>
      </w:r>
      <w:r w:rsidRPr="00A8074A">
        <w:rPr>
          <w:rFonts w:ascii="Arial" w:hAnsi="Arial" w:cs="Arial"/>
          <w:i/>
          <w:iCs/>
        </w:rPr>
        <w:t>et al</w:t>
      </w:r>
      <w:r w:rsidRPr="00A8074A">
        <w:rPr>
          <w:rFonts w:ascii="Arial" w:hAnsi="Arial" w:cs="Arial"/>
        </w:rPr>
        <w:t xml:space="preserve">. (2002) agree and suggest continuous investment in training and support to guarantee equity and quality.  </w:t>
      </w:r>
    </w:p>
    <w:p w14:paraId="59290994" w14:textId="77777777" w:rsidR="00514468" w:rsidRPr="00A8074A" w:rsidRDefault="00514468" w:rsidP="00A8074A">
      <w:pPr>
        <w:spacing w:after="0" w:line="360" w:lineRule="auto"/>
        <w:rPr>
          <w:rFonts w:ascii="Arial" w:hAnsi="Arial" w:cs="Arial"/>
          <w:color w:val="00B050"/>
        </w:rPr>
      </w:pPr>
    </w:p>
    <w:p w14:paraId="166148F0" w14:textId="77777777" w:rsidR="00514468" w:rsidRPr="00A8074A" w:rsidRDefault="00514468" w:rsidP="00A8074A">
      <w:pPr>
        <w:spacing w:after="0" w:line="360" w:lineRule="auto"/>
        <w:rPr>
          <w:rFonts w:ascii="Arial" w:hAnsi="Arial" w:cs="Arial"/>
          <w:b/>
          <w:bCs/>
        </w:rPr>
      </w:pPr>
      <w:r w:rsidRPr="00A8074A">
        <w:rPr>
          <w:rFonts w:ascii="Arial" w:hAnsi="Arial" w:cs="Arial"/>
          <w:b/>
          <w:bCs/>
        </w:rPr>
        <w:t xml:space="preserve">Baseline Assessment </w:t>
      </w:r>
    </w:p>
    <w:p w14:paraId="2D37CE52" w14:textId="77777777" w:rsidR="00514468" w:rsidRPr="00A8074A" w:rsidRDefault="00514468" w:rsidP="00A8074A">
      <w:pPr>
        <w:spacing w:after="0" w:line="360" w:lineRule="auto"/>
        <w:rPr>
          <w:rFonts w:ascii="Arial" w:hAnsi="Arial" w:cs="Arial"/>
        </w:rPr>
      </w:pPr>
      <w:r w:rsidRPr="00A8074A">
        <w:rPr>
          <w:rFonts w:ascii="Arial" w:hAnsi="Arial" w:cs="Arial"/>
        </w:rPr>
        <w:t xml:space="preserve">Children's beginning abilities and knowledge are measured by baseline assessments, which are carried out in the first few weeks of the school year. A summative indicator of progress that highlights the growth made over the year is provided by comparing these baselines to end-of-year results. This approach, which is popular in both Wales and England, helps teachers assess the success of their lesson plans and pinpoint areas that require more assistance (Department for Education, 2021; Welsh Government, 2020). </w:t>
      </w:r>
    </w:p>
    <w:p w14:paraId="50F2DCEE" w14:textId="77777777" w:rsidR="00514468" w:rsidRPr="00A8074A" w:rsidRDefault="00514468" w:rsidP="00A8074A">
      <w:pPr>
        <w:spacing w:after="0" w:line="360" w:lineRule="auto"/>
        <w:rPr>
          <w:rFonts w:ascii="Arial" w:hAnsi="Arial" w:cs="Arial"/>
        </w:rPr>
      </w:pPr>
    </w:p>
    <w:p w14:paraId="101278B2" w14:textId="77777777" w:rsidR="00514468" w:rsidRPr="00A8074A" w:rsidRDefault="00514468" w:rsidP="00A8074A">
      <w:pPr>
        <w:spacing w:after="0" w:line="360" w:lineRule="auto"/>
        <w:rPr>
          <w:rFonts w:ascii="Arial" w:hAnsi="Arial" w:cs="Arial"/>
        </w:rPr>
      </w:pPr>
      <w:r w:rsidRPr="00A8074A">
        <w:rPr>
          <w:rFonts w:ascii="Arial" w:hAnsi="Arial" w:cs="Arial"/>
        </w:rPr>
        <w:t xml:space="preserve">In Wales, The Foundation Learning Profile assists practitioners in offering a developmentally appropriate, holistic curriculum for every child through observations and formative evaluations (Welsh Government, 2017). This method aids practitioners in comprehending children's developmental stages, learning preferences, and interests by supporting the Foundation Learning phase pedagogy. Welsh Government collates results obtained from country wide use of this profile. </w:t>
      </w:r>
    </w:p>
    <w:p w14:paraId="2FACFD29" w14:textId="77777777" w:rsidR="00514468" w:rsidRPr="00A8074A" w:rsidRDefault="00514468" w:rsidP="00A8074A">
      <w:pPr>
        <w:spacing w:after="0" w:line="360" w:lineRule="auto"/>
        <w:rPr>
          <w:rFonts w:ascii="Arial" w:hAnsi="Arial" w:cs="Arial"/>
          <w:strike/>
        </w:rPr>
      </w:pPr>
    </w:p>
    <w:p w14:paraId="1A78E616" w14:textId="77777777" w:rsidR="00514468" w:rsidRPr="00A8074A" w:rsidRDefault="00514468" w:rsidP="00A8074A">
      <w:pPr>
        <w:spacing w:after="0" w:line="360" w:lineRule="auto"/>
        <w:rPr>
          <w:rFonts w:ascii="Arial" w:hAnsi="Arial" w:cs="Arial"/>
        </w:rPr>
      </w:pPr>
      <w:r w:rsidRPr="00A8074A">
        <w:rPr>
          <w:rFonts w:ascii="Arial" w:hAnsi="Arial" w:cs="Arial"/>
        </w:rPr>
        <w:t>In England, a play-based, statutory evaluation known as the Reception Baseline evaluation [hereafter RBE] is undertaken during the first six weeks in a Reception Class. It is intended to assess early reading, communication, and maths abilities, giving teachers a starting point for monitoring students' development until the conclusion of Key Stage 2 (Standards and Testing Agency, 2023). At the conclusion of the reception year, a statutory assessment is conducted against the Early Learning Goals [hereafter ELGs]. Development Matters is structured around age-band expectations (e.g., Birth–3, 3–4 years, Reception), which implicitly place children inside a linear model of growth, even if it is meant to be flexible and allow for practitioner judgement (</w:t>
      </w:r>
      <w:bookmarkStart w:id="2" w:name="_Hlk200284732"/>
      <w:r w:rsidRPr="00A8074A">
        <w:rPr>
          <w:rFonts w:ascii="Arial" w:hAnsi="Arial" w:cs="Arial"/>
        </w:rPr>
        <w:t>Department for Education</w:t>
      </w:r>
      <w:bookmarkEnd w:id="2"/>
      <w:r w:rsidRPr="00A8074A">
        <w:rPr>
          <w:rFonts w:ascii="Arial" w:hAnsi="Arial" w:cs="Arial"/>
        </w:rPr>
        <w:t>, 2023).</w:t>
      </w:r>
    </w:p>
    <w:p w14:paraId="2B1FABD1" w14:textId="77777777" w:rsidR="00514468" w:rsidRPr="00A8074A" w:rsidRDefault="00514468" w:rsidP="00A8074A">
      <w:pPr>
        <w:spacing w:after="0" w:line="360" w:lineRule="auto"/>
        <w:rPr>
          <w:rFonts w:ascii="Arial" w:hAnsi="Arial" w:cs="Arial"/>
        </w:rPr>
      </w:pPr>
    </w:p>
    <w:p w14:paraId="790F31E3" w14:textId="77777777" w:rsidR="00514468" w:rsidRPr="00A8074A" w:rsidRDefault="00514468" w:rsidP="00A8074A">
      <w:pPr>
        <w:spacing w:after="0" w:line="360" w:lineRule="auto"/>
        <w:rPr>
          <w:rFonts w:ascii="Arial" w:hAnsi="Arial" w:cs="Arial"/>
        </w:rPr>
      </w:pPr>
      <w:r w:rsidRPr="00A8074A">
        <w:rPr>
          <w:rFonts w:ascii="Arial" w:hAnsi="Arial" w:cs="Arial"/>
        </w:rPr>
        <w:t xml:space="preserve">When it comes to the Unique Child, this strategy may be troublesome. In practice, there is pressure to show children's attainment in accordance with norm-referenced outcomes, even though the intention is to support personalised observation (Bradbury, 2019). This may result in tick-box methods that fail to adequately take into consideration the uneven, non-linear character of development (Wood, 2020). Additionally, even though the ELGs offer a standardised endpoint, they frequently encourage a limited academic focus, especially on literacy and numeracy, which may marginalise more expansive areas of development such as creative play, emotional control, or physical exploration through play in which certain children may excel. Conversely, play-based learning focusses on learning via play, which organically incorporates those more general domains of development (Wood, 2014). Indeed, the RBE has drawn criticism for its reliability and the propriety of assessing young children at </w:t>
      </w:r>
      <w:r w:rsidRPr="00A8074A">
        <w:rPr>
          <w:rFonts w:ascii="Arial" w:hAnsi="Arial" w:cs="Arial"/>
        </w:rPr>
        <w:lastRenderedPageBreak/>
        <w:t>such an early stage of their educational journey, despite its intention to promote school accountability (National Education Union, 2023).</w:t>
      </w:r>
    </w:p>
    <w:p w14:paraId="06391EE8" w14:textId="77777777" w:rsidR="00B33AF6" w:rsidRPr="00A8074A" w:rsidRDefault="00B33AF6" w:rsidP="00A8074A">
      <w:pPr>
        <w:spacing w:after="0" w:line="360" w:lineRule="auto"/>
        <w:rPr>
          <w:rFonts w:ascii="Arial" w:hAnsi="Arial" w:cs="Arial"/>
        </w:rPr>
      </w:pPr>
    </w:p>
    <w:p w14:paraId="38B2480F" w14:textId="2A83329B" w:rsidR="00B33AF6" w:rsidRPr="00A8074A" w:rsidRDefault="00514468" w:rsidP="00A8074A">
      <w:pPr>
        <w:spacing w:after="0" w:line="360" w:lineRule="auto"/>
        <w:rPr>
          <w:rFonts w:ascii="Arial" w:hAnsi="Arial" w:cs="Arial"/>
          <w:b/>
          <w:bCs/>
        </w:rPr>
      </w:pPr>
      <w:r w:rsidRPr="00A8074A">
        <w:rPr>
          <w:rFonts w:ascii="Arial" w:hAnsi="Arial" w:cs="Arial"/>
          <w:b/>
          <w:bCs/>
        </w:rPr>
        <w:t>Electronic Tracking Programmes</w:t>
      </w:r>
    </w:p>
    <w:p w14:paraId="7B5AB9FC" w14:textId="7D1C1082" w:rsidR="00514468" w:rsidRPr="00A8074A" w:rsidRDefault="00514468" w:rsidP="00A8074A">
      <w:pPr>
        <w:spacing w:after="0" w:line="360" w:lineRule="auto"/>
        <w:rPr>
          <w:rFonts w:ascii="Arial" w:hAnsi="Arial" w:cs="Arial"/>
          <w:b/>
          <w:bCs/>
        </w:rPr>
      </w:pPr>
      <w:r w:rsidRPr="00A8074A">
        <w:rPr>
          <w:rFonts w:ascii="Arial" w:hAnsi="Arial" w:cs="Arial"/>
        </w:rPr>
        <w:t xml:space="preserve">Schools in Wales use an app called ‘Traciwr’ to track children’s progress (Traciwr, 2023). Its role is to support schools with the difficulty of tracking and observing students' development in line with </w:t>
      </w:r>
      <w:r w:rsidR="00135384" w:rsidRPr="00A8074A">
        <w:rPr>
          <w:rFonts w:ascii="Arial" w:hAnsi="Arial" w:cs="Arial"/>
        </w:rPr>
        <w:t xml:space="preserve">curriculum for Wales </w:t>
      </w:r>
      <w:r w:rsidRPr="00A8074A">
        <w:rPr>
          <w:rFonts w:ascii="Arial" w:hAnsi="Arial" w:cs="Arial"/>
        </w:rPr>
        <w:t>in identifying pupils who are ‘on track’ and those who are falling behind. Schools in England use a similar method, called Tapestry (The Foundation Stage Forum Ltd, 2025). The integration of planning, progress tracking, and formative assessment by Tapestry promotes whole-school strategies and strengthens ties with families.</w:t>
      </w:r>
    </w:p>
    <w:p w14:paraId="629DF7EC" w14:textId="77777777" w:rsidR="00514468" w:rsidRPr="00A8074A" w:rsidRDefault="00514468" w:rsidP="00A8074A">
      <w:pPr>
        <w:spacing w:after="0" w:line="360" w:lineRule="auto"/>
        <w:rPr>
          <w:rFonts w:ascii="Arial" w:hAnsi="Arial" w:cs="Arial"/>
        </w:rPr>
      </w:pPr>
    </w:p>
    <w:p w14:paraId="613D10D8" w14:textId="77777777" w:rsidR="00514468" w:rsidRPr="00A8074A" w:rsidRDefault="00514468" w:rsidP="00A8074A">
      <w:pPr>
        <w:spacing w:after="0" w:line="360" w:lineRule="auto"/>
        <w:rPr>
          <w:rFonts w:ascii="Arial" w:hAnsi="Arial" w:cs="Arial"/>
        </w:rPr>
      </w:pPr>
      <w:r w:rsidRPr="00A8074A">
        <w:rPr>
          <w:rFonts w:ascii="Arial" w:hAnsi="Arial" w:cs="Arial"/>
        </w:rPr>
        <w:t xml:space="preserve">Both curriculums employ models that outline common developmental stages which serve as foundations for tracking programmes. However, these models run the risk of pathologising differences or failing to take sociocultural differences in development into account (Rogoff, 2003; Woodhead, 2006). While age-stage models can be helpful in seeing broad trends, they can also become constrictive if used in isolation. </w:t>
      </w:r>
    </w:p>
    <w:p w14:paraId="6DDEE966" w14:textId="77777777" w:rsidR="00586D22" w:rsidRPr="00A8074A" w:rsidRDefault="00586D22" w:rsidP="00A8074A">
      <w:pPr>
        <w:spacing w:after="0" w:line="360" w:lineRule="auto"/>
        <w:rPr>
          <w:rFonts w:ascii="Arial" w:hAnsi="Arial" w:cs="Arial"/>
        </w:rPr>
      </w:pPr>
    </w:p>
    <w:p w14:paraId="4C07F517" w14:textId="41ED77AF" w:rsidR="008215B5" w:rsidRPr="00A8074A" w:rsidRDefault="00586D22" w:rsidP="00A8074A">
      <w:pPr>
        <w:spacing w:after="0" w:line="360" w:lineRule="auto"/>
        <w:rPr>
          <w:rFonts w:ascii="Arial" w:hAnsi="Arial" w:cs="Arial"/>
        </w:rPr>
      </w:pPr>
      <w:r w:rsidRPr="00A8074A">
        <w:rPr>
          <w:rFonts w:ascii="Arial" w:hAnsi="Arial" w:cs="Arial"/>
        </w:rPr>
        <w:t xml:space="preserve">Danniels, Pyle and DeLuca </w:t>
      </w:r>
      <w:r w:rsidR="008215B5" w:rsidRPr="00A8074A">
        <w:rPr>
          <w:rFonts w:ascii="Arial" w:hAnsi="Arial" w:cs="Arial"/>
        </w:rPr>
        <w:t>(</w:t>
      </w:r>
      <w:r w:rsidRPr="00A8074A">
        <w:rPr>
          <w:rFonts w:ascii="Arial" w:hAnsi="Arial" w:cs="Arial"/>
        </w:rPr>
        <w:t>2020)</w:t>
      </w:r>
      <w:r w:rsidR="008215B5" w:rsidRPr="00A8074A">
        <w:rPr>
          <w:rFonts w:ascii="Arial" w:hAnsi="Arial" w:cs="Arial"/>
        </w:rPr>
        <w:t xml:space="preserve"> investigate the use of technology in play-based</w:t>
      </w:r>
      <w:r w:rsidR="007B5BD3" w:rsidRPr="00A8074A">
        <w:rPr>
          <w:rFonts w:ascii="Arial" w:hAnsi="Arial" w:cs="Arial"/>
        </w:rPr>
        <w:t xml:space="preserve"> infant classes</w:t>
      </w:r>
      <w:r w:rsidR="008215B5" w:rsidRPr="00A8074A">
        <w:rPr>
          <w:rFonts w:ascii="Arial" w:hAnsi="Arial" w:cs="Arial"/>
        </w:rPr>
        <w:t xml:space="preserve"> to enhance evaluation procedures. Their study</w:t>
      </w:r>
      <w:r w:rsidR="007B5BD3" w:rsidRPr="00A8074A">
        <w:rPr>
          <w:rFonts w:ascii="Arial" w:hAnsi="Arial" w:cs="Arial"/>
        </w:rPr>
        <w:t xml:space="preserve"> </w:t>
      </w:r>
      <w:r w:rsidR="008215B5" w:rsidRPr="00A8074A">
        <w:rPr>
          <w:rFonts w:ascii="Arial" w:hAnsi="Arial" w:cs="Arial"/>
        </w:rPr>
        <w:t>shows how digital technologies might improve observational assessment by making it possible to document children's learning during play in a more quick, thorough, and multifaceted manner. The study finds a consistent alignment with academic-focused measures, indicating persisting difficulty in capturing social and emotional learning, even when the use of technology makes evaluations more visible and accessible. Although the authors offer creative approaches, they also warn that in the absence of professional training and careful use, technology runs the risk of promoting limited assessment agendas rather than expanding our understanding of holistic child development.</w:t>
      </w:r>
    </w:p>
    <w:p w14:paraId="67263085" w14:textId="77777777" w:rsidR="00C149E1" w:rsidRPr="00A8074A" w:rsidRDefault="00C149E1" w:rsidP="00A8074A">
      <w:pPr>
        <w:spacing w:after="0" w:line="360" w:lineRule="auto"/>
        <w:rPr>
          <w:rFonts w:ascii="Arial" w:hAnsi="Arial" w:cs="Arial"/>
        </w:rPr>
      </w:pPr>
    </w:p>
    <w:p w14:paraId="25B32D5C" w14:textId="6C9E038B" w:rsidR="008215B5" w:rsidRPr="00A8074A" w:rsidRDefault="00C149E1" w:rsidP="00A8074A">
      <w:pPr>
        <w:spacing w:after="0" w:line="360" w:lineRule="auto"/>
        <w:rPr>
          <w:rFonts w:ascii="Arial" w:hAnsi="Arial" w:cs="Arial"/>
        </w:rPr>
      </w:pPr>
      <w:r w:rsidRPr="00A8074A">
        <w:rPr>
          <w:rFonts w:ascii="Arial" w:hAnsi="Arial" w:cs="Arial"/>
        </w:rPr>
        <w:t xml:space="preserve">In play-based </w:t>
      </w:r>
      <w:r w:rsidR="007B5BD3" w:rsidRPr="00A8074A">
        <w:rPr>
          <w:rFonts w:ascii="Arial" w:hAnsi="Arial" w:cs="Arial"/>
        </w:rPr>
        <w:t xml:space="preserve">infant </w:t>
      </w:r>
      <w:r w:rsidRPr="00A8074A">
        <w:rPr>
          <w:rFonts w:ascii="Arial" w:hAnsi="Arial" w:cs="Arial"/>
        </w:rPr>
        <w:t xml:space="preserve">classes, </w:t>
      </w:r>
      <w:r w:rsidR="001678F1" w:rsidRPr="00A8074A">
        <w:rPr>
          <w:rFonts w:ascii="Arial" w:hAnsi="Arial" w:cs="Arial"/>
        </w:rPr>
        <w:t xml:space="preserve">Pyle and DeLuca (2016) </w:t>
      </w:r>
      <w:r w:rsidRPr="00A8074A">
        <w:rPr>
          <w:rFonts w:ascii="Arial" w:hAnsi="Arial" w:cs="Arial"/>
        </w:rPr>
        <w:t xml:space="preserve">critically point out the conflict between instructors' pedagogical views and real evaluation procedures. Teachers appreciate play because it promotes social, emotional, and creative growth, but curricular requirements that place a higher priority on academic skills </w:t>
      </w:r>
      <w:r w:rsidR="00922FE1" w:rsidRPr="00A8074A">
        <w:rPr>
          <w:rFonts w:ascii="Arial" w:hAnsi="Arial" w:cs="Arial"/>
        </w:rPr>
        <w:t>such as</w:t>
      </w:r>
      <w:r w:rsidRPr="00A8074A">
        <w:rPr>
          <w:rFonts w:ascii="Arial" w:hAnsi="Arial" w:cs="Arial"/>
        </w:rPr>
        <w:t xml:space="preserve"> reading and numeracy severely limit their evaluation methods. The</w:t>
      </w:r>
      <w:r w:rsidR="00922FE1" w:rsidRPr="00A8074A">
        <w:rPr>
          <w:rFonts w:ascii="Arial" w:hAnsi="Arial" w:cs="Arial"/>
        </w:rPr>
        <w:t>ir</w:t>
      </w:r>
      <w:r w:rsidRPr="00A8074A">
        <w:rPr>
          <w:rFonts w:ascii="Arial" w:hAnsi="Arial" w:cs="Arial"/>
        </w:rPr>
        <w:t xml:space="preserve"> study successfully highlights this discrepancy as well as </w:t>
      </w:r>
      <w:r w:rsidR="00987457" w:rsidRPr="00A8074A">
        <w:rPr>
          <w:rFonts w:ascii="Arial" w:hAnsi="Arial" w:cs="Arial"/>
        </w:rPr>
        <w:t>in</w:t>
      </w:r>
      <w:r w:rsidR="007B5BD3" w:rsidRPr="00A8074A">
        <w:rPr>
          <w:rFonts w:ascii="Arial" w:hAnsi="Arial" w:cs="Arial"/>
        </w:rPr>
        <w:t xml:space="preserve">adequate </w:t>
      </w:r>
      <w:r w:rsidRPr="00A8074A">
        <w:rPr>
          <w:rFonts w:ascii="Arial" w:hAnsi="Arial" w:cs="Arial"/>
        </w:rPr>
        <w:t>evaluation instruments to fully capture the range of learning opportunities provided by play. A drawback of the study is that it does</w:t>
      </w:r>
      <w:r w:rsidR="00922FE1" w:rsidRPr="00A8074A">
        <w:rPr>
          <w:rFonts w:ascii="Arial" w:hAnsi="Arial" w:cs="Arial"/>
        </w:rPr>
        <w:t xml:space="preserve"> </w:t>
      </w:r>
      <w:r w:rsidRPr="00A8074A">
        <w:rPr>
          <w:rFonts w:ascii="Arial" w:hAnsi="Arial" w:cs="Arial"/>
        </w:rPr>
        <w:t>n</w:t>
      </w:r>
      <w:r w:rsidR="00922FE1" w:rsidRPr="00A8074A">
        <w:rPr>
          <w:rFonts w:ascii="Arial" w:hAnsi="Arial" w:cs="Arial"/>
        </w:rPr>
        <w:t>o</w:t>
      </w:r>
      <w:r w:rsidRPr="00A8074A">
        <w:rPr>
          <w:rFonts w:ascii="Arial" w:hAnsi="Arial" w:cs="Arial"/>
        </w:rPr>
        <w:t xml:space="preserve">t offer specific remedies or substitute evaluation techniques, which leaves practitioners without direction on how to close </w:t>
      </w:r>
      <w:r w:rsidRPr="00A8074A">
        <w:rPr>
          <w:rFonts w:ascii="Arial" w:hAnsi="Arial" w:cs="Arial"/>
        </w:rPr>
        <w:lastRenderedPageBreak/>
        <w:t>this gap. While providing a valuable diagnostic contribution, the study also emphasises the need for more research into creating useful, comprehensive assessment frameworks.</w:t>
      </w:r>
    </w:p>
    <w:p w14:paraId="7756F581" w14:textId="77777777" w:rsidR="008215B5" w:rsidRPr="00A8074A" w:rsidRDefault="008215B5" w:rsidP="00A8074A">
      <w:pPr>
        <w:spacing w:after="0" w:line="360" w:lineRule="auto"/>
        <w:rPr>
          <w:rFonts w:ascii="Arial" w:eastAsia="Times New Roman" w:hAnsi="Arial" w:cs="Arial"/>
          <w:kern w:val="0"/>
          <w:lang w:eastAsia="en-GB"/>
          <w14:ligatures w14:val="none"/>
        </w:rPr>
      </w:pPr>
      <w:r w:rsidRPr="00A8074A">
        <w:rPr>
          <w:rFonts w:ascii="Arial" w:eastAsia="Times New Roman" w:hAnsi="Arial" w:cs="Arial"/>
          <w:kern w:val="0"/>
          <w:lang w:eastAsia="en-GB"/>
          <w14:ligatures w14:val="none"/>
        </w:rPr>
        <w:t xml:space="preserve"> </w:t>
      </w:r>
    </w:p>
    <w:p w14:paraId="02AE715E" w14:textId="04A26874" w:rsidR="008215B5" w:rsidRPr="00A8074A" w:rsidRDefault="008215B5" w:rsidP="00A8074A">
      <w:pPr>
        <w:spacing w:after="0" w:line="360" w:lineRule="auto"/>
        <w:rPr>
          <w:rFonts w:ascii="Arial" w:hAnsi="Arial" w:cs="Arial"/>
        </w:rPr>
      </w:pPr>
      <w:r w:rsidRPr="00A8074A">
        <w:rPr>
          <w:rFonts w:ascii="Arial" w:hAnsi="Arial" w:cs="Arial"/>
        </w:rPr>
        <w:t xml:space="preserve">DeLuca </w:t>
      </w:r>
      <w:r w:rsidRPr="00A8074A">
        <w:rPr>
          <w:rFonts w:ascii="Arial" w:hAnsi="Arial" w:cs="Arial"/>
          <w:i/>
          <w:iCs/>
        </w:rPr>
        <w:t>et al</w:t>
      </w:r>
      <w:r w:rsidRPr="00A8074A">
        <w:rPr>
          <w:rFonts w:ascii="Arial" w:hAnsi="Arial" w:cs="Arial"/>
        </w:rPr>
        <w:t>. (2020) contend that in order to capture a wider range of children's abilities, including social and emotional development, evaluation should be integrated into play-based learning. According to their research, this method improves assessment's authenticity while also highlighting how many teachers feel unprepared to use it successfully since they have received little training and assistance. Although the study provides a useful framework, it also identifies structural obstacles that might limit its real-world use.</w:t>
      </w:r>
    </w:p>
    <w:p w14:paraId="0D13FC12" w14:textId="77777777" w:rsidR="005A08CF" w:rsidRDefault="005A08CF" w:rsidP="00A8074A">
      <w:pPr>
        <w:spacing w:after="0" w:line="360" w:lineRule="auto"/>
        <w:rPr>
          <w:rFonts w:ascii="Arial" w:hAnsi="Arial" w:cs="Arial"/>
        </w:rPr>
      </w:pPr>
    </w:p>
    <w:p w14:paraId="0F91A51F" w14:textId="69FF956A" w:rsidR="00514468" w:rsidRPr="005A3280" w:rsidRDefault="00514468" w:rsidP="00A8074A">
      <w:pPr>
        <w:spacing w:after="0" w:line="360" w:lineRule="auto"/>
        <w:rPr>
          <w:rFonts w:ascii="Arial" w:hAnsi="Arial" w:cs="Arial"/>
          <w:b/>
          <w:bCs/>
        </w:rPr>
      </w:pPr>
      <w:r w:rsidRPr="005A3280">
        <w:rPr>
          <w:rFonts w:ascii="Arial" w:hAnsi="Arial" w:cs="Arial"/>
          <w:b/>
          <w:bCs/>
        </w:rPr>
        <w:t>Conclusion</w:t>
      </w:r>
    </w:p>
    <w:p w14:paraId="61786276" w14:textId="77777777" w:rsidR="00514468" w:rsidRPr="00A8074A" w:rsidRDefault="00514468" w:rsidP="00A8074A">
      <w:pPr>
        <w:spacing w:after="0" w:line="360" w:lineRule="auto"/>
        <w:rPr>
          <w:rFonts w:ascii="Arial" w:hAnsi="Arial" w:cs="Arial"/>
        </w:rPr>
      </w:pPr>
      <w:r w:rsidRPr="00A8074A">
        <w:rPr>
          <w:rFonts w:ascii="Arial" w:hAnsi="Arial" w:cs="Arial"/>
        </w:rPr>
        <w:t>In the end, assessment techniques need to be critically examined for their capacity to gauge progress as well as for their recognition, appreciation, and response to each child's individual journey. This necessitates a shift from standardised benchmarking to narrative-based, responsive observation that is rooted in relationships and reflective practice (Carr, 2001; Dahlberg, Moss and Pence, 2013).</w:t>
      </w:r>
    </w:p>
    <w:p w14:paraId="07C8F234" w14:textId="018871A3" w:rsidR="0030282F" w:rsidRPr="00A8074A" w:rsidRDefault="0030282F" w:rsidP="00A8074A">
      <w:pPr>
        <w:spacing w:after="0" w:line="360" w:lineRule="auto"/>
        <w:rPr>
          <w:rFonts w:ascii="Arial" w:hAnsi="Arial" w:cs="Arial"/>
        </w:rPr>
      </w:pPr>
    </w:p>
    <w:p w14:paraId="0F732236" w14:textId="77777777" w:rsidR="00A725E7" w:rsidRPr="00A8074A" w:rsidRDefault="00A725E7" w:rsidP="00A8074A">
      <w:pPr>
        <w:spacing w:after="0" w:line="360" w:lineRule="auto"/>
        <w:rPr>
          <w:rFonts w:ascii="Arial" w:hAnsi="Arial" w:cs="Arial"/>
        </w:rPr>
      </w:pPr>
    </w:p>
    <w:p w14:paraId="017FFC42" w14:textId="4618D744" w:rsidR="0047374E" w:rsidRPr="00A8074A" w:rsidRDefault="0047374E" w:rsidP="00A8074A">
      <w:pPr>
        <w:spacing w:after="0" w:line="360" w:lineRule="auto"/>
        <w:rPr>
          <w:rFonts w:ascii="Arial" w:hAnsi="Arial" w:cs="Arial"/>
        </w:rPr>
      </w:pPr>
      <w:r w:rsidRPr="000B3BD3">
        <w:rPr>
          <w:rFonts w:ascii="Arial" w:hAnsi="Arial" w:cs="Arial"/>
        </w:rPr>
        <w:t>3.</w:t>
      </w:r>
      <w:r w:rsidR="00922FE1" w:rsidRPr="000B3BD3">
        <w:rPr>
          <w:rFonts w:ascii="Arial" w:hAnsi="Arial" w:cs="Arial"/>
        </w:rPr>
        <w:t xml:space="preserve"> </w:t>
      </w:r>
      <w:r w:rsidR="00922FE1" w:rsidRPr="000B3BD3">
        <w:rPr>
          <w:rFonts w:ascii="Arial" w:hAnsi="Arial" w:cs="Arial"/>
          <w:b/>
          <w:bCs/>
          <w:color w:val="000000" w:themeColor="text1"/>
        </w:rPr>
        <w:t>B</w:t>
      </w:r>
      <w:r w:rsidRPr="000B3BD3">
        <w:rPr>
          <w:rFonts w:ascii="Arial" w:hAnsi="Arial" w:cs="Arial"/>
          <w:b/>
          <w:bCs/>
          <w:color w:val="000000" w:themeColor="text1"/>
        </w:rPr>
        <w:t>log suitable for a professional publication linked to considerations needed when implementing a play-based curriculum/curriculum change</w:t>
      </w:r>
      <w:r w:rsidRPr="000B3BD3">
        <w:rPr>
          <w:rFonts w:ascii="Arial" w:hAnsi="Arial" w:cs="Arial"/>
          <w:color w:val="000000" w:themeColor="text1"/>
        </w:rPr>
        <w:t xml:space="preserve"> </w:t>
      </w:r>
    </w:p>
    <w:p w14:paraId="619FE8FC" w14:textId="2D85B24F" w:rsidR="00CF7897" w:rsidRPr="00A8074A" w:rsidRDefault="00867650" w:rsidP="00A8074A">
      <w:pPr>
        <w:spacing w:after="0" w:line="360" w:lineRule="auto"/>
        <w:rPr>
          <w:rFonts w:ascii="Arial" w:hAnsi="Arial" w:cs="Arial"/>
        </w:rPr>
      </w:pPr>
      <w:r w:rsidRPr="00A8074A">
        <w:rPr>
          <w:rFonts w:ascii="Arial" w:hAnsi="Arial" w:cs="Arial"/>
        </w:rPr>
        <w:t>B</w:t>
      </w:r>
      <w:r w:rsidR="00CF7897" w:rsidRPr="00A8074A">
        <w:rPr>
          <w:rFonts w:ascii="Arial" w:hAnsi="Arial" w:cs="Arial"/>
        </w:rPr>
        <w:t xml:space="preserve">y </w:t>
      </w:r>
      <w:r w:rsidR="00A7321D" w:rsidRPr="00A8074A">
        <w:rPr>
          <w:rFonts w:ascii="Arial" w:hAnsi="Arial" w:cs="Arial"/>
        </w:rPr>
        <w:t>Amie Handle</w:t>
      </w:r>
      <w:r w:rsidR="00B2633A" w:rsidRPr="00A8074A">
        <w:rPr>
          <w:rFonts w:ascii="Arial" w:hAnsi="Arial" w:cs="Arial"/>
        </w:rPr>
        <w:t>y</w:t>
      </w:r>
    </w:p>
    <w:p w14:paraId="38E8332B" w14:textId="0743894A" w:rsidR="00867650" w:rsidRPr="00A8074A" w:rsidRDefault="00867650" w:rsidP="00A8074A">
      <w:pPr>
        <w:spacing w:after="0" w:line="360" w:lineRule="auto"/>
        <w:rPr>
          <w:rFonts w:ascii="Arial" w:hAnsi="Arial" w:cs="Arial"/>
        </w:rPr>
      </w:pPr>
      <w:r w:rsidRPr="00A8074A">
        <w:rPr>
          <w:rFonts w:ascii="Arial" w:hAnsi="Arial" w:cs="Arial"/>
        </w:rPr>
        <w:t>Date</w:t>
      </w:r>
      <w:r w:rsidR="002F1341" w:rsidRPr="00A8074A">
        <w:rPr>
          <w:rFonts w:ascii="Arial" w:hAnsi="Arial" w:cs="Arial"/>
        </w:rPr>
        <w:t>: 08 June 2024</w:t>
      </w:r>
    </w:p>
    <w:p w14:paraId="45E1BDE3" w14:textId="082B22D3" w:rsidR="00E80902" w:rsidRDefault="00E80902" w:rsidP="00A8074A">
      <w:pPr>
        <w:spacing w:after="0" w:line="360" w:lineRule="auto"/>
        <w:rPr>
          <w:rFonts w:ascii="Arial" w:hAnsi="Arial" w:cs="Arial"/>
        </w:rPr>
      </w:pPr>
      <w:r w:rsidRPr="00A8074A">
        <w:rPr>
          <w:rFonts w:ascii="Arial" w:hAnsi="Arial" w:cs="Arial"/>
        </w:rPr>
        <w:t>Although change is nothing new to the early years sector, recent changes to the curricula in Wales and England have highlighted the value of play-based teaching once again. Practitioners are being urged to reconsider not only what children learn but also how they learn best, as evidenced by the updated Early Years Foundation Stage (</w:t>
      </w:r>
      <w:r w:rsidR="00A15D1F" w:rsidRPr="00A8074A">
        <w:rPr>
          <w:rFonts w:ascii="Arial" w:hAnsi="Arial" w:cs="Arial"/>
        </w:rPr>
        <w:t>Department for Education</w:t>
      </w:r>
      <w:r w:rsidRPr="00A8074A">
        <w:rPr>
          <w:rFonts w:ascii="Arial" w:hAnsi="Arial" w:cs="Arial"/>
        </w:rPr>
        <w:t>, 2021) and Wales's Curriculum for Funded Non-Maintained Nursery Settings (Welsh Government, 2022).</w:t>
      </w:r>
    </w:p>
    <w:p w14:paraId="619AB88C" w14:textId="77777777" w:rsidR="00A8074A" w:rsidRPr="00A8074A" w:rsidRDefault="00A8074A" w:rsidP="00A8074A">
      <w:pPr>
        <w:spacing w:after="0" w:line="360" w:lineRule="auto"/>
        <w:rPr>
          <w:rFonts w:ascii="Arial" w:hAnsi="Arial" w:cs="Arial"/>
        </w:rPr>
      </w:pPr>
    </w:p>
    <w:p w14:paraId="75FCCFCE" w14:textId="0D1B5E9F" w:rsidR="00EE5AFB" w:rsidRDefault="00EE5AFB" w:rsidP="00A8074A">
      <w:pPr>
        <w:spacing w:after="0" w:line="360" w:lineRule="auto"/>
        <w:rPr>
          <w:rFonts w:ascii="Arial" w:hAnsi="Arial" w:cs="Arial"/>
        </w:rPr>
      </w:pPr>
      <w:r w:rsidRPr="00A8074A">
        <w:rPr>
          <w:rFonts w:ascii="Arial" w:hAnsi="Arial" w:cs="Arial"/>
        </w:rPr>
        <w:t xml:space="preserve">The understanding that play is essential to children's development and well-being and not only a recreational activity is at the core of this change (Wood, 2020). Implementing or expanding a play-based curriculum is not an easy undertaking, though. It necessitates reevaluating assessment procedures, adult responsibilities, pedagogy, and learning environment design. </w:t>
      </w:r>
      <w:r w:rsidR="00A45949" w:rsidRPr="00A8074A">
        <w:rPr>
          <w:rFonts w:ascii="Arial" w:hAnsi="Arial" w:cs="Arial"/>
        </w:rPr>
        <w:t>To</w:t>
      </w:r>
      <w:r w:rsidRPr="00A8074A">
        <w:rPr>
          <w:rFonts w:ascii="Arial" w:hAnsi="Arial" w:cs="Arial"/>
        </w:rPr>
        <w:t xml:space="preserve"> successfully and impactfully integrate a play-based curriculum, this blog examines five important professional factors.</w:t>
      </w:r>
    </w:p>
    <w:p w14:paraId="223BC9AE" w14:textId="77777777" w:rsidR="00A8074A" w:rsidRPr="00A8074A" w:rsidRDefault="00A8074A" w:rsidP="00A8074A">
      <w:pPr>
        <w:spacing w:after="0" w:line="360" w:lineRule="auto"/>
        <w:rPr>
          <w:rFonts w:ascii="Arial" w:hAnsi="Arial" w:cs="Arial"/>
        </w:rPr>
      </w:pPr>
    </w:p>
    <w:p w14:paraId="53CABEAA" w14:textId="75AB3C67" w:rsidR="005B13C2" w:rsidRDefault="005B13C2" w:rsidP="00A8074A">
      <w:pPr>
        <w:spacing w:after="0" w:line="360" w:lineRule="auto"/>
        <w:rPr>
          <w:rFonts w:ascii="Arial" w:hAnsi="Arial" w:cs="Arial"/>
        </w:rPr>
      </w:pPr>
      <w:r w:rsidRPr="00A8074A">
        <w:rPr>
          <w:rFonts w:ascii="Arial" w:hAnsi="Arial" w:cs="Arial"/>
        </w:rPr>
        <w:lastRenderedPageBreak/>
        <w:t>The idea that play</w:t>
      </w:r>
      <w:r w:rsidR="002118A7" w:rsidRPr="00A8074A">
        <w:rPr>
          <w:rFonts w:ascii="Arial" w:hAnsi="Arial" w:cs="Arial"/>
        </w:rPr>
        <w:t xml:space="preserve"> </w:t>
      </w:r>
      <w:r w:rsidR="007F56F1" w:rsidRPr="00A8074A">
        <w:rPr>
          <w:rFonts w:ascii="Arial" w:hAnsi="Arial" w:cs="Arial"/>
        </w:rPr>
        <w:t>doesn’t have</w:t>
      </w:r>
      <w:r w:rsidRPr="00A8074A">
        <w:rPr>
          <w:rFonts w:ascii="Arial" w:hAnsi="Arial" w:cs="Arial"/>
        </w:rPr>
        <w:t xml:space="preserve"> </w:t>
      </w:r>
      <w:r w:rsidR="00DC1F3D" w:rsidRPr="00A8074A">
        <w:rPr>
          <w:rFonts w:ascii="Arial" w:hAnsi="Arial" w:cs="Arial"/>
        </w:rPr>
        <w:t>any</w:t>
      </w:r>
      <w:r w:rsidRPr="00A8074A">
        <w:rPr>
          <w:rFonts w:ascii="Arial" w:hAnsi="Arial" w:cs="Arial"/>
        </w:rPr>
        <w:t xml:space="preserve"> academic value is a common obstacle to adopting a play-based curriculum. Nonetheless, play is a means of promoting cognitive, social, emotional, and physical development, according to decades of research (Broadhead, 2010; Whitebread </w:t>
      </w:r>
      <w:r w:rsidRPr="00A8074A">
        <w:rPr>
          <w:rFonts w:ascii="Arial" w:hAnsi="Arial" w:cs="Arial"/>
          <w:i/>
          <w:iCs/>
        </w:rPr>
        <w:t>et al</w:t>
      </w:r>
      <w:r w:rsidRPr="00A8074A">
        <w:rPr>
          <w:rFonts w:ascii="Arial" w:hAnsi="Arial" w:cs="Arial"/>
        </w:rPr>
        <w:t>., 2012). Effective play-based practice is intentional, responsive, and profoundly educational; it is not carefree.</w:t>
      </w:r>
    </w:p>
    <w:p w14:paraId="39F33730" w14:textId="77777777" w:rsidR="00A8074A" w:rsidRPr="00A8074A" w:rsidRDefault="00A8074A" w:rsidP="00A8074A">
      <w:pPr>
        <w:spacing w:after="0" w:line="360" w:lineRule="auto"/>
        <w:rPr>
          <w:rFonts w:ascii="Arial" w:hAnsi="Arial" w:cs="Arial"/>
        </w:rPr>
      </w:pPr>
    </w:p>
    <w:p w14:paraId="5B3A4C9B" w14:textId="6F1D6407" w:rsidR="00864DC6" w:rsidRDefault="00864DC6" w:rsidP="00A8074A">
      <w:pPr>
        <w:spacing w:after="0" w:line="360" w:lineRule="auto"/>
        <w:rPr>
          <w:rFonts w:ascii="Arial" w:hAnsi="Arial" w:cs="Arial"/>
        </w:rPr>
      </w:pPr>
      <w:r w:rsidRPr="00A8074A">
        <w:rPr>
          <w:rFonts w:ascii="Arial" w:hAnsi="Arial" w:cs="Arial"/>
        </w:rPr>
        <w:t>Practitioners are encouraged to support learning via play by using their professional judgement, according to England's Development Matters (</w:t>
      </w:r>
      <w:r w:rsidR="00C62D73" w:rsidRPr="00A8074A">
        <w:rPr>
          <w:rFonts w:ascii="Arial" w:hAnsi="Arial" w:cs="Arial"/>
        </w:rPr>
        <w:t>Department for Education</w:t>
      </w:r>
      <w:r w:rsidRPr="00A8074A">
        <w:rPr>
          <w:rFonts w:ascii="Arial" w:hAnsi="Arial" w:cs="Arial"/>
        </w:rPr>
        <w:t>, 2021). In the meanwhile, play is positioned at the centre of holistic development in the Welsh curriculum, which frames it as an entitlement (Welsh Government, 2022). According to both paradigms, practitioners must have a common grasp of the reasons for and ways in which play promotes development.</w:t>
      </w:r>
    </w:p>
    <w:p w14:paraId="701DC14D" w14:textId="5CF0DCF4" w:rsidR="008116E0" w:rsidRPr="00A8074A" w:rsidRDefault="008116E0" w:rsidP="00A8074A">
      <w:pPr>
        <w:spacing w:after="0" w:line="360" w:lineRule="auto"/>
        <w:rPr>
          <w:rFonts w:ascii="Arial" w:hAnsi="Arial" w:cs="Arial"/>
        </w:rPr>
      </w:pPr>
      <w:r w:rsidRPr="00A8074A">
        <w:rPr>
          <w:rFonts w:ascii="Arial" w:hAnsi="Arial" w:cs="Arial"/>
        </w:rPr>
        <w:t xml:space="preserve">The conceptual underpinnings of play in your setting can be strengthened by interacting with theoretical frameworks like Froebel's principle of unity or Vygotsky's social constructivism </w:t>
      </w:r>
      <w:r w:rsidR="00B70512" w:rsidRPr="00A8074A">
        <w:rPr>
          <w:rFonts w:ascii="Arial" w:hAnsi="Arial" w:cs="Arial"/>
        </w:rPr>
        <w:t>(</w:t>
      </w:r>
      <w:r w:rsidRPr="00A8074A">
        <w:rPr>
          <w:rFonts w:ascii="Arial" w:hAnsi="Arial" w:cs="Arial"/>
        </w:rPr>
        <w:t>Bruce, 2011).</w:t>
      </w:r>
    </w:p>
    <w:p w14:paraId="29B07AB8" w14:textId="77777777" w:rsidR="000B3BD3" w:rsidRDefault="000B3BD3" w:rsidP="00A8074A">
      <w:pPr>
        <w:spacing w:after="0" w:line="360" w:lineRule="auto"/>
        <w:rPr>
          <w:rFonts w:ascii="Arial" w:hAnsi="Arial" w:cs="Arial"/>
        </w:rPr>
      </w:pPr>
    </w:p>
    <w:p w14:paraId="67834187" w14:textId="42073607" w:rsidR="00E43FA8" w:rsidRDefault="00E43FA8" w:rsidP="00A8074A">
      <w:pPr>
        <w:spacing w:after="0" w:line="360" w:lineRule="auto"/>
        <w:rPr>
          <w:rFonts w:ascii="Arial" w:hAnsi="Arial" w:cs="Arial"/>
        </w:rPr>
      </w:pPr>
      <w:r w:rsidRPr="00A8074A">
        <w:rPr>
          <w:rFonts w:ascii="Arial" w:hAnsi="Arial" w:cs="Arial"/>
        </w:rPr>
        <w:t>A change in practitioner identity is frequently required when switching to a play-based model. Instead of imparting knowledge, the adult takes on the roles of co-researcher, observer, and learning facilitator (Wood, 2020). In accountability-driven settings where quality is frequently connected with visibility and control, this can be unsettling.</w:t>
      </w:r>
    </w:p>
    <w:p w14:paraId="1F4DD167" w14:textId="77777777" w:rsidR="00A8074A" w:rsidRPr="00A8074A" w:rsidRDefault="00A8074A" w:rsidP="00A8074A">
      <w:pPr>
        <w:spacing w:after="0" w:line="360" w:lineRule="auto"/>
        <w:rPr>
          <w:rFonts w:ascii="Arial" w:hAnsi="Arial" w:cs="Arial"/>
        </w:rPr>
      </w:pPr>
    </w:p>
    <w:p w14:paraId="7E30179F" w14:textId="77777777" w:rsidR="00877AAF" w:rsidRDefault="00877AAF" w:rsidP="00A8074A">
      <w:pPr>
        <w:spacing w:after="0" w:line="360" w:lineRule="auto"/>
        <w:rPr>
          <w:rFonts w:ascii="Arial" w:hAnsi="Arial" w:cs="Arial"/>
        </w:rPr>
      </w:pPr>
      <w:r w:rsidRPr="00A8074A">
        <w:rPr>
          <w:rFonts w:ascii="Arial" w:hAnsi="Arial" w:cs="Arial"/>
        </w:rPr>
        <w:t>Observational pedagogy, which puts the child's interests first, is essential to practise in Wales. While allowing for greater latitude, England's framework maintains formal assessment through the Early Learning Goals (ELGs), which can help focus attention on quantifiable results (Bradbury, 2019).</w:t>
      </w:r>
    </w:p>
    <w:p w14:paraId="1CD01CB4" w14:textId="77777777" w:rsidR="00A8074A" w:rsidRPr="00A8074A" w:rsidRDefault="00A8074A" w:rsidP="00A8074A">
      <w:pPr>
        <w:spacing w:after="0" w:line="360" w:lineRule="auto"/>
        <w:rPr>
          <w:rFonts w:ascii="Arial" w:hAnsi="Arial" w:cs="Arial"/>
        </w:rPr>
      </w:pPr>
    </w:p>
    <w:p w14:paraId="2D318108" w14:textId="77777777" w:rsidR="00D37010" w:rsidRDefault="00D37010" w:rsidP="00A8074A">
      <w:pPr>
        <w:spacing w:after="0" w:line="360" w:lineRule="auto"/>
        <w:rPr>
          <w:rFonts w:ascii="Arial" w:hAnsi="Arial" w:cs="Arial"/>
        </w:rPr>
      </w:pPr>
      <w:r w:rsidRPr="00A8074A">
        <w:rPr>
          <w:rFonts w:ascii="Arial" w:hAnsi="Arial" w:cs="Arial"/>
        </w:rPr>
        <w:t>A common, thoughtful understanding of practitioner duties in a play-rich setting can be fostered by regular team talks and peer observations.</w:t>
      </w:r>
    </w:p>
    <w:p w14:paraId="1F20361B" w14:textId="39EFEB29" w:rsidR="00D4686B" w:rsidRDefault="00D4686B" w:rsidP="00A8074A">
      <w:pPr>
        <w:spacing w:after="0" w:line="360" w:lineRule="auto"/>
        <w:rPr>
          <w:rFonts w:ascii="Arial" w:hAnsi="Arial" w:cs="Arial"/>
        </w:rPr>
      </w:pPr>
      <w:r w:rsidRPr="00A8074A">
        <w:rPr>
          <w:rFonts w:ascii="Arial" w:hAnsi="Arial" w:cs="Arial"/>
        </w:rPr>
        <w:t>Child-led play is fundamental, but practitioners also need to be intentional in their work. Freedom and structure are combined in effective play-based learning to let children explore while being gently led towards learning objectives (Siraj-Blatchford et al., 2002).</w:t>
      </w:r>
    </w:p>
    <w:p w14:paraId="5AAD1C65" w14:textId="77777777" w:rsidR="00A8074A" w:rsidRPr="00A8074A" w:rsidRDefault="00A8074A" w:rsidP="00A8074A">
      <w:pPr>
        <w:spacing w:after="0" w:line="360" w:lineRule="auto"/>
        <w:rPr>
          <w:rFonts w:ascii="Arial" w:hAnsi="Arial" w:cs="Arial"/>
        </w:rPr>
      </w:pPr>
    </w:p>
    <w:p w14:paraId="5D8317ED" w14:textId="34010543" w:rsidR="00223D58" w:rsidRDefault="006F2C23" w:rsidP="00A8074A">
      <w:pPr>
        <w:spacing w:after="0" w:line="360" w:lineRule="auto"/>
        <w:rPr>
          <w:rFonts w:ascii="Arial" w:hAnsi="Arial" w:cs="Arial"/>
        </w:rPr>
      </w:pPr>
      <w:r w:rsidRPr="00A8074A">
        <w:rPr>
          <w:rFonts w:ascii="Arial" w:hAnsi="Arial" w:cs="Arial"/>
        </w:rPr>
        <w:t>In England, educators are urged to watch and take advantage of teachable moments in play. Instead of using conventional tracking, learning in Wales is recorded through rich narrative observations. Although it requires a high degree of professional knowledge and confidence, this flexible technique can better depict non-linear development.</w:t>
      </w:r>
      <w:r w:rsidR="006A1B44">
        <w:rPr>
          <w:rFonts w:ascii="Arial" w:hAnsi="Arial" w:cs="Arial"/>
        </w:rPr>
        <w:t xml:space="preserve"> </w:t>
      </w:r>
      <w:r w:rsidR="00223D58" w:rsidRPr="00A8074A">
        <w:rPr>
          <w:rFonts w:ascii="Arial" w:hAnsi="Arial" w:cs="Arial"/>
        </w:rPr>
        <w:t>By making use of planning resources that combine developmental objectives with children's interests</w:t>
      </w:r>
      <w:r w:rsidR="00636D22" w:rsidRPr="00A8074A">
        <w:rPr>
          <w:rFonts w:ascii="Arial" w:hAnsi="Arial" w:cs="Arial"/>
        </w:rPr>
        <w:t>, l</w:t>
      </w:r>
      <w:r w:rsidR="00223D58" w:rsidRPr="00A8074A">
        <w:rPr>
          <w:rFonts w:ascii="Arial" w:hAnsi="Arial" w:cs="Arial"/>
        </w:rPr>
        <w:t xml:space="preserve">earning </w:t>
      </w:r>
      <w:r w:rsidR="00223D58" w:rsidRPr="00A8074A">
        <w:rPr>
          <w:rFonts w:ascii="Arial" w:hAnsi="Arial" w:cs="Arial"/>
        </w:rPr>
        <w:lastRenderedPageBreak/>
        <w:t xml:space="preserve">notebooks or </w:t>
      </w:r>
      <w:r w:rsidR="00C62D73" w:rsidRPr="00A8074A">
        <w:rPr>
          <w:rFonts w:ascii="Arial" w:hAnsi="Arial" w:cs="Arial"/>
        </w:rPr>
        <w:t>floor books</w:t>
      </w:r>
      <w:r w:rsidR="00223D58" w:rsidRPr="00A8074A">
        <w:rPr>
          <w:rFonts w:ascii="Arial" w:hAnsi="Arial" w:cs="Arial"/>
        </w:rPr>
        <w:t>, for instance, can be used to document development in a meaningful way without interfering with play.</w:t>
      </w:r>
    </w:p>
    <w:p w14:paraId="155C3FD9" w14:textId="77777777" w:rsidR="00A8074A" w:rsidRPr="00A8074A" w:rsidRDefault="00A8074A" w:rsidP="00A8074A">
      <w:pPr>
        <w:spacing w:after="0" w:line="360" w:lineRule="auto"/>
        <w:rPr>
          <w:rFonts w:ascii="Arial" w:hAnsi="Arial" w:cs="Arial"/>
        </w:rPr>
      </w:pPr>
    </w:p>
    <w:p w14:paraId="636DC73C" w14:textId="0CBA5A55" w:rsidR="00165070" w:rsidRPr="00A8074A" w:rsidRDefault="00165070" w:rsidP="00A8074A">
      <w:pPr>
        <w:spacing w:after="0" w:line="360" w:lineRule="auto"/>
        <w:rPr>
          <w:rFonts w:ascii="Arial" w:hAnsi="Arial" w:cs="Arial"/>
        </w:rPr>
      </w:pPr>
      <w:r w:rsidRPr="00A8074A">
        <w:rPr>
          <w:rFonts w:ascii="Arial" w:hAnsi="Arial" w:cs="Arial"/>
        </w:rPr>
        <w:t xml:space="preserve">An essential component of a play-based curriculum is the learning environment. The </w:t>
      </w:r>
      <w:r w:rsidR="00CA13EA" w:rsidRPr="00A8074A">
        <w:rPr>
          <w:rFonts w:ascii="Arial" w:hAnsi="Arial" w:cs="Arial"/>
        </w:rPr>
        <w:t xml:space="preserve">learning </w:t>
      </w:r>
      <w:r w:rsidR="00B2633A" w:rsidRPr="00A8074A">
        <w:rPr>
          <w:rFonts w:ascii="Arial" w:hAnsi="Arial" w:cs="Arial"/>
        </w:rPr>
        <w:t>environment itself</w:t>
      </w:r>
      <w:r w:rsidRPr="00A8074A">
        <w:rPr>
          <w:rFonts w:ascii="Arial" w:hAnsi="Arial" w:cs="Arial"/>
        </w:rPr>
        <w:t xml:space="preserve"> should encourage inquiry, dialogue, and creativity in accordance with Froebelian </w:t>
      </w:r>
      <w:r w:rsidR="00CA13EA" w:rsidRPr="00A8074A">
        <w:rPr>
          <w:rFonts w:ascii="Arial" w:hAnsi="Arial" w:cs="Arial"/>
        </w:rPr>
        <w:t xml:space="preserve">theory </w:t>
      </w:r>
      <w:r w:rsidRPr="00A8074A">
        <w:rPr>
          <w:rFonts w:ascii="Arial" w:hAnsi="Arial" w:cs="Arial"/>
        </w:rPr>
        <w:t xml:space="preserve">and the "third teacher" </w:t>
      </w:r>
      <w:r w:rsidR="008C33F9" w:rsidRPr="00A8074A">
        <w:rPr>
          <w:rFonts w:ascii="Arial" w:hAnsi="Arial" w:cs="Arial"/>
        </w:rPr>
        <w:t>concept</w:t>
      </w:r>
      <w:r w:rsidRPr="00A8074A">
        <w:rPr>
          <w:rFonts w:ascii="Arial" w:hAnsi="Arial" w:cs="Arial"/>
        </w:rPr>
        <w:t xml:space="preserve"> of Reggio Emilia (Bruce, 2011).</w:t>
      </w:r>
    </w:p>
    <w:p w14:paraId="15E0CC55" w14:textId="724E953B" w:rsidR="00CA7001" w:rsidRDefault="00CA7001" w:rsidP="00A8074A">
      <w:pPr>
        <w:spacing w:after="0" w:line="360" w:lineRule="auto"/>
        <w:rPr>
          <w:rFonts w:ascii="Arial" w:hAnsi="Arial" w:cs="Arial"/>
        </w:rPr>
      </w:pPr>
      <w:r w:rsidRPr="00A8074A">
        <w:rPr>
          <w:rFonts w:ascii="Arial" w:hAnsi="Arial" w:cs="Arial"/>
        </w:rPr>
        <w:t xml:space="preserve">Both </w:t>
      </w:r>
      <w:r w:rsidR="00891972" w:rsidRPr="00A8074A">
        <w:rPr>
          <w:rFonts w:ascii="Arial" w:hAnsi="Arial" w:cs="Arial"/>
        </w:rPr>
        <w:t>curriculums</w:t>
      </w:r>
      <w:r w:rsidRPr="00A8074A">
        <w:rPr>
          <w:rFonts w:ascii="Arial" w:hAnsi="Arial" w:cs="Arial"/>
        </w:rPr>
        <w:t xml:space="preserve"> support inclusive, adaptable, and culturally and experientially reflective enabling settings. </w:t>
      </w:r>
      <w:r w:rsidR="00B2633A" w:rsidRPr="00A8074A">
        <w:rPr>
          <w:rFonts w:ascii="Arial" w:hAnsi="Arial" w:cs="Arial"/>
        </w:rPr>
        <w:t>C</w:t>
      </w:r>
      <w:r w:rsidRPr="00A8074A">
        <w:rPr>
          <w:rFonts w:ascii="Arial" w:hAnsi="Arial" w:cs="Arial"/>
        </w:rPr>
        <w:t xml:space="preserve">reating these areas calls for more than simply things; it also calls for deliberate consideration of how </w:t>
      </w:r>
      <w:r w:rsidR="008C33F9" w:rsidRPr="00A8074A">
        <w:rPr>
          <w:rFonts w:ascii="Arial" w:hAnsi="Arial" w:cs="Arial"/>
        </w:rPr>
        <w:t>children</w:t>
      </w:r>
      <w:r w:rsidRPr="00A8074A">
        <w:rPr>
          <w:rFonts w:ascii="Arial" w:hAnsi="Arial" w:cs="Arial"/>
        </w:rPr>
        <w:t xml:space="preserve"> utilise the space and what </w:t>
      </w:r>
      <w:r w:rsidR="00CA13EA" w:rsidRPr="00A8074A">
        <w:rPr>
          <w:rFonts w:ascii="Arial" w:hAnsi="Arial" w:cs="Arial"/>
        </w:rPr>
        <w:t xml:space="preserve">types </w:t>
      </w:r>
      <w:r w:rsidRPr="00A8074A">
        <w:rPr>
          <w:rFonts w:ascii="Arial" w:hAnsi="Arial" w:cs="Arial"/>
        </w:rPr>
        <w:t>of play are encouraged.</w:t>
      </w:r>
    </w:p>
    <w:p w14:paraId="12B50CA4" w14:textId="77777777" w:rsidR="00A8074A" w:rsidRPr="00A8074A" w:rsidRDefault="00A8074A" w:rsidP="00A8074A">
      <w:pPr>
        <w:spacing w:after="0" w:line="360" w:lineRule="auto"/>
        <w:rPr>
          <w:rFonts w:ascii="Arial" w:hAnsi="Arial" w:cs="Arial"/>
        </w:rPr>
      </w:pPr>
    </w:p>
    <w:p w14:paraId="71701C28" w14:textId="79DB2AD6" w:rsidR="00532FA8" w:rsidRPr="00A8074A" w:rsidRDefault="00532FA8" w:rsidP="00A8074A">
      <w:pPr>
        <w:spacing w:after="0" w:line="360" w:lineRule="auto"/>
        <w:rPr>
          <w:rFonts w:ascii="Arial" w:hAnsi="Arial" w:cs="Arial"/>
        </w:rPr>
      </w:pPr>
      <w:r w:rsidRPr="00A8074A">
        <w:rPr>
          <w:rFonts w:ascii="Arial" w:hAnsi="Arial" w:cs="Arial"/>
        </w:rPr>
        <w:t>By examine your surroundings by asking yourself, "Who is this space for?" and "</w:t>
      </w:r>
      <w:r w:rsidR="00CA13EA" w:rsidRPr="00A8074A">
        <w:rPr>
          <w:rFonts w:ascii="Arial" w:hAnsi="Arial" w:cs="Arial"/>
        </w:rPr>
        <w:t>W</w:t>
      </w:r>
      <w:r w:rsidRPr="00A8074A">
        <w:rPr>
          <w:rFonts w:ascii="Arial" w:hAnsi="Arial" w:cs="Arial"/>
        </w:rPr>
        <w:t>hat sort of education does this encourage?"</w:t>
      </w:r>
      <w:r w:rsidR="008C33F9" w:rsidRPr="00A8074A">
        <w:rPr>
          <w:rFonts w:ascii="Arial" w:hAnsi="Arial" w:cs="Arial"/>
        </w:rPr>
        <w:t xml:space="preserve"> </w:t>
      </w:r>
      <w:r w:rsidR="00072CCB" w:rsidRPr="00A8074A">
        <w:rPr>
          <w:rFonts w:ascii="Arial" w:hAnsi="Arial" w:cs="Arial"/>
        </w:rPr>
        <w:t xml:space="preserve"> I would say myself we </w:t>
      </w:r>
      <w:r w:rsidR="00BC2EA5" w:rsidRPr="00A8074A">
        <w:rPr>
          <w:rFonts w:ascii="Arial" w:hAnsi="Arial" w:cs="Arial"/>
        </w:rPr>
        <w:t>would</w:t>
      </w:r>
      <w:r w:rsidR="00C15A9E" w:rsidRPr="00A8074A">
        <w:rPr>
          <w:rFonts w:ascii="Arial" w:hAnsi="Arial" w:cs="Arial"/>
        </w:rPr>
        <w:t xml:space="preserve"> examine </w:t>
      </w:r>
      <w:r w:rsidR="00725371" w:rsidRPr="00A8074A">
        <w:rPr>
          <w:rFonts w:ascii="Arial" w:hAnsi="Arial" w:cs="Arial"/>
        </w:rPr>
        <w:t>the</w:t>
      </w:r>
      <w:r w:rsidR="00C15A9E" w:rsidRPr="00A8074A">
        <w:rPr>
          <w:rFonts w:ascii="Arial" w:hAnsi="Arial" w:cs="Arial"/>
        </w:rPr>
        <w:t xml:space="preserve"> surroundings </w:t>
      </w:r>
      <w:r w:rsidR="00725371" w:rsidRPr="00A8074A">
        <w:rPr>
          <w:rFonts w:ascii="Arial" w:hAnsi="Arial" w:cs="Arial"/>
        </w:rPr>
        <w:t>for the children to have space to learn while playing</w:t>
      </w:r>
      <w:r w:rsidR="007A299E" w:rsidRPr="00A8074A">
        <w:rPr>
          <w:rFonts w:ascii="Arial" w:hAnsi="Arial" w:cs="Arial"/>
        </w:rPr>
        <w:t xml:space="preserve"> and to</w:t>
      </w:r>
      <w:r w:rsidR="00275C84" w:rsidRPr="00A8074A">
        <w:rPr>
          <w:rFonts w:ascii="Arial" w:hAnsi="Arial" w:cs="Arial"/>
        </w:rPr>
        <w:t xml:space="preserve"> inclu</w:t>
      </w:r>
      <w:r w:rsidR="00EA0D6F" w:rsidRPr="00A8074A">
        <w:rPr>
          <w:rFonts w:ascii="Arial" w:hAnsi="Arial" w:cs="Arial"/>
        </w:rPr>
        <w:t>de all the children within th</w:t>
      </w:r>
      <w:r w:rsidR="00D43F35" w:rsidRPr="00A8074A">
        <w:rPr>
          <w:rFonts w:ascii="Arial" w:hAnsi="Arial" w:cs="Arial"/>
        </w:rPr>
        <w:t>is</w:t>
      </w:r>
      <w:r w:rsidR="00EA0D6F" w:rsidRPr="00A8074A">
        <w:rPr>
          <w:rFonts w:ascii="Arial" w:hAnsi="Arial" w:cs="Arial"/>
        </w:rPr>
        <w:t xml:space="preserve"> </w:t>
      </w:r>
      <w:r w:rsidR="009716EC" w:rsidRPr="00A8074A">
        <w:rPr>
          <w:rFonts w:ascii="Arial" w:hAnsi="Arial" w:cs="Arial"/>
        </w:rPr>
        <w:t>space, by</w:t>
      </w:r>
      <w:r w:rsidR="00D43F35" w:rsidRPr="00A8074A">
        <w:rPr>
          <w:rFonts w:ascii="Arial" w:hAnsi="Arial" w:cs="Arial"/>
        </w:rPr>
        <w:t xml:space="preserve"> setting up </w:t>
      </w:r>
      <w:r w:rsidR="00220C64" w:rsidRPr="00A8074A">
        <w:rPr>
          <w:rFonts w:ascii="Arial" w:hAnsi="Arial" w:cs="Arial"/>
        </w:rPr>
        <w:t xml:space="preserve">different </w:t>
      </w:r>
      <w:r w:rsidR="009716EC" w:rsidRPr="00A8074A">
        <w:rPr>
          <w:rFonts w:ascii="Arial" w:hAnsi="Arial" w:cs="Arial"/>
        </w:rPr>
        <w:t>activities</w:t>
      </w:r>
      <w:r w:rsidR="00BC2EA5" w:rsidRPr="00A8074A">
        <w:rPr>
          <w:rFonts w:ascii="Arial" w:hAnsi="Arial" w:cs="Arial"/>
        </w:rPr>
        <w:t xml:space="preserve"> </w:t>
      </w:r>
      <w:r w:rsidR="009716EC" w:rsidRPr="00A8074A">
        <w:rPr>
          <w:rFonts w:ascii="Arial" w:hAnsi="Arial" w:cs="Arial"/>
        </w:rPr>
        <w:t xml:space="preserve">in the area </w:t>
      </w:r>
      <w:r w:rsidR="00236846" w:rsidRPr="00A8074A">
        <w:rPr>
          <w:rFonts w:ascii="Arial" w:hAnsi="Arial" w:cs="Arial"/>
        </w:rPr>
        <w:t>so the children can</w:t>
      </w:r>
      <w:r w:rsidR="00BC2EA5" w:rsidRPr="00A8074A">
        <w:rPr>
          <w:rFonts w:ascii="Arial" w:hAnsi="Arial" w:cs="Arial"/>
        </w:rPr>
        <w:t xml:space="preserve"> play</w:t>
      </w:r>
      <w:r w:rsidR="00236846" w:rsidRPr="00A8074A">
        <w:rPr>
          <w:rFonts w:ascii="Arial" w:hAnsi="Arial" w:cs="Arial"/>
        </w:rPr>
        <w:t xml:space="preserve"> and be </w:t>
      </w:r>
      <w:r w:rsidR="009716EC" w:rsidRPr="00A8074A">
        <w:rPr>
          <w:rFonts w:ascii="Arial" w:hAnsi="Arial" w:cs="Arial"/>
        </w:rPr>
        <w:t>creative</w:t>
      </w:r>
      <w:r w:rsidR="00E662BD" w:rsidRPr="00A8074A">
        <w:rPr>
          <w:rFonts w:ascii="Arial" w:hAnsi="Arial" w:cs="Arial"/>
        </w:rPr>
        <w:t xml:space="preserve">, this is enabling the environment so we can </w:t>
      </w:r>
      <w:r w:rsidR="00197271" w:rsidRPr="00A8074A">
        <w:rPr>
          <w:rFonts w:ascii="Arial" w:hAnsi="Arial" w:cs="Arial"/>
        </w:rPr>
        <w:t xml:space="preserve">observe the children </w:t>
      </w:r>
      <w:r w:rsidR="003A68AD" w:rsidRPr="00A8074A">
        <w:rPr>
          <w:rFonts w:ascii="Arial" w:hAnsi="Arial" w:cs="Arial"/>
        </w:rPr>
        <w:t xml:space="preserve">learning through play. </w:t>
      </w:r>
    </w:p>
    <w:p w14:paraId="087F8A25" w14:textId="6BCC723B" w:rsidR="00AC247A" w:rsidRPr="00A8074A" w:rsidRDefault="00AC247A" w:rsidP="00A8074A">
      <w:pPr>
        <w:spacing w:after="0" w:line="360" w:lineRule="auto"/>
        <w:rPr>
          <w:rFonts w:ascii="Arial" w:hAnsi="Arial" w:cs="Arial"/>
        </w:rPr>
      </w:pPr>
      <w:r w:rsidRPr="00A8074A">
        <w:rPr>
          <w:rFonts w:ascii="Arial" w:hAnsi="Arial" w:cs="Arial"/>
        </w:rPr>
        <w:t xml:space="preserve">In an early childhood setting, it is crucial to establish an enabling space that encourages freedom, curiosity, and exploration while implementing play-based activities. Open-ended resources, easily available materials, and well-defined spaces that represent the interests and developmental stages of the </w:t>
      </w:r>
      <w:r w:rsidR="00C62D73" w:rsidRPr="00A8074A">
        <w:rPr>
          <w:rFonts w:ascii="Arial" w:hAnsi="Arial" w:cs="Arial"/>
        </w:rPr>
        <w:t>children</w:t>
      </w:r>
      <w:r w:rsidRPr="00A8074A">
        <w:rPr>
          <w:rFonts w:ascii="Arial" w:hAnsi="Arial" w:cs="Arial"/>
        </w:rPr>
        <w:t xml:space="preserve"> are all part of this meticulously planned environment. Instead of serving as directors, adults should facilitate activities that promote social interaction, creativity, and hands-on learning. Children feel empowered to explore, invent, and learn via meaningful, self-initiated experiences when practitioners provide a range of options and chances for child-led play (MacNaughton, Williams, and Beech, 2007).</w:t>
      </w:r>
    </w:p>
    <w:p w14:paraId="255F2E03" w14:textId="77777777" w:rsidR="00C37D84" w:rsidRDefault="00C37D84" w:rsidP="00A8074A">
      <w:pPr>
        <w:spacing w:after="0" w:line="360" w:lineRule="auto"/>
        <w:rPr>
          <w:rFonts w:ascii="Arial" w:hAnsi="Arial" w:cs="Arial"/>
        </w:rPr>
      </w:pPr>
      <w:r w:rsidRPr="00A8074A">
        <w:rPr>
          <w:rFonts w:ascii="Arial" w:hAnsi="Arial" w:cs="Arial"/>
        </w:rPr>
        <w:t>A play-based curriculum requires organisational change, which needs to be handled carefully and clearly. Uncertainty can lead to resistance, especially when external entities demand documentation or proof of learning (Osgood, 2006). Leaders are crucial in establishing the tone and providing people with the time, resources, and support they need to adjust with confidence.</w:t>
      </w:r>
    </w:p>
    <w:p w14:paraId="4E907CF9" w14:textId="77777777" w:rsidR="00A8074A" w:rsidRPr="00A8074A" w:rsidRDefault="00A8074A" w:rsidP="00A8074A">
      <w:pPr>
        <w:spacing w:after="0" w:line="360" w:lineRule="auto"/>
        <w:rPr>
          <w:rFonts w:ascii="Arial" w:hAnsi="Arial" w:cs="Arial"/>
        </w:rPr>
      </w:pPr>
    </w:p>
    <w:p w14:paraId="6DEB83CE" w14:textId="57A645BD" w:rsidR="000E3836" w:rsidRPr="00A8074A" w:rsidRDefault="005908DD" w:rsidP="00A8074A">
      <w:pPr>
        <w:spacing w:after="0" w:line="360" w:lineRule="auto"/>
        <w:rPr>
          <w:rFonts w:ascii="Arial" w:hAnsi="Arial" w:cs="Arial"/>
        </w:rPr>
      </w:pPr>
      <w:r w:rsidRPr="00A8074A">
        <w:rPr>
          <w:rFonts w:ascii="Arial" w:hAnsi="Arial" w:cs="Arial"/>
        </w:rPr>
        <w:t>Crucially, curriculum reform must be framed not only in terms of institutional performance but also in terms of children's rights and welfare. In situations when formal instruction is expected, parents and carers may also need to be involved.</w:t>
      </w:r>
      <w:r w:rsidR="00444643">
        <w:rPr>
          <w:rFonts w:ascii="Arial" w:hAnsi="Arial" w:cs="Arial"/>
        </w:rPr>
        <w:t xml:space="preserve"> </w:t>
      </w:r>
      <w:r w:rsidR="000E3836" w:rsidRPr="00A8074A">
        <w:rPr>
          <w:rFonts w:ascii="Arial" w:hAnsi="Arial" w:cs="Arial"/>
        </w:rPr>
        <w:t>By focusing conversations on children's real-life experiences. To engage stakeholders and reaffirm the approach's worth, share authentic instances of deep learning through play.</w:t>
      </w:r>
    </w:p>
    <w:p w14:paraId="780685C5" w14:textId="77777777" w:rsidR="0008445C" w:rsidRPr="00A8074A" w:rsidRDefault="00AB7B31" w:rsidP="00A8074A">
      <w:pPr>
        <w:spacing w:after="0" w:line="360" w:lineRule="auto"/>
        <w:rPr>
          <w:rFonts w:ascii="Arial" w:hAnsi="Arial" w:cs="Arial"/>
          <w:b/>
          <w:bCs/>
        </w:rPr>
      </w:pPr>
      <w:r w:rsidRPr="00A8074A">
        <w:rPr>
          <w:rFonts w:ascii="Arial" w:hAnsi="Arial" w:cs="Arial"/>
        </w:rPr>
        <w:t>My c</w:t>
      </w:r>
      <w:r w:rsidR="00CF7897" w:rsidRPr="00A8074A">
        <w:rPr>
          <w:rFonts w:ascii="Arial" w:hAnsi="Arial" w:cs="Arial"/>
        </w:rPr>
        <w:t>onclusion</w:t>
      </w:r>
      <w:r w:rsidRPr="00A8074A">
        <w:rPr>
          <w:rFonts w:ascii="Arial" w:hAnsi="Arial" w:cs="Arial"/>
        </w:rPr>
        <w:t xml:space="preserve"> is</w:t>
      </w:r>
      <w:r w:rsidR="00A54A8B" w:rsidRPr="00A8074A">
        <w:rPr>
          <w:rFonts w:ascii="Arial" w:hAnsi="Arial" w:cs="Arial"/>
        </w:rPr>
        <w:t xml:space="preserve"> that</w:t>
      </w:r>
      <w:r w:rsidR="00A54A8B" w:rsidRPr="00A8074A">
        <w:rPr>
          <w:rFonts w:ascii="Arial" w:hAnsi="Arial" w:cs="Arial"/>
          <w:b/>
          <w:bCs/>
        </w:rPr>
        <w:t xml:space="preserve"> </w:t>
      </w:r>
      <w:r w:rsidR="00A54A8B" w:rsidRPr="00A8074A">
        <w:rPr>
          <w:rFonts w:ascii="Arial" w:hAnsi="Arial" w:cs="Arial"/>
        </w:rPr>
        <w:t>i</w:t>
      </w:r>
      <w:r w:rsidRPr="00A8074A">
        <w:rPr>
          <w:rFonts w:ascii="Arial" w:hAnsi="Arial" w:cs="Arial"/>
        </w:rPr>
        <w:t xml:space="preserve">n England and Wales, the shift to play-based curricula is an attempt at both </w:t>
      </w:r>
      <w:r w:rsidR="00CA13EA" w:rsidRPr="00A8074A">
        <w:rPr>
          <w:rFonts w:ascii="Arial" w:hAnsi="Arial" w:cs="Arial"/>
        </w:rPr>
        <w:t>theory</w:t>
      </w:r>
      <w:r w:rsidRPr="00A8074A">
        <w:rPr>
          <w:rFonts w:ascii="Arial" w:hAnsi="Arial" w:cs="Arial"/>
        </w:rPr>
        <w:t xml:space="preserve"> and practice. It exhorts early childhood educators to use research, policy, and </w:t>
      </w:r>
      <w:r w:rsidRPr="00A8074A">
        <w:rPr>
          <w:rFonts w:ascii="Arial" w:hAnsi="Arial" w:cs="Arial"/>
        </w:rPr>
        <w:lastRenderedPageBreak/>
        <w:t xml:space="preserve">reflective practice to provide play-based environments where </w:t>
      </w:r>
      <w:r w:rsidR="00074433" w:rsidRPr="00A8074A">
        <w:rPr>
          <w:rFonts w:ascii="Arial" w:hAnsi="Arial" w:cs="Arial"/>
        </w:rPr>
        <w:t>children</w:t>
      </w:r>
      <w:r w:rsidRPr="00A8074A">
        <w:rPr>
          <w:rFonts w:ascii="Arial" w:hAnsi="Arial" w:cs="Arial"/>
        </w:rPr>
        <w:t xml:space="preserve"> can flourish. </w:t>
      </w:r>
      <w:r w:rsidRPr="00A8074A">
        <w:rPr>
          <w:rFonts w:ascii="Arial" w:hAnsi="Arial" w:cs="Arial"/>
        </w:rPr>
        <w:br/>
        <w:t>Although there are still difficulties, especially in balancing the demands of accountability with developmental appropriateness, practitioners are in a unique position to promote learning that is enjoyable, authentic, and grounded in the needs of the whole child. It is our duty to guarantee that play continues to be central, recognised, and treated with professional respect while curriculum changes continue to take place.</w:t>
      </w:r>
    </w:p>
    <w:p w14:paraId="58C6DC81" w14:textId="77777777" w:rsidR="00A8074A" w:rsidRDefault="00A8074A" w:rsidP="0008445C">
      <w:pPr>
        <w:spacing w:line="360" w:lineRule="auto"/>
        <w:rPr>
          <w:b/>
          <w:bCs/>
        </w:rPr>
      </w:pPr>
    </w:p>
    <w:p w14:paraId="2505B30F" w14:textId="77777777" w:rsidR="00444643" w:rsidRDefault="00444643" w:rsidP="0008445C">
      <w:pPr>
        <w:spacing w:line="360" w:lineRule="auto"/>
        <w:rPr>
          <w:b/>
          <w:bCs/>
        </w:rPr>
      </w:pPr>
    </w:p>
    <w:p w14:paraId="70128BB3" w14:textId="20CE4A50" w:rsidR="005D2CB3" w:rsidRPr="005D2CB3" w:rsidRDefault="00A54A8B" w:rsidP="0008445C">
      <w:pPr>
        <w:spacing w:line="360" w:lineRule="auto"/>
        <w:rPr>
          <w:b/>
          <w:bCs/>
        </w:rPr>
      </w:pPr>
      <w:r w:rsidRPr="008C25AB">
        <w:rPr>
          <w:b/>
          <w:bCs/>
        </w:rPr>
        <w:t>Ref</w:t>
      </w:r>
      <w:r w:rsidR="008C25AB" w:rsidRPr="008C25AB">
        <w:rPr>
          <w:b/>
          <w:bCs/>
        </w:rPr>
        <w:t>erence list</w:t>
      </w:r>
    </w:p>
    <w:p w14:paraId="23CB73CF" w14:textId="6E55A0D0" w:rsidR="006B1868" w:rsidRPr="002419EA" w:rsidRDefault="006B1868" w:rsidP="006B1868">
      <w:r w:rsidRPr="002419EA">
        <w:t xml:space="preserve">Birth to 5 Matters (2021) </w:t>
      </w:r>
      <w:r w:rsidRPr="00354D66">
        <w:rPr>
          <w:i/>
          <w:iCs/>
        </w:rPr>
        <w:t>Observation, Assessment and Planning</w:t>
      </w:r>
      <w:r w:rsidRPr="002419EA">
        <w:t xml:space="preserve">. Available at: </w:t>
      </w:r>
      <w:hyperlink r:id="rId8" w:history="1">
        <w:r w:rsidR="00EA4227" w:rsidRPr="002419EA">
          <w:rPr>
            <w:rStyle w:val="Hyperlink"/>
          </w:rPr>
          <w:t>https://birthto5matters.org.uk/observation-assessment-and-planning/</w:t>
        </w:r>
      </w:hyperlink>
      <w:r w:rsidR="00EA4227" w:rsidRPr="002419EA">
        <w:t xml:space="preserve"> </w:t>
      </w:r>
      <w:r w:rsidRPr="002419EA">
        <w:t xml:space="preserve"> (Accessed: 19 May 2025).</w:t>
      </w:r>
    </w:p>
    <w:p w14:paraId="210FA19E" w14:textId="66072D0B" w:rsidR="00D45C8D" w:rsidRDefault="006B1868" w:rsidP="00D45C8D">
      <w:r w:rsidRPr="002419EA">
        <w:t xml:space="preserve">Black, P. and Wiliam, D. (1998) ‘Inside the Black Box: Raising Standards through Classroom Assessment’, </w:t>
      </w:r>
      <w:r w:rsidRPr="00B1719D">
        <w:rPr>
          <w:i/>
          <w:iCs/>
        </w:rPr>
        <w:t>Phi Delta Kappan</w:t>
      </w:r>
      <w:r w:rsidRPr="002419EA">
        <w:t>, 80(2), pp. 139–148.</w:t>
      </w:r>
      <w:r w:rsidR="00B1719D">
        <w:t xml:space="preserve"> </w:t>
      </w:r>
    </w:p>
    <w:p w14:paraId="2A2542CA" w14:textId="2030A304" w:rsidR="00D45C8D" w:rsidRPr="00D45C8D" w:rsidRDefault="00D45C8D" w:rsidP="00D45C8D">
      <w:r w:rsidRPr="00D45C8D">
        <w:t xml:space="preserve">Bond, A., Moore, G. and Hawkins, J. (2024) </w:t>
      </w:r>
      <w:r w:rsidR="001C7C84">
        <w:t>‘</w:t>
      </w:r>
      <w:r w:rsidRPr="00D45C8D">
        <w:t>Understanding Parental Involvement with Schools and Parental Engagement with Learning across Schools in Areas of Socioeconomic Deprivation in Wales</w:t>
      </w:r>
      <w:r w:rsidR="001C7C84">
        <w:t>’,</w:t>
      </w:r>
      <w:r w:rsidRPr="00D45C8D">
        <w:t xml:space="preserve"> </w:t>
      </w:r>
      <w:r w:rsidRPr="00D45C8D">
        <w:rPr>
          <w:i/>
          <w:iCs/>
        </w:rPr>
        <w:t>Educational Review</w:t>
      </w:r>
      <w:r w:rsidRPr="00D45C8D">
        <w:t xml:space="preserve">, pp.1–21. </w:t>
      </w:r>
      <w:r w:rsidR="001C7C84">
        <w:t>Available at:</w:t>
      </w:r>
      <w:r w:rsidRPr="00D45C8D">
        <w:t xml:space="preserve"> </w:t>
      </w:r>
      <w:hyperlink r:id="rId9" w:history="1">
        <w:r w:rsidRPr="001C07B6">
          <w:rPr>
            <w:rStyle w:val="Hyperlink"/>
          </w:rPr>
          <w:t>https://doi.org/10.1080/00131911.2024.2432255</w:t>
        </w:r>
      </w:hyperlink>
      <w:r>
        <w:t xml:space="preserve"> </w:t>
      </w:r>
      <w:r w:rsidRPr="00D45C8D">
        <w:t>(Accessed: 03 June 2025).</w:t>
      </w:r>
    </w:p>
    <w:p w14:paraId="3CA9F992" w14:textId="5D06D01A" w:rsidR="006B1868" w:rsidRPr="002419EA" w:rsidRDefault="006B1868" w:rsidP="006B1868">
      <w:r w:rsidRPr="002419EA">
        <w:t xml:space="preserve">Bradbury, A. (2019) ‘The impact of the ‘schoolification’ of early years education’, </w:t>
      </w:r>
      <w:r w:rsidRPr="001C7C84">
        <w:rPr>
          <w:i/>
          <w:iCs/>
        </w:rPr>
        <w:t>British Journal of Educational Studies</w:t>
      </w:r>
      <w:r w:rsidRPr="002419EA">
        <w:t>, 67(2), pp. 165–181.</w:t>
      </w:r>
    </w:p>
    <w:p w14:paraId="028C699B" w14:textId="00E56710" w:rsidR="006B1868" w:rsidRPr="002419EA" w:rsidRDefault="006B1868" w:rsidP="006B1868">
      <w:r w:rsidRPr="002419EA">
        <w:t xml:space="preserve">Broadhead, P. (2003) </w:t>
      </w:r>
      <w:r w:rsidRPr="00346F3A">
        <w:rPr>
          <w:i/>
          <w:iCs/>
        </w:rPr>
        <w:t>Early Years Play and Learning</w:t>
      </w:r>
      <w:r w:rsidRPr="002419EA">
        <w:t xml:space="preserve">. </w:t>
      </w:r>
      <w:r w:rsidR="00346F3A">
        <w:t xml:space="preserve">London: </w:t>
      </w:r>
      <w:r w:rsidRPr="002419EA">
        <w:t xml:space="preserve">Routledge. </w:t>
      </w:r>
      <w:r w:rsidR="001C7C84">
        <w:t>Available at:</w:t>
      </w:r>
      <w:r w:rsidRPr="002419EA">
        <w:t xml:space="preserve"> </w:t>
      </w:r>
      <w:hyperlink r:id="rId10" w:history="1">
        <w:r w:rsidR="00EA4227" w:rsidRPr="002419EA">
          <w:rPr>
            <w:rStyle w:val="Hyperlink"/>
          </w:rPr>
          <w:t>https://doi.org/10.4324/9780203465257</w:t>
        </w:r>
      </w:hyperlink>
      <w:r w:rsidR="00EA4227" w:rsidRPr="002419EA">
        <w:t xml:space="preserve"> </w:t>
      </w:r>
      <w:r w:rsidRPr="002419EA">
        <w:t xml:space="preserve"> </w:t>
      </w:r>
      <w:bookmarkStart w:id="3" w:name="_Hlk201257960"/>
      <w:r w:rsidRPr="002419EA">
        <w:t>(Accessed: 03 June 2025).</w:t>
      </w:r>
      <w:bookmarkEnd w:id="3"/>
    </w:p>
    <w:p w14:paraId="3345DDE9" w14:textId="2EF78F1D" w:rsidR="003303DA" w:rsidRPr="002419EA" w:rsidRDefault="006B1868" w:rsidP="00701460">
      <w:r w:rsidRPr="002419EA">
        <w:t xml:space="preserve">Broadhead, P. (2010) </w:t>
      </w:r>
      <w:r w:rsidRPr="00346F3A">
        <w:rPr>
          <w:i/>
          <w:iCs/>
        </w:rPr>
        <w:t>Play and Learning in the Early Years: From Research to Practice</w:t>
      </w:r>
      <w:r w:rsidRPr="002419EA">
        <w:t>. London: SAGE.</w:t>
      </w:r>
    </w:p>
    <w:p w14:paraId="0C98A52E" w14:textId="6A3A230D" w:rsidR="00701460" w:rsidRPr="00701460" w:rsidRDefault="00701460" w:rsidP="00701460">
      <w:r w:rsidRPr="00701460">
        <w:t xml:space="preserve">Browne, E. (2016) </w:t>
      </w:r>
      <w:r w:rsidRPr="00BA35A6">
        <w:t>Evidence on formative classroom assessment for learning Question A literature review on research, evidence and programmatic approaches on formative classroom assessment for learning</w:t>
      </w:r>
      <w:r w:rsidRPr="00701460">
        <w:t xml:space="preserve">. Available at: </w:t>
      </w:r>
      <w:hyperlink r:id="rId11" w:history="1">
        <w:r w:rsidRPr="00701460">
          <w:rPr>
            <w:rStyle w:val="Hyperlink"/>
          </w:rPr>
          <w:t>https://assets.publishing.service.gov.uk/media/5b76acef40f0b64350cbf7f8/003_Classroom_Assessments_v3.pdf</w:t>
        </w:r>
      </w:hyperlink>
      <w:r w:rsidRPr="002419EA">
        <w:t xml:space="preserve"> </w:t>
      </w:r>
      <w:bookmarkStart w:id="4" w:name="_Hlk201256480"/>
      <w:r w:rsidRPr="002419EA">
        <w:t>(Accessed: 03 June 2025).</w:t>
      </w:r>
    </w:p>
    <w:bookmarkEnd w:id="4"/>
    <w:p w14:paraId="0EE7F1E7" w14:textId="77777777" w:rsidR="006B1868" w:rsidRPr="002419EA" w:rsidRDefault="006B1868" w:rsidP="006B1868">
      <w:r w:rsidRPr="002419EA">
        <w:t xml:space="preserve">Bruce, T. (2011) </w:t>
      </w:r>
      <w:r w:rsidRPr="00BA35A6">
        <w:rPr>
          <w:i/>
          <w:iCs/>
        </w:rPr>
        <w:t>Learning Through Play: For Babies, Toddlers and Young Children</w:t>
      </w:r>
      <w:r w:rsidRPr="002419EA">
        <w:t>. 2nd edn. London: Hodder Education.</w:t>
      </w:r>
    </w:p>
    <w:p w14:paraId="0C9BA609" w14:textId="7610B6D7" w:rsidR="00E06BC2" w:rsidRPr="00E06BC2" w:rsidRDefault="00E06BC2" w:rsidP="00E06BC2">
      <w:r w:rsidRPr="00E06BC2">
        <w:t xml:space="preserve">Bukvić, Z., Ćirović, D. and Nikolić, D. (2021) </w:t>
      </w:r>
      <w:r w:rsidR="00BA35A6">
        <w:t>‘</w:t>
      </w:r>
      <w:r w:rsidRPr="00E06BC2">
        <w:t>The importance of physical activity for the development of motor skills of younger school age children</w:t>
      </w:r>
      <w:r w:rsidR="00BA35A6">
        <w:t xml:space="preserve">’, </w:t>
      </w:r>
      <w:r w:rsidRPr="00E06BC2">
        <w:t xml:space="preserve"> </w:t>
      </w:r>
      <w:r w:rsidRPr="00E06BC2">
        <w:rPr>
          <w:i/>
          <w:iCs/>
        </w:rPr>
        <w:t>Medicinski podmladak</w:t>
      </w:r>
      <w:r w:rsidRPr="00E06BC2">
        <w:t>, 72(2), pp.</w:t>
      </w:r>
      <w:r w:rsidR="00BA35A6">
        <w:t xml:space="preserve"> </w:t>
      </w:r>
      <w:r w:rsidRPr="00E06BC2">
        <w:t xml:space="preserve">34–39. </w:t>
      </w:r>
      <w:r w:rsidR="00BA35A6">
        <w:t>Available at</w:t>
      </w:r>
      <w:r w:rsidRPr="00E06BC2">
        <w:t xml:space="preserve">: </w:t>
      </w:r>
      <w:hyperlink r:id="rId12" w:history="1">
        <w:r w:rsidRPr="001C07B6">
          <w:rPr>
            <w:rStyle w:val="Hyperlink"/>
          </w:rPr>
          <w:t>https://doi.org/10.5937/mp72-31878</w:t>
        </w:r>
      </w:hyperlink>
      <w:r>
        <w:t xml:space="preserve"> </w:t>
      </w:r>
      <w:r w:rsidRPr="00E06BC2">
        <w:t>(Accessed: 03 June 2025).</w:t>
      </w:r>
    </w:p>
    <w:p w14:paraId="58FAF640" w14:textId="77777777" w:rsidR="00AE46BC" w:rsidRDefault="006B1868" w:rsidP="006B1868">
      <w:r w:rsidRPr="002419EA">
        <w:t xml:space="preserve">Carr, M.P. (2001) </w:t>
      </w:r>
      <w:r w:rsidRPr="00BA35A6">
        <w:rPr>
          <w:i/>
          <w:iCs/>
        </w:rPr>
        <w:t>Assessment in Early Childhood Settings: Learning Stories</w:t>
      </w:r>
      <w:r w:rsidRPr="002419EA">
        <w:t>. London: Paul Chapman Publishing.</w:t>
      </w:r>
    </w:p>
    <w:p w14:paraId="47F81AC1" w14:textId="67523CFF" w:rsidR="00F76CAA" w:rsidRDefault="00F76CAA" w:rsidP="006B1868">
      <w:r w:rsidRPr="00AE46BC">
        <w:lastRenderedPageBreak/>
        <w:t>Chartered College of Teaching</w:t>
      </w:r>
      <w:r w:rsidRPr="00F76CAA">
        <w:t xml:space="preserve"> (2022) </w:t>
      </w:r>
      <w:r w:rsidRPr="00B7426A">
        <w:t>The importance of play-based learning beyond the EYFS</w:t>
      </w:r>
      <w:r w:rsidR="00FA7FE3">
        <w:rPr>
          <w:i/>
          <w:iCs/>
        </w:rPr>
        <w:t>.</w:t>
      </w:r>
      <w:r w:rsidR="00B7426A">
        <w:rPr>
          <w:i/>
          <w:iCs/>
        </w:rPr>
        <w:t xml:space="preserve"> </w:t>
      </w:r>
      <w:r w:rsidRPr="00F76CAA">
        <w:t xml:space="preserve"> Available at: </w:t>
      </w:r>
      <w:hyperlink r:id="rId13" w:tgtFrame="_new" w:history="1">
        <w:r w:rsidRPr="00F76CAA">
          <w:rPr>
            <w:rStyle w:val="Hyperlink"/>
          </w:rPr>
          <w:t>https://my.chartered.college/research-hub/the-importance-of-play-based-learning-beyond-eyfs/</w:t>
        </w:r>
      </w:hyperlink>
      <w:r w:rsidRPr="00F76CAA">
        <w:t xml:space="preserve"> (Accessed: 19 June 2025).</w:t>
      </w:r>
    </w:p>
    <w:p w14:paraId="50CF75F5" w14:textId="641C07F6" w:rsidR="00232818" w:rsidRPr="002419EA" w:rsidRDefault="00232818" w:rsidP="006B1868">
      <w:r w:rsidRPr="00232818">
        <w:t xml:space="preserve">Children </w:t>
      </w:r>
      <w:r w:rsidR="00FA7FE3">
        <w:t>and</w:t>
      </w:r>
      <w:r w:rsidRPr="00232818">
        <w:t xml:space="preserve"> Nature Network (2024) </w:t>
      </w:r>
      <w:r w:rsidRPr="00232818">
        <w:rPr>
          <w:i/>
          <w:iCs/>
        </w:rPr>
        <w:t>Research digest: Play equity</w:t>
      </w:r>
      <w:r w:rsidRPr="00232818">
        <w:t xml:space="preserve">. Available at: </w:t>
      </w:r>
      <w:hyperlink r:id="rId14" w:history="1">
        <w:r w:rsidRPr="001C07B6">
          <w:rPr>
            <w:rStyle w:val="Hyperlink"/>
          </w:rPr>
          <w:t>https://www.childrenandnature.org/research-library/</w:t>
        </w:r>
      </w:hyperlink>
      <w:r>
        <w:t xml:space="preserve"> </w:t>
      </w:r>
      <w:r w:rsidRPr="00232818">
        <w:t xml:space="preserve"> (Accessed: 19 June 2025).</w:t>
      </w:r>
    </w:p>
    <w:p w14:paraId="796CA8F8" w14:textId="4D3B69D5" w:rsidR="00586D22" w:rsidRDefault="006B1868" w:rsidP="00586D22">
      <w:r w:rsidRPr="002419EA">
        <w:t xml:space="preserve">Dahlberg, G., Moss, P. and Pence, A. (2013) </w:t>
      </w:r>
      <w:r w:rsidRPr="00AE7DE6">
        <w:rPr>
          <w:i/>
          <w:iCs/>
        </w:rPr>
        <w:t>Beyond Quality in Early Childhood Education and Care: Languages of Evaluation</w:t>
      </w:r>
      <w:r w:rsidRPr="002419EA">
        <w:t>. 3rd edn. London: Routledge.</w:t>
      </w:r>
    </w:p>
    <w:p w14:paraId="19B4E0BB" w14:textId="6884E220" w:rsidR="00586D22" w:rsidRPr="00586D22" w:rsidRDefault="00586D22" w:rsidP="00586D22">
      <w:r w:rsidRPr="00586D22">
        <w:t xml:space="preserve">Danniels, E., Pyle, A. and DeLuca, C. (2020) </w:t>
      </w:r>
      <w:r w:rsidR="00AE7DE6">
        <w:t>‘</w:t>
      </w:r>
      <w:r w:rsidRPr="00586D22">
        <w:t>The role of technology in supporting classroom assessment in play-based kindergarten</w:t>
      </w:r>
      <w:r w:rsidR="00AE7DE6">
        <w:t>’,</w:t>
      </w:r>
      <w:r w:rsidRPr="00586D22">
        <w:t xml:space="preserve"> </w:t>
      </w:r>
      <w:r w:rsidRPr="00586D22">
        <w:rPr>
          <w:i/>
          <w:iCs/>
        </w:rPr>
        <w:t>Teaching and Teacher Education</w:t>
      </w:r>
      <w:r w:rsidRPr="00586D22">
        <w:t xml:space="preserve">, 88(88), p.102966. </w:t>
      </w:r>
      <w:r w:rsidR="00AE7DE6">
        <w:t>Available at</w:t>
      </w:r>
      <w:r w:rsidRPr="00586D22">
        <w:t xml:space="preserve">: </w:t>
      </w:r>
      <w:hyperlink r:id="rId15" w:history="1">
        <w:r w:rsidRPr="008E475D">
          <w:rPr>
            <w:rStyle w:val="Hyperlink"/>
          </w:rPr>
          <w:t>https://doi.org/10.1016/j.tate.2019.102966</w:t>
        </w:r>
      </w:hyperlink>
      <w:r>
        <w:t xml:space="preserve"> </w:t>
      </w:r>
      <w:bookmarkStart w:id="5" w:name="_Hlk200801542"/>
      <w:r w:rsidRPr="00586D22">
        <w:t xml:space="preserve">(Accessed: </w:t>
      </w:r>
      <w:r>
        <w:t>14</w:t>
      </w:r>
      <w:r w:rsidRPr="00586D22">
        <w:t xml:space="preserve"> June 2025).</w:t>
      </w:r>
    </w:p>
    <w:bookmarkEnd w:id="5"/>
    <w:p w14:paraId="45FCDA29" w14:textId="7D1EDAE3" w:rsidR="008215B5" w:rsidRPr="008215B5" w:rsidRDefault="008215B5" w:rsidP="008215B5">
      <w:r w:rsidRPr="008215B5">
        <w:t xml:space="preserve">DeLuca, C., Pyle, A., Valiquette, A. and LaPointe-McEwan, D. (2020) </w:t>
      </w:r>
      <w:r w:rsidR="00F741F1">
        <w:t>‘</w:t>
      </w:r>
      <w:r w:rsidRPr="008215B5">
        <w:t>New Directions for Kindergarten Education</w:t>
      </w:r>
      <w:r w:rsidR="00F741F1">
        <w:t>’,</w:t>
      </w:r>
      <w:r w:rsidRPr="008215B5">
        <w:t xml:space="preserve"> </w:t>
      </w:r>
      <w:r w:rsidRPr="008215B5">
        <w:rPr>
          <w:i/>
          <w:iCs/>
        </w:rPr>
        <w:t>The Elementary School Journal</w:t>
      </w:r>
      <w:r w:rsidRPr="008215B5">
        <w:t xml:space="preserve">, 120(3). </w:t>
      </w:r>
      <w:r w:rsidR="00F741F1">
        <w:t>Available at:</w:t>
      </w:r>
      <w:r w:rsidRPr="008215B5">
        <w:t xml:space="preserve"> </w:t>
      </w:r>
      <w:hyperlink r:id="rId16" w:history="1">
        <w:r w:rsidRPr="008E475D">
          <w:rPr>
            <w:rStyle w:val="Hyperlink"/>
          </w:rPr>
          <w:t>https://doi.org/10.1086/707008</w:t>
        </w:r>
      </w:hyperlink>
      <w:r>
        <w:t xml:space="preserve"> </w:t>
      </w:r>
      <w:r w:rsidRPr="008215B5">
        <w:t>(Accessed: 14 June 2025).</w:t>
      </w:r>
    </w:p>
    <w:p w14:paraId="707D2A8D" w14:textId="774B31CE" w:rsidR="006B1868" w:rsidRPr="002419EA" w:rsidRDefault="006B1868" w:rsidP="006B1868">
      <w:bookmarkStart w:id="6" w:name="_Hlk200789909"/>
      <w:r w:rsidRPr="002419EA">
        <w:t xml:space="preserve">Department for Education </w:t>
      </w:r>
      <w:bookmarkEnd w:id="6"/>
      <w:r w:rsidRPr="002419EA">
        <w:t xml:space="preserve">(2014) National Curriculum and Assessment from September 2014: Information for Schools. Available at: </w:t>
      </w:r>
      <w:hyperlink r:id="rId17" w:history="1">
        <w:r w:rsidR="00EA4227" w:rsidRPr="002419EA">
          <w:rPr>
            <w:rStyle w:val="Hyperlink"/>
          </w:rPr>
          <w:t>https://www.gov.uk/government/publications/national-curriculum-and-assessment-information-for-schools</w:t>
        </w:r>
      </w:hyperlink>
      <w:r w:rsidR="00EA4227" w:rsidRPr="002419EA">
        <w:t xml:space="preserve"> </w:t>
      </w:r>
      <w:r w:rsidRPr="002419EA">
        <w:t xml:space="preserve"> </w:t>
      </w:r>
      <w:bookmarkStart w:id="7" w:name="_Hlk200799509"/>
      <w:r w:rsidRPr="002419EA">
        <w:t>(Accessed: 09 June 2025).</w:t>
      </w:r>
      <w:bookmarkEnd w:id="7"/>
    </w:p>
    <w:p w14:paraId="134D30D7" w14:textId="485AE8F9" w:rsidR="006B1868" w:rsidRPr="0086556F" w:rsidRDefault="006B1868" w:rsidP="006B1868">
      <w:r w:rsidRPr="002419EA">
        <w:t xml:space="preserve">Department for Education </w:t>
      </w:r>
      <w:r w:rsidRPr="0086556F">
        <w:t xml:space="preserve">(2021) Early Years Foundation Stage Profile: Handbook 2021. Available at: </w:t>
      </w:r>
      <w:hyperlink r:id="rId18" w:history="1">
        <w:r w:rsidR="00EA4227" w:rsidRPr="0086556F">
          <w:rPr>
            <w:rStyle w:val="Hyperlink"/>
          </w:rPr>
          <w:t>https://www.gov.uk/government/publications/early-years-foundation-stage-profile-handbook-2021</w:t>
        </w:r>
      </w:hyperlink>
      <w:r w:rsidR="00EA4227" w:rsidRPr="0086556F">
        <w:t xml:space="preserve"> </w:t>
      </w:r>
      <w:r w:rsidRPr="0086556F">
        <w:t xml:space="preserve"> (Accessed: 8 June 2025).</w:t>
      </w:r>
    </w:p>
    <w:p w14:paraId="1952D573" w14:textId="62A86315" w:rsidR="006B1868" w:rsidRPr="0086556F" w:rsidRDefault="006B1868" w:rsidP="006B1868">
      <w:r w:rsidRPr="0086556F">
        <w:t xml:space="preserve">Department for Education (2021) Statutory Framework for the Early Years Foundation Stage. Available at: </w:t>
      </w:r>
      <w:hyperlink r:id="rId19" w:history="1">
        <w:r w:rsidR="00EA4227" w:rsidRPr="0086556F">
          <w:rPr>
            <w:rStyle w:val="Hyperlink"/>
          </w:rPr>
          <w:t>https://www.gov.uk/government/publications/early-years-foundation-stage-framework--2</w:t>
        </w:r>
      </w:hyperlink>
      <w:r w:rsidR="00EA4227" w:rsidRPr="0086556F">
        <w:t xml:space="preserve"> </w:t>
      </w:r>
      <w:r w:rsidRPr="0086556F">
        <w:t xml:space="preserve"> (Accessed: 03 June 2025).</w:t>
      </w:r>
    </w:p>
    <w:p w14:paraId="5DBFDC7F" w14:textId="70EE1988" w:rsidR="006B1868" w:rsidRPr="002419EA" w:rsidRDefault="006B1868" w:rsidP="006B1868">
      <w:r w:rsidRPr="0086556F">
        <w:t>Department for Education (2021)</w:t>
      </w:r>
      <w:r w:rsidRPr="002419EA">
        <w:t xml:space="preserve"> Statutory Framework for the Early Years’ Foundation Stage: Setting the Standards for Learning, Development, and Care for Children from Birth to Five. Available at: </w:t>
      </w:r>
      <w:hyperlink r:id="rId20" w:history="1">
        <w:r w:rsidR="00EA4227" w:rsidRPr="002419EA">
          <w:rPr>
            <w:rStyle w:val="Hyperlink"/>
          </w:rPr>
          <w:t>https://www.gov.uk/government/publications/early-years-foundation-stage-framework--2</w:t>
        </w:r>
      </w:hyperlink>
      <w:r w:rsidR="00EA4227" w:rsidRPr="002419EA">
        <w:t xml:space="preserve"> </w:t>
      </w:r>
      <w:r w:rsidRPr="002419EA">
        <w:t xml:space="preserve"> (Accessed: 16 May 2025).</w:t>
      </w:r>
    </w:p>
    <w:p w14:paraId="1374DE52" w14:textId="736D966B" w:rsidR="001E78AD" w:rsidRDefault="006B1868" w:rsidP="006B1868">
      <w:r w:rsidRPr="002419EA">
        <w:t xml:space="preserve">Department for Education (2023) Development Matters: Non-Statutory Curriculum Guidance for the Early Years Foundation Stage. Available at: </w:t>
      </w:r>
      <w:hyperlink r:id="rId21" w:history="1">
        <w:r w:rsidR="00EA4227" w:rsidRPr="002419EA">
          <w:rPr>
            <w:rStyle w:val="Hyperlink"/>
          </w:rPr>
          <w:t>https://assets.publishing.service.gov.uk/media/64e6002a20ae890014f26cbc/DfE_Development_Matters_Report_Sep2023.pdf</w:t>
        </w:r>
      </w:hyperlink>
      <w:r w:rsidR="00EA4227" w:rsidRPr="002419EA">
        <w:t xml:space="preserve"> </w:t>
      </w:r>
      <w:r w:rsidRPr="002419EA">
        <w:t xml:space="preserve"> (Accessed: 16 May 2025).</w:t>
      </w:r>
      <w:bookmarkStart w:id="8" w:name="_Hlk200798508"/>
    </w:p>
    <w:p w14:paraId="287897E5" w14:textId="60EC08D1" w:rsidR="00425E7F" w:rsidRDefault="00425E7F" w:rsidP="006B1868">
      <w:r w:rsidRPr="00425E7F">
        <w:t>Dinnocenzo, E.C.</w:t>
      </w:r>
      <w:r w:rsidR="005A1A4F">
        <w:t xml:space="preserve"> (</w:t>
      </w:r>
      <w:r w:rsidRPr="00425E7F">
        <w:t>2024</w:t>
      </w:r>
      <w:bookmarkEnd w:id="8"/>
      <w:r w:rsidR="005A1A4F">
        <w:t>)</w:t>
      </w:r>
      <w:r w:rsidRPr="00425E7F">
        <w:t xml:space="preserve"> </w:t>
      </w:r>
      <w:r w:rsidRPr="00BB74F2">
        <w:t>Preschool teachers’ perceptions of the development of literacy skills in a play-based learning environment</w:t>
      </w:r>
      <w:r w:rsidRPr="00425E7F">
        <w:t>. PhD thesis</w:t>
      </w:r>
      <w:r w:rsidR="00BB74F2">
        <w:t>.</w:t>
      </w:r>
      <w:r w:rsidRPr="00425E7F">
        <w:t xml:space="preserve"> Walden University. Available at: </w:t>
      </w:r>
      <w:hyperlink r:id="rId22" w:history="1">
        <w:r w:rsidRPr="008E475D">
          <w:rPr>
            <w:rStyle w:val="Hyperlink"/>
          </w:rPr>
          <w:t>https://scholarworks.waldenu.edu/dissertations/15229</w:t>
        </w:r>
      </w:hyperlink>
      <w:r>
        <w:t xml:space="preserve"> </w:t>
      </w:r>
      <w:r w:rsidRPr="00425E7F">
        <w:t xml:space="preserve"> </w:t>
      </w:r>
      <w:r>
        <w:t>(</w:t>
      </w:r>
      <w:r w:rsidRPr="00425E7F">
        <w:t>Accessed 14 June 2025</w:t>
      </w:r>
      <w:r>
        <w:t>)</w:t>
      </w:r>
      <w:r w:rsidRPr="00425E7F">
        <w:t>.</w:t>
      </w:r>
    </w:p>
    <w:p w14:paraId="170565ED" w14:textId="1B3BB30C" w:rsidR="006B1868" w:rsidRPr="002419EA" w:rsidRDefault="006B1868" w:rsidP="006B1868">
      <w:r w:rsidRPr="002419EA">
        <w:t xml:space="preserve">Estyn (2018) The Quality of Provision for Early Years Learners in Non-Maintained Settings. Cardiff: Estyn. Available at: </w:t>
      </w:r>
      <w:hyperlink r:id="rId23" w:history="1">
        <w:r w:rsidR="00EA4227" w:rsidRPr="002419EA">
          <w:rPr>
            <w:rStyle w:val="Hyperlink"/>
          </w:rPr>
          <w:t>https://www.estyn.gov.wales/thematic-report/quality-provision-early-years-learners-non-maintained-settings</w:t>
        </w:r>
      </w:hyperlink>
      <w:r w:rsidR="00EA4227" w:rsidRPr="002419EA">
        <w:t xml:space="preserve"> </w:t>
      </w:r>
      <w:r w:rsidRPr="002419EA">
        <w:t xml:space="preserve"> </w:t>
      </w:r>
      <w:bookmarkStart w:id="9" w:name="_Hlk200280692"/>
      <w:r w:rsidRPr="002419EA">
        <w:t>(Accessed: 16 May 2025).</w:t>
      </w:r>
      <w:bookmarkEnd w:id="9"/>
    </w:p>
    <w:p w14:paraId="0FC04881" w14:textId="5C5083FD" w:rsidR="006B1868" w:rsidRPr="002419EA" w:rsidRDefault="00A8074A" w:rsidP="006B1868">
      <w:r>
        <w:t>E</w:t>
      </w:r>
      <w:r w:rsidR="006B1868" w:rsidRPr="002419EA">
        <w:t xml:space="preserve">styn (2020) Effective School Support for Disadvantaged and Vulnerable Pupils - Case Studies of Good Practice. Available at: </w:t>
      </w:r>
      <w:hyperlink r:id="rId24" w:history="1">
        <w:r w:rsidR="00EA4227" w:rsidRPr="002419EA">
          <w:rPr>
            <w:rStyle w:val="Hyperlink"/>
          </w:rPr>
          <w:t>https://www.estyn.gov.wales/system/files/2022-01/Effective%2520school%2520support%2520for%2520disadvantaged%2520and%2520vulnerable%2520pupils%2520en_0.pdf</w:t>
        </w:r>
      </w:hyperlink>
      <w:r w:rsidR="00EA4227" w:rsidRPr="002419EA">
        <w:t xml:space="preserve"> (Accessed: 16 May 2025).</w:t>
      </w:r>
    </w:p>
    <w:p w14:paraId="053B66C8" w14:textId="17E45655" w:rsidR="00263177" w:rsidRDefault="006B1868" w:rsidP="00263177">
      <w:r w:rsidRPr="002419EA">
        <w:lastRenderedPageBreak/>
        <w:t xml:space="preserve">Estyn (2024) Supporting Pupils with Additional Needs Through Change – Estyn. Available at: </w:t>
      </w:r>
      <w:hyperlink r:id="rId25" w:history="1">
        <w:r w:rsidR="00EA4227" w:rsidRPr="002419EA">
          <w:rPr>
            <w:rStyle w:val="Hyperlink"/>
          </w:rPr>
          <w:t>https://estyn.gov.wales/improvement-resources/supporting-pupils-with-additional-needs-through-change</w:t>
        </w:r>
      </w:hyperlink>
      <w:r w:rsidR="00EA4227" w:rsidRPr="002419EA">
        <w:t xml:space="preserve"> </w:t>
      </w:r>
      <w:r w:rsidRPr="002419EA">
        <w:t xml:space="preserve"> </w:t>
      </w:r>
      <w:bookmarkStart w:id="10" w:name="_Hlk200796263"/>
      <w:bookmarkStart w:id="11" w:name="_Hlk201258230"/>
      <w:r w:rsidRPr="002419EA">
        <w:t>(Accessed: 03 June 2025).</w:t>
      </w:r>
      <w:bookmarkEnd w:id="10"/>
      <w:bookmarkEnd w:id="11"/>
    </w:p>
    <w:p w14:paraId="2AA6B845" w14:textId="602641EB" w:rsidR="005C1739" w:rsidRPr="005C1739" w:rsidRDefault="005C1739" w:rsidP="005C1739">
      <w:r w:rsidRPr="005C1739">
        <w:t xml:space="preserve">Frede, E. and Hodges, K. (2023) </w:t>
      </w:r>
      <w:r w:rsidR="00BB74F2">
        <w:t>‘</w:t>
      </w:r>
      <w:r w:rsidRPr="00BB74F2">
        <w:t>Measuring Teacher Facilitation of Playful Learning. Research Note</w:t>
      </w:r>
      <w:r w:rsidR="00BB74F2">
        <w:t>’,</w:t>
      </w:r>
      <w:r w:rsidRPr="005C1739">
        <w:t xml:space="preserve"> </w:t>
      </w:r>
      <w:r w:rsidRPr="00BB74F2">
        <w:rPr>
          <w:i/>
          <w:iCs/>
        </w:rPr>
        <w:t>National Institute for Early Education Research</w:t>
      </w:r>
      <w:r w:rsidRPr="005C1739">
        <w:t xml:space="preserve">. Available at: </w:t>
      </w:r>
      <w:hyperlink r:id="rId26" w:history="1">
        <w:r w:rsidRPr="005C1739">
          <w:rPr>
            <w:rStyle w:val="Hyperlink"/>
          </w:rPr>
          <w:t>https://eric.ed.gov/?id=ED628956</w:t>
        </w:r>
      </w:hyperlink>
      <w:r>
        <w:t xml:space="preserve"> </w:t>
      </w:r>
      <w:r w:rsidRPr="005C1739">
        <w:t>(Accessed: 03 June 2025).</w:t>
      </w:r>
    </w:p>
    <w:p w14:paraId="6D578D46" w14:textId="1458592E" w:rsidR="00A8074A" w:rsidRDefault="00263177" w:rsidP="006B1868">
      <w:r w:rsidRPr="00263177">
        <w:t>Fyffe, L. and Lewis, A. (2024)</w:t>
      </w:r>
      <w:r>
        <w:t xml:space="preserve"> </w:t>
      </w:r>
      <w:r w:rsidR="00BB74F2">
        <w:t>‘</w:t>
      </w:r>
      <w:r w:rsidRPr="00263177">
        <w:t>Does Play-Based Learning Support Children’s Everyday Resiliency? A Cross-Case Analysis of Parents’ and Kindergarten Teachers’ Perceptions of Play-Based Learning as a Precedent to Young Children’s Coping During the Pandemic-Affected 2020–2021 School Year</w:t>
      </w:r>
      <w:r w:rsidR="00BB74F2">
        <w:t>’,</w:t>
      </w:r>
      <w:r w:rsidRPr="00263177">
        <w:t xml:space="preserve"> </w:t>
      </w:r>
      <w:r w:rsidRPr="00263177">
        <w:rPr>
          <w:i/>
          <w:iCs/>
        </w:rPr>
        <w:t>Children</w:t>
      </w:r>
      <w:r w:rsidRPr="00263177">
        <w:t xml:space="preserve">, 11(11), p.1378. </w:t>
      </w:r>
      <w:r w:rsidR="00BB74F2">
        <w:t>Available at</w:t>
      </w:r>
      <w:r w:rsidRPr="00263177">
        <w:t xml:space="preserve">: </w:t>
      </w:r>
      <w:hyperlink r:id="rId27" w:history="1">
        <w:r w:rsidRPr="008E475D">
          <w:rPr>
            <w:rStyle w:val="Hyperlink"/>
          </w:rPr>
          <w:t>https://doi.org/10.3390/children11111378</w:t>
        </w:r>
      </w:hyperlink>
      <w:r>
        <w:t xml:space="preserve"> </w:t>
      </w:r>
      <w:bookmarkStart w:id="12" w:name="_Hlk201253720"/>
      <w:r w:rsidRPr="00263177">
        <w:t xml:space="preserve">(Accessed: </w:t>
      </w:r>
      <w:r>
        <w:t>14</w:t>
      </w:r>
      <w:r w:rsidRPr="00263177">
        <w:t xml:space="preserve"> June 2025).</w:t>
      </w:r>
      <w:bookmarkEnd w:id="12"/>
    </w:p>
    <w:p w14:paraId="293D1A7A" w14:textId="054EE28F" w:rsidR="00DA34D1" w:rsidRDefault="00DA34D1" w:rsidP="006B1868">
      <w:r w:rsidRPr="00DA34D1">
        <w:t xml:space="preserve">Gabbard, C.P. (2018) </w:t>
      </w:r>
      <w:r w:rsidRPr="00DA34D1">
        <w:rPr>
          <w:i/>
          <w:iCs/>
        </w:rPr>
        <w:t>Lifelong motor development</w:t>
      </w:r>
      <w:r w:rsidRPr="00DA34D1">
        <w:t xml:space="preserve">. 7th edn. Burlington, MA: Jones </w:t>
      </w:r>
      <w:r w:rsidR="00BB74F2">
        <w:t>and</w:t>
      </w:r>
      <w:r w:rsidRPr="00DA34D1">
        <w:t xml:space="preserve"> Bartlett Learning.</w:t>
      </w:r>
    </w:p>
    <w:p w14:paraId="24C9F5DB" w14:textId="1B1004D8" w:rsidR="006B1868" w:rsidRPr="002419EA" w:rsidRDefault="006B1868" w:rsidP="006B1868">
      <w:r w:rsidRPr="002419EA">
        <w:t xml:space="preserve">Gillborn, D. and Youdell, D. (2000) </w:t>
      </w:r>
      <w:r w:rsidRPr="00BB74F2">
        <w:rPr>
          <w:i/>
          <w:iCs/>
        </w:rPr>
        <w:t>Rationing Education: Policy, Practice, Reform and Equity</w:t>
      </w:r>
      <w:r w:rsidRPr="002419EA">
        <w:t>. Buckingham: Open University Press.</w:t>
      </w:r>
    </w:p>
    <w:p w14:paraId="0776AE87" w14:textId="5096A0D8" w:rsidR="006B1868" w:rsidRPr="002419EA" w:rsidRDefault="006B1868" w:rsidP="006B1868">
      <w:r w:rsidRPr="002419EA">
        <w:t xml:space="preserve">Harlen, W. (2007) </w:t>
      </w:r>
      <w:r w:rsidRPr="00BB74F2">
        <w:rPr>
          <w:i/>
          <w:iCs/>
        </w:rPr>
        <w:t>Assessment of Learning</w:t>
      </w:r>
      <w:r w:rsidRPr="002419EA">
        <w:t>. London: SAGE.</w:t>
      </w:r>
    </w:p>
    <w:p w14:paraId="5466FAAA" w14:textId="3DA55829" w:rsidR="006B1868" w:rsidRDefault="006B1868" w:rsidP="006B1868">
      <w:r w:rsidRPr="002419EA">
        <w:t xml:space="preserve">MacNaughton, G., Williams, G. and Beech, M. (2007) </w:t>
      </w:r>
      <w:r w:rsidRPr="00BB74F2">
        <w:rPr>
          <w:i/>
          <w:iCs/>
        </w:rPr>
        <w:t>Working with Children in Early Childhood Education</w:t>
      </w:r>
      <w:r w:rsidRPr="002419EA">
        <w:t>. 2nd ed. Prahran: Cengage Learning.</w:t>
      </w:r>
    </w:p>
    <w:p w14:paraId="4DEE5C97" w14:textId="3EC52A4D" w:rsidR="00FD53B5" w:rsidRPr="002419EA" w:rsidRDefault="00FD53B5" w:rsidP="006B1868">
      <w:r w:rsidRPr="00FD53B5">
        <w:t xml:space="preserve">Maynard, T. and Chicken, S. (2010) </w:t>
      </w:r>
      <w:r w:rsidR="00BB74F2">
        <w:t>‘</w:t>
      </w:r>
      <w:r w:rsidRPr="00FD53B5">
        <w:t>Through a different lens: exploring Reggio Emilia in a Welsh context</w:t>
      </w:r>
      <w:r w:rsidR="00BB74F2">
        <w:t>’,</w:t>
      </w:r>
      <w:r w:rsidRPr="00FD53B5">
        <w:t xml:space="preserve"> </w:t>
      </w:r>
      <w:r w:rsidRPr="00FD53B5">
        <w:rPr>
          <w:i/>
          <w:iCs/>
        </w:rPr>
        <w:t>Early Years</w:t>
      </w:r>
      <w:r w:rsidRPr="00FD53B5">
        <w:t>, 30(1), pp.</w:t>
      </w:r>
      <w:r w:rsidR="00BB74F2">
        <w:t xml:space="preserve"> </w:t>
      </w:r>
      <w:r w:rsidRPr="00FD53B5">
        <w:t xml:space="preserve">29–39. </w:t>
      </w:r>
      <w:r w:rsidR="00BB74F2">
        <w:t>Available at</w:t>
      </w:r>
      <w:r w:rsidRPr="00FD53B5">
        <w:t xml:space="preserve">: </w:t>
      </w:r>
      <w:hyperlink r:id="rId28" w:history="1">
        <w:r w:rsidRPr="001C07B6">
          <w:rPr>
            <w:rStyle w:val="Hyperlink"/>
          </w:rPr>
          <w:t>https://doi.org/10.1080/09575140903443000</w:t>
        </w:r>
      </w:hyperlink>
      <w:r>
        <w:t xml:space="preserve"> </w:t>
      </w:r>
      <w:r w:rsidRPr="00FD53B5">
        <w:t>(Accessed: 14 June 2025).</w:t>
      </w:r>
    </w:p>
    <w:p w14:paraId="79C87082" w14:textId="03C3644F" w:rsidR="006B1868" w:rsidRPr="002419EA" w:rsidRDefault="006B1868" w:rsidP="006B1868">
      <w:r w:rsidRPr="002419EA">
        <w:t xml:space="preserve">McInnes, K., Howard, J., Miles, G. and Crowley, K. (2011) ‘Differences in practitioners’ understanding of play and how this influences pedagogy and children’s perceptions of play’, </w:t>
      </w:r>
      <w:r w:rsidRPr="00BB74F2">
        <w:rPr>
          <w:i/>
          <w:iCs/>
        </w:rPr>
        <w:t>Early Years</w:t>
      </w:r>
      <w:r w:rsidR="00BB74F2">
        <w:t xml:space="preserve">, </w:t>
      </w:r>
      <w:r w:rsidRPr="002419EA">
        <w:t xml:space="preserve">31(2), pp. 121–133. </w:t>
      </w:r>
      <w:r w:rsidR="00BB74F2">
        <w:t>Available at:</w:t>
      </w:r>
      <w:hyperlink r:id="rId29" w:history="1">
        <w:r w:rsidR="00BB74F2" w:rsidRPr="004B3887">
          <w:rPr>
            <w:rStyle w:val="Hyperlink"/>
          </w:rPr>
          <w:t>https://doi.org/10.1080/09575146.2011.572870</w:t>
        </w:r>
      </w:hyperlink>
      <w:r w:rsidR="00EA4227" w:rsidRPr="002419EA">
        <w:t xml:space="preserve"> </w:t>
      </w:r>
      <w:r w:rsidRPr="002419EA">
        <w:t xml:space="preserve"> (Accessed: 19 May 2025).</w:t>
      </w:r>
    </w:p>
    <w:p w14:paraId="7266DF41" w14:textId="64B4748C" w:rsidR="006B1868" w:rsidRPr="002419EA" w:rsidRDefault="006B1868" w:rsidP="006B1868">
      <w:r w:rsidRPr="002419EA">
        <w:t xml:space="preserve">McInnes, K., Howard, J., Crowley, K. and Miles, G. (2013) ‘The nature of adult-child interaction in the early years classroom: Implications for children’s perceptions of play and subsequent learning behaviour’, </w:t>
      </w:r>
      <w:r w:rsidRPr="00BB74F2">
        <w:rPr>
          <w:i/>
          <w:iCs/>
        </w:rPr>
        <w:t>European Early Childhood Education Research Journal</w:t>
      </w:r>
      <w:r w:rsidRPr="002419EA">
        <w:t xml:space="preserve">, 21(2), pp. 268–282. </w:t>
      </w:r>
      <w:r w:rsidR="00BB74F2">
        <w:t>Available at</w:t>
      </w:r>
      <w:hyperlink r:id="rId30" w:history="1">
        <w:r w:rsidR="00BB74F2" w:rsidRPr="004B3887">
          <w:rPr>
            <w:rStyle w:val="Hyperlink"/>
          </w:rPr>
          <w:t>https://doi.org/10.1080/1350293X.2013.789194</w:t>
        </w:r>
      </w:hyperlink>
      <w:r w:rsidR="00EA4227" w:rsidRPr="002419EA">
        <w:t xml:space="preserve"> </w:t>
      </w:r>
      <w:r w:rsidRPr="002419EA">
        <w:t xml:space="preserve"> (Accessed: 19 May 2025).</w:t>
      </w:r>
    </w:p>
    <w:p w14:paraId="1425E321" w14:textId="77777777" w:rsidR="006B1868" w:rsidRPr="002419EA" w:rsidRDefault="006B1868" w:rsidP="006B1868">
      <w:r w:rsidRPr="002419EA">
        <w:t>National Education Union (2023) Reception Baseline Assessment. Available at: https://neu.org.uk/assessment/primary-and-early-years-assessment/reception-baseline-assessment (Accessed: 8 June 2025).</w:t>
      </w:r>
    </w:p>
    <w:p w14:paraId="0C87186C" w14:textId="5517B2C2" w:rsidR="006B1868" w:rsidRPr="002419EA" w:rsidRDefault="00453DC1" w:rsidP="006B1868">
      <w:r w:rsidRPr="00453DC1">
        <w:t xml:space="preserve">Nutbrown, C. (2011) </w:t>
      </w:r>
      <w:r w:rsidRPr="00453DC1">
        <w:rPr>
          <w:i/>
          <w:iCs/>
        </w:rPr>
        <w:t>Threads of thinking: Schemas and young children's learning</w:t>
      </w:r>
      <w:r w:rsidRPr="00453DC1">
        <w:t>. 4th edn. London: SAGE.</w:t>
      </w:r>
    </w:p>
    <w:p w14:paraId="38DC6B36" w14:textId="06F78176" w:rsidR="006B1868" w:rsidRPr="002419EA" w:rsidRDefault="006B1868" w:rsidP="006B1868">
      <w:r w:rsidRPr="002419EA">
        <w:t xml:space="preserve">Ofsted (2019) Teacher Wellbeing at Work in Schools and Further Education Providers. Available at: </w:t>
      </w:r>
      <w:hyperlink r:id="rId31" w:history="1">
        <w:r w:rsidR="00EA4227" w:rsidRPr="002419EA">
          <w:rPr>
            <w:rStyle w:val="Hyperlink"/>
          </w:rPr>
          <w:t>https://www.gov.uk/government/publications/teacher-wellbeing-at-work-in-schools-and-further-education-providers</w:t>
        </w:r>
      </w:hyperlink>
      <w:r w:rsidR="00EA4227" w:rsidRPr="002419EA">
        <w:t xml:space="preserve"> </w:t>
      </w:r>
      <w:r w:rsidRPr="002419EA">
        <w:t xml:space="preserve"> (Accessed: 8 June 2025).</w:t>
      </w:r>
    </w:p>
    <w:p w14:paraId="3537F4B1" w14:textId="602E3454" w:rsidR="00031592" w:rsidRDefault="006B1868" w:rsidP="00031592">
      <w:r w:rsidRPr="002419EA">
        <w:t xml:space="preserve">Osgood, J. (2006) ‘Professionalism and performativity: The feminist challenge facing early years practitioners’, </w:t>
      </w:r>
      <w:r w:rsidRPr="00BB74F2">
        <w:rPr>
          <w:i/>
          <w:iCs/>
        </w:rPr>
        <w:t>Early Years</w:t>
      </w:r>
      <w:r w:rsidRPr="002419EA">
        <w:t>, 26(2), pp. 187–199.</w:t>
      </w:r>
    </w:p>
    <w:p w14:paraId="5609715F" w14:textId="600111CC" w:rsidR="00031592" w:rsidRDefault="00031592" w:rsidP="00031592">
      <w:r w:rsidRPr="00031592">
        <w:lastRenderedPageBreak/>
        <w:t xml:space="preserve">Paes, T. (2019) </w:t>
      </w:r>
      <w:r w:rsidRPr="00BB74F2">
        <w:t>Creativity and pretend play | British Council.</w:t>
      </w:r>
      <w:r w:rsidRPr="00031592">
        <w:t xml:space="preserve"> Available at: </w:t>
      </w:r>
      <w:hyperlink r:id="rId32" w:history="1">
        <w:r w:rsidRPr="00031592">
          <w:rPr>
            <w:rStyle w:val="Hyperlink"/>
          </w:rPr>
          <w:t>https://www.britishcouncil.org/programmes/creative-play/creativity-pretend-play</w:t>
        </w:r>
      </w:hyperlink>
      <w:r>
        <w:t xml:space="preserve"> </w:t>
      </w:r>
      <w:bookmarkStart w:id="13" w:name="_Hlk201258349"/>
      <w:r w:rsidRPr="00031592">
        <w:t>(Accessed: 03 June 2025).</w:t>
      </w:r>
      <w:bookmarkEnd w:id="13"/>
    </w:p>
    <w:p w14:paraId="175FE2D2" w14:textId="7E910034" w:rsidR="006C29F9" w:rsidRDefault="006C29F9" w:rsidP="00031592">
      <w:r w:rsidRPr="006C29F9">
        <w:t>Parker, R., Thomsen, B.S. and Berry, A. (2022)</w:t>
      </w:r>
      <w:r>
        <w:t xml:space="preserve"> </w:t>
      </w:r>
      <w:r w:rsidR="00BB74F2">
        <w:t>‘</w:t>
      </w:r>
      <w:r w:rsidRPr="006C29F9">
        <w:t>Learning through Play at School – a Framework for Policy and Practice</w:t>
      </w:r>
      <w:r w:rsidR="00BB74F2">
        <w:t xml:space="preserve">’, </w:t>
      </w:r>
      <w:r w:rsidRPr="006C29F9">
        <w:rPr>
          <w:i/>
          <w:iCs/>
        </w:rPr>
        <w:t>Frontiers in Education</w:t>
      </w:r>
      <w:r w:rsidRPr="006C29F9">
        <w:t xml:space="preserve">, 7(1), pp.1–12. </w:t>
      </w:r>
      <w:r w:rsidR="00BB74F2">
        <w:t>Available at:</w:t>
      </w:r>
      <w:r w:rsidRPr="006C29F9">
        <w:t xml:space="preserve"> </w:t>
      </w:r>
      <w:hyperlink r:id="rId33" w:history="1">
        <w:r w:rsidRPr="001C07B6">
          <w:rPr>
            <w:rStyle w:val="Hyperlink"/>
          </w:rPr>
          <w:t>https://doi.org/10.3389/feduc.2022.751801</w:t>
        </w:r>
      </w:hyperlink>
      <w:r>
        <w:t xml:space="preserve"> </w:t>
      </w:r>
      <w:r w:rsidRPr="006C29F9">
        <w:t>(Accessed: 03 June 2025).</w:t>
      </w:r>
    </w:p>
    <w:p w14:paraId="5A6F6D38" w14:textId="49472A83" w:rsidR="001E78AD" w:rsidRDefault="006B1868" w:rsidP="001678F1">
      <w:r w:rsidRPr="002419EA">
        <w:t xml:space="preserve">Play Wales (2023) Parents’ Understanding of Play-Based Learning. Available at: </w:t>
      </w:r>
      <w:hyperlink r:id="rId34" w:history="1">
        <w:r w:rsidR="00EA4227" w:rsidRPr="002419EA">
          <w:rPr>
            <w:rStyle w:val="Hyperlink"/>
          </w:rPr>
          <w:t>https://www.playwales.org.uk</w:t>
        </w:r>
      </w:hyperlink>
      <w:r w:rsidR="00EA4227" w:rsidRPr="002419EA">
        <w:t xml:space="preserve"> </w:t>
      </w:r>
      <w:r w:rsidRPr="002419EA">
        <w:t xml:space="preserve"> </w:t>
      </w:r>
      <w:bookmarkStart w:id="14" w:name="_Hlk200800802"/>
      <w:bookmarkStart w:id="15" w:name="_Hlk201257018"/>
      <w:r w:rsidRPr="002419EA">
        <w:t>(Accessed: 03 June 2025).</w:t>
      </w:r>
      <w:bookmarkEnd w:id="14"/>
      <w:bookmarkEnd w:id="15"/>
    </w:p>
    <w:p w14:paraId="7221719F" w14:textId="1F3E80D8" w:rsidR="00031592" w:rsidRPr="002419EA" w:rsidRDefault="001678F1" w:rsidP="006B1868">
      <w:r w:rsidRPr="001678F1">
        <w:t xml:space="preserve">Pyle, A. and DeLuca, C. (2016) </w:t>
      </w:r>
      <w:r w:rsidR="00BB74F2">
        <w:t>‘</w:t>
      </w:r>
      <w:r w:rsidRPr="001678F1">
        <w:t>Assessment in play-based kindergarten classrooms: An empirical study of teacher perspectives and practices</w:t>
      </w:r>
      <w:r w:rsidR="00BB74F2">
        <w:t>’,</w:t>
      </w:r>
      <w:r w:rsidRPr="001678F1">
        <w:t xml:space="preserve"> </w:t>
      </w:r>
      <w:r w:rsidRPr="001678F1">
        <w:rPr>
          <w:i/>
          <w:iCs/>
        </w:rPr>
        <w:t>The Journal of Educational Research</w:t>
      </w:r>
      <w:r w:rsidRPr="001678F1">
        <w:t>, 110(5), pp.</w:t>
      </w:r>
      <w:r w:rsidR="00BB74F2">
        <w:t xml:space="preserve"> </w:t>
      </w:r>
      <w:r w:rsidRPr="001678F1">
        <w:t xml:space="preserve">457–466. </w:t>
      </w:r>
      <w:r w:rsidR="00BB74F2">
        <w:t>Available at:</w:t>
      </w:r>
      <w:r w:rsidRPr="001678F1">
        <w:t xml:space="preserve"> </w:t>
      </w:r>
      <w:hyperlink r:id="rId35" w:history="1">
        <w:r w:rsidRPr="008E475D">
          <w:rPr>
            <w:rStyle w:val="Hyperlink"/>
          </w:rPr>
          <w:t>https://doi.org/10.1080/00220671.2015.1118005</w:t>
        </w:r>
      </w:hyperlink>
      <w:r>
        <w:t xml:space="preserve"> </w:t>
      </w:r>
      <w:bookmarkStart w:id="16" w:name="_Hlk201251736"/>
      <w:r w:rsidRPr="001678F1">
        <w:t xml:space="preserve">(Accessed: </w:t>
      </w:r>
      <w:r>
        <w:t>14</w:t>
      </w:r>
      <w:r w:rsidRPr="001678F1">
        <w:t xml:space="preserve"> June 2025)</w:t>
      </w:r>
      <w:bookmarkEnd w:id="16"/>
      <w:r w:rsidR="00A8074A">
        <w:t>.</w:t>
      </w:r>
    </w:p>
    <w:p w14:paraId="1DE6DA6A" w14:textId="2D473BEE" w:rsidR="00474C25" w:rsidRDefault="006B1868" w:rsidP="00012DD5">
      <w:r w:rsidRPr="002419EA">
        <w:t xml:space="preserve">Rogoff, B. (2003) </w:t>
      </w:r>
      <w:r w:rsidRPr="00BB74F2">
        <w:rPr>
          <w:i/>
          <w:iCs/>
        </w:rPr>
        <w:t>The Cultural Nature of Human Development</w:t>
      </w:r>
      <w:r w:rsidRPr="002419EA">
        <w:t>. Oxford: Oxford University Press.</w:t>
      </w:r>
    </w:p>
    <w:p w14:paraId="6B0142A2" w14:textId="7D230A61" w:rsidR="00012DD5" w:rsidRPr="00012DD5" w:rsidRDefault="00012DD5" w:rsidP="00012DD5">
      <w:r w:rsidRPr="00012DD5">
        <w:t xml:space="preserve">Scherr, M. and Johnson, T.G. (2017) </w:t>
      </w:r>
      <w:r w:rsidR="00BB74F2">
        <w:t>‘</w:t>
      </w:r>
      <w:r w:rsidRPr="00012DD5">
        <w:t>The construction of preschool teacher identity in the public school context</w:t>
      </w:r>
      <w:r w:rsidR="00BB74F2">
        <w:t>’,</w:t>
      </w:r>
      <w:r w:rsidRPr="00012DD5">
        <w:t xml:space="preserve"> </w:t>
      </w:r>
      <w:r w:rsidRPr="00012DD5">
        <w:rPr>
          <w:i/>
          <w:iCs/>
        </w:rPr>
        <w:t>Early Child Development and Care</w:t>
      </w:r>
      <w:r w:rsidRPr="00012DD5">
        <w:t>, 189(3), pp.</w:t>
      </w:r>
      <w:r w:rsidR="00BB74F2">
        <w:t xml:space="preserve"> </w:t>
      </w:r>
      <w:r w:rsidRPr="00012DD5">
        <w:t xml:space="preserve">405–415. </w:t>
      </w:r>
      <w:r w:rsidR="00BB74F2">
        <w:t>Available at:</w:t>
      </w:r>
      <w:r w:rsidRPr="00012DD5">
        <w:t xml:space="preserve"> </w:t>
      </w:r>
      <w:hyperlink r:id="rId36" w:history="1">
        <w:r w:rsidRPr="001C07B6">
          <w:rPr>
            <w:rStyle w:val="Hyperlink"/>
          </w:rPr>
          <w:t>https://doi.org/10.1080/03004430.2017.1324435</w:t>
        </w:r>
      </w:hyperlink>
      <w:r>
        <w:t xml:space="preserve"> </w:t>
      </w:r>
      <w:r w:rsidRPr="00012DD5">
        <w:t>(Accessed: 14 June 2025).</w:t>
      </w:r>
    </w:p>
    <w:p w14:paraId="59FD2239" w14:textId="77777777" w:rsidR="006B1868" w:rsidRPr="002419EA" w:rsidRDefault="006B1868" w:rsidP="006B1868">
      <w:r w:rsidRPr="002419EA">
        <w:t xml:space="preserve">Siraj-Blatchford, I., Sylva, K., Muttock, S., Gilden, R. and Bell, D. (2002) </w:t>
      </w:r>
      <w:r w:rsidRPr="00BB74F2">
        <w:rPr>
          <w:i/>
          <w:iCs/>
        </w:rPr>
        <w:t>Researching Effective Pedagogy in the Early Years</w:t>
      </w:r>
      <w:r w:rsidRPr="002419EA">
        <w:t>. London: Department for Education and Skills.</w:t>
      </w:r>
    </w:p>
    <w:p w14:paraId="3F46DF85" w14:textId="4988C1F0" w:rsidR="006B1868" w:rsidRDefault="00835017" w:rsidP="006B1868">
      <w:r w:rsidRPr="00835017">
        <w:t>Smith, P. K., Cowie, H., &amp; Blades, M. (2015). </w:t>
      </w:r>
      <w:r w:rsidRPr="00835017">
        <w:rPr>
          <w:i/>
          <w:iCs/>
        </w:rPr>
        <w:t>Understanding children’s development</w:t>
      </w:r>
      <w:r w:rsidR="00BB74F2">
        <w:t xml:space="preserve">. 6 edn. London: </w:t>
      </w:r>
      <w:r w:rsidRPr="00835017">
        <w:t>Wiley.</w:t>
      </w:r>
    </w:p>
    <w:p w14:paraId="3456AE2B" w14:textId="55E3F8A1" w:rsidR="00B33AF6" w:rsidRDefault="006B1868" w:rsidP="00B33AF6">
      <w:r w:rsidRPr="002419EA">
        <w:t xml:space="preserve">Standards and Testing Agency (2023) Reception Baseline Assessment: Framework. Department for Education. Available at: https://www.gov.uk/government/publications/reception-baseline-assessment-framework </w:t>
      </w:r>
      <w:bookmarkStart w:id="17" w:name="_Hlk200798723"/>
      <w:r w:rsidRPr="002419EA">
        <w:t>(Accessed: 8 June 2025).</w:t>
      </w:r>
      <w:bookmarkEnd w:id="17"/>
    </w:p>
    <w:p w14:paraId="225712BD" w14:textId="05B905A3" w:rsidR="00B33AF6" w:rsidRPr="00B33AF6" w:rsidRDefault="00B33AF6" w:rsidP="00B33AF6">
      <w:r w:rsidRPr="00B33AF6">
        <w:t xml:space="preserve">Stegelin, D.A. (2005) </w:t>
      </w:r>
      <w:r w:rsidR="00BB74F2">
        <w:t>‘</w:t>
      </w:r>
      <w:r w:rsidRPr="00B33AF6">
        <w:t>Making the Case for Play Policy: Research-Based Reasons to Support Play-Based Environments</w:t>
      </w:r>
      <w:r w:rsidR="00BB74F2">
        <w:t>’,</w:t>
      </w:r>
      <w:r w:rsidRPr="00B33AF6">
        <w:t xml:space="preserve"> </w:t>
      </w:r>
      <w:r w:rsidRPr="00B33AF6">
        <w:rPr>
          <w:i/>
          <w:iCs/>
        </w:rPr>
        <w:t>YC Young Children</w:t>
      </w:r>
      <w:r w:rsidRPr="00B33AF6">
        <w:t xml:space="preserve">, 60(2). Available at: </w:t>
      </w:r>
      <w:hyperlink r:id="rId37" w:history="1">
        <w:r w:rsidRPr="00B33AF6">
          <w:rPr>
            <w:rStyle w:val="Hyperlink"/>
          </w:rPr>
          <w:t>https://www.researchgate.net/publication/234731770_Making_the_Case_for_Play_Policy_Research-Based_Reasons_to_Support_Play-Based_Environments</w:t>
        </w:r>
      </w:hyperlink>
      <w:r>
        <w:t xml:space="preserve"> </w:t>
      </w:r>
      <w:r w:rsidRPr="00B33AF6">
        <w:t xml:space="preserve">(Accessed: </w:t>
      </w:r>
      <w:r>
        <w:t>14</w:t>
      </w:r>
      <w:r w:rsidRPr="00B33AF6">
        <w:t xml:space="preserve"> June 2025).</w:t>
      </w:r>
    </w:p>
    <w:p w14:paraId="7567FC52" w14:textId="3C29E1A2" w:rsidR="006B1868" w:rsidRPr="002419EA" w:rsidRDefault="006B1868" w:rsidP="006B1868">
      <w:r w:rsidRPr="002419EA">
        <w:t xml:space="preserve">The Education Hub (2022) What is Assessment in Early Childhood Education? Available at: </w:t>
      </w:r>
      <w:hyperlink r:id="rId38" w:history="1">
        <w:r w:rsidR="00723180" w:rsidRPr="002419EA">
          <w:rPr>
            <w:rStyle w:val="Hyperlink"/>
          </w:rPr>
          <w:t>https://theeducationhub.org.nz/what-is-assessment-in-early-childhood-education-2/</w:t>
        </w:r>
      </w:hyperlink>
      <w:r w:rsidR="00723180" w:rsidRPr="002419EA">
        <w:t xml:space="preserve"> (</w:t>
      </w:r>
      <w:r w:rsidRPr="002419EA">
        <w:t>Accessed: 02 June 2025).</w:t>
      </w:r>
    </w:p>
    <w:p w14:paraId="3E6FDE03" w14:textId="2DC1E6D5" w:rsidR="003303DA" w:rsidRPr="002419EA" w:rsidRDefault="006B1868" w:rsidP="003303DA">
      <w:r w:rsidRPr="002419EA">
        <w:t xml:space="preserve">The Foundation Stage Forum Ltd (2025) Pupil Progress Tracker for Primary Schools. Available at: </w:t>
      </w:r>
      <w:hyperlink r:id="rId39" w:history="1">
        <w:r w:rsidR="00723180" w:rsidRPr="002419EA">
          <w:rPr>
            <w:rStyle w:val="Hyperlink"/>
          </w:rPr>
          <w:t>https://tapestry.info/pupil-progress-tracker/</w:t>
        </w:r>
      </w:hyperlink>
      <w:r w:rsidR="00723180" w:rsidRPr="002419EA">
        <w:t xml:space="preserve"> </w:t>
      </w:r>
      <w:r w:rsidRPr="002419EA">
        <w:t xml:space="preserve"> (Accessed: 8 June 2025).</w:t>
      </w:r>
    </w:p>
    <w:p w14:paraId="39341903" w14:textId="4D54C082" w:rsidR="006B1868" w:rsidRPr="002419EA" w:rsidRDefault="003303DA" w:rsidP="006B1868">
      <w:r w:rsidRPr="003303DA">
        <w:t xml:space="preserve">Traciwr (2023) </w:t>
      </w:r>
      <w:r w:rsidRPr="003303DA">
        <w:rPr>
          <w:i/>
          <w:iCs/>
        </w:rPr>
        <w:t>Assessments | Traciwr</w:t>
      </w:r>
      <w:r w:rsidRPr="003303DA">
        <w:t xml:space="preserve">. Available at: https://www.traciwr.com/assessments </w:t>
      </w:r>
      <w:r w:rsidRPr="002419EA">
        <w:t>(</w:t>
      </w:r>
      <w:r w:rsidRPr="003303DA">
        <w:t>Accessed 14 Jun. 2025</w:t>
      </w:r>
      <w:r w:rsidRPr="002419EA">
        <w:t>)</w:t>
      </w:r>
      <w:r w:rsidRPr="003303DA">
        <w:t>.</w:t>
      </w:r>
    </w:p>
    <w:p w14:paraId="6D4B346B" w14:textId="476A10CC" w:rsidR="006B1868" w:rsidRDefault="006B1868" w:rsidP="006B1868">
      <w:r w:rsidRPr="002419EA">
        <w:t xml:space="preserve">UNCRC (2006) Article 31 - I Have a Right to Relax and Play. The Children and Young People’s Commissioner Scotland. Available at: </w:t>
      </w:r>
      <w:hyperlink r:id="rId40" w:history="1">
        <w:r w:rsidR="00723180" w:rsidRPr="002419EA">
          <w:rPr>
            <w:rStyle w:val="Hyperlink"/>
          </w:rPr>
          <w:t>https://www.cypcs.org.uk/rights/uncrc/articles/article-31/</w:t>
        </w:r>
      </w:hyperlink>
      <w:r w:rsidR="00723180" w:rsidRPr="002419EA">
        <w:t xml:space="preserve"> </w:t>
      </w:r>
      <w:r w:rsidRPr="002419EA">
        <w:t xml:space="preserve"> (Accessed: 16 May 2025).</w:t>
      </w:r>
    </w:p>
    <w:p w14:paraId="395A0FD2" w14:textId="787625E0" w:rsidR="00D446ED" w:rsidRPr="008221A4" w:rsidRDefault="00D446ED" w:rsidP="006B1868">
      <w:pPr>
        <w:rPr>
          <w:i/>
          <w:iCs/>
        </w:rPr>
      </w:pPr>
      <w:bookmarkStart w:id="18" w:name="_Hlk201255135"/>
      <w:r w:rsidRPr="00BB74F2">
        <w:t>Veraksa, N., Sheridan, S., &amp; Colliver, Y. (2021)</w:t>
      </w:r>
      <w:r w:rsidRPr="00D446ED">
        <w:rPr>
          <w:i/>
          <w:iCs/>
        </w:rPr>
        <w:t xml:space="preserve"> </w:t>
      </w:r>
      <w:bookmarkEnd w:id="18"/>
      <w:r w:rsidR="00BB74F2">
        <w:rPr>
          <w:i/>
          <w:iCs/>
        </w:rPr>
        <w:t>‘</w:t>
      </w:r>
      <w:r w:rsidRPr="00BB74F2">
        <w:t>Balancing child-centred with teacher-directed approaches to early education: Incorporating young children’s perspectives</w:t>
      </w:r>
      <w:r w:rsidR="00BB74F2">
        <w:t>’</w:t>
      </w:r>
      <w:r w:rsidR="008221A4">
        <w:t>,</w:t>
      </w:r>
      <w:r w:rsidR="008221A4" w:rsidRPr="008221A4">
        <w:t xml:space="preserve"> </w:t>
      </w:r>
      <w:r w:rsidR="008221A4" w:rsidRPr="008221A4">
        <w:rPr>
          <w:i/>
          <w:iCs/>
        </w:rPr>
        <w:t>Pedagogy, Culture &amp; Society</w:t>
      </w:r>
      <w:r w:rsidR="008221A4">
        <w:rPr>
          <w:i/>
          <w:iCs/>
        </w:rPr>
        <w:t xml:space="preserve">. </w:t>
      </w:r>
      <w:r w:rsidRPr="00D446ED">
        <w:t xml:space="preserve">Available from: </w:t>
      </w:r>
      <w:hyperlink r:id="rId41" w:history="1">
        <w:r w:rsidRPr="00D446ED">
          <w:rPr>
            <w:rStyle w:val="Hyperlink"/>
          </w:rPr>
          <w:t>https://www.researchgate.net/publication/353419829_Balancing_child-centred_with_teacher-directed_approaches_to_early_education_Incorporating_young_children's_perspectives</w:t>
        </w:r>
      </w:hyperlink>
      <w:r w:rsidRPr="00D446ED">
        <w:t xml:space="preserve"> (accessed: Jun 19 2025).</w:t>
      </w:r>
    </w:p>
    <w:p w14:paraId="30E23360" w14:textId="7667D915" w:rsidR="00135384" w:rsidRPr="002419EA" w:rsidRDefault="006B1868" w:rsidP="006B1868">
      <w:r w:rsidRPr="002419EA">
        <w:t xml:space="preserve">Waller, T., Whitmarsh, J. and Clarke, K. (2011) </w:t>
      </w:r>
      <w:r w:rsidRPr="008221A4">
        <w:rPr>
          <w:i/>
          <w:iCs/>
        </w:rPr>
        <w:t>Making Sense of Theory and Practice in Early Childhood: The Power of Ideas</w:t>
      </w:r>
      <w:r w:rsidRPr="002419EA">
        <w:t xml:space="preserve">. 1st edn. </w:t>
      </w:r>
      <w:r w:rsidR="008221A4">
        <w:t xml:space="preserve">London: </w:t>
      </w:r>
      <w:r w:rsidRPr="002419EA">
        <w:t>McGraw Hill/Open University Press.</w:t>
      </w:r>
    </w:p>
    <w:p w14:paraId="63692E90" w14:textId="58C744FE" w:rsidR="006B1868" w:rsidRPr="006C3F6F" w:rsidRDefault="006B1868" w:rsidP="006B1868">
      <w:r w:rsidRPr="002419EA">
        <w:t xml:space="preserve">Welsh Government (2015) Foundation Phase Framework Curriculum for Wales. Available at: </w:t>
      </w:r>
      <w:hyperlink r:id="rId42" w:history="1">
        <w:r w:rsidR="00723180" w:rsidRPr="002419EA">
          <w:rPr>
            <w:rStyle w:val="Hyperlink"/>
          </w:rPr>
          <w:t>https://www.gov.wales/sites/default/files/publications/2018-02/foundation-phase-framework-revised-2015.pdf</w:t>
        </w:r>
      </w:hyperlink>
      <w:r w:rsidR="00723180" w:rsidRPr="002419EA">
        <w:t xml:space="preserve"> </w:t>
      </w:r>
      <w:r w:rsidRPr="002419EA">
        <w:t xml:space="preserve"> (</w:t>
      </w:r>
      <w:r w:rsidRPr="006C3F6F">
        <w:t>Accessed: 19 May 2025).</w:t>
      </w:r>
    </w:p>
    <w:p w14:paraId="1B902587" w14:textId="5630ED52" w:rsidR="006B1868" w:rsidRPr="006C3F6F" w:rsidRDefault="006B1868" w:rsidP="006B1868">
      <w:r w:rsidRPr="006C3F6F">
        <w:t>Welsh Government (2017) Foundation Phase Profile Handbook</w:t>
      </w:r>
      <w:r w:rsidR="008221A4" w:rsidRPr="006C3F6F">
        <w:t>.</w:t>
      </w:r>
      <w:r w:rsidRPr="006C3F6F">
        <w:t xml:space="preserve"> (Revised September 2017) Available at: </w:t>
      </w:r>
      <w:hyperlink r:id="rId43" w:history="1">
        <w:r w:rsidR="00723180" w:rsidRPr="006C3F6F">
          <w:rPr>
            <w:rStyle w:val="Hyperlink"/>
          </w:rPr>
          <w:t>https://hwb.gov.wales/storage/f9d85dba-85a4-4e87-bb58-a24730ad7e57/foundation-phase-profile-handbook-revised-september-2017.pdf</w:t>
        </w:r>
      </w:hyperlink>
      <w:r w:rsidR="00723180" w:rsidRPr="006C3F6F">
        <w:t xml:space="preserve"> </w:t>
      </w:r>
      <w:r w:rsidRPr="006C3F6F">
        <w:t xml:space="preserve"> (Accessed: 8 June 2025).</w:t>
      </w:r>
    </w:p>
    <w:p w14:paraId="08784E7C" w14:textId="2E0D538F" w:rsidR="006B1868" w:rsidRPr="006C3F6F" w:rsidRDefault="006B1868" w:rsidP="006B1868">
      <w:r w:rsidRPr="006C3F6F">
        <w:t xml:space="preserve">Welsh Government (2017) Foundation Phase Profile Handbook. Available at: </w:t>
      </w:r>
      <w:hyperlink r:id="rId44" w:history="1">
        <w:r w:rsidR="00723180" w:rsidRPr="006C3F6F">
          <w:rPr>
            <w:rStyle w:val="Hyperlink"/>
          </w:rPr>
          <w:t>https://www.gov.wales/sites/default/files/publications/2018-03/foundation-phase-profile-handbook-revised-september-2017.pdf</w:t>
        </w:r>
      </w:hyperlink>
      <w:r w:rsidR="00723180" w:rsidRPr="006C3F6F">
        <w:t xml:space="preserve"> </w:t>
      </w:r>
      <w:r w:rsidRPr="006C3F6F">
        <w:t xml:space="preserve"> (Accessed: 19 May 2025).</w:t>
      </w:r>
    </w:p>
    <w:p w14:paraId="46613385" w14:textId="504B5696" w:rsidR="006B1868" w:rsidRPr="006C3F6F" w:rsidRDefault="006B1868" w:rsidP="006B1868">
      <w:r w:rsidRPr="006C3F6F">
        <w:t xml:space="preserve">Welsh Government (2020) Curriculum for Wales Guidance. Available at: </w:t>
      </w:r>
      <w:hyperlink r:id="rId45" w:history="1">
        <w:r w:rsidR="00723180" w:rsidRPr="006C3F6F">
          <w:rPr>
            <w:rStyle w:val="Hyperlink"/>
          </w:rPr>
          <w:t>https://hwb.gov.wales/curriculum-for-wales</w:t>
        </w:r>
      </w:hyperlink>
      <w:r w:rsidR="00723180" w:rsidRPr="006C3F6F">
        <w:t xml:space="preserve"> </w:t>
      </w:r>
      <w:r w:rsidRPr="006C3F6F">
        <w:t xml:space="preserve"> (Accessed: 3 June 2025).</w:t>
      </w:r>
    </w:p>
    <w:p w14:paraId="67BA2B25" w14:textId="754596D3" w:rsidR="006B1868" w:rsidRPr="006C3F6F" w:rsidRDefault="006B1868" w:rsidP="006B1868">
      <w:r w:rsidRPr="006C3F6F">
        <w:t xml:space="preserve">Welsh Government (2020) Supporting Learner Progression: Assessment Guidance. Available at: </w:t>
      </w:r>
      <w:hyperlink r:id="rId46" w:history="1">
        <w:r w:rsidR="00723180" w:rsidRPr="006C3F6F">
          <w:rPr>
            <w:rStyle w:val="Hyperlink"/>
          </w:rPr>
          <w:t>https://hwb.gov.wales/curriculum-for-wales/assessment-arrangements/supporting-learner-progression-assessment-guidance/</w:t>
        </w:r>
      </w:hyperlink>
      <w:r w:rsidR="00723180" w:rsidRPr="006C3F6F">
        <w:t xml:space="preserve"> </w:t>
      </w:r>
      <w:r w:rsidRPr="006C3F6F">
        <w:t xml:space="preserve"> (Accessed: 8 June 2025).</w:t>
      </w:r>
    </w:p>
    <w:p w14:paraId="297A4D19" w14:textId="09B810CB" w:rsidR="006B1868" w:rsidRPr="006C3F6F" w:rsidRDefault="006B1868" w:rsidP="006B1868">
      <w:r w:rsidRPr="006C3F6F">
        <w:t xml:space="preserve">Welsh Government (2022) Assessment Arrangements for Funded Non-Maintained Nursery Settings. Available at: </w:t>
      </w:r>
      <w:hyperlink r:id="rId47" w:history="1">
        <w:r w:rsidR="00723180" w:rsidRPr="006C3F6F">
          <w:rPr>
            <w:rStyle w:val="Hyperlink"/>
          </w:rPr>
          <w:t>https://hwb.gov.wales/api/storage/c05430f0-b9d3-4d5e-92a3-8ec30a60ddf1/assessment-arrangements-for-funded-non-maintained-nursery-settings.pdf</w:t>
        </w:r>
      </w:hyperlink>
      <w:r w:rsidR="00723180" w:rsidRPr="006C3F6F">
        <w:t xml:space="preserve"> </w:t>
      </w:r>
      <w:r w:rsidRPr="006C3F6F">
        <w:t xml:space="preserve"> (Accessed: 19 May 2025).</w:t>
      </w:r>
    </w:p>
    <w:p w14:paraId="3322F960" w14:textId="75690433" w:rsidR="006B1868" w:rsidRPr="006C3F6F" w:rsidRDefault="006B1868" w:rsidP="006B1868">
      <w:r w:rsidRPr="006C3F6F">
        <w:t xml:space="preserve">Welsh Government (2022) Curriculum for Funded Non-Maintained Nursery Settings. Cardiff: Welsh Government. Available at: </w:t>
      </w:r>
      <w:hyperlink r:id="rId48" w:history="1">
        <w:r w:rsidR="00723180" w:rsidRPr="006C3F6F">
          <w:rPr>
            <w:rStyle w:val="Hyperlink"/>
          </w:rPr>
          <w:t>https://www.gov.wales/curriculum-funded-non-maintained-nursery-settings</w:t>
        </w:r>
      </w:hyperlink>
      <w:r w:rsidR="00723180" w:rsidRPr="006C3F6F">
        <w:t xml:space="preserve"> </w:t>
      </w:r>
      <w:r w:rsidRPr="006C3F6F">
        <w:t xml:space="preserve"> </w:t>
      </w:r>
      <w:bookmarkStart w:id="19" w:name="_Hlk201253495"/>
      <w:r w:rsidRPr="006C3F6F">
        <w:t>(Accessed: 16 May 2025).</w:t>
      </w:r>
      <w:bookmarkEnd w:id="19"/>
    </w:p>
    <w:p w14:paraId="3E8A47CA" w14:textId="58D30B2B" w:rsidR="006B1868" w:rsidRDefault="006B1868" w:rsidP="006B1868">
      <w:r w:rsidRPr="006C3F6F">
        <w:t>Welsh Government (2022</w:t>
      </w:r>
      <w:r w:rsidRPr="002419EA">
        <w:t xml:space="preserve">) Curriculum for Wales. Available at: </w:t>
      </w:r>
      <w:hyperlink r:id="rId49" w:history="1">
        <w:r w:rsidR="00723180" w:rsidRPr="002419EA">
          <w:rPr>
            <w:rStyle w:val="Hyperlink"/>
          </w:rPr>
          <w:t>https://hwb.gov.wales/curriculum-for-wales</w:t>
        </w:r>
      </w:hyperlink>
      <w:r w:rsidR="00723180" w:rsidRPr="002419EA">
        <w:t xml:space="preserve"> </w:t>
      </w:r>
      <w:r w:rsidRPr="002419EA">
        <w:t xml:space="preserve"> (Accessed: 03 June 2025).</w:t>
      </w:r>
    </w:p>
    <w:p w14:paraId="7DBEA347" w14:textId="5F9E4084" w:rsidR="00485922" w:rsidRPr="00485922" w:rsidRDefault="00485922" w:rsidP="00485922">
      <w:r w:rsidRPr="00485922">
        <w:t xml:space="preserve">Welsh Government (2023) </w:t>
      </w:r>
      <w:r w:rsidRPr="008221A4">
        <w:t>Early childhood play, learning and care in Wales</w:t>
      </w:r>
      <w:r w:rsidRPr="00485922">
        <w:rPr>
          <w:i/>
          <w:iCs/>
        </w:rPr>
        <w:t xml:space="preserve"> </w:t>
      </w:r>
      <w:r w:rsidR="008221A4">
        <w:rPr>
          <w:i/>
          <w:iCs/>
        </w:rPr>
        <w:t xml:space="preserve">. </w:t>
      </w:r>
      <w:r w:rsidRPr="00485922">
        <w:t xml:space="preserve">Available at: </w:t>
      </w:r>
      <w:hyperlink r:id="rId50" w:history="1">
        <w:r w:rsidRPr="00485922">
          <w:rPr>
            <w:rStyle w:val="Hyperlink"/>
          </w:rPr>
          <w:t>https://hwb.gov.wales/curriculum-for-wales/early-childhood-play-learning-and-care-in-wales</w:t>
        </w:r>
      </w:hyperlink>
      <w:r>
        <w:t xml:space="preserve"> </w:t>
      </w:r>
      <w:r w:rsidRPr="00485922">
        <w:t>(Accessed: 16 May 2025).</w:t>
      </w:r>
    </w:p>
    <w:p w14:paraId="0B75D173" w14:textId="511F739C" w:rsidR="006B1868" w:rsidRPr="002419EA" w:rsidRDefault="006B1868" w:rsidP="006B1868">
      <w:r w:rsidRPr="002419EA">
        <w:t xml:space="preserve">Whitebread, D., Coltman, P., Jameson, H. and Lander, R. (2012) ‘Play, cognition and self-regulation: What exactly are children learning when they learn through play?’, </w:t>
      </w:r>
      <w:r w:rsidRPr="008221A4">
        <w:rPr>
          <w:i/>
          <w:iCs/>
        </w:rPr>
        <w:t>Educational and Child Psychology,</w:t>
      </w:r>
      <w:r w:rsidRPr="002419EA">
        <w:t xml:space="preserve"> 29(2), pp. 44–52.</w:t>
      </w:r>
      <w:r w:rsidR="00D6225B" w:rsidRPr="002419EA">
        <w:t xml:space="preserve"> </w:t>
      </w:r>
    </w:p>
    <w:p w14:paraId="5F9FEF9D" w14:textId="2CB08AB9" w:rsidR="00135384" w:rsidRPr="002419EA" w:rsidRDefault="00BE6223" w:rsidP="006B1868">
      <w:r w:rsidRPr="002419EA">
        <w:t xml:space="preserve">Wood, E. (2014). </w:t>
      </w:r>
      <w:r w:rsidRPr="002419EA">
        <w:rPr>
          <w:i/>
          <w:iCs/>
        </w:rPr>
        <w:t>Play, learning and the early childhood curriculum</w:t>
      </w:r>
      <w:r w:rsidRPr="002419EA">
        <w:t xml:space="preserve"> (3rd ed.). </w:t>
      </w:r>
      <w:r w:rsidR="004307C1">
        <w:t xml:space="preserve">London: </w:t>
      </w:r>
      <w:r w:rsidRPr="002419EA">
        <w:t>SAGE Publications.</w:t>
      </w:r>
    </w:p>
    <w:p w14:paraId="51A8AAFD" w14:textId="3EA2FCDE" w:rsidR="006B1868" w:rsidRPr="002419EA" w:rsidRDefault="006B1868" w:rsidP="006B1868">
      <w:r w:rsidRPr="002419EA">
        <w:t xml:space="preserve">Wood, E. (2020) ‘Reconceptualising play-based pedagogy in early childhood education: The role of observation, assessment and planning’, </w:t>
      </w:r>
      <w:r w:rsidRPr="004307C1">
        <w:rPr>
          <w:i/>
          <w:iCs/>
        </w:rPr>
        <w:t>Early Child Development and Care</w:t>
      </w:r>
      <w:r w:rsidRPr="002419EA">
        <w:t>, 190(5), pp. 753–765.</w:t>
      </w:r>
    </w:p>
    <w:p w14:paraId="6AD006E5" w14:textId="4EB49722" w:rsidR="00B66C3D" w:rsidRPr="002419EA" w:rsidRDefault="006B1868" w:rsidP="006B1868">
      <w:r w:rsidRPr="002419EA">
        <w:lastRenderedPageBreak/>
        <w:t xml:space="preserve">Woodhead, M. (2006) ‘Changing perspectives on early childhood: theory, research and policy’, </w:t>
      </w:r>
      <w:r w:rsidRPr="004307C1">
        <w:rPr>
          <w:i/>
          <w:iCs/>
        </w:rPr>
        <w:t>International Journal of Equity and Innovation in Early Childhood</w:t>
      </w:r>
      <w:r w:rsidRPr="002419EA">
        <w:t>, 4(2), pp. 5–18.</w:t>
      </w:r>
    </w:p>
    <w:p w14:paraId="7A3A6752" w14:textId="69D82262" w:rsidR="006C60CF" w:rsidRPr="002419EA" w:rsidRDefault="006C60CF" w:rsidP="004427D2"/>
    <w:sectPr w:rsidR="006C60CF" w:rsidRPr="002419EA" w:rsidSect="00922FE1">
      <w:footerReference w:type="default" r:id="rId51"/>
      <w:pgSz w:w="11906" w:h="16838"/>
      <w:pgMar w:top="1440" w:right="1440" w:bottom="1440" w:left="144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7AFA2" w14:textId="77777777" w:rsidR="00BF2D19" w:rsidRDefault="00BF2D19" w:rsidP="00FF2C12">
      <w:pPr>
        <w:spacing w:after="0" w:line="240" w:lineRule="auto"/>
      </w:pPr>
      <w:r>
        <w:separator/>
      </w:r>
    </w:p>
  </w:endnote>
  <w:endnote w:type="continuationSeparator" w:id="0">
    <w:p w14:paraId="5AD305F0" w14:textId="77777777" w:rsidR="00BF2D19" w:rsidRDefault="00BF2D19" w:rsidP="00FF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2629363"/>
      <w:docPartObj>
        <w:docPartGallery w:val="Page Numbers (Bottom of Page)"/>
        <w:docPartUnique/>
      </w:docPartObj>
    </w:sdtPr>
    <w:sdtEndPr>
      <w:rPr>
        <w:noProof/>
      </w:rPr>
    </w:sdtEndPr>
    <w:sdtContent>
      <w:p w14:paraId="37767913" w14:textId="2CF7BFBA" w:rsidR="00922FE1" w:rsidRDefault="00922F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8E296" w14:textId="77777777" w:rsidR="00922FE1" w:rsidRDefault="0092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D1A21" w14:textId="77777777" w:rsidR="00BF2D19" w:rsidRDefault="00BF2D19" w:rsidP="00FF2C12">
      <w:pPr>
        <w:spacing w:after="0" w:line="240" w:lineRule="auto"/>
      </w:pPr>
      <w:r>
        <w:separator/>
      </w:r>
    </w:p>
  </w:footnote>
  <w:footnote w:type="continuationSeparator" w:id="0">
    <w:p w14:paraId="74C5AC07" w14:textId="77777777" w:rsidR="00BF2D19" w:rsidRDefault="00BF2D19" w:rsidP="00FF2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77AD3"/>
    <w:multiLevelType w:val="multilevel"/>
    <w:tmpl w:val="6C2C58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94"/>
        </w:tabs>
        <w:ind w:left="1494"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87CCE"/>
    <w:multiLevelType w:val="multilevel"/>
    <w:tmpl w:val="9BAEE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A63393"/>
    <w:multiLevelType w:val="multilevel"/>
    <w:tmpl w:val="AB987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681DFF"/>
    <w:multiLevelType w:val="multilevel"/>
    <w:tmpl w:val="DD5C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303FD5"/>
    <w:multiLevelType w:val="hybridMultilevel"/>
    <w:tmpl w:val="18327F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791027"/>
    <w:multiLevelType w:val="hybridMultilevel"/>
    <w:tmpl w:val="C744F9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8B2781"/>
    <w:multiLevelType w:val="multilevel"/>
    <w:tmpl w:val="77A0A7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5254CA"/>
    <w:multiLevelType w:val="multilevel"/>
    <w:tmpl w:val="3E3E61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1C0D9C"/>
    <w:multiLevelType w:val="hybridMultilevel"/>
    <w:tmpl w:val="59F800C6"/>
    <w:lvl w:ilvl="0" w:tplc="7BA254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C539EF"/>
    <w:multiLevelType w:val="hybridMultilevel"/>
    <w:tmpl w:val="CF881F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36233A"/>
    <w:multiLevelType w:val="multilevel"/>
    <w:tmpl w:val="297E2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6249404">
    <w:abstractNumId w:val="5"/>
  </w:num>
  <w:num w:numId="2" w16cid:durableId="1897156118">
    <w:abstractNumId w:val="9"/>
  </w:num>
  <w:num w:numId="3" w16cid:durableId="496846376">
    <w:abstractNumId w:val="8"/>
  </w:num>
  <w:num w:numId="4" w16cid:durableId="613636068">
    <w:abstractNumId w:val="6"/>
  </w:num>
  <w:num w:numId="5" w16cid:durableId="1145126115">
    <w:abstractNumId w:val="0"/>
  </w:num>
  <w:num w:numId="6" w16cid:durableId="1713188383">
    <w:abstractNumId w:val="10"/>
  </w:num>
  <w:num w:numId="7" w16cid:durableId="1249389726">
    <w:abstractNumId w:val="3"/>
  </w:num>
  <w:num w:numId="8" w16cid:durableId="1774200737">
    <w:abstractNumId w:val="7"/>
  </w:num>
  <w:num w:numId="9" w16cid:durableId="1403289134">
    <w:abstractNumId w:val="2"/>
  </w:num>
  <w:num w:numId="10" w16cid:durableId="1959331177">
    <w:abstractNumId w:val="1"/>
  </w:num>
  <w:num w:numId="11" w16cid:durableId="1985138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584"/>
    <w:rsid w:val="00012DD5"/>
    <w:rsid w:val="000152A3"/>
    <w:rsid w:val="00016284"/>
    <w:rsid w:val="000162B5"/>
    <w:rsid w:val="00020DB2"/>
    <w:rsid w:val="00024D4D"/>
    <w:rsid w:val="000265B3"/>
    <w:rsid w:val="00031592"/>
    <w:rsid w:val="000331D7"/>
    <w:rsid w:val="000343C5"/>
    <w:rsid w:val="00035EF8"/>
    <w:rsid w:val="00045288"/>
    <w:rsid w:val="000478A8"/>
    <w:rsid w:val="00057A0B"/>
    <w:rsid w:val="00061F87"/>
    <w:rsid w:val="000648F7"/>
    <w:rsid w:val="0006549A"/>
    <w:rsid w:val="00071E63"/>
    <w:rsid w:val="00072CCB"/>
    <w:rsid w:val="00073350"/>
    <w:rsid w:val="00074433"/>
    <w:rsid w:val="000754B5"/>
    <w:rsid w:val="00077214"/>
    <w:rsid w:val="00077B6D"/>
    <w:rsid w:val="0008445C"/>
    <w:rsid w:val="00090E88"/>
    <w:rsid w:val="000A1234"/>
    <w:rsid w:val="000A24CE"/>
    <w:rsid w:val="000A2B8B"/>
    <w:rsid w:val="000A573C"/>
    <w:rsid w:val="000B1753"/>
    <w:rsid w:val="000B340E"/>
    <w:rsid w:val="000B3BD3"/>
    <w:rsid w:val="000B578F"/>
    <w:rsid w:val="000C587A"/>
    <w:rsid w:val="000C5B87"/>
    <w:rsid w:val="000D480D"/>
    <w:rsid w:val="000E0EB0"/>
    <w:rsid w:val="000E22E0"/>
    <w:rsid w:val="000E3836"/>
    <w:rsid w:val="000E48B5"/>
    <w:rsid w:val="000E602B"/>
    <w:rsid w:val="000F2980"/>
    <w:rsid w:val="000F7A7D"/>
    <w:rsid w:val="001016B8"/>
    <w:rsid w:val="00101C82"/>
    <w:rsid w:val="00102078"/>
    <w:rsid w:val="001033A6"/>
    <w:rsid w:val="001054CD"/>
    <w:rsid w:val="00105B7E"/>
    <w:rsid w:val="0010782B"/>
    <w:rsid w:val="00110F08"/>
    <w:rsid w:val="001123AA"/>
    <w:rsid w:val="0011515A"/>
    <w:rsid w:val="001174A8"/>
    <w:rsid w:val="001202B4"/>
    <w:rsid w:val="00125B9D"/>
    <w:rsid w:val="00133458"/>
    <w:rsid w:val="00135384"/>
    <w:rsid w:val="0015342F"/>
    <w:rsid w:val="001540FE"/>
    <w:rsid w:val="0015431C"/>
    <w:rsid w:val="00156329"/>
    <w:rsid w:val="00160545"/>
    <w:rsid w:val="00161A7A"/>
    <w:rsid w:val="00164F70"/>
    <w:rsid w:val="00165070"/>
    <w:rsid w:val="001651C2"/>
    <w:rsid w:val="0016555E"/>
    <w:rsid w:val="00167315"/>
    <w:rsid w:val="001678F1"/>
    <w:rsid w:val="00172258"/>
    <w:rsid w:val="0017289A"/>
    <w:rsid w:val="00172F3A"/>
    <w:rsid w:val="00177E90"/>
    <w:rsid w:val="00186075"/>
    <w:rsid w:val="00191EA5"/>
    <w:rsid w:val="00193BBA"/>
    <w:rsid w:val="00197271"/>
    <w:rsid w:val="001A3CE4"/>
    <w:rsid w:val="001B11D3"/>
    <w:rsid w:val="001B3387"/>
    <w:rsid w:val="001B462C"/>
    <w:rsid w:val="001B75C4"/>
    <w:rsid w:val="001C00FF"/>
    <w:rsid w:val="001C25AB"/>
    <w:rsid w:val="001C2A58"/>
    <w:rsid w:val="001C6494"/>
    <w:rsid w:val="001C7C84"/>
    <w:rsid w:val="001D2C85"/>
    <w:rsid w:val="001E64DD"/>
    <w:rsid w:val="001E78AD"/>
    <w:rsid w:val="001E7E54"/>
    <w:rsid w:val="00201131"/>
    <w:rsid w:val="0020608E"/>
    <w:rsid w:val="0021051B"/>
    <w:rsid w:val="002118A7"/>
    <w:rsid w:val="002203E1"/>
    <w:rsid w:val="00220C64"/>
    <w:rsid w:val="00223D58"/>
    <w:rsid w:val="00232793"/>
    <w:rsid w:val="00232818"/>
    <w:rsid w:val="00236846"/>
    <w:rsid w:val="002405CB"/>
    <w:rsid w:val="002419EA"/>
    <w:rsid w:val="00246FBF"/>
    <w:rsid w:val="002531FF"/>
    <w:rsid w:val="0026030D"/>
    <w:rsid w:val="00263177"/>
    <w:rsid w:val="00264E1D"/>
    <w:rsid w:val="0026792D"/>
    <w:rsid w:val="002745D9"/>
    <w:rsid w:val="00274F0E"/>
    <w:rsid w:val="00275C84"/>
    <w:rsid w:val="002811E9"/>
    <w:rsid w:val="00283BDE"/>
    <w:rsid w:val="00286632"/>
    <w:rsid w:val="00290DA9"/>
    <w:rsid w:val="0029766C"/>
    <w:rsid w:val="002A257A"/>
    <w:rsid w:val="002A2C88"/>
    <w:rsid w:val="002A6784"/>
    <w:rsid w:val="002A6E47"/>
    <w:rsid w:val="002B554D"/>
    <w:rsid w:val="002C0382"/>
    <w:rsid w:val="002C42C5"/>
    <w:rsid w:val="002C59AC"/>
    <w:rsid w:val="002C6980"/>
    <w:rsid w:val="002D5B50"/>
    <w:rsid w:val="002D5E6E"/>
    <w:rsid w:val="002D65AA"/>
    <w:rsid w:val="002D6AE4"/>
    <w:rsid w:val="002E23A4"/>
    <w:rsid w:val="002E31DD"/>
    <w:rsid w:val="002E62E2"/>
    <w:rsid w:val="002F1341"/>
    <w:rsid w:val="002F37D3"/>
    <w:rsid w:val="002F6D17"/>
    <w:rsid w:val="00300A69"/>
    <w:rsid w:val="0030282F"/>
    <w:rsid w:val="00303810"/>
    <w:rsid w:val="003071E8"/>
    <w:rsid w:val="00313041"/>
    <w:rsid w:val="00324FB2"/>
    <w:rsid w:val="00330204"/>
    <w:rsid w:val="003303DA"/>
    <w:rsid w:val="00332589"/>
    <w:rsid w:val="003339BD"/>
    <w:rsid w:val="003351FC"/>
    <w:rsid w:val="00340C3B"/>
    <w:rsid w:val="003427E9"/>
    <w:rsid w:val="00343602"/>
    <w:rsid w:val="00345562"/>
    <w:rsid w:val="00345902"/>
    <w:rsid w:val="00346F3A"/>
    <w:rsid w:val="00350F2F"/>
    <w:rsid w:val="00351E52"/>
    <w:rsid w:val="003528FC"/>
    <w:rsid w:val="00354D66"/>
    <w:rsid w:val="00355E7B"/>
    <w:rsid w:val="00356571"/>
    <w:rsid w:val="00361AEC"/>
    <w:rsid w:val="003725FA"/>
    <w:rsid w:val="003761E0"/>
    <w:rsid w:val="003879B7"/>
    <w:rsid w:val="00392B27"/>
    <w:rsid w:val="00395139"/>
    <w:rsid w:val="003A24EE"/>
    <w:rsid w:val="003A27AA"/>
    <w:rsid w:val="003A2E76"/>
    <w:rsid w:val="003A6890"/>
    <w:rsid w:val="003A68AD"/>
    <w:rsid w:val="003C52B0"/>
    <w:rsid w:val="003D0BC3"/>
    <w:rsid w:val="003D692D"/>
    <w:rsid w:val="003E0C40"/>
    <w:rsid w:val="003E7726"/>
    <w:rsid w:val="003F12AF"/>
    <w:rsid w:val="003F4972"/>
    <w:rsid w:val="004015FA"/>
    <w:rsid w:val="00411B71"/>
    <w:rsid w:val="004127A3"/>
    <w:rsid w:val="00412DCA"/>
    <w:rsid w:val="00421428"/>
    <w:rsid w:val="004222A0"/>
    <w:rsid w:val="00425E7F"/>
    <w:rsid w:val="004279F6"/>
    <w:rsid w:val="004307C1"/>
    <w:rsid w:val="00433539"/>
    <w:rsid w:val="004427D2"/>
    <w:rsid w:val="00444192"/>
    <w:rsid w:val="00444643"/>
    <w:rsid w:val="00446763"/>
    <w:rsid w:val="00447DC5"/>
    <w:rsid w:val="00453DC1"/>
    <w:rsid w:val="0045438B"/>
    <w:rsid w:val="004551AD"/>
    <w:rsid w:val="0045781C"/>
    <w:rsid w:val="004606E1"/>
    <w:rsid w:val="004618CB"/>
    <w:rsid w:val="0047374E"/>
    <w:rsid w:val="00474C25"/>
    <w:rsid w:val="00474EE5"/>
    <w:rsid w:val="0048181E"/>
    <w:rsid w:val="00485418"/>
    <w:rsid w:val="00485922"/>
    <w:rsid w:val="00485B51"/>
    <w:rsid w:val="00485DFA"/>
    <w:rsid w:val="00491512"/>
    <w:rsid w:val="004929E7"/>
    <w:rsid w:val="00495516"/>
    <w:rsid w:val="004961EC"/>
    <w:rsid w:val="0049726A"/>
    <w:rsid w:val="004A1715"/>
    <w:rsid w:val="004B14E5"/>
    <w:rsid w:val="004B4371"/>
    <w:rsid w:val="004B4797"/>
    <w:rsid w:val="004C267E"/>
    <w:rsid w:val="004C475D"/>
    <w:rsid w:val="004C7110"/>
    <w:rsid w:val="004D034C"/>
    <w:rsid w:val="004D3659"/>
    <w:rsid w:val="004D5AAE"/>
    <w:rsid w:val="004E0ADA"/>
    <w:rsid w:val="004E1F75"/>
    <w:rsid w:val="004E3389"/>
    <w:rsid w:val="004E4AEC"/>
    <w:rsid w:val="004E74FB"/>
    <w:rsid w:val="004F0E31"/>
    <w:rsid w:val="004F3873"/>
    <w:rsid w:val="004F5C4B"/>
    <w:rsid w:val="005025CC"/>
    <w:rsid w:val="0050574E"/>
    <w:rsid w:val="0050698C"/>
    <w:rsid w:val="00512D61"/>
    <w:rsid w:val="00514468"/>
    <w:rsid w:val="00523DA0"/>
    <w:rsid w:val="00532FA8"/>
    <w:rsid w:val="00537BA7"/>
    <w:rsid w:val="00541696"/>
    <w:rsid w:val="0054776A"/>
    <w:rsid w:val="00554AED"/>
    <w:rsid w:val="00555556"/>
    <w:rsid w:val="00556371"/>
    <w:rsid w:val="0055767B"/>
    <w:rsid w:val="0056018A"/>
    <w:rsid w:val="005709AA"/>
    <w:rsid w:val="0057458C"/>
    <w:rsid w:val="00582FBA"/>
    <w:rsid w:val="005834AF"/>
    <w:rsid w:val="00586D22"/>
    <w:rsid w:val="005908DD"/>
    <w:rsid w:val="005929C2"/>
    <w:rsid w:val="0059447A"/>
    <w:rsid w:val="00596AA6"/>
    <w:rsid w:val="0059723F"/>
    <w:rsid w:val="00597924"/>
    <w:rsid w:val="005A0235"/>
    <w:rsid w:val="005A08CF"/>
    <w:rsid w:val="005A11C1"/>
    <w:rsid w:val="005A1A4F"/>
    <w:rsid w:val="005A3280"/>
    <w:rsid w:val="005A40C1"/>
    <w:rsid w:val="005A59D0"/>
    <w:rsid w:val="005A5F8D"/>
    <w:rsid w:val="005B13C2"/>
    <w:rsid w:val="005B5E61"/>
    <w:rsid w:val="005B5E82"/>
    <w:rsid w:val="005B6766"/>
    <w:rsid w:val="005C1739"/>
    <w:rsid w:val="005C6F24"/>
    <w:rsid w:val="005C7F0D"/>
    <w:rsid w:val="005D2CB3"/>
    <w:rsid w:val="005E07EC"/>
    <w:rsid w:val="005E21BD"/>
    <w:rsid w:val="005E5FF6"/>
    <w:rsid w:val="005F59EA"/>
    <w:rsid w:val="00600305"/>
    <w:rsid w:val="00603B39"/>
    <w:rsid w:val="00606BBF"/>
    <w:rsid w:val="00607C67"/>
    <w:rsid w:val="0061068F"/>
    <w:rsid w:val="00621066"/>
    <w:rsid w:val="00625600"/>
    <w:rsid w:val="00636251"/>
    <w:rsid w:val="00636D22"/>
    <w:rsid w:val="00640CD3"/>
    <w:rsid w:val="00641C74"/>
    <w:rsid w:val="0064257D"/>
    <w:rsid w:val="00650F79"/>
    <w:rsid w:val="006539DD"/>
    <w:rsid w:val="00654A78"/>
    <w:rsid w:val="0065672C"/>
    <w:rsid w:val="0066125C"/>
    <w:rsid w:val="00665315"/>
    <w:rsid w:val="006653F2"/>
    <w:rsid w:val="00670980"/>
    <w:rsid w:val="00673BD2"/>
    <w:rsid w:val="0067486E"/>
    <w:rsid w:val="00675EED"/>
    <w:rsid w:val="0068130D"/>
    <w:rsid w:val="006858AD"/>
    <w:rsid w:val="00690E38"/>
    <w:rsid w:val="00692944"/>
    <w:rsid w:val="006934AB"/>
    <w:rsid w:val="00693A59"/>
    <w:rsid w:val="006942BC"/>
    <w:rsid w:val="006A1B44"/>
    <w:rsid w:val="006A2D40"/>
    <w:rsid w:val="006A4541"/>
    <w:rsid w:val="006A762C"/>
    <w:rsid w:val="006B0E26"/>
    <w:rsid w:val="006B1868"/>
    <w:rsid w:val="006B2503"/>
    <w:rsid w:val="006B3C0C"/>
    <w:rsid w:val="006C18A1"/>
    <w:rsid w:val="006C29F9"/>
    <w:rsid w:val="006C3510"/>
    <w:rsid w:val="006C3F6F"/>
    <w:rsid w:val="006C60CF"/>
    <w:rsid w:val="006D4924"/>
    <w:rsid w:val="006D6EC6"/>
    <w:rsid w:val="006E0AE2"/>
    <w:rsid w:val="006E32BA"/>
    <w:rsid w:val="006E3482"/>
    <w:rsid w:val="006E3CD1"/>
    <w:rsid w:val="006F28B1"/>
    <w:rsid w:val="006F2C23"/>
    <w:rsid w:val="006F7020"/>
    <w:rsid w:val="006F7A44"/>
    <w:rsid w:val="00701460"/>
    <w:rsid w:val="007032FD"/>
    <w:rsid w:val="00706DC2"/>
    <w:rsid w:val="00707F18"/>
    <w:rsid w:val="007211E0"/>
    <w:rsid w:val="00721BA1"/>
    <w:rsid w:val="00721F72"/>
    <w:rsid w:val="00722FDF"/>
    <w:rsid w:val="00723180"/>
    <w:rsid w:val="00725371"/>
    <w:rsid w:val="0073018D"/>
    <w:rsid w:val="0074029D"/>
    <w:rsid w:val="00742584"/>
    <w:rsid w:val="00743667"/>
    <w:rsid w:val="0074580B"/>
    <w:rsid w:val="00753713"/>
    <w:rsid w:val="00754201"/>
    <w:rsid w:val="00754BEB"/>
    <w:rsid w:val="00754E81"/>
    <w:rsid w:val="0076016B"/>
    <w:rsid w:val="00763863"/>
    <w:rsid w:val="0076545D"/>
    <w:rsid w:val="0076678F"/>
    <w:rsid w:val="00770FAA"/>
    <w:rsid w:val="00777951"/>
    <w:rsid w:val="00781535"/>
    <w:rsid w:val="007945BC"/>
    <w:rsid w:val="00795437"/>
    <w:rsid w:val="00796D0A"/>
    <w:rsid w:val="007A299E"/>
    <w:rsid w:val="007A29EC"/>
    <w:rsid w:val="007A3497"/>
    <w:rsid w:val="007A448B"/>
    <w:rsid w:val="007A5053"/>
    <w:rsid w:val="007A5AED"/>
    <w:rsid w:val="007A60F3"/>
    <w:rsid w:val="007A6216"/>
    <w:rsid w:val="007B2EFF"/>
    <w:rsid w:val="007B513B"/>
    <w:rsid w:val="007B5BD3"/>
    <w:rsid w:val="007C219B"/>
    <w:rsid w:val="007C491B"/>
    <w:rsid w:val="007D56CE"/>
    <w:rsid w:val="007D5DD7"/>
    <w:rsid w:val="007D785C"/>
    <w:rsid w:val="007E2060"/>
    <w:rsid w:val="007E5E77"/>
    <w:rsid w:val="007E609D"/>
    <w:rsid w:val="007F2EEF"/>
    <w:rsid w:val="007F35D0"/>
    <w:rsid w:val="007F56C2"/>
    <w:rsid w:val="007F56F1"/>
    <w:rsid w:val="00806A10"/>
    <w:rsid w:val="008079DA"/>
    <w:rsid w:val="0081022F"/>
    <w:rsid w:val="00811444"/>
    <w:rsid w:val="008116E0"/>
    <w:rsid w:val="00813375"/>
    <w:rsid w:val="0081365E"/>
    <w:rsid w:val="00815D2F"/>
    <w:rsid w:val="008215B5"/>
    <w:rsid w:val="008221A4"/>
    <w:rsid w:val="008223F6"/>
    <w:rsid w:val="0082271B"/>
    <w:rsid w:val="00822DA6"/>
    <w:rsid w:val="00823E03"/>
    <w:rsid w:val="0083131E"/>
    <w:rsid w:val="00835017"/>
    <w:rsid w:val="008353BF"/>
    <w:rsid w:val="00835906"/>
    <w:rsid w:val="00835DA5"/>
    <w:rsid w:val="00837D86"/>
    <w:rsid w:val="00840222"/>
    <w:rsid w:val="0084170B"/>
    <w:rsid w:val="00842777"/>
    <w:rsid w:val="0084486E"/>
    <w:rsid w:val="00845836"/>
    <w:rsid w:val="00850030"/>
    <w:rsid w:val="008514E9"/>
    <w:rsid w:val="00851B39"/>
    <w:rsid w:val="008542CE"/>
    <w:rsid w:val="00861343"/>
    <w:rsid w:val="00864A11"/>
    <w:rsid w:val="00864DC6"/>
    <w:rsid w:val="0086556F"/>
    <w:rsid w:val="00867650"/>
    <w:rsid w:val="00872E79"/>
    <w:rsid w:val="008754C8"/>
    <w:rsid w:val="0087637A"/>
    <w:rsid w:val="008767EA"/>
    <w:rsid w:val="00877AAF"/>
    <w:rsid w:val="00881C66"/>
    <w:rsid w:val="008822CB"/>
    <w:rsid w:val="00883A05"/>
    <w:rsid w:val="00886096"/>
    <w:rsid w:val="00891972"/>
    <w:rsid w:val="00893765"/>
    <w:rsid w:val="008A0551"/>
    <w:rsid w:val="008A1766"/>
    <w:rsid w:val="008A2954"/>
    <w:rsid w:val="008A6AAE"/>
    <w:rsid w:val="008B2071"/>
    <w:rsid w:val="008B5D99"/>
    <w:rsid w:val="008B63D4"/>
    <w:rsid w:val="008B780B"/>
    <w:rsid w:val="008C0078"/>
    <w:rsid w:val="008C25AB"/>
    <w:rsid w:val="008C33F9"/>
    <w:rsid w:val="008C4312"/>
    <w:rsid w:val="008C5005"/>
    <w:rsid w:val="008C54C8"/>
    <w:rsid w:val="008D3D39"/>
    <w:rsid w:val="008D6BA0"/>
    <w:rsid w:val="008E44D4"/>
    <w:rsid w:val="008F0F37"/>
    <w:rsid w:val="00911031"/>
    <w:rsid w:val="009163B2"/>
    <w:rsid w:val="0091787B"/>
    <w:rsid w:val="009217CF"/>
    <w:rsid w:val="009223BE"/>
    <w:rsid w:val="00922FE1"/>
    <w:rsid w:val="00932C59"/>
    <w:rsid w:val="009468CF"/>
    <w:rsid w:val="00946DBA"/>
    <w:rsid w:val="00947542"/>
    <w:rsid w:val="00952587"/>
    <w:rsid w:val="00955C79"/>
    <w:rsid w:val="0096174E"/>
    <w:rsid w:val="00961FAE"/>
    <w:rsid w:val="0096416D"/>
    <w:rsid w:val="00964B63"/>
    <w:rsid w:val="009664E5"/>
    <w:rsid w:val="00966DF2"/>
    <w:rsid w:val="009716EC"/>
    <w:rsid w:val="0097281D"/>
    <w:rsid w:val="00976448"/>
    <w:rsid w:val="009823B4"/>
    <w:rsid w:val="00983DE9"/>
    <w:rsid w:val="0098514B"/>
    <w:rsid w:val="00987457"/>
    <w:rsid w:val="0099071A"/>
    <w:rsid w:val="00990CF7"/>
    <w:rsid w:val="009926E7"/>
    <w:rsid w:val="00995159"/>
    <w:rsid w:val="0099530B"/>
    <w:rsid w:val="009C346B"/>
    <w:rsid w:val="009D64A6"/>
    <w:rsid w:val="009D6D5B"/>
    <w:rsid w:val="009E39AC"/>
    <w:rsid w:val="009E439F"/>
    <w:rsid w:val="009E5EE1"/>
    <w:rsid w:val="009F13CE"/>
    <w:rsid w:val="009F22DB"/>
    <w:rsid w:val="009F501C"/>
    <w:rsid w:val="009F69CC"/>
    <w:rsid w:val="009F72FD"/>
    <w:rsid w:val="00A004BD"/>
    <w:rsid w:val="00A10F22"/>
    <w:rsid w:val="00A15D1F"/>
    <w:rsid w:val="00A16029"/>
    <w:rsid w:val="00A20735"/>
    <w:rsid w:val="00A23E50"/>
    <w:rsid w:val="00A24CA6"/>
    <w:rsid w:val="00A25551"/>
    <w:rsid w:val="00A26085"/>
    <w:rsid w:val="00A26D3D"/>
    <w:rsid w:val="00A27E0A"/>
    <w:rsid w:val="00A420A7"/>
    <w:rsid w:val="00A42FDA"/>
    <w:rsid w:val="00A44398"/>
    <w:rsid w:val="00A453A7"/>
    <w:rsid w:val="00A4549F"/>
    <w:rsid w:val="00A45949"/>
    <w:rsid w:val="00A45B97"/>
    <w:rsid w:val="00A51693"/>
    <w:rsid w:val="00A54A8B"/>
    <w:rsid w:val="00A57992"/>
    <w:rsid w:val="00A67E9D"/>
    <w:rsid w:val="00A70513"/>
    <w:rsid w:val="00A725E7"/>
    <w:rsid w:val="00A72FD7"/>
    <w:rsid w:val="00A7321D"/>
    <w:rsid w:val="00A74960"/>
    <w:rsid w:val="00A8074A"/>
    <w:rsid w:val="00A81A25"/>
    <w:rsid w:val="00A837F7"/>
    <w:rsid w:val="00A90914"/>
    <w:rsid w:val="00A91FF2"/>
    <w:rsid w:val="00A9613C"/>
    <w:rsid w:val="00A9799B"/>
    <w:rsid w:val="00AA19A3"/>
    <w:rsid w:val="00AA208A"/>
    <w:rsid w:val="00AB0DCA"/>
    <w:rsid w:val="00AB13C9"/>
    <w:rsid w:val="00AB2B6C"/>
    <w:rsid w:val="00AB388D"/>
    <w:rsid w:val="00AB7B31"/>
    <w:rsid w:val="00AC07D1"/>
    <w:rsid w:val="00AC0995"/>
    <w:rsid w:val="00AC247A"/>
    <w:rsid w:val="00AC7E2F"/>
    <w:rsid w:val="00AD0AC1"/>
    <w:rsid w:val="00AD549F"/>
    <w:rsid w:val="00AD560F"/>
    <w:rsid w:val="00AD5E94"/>
    <w:rsid w:val="00AD63D5"/>
    <w:rsid w:val="00AD66B8"/>
    <w:rsid w:val="00AE1809"/>
    <w:rsid w:val="00AE46BC"/>
    <w:rsid w:val="00AE7DE6"/>
    <w:rsid w:val="00AE7E9F"/>
    <w:rsid w:val="00AF7456"/>
    <w:rsid w:val="00B0056E"/>
    <w:rsid w:val="00B0366D"/>
    <w:rsid w:val="00B042D3"/>
    <w:rsid w:val="00B06813"/>
    <w:rsid w:val="00B12489"/>
    <w:rsid w:val="00B128B3"/>
    <w:rsid w:val="00B16678"/>
    <w:rsid w:val="00B1719D"/>
    <w:rsid w:val="00B25404"/>
    <w:rsid w:val="00B26050"/>
    <w:rsid w:val="00B2633A"/>
    <w:rsid w:val="00B309ED"/>
    <w:rsid w:val="00B31BCE"/>
    <w:rsid w:val="00B33AF6"/>
    <w:rsid w:val="00B34439"/>
    <w:rsid w:val="00B36553"/>
    <w:rsid w:val="00B36815"/>
    <w:rsid w:val="00B42C8A"/>
    <w:rsid w:val="00B452F7"/>
    <w:rsid w:val="00B4576F"/>
    <w:rsid w:val="00B47327"/>
    <w:rsid w:val="00B51849"/>
    <w:rsid w:val="00B55A6E"/>
    <w:rsid w:val="00B6412B"/>
    <w:rsid w:val="00B66C3D"/>
    <w:rsid w:val="00B70512"/>
    <w:rsid w:val="00B733B7"/>
    <w:rsid w:val="00B7426A"/>
    <w:rsid w:val="00B766CE"/>
    <w:rsid w:val="00B77F88"/>
    <w:rsid w:val="00B80072"/>
    <w:rsid w:val="00B8021C"/>
    <w:rsid w:val="00B81279"/>
    <w:rsid w:val="00B82BD6"/>
    <w:rsid w:val="00B85FBB"/>
    <w:rsid w:val="00B8620A"/>
    <w:rsid w:val="00B87BE1"/>
    <w:rsid w:val="00B948F6"/>
    <w:rsid w:val="00BA29AE"/>
    <w:rsid w:val="00BA35A6"/>
    <w:rsid w:val="00BA4031"/>
    <w:rsid w:val="00BA4323"/>
    <w:rsid w:val="00BA6EA9"/>
    <w:rsid w:val="00BB0ECF"/>
    <w:rsid w:val="00BB30EE"/>
    <w:rsid w:val="00BB5AD1"/>
    <w:rsid w:val="00BB74F2"/>
    <w:rsid w:val="00BC29B5"/>
    <w:rsid w:val="00BC2EA5"/>
    <w:rsid w:val="00BC3ACF"/>
    <w:rsid w:val="00BC455D"/>
    <w:rsid w:val="00BC4BC7"/>
    <w:rsid w:val="00BC6FB8"/>
    <w:rsid w:val="00BD162C"/>
    <w:rsid w:val="00BD1DD5"/>
    <w:rsid w:val="00BD60FC"/>
    <w:rsid w:val="00BE362C"/>
    <w:rsid w:val="00BE3F1A"/>
    <w:rsid w:val="00BE4463"/>
    <w:rsid w:val="00BE57AD"/>
    <w:rsid w:val="00BE6223"/>
    <w:rsid w:val="00BF25F9"/>
    <w:rsid w:val="00BF2D19"/>
    <w:rsid w:val="00BF33DD"/>
    <w:rsid w:val="00BF3717"/>
    <w:rsid w:val="00BF519E"/>
    <w:rsid w:val="00BF6DA9"/>
    <w:rsid w:val="00C04DFB"/>
    <w:rsid w:val="00C076F4"/>
    <w:rsid w:val="00C07863"/>
    <w:rsid w:val="00C10A4C"/>
    <w:rsid w:val="00C118ED"/>
    <w:rsid w:val="00C12569"/>
    <w:rsid w:val="00C149E1"/>
    <w:rsid w:val="00C15A9E"/>
    <w:rsid w:val="00C17DF9"/>
    <w:rsid w:val="00C20C94"/>
    <w:rsid w:val="00C214C4"/>
    <w:rsid w:val="00C23729"/>
    <w:rsid w:val="00C25227"/>
    <w:rsid w:val="00C26492"/>
    <w:rsid w:val="00C332C7"/>
    <w:rsid w:val="00C37D84"/>
    <w:rsid w:val="00C41010"/>
    <w:rsid w:val="00C41424"/>
    <w:rsid w:val="00C4412D"/>
    <w:rsid w:val="00C46985"/>
    <w:rsid w:val="00C4745B"/>
    <w:rsid w:val="00C5133A"/>
    <w:rsid w:val="00C534AD"/>
    <w:rsid w:val="00C53E73"/>
    <w:rsid w:val="00C54CA4"/>
    <w:rsid w:val="00C6126F"/>
    <w:rsid w:val="00C621C9"/>
    <w:rsid w:val="00C62D73"/>
    <w:rsid w:val="00C70733"/>
    <w:rsid w:val="00C815E9"/>
    <w:rsid w:val="00C84084"/>
    <w:rsid w:val="00C926EF"/>
    <w:rsid w:val="00CA0591"/>
    <w:rsid w:val="00CA13EA"/>
    <w:rsid w:val="00CA1576"/>
    <w:rsid w:val="00CA2F4D"/>
    <w:rsid w:val="00CA44E5"/>
    <w:rsid w:val="00CA5E5E"/>
    <w:rsid w:val="00CA7001"/>
    <w:rsid w:val="00CA7CF3"/>
    <w:rsid w:val="00CB0AE8"/>
    <w:rsid w:val="00CB499D"/>
    <w:rsid w:val="00CB71A2"/>
    <w:rsid w:val="00CC0DCE"/>
    <w:rsid w:val="00CC0E1C"/>
    <w:rsid w:val="00CC2742"/>
    <w:rsid w:val="00CC3732"/>
    <w:rsid w:val="00CD1B4C"/>
    <w:rsid w:val="00CD1C3B"/>
    <w:rsid w:val="00CD309D"/>
    <w:rsid w:val="00CD4956"/>
    <w:rsid w:val="00CD499F"/>
    <w:rsid w:val="00CD4FC6"/>
    <w:rsid w:val="00CD62EE"/>
    <w:rsid w:val="00CD734D"/>
    <w:rsid w:val="00CE5B10"/>
    <w:rsid w:val="00CE7FA0"/>
    <w:rsid w:val="00CF1A7A"/>
    <w:rsid w:val="00CF2946"/>
    <w:rsid w:val="00CF3538"/>
    <w:rsid w:val="00CF5FF3"/>
    <w:rsid w:val="00CF63CA"/>
    <w:rsid w:val="00CF7897"/>
    <w:rsid w:val="00D04280"/>
    <w:rsid w:val="00D079FF"/>
    <w:rsid w:val="00D108D8"/>
    <w:rsid w:val="00D1331C"/>
    <w:rsid w:val="00D23241"/>
    <w:rsid w:val="00D23427"/>
    <w:rsid w:val="00D25ABA"/>
    <w:rsid w:val="00D30DC0"/>
    <w:rsid w:val="00D322F3"/>
    <w:rsid w:val="00D3506F"/>
    <w:rsid w:val="00D36F74"/>
    <w:rsid w:val="00D37010"/>
    <w:rsid w:val="00D40D3C"/>
    <w:rsid w:val="00D43F35"/>
    <w:rsid w:val="00D446ED"/>
    <w:rsid w:val="00D44D21"/>
    <w:rsid w:val="00D45C8D"/>
    <w:rsid w:val="00D4686B"/>
    <w:rsid w:val="00D52902"/>
    <w:rsid w:val="00D533BF"/>
    <w:rsid w:val="00D61C7C"/>
    <w:rsid w:val="00D6225B"/>
    <w:rsid w:val="00D6508B"/>
    <w:rsid w:val="00D66307"/>
    <w:rsid w:val="00D730CB"/>
    <w:rsid w:val="00D739D4"/>
    <w:rsid w:val="00D77666"/>
    <w:rsid w:val="00D81E19"/>
    <w:rsid w:val="00D83B54"/>
    <w:rsid w:val="00D87688"/>
    <w:rsid w:val="00D876D4"/>
    <w:rsid w:val="00D9163E"/>
    <w:rsid w:val="00D9392C"/>
    <w:rsid w:val="00D9455D"/>
    <w:rsid w:val="00DA34D1"/>
    <w:rsid w:val="00DA78CC"/>
    <w:rsid w:val="00DB001E"/>
    <w:rsid w:val="00DB26C3"/>
    <w:rsid w:val="00DB7399"/>
    <w:rsid w:val="00DC02EB"/>
    <w:rsid w:val="00DC158B"/>
    <w:rsid w:val="00DC1E02"/>
    <w:rsid w:val="00DC1F3D"/>
    <w:rsid w:val="00DC39CE"/>
    <w:rsid w:val="00DC44D4"/>
    <w:rsid w:val="00DC629F"/>
    <w:rsid w:val="00DC6C2F"/>
    <w:rsid w:val="00DD030B"/>
    <w:rsid w:val="00DD1CAE"/>
    <w:rsid w:val="00DD3A42"/>
    <w:rsid w:val="00DD4D6E"/>
    <w:rsid w:val="00DD7587"/>
    <w:rsid w:val="00DD79C1"/>
    <w:rsid w:val="00DE7F88"/>
    <w:rsid w:val="00DF5889"/>
    <w:rsid w:val="00E012D5"/>
    <w:rsid w:val="00E05F27"/>
    <w:rsid w:val="00E06BC2"/>
    <w:rsid w:val="00E1085D"/>
    <w:rsid w:val="00E1251B"/>
    <w:rsid w:val="00E17327"/>
    <w:rsid w:val="00E23F18"/>
    <w:rsid w:val="00E25C74"/>
    <w:rsid w:val="00E30297"/>
    <w:rsid w:val="00E32BF8"/>
    <w:rsid w:val="00E33D2E"/>
    <w:rsid w:val="00E34920"/>
    <w:rsid w:val="00E34CC5"/>
    <w:rsid w:val="00E37576"/>
    <w:rsid w:val="00E41862"/>
    <w:rsid w:val="00E41AA8"/>
    <w:rsid w:val="00E41D46"/>
    <w:rsid w:val="00E43FA8"/>
    <w:rsid w:val="00E455CF"/>
    <w:rsid w:val="00E53109"/>
    <w:rsid w:val="00E57B68"/>
    <w:rsid w:val="00E65A10"/>
    <w:rsid w:val="00E662BD"/>
    <w:rsid w:val="00E70308"/>
    <w:rsid w:val="00E80902"/>
    <w:rsid w:val="00E82137"/>
    <w:rsid w:val="00E91875"/>
    <w:rsid w:val="00E91C74"/>
    <w:rsid w:val="00EA0D6F"/>
    <w:rsid w:val="00EA15CB"/>
    <w:rsid w:val="00EA4227"/>
    <w:rsid w:val="00EA651C"/>
    <w:rsid w:val="00EA7E61"/>
    <w:rsid w:val="00EB118F"/>
    <w:rsid w:val="00EC50AE"/>
    <w:rsid w:val="00EC5BBA"/>
    <w:rsid w:val="00ED08F7"/>
    <w:rsid w:val="00EE0685"/>
    <w:rsid w:val="00EE389C"/>
    <w:rsid w:val="00EE4975"/>
    <w:rsid w:val="00EE5AFB"/>
    <w:rsid w:val="00EF04C3"/>
    <w:rsid w:val="00EF0901"/>
    <w:rsid w:val="00EF441C"/>
    <w:rsid w:val="00EF50A5"/>
    <w:rsid w:val="00EF5371"/>
    <w:rsid w:val="00F0068C"/>
    <w:rsid w:val="00F02B5C"/>
    <w:rsid w:val="00F0614C"/>
    <w:rsid w:val="00F06290"/>
    <w:rsid w:val="00F17097"/>
    <w:rsid w:val="00F17AA5"/>
    <w:rsid w:val="00F21500"/>
    <w:rsid w:val="00F256AB"/>
    <w:rsid w:val="00F256AE"/>
    <w:rsid w:val="00F26ED4"/>
    <w:rsid w:val="00F304E4"/>
    <w:rsid w:val="00F3659E"/>
    <w:rsid w:val="00F41851"/>
    <w:rsid w:val="00F42240"/>
    <w:rsid w:val="00F54AEF"/>
    <w:rsid w:val="00F54B75"/>
    <w:rsid w:val="00F611EB"/>
    <w:rsid w:val="00F67FEA"/>
    <w:rsid w:val="00F741F1"/>
    <w:rsid w:val="00F76CAA"/>
    <w:rsid w:val="00F80070"/>
    <w:rsid w:val="00F85C6B"/>
    <w:rsid w:val="00F90980"/>
    <w:rsid w:val="00F91A11"/>
    <w:rsid w:val="00F95429"/>
    <w:rsid w:val="00F957C4"/>
    <w:rsid w:val="00FA5748"/>
    <w:rsid w:val="00FA6EB8"/>
    <w:rsid w:val="00FA7997"/>
    <w:rsid w:val="00FA7FE3"/>
    <w:rsid w:val="00FB1954"/>
    <w:rsid w:val="00FB2607"/>
    <w:rsid w:val="00FB2C85"/>
    <w:rsid w:val="00FC2C9A"/>
    <w:rsid w:val="00FC5906"/>
    <w:rsid w:val="00FC63F8"/>
    <w:rsid w:val="00FD049D"/>
    <w:rsid w:val="00FD53B5"/>
    <w:rsid w:val="00FE5363"/>
    <w:rsid w:val="00FE77A6"/>
    <w:rsid w:val="00FF0BCD"/>
    <w:rsid w:val="00FF24B8"/>
    <w:rsid w:val="00FF292C"/>
    <w:rsid w:val="00FF2C12"/>
    <w:rsid w:val="00FF4578"/>
    <w:rsid w:val="00FF6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00364E"/>
  <w15:chartTrackingRefBased/>
  <w15:docId w15:val="{C1C4D0D3-298B-47CD-AE48-965DB468F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FE1"/>
  </w:style>
  <w:style w:type="paragraph" w:styleId="Heading1">
    <w:name w:val="heading 1"/>
    <w:basedOn w:val="Normal"/>
    <w:next w:val="Normal"/>
    <w:link w:val="Heading1Char"/>
    <w:uiPriority w:val="9"/>
    <w:qFormat/>
    <w:rsid w:val="007425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5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5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5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5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5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5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5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5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5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25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25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25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5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5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5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5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584"/>
    <w:rPr>
      <w:rFonts w:eastAsiaTheme="majorEastAsia" w:cstheme="majorBidi"/>
      <w:color w:val="272727" w:themeColor="text1" w:themeTint="D8"/>
    </w:rPr>
  </w:style>
  <w:style w:type="paragraph" w:styleId="Title">
    <w:name w:val="Title"/>
    <w:basedOn w:val="Normal"/>
    <w:next w:val="Normal"/>
    <w:link w:val="TitleChar"/>
    <w:uiPriority w:val="10"/>
    <w:qFormat/>
    <w:rsid w:val="007425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5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5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5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584"/>
    <w:pPr>
      <w:spacing w:before="160"/>
      <w:jc w:val="center"/>
    </w:pPr>
    <w:rPr>
      <w:i/>
      <w:iCs/>
      <w:color w:val="404040" w:themeColor="text1" w:themeTint="BF"/>
    </w:rPr>
  </w:style>
  <w:style w:type="character" w:customStyle="1" w:styleId="QuoteChar">
    <w:name w:val="Quote Char"/>
    <w:basedOn w:val="DefaultParagraphFont"/>
    <w:link w:val="Quote"/>
    <w:uiPriority w:val="29"/>
    <w:rsid w:val="00742584"/>
    <w:rPr>
      <w:i/>
      <w:iCs/>
      <w:color w:val="404040" w:themeColor="text1" w:themeTint="BF"/>
    </w:rPr>
  </w:style>
  <w:style w:type="paragraph" w:styleId="ListParagraph">
    <w:name w:val="List Paragraph"/>
    <w:basedOn w:val="Normal"/>
    <w:uiPriority w:val="34"/>
    <w:qFormat/>
    <w:rsid w:val="00742584"/>
    <w:pPr>
      <w:ind w:left="720"/>
      <w:contextualSpacing/>
    </w:pPr>
  </w:style>
  <w:style w:type="character" w:styleId="IntenseEmphasis">
    <w:name w:val="Intense Emphasis"/>
    <w:basedOn w:val="DefaultParagraphFont"/>
    <w:uiPriority w:val="21"/>
    <w:qFormat/>
    <w:rsid w:val="00742584"/>
    <w:rPr>
      <w:i/>
      <w:iCs/>
      <w:color w:val="0F4761" w:themeColor="accent1" w:themeShade="BF"/>
    </w:rPr>
  </w:style>
  <w:style w:type="paragraph" w:styleId="IntenseQuote">
    <w:name w:val="Intense Quote"/>
    <w:basedOn w:val="Normal"/>
    <w:next w:val="Normal"/>
    <w:link w:val="IntenseQuoteChar"/>
    <w:uiPriority w:val="30"/>
    <w:qFormat/>
    <w:rsid w:val="007425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584"/>
    <w:rPr>
      <w:i/>
      <w:iCs/>
      <w:color w:val="0F4761" w:themeColor="accent1" w:themeShade="BF"/>
    </w:rPr>
  </w:style>
  <w:style w:type="character" w:styleId="IntenseReference">
    <w:name w:val="Intense Reference"/>
    <w:basedOn w:val="DefaultParagraphFont"/>
    <w:uiPriority w:val="32"/>
    <w:qFormat/>
    <w:rsid w:val="00742584"/>
    <w:rPr>
      <w:b/>
      <w:bCs/>
      <w:smallCaps/>
      <w:color w:val="0F4761" w:themeColor="accent1" w:themeShade="BF"/>
      <w:spacing w:val="5"/>
    </w:rPr>
  </w:style>
  <w:style w:type="character" w:styleId="Hyperlink">
    <w:name w:val="Hyperlink"/>
    <w:basedOn w:val="DefaultParagraphFont"/>
    <w:uiPriority w:val="99"/>
    <w:unhideWhenUsed/>
    <w:rsid w:val="00AA19A3"/>
    <w:rPr>
      <w:color w:val="467886" w:themeColor="hyperlink"/>
      <w:u w:val="single"/>
    </w:rPr>
  </w:style>
  <w:style w:type="character" w:styleId="UnresolvedMention">
    <w:name w:val="Unresolved Mention"/>
    <w:basedOn w:val="DefaultParagraphFont"/>
    <w:uiPriority w:val="99"/>
    <w:semiHidden/>
    <w:unhideWhenUsed/>
    <w:rsid w:val="00AA19A3"/>
    <w:rPr>
      <w:color w:val="605E5C"/>
      <w:shd w:val="clear" w:color="auto" w:fill="E1DFDD"/>
    </w:rPr>
  </w:style>
  <w:style w:type="character" w:styleId="FollowedHyperlink">
    <w:name w:val="FollowedHyperlink"/>
    <w:basedOn w:val="DefaultParagraphFont"/>
    <w:uiPriority w:val="99"/>
    <w:semiHidden/>
    <w:unhideWhenUsed/>
    <w:rsid w:val="00D44D21"/>
    <w:rPr>
      <w:color w:val="96607D" w:themeColor="followedHyperlink"/>
      <w:u w:val="single"/>
    </w:rPr>
  </w:style>
  <w:style w:type="paragraph" w:styleId="Header">
    <w:name w:val="header"/>
    <w:basedOn w:val="Normal"/>
    <w:link w:val="HeaderChar"/>
    <w:uiPriority w:val="99"/>
    <w:unhideWhenUsed/>
    <w:rsid w:val="00FF2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C12"/>
  </w:style>
  <w:style w:type="paragraph" w:styleId="Footer">
    <w:name w:val="footer"/>
    <w:basedOn w:val="Normal"/>
    <w:link w:val="FooterChar"/>
    <w:uiPriority w:val="99"/>
    <w:unhideWhenUsed/>
    <w:rsid w:val="00FF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C12"/>
  </w:style>
  <w:style w:type="character" w:styleId="CommentReference">
    <w:name w:val="annotation reference"/>
    <w:basedOn w:val="DefaultParagraphFont"/>
    <w:uiPriority w:val="99"/>
    <w:semiHidden/>
    <w:unhideWhenUsed/>
    <w:rsid w:val="00692944"/>
    <w:rPr>
      <w:sz w:val="16"/>
      <w:szCs w:val="16"/>
    </w:rPr>
  </w:style>
  <w:style w:type="paragraph" w:styleId="CommentText">
    <w:name w:val="annotation text"/>
    <w:basedOn w:val="Normal"/>
    <w:link w:val="CommentTextChar"/>
    <w:uiPriority w:val="99"/>
    <w:unhideWhenUsed/>
    <w:rsid w:val="00692944"/>
    <w:pPr>
      <w:spacing w:line="240" w:lineRule="auto"/>
    </w:pPr>
    <w:rPr>
      <w:sz w:val="20"/>
      <w:szCs w:val="20"/>
    </w:rPr>
  </w:style>
  <w:style w:type="character" w:customStyle="1" w:styleId="CommentTextChar">
    <w:name w:val="Comment Text Char"/>
    <w:basedOn w:val="DefaultParagraphFont"/>
    <w:link w:val="CommentText"/>
    <w:uiPriority w:val="99"/>
    <w:rsid w:val="00692944"/>
    <w:rPr>
      <w:sz w:val="20"/>
      <w:szCs w:val="20"/>
    </w:rPr>
  </w:style>
  <w:style w:type="paragraph" w:styleId="CommentSubject">
    <w:name w:val="annotation subject"/>
    <w:basedOn w:val="CommentText"/>
    <w:next w:val="CommentText"/>
    <w:link w:val="CommentSubjectChar"/>
    <w:uiPriority w:val="99"/>
    <w:semiHidden/>
    <w:unhideWhenUsed/>
    <w:rsid w:val="00692944"/>
    <w:rPr>
      <w:b/>
      <w:bCs/>
    </w:rPr>
  </w:style>
  <w:style w:type="character" w:customStyle="1" w:styleId="CommentSubjectChar">
    <w:name w:val="Comment Subject Char"/>
    <w:basedOn w:val="CommentTextChar"/>
    <w:link w:val="CommentSubject"/>
    <w:uiPriority w:val="99"/>
    <w:semiHidden/>
    <w:rsid w:val="0069294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4613">
      <w:bodyDiv w:val="1"/>
      <w:marLeft w:val="0"/>
      <w:marRight w:val="0"/>
      <w:marTop w:val="0"/>
      <w:marBottom w:val="0"/>
      <w:divBdr>
        <w:top w:val="none" w:sz="0" w:space="0" w:color="auto"/>
        <w:left w:val="none" w:sz="0" w:space="0" w:color="auto"/>
        <w:bottom w:val="none" w:sz="0" w:space="0" w:color="auto"/>
        <w:right w:val="none" w:sz="0" w:space="0" w:color="auto"/>
      </w:divBdr>
    </w:div>
    <w:div w:id="16779616">
      <w:bodyDiv w:val="1"/>
      <w:marLeft w:val="0"/>
      <w:marRight w:val="0"/>
      <w:marTop w:val="0"/>
      <w:marBottom w:val="0"/>
      <w:divBdr>
        <w:top w:val="none" w:sz="0" w:space="0" w:color="auto"/>
        <w:left w:val="none" w:sz="0" w:space="0" w:color="auto"/>
        <w:bottom w:val="none" w:sz="0" w:space="0" w:color="auto"/>
        <w:right w:val="none" w:sz="0" w:space="0" w:color="auto"/>
      </w:divBdr>
    </w:div>
    <w:div w:id="42871208">
      <w:bodyDiv w:val="1"/>
      <w:marLeft w:val="0"/>
      <w:marRight w:val="0"/>
      <w:marTop w:val="0"/>
      <w:marBottom w:val="0"/>
      <w:divBdr>
        <w:top w:val="none" w:sz="0" w:space="0" w:color="auto"/>
        <w:left w:val="none" w:sz="0" w:space="0" w:color="auto"/>
        <w:bottom w:val="none" w:sz="0" w:space="0" w:color="auto"/>
        <w:right w:val="none" w:sz="0" w:space="0" w:color="auto"/>
      </w:divBdr>
    </w:div>
    <w:div w:id="49575838">
      <w:bodyDiv w:val="1"/>
      <w:marLeft w:val="0"/>
      <w:marRight w:val="0"/>
      <w:marTop w:val="0"/>
      <w:marBottom w:val="0"/>
      <w:divBdr>
        <w:top w:val="none" w:sz="0" w:space="0" w:color="auto"/>
        <w:left w:val="none" w:sz="0" w:space="0" w:color="auto"/>
        <w:bottom w:val="none" w:sz="0" w:space="0" w:color="auto"/>
        <w:right w:val="none" w:sz="0" w:space="0" w:color="auto"/>
      </w:divBdr>
    </w:div>
    <w:div w:id="61635484">
      <w:bodyDiv w:val="1"/>
      <w:marLeft w:val="0"/>
      <w:marRight w:val="0"/>
      <w:marTop w:val="0"/>
      <w:marBottom w:val="0"/>
      <w:divBdr>
        <w:top w:val="none" w:sz="0" w:space="0" w:color="auto"/>
        <w:left w:val="none" w:sz="0" w:space="0" w:color="auto"/>
        <w:bottom w:val="none" w:sz="0" w:space="0" w:color="auto"/>
        <w:right w:val="none" w:sz="0" w:space="0" w:color="auto"/>
      </w:divBdr>
    </w:div>
    <w:div w:id="63574101">
      <w:bodyDiv w:val="1"/>
      <w:marLeft w:val="0"/>
      <w:marRight w:val="0"/>
      <w:marTop w:val="0"/>
      <w:marBottom w:val="0"/>
      <w:divBdr>
        <w:top w:val="none" w:sz="0" w:space="0" w:color="auto"/>
        <w:left w:val="none" w:sz="0" w:space="0" w:color="auto"/>
        <w:bottom w:val="none" w:sz="0" w:space="0" w:color="auto"/>
        <w:right w:val="none" w:sz="0" w:space="0" w:color="auto"/>
      </w:divBdr>
    </w:div>
    <w:div w:id="71007546">
      <w:bodyDiv w:val="1"/>
      <w:marLeft w:val="0"/>
      <w:marRight w:val="0"/>
      <w:marTop w:val="0"/>
      <w:marBottom w:val="0"/>
      <w:divBdr>
        <w:top w:val="none" w:sz="0" w:space="0" w:color="auto"/>
        <w:left w:val="none" w:sz="0" w:space="0" w:color="auto"/>
        <w:bottom w:val="none" w:sz="0" w:space="0" w:color="auto"/>
        <w:right w:val="none" w:sz="0" w:space="0" w:color="auto"/>
      </w:divBdr>
    </w:div>
    <w:div w:id="80683755">
      <w:bodyDiv w:val="1"/>
      <w:marLeft w:val="0"/>
      <w:marRight w:val="0"/>
      <w:marTop w:val="0"/>
      <w:marBottom w:val="0"/>
      <w:divBdr>
        <w:top w:val="none" w:sz="0" w:space="0" w:color="auto"/>
        <w:left w:val="none" w:sz="0" w:space="0" w:color="auto"/>
        <w:bottom w:val="none" w:sz="0" w:space="0" w:color="auto"/>
        <w:right w:val="none" w:sz="0" w:space="0" w:color="auto"/>
      </w:divBdr>
    </w:div>
    <w:div w:id="87047437">
      <w:bodyDiv w:val="1"/>
      <w:marLeft w:val="0"/>
      <w:marRight w:val="0"/>
      <w:marTop w:val="0"/>
      <w:marBottom w:val="0"/>
      <w:divBdr>
        <w:top w:val="none" w:sz="0" w:space="0" w:color="auto"/>
        <w:left w:val="none" w:sz="0" w:space="0" w:color="auto"/>
        <w:bottom w:val="none" w:sz="0" w:space="0" w:color="auto"/>
        <w:right w:val="none" w:sz="0" w:space="0" w:color="auto"/>
      </w:divBdr>
    </w:div>
    <w:div w:id="122845709">
      <w:bodyDiv w:val="1"/>
      <w:marLeft w:val="0"/>
      <w:marRight w:val="0"/>
      <w:marTop w:val="0"/>
      <w:marBottom w:val="0"/>
      <w:divBdr>
        <w:top w:val="none" w:sz="0" w:space="0" w:color="auto"/>
        <w:left w:val="none" w:sz="0" w:space="0" w:color="auto"/>
        <w:bottom w:val="none" w:sz="0" w:space="0" w:color="auto"/>
        <w:right w:val="none" w:sz="0" w:space="0" w:color="auto"/>
      </w:divBdr>
      <w:divsChild>
        <w:div w:id="1963655668">
          <w:marLeft w:val="0"/>
          <w:marRight w:val="0"/>
          <w:marTop w:val="0"/>
          <w:marBottom w:val="0"/>
          <w:divBdr>
            <w:top w:val="none" w:sz="0" w:space="0" w:color="auto"/>
            <w:left w:val="none" w:sz="0" w:space="0" w:color="auto"/>
            <w:bottom w:val="none" w:sz="0" w:space="0" w:color="auto"/>
            <w:right w:val="none" w:sz="0" w:space="0" w:color="auto"/>
          </w:divBdr>
        </w:div>
      </w:divsChild>
    </w:div>
    <w:div w:id="128473966">
      <w:bodyDiv w:val="1"/>
      <w:marLeft w:val="0"/>
      <w:marRight w:val="0"/>
      <w:marTop w:val="0"/>
      <w:marBottom w:val="0"/>
      <w:divBdr>
        <w:top w:val="none" w:sz="0" w:space="0" w:color="auto"/>
        <w:left w:val="none" w:sz="0" w:space="0" w:color="auto"/>
        <w:bottom w:val="none" w:sz="0" w:space="0" w:color="auto"/>
        <w:right w:val="none" w:sz="0" w:space="0" w:color="auto"/>
      </w:divBdr>
      <w:divsChild>
        <w:div w:id="1809584746">
          <w:marLeft w:val="0"/>
          <w:marRight w:val="0"/>
          <w:marTop w:val="0"/>
          <w:marBottom w:val="0"/>
          <w:divBdr>
            <w:top w:val="none" w:sz="0" w:space="0" w:color="auto"/>
            <w:left w:val="none" w:sz="0" w:space="0" w:color="auto"/>
            <w:bottom w:val="none" w:sz="0" w:space="0" w:color="auto"/>
            <w:right w:val="none" w:sz="0" w:space="0" w:color="auto"/>
          </w:divBdr>
        </w:div>
      </w:divsChild>
    </w:div>
    <w:div w:id="138890720">
      <w:bodyDiv w:val="1"/>
      <w:marLeft w:val="0"/>
      <w:marRight w:val="0"/>
      <w:marTop w:val="0"/>
      <w:marBottom w:val="0"/>
      <w:divBdr>
        <w:top w:val="none" w:sz="0" w:space="0" w:color="auto"/>
        <w:left w:val="none" w:sz="0" w:space="0" w:color="auto"/>
        <w:bottom w:val="none" w:sz="0" w:space="0" w:color="auto"/>
        <w:right w:val="none" w:sz="0" w:space="0" w:color="auto"/>
      </w:divBdr>
    </w:div>
    <w:div w:id="142814724">
      <w:bodyDiv w:val="1"/>
      <w:marLeft w:val="0"/>
      <w:marRight w:val="0"/>
      <w:marTop w:val="0"/>
      <w:marBottom w:val="0"/>
      <w:divBdr>
        <w:top w:val="none" w:sz="0" w:space="0" w:color="auto"/>
        <w:left w:val="none" w:sz="0" w:space="0" w:color="auto"/>
        <w:bottom w:val="none" w:sz="0" w:space="0" w:color="auto"/>
        <w:right w:val="none" w:sz="0" w:space="0" w:color="auto"/>
      </w:divBdr>
      <w:divsChild>
        <w:div w:id="161043128">
          <w:marLeft w:val="0"/>
          <w:marRight w:val="0"/>
          <w:marTop w:val="0"/>
          <w:marBottom w:val="0"/>
          <w:divBdr>
            <w:top w:val="none" w:sz="0" w:space="0" w:color="auto"/>
            <w:left w:val="none" w:sz="0" w:space="0" w:color="auto"/>
            <w:bottom w:val="none" w:sz="0" w:space="0" w:color="auto"/>
            <w:right w:val="none" w:sz="0" w:space="0" w:color="auto"/>
          </w:divBdr>
        </w:div>
      </w:divsChild>
    </w:div>
    <w:div w:id="147940806">
      <w:bodyDiv w:val="1"/>
      <w:marLeft w:val="0"/>
      <w:marRight w:val="0"/>
      <w:marTop w:val="0"/>
      <w:marBottom w:val="0"/>
      <w:divBdr>
        <w:top w:val="none" w:sz="0" w:space="0" w:color="auto"/>
        <w:left w:val="none" w:sz="0" w:space="0" w:color="auto"/>
        <w:bottom w:val="none" w:sz="0" w:space="0" w:color="auto"/>
        <w:right w:val="none" w:sz="0" w:space="0" w:color="auto"/>
      </w:divBdr>
    </w:div>
    <w:div w:id="151991898">
      <w:bodyDiv w:val="1"/>
      <w:marLeft w:val="0"/>
      <w:marRight w:val="0"/>
      <w:marTop w:val="0"/>
      <w:marBottom w:val="0"/>
      <w:divBdr>
        <w:top w:val="none" w:sz="0" w:space="0" w:color="auto"/>
        <w:left w:val="none" w:sz="0" w:space="0" w:color="auto"/>
        <w:bottom w:val="none" w:sz="0" w:space="0" w:color="auto"/>
        <w:right w:val="none" w:sz="0" w:space="0" w:color="auto"/>
      </w:divBdr>
    </w:div>
    <w:div w:id="182280689">
      <w:bodyDiv w:val="1"/>
      <w:marLeft w:val="0"/>
      <w:marRight w:val="0"/>
      <w:marTop w:val="0"/>
      <w:marBottom w:val="0"/>
      <w:divBdr>
        <w:top w:val="none" w:sz="0" w:space="0" w:color="auto"/>
        <w:left w:val="none" w:sz="0" w:space="0" w:color="auto"/>
        <w:bottom w:val="none" w:sz="0" w:space="0" w:color="auto"/>
        <w:right w:val="none" w:sz="0" w:space="0" w:color="auto"/>
      </w:divBdr>
    </w:div>
    <w:div w:id="194930078">
      <w:bodyDiv w:val="1"/>
      <w:marLeft w:val="0"/>
      <w:marRight w:val="0"/>
      <w:marTop w:val="0"/>
      <w:marBottom w:val="0"/>
      <w:divBdr>
        <w:top w:val="none" w:sz="0" w:space="0" w:color="auto"/>
        <w:left w:val="none" w:sz="0" w:space="0" w:color="auto"/>
        <w:bottom w:val="none" w:sz="0" w:space="0" w:color="auto"/>
        <w:right w:val="none" w:sz="0" w:space="0" w:color="auto"/>
      </w:divBdr>
    </w:div>
    <w:div w:id="213199462">
      <w:bodyDiv w:val="1"/>
      <w:marLeft w:val="0"/>
      <w:marRight w:val="0"/>
      <w:marTop w:val="0"/>
      <w:marBottom w:val="0"/>
      <w:divBdr>
        <w:top w:val="none" w:sz="0" w:space="0" w:color="auto"/>
        <w:left w:val="none" w:sz="0" w:space="0" w:color="auto"/>
        <w:bottom w:val="none" w:sz="0" w:space="0" w:color="auto"/>
        <w:right w:val="none" w:sz="0" w:space="0" w:color="auto"/>
      </w:divBdr>
    </w:div>
    <w:div w:id="232666977">
      <w:bodyDiv w:val="1"/>
      <w:marLeft w:val="0"/>
      <w:marRight w:val="0"/>
      <w:marTop w:val="0"/>
      <w:marBottom w:val="0"/>
      <w:divBdr>
        <w:top w:val="none" w:sz="0" w:space="0" w:color="auto"/>
        <w:left w:val="none" w:sz="0" w:space="0" w:color="auto"/>
        <w:bottom w:val="none" w:sz="0" w:space="0" w:color="auto"/>
        <w:right w:val="none" w:sz="0" w:space="0" w:color="auto"/>
      </w:divBdr>
      <w:divsChild>
        <w:div w:id="203105076">
          <w:marLeft w:val="0"/>
          <w:marRight w:val="0"/>
          <w:marTop w:val="0"/>
          <w:marBottom w:val="0"/>
          <w:divBdr>
            <w:top w:val="none" w:sz="0" w:space="0" w:color="auto"/>
            <w:left w:val="none" w:sz="0" w:space="0" w:color="auto"/>
            <w:bottom w:val="none" w:sz="0" w:space="0" w:color="auto"/>
            <w:right w:val="none" w:sz="0" w:space="0" w:color="auto"/>
          </w:divBdr>
          <w:divsChild>
            <w:div w:id="66397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826973">
      <w:bodyDiv w:val="1"/>
      <w:marLeft w:val="0"/>
      <w:marRight w:val="0"/>
      <w:marTop w:val="0"/>
      <w:marBottom w:val="0"/>
      <w:divBdr>
        <w:top w:val="none" w:sz="0" w:space="0" w:color="auto"/>
        <w:left w:val="none" w:sz="0" w:space="0" w:color="auto"/>
        <w:bottom w:val="none" w:sz="0" w:space="0" w:color="auto"/>
        <w:right w:val="none" w:sz="0" w:space="0" w:color="auto"/>
      </w:divBdr>
    </w:div>
    <w:div w:id="251938232">
      <w:bodyDiv w:val="1"/>
      <w:marLeft w:val="0"/>
      <w:marRight w:val="0"/>
      <w:marTop w:val="0"/>
      <w:marBottom w:val="0"/>
      <w:divBdr>
        <w:top w:val="none" w:sz="0" w:space="0" w:color="auto"/>
        <w:left w:val="none" w:sz="0" w:space="0" w:color="auto"/>
        <w:bottom w:val="none" w:sz="0" w:space="0" w:color="auto"/>
        <w:right w:val="none" w:sz="0" w:space="0" w:color="auto"/>
      </w:divBdr>
    </w:div>
    <w:div w:id="267929817">
      <w:bodyDiv w:val="1"/>
      <w:marLeft w:val="0"/>
      <w:marRight w:val="0"/>
      <w:marTop w:val="0"/>
      <w:marBottom w:val="0"/>
      <w:divBdr>
        <w:top w:val="none" w:sz="0" w:space="0" w:color="auto"/>
        <w:left w:val="none" w:sz="0" w:space="0" w:color="auto"/>
        <w:bottom w:val="none" w:sz="0" w:space="0" w:color="auto"/>
        <w:right w:val="none" w:sz="0" w:space="0" w:color="auto"/>
      </w:divBdr>
    </w:div>
    <w:div w:id="282738561">
      <w:bodyDiv w:val="1"/>
      <w:marLeft w:val="0"/>
      <w:marRight w:val="0"/>
      <w:marTop w:val="0"/>
      <w:marBottom w:val="0"/>
      <w:divBdr>
        <w:top w:val="none" w:sz="0" w:space="0" w:color="auto"/>
        <w:left w:val="none" w:sz="0" w:space="0" w:color="auto"/>
        <w:bottom w:val="none" w:sz="0" w:space="0" w:color="auto"/>
        <w:right w:val="none" w:sz="0" w:space="0" w:color="auto"/>
      </w:divBdr>
    </w:div>
    <w:div w:id="282928264">
      <w:bodyDiv w:val="1"/>
      <w:marLeft w:val="0"/>
      <w:marRight w:val="0"/>
      <w:marTop w:val="0"/>
      <w:marBottom w:val="0"/>
      <w:divBdr>
        <w:top w:val="none" w:sz="0" w:space="0" w:color="auto"/>
        <w:left w:val="none" w:sz="0" w:space="0" w:color="auto"/>
        <w:bottom w:val="none" w:sz="0" w:space="0" w:color="auto"/>
        <w:right w:val="none" w:sz="0" w:space="0" w:color="auto"/>
      </w:divBdr>
    </w:div>
    <w:div w:id="291332592">
      <w:bodyDiv w:val="1"/>
      <w:marLeft w:val="0"/>
      <w:marRight w:val="0"/>
      <w:marTop w:val="0"/>
      <w:marBottom w:val="0"/>
      <w:divBdr>
        <w:top w:val="none" w:sz="0" w:space="0" w:color="auto"/>
        <w:left w:val="none" w:sz="0" w:space="0" w:color="auto"/>
        <w:bottom w:val="none" w:sz="0" w:space="0" w:color="auto"/>
        <w:right w:val="none" w:sz="0" w:space="0" w:color="auto"/>
      </w:divBdr>
    </w:div>
    <w:div w:id="291639446">
      <w:bodyDiv w:val="1"/>
      <w:marLeft w:val="0"/>
      <w:marRight w:val="0"/>
      <w:marTop w:val="0"/>
      <w:marBottom w:val="0"/>
      <w:divBdr>
        <w:top w:val="none" w:sz="0" w:space="0" w:color="auto"/>
        <w:left w:val="none" w:sz="0" w:space="0" w:color="auto"/>
        <w:bottom w:val="none" w:sz="0" w:space="0" w:color="auto"/>
        <w:right w:val="none" w:sz="0" w:space="0" w:color="auto"/>
      </w:divBdr>
    </w:div>
    <w:div w:id="292369846">
      <w:bodyDiv w:val="1"/>
      <w:marLeft w:val="0"/>
      <w:marRight w:val="0"/>
      <w:marTop w:val="0"/>
      <w:marBottom w:val="0"/>
      <w:divBdr>
        <w:top w:val="none" w:sz="0" w:space="0" w:color="auto"/>
        <w:left w:val="none" w:sz="0" w:space="0" w:color="auto"/>
        <w:bottom w:val="none" w:sz="0" w:space="0" w:color="auto"/>
        <w:right w:val="none" w:sz="0" w:space="0" w:color="auto"/>
      </w:divBdr>
      <w:divsChild>
        <w:div w:id="1601447665">
          <w:marLeft w:val="0"/>
          <w:marRight w:val="0"/>
          <w:marTop w:val="0"/>
          <w:marBottom w:val="0"/>
          <w:divBdr>
            <w:top w:val="none" w:sz="0" w:space="0" w:color="auto"/>
            <w:left w:val="none" w:sz="0" w:space="0" w:color="auto"/>
            <w:bottom w:val="none" w:sz="0" w:space="0" w:color="auto"/>
            <w:right w:val="none" w:sz="0" w:space="0" w:color="auto"/>
          </w:divBdr>
        </w:div>
      </w:divsChild>
    </w:div>
    <w:div w:id="300964968">
      <w:bodyDiv w:val="1"/>
      <w:marLeft w:val="0"/>
      <w:marRight w:val="0"/>
      <w:marTop w:val="0"/>
      <w:marBottom w:val="0"/>
      <w:divBdr>
        <w:top w:val="none" w:sz="0" w:space="0" w:color="auto"/>
        <w:left w:val="none" w:sz="0" w:space="0" w:color="auto"/>
        <w:bottom w:val="none" w:sz="0" w:space="0" w:color="auto"/>
        <w:right w:val="none" w:sz="0" w:space="0" w:color="auto"/>
      </w:divBdr>
    </w:div>
    <w:div w:id="329450346">
      <w:bodyDiv w:val="1"/>
      <w:marLeft w:val="0"/>
      <w:marRight w:val="0"/>
      <w:marTop w:val="0"/>
      <w:marBottom w:val="0"/>
      <w:divBdr>
        <w:top w:val="none" w:sz="0" w:space="0" w:color="auto"/>
        <w:left w:val="none" w:sz="0" w:space="0" w:color="auto"/>
        <w:bottom w:val="none" w:sz="0" w:space="0" w:color="auto"/>
        <w:right w:val="none" w:sz="0" w:space="0" w:color="auto"/>
      </w:divBdr>
    </w:div>
    <w:div w:id="360937718">
      <w:bodyDiv w:val="1"/>
      <w:marLeft w:val="0"/>
      <w:marRight w:val="0"/>
      <w:marTop w:val="0"/>
      <w:marBottom w:val="0"/>
      <w:divBdr>
        <w:top w:val="none" w:sz="0" w:space="0" w:color="auto"/>
        <w:left w:val="none" w:sz="0" w:space="0" w:color="auto"/>
        <w:bottom w:val="none" w:sz="0" w:space="0" w:color="auto"/>
        <w:right w:val="none" w:sz="0" w:space="0" w:color="auto"/>
      </w:divBdr>
    </w:div>
    <w:div w:id="373847562">
      <w:bodyDiv w:val="1"/>
      <w:marLeft w:val="0"/>
      <w:marRight w:val="0"/>
      <w:marTop w:val="0"/>
      <w:marBottom w:val="0"/>
      <w:divBdr>
        <w:top w:val="none" w:sz="0" w:space="0" w:color="auto"/>
        <w:left w:val="none" w:sz="0" w:space="0" w:color="auto"/>
        <w:bottom w:val="none" w:sz="0" w:space="0" w:color="auto"/>
        <w:right w:val="none" w:sz="0" w:space="0" w:color="auto"/>
      </w:divBdr>
    </w:div>
    <w:div w:id="395930773">
      <w:bodyDiv w:val="1"/>
      <w:marLeft w:val="0"/>
      <w:marRight w:val="0"/>
      <w:marTop w:val="0"/>
      <w:marBottom w:val="0"/>
      <w:divBdr>
        <w:top w:val="none" w:sz="0" w:space="0" w:color="auto"/>
        <w:left w:val="none" w:sz="0" w:space="0" w:color="auto"/>
        <w:bottom w:val="none" w:sz="0" w:space="0" w:color="auto"/>
        <w:right w:val="none" w:sz="0" w:space="0" w:color="auto"/>
      </w:divBdr>
    </w:div>
    <w:div w:id="397359334">
      <w:bodyDiv w:val="1"/>
      <w:marLeft w:val="0"/>
      <w:marRight w:val="0"/>
      <w:marTop w:val="0"/>
      <w:marBottom w:val="0"/>
      <w:divBdr>
        <w:top w:val="none" w:sz="0" w:space="0" w:color="auto"/>
        <w:left w:val="none" w:sz="0" w:space="0" w:color="auto"/>
        <w:bottom w:val="none" w:sz="0" w:space="0" w:color="auto"/>
        <w:right w:val="none" w:sz="0" w:space="0" w:color="auto"/>
      </w:divBdr>
    </w:div>
    <w:div w:id="410591827">
      <w:bodyDiv w:val="1"/>
      <w:marLeft w:val="0"/>
      <w:marRight w:val="0"/>
      <w:marTop w:val="0"/>
      <w:marBottom w:val="0"/>
      <w:divBdr>
        <w:top w:val="none" w:sz="0" w:space="0" w:color="auto"/>
        <w:left w:val="none" w:sz="0" w:space="0" w:color="auto"/>
        <w:bottom w:val="none" w:sz="0" w:space="0" w:color="auto"/>
        <w:right w:val="none" w:sz="0" w:space="0" w:color="auto"/>
      </w:divBdr>
    </w:div>
    <w:div w:id="412357299">
      <w:bodyDiv w:val="1"/>
      <w:marLeft w:val="0"/>
      <w:marRight w:val="0"/>
      <w:marTop w:val="0"/>
      <w:marBottom w:val="0"/>
      <w:divBdr>
        <w:top w:val="none" w:sz="0" w:space="0" w:color="auto"/>
        <w:left w:val="none" w:sz="0" w:space="0" w:color="auto"/>
        <w:bottom w:val="none" w:sz="0" w:space="0" w:color="auto"/>
        <w:right w:val="none" w:sz="0" w:space="0" w:color="auto"/>
      </w:divBdr>
    </w:div>
    <w:div w:id="419177717">
      <w:bodyDiv w:val="1"/>
      <w:marLeft w:val="0"/>
      <w:marRight w:val="0"/>
      <w:marTop w:val="0"/>
      <w:marBottom w:val="0"/>
      <w:divBdr>
        <w:top w:val="none" w:sz="0" w:space="0" w:color="auto"/>
        <w:left w:val="none" w:sz="0" w:space="0" w:color="auto"/>
        <w:bottom w:val="none" w:sz="0" w:space="0" w:color="auto"/>
        <w:right w:val="none" w:sz="0" w:space="0" w:color="auto"/>
      </w:divBdr>
    </w:div>
    <w:div w:id="438448297">
      <w:bodyDiv w:val="1"/>
      <w:marLeft w:val="0"/>
      <w:marRight w:val="0"/>
      <w:marTop w:val="0"/>
      <w:marBottom w:val="0"/>
      <w:divBdr>
        <w:top w:val="none" w:sz="0" w:space="0" w:color="auto"/>
        <w:left w:val="none" w:sz="0" w:space="0" w:color="auto"/>
        <w:bottom w:val="none" w:sz="0" w:space="0" w:color="auto"/>
        <w:right w:val="none" w:sz="0" w:space="0" w:color="auto"/>
      </w:divBdr>
    </w:div>
    <w:div w:id="456216164">
      <w:bodyDiv w:val="1"/>
      <w:marLeft w:val="0"/>
      <w:marRight w:val="0"/>
      <w:marTop w:val="0"/>
      <w:marBottom w:val="0"/>
      <w:divBdr>
        <w:top w:val="none" w:sz="0" w:space="0" w:color="auto"/>
        <w:left w:val="none" w:sz="0" w:space="0" w:color="auto"/>
        <w:bottom w:val="none" w:sz="0" w:space="0" w:color="auto"/>
        <w:right w:val="none" w:sz="0" w:space="0" w:color="auto"/>
      </w:divBdr>
    </w:div>
    <w:div w:id="457069902">
      <w:bodyDiv w:val="1"/>
      <w:marLeft w:val="0"/>
      <w:marRight w:val="0"/>
      <w:marTop w:val="0"/>
      <w:marBottom w:val="0"/>
      <w:divBdr>
        <w:top w:val="none" w:sz="0" w:space="0" w:color="auto"/>
        <w:left w:val="none" w:sz="0" w:space="0" w:color="auto"/>
        <w:bottom w:val="none" w:sz="0" w:space="0" w:color="auto"/>
        <w:right w:val="none" w:sz="0" w:space="0" w:color="auto"/>
      </w:divBdr>
    </w:div>
    <w:div w:id="466315662">
      <w:bodyDiv w:val="1"/>
      <w:marLeft w:val="0"/>
      <w:marRight w:val="0"/>
      <w:marTop w:val="0"/>
      <w:marBottom w:val="0"/>
      <w:divBdr>
        <w:top w:val="none" w:sz="0" w:space="0" w:color="auto"/>
        <w:left w:val="none" w:sz="0" w:space="0" w:color="auto"/>
        <w:bottom w:val="none" w:sz="0" w:space="0" w:color="auto"/>
        <w:right w:val="none" w:sz="0" w:space="0" w:color="auto"/>
      </w:divBdr>
      <w:divsChild>
        <w:div w:id="1234971301">
          <w:marLeft w:val="0"/>
          <w:marRight w:val="0"/>
          <w:marTop w:val="0"/>
          <w:marBottom w:val="0"/>
          <w:divBdr>
            <w:top w:val="none" w:sz="0" w:space="0" w:color="auto"/>
            <w:left w:val="none" w:sz="0" w:space="0" w:color="auto"/>
            <w:bottom w:val="none" w:sz="0" w:space="0" w:color="auto"/>
            <w:right w:val="none" w:sz="0" w:space="0" w:color="auto"/>
          </w:divBdr>
          <w:divsChild>
            <w:div w:id="99445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057825">
      <w:bodyDiv w:val="1"/>
      <w:marLeft w:val="0"/>
      <w:marRight w:val="0"/>
      <w:marTop w:val="0"/>
      <w:marBottom w:val="0"/>
      <w:divBdr>
        <w:top w:val="none" w:sz="0" w:space="0" w:color="auto"/>
        <w:left w:val="none" w:sz="0" w:space="0" w:color="auto"/>
        <w:bottom w:val="none" w:sz="0" w:space="0" w:color="auto"/>
        <w:right w:val="none" w:sz="0" w:space="0" w:color="auto"/>
      </w:divBdr>
    </w:div>
    <w:div w:id="484662128">
      <w:bodyDiv w:val="1"/>
      <w:marLeft w:val="0"/>
      <w:marRight w:val="0"/>
      <w:marTop w:val="0"/>
      <w:marBottom w:val="0"/>
      <w:divBdr>
        <w:top w:val="none" w:sz="0" w:space="0" w:color="auto"/>
        <w:left w:val="none" w:sz="0" w:space="0" w:color="auto"/>
        <w:bottom w:val="none" w:sz="0" w:space="0" w:color="auto"/>
        <w:right w:val="none" w:sz="0" w:space="0" w:color="auto"/>
      </w:divBdr>
    </w:div>
    <w:div w:id="492452520">
      <w:bodyDiv w:val="1"/>
      <w:marLeft w:val="0"/>
      <w:marRight w:val="0"/>
      <w:marTop w:val="0"/>
      <w:marBottom w:val="0"/>
      <w:divBdr>
        <w:top w:val="none" w:sz="0" w:space="0" w:color="auto"/>
        <w:left w:val="none" w:sz="0" w:space="0" w:color="auto"/>
        <w:bottom w:val="none" w:sz="0" w:space="0" w:color="auto"/>
        <w:right w:val="none" w:sz="0" w:space="0" w:color="auto"/>
      </w:divBdr>
      <w:divsChild>
        <w:div w:id="859658634">
          <w:marLeft w:val="0"/>
          <w:marRight w:val="0"/>
          <w:marTop w:val="0"/>
          <w:marBottom w:val="0"/>
          <w:divBdr>
            <w:top w:val="none" w:sz="0" w:space="0" w:color="auto"/>
            <w:left w:val="none" w:sz="0" w:space="0" w:color="auto"/>
            <w:bottom w:val="none" w:sz="0" w:space="0" w:color="auto"/>
            <w:right w:val="none" w:sz="0" w:space="0" w:color="auto"/>
          </w:divBdr>
        </w:div>
      </w:divsChild>
    </w:div>
    <w:div w:id="497891557">
      <w:bodyDiv w:val="1"/>
      <w:marLeft w:val="0"/>
      <w:marRight w:val="0"/>
      <w:marTop w:val="0"/>
      <w:marBottom w:val="0"/>
      <w:divBdr>
        <w:top w:val="none" w:sz="0" w:space="0" w:color="auto"/>
        <w:left w:val="none" w:sz="0" w:space="0" w:color="auto"/>
        <w:bottom w:val="none" w:sz="0" w:space="0" w:color="auto"/>
        <w:right w:val="none" w:sz="0" w:space="0" w:color="auto"/>
      </w:divBdr>
    </w:div>
    <w:div w:id="498037590">
      <w:bodyDiv w:val="1"/>
      <w:marLeft w:val="0"/>
      <w:marRight w:val="0"/>
      <w:marTop w:val="0"/>
      <w:marBottom w:val="0"/>
      <w:divBdr>
        <w:top w:val="none" w:sz="0" w:space="0" w:color="auto"/>
        <w:left w:val="none" w:sz="0" w:space="0" w:color="auto"/>
        <w:bottom w:val="none" w:sz="0" w:space="0" w:color="auto"/>
        <w:right w:val="none" w:sz="0" w:space="0" w:color="auto"/>
      </w:divBdr>
    </w:div>
    <w:div w:id="505677670">
      <w:bodyDiv w:val="1"/>
      <w:marLeft w:val="0"/>
      <w:marRight w:val="0"/>
      <w:marTop w:val="0"/>
      <w:marBottom w:val="0"/>
      <w:divBdr>
        <w:top w:val="none" w:sz="0" w:space="0" w:color="auto"/>
        <w:left w:val="none" w:sz="0" w:space="0" w:color="auto"/>
        <w:bottom w:val="none" w:sz="0" w:space="0" w:color="auto"/>
        <w:right w:val="none" w:sz="0" w:space="0" w:color="auto"/>
      </w:divBdr>
    </w:div>
    <w:div w:id="574629900">
      <w:bodyDiv w:val="1"/>
      <w:marLeft w:val="0"/>
      <w:marRight w:val="0"/>
      <w:marTop w:val="0"/>
      <w:marBottom w:val="0"/>
      <w:divBdr>
        <w:top w:val="none" w:sz="0" w:space="0" w:color="auto"/>
        <w:left w:val="none" w:sz="0" w:space="0" w:color="auto"/>
        <w:bottom w:val="none" w:sz="0" w:space="0" w:color="auto"/>
        <w:right w:val="none" w:sz="0" w:space="0" w:color="auto"/>
      </w:divBdr>
      <w:divsChild>
        <w:div w:id="233903059">
          <w:marLeft w:val="0"/>
          <w:marRight w:val="0"/>
          <w:marTop w:val="0"/>
          <w:marBottom w:val="0"/>
          <w:divBdr>
            <w:top w:val="none" w:sz="0" w:space="0" w:color="auto"/>
            <w:left w:val="none" w:sz="0" w:space="0" w:color="auto"/>
            <w:bottom w:val="none" w:sz="0" w:space="0" w:color="auto"/>
            <w:right w:val="none" w:sz="0" w:space="0" w:color="auto"/>
          </w:divBdr>
        </w:div>
      </w:divsChild>
    </w:div>
    <w:div w:id="580675415">
      <w:bodyDiv w:val="1"/>
      <w:marLeft w:val="0"/>
      <w:marRight w:val="0"/>
      <w:marTop w:val="0"/>
      <w:marBottom w:val="0"/>
      <w:divBdr>
        <w:top w:val="none" w:sz="0" w:space="0" w:color="auto"/>
        <w:left w:val="none" w:sz="0" w:space="0" w:color="auto"/>
        <w:bottom w:val="none" w:sz="0" w:space="0" w:color="auto"/>
        <w:right w:val="none" w:sz="0" w:space="0" w:color="auto"/>
      </w:divBdr>
    </w:div>
    <w:div w:id="587737833">
      <w:bodyDiv w:val="1"/>
      <w:marLeft w:val="0"/>
      <w:marRight w:val="0"/>
      <w:marTop w:val="0"/>
      <w:marBottom w:val="0"/>
      <w:divBdr>
        <w:top w:val="none" w:sz="0" w:space="0" w:color="auto"/>
        <w:left w:val="none" w:sz="0" w:space="0" w:color="auto"/>
        <w:bottom w:val="none" w:sz="0" w:space="0" w:color="auto"/>
        <w:right w:val="none" w:sz="0" w:space="0" w:color="auto"/>
      </w:divBdr>
    </w:div>
    <w:div w:id="593587270">
      <w:bodyDiv w:val="1"/>
      <w:marLeft w:val="0"/>
      <w:marRight w:val="0"/>
      <w:marTop w:val="0"/>
      <w:marBottom w:val="0"/>
      <w:divBdr>
        <w:top w:val="none" w:sz="0" w:space="0" w:color="auto"/>
        <w:left w:val="none" w:sz="0" w:space="0" w:color="auto"/>
        <w:bottom w:val="none" w:sz="0" w:space="0" w:color="auto"/>
        <w:right w:val="none" w:sz="0" w:space="0" w:color="auto"/>
      </w:divBdr>
    </w:div>
    <w:div w:id="615675810">
      <w:bodyDiv w:val="1"/>
      <w:marLeft w:val="0"/>
      <w:marRight w:val="0"/>
      <w:marTop w:val="0"/>
      <w:marBottom w:val="0"/>
      <w:divBdr>
        <w:top w:val="none" w:sz="0" w:space="0" w:color="auto"/>
        <w:left w:val="none" w:sz="0" w:space="0" w:color="auto"/>
        <w:bottom w:val="none" w:sz="0" w:space="0" w:color="auto"/>
        <w:right w:val="none" w:sz="0" w:space="0" w:color="auto"/>
      </w:divBdr>
    </w:div>
    <w:div w:id="623081532">
      <w:bodyDiv w:val="1"/>
      <w:marLeft w:val="0"/>
      <w:marRight w:val="0"/>
      <w:marTop w:val="0"/>
      <w:marBottom w:val="0"/>
      <w:divBdr>
        <w:top w:val="none" w:sz="0" w:space="0" w:color="auto"/>
        <w:left w:val="none" w:sz="0" w:space="0" w:color="auto"/>
        <w:bottom w:val="none" w:sz="0" w:space="0" w:color="auto"/>
        <w:right w:val="none" w:sz="0" w:space="0" w:color="auto"/>
      </w:divBdr>
    </w:div>
    <w:div w:id="633221301">
      <w:bodyDiv w:val="1"/>
      <w:marLeft w:val="0"/>
      <w:marRight w:val="0"/>
      <w:marTop w:val="0"/>
      <w:marBottom w:val="0"/>
      <w:divBdr>
        <w:top w:val="none" w:sz="0" w:space="0" w:color="auto"/>
        <w:left w:val="none" w:sz="0" w:space="0" w:color="auto"/>
        <w:bottom w:val="none" w:sz="0" w:space="0" w:color="auto"/>
        <w:right w:val="none" w:sz="0" w:space="0" w:color="auto"/>
      </w:divBdr>
      <w:divsChild>
        <w:div w:id="315838617">
          <w:marLeft w:val="0"/>
          <w:marRight w:val="0"/>
          <w:marTop w:val="0"/>
          <w:marBottom w:val="0"/>
          <w:divBdr>
            <w:top w:val="none" w:sz="0" w:space="0" w:color="auto"/>
            <w:left w:val="none" w:sz="0" w:space="0" w:color="auto"/>
            <w:bottom w:val="none" w:sz="0" w:space="0" w:color="auto"/>
            <w:right w:val="none" w:sz="0" w:space="0" w:color="auto"/>
          </w:divBdr>
        </w:div>
      </w:divsChild>
    </w:div>
    <w:div w:id="678190992">
      <w:bodyDiv w:val="1"/>
      <w:marLeft w:val="0"/>
      <w:marRight w:val="0"/>
      <w:marTop w:val="0"/>
      <w:marBottom w:val="0"/>
      <w:divBdr>
        <w:top w:val="none" w:sz="0" w:space="0" w:color="auto"/>
        <w:left w:val="none" w:sz="0" w:space="0" w:color="auto"/>
        <w:bottom w:val="none" w:sz="0" w:space="0" w:color="auto"/>
        <w:right w:val="none" w:sz="0" w:space="0" w:color="auto"/>
      </w:divBdr>
    </w:div>
    <w:div w:id="692268955">
      <w:bodyDiv w:val="1"/>
      <w:marLeft w:val="0"/>
      <w:marRight w:val="0"/>
      <w:marTop w:val="0"/>
      <w:marBottom w:val="0"/>
      <w:divBdr>
        <w:top w:val="none" w:sz="0" w:space="0" w:color="auto"/>
        <w:left w:val="none" w:sz="0" w:space="0" w:color="auto"/>
        <w:bottom w:val="none" w:sz="0" w:space="0" w:color="auto"/>
        <w:right w:val="none" w:sz="0" w:space="0" w:color="auto"/>
      </w:divBdr>
    </w:div>
    <w:div w:id="699009266">
      <w:bodyDiv w:val="1"/>
      <w:marLeft w:val="0"/>
      <w:marRight w:val="0"/>
      <w:marTop w:val="0"/>
      <w:marBottom w:val="0"/>
      <w:divBdr>
        <w:top w:val="none" w:sz="0" w:space="0" w:color="auto"/>
        <w:left w:val="none" w:sz="0" w:space="0" w:color="auto"/>
        <w:bottom w:val="none" w:sz="0" w:space="0" w:color="auto"/>
        <w:right w:val="none" w:sz="0" w:space="0" w:color="auto"/>
      </w:divBdr>
      <w:divsChild>
        <w:div w:id="1403335738">
          <w:marLeft w:val="0"/>
          <w:marRight w:val="0"/>
          <w:marTop w:val="0"/>
          <w:marBottom w:val="0"/>
          <w:divBdr>
            <w:top w:val="none" w:sz="0" w:space="0" w:color="auto"/>
            <w:left w:val="none" w:sz="0" w:space="0" w:color="auto"/>
            <w:bottom w:val="none" w:sz="0" w:space="0" w:color="auto"/>
            <w:right w:val="none" w:sz="0" w:space="0" w:color="auto"/>
          </w:divBdr>
          <w:divsChild>
            <w:div w:id="199779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188473">
      <w:bodyDiv w:val="1"/>
      <w:marLeft w:val="0"/>
      <w:marRight w:val="0"/>
      <w:marTop w:val="0"/>
      <w:marBottom w:val="0"/>
      <w:divBdr>
        <w:top w:val="none" w:sz="0" w:space="0" w:color="auto"/>
        <w:left w:val="none" w:sz="0" w:space="0" w:color="auto"/>
        <w:bottom w:val="none" w:sz="0" w:space="0" w:color="auto"/>
        <w:right w:val="none" w:sz="0" w:space="0" w:color="auto"/>
      </w:divBdr>
    </w:div>
    <w:div w:id="734549193">
      <w:bodyDiv w:val="1"/>
      <w:marLeft w:val="0"/>
      <w:marRight w:val="0"/>
      <w:marTop w:val="0"/>
      <w:marBottom w:val="0"/>
      <w:divBdr>
        <w:top w:val="none" w:sz="0" w:space="0" w:color="auto"/>
        <w:left w:val="none" w:sz="0" w:space="0" w:color="auto"/>
        <w:bottom w:val="none" w:sz="0" w:space="0" w:color="auto"/>
        <w:right w:val="none" w:sz="0" w:space="0" w:color="auto"/>
      </w:divBdr>
    </w:div>
    <w:div w:id="749666606">
      <w:bodyDiv w:val="1"/>
      <w:marLeft w:val="0"/>
      <w:marRight w:val="0"/>
      <w:marTop w:val="0"/>
      <w:marBottom w:val="0"/>
      <w:divBdr>
        <w:top w:val="none" w:sz="0" w:space="0" w:color="auto"/>
        <w:left w:val="none" w:sz="0" w:space="0" w:color="auto"/>
        <w:bottom w:val="none" w:sz="0" w:space="0" w:color="auto"/>
        <w:right w:val="none" w:sz="0" w:space="0" w:color="auto"/>
      </w:divBdr>
      <w:divsChild>
        <w:div w:id="1753041366">
          <w:marLeft w:val="0"/>
          <w:marRight w:val="0"/>
          <w:marTop w:val="0"/>
          <w:marBottom w:val="0"/>
          <w:divBdr>
            <w:top w:val="none" w:sz="0" w:space="0" w:color="auto"/>
            <w:left w:val="none" w:sz="0" w:space="0" w:color="auto"/>
            <w:bottom w:val="none" w:sz="0" w:space="0" w:color="auto"/>
            <w:right w:val="none" w:sz="0" w:space="0" w:color="auto"/>
          </w:divBdr>
        </w:div>
      </w:divsChild>
    </w:div>
    <w:div w:id="751122544">
      <w:bodyDiv w:val="1"/>
      <w:marLeft w:val="0"/>
      <w:marRight w:val="0"/>
      <w:marTop w:val="0"/>
      <w:marBottom w:val="0"/>
      <w:divBdr>
        <w:top w:val="none" w:sz="0" w:space="0" w:color="auto"/>
        <w:left w:val="none" w:sz="0" w:space="0" w:color="auto"/>
        <w:bottom w:val="none" w:sz="0" w:space="0" w:color="auto"/>
        <w:right w:val="none" w:sz="0" w:space="0" w:color="auto"/>
      </w:divBdr>
    </w:div>
    <w:div w:id="751242918">
      <w:bodyDiv w:val="1"/>
      <w:marLeft w:val="0"/>
      <w:marRight w:val="0"/>
      <w:marTop w:val="0"/>
      <w:marBottom w:val="0"/>
      <w:divBdr>
        <w:top w:val="none" w:sz="0" w:space="0" w:color="auto"/>
        <w:left w:val="none" w:sz="0" w:space="0" w:color="auto"/>
        <w:bottom w:val="none" w:sz="0" w:space="0" w:color="auto"/>
        <w:right w:val="none" w:sz="0" w:space="0" w:color="auto"/>
      </w:divBdr>
      <w:divsChild>
        <w:div w:id="541284576">
          <w:marLeft w:val="0"/>
          <w:marRight w:val="0"/>
          <w:marTop w:val="0"/>
          <w:marBottom w:val="0"/>
          <w:divBdr>
            <w:top w:val="none" w:sz="0" w:space="0" w:color="auto"/>
            <w:left w:val="none" w:sz="0" w:space="0" w:color="auto"/>
            <w:bottom w:val="none" w:sz="0" w:space="0" w:color="auto"/>
            <w:right w:val="none" w:sz="0" w:space="0" w:color="auto"/>
          </w:divBdr>
        </w:div>
      </w:divsChild>
    </w:div>
    <w:div w:id="783573721">
      <w:bodyDiv w:val="1"/>
      <w:marLeft w:val="0"/>
      <w:marRight w:val="0"/>
      <w:marTop w:val="0"/>
      <w:marBottom w:val="0"/>
      <w:divBdr>
        <w:top w:val="none" w:sz="0" w:space="0" w:color="auto"/>
        <w:left w:val="none" w:sz="0" w:space="0" w:color="auto"/>
        <w:bottom w:val="none" w:sz="0" w:space="0" w:color="auto"/>
        <w:right w:val="none" w:sz="0" w:space="0" w:color="auto"/>
      </w:divBdr>
    </w:div>
    <w:div w:id="796799483">
      <w:bodyDiv w:val="1"/>
      <w:marLeft w:val="0"/>
      <w:marRight w:val="0"/>
      <w:marTop w:val="0"/>
      <w:marBottom w:val="0"/>
      <w:divBdr>
        <w:top w:val="none" w:sz="0" w:space="0" w:color="auto"/>
        <w:left w:val="none" w:sz="0" w:space="0" w:color="auto"/>
        <w:bottom w:val="none" w:sz="0" w:space="0" w:color="auto"/>
        <w:right w:val="none" w:sz="0" w:space="0" w:color="auto"/>
      </w:divBdr>
    </w:div>
    <w:div w:id="842207200">
      <w:bodyDiv w:val="1"/>
      <w:marLeft w:val="0"/>
      <w:marRight w:val="0"/>
      <w:marTop w:val="0"/>
      <w:marBottom w:val="0"/>
      <w:divBdr>
        <w:top w:val="none" w:sz="0" w:space="0" w:color="auto"/>
        <w:left w:val="none" w:sz="0" w:space="0" w:color="auto"/>
        <w:bottom w:val="none" w:sz="0" w:space="0" w:color="auto"/>
        <w:right w:val="none" w:sz="0" w:space="0" w:color="auto"/>
      </w:divBdr>
    </w:div>
    <w:div w:id="853811039">
      <w:bodyDiv w:val="1"/>
      <w:marLeft w:val="0"/>
      <w:marRight w:val="0"/>
      <w:marTop w:val="0"/>
      <w:marBottom w:val="0"/>
      <w:divBdr>
        <w:top w:val="none" w:sz="0" w:space="0" w:color="auto"/>
        <w:left w:val="none" w:sz="0" w:space="0" w:color="auto"/>
        <w:bottom w:val="none" w:sz="0" w:space="0" w:color="auto"/>
        <w:right w:val="none" w:sz="0" w:space="0" w:color="auto"/>
      </w:divBdr>
    </w:div>
    <w:div w:id="870803624">
      <w:bodyDiv w:val="1"/>
      <w:marLeft w:val="0"/>
      <w:marRight w:val="0"/>
      <w:marTop w:val="0"/>
      <w:marBottom w:val="0"/>
      <w:divBdr>
        <w:top w:val="none" w:sz="0" w:space="0" w:color="auto"/>
        <w:left w:val="none" w:sz="0" w:space="0" w:color="auto"/>
        <w:bottom w:val="none" w:sz="0" w:space="0" w:color="auto"/>
        <w:right w:val="none" w:sz="0" w:space="0" w:color="auto"/>
      </w:divBdr>
    </w:div>
    <w:div w:id="895817160">
      <w:bodyDiv w:val="1"/>
      <w:marLeft w:val="0"/>
      <w:marRight w:val="0"/>
      <w:marTop w:val="0"/>
      <w:marBottom w:val="0"/>
      <w:divBdr>
        <w:top w:val="none" w:sz="0" w:space="0" w:color="auto"/>
        <w:left w:val="none" w:sz="0" w:space="0" w:color="auto"/>
        <w:bottom w:val="none" w:sz="0" w:space="0" w:color="auto"/>
        <w:right w:val="none" w:sz="0" w:space="0" w:color="auto"/>
      </w:divBdr>
    </w:div>
    <w:div w:id="904872718">
      <w:bodyDiv w:val="1"/>
      <w:marLeft w:val="0"/>
      <w:marRight w:val="0"/>
      <w:marTop w:val="0"/>
      <w:marBottom w:val="0"/>
      <w:divBdr>
        <w:top w:val="none" w:sz="0" w:space="0" w:color="auto"/>
        <w:left w:val="none" w:sz="0" w:space="0" w:color="auto"/>
        <w:bottom w:val="none" w:sz="0" w:space="0" w:color="auto"/>
        <w:right w:val="none" w:sz="0" w:space="0" w:color="auto"/>
      </w:divBdr>
    </w:div>
    <w:div w:id="908924751">
      <w:bodyDiv w:val="1"/>
      <w:marLeft w:val="0"/>
      <w:marRight w:val="0"/>
      <w:marTop w:val="0"/>
      <w:marBottom w:val="0"/>
      <w:divBdr>
        <w:top w:val="none" w:sz="0" w:space="0" w:color="auto"/>
        <w:left w:val="none" w:sz="0" w:space="0" w:color="auto"/>
        <w:bottom w:val="none" w:sz="0" w:space="0" w:color="auto"/>
        <w:right w:val="none" w:sz="0" w:space="0" w:color="auto"/>
      </w:divBdr>
    </w:div>
    <w:div w:id="915289445">
      <w:bodyDiv w:val="1"/>
      <w:marLeft w:val="0"/>
      <w:marRight w:val="0"/>
      <w:marTop w:val="0"/>
      <w:marBottom w:val="0"/>
      <w:divBdr>
        <w:top w:val="none" w:sz="0" w:space="0" w:color="auto"/>
        <w:left w:val="none" w:sz="0" w:space="0" w:color="auto"/>
        <w:bottom w:val="none" w:sz="0" w:space="0" w:color="auto"/>
        <w:right w:val="none" w:sz="0" w:space="0" w:color="auto"/>
      </w:divBdr>
      <w:divsChild>
        <w:div w:id="915940719">
          <w:marLeft w:val="0"/>
          <w:marRight w:val="0"/>
          <w:marTop w:val="0"/>
          <w:marBottom w:val="0"/>
          <w:divBdr>
            <w:top w:val="none" w:sz="0" w:space="0" w:color="auto"/>
            <w:left w:val="none" w:sz="0" w:space="0" w:color="auto"/>
            <w:bottom w:val="none" w:sz="0" w:space="0" w:color="auto"/>
            <w:right w:val="none" w:sz="0" w:space="0" w:color="auto"/>
          </w:divBdr>
        </w:div>
      </w:divsChild>
    </w:div>
    <w:div w:id="953899500">
      <w:bodyDiv w:val="1"/>
      <w:marLeft w:val="0"/>
      <w:marRight w:val="0"/>
      <w:marTop w:val="0"/>
      <w:marBottom w:val="0"/>
      <w:divBdr>
        <w:top w:val="none" w:sz="0" w:space="0" w:color="auto"/>
        <w:left w:val="none" w:sz="0" w:space="0" w:color="auto"/>
        <w:bottom w:val="none" w:sz="0" w:space="0" w:color="auto"/>
        <w:right w:val="none" w:sz="0" w:space="0" w:color="auto"/>
      </w:divBdr>
      <w:divsChild>
        <w:div w:id="19011130">
          <w:marLeft w:val="0"/>
          <w:marRight w:val="0"/>
          <w:marTop w:val="0"/>
          <w:marBottom w:val="0"/>
          <w:divBdr>
            <w:top w:val="none" w:sz="0" w:space="0" w:color="auto"/>
            <w:left w:val="none" w:sz="0" w:space="0" w:color="auto"/>
            <w:bottom w:val="none" w:sz="0" w:space="0" w:color="auto"/>
            <w:right w:val="none" w:sz="0" w:space="0" w:color="auto"/>
          </w:divBdr>
        </w:div>
      </w:divsChild>
    </w:div>
    <w:div w:id="955989373">
      <w:bodyDiv w:val="1"/>
      <w:marLeft w:val="0"/>
      <w:marRight w:val="0"/>
      <w:marTop w:val="0"/>
      <w:marBottom w:val="0"/>
      <w:divBdr>
        <w:top w:val="none" w:sz="0" w:space="0" w:color="auto"/>
        <w:left w:val="none" w:sz="0" w:space="0" w:color="auto"/>
        <w:bottom w:val="none" w:sz="0" w:space="0" w:color="auto"/>
        <w:right w:val="none" w:sz="0" w:space="0" w:color="auto"/>
      </w:divBdr>
    </w:div>
    <w:div w:id="963118702">
      <w:bodyDiv w:val="1"/>
      <w:marLeft w:val="0"/>
      <w:marRight w:val="0"/>
      <w:marTop w:val="0"/>
      <w:marBottom w:val="0"/>
      <w:divBdr>
        <w:top w:val="none" w:sz="0" w:space="0" w:color="auto"/>
        <w:left w:val="none" w:sz="0" w:space="0" w:color="auto"/>
        <w:bottom w:val="none" w:sz="0" w:space="0" w:color="auto"/>
        <w:right w:val="none" w:sz="0" w:space="0" w:color="auto"/>
      </w:divBdr>
      <w:divsChild>
        <w:div w:id="1073890841">
          <w:marLeft w:val="0"/>
          <w:marRight w:val="0"/>
          <w:marTop w:val="0"/>
          <w:marBottom w:val="0"/>
          <w:divBdr>
            <w:top w:val="none" w:sz="0" w:space="0" w:color="auto"/>
            <w:left w:val="none" w:sz="0" w:space="0" w:color="auto"/>
            <w:bottom w:val="none" w:sz="0" w:space="0" w:color="auto"/>
            <w:right w:val="none" w:sz="0" w:space="0" w:color="auto"/>
          </w:divBdr>
        </w:div>
      </w:divsChild>
    </w:div>
    <w:div w:id="987708264">
      <w:bodyDiv w:val="1"/>
      <w:marLeft w:val="0"/>
      <w:marRight w:val="0"/>
      <w:marTop w:val="0"/>
      <w:marBottom w:val="0"/>
      <w:divBdr>
        <w:top w:val="none" w:sz="0" w:space="0" w:color="auto"/>
        <w:left w:val="none" w:sz="0" w:space="0" w:color="auto"/>
        <w:bottom w:val="none" w:sz="0" w:space="0" w:color="auto"/>
        <w:right w:val="none" w:sz="0" w:space="0" w:color="auto"/>
      </w:divBdr>
    </w:div>
    <w:div w:id="993684304">
      <w:bodyDiv w:val="1"/>
      <w:marLeft w:val="0"/>
      <w:marRight w:val="0"/>
      <w:marTop w:val="0"/>
      <w:marBottom w:val="0"/>
      <w:divBdr>
        <w:top w:val="none" w:sz="0" w:space="0" w:color="auto"/>
        <w:left w:val="none" w:sz="0" w:space="0" w:color="auto"/>
        <w:bottom w:val="none" w:sz="0" w:space="0" w:color="auto"/>
        <w:right w:val="none" w:sz="0" w:space="0" w:color="auto"/>
      </w:divBdr>
    </w:div>
    <w:div w:id="1015502293">
      <w:bodyDiv w:val="1"/>
      <w:marLeft w:val="0"/>
      <w:marRight w:val="0"/>
      <w:marTop w:val="0"/>
      <w:marBottom w:val="0"/>
      <w:divBdr>
        <w:top w:val="none" w:sz="0" w:space="0" w:color="auto"/>
        <w:left w:val="none" w:sz="0" w:space="0" w:color="auto"/>
        <w:bottom w:val="none" w:sz="0" w:space="0" w:color="auto"/>
        <w:right w:val="none" w:sz="0" w:space="0" w:color="auto"/>
      </w:divBdr>
      <w:divsChild>
        <w:div w:id="1149250284">
          <w:marLeft w:val="0"/>
          <w:marRight w:val="0"/>
          <w:marTop w:val="0"/>
          <w:marBottom w:val="0"/>
          <w:divBdr>
            <w:top w:val="none" w:sz="0" w:space="0" w:color="auto"/>
            <w:left w:val="none" w:sz="0" w:space="0" w:color="auto"/>
            <w:bottom w:val="none" w:sz="0" w:space="0" w:color="auto"/>
            <w:right w:val="none" w:sz="0" w:space="0" w:color="auto"/>
          </w:divBdr>
        </w:div>
      </w:divsChild>
    </w:div>
    <w:div w:id="1020200627">
      <w:bodyDiv w:val="1"/>
      <w:marLeft w:val="0"/>
      <w:marRight w:val="0"/>
      <w:marTop w:val="0"/>
      <w:marBottom w:val="0"/>
      <w:divBdr>
        <w:top w:val="none" w:sz="0" w:space="0" w:color="auto"/>
        <w:left w:val="none" w:sz="0" w:space="0" w:color="auto"/>
        <w:bottom w:val="none" w:sz="0" w:space="0" w:color="auto"/>
        <w:right w:val="none" w:sz="0" w:space="0" w:color="auto"/>
      </w:divBdr>
    </w:div>
    <w:div w:id="1051736538">
      <w:bodyDiv w:val="1"/>
      <w:marLeft w:val="0"/>
      <w:marRight w:val="0"/>
      <w:marTop w:val="0"/>
      <w:marBottom w:val="0"/>
      <w:divBdr>
        <w:top w:val="none" w:sz="0" w:space="0" w:color="auto"/>
        <w:left w:val="none" w:sz="0" w:space="0" w:color="auto"/>
        <w:bottom w:val="none" w:sz="0" w:space="0" w:color="auto"/>
        <w:right w:val="none" w:sz="0" w:space="0" w:color="auto"/>
      </w:divBdr>
    </w:div>
    <w:div w:id="1064329487">
      <w:bodyDiv w:val="1"/>
      <w:marLeft w:val="0"/>
      <w:marRight w:val="0"/>
      <w:marTop w:val="0"/>
      <w:marBottom w:val="0"/>
      <w:divBdr>
        <w:top w:val="none" w:sz="0" w:space="0" w:color="auto"/>
        <w:left w:val="none" w:sz="0" w:space="0" w:color="auto"/>
        <w:bottom w:val="none" w:sz="0" w:space="0" w:color="auto"/>
        <w:right w:val="none" w:sz="0" w:space="0" w:color="auto"/>
      </w:divBdr>
    </w:div>
    <w:div w:id="1070886518">
      <w:bodyDiv w:val="1"/>
      <w:marLeft w:val="0"/>
      <w:marRight w:val="0"/>
      <w:marTop w:val="0"/>
      <w:marBottom w:val="0"/>
      <w:divBdr>
        <w:top w:val="none" w:sz="0" w:space="0" w:color="auto"/>
        <w:left w:val="none" w:sz="0" w:space="0" w:color="auto"/>
        <w:bottom w:val="none" w:sz="0" w:space="0" w:color="auto"/>
        <w:right w:val="none" w:sz="0" w:space="0" w:color="auto"/>
      </w:divBdr>
    </w:div>
    <w:div w:id="1095635500">
      <w:bodyDiv w:val="1"/>
      <w:marLeft w:val="0"/>
      <w:marRight w:val="0"/>
      <w:marTop w:val="0"/>
      <w:marBottom w:val="0"/>
      <w:divBdr>
        <w:top w:val="none" w:sz="0" w:space="0" w:color="auto"/>
        <w:left w:val="none" w:sz="0" w:space="0" w:color="auto"/>
        <w:bottom w:val="none" w:sz="0" w:space="0" w:color="auto"/>
        <w:right w:val="none" w:sz="0" w:space="0" w:color="auto"/>
      </w:divBdr>
    </w:div>
    <w:div w:id="1107118372">
      <w:bodyDiv w:val="1"/>
      <w:marLeft w:val="0"/>
      <w:marRight w:val="0"/>
      <w:marTop w:val="0"/>
      <w:marBottom w:val="0"/>
      <w:divBdr>
        <w:top w:val="none" w:sz="0" w:space="0" w:color="auto"/>
        <w:left w:val="none" w:sz="0" w:space="0" w:color="auto"/>
        <w:bottom w:val="none" w:sz="0" w:space="0" w:color="auto"/>
        <w:right w:val="none" w:sz="0" w:space="0" w:color="auto"/>
      </w:divBdr>
    </w:div>
    <w:div w:id="1125467080">
      <w:bodyDiv w:val="1"/>
      <w:marLeft w:val="0"/>
      <w:marRight w:val="0"/>
      <w:marTop w:val="0"/>
      <w:marBottom w:val="0"/>
      <w:divBdr>
        <w:top w:val="none" w:sz="0" w:space="0" w:color="auto"/>
        <w:left w:val="none" w:sz="0" w:space="0" w:color="auto"/>
        <w:bottom w:val="none" w:sz="0" w:space="0" w:color="auto"/>
        <w:right w:val="none" w:sz="0" w:space="0" w:color="auto"/>
      </w:divBdr>
      <w:divsChild>
        <w:div w:id="832529417">
          <w:marLeft w:val="0"/>
          <w:marRight w:val="0"/>
          <w:marTop w:val="0"/>
          <w:marBottom w:val="0"/>
          <w:divBdr>
            <w:top w:val="none" w:sz="0" w:space="0" w:color="auto"/>
            <w:left w:val="none" w:sz="0" w:space="0" w:color="auto"/>
            <w:bottom w:val="none" w:sz="0" w:space="0" w:color="auto"/>
            <w:right w:val="none" w:sz="0" w:space="0" w:color="auto"/>
          </w:divBdr>
        </w:div>
      </w:divsChild>
    </w:div>
    <w:div w:id="1141460528">
      <w:bodyDiv w:val="1"/>
      <w:marLeft w:val="0"/>
      <w:marRight w:val="0"/>
      <w:marTop w:val="0"/>
      <w:marBottom w:val="0"/>
      <w:divBdr>
        <w:top w:val="none" w:sz="0" w:space="0" w:color="auto"/>
        <w:left w:val="none" w:sz="0" w:space="0" w:color="auto"/>
        <w:bottom w:val="none" w:sz="0" w:space="0" w:color="auto"/>
        <w:right w:val="none" w:sz="0" w:space="0" w:color="auto"/>
      </w:divBdr>
    </w:div>
    <w:div w:id="1157955830">
      <w:bodyDiv w:val="1"/>
      <w:marLeft w:val="0"/>
      <w:marRight w:val="0"/>
      <w:marTop w:val="0"/>
      <w:marBottom w:val="0"/>
      <w:divBdr>
        <w:top w:val="none" w:sz="0" w:space="0" w:color="auto"/>
        <w:left w:val="none" w:sz="0" w:space="0" w:color="auto"/>
        <w:bottom w:val="none" w:sz="0" w:space="0" w:color="auto"/>
        <w:right w:val="none" w:sz="0" w:space="0" w:color="auto"/>
      </w:divBdr>
    </w:div>
    <w:div w:id="1165432884">
      <w:bodyDiv w:val="1"/>
      <w:marLeft w:val="0"/>
      <w:marRight w:val="0"/>
      <w:marTop w:val="0"/>
      <w:marBottom w:val="0"/>
      <w:divBdr>
        <w:top w:val="none" w:sz="0" w:space="0" w:color="auto"/>
        <w:left w:val="none" w:sz="0" w:space="0" w:color="auto"/>
        <w:bottom w:val="none" w:sz="0" w:space="0" w:color="auto"/>
        <w:right w:val="none" w:sz="0" w:space="0" w:color="auto"/>
      </w:divBdr>
    </w:div>
    <w:div w:id="1177884999">
      <w:bodyDiv w:val="1"/>
      <w:marLeft w:val="0"/>
      <w:marRight w:val="0"/>
      <w:marTop w:val="0"/>
      <w:marBottom w:val="0"/>
      <w:divBdr>
        <w:top w:val="none" w:sz="0" w:space="0" w:color="auto"/>
        <w:left w:val="none" w:sz="0" w:space="0" w:color="auto"/>
        <w:bottom w:val="none" w:sz="0" w:space="0" w:color="auto"/>
        <w:right w:val="none" w:sz="0" w:space="0" w:color="auto"/>
      </w:divBdr>
    </w:div>
    <w:div w:id="1188134368">
      <w:bodyDiv w:val="1"/>
      <w:marLeft w:val="0"/>
      <w:marRight w:val="0"/>
      <w:marTop w:val="0"/>
      <w:marBottom w:val="0"/>
      <w:divBdr>
        <w:top w:val="none" w:sz="0" w:space="0" w:color="auto"/>
        <w:left w:val="none" w:sz="0" w:space="0" w:color="auto"/>
        <w:bottom w:val="none" w:sz="0" w:space="0" w:color="auto"/>
        <w:right w:val="none" w:sz="0" w:space="0" w:color="auto"/>
      </w:divBdr>
    </w:div>
    <w:div w:id="1188253192">
      <w:bodyDiv w:val="1"/>
      <w:marLeft w:val="0"/>
      <w:marRight w:val="0"/>
      <w:marTop w:val="0"/>
      <w:marBottom w:val="0"/>
      <w:divBdr>
        <w:top w:val="none" w:sz="0" w:space="0" w:color="auto"/>
        <w:left w:val="none" w:sz="0" w:space="0" w:color="auto"/>
        <w:bottom w:val="none" w:sz="0" w:space="0" w:color="auto"/>
        <w:right w:val="none" w:sz="0" w:space="0" w:color="auto"/>
      </w:divBdr>
    </w:div>
    <w:div w:id="1212961373">
      <w:bodyDiv w:val="1"/>
      <w:marLeft w:val="0"/>
      <w:marRight w:val="0"/>
      <w:marTop w:val="0"/>
      <w:marBottom w:val="0"/>
      <w:divBdr>
        <w:top w:val="none" w:sz="0" w:space="0" w:color="auto"/>
        <w:left w:val="none" w:sz="0" w:space="0" w:color="auto"/>
        <w:bottom w:val="none" w:sz="0" w:space="0" w:color="auto"/>
        <w:right w:val="none" w:sz="0" w:space="0" w:color="auto"/>
      </w:divBdr>
    </w:div>
    <w:div w:id="1218472668">
      <w:bodyDiv w:val="1"/>
      <w:marLeft w:val="0"/>
      <w:marRight w:val="0"/>
      <w:marTop w:val="0"/>
      <w:marBottom w:val="0"/>
      <w:divBdr>
        <w:top w:val="none" w:sz="0" w:space="0" w:color="auto"/>
        <w:left w:val="none" w:sz="0" w:space="0" w:color="auto"/>
        <w:bottom w:val="none" w:sz="0" w:space="0" w:color="auto"/>
        <w:right w:val="none" w:sz="0" w:space="0" w:color="auto"/>
      </w:divBdr>
    </w:div>
    <w:div w:id="1241868565">
      <w:bodyDiv w:val="1"/>
      <w:marLeft w:val="0"/>
      <w:marRight w:val="0"/>
      <w:marTop w:val="0"/>
      <w:marBottom w:val="0"/>
      <w:divBdr>
        <w:top w:val="none" w:sz="0" w:space="0" w:color="auto"/>
        <w:left w:val="none" w:sz="0" w:space="0" w:color="auto"/>
        <w:bottom w:val="none" w:sz="0" w:space="0" w:color="auto"/>
        <w:right w:val="none" w:sz="0" w:space="0" w:color="auto"/>
      </w:divBdr>
    </w:div>
    <w:div w:id="1255282268">
      <w:bodyDiv w:val="1"/>
      <w:marLeft w:val="0"/>
      <w:marRight w:val="0"/>
      <w:marTop w:val="0"/>
      <w:marBottom w:val="0"/>
      <w:divBdr>
        <w:top w:val="none" w:sz="0" w:space="0" w:color="auto"/>
        <w:left w:val="none" w:sz="0" w:space="0" w:color="auto"/>
        <w:bottom w:val="none" w:sz="0" w:space="0" w:color="auto"/>
        <w:right w:val="none" w:sz="0" w:space="0" w:color="auto"/>
      </w:divBdr>
    </w:div>
    <w:div w:id="1267806661">
      <w:bodyDiv w:val="1"/>
      <w:marLeft w:val="0"/>
      <w:marRight w:val="0"/>
      <w:marTop w:val="0"/>
      <w:marBottom w:val="0"/>
      <w:divBdr>
        <w:top w:val="none" w:sz="0" w:space="0" w:color="auto"/>
        <w:left w:val="none" w:sz="0" w:space="0" w:color="auto"/>
        <w:bottom w:val="none" w:sz="0" w:space="0" w:color="auto"/>
        <w:right w:val="none" w:sz="0" w:space="0" w:color="auto"/>
      </w:divBdr>
    </w:div>
    <w:div w:id="1268267258">
      <w:bodyDiv w:val="1"/>
      <w:marLeft w:val="0"/>
      <w:marRight w:val="0"/>
      <w:marTop w:val="0"/>
      <w:marBottom w:val="0"/>
      <w:divBdr>
        <w:top w:val="none" w:sz="0" w:space="0" w:color="auto"/>
        <w:left w:val="none" w:sz="0" w:space="0" w:color="auto"/>
        <w:bottom w:val="none" w:sz="0" w:space="0" w:color="auto"/>
        <w:right w:val="none" w:sz="0" w:space="0" w:color="auto"/>
      </w:divBdr>
    </w:div>
    <w:div w:id="1288049397">
      <w:bodyDiv w:val="1"/>
      <w:marLeft w:val="0"/>
      <w:marRight w:val="0"/>
      <w:marTop w:val="0"/>
      <w:marBottom w:val="0"/>
      <w:divBdr>
        <w:top w:val="none" w:sz="0" w:space="0" w:color="auto"/>
        <w:left w:val="none" w:sz="0" w:space="0" w:color="auto"/>
        <w:bottom w:val="none" w:sz="0" w:space="0" w:color="auto"/>
        <w:right w:val="none" w:sz="0" w:space="0" w:color="auto"/>
      </w:divBdr>
    </w:div>
    <w:div w:id="1292906851">
      <w:bodyDiv w:val="1"/>
      <w:marLeft w:val="0"/>
      <w:marRight w:val="0"/>
      <w:marTop w:val="0"/>
      <w:marBottom w:val="0"/>
      <w:divBdr>
        <w:top w:val="none" w:sz="0" w:space="0" w:color="auto"/>
        <w:left w:val="none" w:sz="0" w:space="0" w:color="auto"/>
        <w:bottom w:val="none" w:sz="0" w:space="0" w:color="auto"/>
        <w:right w:val="none" w:sz="0" w:space="0" w:color="auto"/>
      </w:divBdr>
    </w:div>
    <w:div w:id="1310204401">
      <w:bodyDiv w:val="1"/>
      <w:marLeft w:val="0"/>
      <w:marRight w:val="0"/>
      <w:marTop w:val="0"/>
      <w:marBottom w:val="0"/>
      <w:divBdr>
        <w:top w:val="none" w:sz="0" w:space="0" w:color="auto"/>
        <w:left w:val="none" w:sz="0" w:space="0" w:color="auto"/>
        <w:bottom w:val="none" w:sz="0" w:space="0" w:color="auto"/>
        <w:right w:val="none" w:sz="0" w:space="0" w:color="auto"/>
      </w:divBdr>
    </w:div>
    <w:div w:id="1317538289">
      <w:bodyDiv w:val="1"/>
      <w:marLeft w:val="0"/>
      <w:marRight w:val="0"/>
      <w:marTop w:val="0"/>
      <w:marBottom w:val="0"/>
      <w:divBdr>
        <w:top w:val="none" w:sz="0" w:space="0" w:color="auto"/>
        <w:left w:val="none" w:sz="0" w:space="0" w:color="auto"/>
        <w:bottom w:val="none" w:sz="0" w:space="0" w:color="auto"/>
        <w:right w:val="none" w:sz="0" w:space="0" w:color="auto"/>
      </w:divBdr>
    </w:div>
    <w:div w:id="1322348535">
      <w:bodyDiv w:val="1"/>
      <w:marLeft w:val="0"/>
      <w:marRight w:val="0"/>
      <w:marTop w:val="0"/>
      <w:marBottom w:val="0"/>
      <w:divBdr>
        <w:top w:val="none" w:sz="0" w:space="0" w:color="auto"/>
        <w:left w:val="none" w:sz="0" w:space="0" w:color="auto"/>
        <w:bottom w:val="none" w:sz="0" w:space="0" w:color="auto"/>
        <w:right w:val="none" w:sz="0" w:space="0" w:color="auto"/>
      </w:divBdr>
    </w:div>
    <w:div w:id="1340277602">
      <w:bodyDiv w:val="1"/>
      <w:marLeft w:val="0"/>
      <w:marRight w:val="0"/>
      <w:marTop w:val="0"/>
      <w:marBottom w:val="0"/>
      <w:divBdr>
        <w:top w:val="none" w:sz="0" w:space="0" w:color="auto"/>
        <w:left w:val="none" w:sz="0" w:space="0" w:color="auto"/>
        <w:bottom w:val="none" w:sz="0" w:space="0" w:color="auto"/>
        <w:right w:val="none" w:sz="0" w:space="0" w:color="auto"/>
      </w:divBdr>
    </w:div>
    <w:div w:id="1348943966">
      <w:bodyDiv w:val="1"/>
      <w:marLeft w:val="0"/>
      <w:marRight w:val="0"/>
      <w:marTop w:val="0"/>
      <w:marBottom w:val="0"/>
      <w:divBdr>
        <w:top w:val="none" w:sz="0" w:space="0" w:color="auto"/>
        <w:left w:val="none" w:sz="0" w:space="0" w:color="auto"/>
        <w:bottom w:val="none" w:sz="0" w:space="0" w:color="auto"/>
        <w:right w:val="none" w:sz="0" w:space="0" w:color="auto"/>
      </w:divBdr>
    </w:div>
    <w:div w:id="1352300227">
      <w:bodyDiv w:val="1"/>
      <w:marLeft w:val="0"/>
      <w:marRight w:val="0"/>
      <w:marTop w:val="0"/>
      <w:marBottom w:val="0"/>
      <w:divBdr>
        <w:top w:val="none" w:sz="0" w:space="0" w:color="auto"/>
        <w:left w:val="none" w:sz="0" w:space="0" w:color="auto"/>
        <w:bottom w:val="none" w:sz="0" w:space="0" w:color="auto"/>
        <w:right w:val="none" w:sz="0" w:space="0" w:color="auto"/>
      </w:divBdr>
    </w:div>
    <w:div w:id="1357848928">
      <w:bodyDiv w:val="1"/>
      <w:marLeft w:val="0"/>
      <w:marRight w:val="0"/>
      <w:marTop w:val="0"/>
      <w:marBottom w:val="0"/>
      <w:divBdr>
        <w:top w:val="none" w:sz="0" w:space="0" w:color="auto"/>
        <w:left w:val="none" w:sz="0" w:space="0" w:color="auto"/>
        <w:bottom w:val="none" w:sz="0" w:space="0" w:color="auto"/>
        <w:right w:val="none" w:sz="0" w:space="0" w:color="auto"/>
      </w:divBdr>
    </w:div>
    <w:div w:id="1359888374">
      <w:bodyDiv w:val="1"/>
      <w:marLeft w:val="0"/>
      <w:marRight w:val="0"/>
      <w:marTop w:val="0"/>
      <w:marBottom w:val="0"/>
      <w:divBdr>
        <w:top w:val="none" w:sz="0" w:space="0" w:color="auto"/>
        <w:left w:val="none" w:sz="0" w:space="0" w:color="auto"/>
        <w:bottom w:val="none" w:sz="0" w:space="0" w:color="auto"/>
        <w:right w:val="none" w:sz="0" w:space="0" w:color="auto"/>
      </w:divBdr>
      <w:divsChild>
        <w:div w:id="2014913244">
          <w:marLeft w:val="0"/>
          <w:marRight w:val="0"/>
          <w:marTop w:val="0"/>
          <w:marBottom w:val="0"/>
          <w:divBdr>
            <w:top w:val="none" w:sz="0" w:space="0" w:color="auto"/>
            <w:left w:val="none" w:sz="0" w:space="0" w:color="auto"/>
            <w:bottom w:val="none" w:sz="0" w:space="0" w:color="auto"/>
            <w:right w:val="none" w:sz="0" w:space="0" w:color="auto"/>
          </w:divBdr>
        </w:div>
      </w:divsChild>
    </w:div>
    <w:div w:id="1386754127">
      <w:bodyDiv w:val="1"/>
      <w:marLeft w:val="0"/>
      <w:marRight w:val="0"/>
      <w:marTop w:val="0"/>
      <w:marBottom w:val="0"/>
      <w:divBdr>
        <w:top w:val="none" w:sz="0" w:space="0" w:color="auto"/>
        <w:left w:val="none" w:sz="0" w:space="0" w:color="auto"/>
        <w:bottom w:val="none" w:sz="0" w:space="0" w:color="auto"/>
        <w:right w:val="none" w:sz="0" w:space="0" w:color="auto"/>
      </w:divBdr>
    </w:div>
    <w:div w:id="1390760600">
      <w:bodyDiv w:val="1"/>
      <w:marLeft w:val="0"/>
      <w:marRight w:val="0"/>
      <w:marTop w:val="0"/>
      <w:marBottom w:val="0"/>
      <w:divBdr>
        <w:top w:val="none" w:sz="0" w:space="0" w:color="auto"/>
        <w:left w:val="none" w:sz="0" w:space="0" w:color="auto"/>
        <w:bottom w:val="none" w:sz="0" w:space="0" w:color="auto"/>
        <w:right w:val="none" w:sz="0" w:space="0" w:color="auto"/>
      </w:divBdr>
    </w:div>
    <w:div w:id="1430390500">
      <w:bodyDiv w:val="1"/>
      <w:marLeft w:val="0"/>
      <w:marRight w:val="0"/>
      <w:marTop w:val="0"/>
      <w:marBottom w:val="0"/>
      <w:divBdr>
        <w:top w:val="none" w:sz="0" w:space="0" w:color="auto"/>
        <w:left w:val="none" w:sz="0" w:space="0" w:color="auto"/>
        <w:bottom w:val="none" w:sz="0" w:space="0" w:color="auto"/>
        <w:right w:val="none" w:sz="0" w:space="0" w:color="auto"/>
      </w:divBdr>
    </w:div>
    <w:div w:id="1436514088">
      <w:bodyDiv w:val="1"/>
      <w:marLeft w:val="0"/>
      <w:marRight w:val="0"/>
      <w:marTop w:val="0"/>
      <w:marBottom w:val="0"/>
      <w:divBdr>
        <w:top w:val="none" w:sz="0" w:space="0" w:color="auto"/>
        <w:left w:val="none" w:sz="0" w:space="0" w:color="auto"/>
        <w:bottom w:val="none" w:sz="0" w:space="0" w:color="auto"/>
        <w:right w:val="none" w:sz="0" w:space="0" w:color="auto"/>
      </w:divBdr>
    </w:div>
    <w:div w:id="1449198040">
      <w:bodyDiv w:val="1"/>
      <w:marLeft w:val="0"/>
      <w:marRight w:val="0"/>
      <w:marTop w:val="0"/>
      <w:marBottom w:val="0"/>
      <w:divBdr>
        <w:top w:val="none" w:sz="0" w:space="0" w:color="auto"/>
        <w:left w:val="none" w:sz="0" w:space="0" w:color="auto"/>
        <w:bottom w:val="none" w:sz="0" w:space="0" w:color="auto"/>
        <w:right w:val="none" w:sz="0" w:space="0" w:color="auto"/>
      </w:divBdr>
    </w:div>
    <w:div w:id="1459452468">
      <w:bodyDiv w:val="1"/>
      <w:marLeft w:val="0"/>
      <w:marRight w:val="0"/>
      <w:marTop w:val="0"/>
      <w:marBottom w:val="0"/>
      <w:divBdr>
        <w:top w:val="none" w:sz="0" w:space="0" w:color="auto"/>
        <w:left w:val="none" w:sz="0" w:space="0" w:color="auto"/>
        <w:bottom w:val="none" w:sz="0" w:space="0" w:color="auto"/>
        <w:right w:val="none" w:sz="0" w:space="0" w:color="auto"/>
      </w:divBdr>
      <w:divsChild>
        <w:div w:id="1042560987">
          <w:marLeft w:val="0"/>
          <w:marRight w:val="0"/>
          <w:marTop w:val="0"/>
          <w:marBottom w:val="0"/>
          <w:divBdr>
            <w:top w:val="none" w:sz="0" w:space="0" w:color="auto"/>
            <w:left w:val="none" w:sz="0" w:space="0" w:color="auto"/>
            <w:bottom w:val="none" w:sz="0" w:space="0" w:color="auto"/>
            <w:right w:val="none" w:sz="0" w:space="0" w:color="auto"/>
          </w:divBdr>
        </w:div>
      </w:divsChild>
    </w:div>
    <w:div w:id="1467354555">
      <w:bodyDiv w:val="1"/>
      <w:marLeft w:val="0"/>
      <w:marRight w:val="0"/>
      <w:marTop w:val="0"/>
      <w:marBottom w:val="0"/>
      <w:divBdr>
        <w:top w:val="none" w:sz="0" w:space="0" w:color="auto"/>
        <w:left w:val="none" w:sz="0" w:space="0" w:color="auto"/>
        <w:bottom w:val="none" w:sz="0" w:space="0" w:color="auto"/>
        <w:right w:val="none" w:sz="0" w:space="0" w:color="auto"/>
      </w:divBdr>
    </w:div>
    <w:div w:id="1474983368">
      <w:bodyDiv w:val="1"/>
      <w:marLeft w:val="0"/>
      <w:marRight w:val="0"/>
      <w:marTop w:val="0"/>
      <w:marBottom w:val="0"/>
      <w:divBdr>
        <w:top w:val="none" w:sz="0" w:space="0" w:color="auto"/>
        <w:left w:val="none" w:sz="0" w:space="0" w:color="auto"/>
        <w:bottom w:val="none" w:sz="0" w:space="0" w:color="auto"/>
        <w:right w:val="none" w:sz="0" w:space="0" w:color="auto"/>
      </w:divBdr>
    </w:div>
    <w:div w:id="1485470962">
      <w:bodyDiv w:val="1"/>
      <w:marLeft w:val="0"/>
      <w:marRight w:val="0"/>
      <w:marTop w:val="0"/>
      <w:marBottom w:val="0"/>
      <w:divBdr>
        <w:top w:val="none" w:sz="0" w:space="0" w:color="auto"/>
        <w:left w:val="none" w:sz="0" w:space="0" w:color="auto"/>
        <w:bottom w:val="none" w:sz="0" w:space="0" w:color="auto"/>
        <w:right w:val="none" w:sz="0" w:space="0" w:color="auto"/>
      </w:divBdr>
    </w:div>
    <w:div w:id="1500347514">
      <w:bodyDiv w:val="1"/>
      <w:marLeft w:val="0"/>
      <w:marRight w:val="0"/>
      <w:marTop w:val="0"/>
      <w:marBottom w:val="0"/>
      <w:divBdr>
        <w:top w:val="none" w:sz="0" w:space="0" w:color="auto"/>
        <w:left w:val="none" w:sz="0" w:space="0" w:color="auto"/>
        <w:bottom w:val="none" w:sz="0" w:space="0" w:color="auto"/>
        <w:right w:val="none" w:sz="0" w:space="0" w:color="auto"/>
      </w:divBdr>
      <w:divsChild>
        <w:div w:id="1253975041">
          <w:marLeft w:val="0"/>
          <w:marRight w:val="0"/>
          <w:marTop w:val="0"/>
          <w:marBottom w:val="0"/>
          <w:divBdr>
            <w:top w:val="none" w:sz="0" w:space="0" w:color="auto"/>
            <w:left w:val="none" w:sz="0" w:space="0" w:color="auto"/>
            <w:bottom w:val="none" w:sz="0" w:space="0" w:color="auto"/>
            <w:right w:val="none" w:sz="0" w:space="0" w:color="auto"/>
          </w:divBdr>
          <w:divsChild>
            <w:div w:id="537013036">
              <w:marLeft w:val="0"/>
              <w:marRight w:val="0"/>
              <w:marTop w:val="0"/>
              <w:marBottom w:val="0"/>
              <w:divBdr>
                <w:top w:val="none" w:sz="0" w:space="0" w:color="auto"/>
                <w:left w:val="none" w:sz="0" w:space="0" w:color="auto"/>
                <w:bottom w:val="none" w:sz="0" w:space="0" w:color="auto"/>
                <w:right w:val="none" w:sz="0" w:space="0" w:color="auto"/>
              </w:divBdr>
              <w:divsChild>
                <w:div w:id="1009678108">
                  <w:marLeft w:val="0"/>
                  <w:marRight w:val="0"/>
                  <w:marTop w:val="0"/>
                  <w:marBottom w:val="0"/>
                  <w:divBdr>
                    <w:top w:val="none" w:sz="0" w:space="0" w:color="auto"/>
                    <w:left w:val="none" w:sz="0" w:space="0" w:color="auto"/>
                    <w:bottom w:val="none" w:sz="0" w:space="0" w:color="auto"/>
                    <w:right w:val="none" w:sz="0" w:space="0" w:color="auto"/>
                  </w:divBdr>
                  <w:divsChild>
                    <w:div w:id="2034069907">
                      <w:marLeft w:val="0"/>
                      <w:marRight w:val="0"/>
                      <w:marTop w:val="0"/>
                      <w:marBottom w:val="0"/>
                      <w:divBdr>
                        <w:top w:val="none" w:sz="0" w:space="0" w:color="auto"/>
                        <w:left w:val="none" w:sz="0" w:space="0" w:color="auto"/>
                        <w:bottom w:val="none" w:sz="0" w:space="0" w:color="auto"/>
                        <w:right w:val="none" w:sz="0" w:space="0" w:color="auto"/>
                      </w:divBdr>
                      <w:divsChild>
                        <w:div w:id="1512068487">
                          <w:marLeft w:val="0"/>
                          <w:marRight w:val="0"/>
                          <w:marTop w:val="0"/>
                          <w:marBottom w:val="0"/>
                          <w:divBdr>
                            <w:top w:val="none" w:sz="0" w:space="0" w:color="auto"/>
                            <w:left w:val="none" w:sz="0" w:space="0" w:color="auto"/>
                            <w:bottom w:val="none" w:sz="0" w:space="0" w:color="auto"/>
                            <w:right w:val="none" w:sz="0" w:space="0" w:color="auto"/>
                          </w:divBdr>
                          <w:divsChild>
                            <w:div w:id="1080175074">
                              <w:marLeft w:val="0"/>
                              <w:marRight w:val="0"/>
                              <w:marTop w:val="0"/>
                              <w:marBottom w:val="0"/>
                              <w:divBdr>
                                <w:top w:val="none" w:sz="0" w:space="0" w:color="auto"/>
                                <w:left w:val="none" w:sz="0" w:space="0" w:color="auto"/>
                                <w:bottom w:val="none" w:sz="0" w:space="0" w:color="auto"/>
                                <w:right w:val="none" w:sz="0" w:space="0" w:color="auto"/>
                              </w:divBdr>
                              <w:divsChild>
                                <w:div w:id="1945839000">
                                  <w:marLeft w:val="0"/>
                                  <w:marRight w:val="0"/>
                                  <w:marTop w:val="0"/>
                                  <w:marBottom w:val="0"/>
                                  <w:divBdr>
                                    <w:top w:val="none" w:sz="0" w:space="0" w:color="auto"/>
                                    <w:left w:val="none" w:sz="0" w:space="0" w:color="auto"/>
                                    <w:bottom w:val="none" w:sz="0" w:space="0" w:color="auto"/>
                                    <w:right w:val="none" w:sz="0" w:space="0" w:color="auto"/>
                                  </w:divBdr>
                                  <w:divsChild>
                                    <w:div w:id="210403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940616">
                          <w:marLeft w:val="0"/>
                          <w:marRight w:val="0"/>
                          <w:marTop w:val="0"/>
                          <w:marBottom w:val="0"/>
                          <w:divBdr>
                            <w:top w:val="none" w:sz="0" w:space="0" w:color="auto"/>
                            <w:left w:val="none" w:sz="0" w:space="0" w:color="auto"/>
                            <w:bottom w:val="none" w:sz="0" w:space="0" w:color="auto"/>
                            <w:right w:val="none" w:sz="0" w:space="0" w:color="auto"/>
                          </w:divBdr>
                          <w:divsChild>
                            <w:div w:id="1667050644">
                              <w:marLeft w:val="0"/>
                              <w:marRight w:val="0"/>
                              <w:marTop w:val="0"/>
                              <w:marBottom w:val="0"/>
                              <w:divBdr>
                                <w:top w:val="none" w:sz="0" w:space="0" w:color="auto"/>
                                <w:left w:val="none" w:sz="0" w:space="0" w:color="auto"/>
                                <w:bottom w:val="none" w:sz="0" w:space="0" w:color="auto"/>
                                <w:right w:val="none" w:sz="0" w:space="0" w:color="auto"/>
                              </w:divBdr>
                              <w:divsChild>
                                <w:div w:id="132731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8670260">
      <w:bodyDiv w:val="1"/>
      <w:marLeft w:val="0"/>
      <w:marRight w:val="0"/>
      <w:marTop w:val="0"/>
      <w:marBottom w:val="0"/>
      <w:divBdr>
        <w:top w:val="none" w:sz="0" w:space="0" w:color="auto"/>
        <w:left w:val="none" w:sz="0" w:space="0" w:color="auto"/>
        <w:bottom w:val="none" w:sz="0" w:space="0" w:color="auto"/>
        <w:right w:val="none" w:sz="0" w:space="0" w:color="auto"/>
      </w:divBdr>
    </w:div>
    <w:div w:id="1510947572">
      <w:bodyDiv w:val="1"/>
      <w:marLeft w:val="0"/>
      <w:marRight w:val="0"/>
      <w:marTop w:val="0"/>
      <w:marBottom w:val="0"/>
      <w:divBdr>
        <w:top w:val="none" w:sz="0" w:space="0" w:color="auto"/>
        <w:left w:val="none" w:sz="0" w:space="0" w:color="auto"/>
        <w:bottom w:val="none" w:sz="0" w:space="0" w:color="auto"/>
        <w:right w:val="none" w:sz="0" w:space="0" w:color="auto"/>
      </w:divBdr>
    </w:div>
    <w:div w:id="1513715791">
      <w:bodyDiv w:val="1"/>
      <w:marLeft w:val="0"/>
      <w:marRight w:val="0"/>
      <w:marTop w:val="0"/>
      <w:marBottom w:val="0"/>
      <w:divBdr>
        <w:top w:val="none" w:sz="0" w:space="0" w:color="auto"/>
        <w:left w:val="none" w:sz="0" w:space="0" w:color="auto"/>
        <w:bottom w:val="none" w:sz="0" w:space="0" w:color="auto"/>
        <w:right w:val="none" w:sz="0" w:space="0" w:color="auto"/>
      </w:divBdr>
    </w:div>
    <w:div w:id="1516652655">
      <w:bodyDiv w:val="1"/>
      <w:marLeft w:val="0"/>
      <w:marRight w:val="0"/>
      <w:marTop w:val="0"/>
      <w:marBottom w:val="0"/>
      <w:divBdr>
        <w:top w:val="none" w:sz="0" w:space="0" w:color="auto"/>
        <w:left w:val="none" w:sz="0" w:space="0" w:color="auto"/>
        <w:bottom w:val="none" w:sz="0" w:space="0" w:color="auto"/>
        <w:right w:val="none" w:sz="0" w:space="0" w:color="auto"/>
      </w:divBdr>
    </w:div>
    <w:div w:id="1517114372">
      <w:bodyDiv w:val="1"/>
      <w:marLeft w:val="0"/>
      <w:marRight w:val="0"/>
      <w:marTop w:val="0"/>
      <w:marBottom w:val="0"/>
      <w:divBdr>
        <w:top w:val="none" w:sz="0" w:space="0" w:color="auto"/>
        <w:left w:val="none" w:sz="0" w:space="0" w:color="auto"/>
        <w:bottom w:val="none" w:sz="0" w:space="0" w:color="auto"/>
        <w:right w:val="none" w:sz="0" w:space="0" w:color="auto"/>
      </w:divBdr>
      <w:divsChild>
        <w:div w:id="1583834271">
          <w:marLeft w:val="0"/>
          <w:marRight w:val="0"/>
          <w:marTop w:val="0"/>
          <w:marBottom w:val="0"/>
          <w:divBdr>
            <w:top w:val="none" w:sz="0" w:space="0" w:color="auto"/>
            <w:left w:val="none" w:sz="0" w:space="0" w:color="auto"/>
            <w:bottom w:val="none" w:sz="0" w:space="0" w:color="auto"/>
            <w:right w:val="none" w:sz="0" w:space="0" w:color="auto"/>
          </w:divBdr>
        </w:div>
      </w:divsChild>
    </w:div>
    <w:div w:id="1527257982">
      <w:bodyDiv w:val="1"/>
      <w:marLeft w:val="0"/>
      <w:marRight w:val="0"/>
      <w:marTop w:val="0"/>
      <w:marBottom w:val="0"/>
      <w:divBdr>
        <w:top w:val="none" w:sz="0" w:space="0" w:color="auto"/>
        <w:left w:val="none" w:sz="0" w:space="0" w:color="auto"/>
        <w:bottom w:val="none" w:sz="0" w:space="0" w:color="auto"/>
        <w:right w:val="none" w:sz="0" w:space="0" w:color="auto"/>
      </w:divBdr>
    </w:div>
    <w:div w:id="1542208619">
      <w:bodyDiv w:val="1"/>
      <w:marLeft w:val="0"/>
      <w:marRight w:val="0"/>
      <w:marTop w:val="0"/>
      <w:marBottom w:val="0"/>
      <w:divBdr>
        <w:top w:val="none" w:sz="0" w:space="0" w:color="auto"/>
        <w:left w:val="none" w:sz="0" w:space="0" w:color="auto"/>
        <w:bottom w:val="none" w:sz="0" w:space="0" w:color="auto"/>
        <w:right w:val="none" w:sz="0" w:space="0" w:color="auto"/>
      </w:divBdr>
      <w:divsChild>
        <w:div w:id="1097365895">
          <w:marLeft w:val="0"/>
          <w:marRight w:val="0"/>
          <w:marTop w:val="0"/>
          <w:marBottom w:val="0"/>
          <w:divBdr>
            <w:top w:val="none" w:sz="0" w:space="0" w:color="auto"/>
            <w:left w:val="none" w:sz="0" w:space="0" w:color="auto"/>
            <w:bottom w:val="none" w:sz="0" w:space="0" w:color="auto"/>
            <w:right w:val="none" w:sz="0" w:space="0" w:color="auto"/>
          </w:divBdr>
        </w:div>
      </w:divsChild>
    </w:div>
    <w:div w:id="1557357919">
      <w:bodyDiv w:val="1"/>
      <w:marLeft w:val="0"/>
      <w:marRight w:val="0"/>
      <w:marTop w:val="0"/>
      <w:marBottom w:val="0"/>
      <w:divBdr>
        <w:top w:val="none" w:sz="0" w:space="0" w:color="auto"/>
        <w:left w:val="none" w:sz="0" w:space="0" w:color="auto"/>
        <w:bottom w:val="none" w:sz="0" w:space="0" w:color="auto"/>
        <w:right w:val="none" w:sz="0" w:space="0" w:color="auto"/>
      </w:divBdr>
      <w:divsChild>
        <w:div w:id="198977194">
          <w:marLeft w:val="0"/>
          <w:marRight w:val="0"/>
          <w:marTop w:val="0"/>
          <w:marBottom w:val="0"/>
          <w:divBdr>
            <w:top w:val="none" w:sz="0" w:space="0" w:color="auto"/>
            <w:left w:val="none" w:sz="0" w:space="0" w:color="auto"/>
            <w:bottom w:val="none" w:sz="0" w:space="0" w:color="auto"/>
            <w:right w:val="none" w:sz="0" w:space="0" w:color="auto"/>
          </w:divBdr>
        </w:div>
      </w:divsChild>
    </w:div>
    <w:div w:id="1562710102">
      <w:bodyDiv w:val="1"/>
      <w:marLeft w:val="0"/>
      <w:marRight w:val="0"/>
      <w:marTop w:val="0"/>
      <w:marBottom w:val="0"/>
      <w:divBdr>
        <w:top w:val="none" w:sz="0" w:space="0" w:color="auto"/>
        <w:left w:val="none" w:sz="0" w:space="0" w:color="auto"/>
        <w:bottom w:val="none" w:sz="0" w:space="0" w:color="auto"/>
        <w:right w:val="none" w:sz="0" w:space="0" w:color="auto"/>
      </w:divBdr>
    </w:div>
    <w:div w:id="1576666249">
      <w:bodyDiv w:val="1"/>
      <w:marLeft w:val="0"/>
      <w:marRight w:val="0"/>
      <w:marTop w:val="0"/>
      <w:marBottom w:val="0"/>
      <w:divBdr>
        <w:top w:val="none" w:sz="0" w:space="0" w:color="auto"/>
        <w:left w:val="none" w:sz="0" w:space="0" w:color="auto"/>
        <w:bottom w:val="none" w:sz="0" w:space="0" w:color="auto"/>
        <w:right w:val="none" w:sz="0" w:space="0" w:color="auto"/>
      </w:divBdr>
    </w:div>
    <w:div w:id="1591962208">
      <w:bodyDiv w:val="1"/>
      <w:marLeft w:val="0"/>
      <w:marRight w:val="0"/>
      <w:marTop w:val="0"/>
      <w:marBottom w:val="0"/>
      <w:divBdr>
        <w:top w:val="none" w:sz="0" w:space="0" w:color="auto"/>
        <w:left w:val="none" w:sz="0" w:space="0" w:color="auto"/>
        <w:bottom w:val="none" w:sz="0" w:space="0" w:color="auto"/>
        <w:right w:val="none" w:sz="0" w:space="0" w:color="auto"/>
      </w:divBdr>
    </w:div>
    <w:div w:id="1600141266">
      <w:bodyDiv w:val="1"/>
      <w:marLeft w:val="0"/>
      <w:marRight w:val="0"/>
      <w:marTop w:val="0"/>
      <w:marBottom w:val="0"/>
      <w:divBdr>
        <w:top w:val="none" w:sz="0" w:space="0" w:color="auto"/>
        <w:left w:val="none" w:sz="0" w:space="0" w:color="auto"/>
        <w:bottom w:val="none" w:sz="0" w:space="0" w:color="auto"/>
        <w:right w:val="none" w:sz="0" w:space="0" w:color="auto"/>
      </w:divBdr>
    </w:div>
    <w:div w:id="1601723394">
      <w:bodyDiv w:val="1"/>
      <w:marLeft w:val="0"/>
      <w:marRight w:val="0"/>
      <w:marTop w:val="0"/>
      <w:marBottom w:val="0"/>
      <w:divBdr>
        <w:top w:val="none" w:sz="0" w:space="0" w:color="auto"/>
        <w:left w:val="none" w:sz="0" w:space="0" w:color="auto"/>
        <w:bottom w:val="none" w:sz="0" w:space="0" w:color="auto"/>
        <w:right w:val="none" w:sz="0" w:space="0" w:color="auto"/>
      </w:divBdr>
    </w:div>
    <w:div w:id="1625039131">
      <w:bodyDiv w:val="1"/>
      <w:marLeft w:val="0"/>
      <w:marRight w:val="0"/>
      <w:marTop w:val="0"/>
      <w:marBottom w:val="0"/>
      <w:divBdr>
        <w:top w:val="none" w:sz="0" w:space="0" w:color="auto"/>
        <w:left w:val="none" w:sz="0" w:space="0" w:color="auto"/>
        <w:bottom w:val="none" w:sz="0" w:space="0" w:color="auto"/>
        <w:right w:val="none" w:sz="0" w:space="0" w:color="auto"/>
      </w:divBdr>
    </w:div>
    <w:div w:id="1626109933">
      <w:bodyDiv w:val="1"/>
      <w:marLeft w:val="0"/>
      <w:marRight w:val="0"/>
      <w:marTop w:val="0"/>
      <w:marBottom w:val="0"/>
      <w:divBdr>
        <w:top w:val="none" w:sz="0" w:space="0" w:color="auto"/>
        <w:left w:val="none" w:sz="0" w:space="0" w:color="auto"/>
        <w:bottom w:val="none" w:sz="0" w:space="0" w:color="auto"/>
        <w:right w:val="none" w:sz="0" w:space="0" w:color="auto"/>
      </w:divBdr>
    </w:div>
    <w:div w:id="1626347405">
      <w:bodyDiv w:val="1"/>
      <w:marLeft w:val="0"/>
      <w:marRight w:val="0"/>
      <w:marTop w:val="0"/>
      <w:marBottom w:val="0"/>
      <w:divBdr>
        <w:top w:val="none" w:sz="0" w:space="0" w:color="auto"/>
        <w:left w:val="none" w:sz="0" w:space="0" w:color="auto"/>
        <w:bottom w:val="none" w:sz="0" w:space="0" w:color="auto"/>
        <w:right w:val="none" w:sz="0" w:space="0" w:color="auto"/>
      </w:divBdr>
    </w:div>
    <w:div w:id="1629165879">
      <w:bodyDiv w:val="1"/>
      <w:marLeft w:val="0"/>
      <w:marRight w:val="0"/>
      <w:marTop w:val="0"/>
      <w:marBottom w:val="0"/>
      <w:divBdr>
        <w:top w:val="none" w:sz="0" w:space="0" w:color="auto"/>
        <w:left w:val="none" w:sz="0" w:space="0" w:color="auto"/>
        <w:bottom w:val="none" w:sz="0" w:space="0" w:color="auto"/>
        <w:right w:val="none" w:sz="0" w:space="0" w:color="auto"/>
      </w:divBdr>
    </w:div>
    <w:div w:id="1630430197">
      <w:bodyDiv w:val="1"/>
      <w:marLeft w:val="0"/>
      <w:marRight w:val="0"/>
      <w:marTop w:val="0"/>
      <w:marBottom w:val="0"/>
      <w:divBdr>
        <w:top w:val="none" w:sz="0" w:space="0" w:color="auto"/>
        <w:left w:val="none" w:sz="0" w:space="0" w:color="auto"/>
        <w:bottom w:val="none" w:sz="0" w:space="0" w:color="auto"/>
        <w:right w:val="none" w:sz="0" w:space="0" w:color="auto"/>
      </w:divBdr>
    </w:div>
    <w:div w:id="1636333282">
      <w:bodyDiv w:val="1"/>
      <w:marLeft w:val="0"/>
      <w:marRight w:val="0"/>
      <w:marTop w:val="0"/>
      <w:marBottom w:val="0"/>
      <w:divBdr>
        <w:top w:val="none" w:sz="0" w:space="0" w:color="auto"/>
        <w:left w:val="none" w:sz="0" w:space="0" w:color="auto"/>
        <w:bottom w:val="none" w:sz="0" w:space="0" w:color="auto"/>
        <w:right w:val="none" w:sz="0" w:space="0" w:color="auto"/>
      </w:divBdr>
    </w:div>
    <w:div w:id="1640837911">
      <w:bodyDiv w:val="1"/>
      <w:marLeft w:val="0"/>
      <w:marRight w:val="0"/>
      <w:marTop w:val="0"/>
      <w:marBottom w:val="0"/>
      <w:divBdr>
        <w:top w:val="none" w:sz="0" w:space="0" w:color="auto"/>
        <w:left w:val="none" w:sz="0" w:space="0" w:color="auto"/>
        <w:bottom w:val="none" w:sz="0" w:space="0" w:color="auto"/>
        <w:right w:val="none" w:sz="0" w:space="0" w:color="auto"/>
      </w:divBdr>
    </w:div>
    <w:div w:id="1645894291">
      <w:bodyDiv w:val="1"/>
      <w:marLeft w:val="0"/>
      <w:marRight w:val="0"/>
      <w:marTop w:val="0"/>
      <w:marBottom w:val="0"/>
      <w:divBdr>
        <w:top w:val="none" w:sz="0" w:space="0" w:color="auto"/>
        <w:left w:val="none" w:sz="0" w:space="0" w:color="auto"/>
        <w:bottom w:val="none" w:sz="0" w:space="0" w:color="auto"/>
        <w:right w:val="none" w:sz="0" w:space="0" w:color="auto"/>
      </w:divBdr>
      <w:divsChild>
        <w:div w:id="1513764630">
          <w:marLeft w:val="0"/>
          <w:marRight w:val="0"/>
          <w:marTop w:val="0"/>
          <w:marBottom w:val="0"/>
          <w:divBdr>
            <w:top w:val="none" w:sz="0" w:space="0" w:color="auto"/>
            <w:left w:val="none" w:sz="0" w:space="0" w:color="auto"/>
            <w:bottom w:val="none" w:sz="0" w:space="0" w:color="auto"/>
            <w:right w:val="none" w:sz="0" w:space="0" w:color="auto"/>
          </w:divBdr>
          <w:divsChild>
            <w:div w:id="87007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849830">
      <w:bodyDiv w:val="1"/>
      <w:marLeft w:val="0"/>
      <w:marRight w:val="0"/>
      <w:marTop w:val="0"/>
      <w:marBottom w:val="0"/>
      <w:divBdr>
        <w:top w:val="none" w:sz="0" w:space="0" w:color="auto"/>
        <w:left w:val="none" w:sz="0" w:space="0" w:color="auto"/>
        <w:bottom w:val="none" w:sz="0" w:space="0" w:color="auto"/>
        <w:right w:val="none" w:sz="0" w:space="0" w:color="auto"/>
      </w:divBdr>
    </w:div>
    <w:div w:id="1719087627">
      <w:bodyDiv w:val="1"/>
      <w:marLeft w:val="0"/>
      <w:marRight w:val="0"/>
      <w:marTop w:val="0"/>
      <w:marBottom w:val="0"/>
      <w:divBdr>
        <w:top w:val="none" w:sz="0" w:space="0" w:color="auto"/>
        <w:left w:val="none" w:sz="0" w:space="0" w:color="auto"/>
        <w:bottom w:val="none" w:sz="0" w:space="0" w:color="auto"/>
        <w:right w:val="none" w:sz="0" w:space="0" w:color="auto"/>
      </w:divBdr>
      <w:divsChild>
        <w:div w:id="2102022786">
          <w:marLeft w:val="0"/>
          <w:marRight w:val="0"/>
          <w:marTop w:val="0"/>
          <w:marBottom w:val="0"/>
          <w:divBdr>
            <w:top w:val="none" w:sz="0" w:space="0" w:color="auto"/>
            <w:left w:val="none" w:sz="0" w:space="0" w:color="auto"/>
            <w:bottom w:val="none" w:sz="0" w:space="0" w:color="auto"/>
            <w:right w:val="none" w:sz="0" w:space="0" w:color="auto"/>
          </w:divBdr>
        </w:div>
      </w:divsChild>
    </w:div>
    <w:div w:id="1728995884">
      <w:bodyDiv w:val="1"/>
      <w:marLeft w:val="0"/>
      <w:marRight w:val="0"/>
      <w:marTop w:val="0"/>
      <w:marBottom w:val="0"/>
      <w:divBdr>
        <w:top w:val="none" w:sz="0" w:space="0" w:color="auto"/>
        <w:left w:val="none" w:sz="0" w:space="0" w:color="auto"/>
        <w:bottom w:val="none" w:sz="0" w:space="0" w:color="auto"/>
        <w:right w:val="none" w:sz="0" w:space="0" w:color="auto"/>
      </w:divBdr>
    </w:div>
    <w:div w:id="1784884848">
      <w:bodyDiv w:val="1"/>
      <w:marLeft w:val="0"/>
      <w:marRight w:val="0"/>
      <w:marTop w:val="0"/>
      <w:marBottom w:val="0"/>
      <w:divBdr>
        <w:top w:val="none" w:sz="0" w:space="0" w:color="auto"/>
        <w:left w:val="none" w:sz="0" w:space="0" w:color="auto"/>
        <w:bottom w:val="none" w:sz="0" w:space="0" w:color="auto"/>
        <w:right w:val="none" w:sz="0" w:space="0" w:color="auto"/>
      </w:divBdr>
      <w:divsChild>
        <w:div w:id="1825775611">
          <w:marLeft w:val="0"/>
          <w:marRight w:val="0"/>
          <w:marTop w:val="0"/>
          <w:marBottom w:val="0"/>
          <w:divBdr>
            <w:top w:val="none" w:sz="0" w:space="0" w:color="auto"/>
            <w:left w:val="none" w:sz="0" w:space="0" w:color="auto"/>
            <w:bottom w:val="none" w:sz="0" w:space="0" w:color="auto"/>
            <w:right w:val="none" w:sz="0" w:space="0" w:color="auto"/>
          </w:divBdr>
        </w:div>
      </w:divsChild>
    </w:div>
    <w:div w:id="1787233049">
      <w:bodyDiv w:val="1"/>
      <w:marLeft w:val="0"/>
      <w:marRight w:val="0"/>
      <w:marTop w:val="0"/>
      <w:marBottom w:val="0"/>
      <w:divBdr>
        <w:top w:val="none" w:sz="0" w:space="0" w:color="auto"/>
        <w:left w:val="none" w:sz="0" w:space="0" w:color="auto"/>
        <w:bottom w:val="none" w:sz="0" w:space="0" w:color="auto"/>
        <w:right w:val="none" w:sz="0" w:space="0" w:color="auto"/>
      </w:divBdr>
      <w:divsChild>
        <w:div w:id="680544948">
          <w:marLeft w:val="0"/>
          <w:marRight w:val="0"/>
          <w:marTop w:val="0"/>
          <w:marBottom w:val="0"/>
          <w:divBdr>
            <w:top w:val="none" w:sz="0" w:space="0" w:color="auto"/>
            <w:left w:val="none" w:sz="0" w:space="0" w:color="auto"/>
            <w:bottom w:val="none" w:sz="0" w:space="0" w:color="auto"/>
            <w:right w:val="none" w:sz="0" w:space="0" w:color="auto"/>
          </w:divBdr>
          <w:divsChild>
            <w:div w:id="120706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630623">
      <w:bodyDiv w:val="1"/>
      <w:marLeft w:val="0"/>
      <w:marRight w:val="0"/>
      <w:marTop w:val="0"/>
      <w:marBottom w:val="0"/>
      <w:divBdr>
        <w:top w:val="none" w:sz="0" w:space="0" w:color="auto"/>
        <w:left w:val="none" w:sz="0" w:space="0" w:color="auto"/>
        <w:bottom w:val="none" w:sz="0" w:space="0" w:color="auto"/>
        <w:right w:val="none" w:sz="0" w:space="0" w:color="auto"/>
      </w:divBdr>
      <w:divsChild>
        <w:div w:id="324288182">
          <w:marLeft w:val="0"/>
          <w:marRight w:val="0"/>
          <w:marTop w:val="0"/>
          <w:marBottom w:val="0"/>
          <w:divBdr>
            <w:top w:val="none" w:sz="0" w:space="0" w:color="auto"/>
            <w:left w:val="none" w:sz="0" w:space="0" w:color="auto"/>
            <w:bottom w:val="none" w:sz="0" w:space="0" w:color="auto"/>
            <w:right w:val="none" w:sz="0" w:space="0" w:color="auto"/>
          </w:divBdr>
        </w:div>
      </w:divsChild>
    </w:div>
    <w:div w:id="1794785762">
      <w:bodyDiv w:val="1"/>
      <w:marLeft w:val="0"/>
      <w:marRight w:val="0"/>
      <w:marTop w:val="0"/>
      <w:marBottom w:val="0"/>
      <w:divBdr>
        <w:top w:val="none" w:sz="0" w:space="0" w:color="auto"/>
        <w:left w:val="none" w:sz="0" w:space="0" w:color="auto"/>
        <w:bottom w:val="none" w:sz="0" w:space="0" w:color="auto"/>
        <w:right w:val="none" w:sz="0" w:space="0" w:color="auto"/>
      </w:divBdr>
      <w:divsChild>
        <w:div w:id="370957605">
          <w:marLeft w:val="0"/>
          <w:marRight w:val="0"/>
          <w:marTop w:val="0"/>
          <w:marBottom w:val="0"/>
          <w:divBdr>
            <w:top w:val="none" w:sz="0" w:space="0" w:color="auto"/>
            <w:left w:val="none" w:sz="0" w:space="0" w:color="auto"/>
            <w:bottom w:val="none" w:sz="0" w:space="0" w:color="auto"/>
            <w:right w:val="none" w:sz="0" w:space="0" w:color="auto"/>
          </w:divBdr>
        </w:div>
      </w:divsChild>
    </w:div>
    <w:div w:id="1802916580">
      <w:bodyDiv w:val="1"/>
      <w:marLeft w:val="0"/>
      <w:marRight w:val="0"/>
      <w:marTop w:val="0"/>
      <w:marBottom w:val="0"/>
      <w:divBdr>
        <w:top w:val="none" w:sz="0" w:space="0" w:color="auto"/>
        <w:left w:val="none" w:sz="0" w:space="0" w:color="auto"/>
        <w:bottom w:val="none" w:sz="0" w:space="0" w:color="auto"/>
        <w:right w:val="none" w:sz="0" w:space="0" w:color="auto"/>
      </w:divBdr>
      <w:divsChild>
        <w:div w:id="1901475119">
          <w:marLeft w:val="0"/>
          <w:marRight w:val="0"/>
          <w:marTop w:val="0"/>
          <w:marBottom w:val="0"/>
          <w:divBdr>
            <w:top w:val="none" w:sz="0" w:space="0" w:color="auto"/>
            <w:left w:val="none" w:sz="0" w:space="0" w:color="auto"/>
            <w:bottom w:val="none" w:sz="0" w:space="0" w:color="auto"/>
            <w:right w:val="none" w:sz="0" w:space="0" w:color="auto"/>
          </w:divBdr>
        </w:div>
      </w:divsChild>
    </w:div>
    <w:div w:id="1805855749">
      <w:bodyDiv w:val="1"/>
      <w:marLeft w:val="0"/>
      <w:marRight w:val="0"/>
      <w:marTop w:val="0"/>
      <w:marBottom w:val="0"/>
      <w:divBdr>
        <w:top w:val="none" w:sz="0" w:space="0" w:color="auto"/>
        <w:left w:val="none" w:sz="0" w:space="0" w:color="auto"/>
        <w:bottom w:val="none" w:sz="0" w:space="0" w:color="auto"/>
        <w:right w:val="none" w:sz="0" w:space="0" w:color="auto"/>
      </w:divBdr>
    </w:div>
    <w:div w:id="1826506076">
      <w:bodyDiv w:val="1"/>
      <w:marLeft w:val="0"/>
      <w:marRight w:val="0"/>
      <w:marTop w:val="0"/>
      <w:marBottom w:val="0"/>
      <w:divBdr>
        <w:top w:val="none" w:sz="0" w:space="0" w:color="auto"/>
        <w:left w:val="none" w:sz="0" w:space="0" w:color="auto"/>
        <w:bottom w:val="none" w:sz="0" w:space="0" w:color="auto"/>
        <w:right w:val="none" w:sz="0" w:space="0" w:color="auto"/>
      </w:divBdr>
    </w:div>
    <w:div w:id="1829788667">
      <w:bodyDiv w:val="1"/>
      <w:marLeft w:val="0"/>
      <w:marRight w:val="0"/>
      <w:marTop w:val="0"/>
      <w:marBottom w:val="0"/>
      <w:divBdr>
        <w:top w:val="none" w:sz="0" w:space="0" w:color="auto"/>
        <w:left w:val="none" w:sz="0" w:space="0" w:color="auto"/>
        <w:bottom w:val="none" w:sz="0" w:space="0" w:color="auto"/>
        <w:right w:val="none" w:sz="0" w:space="0" w:color="auto"/>
      </w:divBdr>
    </w:div>
    <w:div w:id="1843083418">
      <w:bodyDiv w:val="1"/>
      <w:marLeft w:val="0"/>
      <w:marRight w:val="0"/>
      <w:marTop w:val="0"/>
      <w:marBottom w:val="0"/>
      <w:divBdr>
        <w:top w:val="none" w:sz="0" w:space="0" w:color="auto"/>
        <w:left w:val="none" w:sz="0" w:space="0" w:color="auto"/>
        <w:bottom w:val="none" w:sz="0" w:space="0" w:color="auto"/>
        <w:right w:val="none" w:sz="0" w:space="0" w:color="auto"/>
      </w:divBdr>
    </w:div>
    <w:div w:id="1865753499">
      <w:bodyDiv w:val="1"/>
      <w:marLeft w:val="0"/>
      <w:marRight w:val="0"/>
      <w:marTop w:val="0"/>
      <w:marBottom w:val="0"/>
      <w:divBdr>
        <w:top w:val="none" w:sz="0" w:space="0" w:color="auto"/>
        <w:left w:val="none" w:sz="0" w:space="0" w:color="auto"/>
        <w:bottom w:val="none" w:sz="0" w:space="0" w:color="auto"/>
        <w:right w:val="none" w:sz="0" w:space="0" w:color="auto"/>
      </w:divBdr>
    </w:div>
    <w:div w:id="1872717050">
      <w:bodyDiv w:val="1"/>
      <w:marLeft w:val="0"/>
      <w:marRight w:val="0"/>
      <w:marTop w:val="0"/>
      <w:marBottom w:val="0"/>
      <w:divBdr>
        <w:top w:val="none" w:sz="0" w:space="0" w:color="auto"/>
        <w:left w:val="none" w:sz="0" w:space="0" w:color="auto"/>
        <w:bottom w:val="none" w:sz="0" w:space="0" w:color="auto"/>
        <w:right w:val="none" w:sz="0" w:space="0" w:color="auto"/>
      </w:divBdr>
    </w:div>
    <w:div w:id="1875342817">
      <w:bodyDiv w:val="1"/>
      <w:marLeft w:val="0"/>
      <w:marRight w:val="0"/>
      <w:marTop w:val="0"/>
      <w:marBottom w:val="0"/>
      <w:divBdr>
        <w:top w:val="none" w:sz="0" w:space="0" w:color="auto"/>
        <w:left w:val="none" w:sz="0" w:space="0" w:color="auto"/>
        <w:bottom w:val="none" w:sz="0" w:space="0" w:color="auto"/>
        <w:right w:val="none" w:sz="0" w:space="0" w:color="auto"/>
      </w:divBdr>
    </w:div>
    <w:div w:id="1891794787">
      <w:bodyDiv w:val="1"/>
      <w:marLeft w:val="0"/>
      <w:marRight w:val="0"/>
      <w:marTop w:val="0"/>
      <w:marBottom w:val="0"/>
      <w:divBdr>
        <w:top w:val="none" w:sz="0" w:space="0" w:color="auto"/>
        <w:left w:val="none" w:sz="0" w:space="0" w:color="auto"/>
        <w:bottom w:val="none" w:sz="0" w:space="0" w:color="auto"/>
        <w:right w:val="none" w:sz="0" w:space="0" w:color="auto"/>
      </w:divBdr>
    </w:div>
    <w:div w:id="1893230346">
      <w:bodyDiv w:val="1"/>
      <w:marLeft w:val="0"/>
      <w:marRight w:val="0"/>
      <w:marTop w:val="0"/>
      <w:marBottom w:val="0"/>
      <w:divBdr>
        <w:top w:val="none" w:sz="0" w:space="0" w:color="auto"/>
        <w:left w:val="none" w:sz="0" w:space="0" w:color="auto"/>
        <w:bottom w:val="none" w:sz="0" w:space="0" w:color="auto"/>
        <w:right w:val="none" w:sz="0" w:space="0" w:color="auto"/>
      </w:divBdr>
    </w:div>
    <w:div w:id="1898279913">
      <w:bodyDiv w:val="1"/>
      <w:marLeft w:val="0"/>
      <w:marRight w:val="0"/>
      <w:marTop w:val="0"/>
      <w:marBottom w:val="0"/>
      <w:divBdr>
        <w:top w:val="none" w:sz="0" w:space="0" w:color="auto"/>
        <w:left w:val="none" w:sz="0" w:space="0" w:color="auto"/>
        <w:bottom w:val="none" w:sz="0" w:space="0" w:color="auto"/>
        <w:right w:val="none" w:sz="0" w:space="0" w:color="auto"/>
      </w:divBdr>
    </w:div>
    <w:div w:id="1899971015">
      <w:bodyDiv w:val="1"/>
      <w:marLeft w:val="0"/>
      <w:marRight w:val="0"/>
      <w:marTop w:val="0"/>
      <w:marBottom w:val="0"/>
      <w:divBdr>
        <w:top w:val="none" w:sz="0" w:space="0" w:color="auto"/>
        <w:left w:val="none" w:sz="0" w:space="0" w:color="auto"/>
        <w:bottom w:val="none" w:sz="0" w:space="0" w:color="auto"/>
        <w:right w:val="none" w:sz="0" w:space="0" w:color="auto"/>
      </w:divBdr>
    </w:div>
    <w:div w:id="1933050974">
      <w:bodyDiv w:val="1"/>
      <w:marLeft w:val="0"/>
      <w:marRight w:val="0"/>
      <w:marTop w:val="0"/>
      <w:marBottom w:val="0"/>
      <w:divBdr>
        <w:top w:val="none" w:sz="0" w:space="0" w:color="auto"/>
        <w:left w:val="none" w:sz="0" w:space="0" w:color="auto"/>
        <w:bottom w:val="none" w:sz="0" w:space="0" w:color="auto"/>
        <w:right w:val="none" w:sz="0" w:space="0" w:color="auto"/>
      </w:divBdr>
    </w:div>
    <w:div w:id="1946766045">
      <w:bodyDiv w:val="1"/>
      <w:marLeft w:val="0"/>
      <w:marRight w:val="0"/>
      <w:marTop w:val="0"/>
      <w:marBottom w:val="0"/>
      <w:divBdr>
        <w:top w:val="none" w:sz="0" w:space="0" w:color="auto"/>
        <w:left w:val="none" w:sz="0" w:space="0" w:color="auto"/>
        <w:bottom w:val="none" w:sz="0" w:space="0" w:color="auto"/>
        <w:right w:val="none" w:sz="0" w:space="0" w:color="auto"/>
      </w:divBdr>
      <w:divsChild>
        <w:div w:id="125128295">
          <w:marLeft w:val="0"/>
          <w:marRight w:val="0"/>
          <w:marTop w:val="0"/>
          <w:marBottom w:val="0"/>
          <w:divBdr>
            <w:top w:val="none" w:sz="0" w:space="0" w:color="auto"/>
            <w:left w:val="none" w:sz="0" w:space="0" w:color="auto"/>
            <w:bottom w:val="none" w:sz="0" w:space="0" w:color="auto"/>
            <w:right w:val="none" w:sz="0" w:space="0" w:color="auto"/>
          </w:divBdr>
        </w:div>
      </w:divsChild>
    </w:div>
    <w:div w:id="1946882062">
      <w:bodyDiv w:val="1"/>
      <w:marLeft w:val="0"/>
      <w:marRight w:val="0"/>
      <w:marTop w:val="0"/>
      <w:marBottom w:val="0"/>
      <w:divBdr>
        <w:top w:val="none" w:sz="0" w:space="0" w:color="auto"/>
        <w:left w:val="none" w:sz="0" w:space="0" w:color="auto"/>
        <w:bottom w:val="none" w:sz="0" w:space="0" w:color="auto"/>
        <w:right w:val="none" w:sz="0" w:space="0" w:color="auto"/>
      </w:divBdr>
      <w:divsChild>
        <w:div w:id="837161851">
          <w:marLeft w:val="0"/>
          <w:marRight w:val="0"/>
          <w:marTop w:val="0"/>
          <w:marBottom w:val="0"/>
          <w:divBdr>
            <w:top w:val="none" w:sz="0" w:space="0" w:color="auto"/>
            <w:left w:val="none" w:sz="0" w:space="0" w:color="auto"/>
            <w:bottom w:val="none" w:sz="0" w:space="0" w:color="auto"/>
            <w:right w:val="none" w:sz="0" w:space="0" w:color="auto"/>
          </w:divBdr>
          <w:divsChild>
            <w:div w:id="486092668">
              <w:marLeft w:val="0"/>
              <w:marRight w:val="0"/>
              <w:marTop w:val="0"/>
              <w:marBottom w:val="0"/>
              <w:divBdr>
                <w:top w:val="none" w:sz="0" w:space="0" w:color="auto"/>
                <w:left w:val="none" w:sz="0" w:space="0" w:color="auto"/>
                <w:bottom w:val="none" w:sz="0" w:space="0" w:color="auto"/>
                <w:right w:val="none" w:sz="0" w:space="0" w:color="auto"/>
              </w:divBdr>
              <w:divsChild>
                <w:div w:id="1479615531">
                  <w:marLeft w:val="0"/>
                  <w:marRight w:val="0"/>
                  <w:marTop w:val="0"/>
                  <w:marBottom w:val="0"/>
                  <w:divBdr>
                    <w:top w:val="none" w:sz="0" w:space="0" w:color="auto"/>
                    <w:left w:val="none" w:sz="0" w:space="0" w:color="auto"/>
                    <w:bottom w:val="none" w:sz="0" w:space="0" w:color="auto"/>
                    <w:right w:val="none" w:sz="0" w:space="0" w:color="auto"/>
                  </w:divBdr>
                  <w:divsChild>
                    <w:div w:id="818153081">
                      <w:marLeft w:val="0"/>
                      <w:marRight w:val="0"/>
                      <w:marTop w:val="0"/>
                      <w:marBottom w:val="0"/>
                      <w:divBdr>
                        <w:top w:val="none" w:sz="0" w:space="0" w:color="auto"/>
                        <w:left w:val="none" w:sz="0" w:space="0" w:color="auto"/>
                        <w:bottom w:val="none" w:sz="0" w:space="0" w:color="auto"/>
                        <w:right w:val="none" w:sz="0" w:space="0" w:color="auto"/>
                      </w:divBdr>
                      <w:divsChild>
                        <w:div w:id="94403016">
                          <w:marLeft w:val="0"/>
                          <w:marRight w:val="0"/>
                          <w:marTop w:val="0"/>
                          <w:marBottom w:val="0"/>
                          <w:divBdr>
                            <w:top w:val="none" w:sz="0" w:space="0" w:color="auto"/>
                            <w:left w:val="none" w:sz="0" w:space="0" w:color="auto"/>
                            <w:bottom w:val="none" w:sz="0" w:space="0" w:color="auto"/>
                            <w:right w:val="none" w:sz="0" w:space="0" w:color="auto"/>
                          </w:divBdr>
                          <w:divsChild>
                            <w:div w:id="924726459">
                              <w:marLeft w:val="0"/>
                              <w:marRight w:val="0"/>
                              <w:marTop w:val="0"/>
                              <w:marBottom w:val="0"/>
                              <w:divBdr>
                                <w:top w:val="none" w:sz="0" w:space="0" w:color="auto"/>
                                <w:left w:val="none" w:sz="0" w:space="0" w:color="auto"/>
                                <w:bottom w:val="none" w:sz="0" w:space="0" w:color="auto"/>
                                <w:right w:val="none" w:sz="0" w:space="0" w:color="auto"/>
                              </w:divBdr>
                              <w:divsChild>
                                <w:div w:id="1851484259">
                                  <w:marLeft w:val="0"/>
                                  <w:marRight w:val="0"/>
                                  <w:marTop w:val="0"/>
                                  <w:marBottom w:val="0"/>
                                  <w:divBdr>
                                    <w:top w:val="none" w:sz="0" w:space="0" w:color="auto"/>
                                    <w:left w:val="none" w:sz="0" w:space="0" w:color="auto"/>
                                    <w:bottom w:val="none" w:sz="0" w:space="0" w:color="auto"/>
                                    <w:right w:val="none" w:sz="0" w:space="0" w:color="auto"/>
                                  </w:divBdr>
                                  <w:divsChild>
                                    <w:div w:id="204074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931055">
                          <w:marLeft w:val="0"/>
                          <w:marRight w:val="0"/>
                          <w:marTop w:val="0"/>
                          <w:marBottom w:val="0"/>
                          <w:divBdr>
                            <w:top w:val="none" w:sz="0" w:space="0" w:color="auto"/>
                            <w:left w:val="none" w:sz="0" w:space="0" w:color="auto"/>
                            <w:bottom w:val="none" w:sz="0" w:space="0" w:color="auto"/>
                            <w:right w:val="none" w:sz="0" w:space="0" w:color="auto"/>
                          </w:divBdr>
                          <w:divsChild>
                            <w:div w:id="1963027050">
                              <w:marLeft w:val="0"/>
                              <w:marRight w:val="0"/>
                              <w:marTop w:val="0"/>
                              <w:marBottom w:val="0"/>
                              <w:divBdr>
                                <w:top w:val="none" w:sz="0" w:space="0" w:color="auto"/>
                                <w:left w:val="none" w:sz="0" w:space="0" w:color="auto"/>
                                <w:bottom w:val="none" w:sz="0" w:space="0" w:color="auto"/>
                                <w:right w:val="none" w:sz="0" w:space="0" w:color="auto"/>
                              </w:divBdr>
                              <w:divsChild>
                                <w:div w:id="41478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8804239">
      <w:bodyDiv w:val="1"/>
      <w:marLeft w:val="0"/>
      <w:marRight w:val="0"/>
      <w:marTop w:val="0"/>
      <w:marBottom w:val="0"/>
      <w:divBdr>
        <w:top w:val="none" w:sz="0" w:space="0" w:color="auto"/>
        <w:left w:val="none" w:sz="0" w:space="0" w:color="auto"/>
        <w:bottom w:val="none" w:sz="0" w:space="0" w:color="auto"/>
        <w:right w:val="none" w:sz="0" w:space="0" w:color="auto"/>
      </w:divBdr>
    </w:div>
    <w:div w:id="1956061227">
      <w:bodyDiv w:val="1"/>
      <w:marLeft w:val="0"/>
      <w:marRight w:val="0"/>
      <w:marTop w:val="0"/>
      <w:marBottom w:val="0"/>
      <w:divBdr>
        <w:top w:val="none" w:sz="0" w:space="0" w:color="auto"/>
        <w:left w:val="none" w:sz="0" w:space="0" w:color="auto"/>
        <w:bottom w:val="none" w:sz="0" w:space="0" w:color="auto"/>
        <w:right w:val="none" w:sz="0" w:space="0" w:color="auto"/>
      </w:divBdr>
    </w:div>
    <w:div w:id="1961953158">
      <w:bodyDiv w:val="1"/>
      <w:marLeft w:val="0"/>
      <w:marRight w:val="0"/>
      <w:marTop w:val="0"/>
      <w:marBottom w:val="0"/>
      <w:divBdr>
        <w:top w:val="none" w:sz="0" w:space="0" w:color="auto"/>
        <w:left w:val="none" w:sz="0" w:space="0" w:color="auto"/>
        <w:bottom w:val="none" w:sz="0" w:space="0" w:color="auto"/>
        <w:right w:val="none" w:sz="0" w:space="0" w:color="auto"/>
      </w:divBdr>
      <w:divsChild>
        <w:div w:id="520825448">
          <w:marLeft w:val="0"/>
          <w:marRight w:val="0"/>
          <w:marTop w:val="0"/>
          <w:marBottom w:val="0"/>
          <w:divBdr>
            <w:top w:val="none" w:sz="0" w:space="0" w:color="auto"/>
            <w:left w:val="none" w:sz="0" w:space="0" w:color="auto"/>
            <w:bottom w:val="none" w:sz="0" w:space="0" w:color="auto"/>
            <w:right w:val="none" w:sz="0" w:space="0" w:color="auto"/>
          </w:divBdr>
        </w:div>
      </w:divsChild>
    </w:div>
    <w:div w:id="1979216517">
      <w:bodyDiv w:val="1"/>
      <w:marLeft w:val="0"/>
      <w:marRight w:val="0"/>
      <w:marTop w:val="0"/>
      <w:marBottom w:val="0"/>
      <w:divBdr>
        <w:top w:val="none" w:sz="0" w:space="0" w:color="auto"/>
        <w:left w:val="none" w:sz="0" w:space="0" w:color="auto"/>
        <w:bottom w:val="none" w:sz="0" w:space="0" w:color="auto"/>
        <w:right w:val="none" w:sz="0" w:space="0" w:color="auto"/>
      </w:divBdr>
    </w:div>
    <w:div w:id="1991592306">
      <w:bodyDiv w:val="1"/>
      <w:marLeft w:val="0"/>
      <w:marRight w:val="0"/>
      <w:marTop w:val="0"/>
      <w:marBottom w:val="0"/>
      <w:divBdr>
        <w:top w:val="none" w:sz="0" w:space="0" w:color="auto"/>
        <w:left w:val="none" w:sz="0" w:space="0" w:color="auto"/>
        <w:bottom w:val="none" w:sz="0" w:space="0" w:color="auto"/>
        <w:right w:val="none" w:sz="0" w:space="0" w:color="auto"/>
      </w:divBdr>
    </w:div>
    <w:div w:id="1991866779">
      <w:bodyDiv w:val="1"/>
      <w:marLeft w:val="0"/>
      <w:marRight w:val="0"/>
      <w:marTop w:val="0"/>
      <w:marBottom w:val="0"/>
      <w:divBdr>
        <w:top w:val="none" w:sz="0" w:space="0" w:color="auto"/>
        <w:left w:val="none" w:sz="0" w:space="0" w:color="auto"/>
        <w:bottom w:val="none" w:sz="0" w:space="0" w:color="auto"/>
        <w:right w:val="none" w:sz="0" w:space="0" w:color="auto"/>
      </w:divBdr>
    </w:div>
    <w:div w:id="2039235100">
      <w:bodyDiv w:val="1"/>
      <w:marLeft w:val="0"/>
      <w:marRight w:val="0"/>
      <w:marTop w:val="0"/>
      <w:marBottom w:val="0"/>
      <w:divBdr>
        <w:top w:val="none" w:sz="0" w:space="0" w:color="auto"/>
        <w:left w:val="none" w:sz="0" w:space="0" w:color="auto"/>
        <w:bottom w:val="none" w:sz="0" w:space="0" w:color="auto"/>
        <w:right w:val="none" w:sz="0" w:space="0" w:color="auto"/>
      </w:divBdr>
    </w:div>
    <w:div w:id="2070230062">
      <w:bodyDiv w:val="1"/>
      <w:marLeft w:val="0"/>
      <w:marRight w:val="0"/>
      <w:marTop w:val="0"/>
      <w:marBottom w:val="0"/>
      <w:divBdr>
        <w:top w:val="none" w:sz="0" w:space="0" w:color="auto"/>
        <w:left w:val="none" w:sz="0" w:space="0" w:color="auto"/>
        <w:bottom w:val="none" w:sz="0" w:space="0" w:color="auto"/>
        <w:right w:val="none" w:sz="0" w:space="0" w:color="auto"/>
      </w:divBdr>
    </w:div>
    <w:div w:id="2073775850">
      <w:bodyDiv w:val="1"/>
      <w:marLeft w:val="0"/>
      <w:marRight w:val="0"/>
      <w:marTop w:val="0"/>
      <w:marBottom w:val="0"/>
      <w:divBdr>
        <w:top w:val="none" w:sz="0" w:space="0" w:color="auto"/>
        <w:left w:val="none" w:sz="0" w:space="0" w:color="auto"/>
        <w:bottom w:val="none" w:sz="0" w:space="0" w:color="auto"/>
        <w:right w:val="none" w:sz="0" w:space="0" w:color="auto"/>
      </w:divBdr>
    </w:div>
    <w:div w:id="2081638465">
      <w:bodyDiv w:val="1"/>
      <w:marLeft w:val="0"/>
      <w:marRight w:val="0"/>
      <w:marTop w:val="0"/>
      <w:marBottom w:val="0"/>
      <w:divBdr>
        <w:top w:val="none" w:sz="0" w:space="0" w:color="auto"/>
        <w:left w:val="none" w:sz="0" w:space="0" w:color="auto"/>
        <w:bottom w:val="none" w:sz="0" w:space="0" w:color="auto"/>
        <w:right w:val="none" w:sz="0" w:space="0" w:color="auto"/>
      </w:divBdr>
      <w:divsChild>
        <w:div w:id="2092121612">
          <w:marLeft w:val="0"/>
          <w:marRight w:val="0"/>
          <w:marTop w:val="0"/>
          <w:marBottom w:val="0"/>
          <w:divBdr>
            <w:top w:val="none" w:sz="0" w:space="0" w:color="auto"/>
            <w:left w:val="none" w:sz="0" w:space="0" w:color="auto"/>
            <w:bottom w:val="none" w:sz="0" w:space="0" w:color="auto"/>
            <w:right w:val="none" w:sz="0" w:space="0" w:color="auto"/>
          </w:divBdr>
        </w:div>
      </w:divsChild>
    </w:div>
    <w:div w:id="2101442419">
      <w:bodyDiv w:val="1"/>
      <w:marLeft w:val="0"/>
      <w:marRight w:val="0"/>
      <w:marTop w:val="0"/>
      <w:marBottom w:val="0"/>
      <w:divBdr>
        <w:top w:val="none" w:sz="0" w:space="0" w:color="auto"/>
        <w:left w:val="none" w:sz="0" w:space="0" w:color="auto"/>
        <w:bottom w:val="none" w:sz="0" w:space="0" w:color="auto"/>
        <w:right w:val="none" w:sz="0" w:space="0" w:color="auto"/>
      </w:divBdr>
    </w:div>
    <w:div w:id="2103447634">
      <w:bodyDiv w:val="1"/>
      <w:marLeft w:val="0"/>
      <w:marRight w:val="0"/>
      <w:marTop w:val="0"/>
      <w:marBottom w:val="0"/>
      <w:divBdr>
        <w:top w:val="none" w:sz="0" w:space="0" w:color="auto"/>
        <w:left w:val="none" w:sz="0" w:space="0" w:color="auto"/>
        <w:bottom w:val="none" w:sz="0" w:space="0" w:color="auto"/>
        <w:right w:val="none" w:sz="0" w:space="0" w:color="auto"/>
      </w:divBdr>
    </w:div>
    <w:div w:id="2128885931">
      <w:bodyDiv w:val="1"/>
      <w:marLeft w:val="0"/>
      <w:marRight w:val="0"/>
      <w:marTop w:val="0"/>
      <w:marBottom w:val="0"/>
      <w:divBdr>
        <w:top w:val="none" w:sz="0" w:space="0" w:color="auto"/>
        <w:left w:val="none" w:sz="0" w:space="0" w:color="auto"/>
        <w:bottom w:val="none" w:sz="0" w:space="0" w:color="auto"/>
        <w:right w:val="none" w:sz="0" w:space="0" w:color="auto"/>
      </w:divBdr>
    </w:div>
    <w:div w:id="2130976138">
      <w:bodyDiv w:val="1"/>
      <w:marLeft w:val="0"/>
      <w:marRight w:val="0"/>
      <w:marTop w:val="0"/>
      <w:marBottom w:val="0"/>
      <w:divBdr>
        <w:top w:val="none" w:sz="0" w:space="0" w:color="auto"/>
        <w:left w:val="none" w:sz="0" w:space="0" w:color="auto"/>
        <w:bottom w:val="none" w:sz="0" w:space="0" w:color="auto"/>
        <w:right w:val="none" w:sz="0" w:space="0" w:color="auto"/>
      </w:divBdr>
      <w:divsChild>
        <w:div w:id="18866014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chartered.college/research-hub/the-importance-of-play-based-learning-beyond-eyfs/" TargetMode="External"/><Relationship Id="rId18" Type="http://schemas.openxmlformats.org/officeDocument/2006/relationships/hyperlink" Target="https://www.gov.uk/government/publications/early-years-foundation-stage-profile-handbook-2021" TargetMode="External"/><Relationship Id="rId26" Type="http://schemas.openxmlformats.org/officeDocument/2006/relationships/hyperlink" Target="https://eric.ed.gov/?id=ED628956" TargetMode="External"/><Relationship Id="rId39" Type="http://schemas.openxmlformats.org/officeDocument/2006/relationships/hyperlink" Target="https://tapestry.info/pupil-progress-tracker/" TargetMode="External"/><Relationship Id="rId21" Type="http://schemas.openxmlformats.org/officeDocument/2006/relationships/hyperlink" Target="https://assets.publishing.service.gov.uk/media/64e6002a20ae890014f26cbc/DfE_Development_Matters_Report_Sep2023.pdf" TargetMode="External"/><Relationship Id="rId34" Type="http://schemas.openxmlformats.org/officeDocument/2006/relationships/hyperlink" Target="https://www.playwales.org.uk" TargetMode="External"/><Relationship Id="rId42" Type="http://schemas.openxmlformats.org/officeDocument/2006/relationships/hyperlink" Target="https://www.gov.wales/sites/default/files/publications/2018-02/foundation-phase-framework-revised-2015.pdf" TargetMode="External"/><Relationship Id="rId47" Type="http://schemas.openxmlformats.org/officeDocument/2006/relationships/hyperlink" Target="https://hwb.gov.wales/api/storage/c05430f0-b9d3-4d5e-92a3-8ec30a60ddf1/assessment-arrangements-for-funded-non-maintained-nursery-settings.pdf" TargetMode="External"/><Relationship Id="rId50" Type="http://schemas.openxmlformats.org/officeDocument/2006/relationships/hyperlink" Target="https://hwb.gov.wales/curriculum-for-wales/early-childhood-play-learning-and-care-in-wal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6/707008" TargetMode="External"/><Relationship Id="rId29" Type="http://schemas.openxmlformats.org/officeDocument/2006/relationships/hyperlink" Target="https://doi.org/10.1080/09575146.2011.572870" TargetMode="External"/><Relationship Id="rId11" Type="http://schemas.openxmlformats.org/officeDocument/2006/relationships/hyperlink" Target="https://assets.publishing.service.gov.uk/media/5b76acef40f0b64350cbf7f8/003_Classroom_Assessments_v3.pdf" TargetMode="External"/><Relationship Id="rId24" Type="http://schemas.openxmlformats.org/officeDocument/2006/relationships/hyperlink" Target="https://www.estyn.gov.wales/system/files/2022-01/Effective%2520school%2520support%2520for%2520disadvantaged%2520and%2520vulnerable%2520pupils%2520en_0.pdf" TargetMode="External"/><Relationship Id="rId32" Type="http://schemas.openxmlformats.org/officeDocument/2006/relationships/hyperlink" Target="https://www.britishcouncil.org/programmes/creative-play/creativity-pretend-play" TargetMode="External"/><Relationship Id="rId37" Type="http://schemas.openxmlformats.org/officeDocument/2006/relationships/hyperlink" Target="https://www.researchgate.net/publication/234731770_Making_the_Case_for_Play_Policy_Research-Based_Reasons_to_Support_Play-Based_Environments" TargetMode="External"/><Relationship Id="rId40" Type="http://schemas.openxmlformats.org/officeDocument/2006/relationships/hyperlink" Target="https://www.cypcs.org.uk/rights/uncrc/articles/article-31/" TargetMode="External"/><Relationship Id="rId45" Type="http://schemas.openxmlformats.org/officeDocument/2006/relationships/hyperlink" Target="https://hwb.gov.wales/curriculum-for-wale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doi.org/10.4324/9780203465257" TargetMode="External"/><Relationship Id="rId19" Type="http://schemas.openxmlformats.org/officeDocument/2006/relationships/hyperlink" Target="https://www.gov.uk/government/publications/early-years-foundation-stage-framework--2" TargetMode="External"/><Relationship Id="rId31" Type="http://schemas.openxmlformats.org/officeDocument/2006/relationships/hyperlink" Target="https://www.gov.uk/government/publications/teacher-wellbeing-at-work-in-schools-and-further-education-providers" TargetMode="External"/><Relationship Id="rId44" Type="http://schemas.openxmlformats.org/officeDocument/2006/relationships/hyperlink" Target="https://www.gov.wales/sites/default/files/publications/2018-03/foundation-phase-profile-handbook-revised-september-2017.pdf"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00131911.2024.2432255" TargetMode="External"/><Relationship Id="rId14" Type="http://schemas.openxmlformats.org/officeDocument/2006/relationships/hyperlink" Target="https://www.childrenandnature.org/research-library/" TargetMode="External"/><Relationship Id="rId22" Type="http://schemas.openxmlformats.org/officeDocument/2006/relationships/hyperlink" Target="https://scholarworks.waldenu.edu/dissertations/15229" TargetMode="External"/><Relationship Id="rId27" Type="http://schemas.openxmlformats.org/officeDocument/2006/relationships/hyperlink" Target="https://doi.org/10.3390/children11111378" TargetMode="External"/><Relationship Id="rId30" Type="http://schemas.openxmlformats.org/officeDocument/2006/relationships/hyperlink" Target="https://doi.org/10.1080/1350293X.2013.789194" TargetMode="External"/><Relationship Id="rId35" Type="http://schemas.openxmlformats.org/officeDocument/2006/relationships/hyperlink" Target="https://doi.org/10.1080/00220671.2015.1118005" TargetMode="External"/><Relationship Id="rId43" Type="http://schemas.openxmlformats.org/officeDocument/2006/relationships/hyperlink" Target="https://hwb.gov.wales/storage/f9d85dba-85a4-4e87-bb58-a24730ad7e57/foundation-phase-profile-handbook-revised-september-2017.pdf" TargetMode="External"/><Relationship Id="rId48" Type="http://schemas.openxmlformats.org/officeDocument/2006/relationships/hyperlink" Target="https://www.gov.wales/curriculum-funded-non-maintained-nursery-settings" TargetMode="External"/><Relationship Id="rId8" Type="http://schemas.openxmlformats.org/officeDocument/2006/relationships/hyperlink" Target="https://birthto5matters.org.uk/observation-assessment-and-planning/" TargetMode="Externa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doi.org/10.5937/mp72-31878" TargetMode="External"/><Relationship Id="rId17" Type="http://schemas.openxmlformats.org/officeDocument/2006/relationships/hyperlink" Target="https://www.gov.uk/government/publications/national-curriculum-and-assessment-information-for-schools" TargetMode="External"/><Relationship Id="rId25" Type="http://schemas.openxmlformats.org/officeDocument/2006/relationships/hyperlink" Target="https://estyn.gov.wales/improvement-resources/supporting-pupils-with-additional-needs-through-change" TargetMode="External"/><Relationship Id="rId33" Type="http://schemas.openxmlformats.org/officeDocument/2006/relationships/hyperlink" Target="https://doi.org/10.3389/feduc.2022.751801" TargetMode="External"/><Relationship Id="rId38" Type="http://schemas.openxmlformats.org/officeDocument/2006/relationships/hyperlink" Target="https://theeducationhub.org.nz/what-is-assessment-in-early-childhood-education-2/" TargetMode="External"/><Relationship Id="rId46" Type="http://schemas.openxmlformats.org/officeDocument/2006/relationships/hyperlink" Target="https://hwb.gov.wales/curriculum-for-wales/assessment-arrangements/supporting-learner-progression-assessment-guidance/" TargetMode="External"/><Relationship Id="rId20" Type="http://schemas.openxmlformats.org/officeDocument/2006/relationships/hyperlink" Target="https://www.gov.uk/government/publications/early-years-foundation-stage-framework--2" TargetMode="External"/><Relationship Id="rId41" Type="http://schemas.openxmlformats.org/officeDocument/2006/relationships/hyperlink" Target="https://www.researchgate.net/publication/353419829_Balancing_child-centred_with_teacher-directed_approaches_to_early_education_Incorporating_young_children's_perspectiv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tate.2019.102966" TargetMode="External"/><Relationship Id="rId23" Type="http://schemas.openxmlformats.org/officeDocument/2006/relationships/hyperlink" Target="https://www.estyn.gov.wales/thematic-report/quality-provision-early-years-learners-non-maintained-settings" TargetMode="External"/><Relationship Id="rId28" Type="http://schemas.openxmlformats.org/officeDocument/2006/relationships/hyperlink" Target="https://doi.org/10.1080/09575140903443000" TargetMode="External"/><Relationship Id="rId36" Type="http://schemas.openxmlformats.org/officeDocument/2006/relationships/hyperlink" Target="https://doi.org/10.1080/03004430.2017.1324435" TargetMode="External"/><Relationship Id="rId49"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7220A1-3F91-4491-8C61-40674C71A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20</Pages>
  <Words>7586</Words>
  <Characters>43246</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Handley</dc:creator>
  <cp:keywords/>
  <dc:description/>
  <cp:lastModifiedBy>amie Handley</cp:lastModifiedBy>
  <cp:revision>16</cp:revision>
  <cp:lastPrinted>2025-06-13T13:38:00Z</cp:lastPrinted>
  <dcterms:created xsi:type="dcterms:W3CDTF">2025-06-22T15:28:00Z</dcterms:created>
  <dcterms:modified xsi:type="dcterms:W3CDTF">2025-06-22T15:44:00Z</dcterms:modified>
</cp:coreProperties>
</file>