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Crusades and Medieval Christianity</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left"/>
        <w:rPr>
          <w:rFonts w:ascii="Times New Roman" w:hAnsi="Times New Roman" w:cs="Times New Roman" w:eastAsia="Times New Roman"/>
          <w:b/>
          <w:i/>
          <w:color w:val="000000"/>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Introduction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The essay aims to discuss the topic of The Crusades and Medieval Christianity while including biblical passages, poems, political passages or historical documents. The mediaeval Pope sponsored military battles known as the Crusades during most of the so-called High Middle Ages (1096-1300 CE) to retake control of the Holy Lands from the Muslims (Asbidge, 2012). It implies that if they have a single source, it is most likely the Western Christian Church. Before the eleventh century, it was clear that the encouragement of battle was not at the top of the Vatican's priority list. These voyages were launched during the 11th and 13th centuries with the primary goal of regaining Jerusalem and other religious sites from Muslim control (Whalen, 2017). The Crusades, which arose from Mediaeval Christianity's passionate religious commitment, emerged as a critical point in the complicated fabric of the interaction between faith and violence during this century (Peters, 2017).</w:t>
      </w:r>
    </w:p>
    <w:p>
      <w:pPr>
        <w:keepNext w:val="true"/>
        <w:keepLines w:val="true"/>
        <w:spacing w:before="240" w:after="0" w:line="48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Discussion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The Crusades were a series of conflicts fought between Christians and Muslims for the purpose of occupying holy locations revered by both religions. Between the years 1096 and 1291, there were a total of eight significant Crusade missions, each with its own unique size, power, and level of success. The Crusades were motivated by religious faith, a sense of duty, and the promise of a better afterlife. As per Strack (2016), Pope Urban II used similarly impassioned language in 1095 at the Council of Clermont when he called on Christians to embark on a sacred mission to liberate the Holy Land. Pope Urban II drew on biblical themes in his speech, quoting passages that struck a chord with the mediaeval Christian mentality.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w:t>
      </w:r>
      <w:r>
        <w:rPr>
          <w:rFonts w:ascii="Times New Roman" w:hAnsi="Times New Roman" w:cs="Times New Roman" w:eastAsia="Times New Roman"/>
          <w:i/>
          <w:color w:val="auto"/>
          <w:spacing w:val="0"/>
          <w:position w:val="0"/>
          <w:sz w:val="24"/>
          <w:shd w:fill="auto" w:val="clear"/>
        </w:rPr>
        <w:t xml:space="preserve">Deus vult!" "God wills it!"</w:t>
      </w:r>
      <w:r>
        <w:rPr>
          <w:rFonts w:ascii="Times New Roman" w:hAnsi="Times New Roman" w:cs="Times New Roman" w:eastAsia="Times New Roman"/>
          <w:color w:val="auto"/>
          <w:spacing w:val="0"/>
          <w:position w:val="0"/>
          <w:sz w:val="24"/>
          <w:shd w:fill="auto" w:val="clear"/>
        </w:rPr>
        <w:t xml:space="preserve"> said Pope Urban II, urging Christians to take up arms in Christ's honour. In his speech, he invoked biblical imagery to emphasise the need for Christians to retake Jerusalem (Tessera, 2017). Pope Urban II said, "</w:t>
      </w:r>
      <w:r>
        <w:rPr>
          <w:rFonts w:ascii="Times New Roman" w:hAnsi="Times New Roman" w:cs="Times New Roman" w:eastAsia="Times New Roman"/>
          <w:i/>
          <w:color w:val="auto"/>
          <w:spacing w:val="0"/>
          <w:position w:val="0"/>
          <w:sz w:val="24"/>
          <w:shd w:fill="auto" w:val="clear"/>
        </w:rPr>
        <w:t xml:space="preserve">If anyone wishes to come after me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he must deny himself, take up his cross, and follow me."</w:t>
      </w:r>
      <w:r>
        <w:rPr>
          <w:rFonts w:ascii="Times New Roman" w:hAnsi="Times New Roman" w:cs="Times New Roman" w:eastAsia="Times New Roman"/>
          <w:color w:val="auto"/>
          <w:spacing w:val="0"/>
          <w:position w:val="0"/>
          <w:sz w:val="24"/>
          <w:shd w:fill="auto" w:val="clear"/>
        </w:rPr>
        <w:t xml:space="preserve"> This quote is from Matthew 16:24. This Bible command was a rallying cry for Christians to follow Christ's example and give their lives for a larger cause.</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As argued by Gabriele (2016), the Pope also skillfully relied on Old Testament scriptures, including the Psalms and Isaiah's prophecies, to emphasise the Crusade's supernatural inspiration. Pope Urban II wanted to unite Christians behind his cause by citing these sacred teachings, portraying the war endeavour as a divinely sanctioned duty.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The Crusades were more than just military victories. In retrospect, it's clear how their work influenced and improved practically every aspect of daily life at the time. As per Grable (2015), to begin with, even if the popes who advocated for the Crusades could muster an army and send it on a mission (though it is important to note that they never acquired the actual power of a field commander to oversee a battle or call for specific manoeuvres, at least not during the Crusades), their foray into the armed forces ultimately harmed rather than helped the papacy's reputation. By the time of the final Crusade, many in Europe saw the Pope as another war-mongering king rather than the protector of souls who stood before heaven's entrance (Tyerman, 2018).</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While religious passion was undoubtedly motivating, the Crusades also had enormous political consequences. In the mediaeval society, a complicated interplay existed between religious and secular authority, with monarchs and nobles wielding power. As seen in the research of Swenson (2015), many European kingdoms collaborated on the First Crusade despite competing political and geographical interests.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The speeches and declarations of secular politicians who aimed to take advantage of religious fervour to further their objectives bear political overtones reminiscent of the Crusades. Roland, a figure in the 11th-century epic poetry "</w:t>
      </w:r>
      <w:r>
        <w:rPr>
          <w:rFonts w:ascii="Times New Roman" w:hAnsi="Times New Roman" w:cs="Times New Roman" w:eastAsia="Times New Roman"/>
          <w:i/>
          <w:color w:val="auto"/>
          <w:spacing w:val="0"/>
          <w:position w:val="0"/>
          <w:sz w:val="24"/>
          <w:shd w:fill="auto" w:val="clear"/>
        </w:rPr>
        <w:t xml:space="preserve">The Song of Roland</w:t>
      </w:r>
      <w:r>
        <w:rPr>
          <w:rFonts w:ascii="Times New Roman" w:hAnsi="Times New Roman" w:cs="Times New Roman" w:eastAsia="Times New Roman"/>
          <w:color w:val="auto"/>
          <w:spacing w:val="0"/>
          <w:position w:val="0"/>
          <w:sz w:val="24"/>
          <w:shd w:fill="auto" w:val="clear"/>
        </w:rPr>
        <w:t xml:space="preserve">," is a perfect example of how political loyalty and religious duty can coexist (Yakar, 2021). Roland prays fervently, asking God to help him protect the Christian world as he prepares for an impending battle at the Battle of Roncevaux Pass.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passage taken from "The Song of Roland" States,</w:t>
      </w:r>
    </w:p>
    <w:p>
      <w:pPr>
        <w:spacing w:before="0" w:after="160" w:line="48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"O God, most fair and sovereign Majesty, Father and Son and Holy Ghost in one, Help France this day, and all her chivalry!"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This passage illustrates the intricate reasons why people joined the Crusades and how political loyalty and Christian religion may coexist. As per Cunningham (2015), the reference to the Holy Trinity emphasises the ingrained conviction that the Crusade was a holy mission approved by heavenly authority rather than just a geopolitical undertaking.</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The Crusades had a profound impact on the cultural and social fabric of mediaeval Europe, extending far beyond the realm of military conflict. According to Housley (2016), the interactions between the Christian and Islamic realms initiated a significant cultural interchange that profoundly influenced the evolution of both societies. The historical event known as the siege of Jerusalem in 1099 serves as a notable illustration of a cultural conflict that had a lasting impact on the collective consciousness of Christians and Muslims (Ben-Ami, 2015). This event has left a lasting imprint on various forms of expression, such as literature, art, and interfaith relations.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There is a rather common notion that the popes’ and crusaders’ primary goal was to rob the wealthy Middle East of the Middle Ages and conquer new lands. Theron and Oliver (2018) mention an existing opinion that the Crusades happened not out of idealism but in search of land, plunder, and power, as well as the will to convert the Muslim Middle East to Christianity. Heavy critique of the Crusades originates in the age of the Enlightenment with the invention of the term “</w:t>
      </w:r>
      <w:r>
        <w:rPr>
          <w:rFonts w:ascii="Times New Roman" w:hAnsi="Times New Roman" w:cs="Times New Roman" w:eastAsia="Times New Roman"/>
          <w:i/>
          <w:color w:val="auto"/>
          <w:spacing w:val="0"/>
          <w:position w:val="0"/>
          <w:sz w:val="24"/>
          <w:shd w:fill="auto" w:val="clear"/>
        </w:rPr>
        <w:t xml:space="preserve">The Dark Ages</w:t>
      </w:r>
      <w:r>
        <w:rPr>
          <w:rFonts w:ascii="Times New Roman" w:hAnsi="Times New Roman" w:cs="Times New Roman" w:eastAsia="Times New Roman"/>
          <w:color w:val="auto"/>
          <w:spacing w:val="0"/>
          <w:position w:val="0"/>
          <w:sz w:val="24"/>
          <w:shd w:fill="auto" w:val="clear"/>
        </w:rPr>
        <w:t xml:space="preserve">,” which implies the violence and aggression of the Crusaders and is aimed to vilify the church (O’Leary, 2022). Arguably, this takes on the crusades and focuses solely on the materialist side of the events.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 As per Rowan (2019), the Crusades promoted knowledge sharing and a nuanced connection between Christians and Muslims. Although religion was the main driving force behind the Crusades, relations between the two factions frequently went beyond simple hate. This complex viewpoint is reflected in the epic poem "</w:t>
      </w:r>
      <w:r>
        <w:rPr>
          <w:rFonts w:ascii="Times New Roman" w:hAnsi="Times New Roman" w:cs="Times New Roman" w:eastAsia="Times New Roman"/>
          <w:i/>
          <w:color w:val="auto"/>
          <w:spacing w:val="0"/>
          <w:position w:val="0"/>
          <w:sz w:val="24"/>
          <w:shd w:fill="auto" w:val="clear"/>
        </w:rPr>
        <w:t xml:space="preserve">Sir Gawain and the Green Knight</w:t>
      </w:r>
      <w:r>
        <w:rPr>
          <w:rFonts w:ascii="Times New Roman" w:hAnsi="Times New Roman" w:cs="Times New Roman" w:eastAsia="Times New Roman"/>
          <w:color w:val="auto"/>
          <w:spacing w:val="0"/>
          <w:position w:val="0"/>
          <w:sz w:val="24"/>
          <w:shd w:fill="auto" w:val="clear"/>
        </w:rPr>
        <w:t xml:space="preserve">," composed in the latter part of the 14th century. The poem, which is not specifically about the Crusades, shows Sir Gawain, a Christian knight, going through a number of trials that put his faith and valour to the test (Gemuva, 2016). Following the Crusades, a mix of cultures arose, reflected in the chivalric code personified by Gawain. This legacy of courtly love and Christian principles came together to form this code.</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Furthermore, chivalry, an ethical system that prioritised bravery, integrity, and politeness, emerged as a prominent characteristic of mediaeval European civilisation and can be traced back to the historical context of the Crusades. As per Courtier (2017), the Crusades provided a platform for the manifestation of chivalric ideals. Knights considered the epitome of chivalry, saw themselves as Christian warriors defending the faith in the name of God. The chivalric code emphasised virtues such as courage, honour, and loyalty, which found expression in the context of the Crusades. As mentioned by Pavel (2015), the call to take up arms for a holy cause resonated deeply with the knightly ethos, elevating their martial pursuits to a sacred duty.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Moreover, during the Crusades, theologians engaged in a profound examination of the ethical ramifications associated with the concept of holy war. The </w:t>
      </w:r>
      <w:r>
        <w:rPr>
          <w:rFonts w:ascii="Times New Roman" w:hAnsi="Times New Roman" w:cs="Times New Roman" w:eastAsia="Times New Roman"/>
          <w:i/>
          <w:color w:val="auto"/>
          <w:spacing w:val="0"/>
          <w:position w:val="0"/>
          <w:sz w:val="24"/>
          <w:shd w:fill="auto" w:val="clear"/>
        </w:rPr>
        <w:t xml:space="preserve">"just war</w:t>
      </w:r>
      <w:r>
        <w:rPr>
          <w:rFonts w:ascii="Times New Roman" w:hAnsi="Times New Roman" w:cs="Times New Roman" w:eastAsia="Times New Roman"/>
          <w:color w:val="auto"/>
          <w:spacing w:val="0"/>
          <w:position w:val="0"/>
          <w:sz w:val="24"/>
          <w:shd w:fill="auto" w:val="clear"/>
        </w:rPr>
        <w:t xml:space="preserve">" theory formulated by St. Augustine, aimed at establishing ethical guidelines for engaging in battle, served as a significant framework for mediaeval theologians as they deliberated upon the moral justification of the Crusades (Busek, 2015). Nevertheless, it is important to note that not all perspectives within the Christian faith supported the military campaigns conducted in the Eastern regions.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w:t>
      </w:r>
      <w:r>
        <w:rPr>
          <w:rFonts w:ascii="Times New Roman" w:hAnsi="Times New Roman" w:cs="Times New Roman" w:eastAsia="Times New Roman"/>
          <w:i/>
          <w:color w:val="auto"/>
          <w:spacing w:val="0"/>
          <w:position w:val="0"/>
          <w:sz w:val="24"/>
          <w:shd w:fill="auto" w:val="clear"/>
        </w:rPr>
        <w:t xml:space="preserve">In Praise of the New Knighthood</w:t>
      </w:r>
      <w:r>
        <w:rPr>
          <w:rFonts w:ascii="Times New Roman" w:hAnsi="Times New Roman" w:cs="Times New Roman" w:eastAsia="Times New Roman"/>
          <w:color w:val="auto"/>
          <w:spacing w:val="0"/>
          <w:position w:val="0"/>
          <w:sz w:val="24"/>
          <w:shd w:fill="auto" w:val="clear"/>
        </w:rPr>
        <w:t xml:space="preserve">" was authored by St. Bernard of Clairvaux, a renowned theologian of the mediaeval era who actively advocated for and endorsed the Second Crusade (Tibbel, 2023). Within this scholarly piece, Bernard eloquently praises the commendable qualities exhibited by the esteemed knightly organisation recognised as the Knights Templar. Bernard expressed support for the concept of holy war. As cited in Jones and Coss (2019), the author of "</w:t>
      </w:r>
      <w:r>
        <w:rPr>
          <w:rFonts w:ascii="Times New Roman" w:hAnsi="Times New Roman" w:cs="Times New Roman" w:eastAsia="Times New Roman"/>
          <w:i/>
          <w:color w:val="auto"/>
          <w:spacing w:val="0"/>
          <w:position w:val="0"/>
          <w:sz w:val="24"/>
          <w:shd w:fill="auto" w:val="clear"/>
        </w:rPr>
        <w:t xml:space="preserve">In Praise of the New Knighthood</w:t>
      </w:r>
      <w:r>
        <w:rPr>
          <w:rFonts w:ascii="Times New Roman" w:hAnsi="Times New Roman" w:cs="Times New Roman" w:eastAsia="Times New Roman"/>
          <w:color w:val="auto"/>
          <w:spacing w:val="0"/>
          <w:position w:val="0"/>
          <w:sz w:val="24"/>
          <w:shd w:fill="auto" w:val="clear"/>
        </w:rPr>
        <w:t xml:space="preserve">" asserts that the knight who serves Christ can strike with assurance and face defeat with greater certainty. When he engages in action, he performs a service in the name of Christ; when he yields to adversity, he receives a reward from Him in the form of a crown (Heilman, 2021).</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Thus, the majority of their victims were members of the Islamic faith, with whom they had been in conflict for two centuries (Stark, 2016). It required a two-century endeavour for the recovery of the Holy Lands, and The Crusaders failed to reclaim the Holy Lands, but there were six major Crusades and several smaller notable Crusades following the first Crusade (Keder et al., 2016). There were no further Crusades after the final Catholic stronghold was taken in 1291, but the human cost was felt for much longer in Northern and Western Europe. </w:t>
      </w:r>
    </w:p>
    <w:p>
      <w:pPr>
        <w:keepNext w:val="true"/>
        <w:keepLines w:val="true"/>
        <w:spacing w:before="240" w:after="0" w:line="48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Conclusion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 xml:space="preserve">This extensive examination of the Crusades and Mediaeval Christianity encompasses an in-depth analysis of the religious zeal that launched these military expeditions, the intricate political dynamics that influenced their course, and the wide-ranging cultural and societal ramifications that ensued. The enduring impact of the Crusades demonstrates the complex relationship between religious beliefs and warfare, characterised by a multifaceted combination of religious fervour, political aspirations, cultural interchange, and ethical contemplation over the concept of righteous warfare. Upon contemplation of this turbulent era in history, it becomes apparent that the Crusades transcended mere military undertakings, instead serving as a transformative catalyst that changed the identity of mediaeval Europe and influenced the trajectory of Western civilisation.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References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Asbridge, T., 2012. </w:t>
      </w:r>
      <w:r>
        <w:rPr>
          <w:rFonts w:ascii="Times New Roman" w:hAnsi="Times New Roman" w:cs="Times New Roman" w:eastAsia="Times New Roman"/>
          <w:i/>
          <w:color w:val="222222"/>
          <w:spacing w:val="0"/>
          <w:position w:val="0"/>
          <w:sz w:val="24"/>
          <w:shd w:fill="FFFFFF" w:val="clear"/>
        </w:rPr>
        <w:t xml:space="preserve">The crusades: The war for the Holy Land</w:t>
      </w:r>
      <w:r>
        <w:rPr>
          <w:rFonts w:ascii="Times New Roman" w:hAnsi="Times New Roman" w:cs="Times New Roman" w:eastAsia="Times New Roman"/>
          <w:color w:val="222222"/>
          <w:spacing w:val="0"/>
          <w:position w:val="0"/>
          <w:sz w:val="24"/>
          <w:shd w:fill="FFFFFF" w:val="clear"/>
        </w:rPr>
        <w:t xml:space="preserve">. Simon and Schuster.</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Ben-Ami, A., 2015. </w:t>
      </w:r>
      <w:r>
        <w:rPr>
          <w:rFonts w:ascii="Times New Roman" w:hAnsi="Times New Roman" w:cs="Times New Roman" w:eastAsia="Times New Roman"/>
          <w:i/>
          <w:color w:val="222222"/>
          <w:spacing w:val="0"/>
          <w:position w:val="0"/>
          <w:sz w:val="24"/>
          <w:shd w:fill="FFFFFF" w:val="clear"/>
        </w:rPr>
        <w:t xml:space="preserve">Social change in a hostile environment: the crusaders' kingdom of Jerusalem</w:t>
      </w:r>
      <w:r>
        <w:rPr>
          <w:rFonts w:ascii="Times New Roman" w:hAnsi="Times New Roman" w:cs="Times New Roman" w:eastAsia="Times New Roman"/>
          <w:color w:val="222222"/>
          <w:spacing w:val="0"/>
          <w:position w:val="0"/>
          <w:sz w:val="24"/>
          <w:shd w:fill="FFFFFF" w:val="clear"/>
        </w:rPr>
        <w:t xml:space="preserve"> (Vol. 2062). Princeton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Busek, R., 2015. Defenders of the faith: Augustine, aquinas, and the evolution of medieval just war theory. </w:t>
      </w:r>
      <w:r>
        <w:rPr>
          <w:rFonts w:ascii="Times New Roman" w:hAnsi="Times New Roman" w:cs="Times New Roman" w:eastAsia="Times New Roman"/>
          <w:i/>
          <w:color w:val="222222"/>
          <w:spacing w:val="0"/>
          <w:position w:val="0"/>
          <w:sz w:val="24"/>
          <w:shd w:fill="FFFFFF" w:val="clear"/>
        </w:rPr>
        <w:t xml:space="preserve">The Saber and Scroll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w:t>
      </w:r>
      <w:r>
        <w:rPr>
          <w:rFonts w:ascii="Times New Roman" w:hAnsi="Times New Roman" w:cs="Times New Roman" w:eastAsia="Times New Roman"/>
          <w:color w:val="222222"/>
          <w:spacing w:val="0"/>
          <w:position w:val="0"/>
          <w:sz w:val="24"/>
          <w:shd w:fill="FFFFFF" w:val="clear"/>
        </w:rPr>
        <w:t xml:space="preserve">(1).</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Courtier, B., 2017. </w:t>
      </w:r>
      <w:r>
        <w:rPr>
          <w:rFonts w:ascii="Times New Roman" w:hAnsi="Times New Roman" w:cs="Times New Roman" w:eastAsia="Times New Roman"/>
          <w:i/>
          <w:color w:val="222222"/>
          <w:spacing w:val="0"/>
          <w:position w:val="0"/>
          <w:sz w:val="24"/>
          <w:shd w:fill="FFFFFF" w:val="clear"/>
        </w:rPr>
        <w:t xml:space="preserve">Analysing the Masculinity of the Knights of the Military Orders: Warrior Monks or Pious Knights? The Developing Identity of the Military Orders</w:t>
      </w:r>
      <w:r>
        <w:rPr>
          <w:rFonts w:ascii="Times New Roman" w:hAnsi="Times New Roman" w:cs="Times New Roman" w:eastAsia="Times New Roman"/>
          <w:color w:val="222222"/>
          <w:spacing w:val="0"/>
          <w:position w:val="0"/>
          <w:sz w:val="24"/>
          <w:shd w:fill="FFFFFF" w:val="clear"/>
        </w:rPr>
        <w:t xml:space="preserve"> (Doctoral dissertation, University of Huddersfield).</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Cunningham, K., 2015. Historical Perspective and the Song of Roland. </w:t>
      </w:r>
      <w:r>
        <w:rPr>
          <w:rFonts w:ascii="Times New Roman" w:hAnsi="Times New Roman" w:cs="Times New Roman" w:eastAsia="Times New Roman"/>
          <w:i/>
          <w:color w:val="222222"/>
          <w:spacing w:val="0"/>
          <w:position w:val="0"/>
          <w:sz w:val="24"/>
          <w:shd w:fill="FFFFFF" w:val="clear"/>
        </w:rPr>
        <w:t xml:space="preserve">Primary Source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(2).</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Cunningham, K., 2015. Historical Perspective and the Song of Roland. </w:t>
      </w:r>
      <w:r>
        <w:rPr>
          <w:rFonts w:ascii="Times New Roman" w:hAnsi="Times New Roman" w:cs="Times New Roman" w:eastAsia="Times New Roman"/>
          <w:i/>
          <w:color w:val="222222"/>
          <w:spacing w:val="0"/>
          <w:position w:val="0"/>
          <w:sz w:val="24"/>
          <w:shd w:fill="FFFFFF" w:val="clear"/>
        </w:rPr>
        <w:t xml:space="preserve">Primary Source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(2).</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Gabriele, M., 2016. From prophecy to apocalypse: the verb tenses of Jerusalem in Robert the Monk's Historia of the First Crusade. </w:t>
      </w:r>
      <w:r>
        <w:rPr>
          <w:rFonts w:ascii="Times New Roman" w:hAnsi="Times New Roman" w:cs="Times New Roman" w:eastAsia="Times New Roman"/>
          <w:i/>
          <w:color w:val="222222"/>
          <w:spacing w:val="0"/>
          <w:position w:val="0"/>
          <w:sz w:val="24"/>
          <w:shd w:fill="FFFFFF" w:val="clear"/>
        </w:rPr>
        <w:t xml:space="preserve">Journal of Medieval History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42</w:t>
      </w:r>
      <w:r>
        <w:rPr>
          <w:rFonts w:ascii="Times New Roman" w:hAnsi="Times New Roman" w:cs="Times New Roman" w:eastAsia="Times New Roman"/>
          <w:color w:val="222222"/>
          <w:spacing w:val="0"/>
          <w:position w:val="0"/>
          <w:sz w:val="24"/>
          <w:shd w:fill="FFFFFF" w:val="clear"/>
        </w:rPr>
        <w:t xml:space="preserve">(3), pp.304-316.</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Gemueva, T.R., 2016. THE REPRESENTATION OF COURTESY IN THE 14 TH CENTURY CHIVALRIC ROMANCE SIR GAWAIN AND THE GREEN KNIGHT. </w:t>
      </w:r>
      <w:r>
        <w:rPr>
          <w:rFonts w:ascii="Times New Roman" w:hAnsi="Times New Roman" w:cs="Times New Roman" w:eastAsia="Times New Roman"/>
          <w:i/>
          <w:color w:val="222222"/>
          <w:spacing w:val="0"/>
          <w:position w:val="0"/>
          <w:sz w:val="24"/>
          <w:shd w:fill="FFFFFF" w:val="clear"/>
        </w:rPr>
        <w:t xml:space="preserve">International scientific journal</w:t>
      </w:r>
      <w:r>
        <w:rPr>
          <w:rFonts w:ascii="Times New Roman" w:hAnsi="Times New Roman" w:cs="Times New Roman" w:eastAsia="Times New Roman"/>
          <w:color w:val="222222"/>
          <w:spacing w:val="0"/>
          <w:position w:val="0"/>
          <w:sz w:val="24"/>
          <w:shd w:fill="FFFFFF" w:val="clear"/>
        </w:rPr>
        <w:t xml:space="preserve">, p.38.</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Grable, T.G., 2015. The Fourth Crusade: How Internal Dynamics and Leadership Transitions Could Have Led to its Diversion and Ultimate Failure.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Heilman, W., 2021. </w:t>
      </w:r>
      <w:r>
        <w:rPr>
          <w:rFonts w:ascii="Times New Roman" w:hAnsi="Times New Roman" w:cs="Times New Roman" w:eastAsia="Times New Roman"/>
          <w:i/>
          <w:color w:val="222222"/>
          <w:spacing w:val="0"/>
          <w:position w:val="0"/>
          <w:sz w:val="24"/>
          <w:shd w:fill="FFFFFF" w:val="clear"/>
        </w:rPr>
        <w:t xml:space="preserve">The Paradox of Violence as Christian Discipleship; Bernard of Clairvaux, the Knights Templar and the Second Crusade</w:t>
      </w:r>
      <w:r>
        <w:rPr>
          <w:rFonts w:ascii="Times New Roman" w:hAnsi="Times New Roman" w:cs="Times New Roman" w:eastAsia="Times New Roman"/>
          <w:color w:val="222222"/>
          <w:spacing w:val="0"/>
          <w:position w:val="0"/>
          <w:sz w:val="24"/>
          <w:shd w:fill="FFFFFF" w:val="clear"/>
        </w:rPr>
        <w:t xml:space="preserve">. Lutheran School of Theology at Chicago.. Kedar, B.Z., Riley-Smith, J., Evans, M. and Phillips, J., 2016. Society for the Study of the Crusades and the Latin East: Bulletin No. 25, 2005. In </w:t>
      </w:r>
      <w:r>
        <w:rPr>
          <w:rFonts w:ascii="Times New Roman" w:hAnsi="Times New Roman" w:cs="Times New Roman" w:eastAsia="Times New Roman"/>
          <w:i/>
          <w:color w:val="222222"/>
          <w:spacing w:val="0"/>
          <w:position w:val="0"/>
          <w:sz w:val="24"/>
          <w:shd w:fill="FFFFFF" w:val="clear"/>
        </w:rPr>
        <w:t xml:space="preserve">Crusades</w:t>
      </w:r>
      <w:r>
        <w:rPr>
          <w:rFonts w:ascii="Times New Roman" w:hAnsi="Times New Roman" w:cs="Times New Roman" w:eastAsia="Times New Roman"/>
          <w:color w:val="222222"/>
          <w:spacing w:val="0"/>
          <w:position w:val="0"/>
          <w:sz w:val="24"/>
          <w:shd w:fill="FFFFFF" w:val="clear"/>
        </w:rPr>
        <w:t xml:space="preserve"> (pp. 197-252). Routledge.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Housley, N. ed., 2016. </w:t>
      </w:r>
      <w:r>
        <w:rPr>
          <w:rFonts w:ascii="Times New Roman" w:hAnsi="Times New Roman" w:cs="Times New Roman" w:eastAsia="Times New Roman"/>
          <w:i/>
          <w:color w:val="222222"/>
          <w:spacing w:val="0"/>
          <w:position w:val="0"/>
          <w:sz w:val="24"/>
          <w:shd w:fill="FFFFFF" w:val="clear"/>
        </w:rPr>
        <w:t xml:space="preserve">The Crusade in the Fifteenth Century: Converging and competing cultures</w:t>
      </w:r>
      <w:r>
        <w:rPr>
          <w:rFonts w:ascii="Times New Roman" w:hAnsi="Times New Roman" w:cs="Times New Roman" w:eastAsia="Times New Roman"/>
          <w:color w:val="222222"/>
          <w:spacing w:val="0"/>
          <w:position w:val="0"/>
          <w:sz w:val="24"/>
          <w:shd w:fill="FFFFFF" w:val="clear"/>
        </w:rPr>
        <w:t xml:space="preserve">. Routledge.</w:t>
      </w:r>
    </w:p>
    <w:p>
      <w:pPr>
        <w:spacing w:before="0" w:after="16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Jones, R.W. and Coss, P.R. eds., 2019. </w:t>
      </w:r>
      <w:r>
        <w:rPr>
          <w:rFonts w:ascii="Times New Roman" w:hAnsi="Times New Roman" w:cs="Times New Roman" w:eastAsia="Times New Roman"/>
          <w:i/>
          <w:color w:val="222222"/>
          <w:spacing w:val="0"/>
          <w:position w:val="0"/>
          <w:sz w:val="24"/>
          <w:shd w:fill="FFFFFF" w:val="clear"/>
        </w:rPr>
        <w:t xml:space="preserve">A companion to chivalry</w:t>
      </w:r>
      <w:r>
        <w:rPr>
          <w:rFonts w:ascii="Times New Roman" w:hAnsi="Times New Roman" w:cs="Times New Roman" w:eastAsia="Times New Roman"/>
          <w:color w:val="222222"/>
          <w:spacing w:val="0"/>
          <w:position w:val="0"/>
          <w:sz w:val="24"/>
          <w:shd w:fill="FFFFFF" w:val="clear"/>
        </w:rPr>
        <w:t xml:space="preserve">. Boydell &amp; Brewer. Busek, R., 2015. Defenders of the faith: Augustine, aquinas, and the evolution of medieval just war theory. </w:t>
      </w:r>
      <w:r>
        <w:rPr>
          <w:rFonts w:ascii="Times New Roman" w:hAnsi="Times New Roman" w:cs="Times New Roman" w:eastAsia="Times New Roman"/>
          <w:i/>
          <w:color w:val="222222"/>
          <w:spacing w:val="0"/>
          <w:position w:val="0"/>
          <w:sz w:val="24"/>
          <w:shd w:fill="FFFFFF" w:val="clear"/>
        </w:rPr>
        <w:t xml:space="preserve">The Saber and Scroll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w:t>
      </w:r>
      <w:r>
        <w:rPr>
          <w:rFonts w:ascii="Times New Roman" w:hAnsi="Times New Roman" w:cs="Times New Roman" w:eastAsia="Times New Roman"/>
          <w:color w:val="222222"/>
          <w:spacing w:val="0"/>
          <w:position w:val="0"/>
          <w:sz w:val="24"/>
          <w:shd w:fill="FFFFFF" w:val="clear"/>
        </w:rPr>
        <w:t xml:space="preserve">(1).</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O’Leary, J.R., 2022. Enlightening the “Dark Ages”: Historical Genealogy and the Medieval Narrative. In </w:t>
      </w:r>
      <w:r>
        <w:rPr>
          <w:rFonts w:ascii="Times New Roman" w:hAnsi="Times New Roman" w:cs="Times New Roman" w:eastAsia="Times New Roman"/>
          <w:i/>
          <w:color w:val="222222"/>
          <w:spacing w:val="0"/>
          <w:position w:val="0"/>
          <w:sz w:val="24"/>
          <w:shd w:fill="FFFFFF" w:val="clear"/>
        </w:rPr>
        <w:t xml:space="preserve">The Forum: Journal of History</w:t>
      </w:r>
      <w:r>
        <w:rPr>
          <w:rFonts w:ascii="Times New Roman" w:hAnsi="Times New Roman" w:cs="Times New Roman" w:eastAsia="Times New Roman"/>
          <w:color w:val="222222"/>
          <w:spacing w:val="0"/>
          <w:position w:val="0"/>
          <w:sz w:val="24"/>
          <w:shd w:fill="FFFFFF" w:val="clear"/>
        </w:rPr>
        <w:t xml:space="preserve"> (Vol. 14, No. 1, p. 9).</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Pavel, T.G., 2015. </w:t>
      </w:r>
      <w:r>
        <w:rPr>
          <w:rFonts w:ascii="Times New Roman" w:hAnsi="Times New Roman" w:cs="Times New Roman" w:eastAsia="Times New Roman"/>
          <w:i/>
          <w:color w:val="222222"/>
          <w:spacing w:val="0"/>
          <w:position w:val="0"/>
          <w:sz w:val="24"/>
          <w:shd w:fill="FFFFFF" w:val="clear"/>
        </w:rPr>
        <w:t xml:space="preserve">The lives of the novel: A history</w:t>
      </w:r>
      <w:r>
        <w:rPr>
          <w:rFonts w:ascii="Times New Roman" w:hAnsi="Times New Roman" w:cs="Times New Roman" w:eastAsia="Times New Roman"/>
          <w:color w:val="222222"/>
          <w:spacing w:val="0"/>
          <w:position w:val="0"/>
          <w:sz w:val="24"/>
          <w:shd w:fill="FFFFFF" w:val="clear"/>
        </w:rPr>
        <w:t xml:space="preserve">. Princeton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Peters, D., 2017. </w:t>
      </w:r>
      <w:r>
        <w:rPr>
          <w:rFonts w:ascii="Times New Roman" w:hAnsi="Times New Roman" w:cs="Times New Roman" w:eastAsia="Times New Roman"/>
          <w:i/>
          <w:color w:val="222222"/>
          <w:spacing w:val="0"/>
          <w:position w:val="0"/>
          <w:sz w:val="24"/>
          <w:shd w:fill="FFFFFF" w:val="clear"/>
        </w:rPr>
        <w:t xml:space="preserve">The First Crusade and the Idea of Crusading</w:t>
      </w:r>
      <w:r>
        <w:rPr>
          <w:rFonts w:ascii="Times New Roman" w:hAnsi="Times New Roman" w:cs="Times New Roman" w:eastAsia="Times New Roman"/>
          <w:color w:val="222222"/>
          <w:spacing w:val="0"/>
          <w:position w:val="0"/>
          <w:sz w:val="24"/>
          <w:shd w:fill="FFFFFF" w:val="clear"/>
        </w:rPr>
        <w:t xml:space="preserve">. CRC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Rowan, S.F., 2019. </w:t>
      </w:r>
      <w:r>
        <w:rPr>
          <w:rFonts w:ascii="Times New Roman" w:hAnsi="Times New Roman" w:cs="Times New Roman" w:eastAsia="Times New Roman"/>
          <w:i/>
          <w:color w:val="222222"/>
          <w:spacing w:val="0"/>
          <w:position w:val="0"/>
          <w:sz w:val="24"/>
          <w:shd w:fill="FFFFFF" w:val="clear"/>
        </w:rPr>
        <w:t xml:space="preserve">Reimagined History: Trauma as Provocation for the First Crusade</w:t>
      </w:r>
      <w:r>
        <w:rPr>
          <w:rFonts w:ascii="Times New Roman" w:hAnsi="Times New Roman" w:cs="Times New Roman" w:eastAsia="Times New Roman"/>
          <w:color w:val="222222"/>
          <w:spacing w:val="0"/>
          <w:position w:val="0"/>
          <w:sz w:val="24"/>
          <w:shd w:fill="FFFFFF" w:val="clear"/>
        </w:rPr>
        <w:t xml:space="preserve"> (Doctoral dissertation).</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Stark, R., 2016. The case for the Crusades. </w:t>
      </w:r>
      <w:r>
        <w:rPr>
          <w:rFonts w:ascii="Times New Roman" w:hAnsi="Times New Roman" w:cs="Times New Roman" w:eastAsia="Times New Roman"/>
          <w:i/>
          <w:color w:val="222222"/>
          <w:spacing w:val="0"/>
          <w:position w:val="0"/>
          <w:sz w:val="24"/>
          <w:shd w:fill="FFFFFF" w:val="clear"/>
        </w:rPr>
        <w:t xml:space="preserve">The Southern Bapfist Journal of Theology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20</w:t>
      </w:r>
      <w:r>
        <w:rPr>
          <w:rFonts w:ascii="Times New Roman" w:hAnsi="Times New Roman" w:cs="Times New Roman" w:eastAsia="Times New Roman"/>
          <w:color w:val="222222"/>
          <w:spacing w:val="0"/>
          <w:position w:val="0"/>
          <w:sz w:val="24"/>
          <w:shd w:fill="FFFFFF" w:val="clear"/>
        </w:rPr>
        <w:t xml:space="preserve">(2), pp.9-28.</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Strack, G., 2016. Pope Urban ii and Jerusalem: a re-examination of his letters on the First Crusade. </w:t>
      </w:r>
      <w:r>
        <w:rPr>
          <w:rFonts w:ascii="Times New Roman" w:hAnsi="Times New Roman" w:cs="Times New Roman" w:eastAsia="Times New Roman"/>
          <w:i/>
          <w:color w:val="222222"/>
          <w:spacing w:val="0"/>
          <w:position w:val="0"/>
          <w:sz w:val="24"/>
          <w:shd w:fill="FFFFFF" w:val="clear"/>
        </w:rPr>
        <w:t xml:space="preserve">The Journal of Religious History, Literature and Culture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w:t>
      </w:r>
      <w:r>
        <w:rPr>
          <w:rFonts w:ascii="Times New Roman" w:hAnsi="Times New Roman" w:cs="Times New Roman" w:eastAsia="Times New Roman"/>
          <w:color w:val="222222"/>
          <w:spacing w:val="0"/>
          <w:position w:val="0"/>
          <w:sz w:val="24"/>
          <w:shd w:fill="FFFFFF" w:val="clear"/>
        </w:rPr>
        <w:t xml:space="preserve">(1), pp.51-70.</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Swenson, A., 2015. Crusader heritages and imperial preservation. </w:t>
      </w:r>
      <w:r>
        <w:rPr>
          <w:rFonts w:ascii="Times New Roman" w:hAnsi="Times New Roman" w:cs="Times New Roman" w:eastAsia="Times New Roman"/>
          <w:i/>
          <w:color w:val="222222"/>
          <w:spacing w:val="0"/>
          <w:position w:val="0"/>
          <w:sz w:val="24"/>
          <w:shd w:fill="FFFFFF" w:val="clear"/>
        </w:rPr>
        <w:t xml:space="preserve">Past &amp; Present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226</w:t>
      </w:r>
      <w:r>
        <w:rPr>
          <w:rFonts w:ascii="Times New Roman" w:hAnsi="Times New Roman" w:cs="Times New Roman" w:eastAsia="Times New Roman"/>
          <w:color w:val="222222"/>
          <w:spacing w:val="0"/>
          <w:position w:val="0"/>
          <w:sz w:val="24"/>
          <w:shd w:fill="FFFFFF" w:val="clear"/>
        </w:rPr>
        <w:t xml:space="preserve">(suppl_10), pp.27-56.</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Tessera, M.R., 2017. 8 The Use of the Bible in Twelfth-Century Papal Letters to Outremer. In </w:t>
      </w:r>
      <w:r>
        <w:rPr>
          <w:rFonts w:ascii="Times New Roman" w:hAnsi="Times New Roman" w:cs="Times New Roman" w:eastAsia="Times New Roman"/>
          <w:i/>
          <w:color w:val="222222"/>
          <w:spacing w:val="0"/>
          <w:position w:val="0"/>
          <w:sz w:val="24"/>
          <w:shd w:fill="FFFFFF" w:val="clear"/>
        </w:rPr>
        <w:t xml:space="preserve">The Uses of the Bible in Crusader Sources</w:t>
      </w:r>
      <w:r>
        <w:rPr>
          <w:rFonts w:ascii="Times New Roman" w:hAnsi="Times New Roman" w:cs="Times New Roman" w:eastAsia="Times New Roman"/>
          <w:color w:val="222222"/>
          <w:spacing w:val="0"/>
          <w:position w:val="0"/>
          <w:sz w:val="24"/>
          <w:shd w:fill="FFFFFF" w:val="clear"/>
        </w:rPr>
        <w:t xml:space="preserve"> (pp. 179-205). Brill.</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Theron, J. and Oliver, E., 2018. Changing perspectives on the Crusades. </w:t>
      </w:r>
      <w:r>
        <w:rPr>
          <w:rFonts w:ascii="Times New Roman" w:hAnsi="Times New Roman" w:cs="Times New Roman" w:eastAsia="Times New Roman"/>
          <w:i/>
          <w:color w:val="222222"/>
          <w:spacing w:val="0"/>
          <w:position w:val="0"/>
          <w:sz w:val="24"/>
          <w:shd w:fill="FFFFFF" w:val="clear"/>
        </w:rPr>
        <w:t xml:space="preserve">HTS Theological Studies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74</w:t>
      </w:r>
      <w:r>
        <w:rPr>
          <w:rFonts w:ascii="Times New Roman" w:hAnsi="Times New Roman" w:cs="Times New Roman" w:eastAsia="Times New Roman"/>
          <w:color w:val="222222"/>
          <w:spacing w:val="0"/>
          <w:position w:val="0"/>
          <w:sz w:val="24"/>
          <w:shd w:fill="FFFFFF" w:val="clear"/>
        </w:rPr>
        <w:t xml:space="preserve">(1), pp.1-12.</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Tibble, S., 2023. </w:t>
      </w:r>
      <w:r>
        <w:rPr>
          <w:rFonts w:ascii="Times New Roman" w:hAnsi="Times New Roman" w:cs="Times New Roman" w:eastAsia="Times New Roman"/>
          <w:i/>
          <w:color w:val="222222"/>
          <w:spacing w:val="0"/>
          <w:position w:val="0"/>
          <w:sz w:val="24"/>
          <w:shd w:fill="FFFFFF" w:val="clear"/>
        </w:rPr>
        <w:t xml:space="preserve">Templars: The Knights Who Made Britain</w:t>
      </w:r>
      <w:r>
        <w:rPr>
          <w:rFonts w:ascii="Times New Roman" w:hAnsi="Times New Roman" w:cs="Times New Roman" w:eastAsia="Times New Roman"/>
          <w:color w:val="222222"/>
          <w:spacing w:val="0"/>
          <w:position w:val="0"/>
          <w:sz w:val="24"/>
          <w:shd w:fill="FFFFFF" w:val="clear"/>
        </w:rPr>
        <w:t xml:space="preserve">. Yale University Press.</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Tyerman, C., 2018. What the Crusades meant to Europe. In </w:t>
      </w:r>
      <w:r>
        <w:rPr>
          <w:rFonts w:ascii="Times New Roman" w:hAnsi="Times New Roman" w:cs="Times New Roman" w:eastAsia="Times New Roman"/>
          <w:i/>
          <w:color w:val="222222"/>
          <w:spacing w:val="0"/>
          <w:position w:val="0"/>
          <w:sz w:val="24"/>
          <w:shd w:fill="FFFFFF" w:val="clear"/>
        </w:rPr>
        <w:t xml:space="preserve">The Medieval World</w:t>
      </w:r>
      <w:r>
        <w:rPr>
          <w:rFonts w:ascii="Times New Roman" w:hAnsi="Times New Roman" w:cs="Times New Roman" w:eastAsia="Times New Roman"/>
          <w:color w:val="222222"/>
          <w:spacing w:val="0"/>
          <w:position w:val="0"/>
          <w:sz w:val="24"/>
          <w:shd w:fill="FFFFFF" w:val="clear"/>
        </w:rPr>
        <w:t xml:space="preserve"> (pp. 146-159). Routledge.</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Whalen, B., 2017. </w:t>
      </w:r>
      <w:r>
        <w:rPr>
          <w:rFonts w:ascii="Times New Roman" w:hAnsi="Times New Roman" w:cs="Times New Roman" w:eastAsia="Times New Roman"/>
          <w:i/>
          <w:color w:val="222222"/>
          <w:spacing w:val="0"/>
          <w:position w:val="0"/>
          <w:sz w:val="24"/>
          <w:shd w:fill="FFFFFF" w:val="clear"/>
        </w:rPr>
        <w:t xml:space="preserve">The medieval papacy</w:t>
      </w:r>
      <w:r>
        <w:rPr>
          <w:rFonts w:ascii="Times New Roman" w:hAnsi="Times New Roman" w:cs="Times New Roman" w:eastAsia="Times New Roman"/>
          <w:color w:val="222222"/>
          <w:spacing w:val="0"/>
          <w:position w:val="0"/>
          <w:sz w:val="24"/>
          <w:shd w:fill="FFFFFF" w:val="clear"/>
        </w:rPr>
        <w:t xml:space="preserve">. Bloomsbury Publishing.</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Wurglics, A., The First Crusade: Pope Urban II and Jerusalem vs. Diplomatic Unification. </w:t>
      </w:r>
      <w:r>
        <w:rPr>
          <w:rFonts w:ascii="Times New Roman" w:hAnsi="Times New Roman" w:cs="Times New Roman" w:eastAsia="Times New Roman"/>
          <w:i/>
          <w:color w:val="222222"/>
          <w:spacing w:val="0"/>
          <w:position w:val="0"/>
          <w:sz w:val="24"/>
          <w:shd w:fill="FFFFFF" w:val="clear"/>
        </w:rPr>
        <w:t xml:space="preserve">Melissa Rubin</w:t>
      </w:r>
      <w:r>
        <w:rPr>
          <w:rFonts w:ascii="Times New Roman" w:hAnsi="Times New Roman" w:cs="Times New Roman" w:eastAsia="Times New Roman"/>
          <w:color w:val="222222"/>
          <w:spacing w:val="0"/>
          <w:position w:val="0"/>
          <w:sz w:val="24"/>
          <w:shd w:fill="FFFFFF" w:val="clear"/>
        </w:rPr>
        <w:t xml:space="preserve">, p.180.</w:t>
      </w:r>
    </w:p>
    <w:p>
      <w:pPr>
        <w:spacing w:before="0" w:after="160" w:line="48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YAKAR, A.P., 2021. The Problematical Representation of the Hero in The Song of Roland. </w:t>
      </w:r>
      <w:r>
        <w:rPr>
          <w:rFonts w:ascii="Times New Roman" w:hAnsi="Times New Roman" w:cs="Times New Roman" w:eastAsia="Times New Roman"/>
          <w:i/>
          <w:color w:val="222222"/>
          <w:spacing w:val="0"/>
          <w:position w:val="0"/>
          <w:sz w:val="24"/>
          <w:shd w:fill="FFFFFF" w:val="clear"/>
        </w:rPr>
        <w:t xml:space="preserve">Eurasian Journal of English Language and Literature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(2), pp.408-415.</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