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3C7A2BA3" w14:textId="77777777" w:rsidR="00827B56" w:rsidRPr="007630FE" w:rsidRDefault="00827B56" w:rsidP="00827B56">
      <w:pPr>
        <w:jc w:val="center"/>
        <w:rPr>
          <w:rFonts w:ascii="Arial" w:hAnsi="Arial" w:cs="Arial"/>
          <w:sz w:val="22"/>
          <w:szCs w:val="22"/>
        </w:rPr>
      </w:pPr>
      <w:r w:rsidRPr="007630FE">
        <w:rPr>
          <w:rFonts w:ascii="Arial" w:hAnsi="Arial" w:cs="Arial"/>
          <w:sz w:val="22"/>
          <w:szCs w:val="22"/>
        </w:rPr>
        <w:t xml:space="preserve">Component 1 </w:t>
      </w:r>
    </w:p>
    <w:p w14:paraId="35E8EE99" w14:textId="77777777" w:rsidR="00827B56" w:rsidRPr="007630FE" w:rsidRDefault="00827B56" w:rsidP="00827B56">
      <w:pPr>
        <w:jc w:val="center"/>
        <w:rPr>
          <w:rFonts w:ascii="Arial" w:hAnsi="Arial" w:cs="Arial"/>
          <w:sz w:val="22"/>
          <w:szCs w:val="22"/>
        </w:rPr>
      </w:pPr>
      <w:r w:rsidRPr="007630FE">
        <w:rPr>
          <w:rFonts w:ascii="Arial" w:hAnsi="Arial" w:cs="Arial"/>
          <w:sz w:val="22"/>
          <w:szCs w:val="22"/>
        </w:rPr>
        <w:t xml:space="preserve">Written assignment </w:t>
      </w:r>
    </w:p>
    <w:p w14:paraId="44162A04" w14:textId="77777777" w:rsidR="00827B56" w:rsidRPr="007630FE" w:rsidRDefault="00827B56" w:rsidP="00827B56">
      <w:pPr>
        <w:rPr>
          <w:rFonts w:ascii="Arial" w:hAnsi="Arial" w:cs="Arial"/>
          <w:sz w:val="22"/>
          <w:szCs w:val="22"/>
        </w:rPr>
      </w:pPr>
    </w:p>
    <w:p w14:paraId="2156AB67" w14:textId="77777777" w:rsidR="00827B56" w:rsidRPr="007630FE" w:rsidRDefault="00827B56" w:rsidP="00827B56">
      <w:pPr>
        <w:jc w:val="center"/>
        <w:rPr>
          <w:rFonts w:ascii="Arial" w:hAnsi="Arial" w:cs="Arial"/>
          <w:sz w:val="22"/>
          <w:szCs w:val="22"/>
        </w:rPr>
      </w:pPr>
    </w:p>
    <w:p w14:paraId="14FA60FE" w14:textId="77777777" w:rsidR="00827B56" w:rsidRPr="007630FE" w:rsidRDefault="00827B56" w:rsidP="00827B56">
      <w:pPr>
        <w:jc w:val="center"/>
        <w:rPr>
          <w:rFonts w:ascii="Arial" w:hAnsi="Arial" w:cs="Arial"/>
          <w:sz w:val="22"/>
          <w:szCs w:val="22"/>
        </w:rPr>
      </w:pPr>
      <w:r w:rsidRPr="007630FE">
        <w:rPr>
          <w:rFonts w:ascii="Arial" w:hAnsi="Arial" w:cs="Arial"/>
          <w:noProof/>
          <w:sz w:val="22"/>
          <w:szCs w:val="22"/>
        </w:rPr>
        <w:drawing>
          <wp:inline distT="0" distB="0" distL="0" distR="0" wp14:anchorId="2ABE35B2" wp14:editId="5E1EBA9D">
            <wp:extent cx="2070100" cy="1282700"/>
            <wp:effectExtent l="0" t="0" r="635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070100" cy="1282700"/>
                    </a:xfrm>
                    <a:prstGeom prst="rect">
                      <a:avLst/>
                    </a:prstGeom>
                    <a:noFill/>
                  </pic:spPr>
                </pic:pic>
              </a:graphicData>
            </a:graphic>
          </wp:inline>
        </w:drawing>
      </w:r>
    </w:p>
    <w:p w14:paraId="6467AA31" w14:textId="77777777" w:rsidR="00827B56" w:rsidRPr="007630FE" w:rsidRDefault="00827B56" w:rsidP="00827B56">
      <w:pPr>
        <w:jc w:val="center"/>
        <w:rPr>
          <w:rFonts w:ascii="Arial" w:hAnsi="Arial" w:cs="Arial"/>
          <w:sz w:val="22"/>
          <w:szCs w:val="22"/>
        </w:rPr>
      </w:pPr>
    </w:p>
    <w:p w14:paraId="77F9034C" w14:textId="77777777" w:rsidR="00827B56" w:rsidRPr="007630FE" w:rsidRDefault="00827B56" w:rsidP="00827B56">
      <w:pPr>
        <w:jc w:val="center"/>
        <w:rPr>
          <w:rFonts w:ascii="Arial" w:hAnsi="Arial" w:cs="Arial"/>
          <w:sz w:val="22"/>
          <w:szCs w:val="22"/>
        </w:rPr>
      </w:pPr>
    </w:p>
    <w:p w14:paraId="27007139" w14:textId="77777777" w:rsidR="00827B56" w:rsidRPr="007630FE" w:rsidRDefault="00827B56" w:rsidP="00827B56">
      <w:pPr>
        <w:rPr>
          <w:rFonts w:ascii="Arial" w:hAnsi="Arial" w:cs="Arial"/>
          <w:sz w:val="22"/>
          <w:szCs w:val="22"/>
        </w:rPr>
      </w:pPr>
      <w:r w:rsidRPr="007630FE">
        <w:rPr>
          <w:rFonts w:ascii="Arial" w:hAnsi="Arial" w:cs="Arial"/>
          <w:sz w:val="22"/>
          <w:szCs w:val="22"/>
        </w:rPr>
        <w:t xml:space="preserve">                                                Student name: Natalia piedrahita Uribe</w:t>
      </w:r>
    </w:p>
    <w:p w14:paraId="57045FDD" w14:textId="77777777" w:rsidR="00827B56" w:rsidRPr="007630FE" w:rsidRDefault="00827B56" w:rsidP="00827B56">
      <w:pPr>
        <w:rPr>
          <w:rFonts w:ascii="Arial" w:hAnsi="Arial" w:cs="Arial"/>
          <w:sz w:val="22"/>
          <w:szCs w:val="22"/>
        </w:rPr>
      </w:pPr>
      <w:r w:rsidRPr="007630FE">
        <w:rPr>
          <w:rFonts w:ascii="Arial" w:hAnsi="Arial" w:cs="Arial"/>
          <w:sz w:val="22"/>
          <w:szCs w:val="22"/>
        </w:rPr>
        <w:t xml:space="preserve">                                                                Student ID: 1906185</w:t>
      </w:r>
    </w:p>
    <w:p w14:paraId="5DDE780D" w14:textId="5D4F90E5" w:rsidR="00827B56" w:rsidRPr="007630FE" w:rsidRDefault="00827B56" w:rsidP="00827B56">
      <w:pPr>
        <w:jc w:val="center"/>
        <w:rPr>
          <w:rFonts w:ascii="Arial" w:hAnsi="Arial" w:cs="Arial"/>
          <w:sz w:val="22"/>
          <w:szCs w:val="22"/>
        </w:rPr>
      </w:pPr>
      <w:r w:rsidRPr="007630FE">
        <w:rPr>
          <w:rFonts w:ascii="Arial" w:hAnsi="Arial" w:cs="Arial"/>
          <w:sz w:val="22"/>
          <w:szCs w:val="22"/>
        </w:rPr>
        <w:t xml:space="preserve">Module code: </w:t>
      </w:r>
      <w:r w:rsidRPr="00827B56">
        <w:rPr>
          <w:rFonts w:ascii="Arial" w:hAnsi="Arial" w:cs="Arial"/>
          <w:sz w:val="22"/>
          <w:szCs w:val="22"/>
        </w:rPr>
        <w:t>BMHP5002</w:t>
      </w:r>
    </w:p>
    <w:p w14:paraId="3AB0719A" w14:textId="534AFCA6" w:rsidR="00827B56" w:rsidRPr="007630FE" w:rsidRDefault="00827B56" w:rsidP="00827B56">
      <w:pPr>
        <w:jc w:val="center"/>
        <w:rPr>
          <w:rFonts w:ascii="Arial" w:hAnsi="Arial" w:cs="Arial"/>
          <w:sz w:val="22"/>
          <w:szCs w:val="22"/>
        </w:rPr>
      </w:pPr>
      <w:r w:rsidRPr="007630FE">
        <w:rPr>
          <w:rFonts w:ascii="Arial" w:hAnsi="Arial" w:cs="Arial"/>
          <w:sz w:val="22"/>
          <w:szCs w:val="22"/>
        </w:rPr>
        <w:t xml:space="preserve">Lecturer name: </w:t>
      </w:r>
      <w:r>
        <w:rPr>
          <w:rFonts w:ascii="Arial" w:hAnsi="Arial" w:cs="Arial"/>
          <w:sz w:val="22"/>
          <w:szCs w:val="22"/>
        </w:rPr>
        <w:t xml:space="preserve">Gulnar Ali </w:t>
      </w:r>
    </w:p>
    <w:p w14:paraId="1E02E37C" w14:textId="5737CC26" w:rsidR="00827B56" w:rsidRPr="007630FE" w:rsidRDefault="00827B56" w:rsidP="00827B56">
      <w:pPr>
        <w:jc w:val="center"/>
        <w:rPr>
          <w:rFonts w:ascii="Arial" w:hAnsi="Arial" w:cs="Arial"/>
          <w:sz w:val="22"/>
          <w:szCs w:val="22"/>
        </w:rPr>
      </w:pPr>
      <w:r w:rsidRPr="007630FE">
        <w:rPr>
          <w:rFonts w:ascii="Arial" w:hAnsi="Arial" w:cs="Arial"/>
          <w:sz w:val="22"/>
          <w:szCs w:val="22"/>
        </w:rPr>
        <w:t xml:space="preserve">Word account: </w:t>
      </w:r>
      <w:r>
        <w:rPr>
          <w:rFonts w:ascii="Arial" w:hAnsi="Arial" w:cs="Arial"/>
          <w:sz w:val="22"/>
          <w:szCs w:val="22"/>
        </w:rPr>
        <w:t>2</w:t>
      </w:r>
      <w:r w:rsidRPr="007630FE">
        <w:rPr>
          <w:rFonts w:ascii="Arial" w:hAnsi="Arial" w:cs="Arial"/>
          <w:sz w:val="22"/>
          <w:szCs w:val="22"/>
        </w:rPr>
        <w:t>500</w:t>
      </w:r>
    </w:p>
    <w:p w14:paraId="00000001" w14:textId="1A445D9B" w:rsidR="00C75B06" w:rsidRPr="00827B56" w:rsidRDefault="00827B56" w:rsidP="00827B56">
      <w:pPr>
        <w:jc w:val="center"/>
        <w:rPr>
          <w:rFonts w:ascii="Arial" w:hAnsi="Arial" w:cs="Arial"/>
          <w:b/>
          <w:sz w:val="22"/>
          <w:szCs w:val="22"/>
        </w:rPr>
      </w:pPr>
      <w:r w:rsidRPr="007630FE">
        <w:rPr>
          <w:rFonts w:ascii="Arial" w:hAnsi="Arial" w:cs="Arial"/>
          <w:sz w:val="22"/>
          <w:szCs w:val="22"/>
        </w:rPr>
        <w:t xml:space="preserve">Module: </w:t>
      </w:r>
      <w:r w:rsidR="00EE6506" w:rsidRPr="00EE6506">
        <w:rPr>
          <w:rFonts w:ascii="Arial" w:hAnsi="Arial" w:cs="Arial"/>
          <w:sz w:val="22"/>
          <w:szCs w:val="22"/>
        </w:rPr>
        <w:t>Principles of Health and Social Care Practic</w:t>
      </w:r>
      <w:r w:rsidRPr="007630FE">
        <w:rPr>
          <w:rFonts w:ascii="Arial" w:hAnsi="Arial" w:cs="Arial"/>
          <w:sz w:val="22"/>
          <w:szCs w:val="22"/>
        </w:rPr>
        <w:t xml:space="preserve"> level 5 term 2 </w:t>
      </w:r>
      <w:r>
        <w:rPr>
          <w:rFonts w:ascii="Arial" w:hAnsi="Arial" w:cs="Arial"/>
          <w:sz w:val="22"/>
          <w:szCs w:val="22"/>
        </w:rPr>
        <w:t>rework</w:t>
      </w:r>
    </w:p>
    <w:p w14:paraId="00000002" w14:textId="77777777" w:rsidR="00C75B06" w:rsidRDefault="00C75B06">
      <w:pPr>
        <w:jc w:val="center"/>
        <w:rPr>
          <w:b/>
          <w:sz w:val="32"/>
          <w:szCs w:val="32"/>
        </w:rPr>
      </w:pPr>
    </w:p>
    <w:p w14:paraId="00000003" w14:textId="77777777" w:rsidR="00C75B06" w:rsidRDefault="00C75B06">
      <w:pPr>
        <w:jc w:val="center"/>
        <w:rPr>
          <w:b/>
          <w:sz w:val="32"/>
          <w:szCs w:val="32"/>
        </w:rPr>
      </w:pPr>
    </w:p>
    <w:p w14:paraId="00000004" w14:textId="77777777" w:rsidR="00C75B06" w:rsidRDefault="00C75B06">
      <w:pPr>
        <w:jc w:val="center"/>
        <w:rPr>
          <w:b/>
          <w:sz w:val="32"/>
          <w:szCs w:val="32"/>
        </w:rPr>
      </w:pPr>
    </w:p>
    <w:p w14:paraId="00000005" w14:textId="77777777" w:rsidR="00C75B06" w:rsidRDefault="00C75B06">
      <w:pPr>
        <w:jc w:val="center"/>
        <w:rPr>
          <w:b/>
          <w:sz w:val="32"/>
          <w:szCs w:val="32"/>
        </w:rPr>
      </w:pPr>
    </w:p>
    <w:p w14:paraId="00000006" w14:textId="77777777" w:rsidR="00C75B06" w:rsidRDefault="00C75B06">
      <w:pPr>
        <w:jc w:val="center"/>
        <w:rPr>
          <w:b/>
          <w:sz w:val="32"/>
          <w:szCs w:val="32"/>
        </w:rPr>
      </w:pPr>
    </w:p>
    <w:p w14:paraId="00000007" w14:textId="77777777" w:rsidR="00C75B06" w:rsidRDefault="00C75B06">
      <w:pPr>
        <w:jc w:val="center"/>
        <w:rPr>
          <w:b/>
          <w:sz w:val="32"/>
          <w:szCs w:val="32"/>
        </w:rPr>
      </w:pPr>
    </w:p>
    <w:p w14:paraId="00000008" w14:textId="77777777" w:rsidR="00C75B06" w:rsidRDefault="00C75B06">
      <w:pPr>
        <w:jc w:val="center"/>
        <w:rPr>
          <w:b/>
          <w:sz w:val="32"/>
          <w:szCs w:val="32"/>
        </w:rPr>
      </w:pPr>
    </w:p>
    <w:p w14:paraId="00000009" w14:textId="77777777" w:rsidR="00C75B06" w:rsidRDefault="00C75B06">
      <w:pPr>
        <w:jc w:val="center"/>
        <w:rPr>
          <w:b/>
          <w:sz w:val="32"/>
          <w:szCs w:val="32"/>
        </w:rPr>
      </w:pPr>
    </w:p>
    <w:p w14:paraId="0000000A" w14:textId="77777777" w:rsidR="00C75B06" w:rsidRDefault="00C75B06">
      <w:pPr>
        <w:jc w:val="center"/>
        <w:rPr>
          <w:b/>
          <w:sz w:val="32"/>
          <w:szCs w:val="32"/>
        </w:rPr>
      </w:pPr>
    </w:p>
    <w:p w14:paraId="0000000B" w14:textId="77777777" w:rsidR="00C75B06" w:rsidRDefault="00C75B06">
      <w:pPr>
        <w:jc w:val="center"/>
        <w:rPr>
          <w:b/>
          <w:sz w:val="32"/>
          <w:szCs w:val="32"/>
        </w:rPr>
      </w:pPr>
    </w:p>
    <w:p w14:paraId="0000000D" w14:textId="6F7D9BB6" w:rsidR="00C75B06" w:rsidRDefault="00C75B06">
      <w:pPr>
        <w:jc w:val="center"/>
        <w:rPr>
          <w:rFonts w:ascii="Arial" w:hAnsi="Arial" w:cs="Arial"/>
          <w:b/>
          <w:sz w:val="22"/>
          <w:szCs w:val="22"/>
        </w:rPr>
      </w:pPr>
    </w:p>
    <w:p w14:paraId="40CB935F" w14:textId="5CE17FE6" w:rsidR="00EE6506" w:rsidRDefault="00EE6506">
      <w:pPr>
        <w:jc w:val="center"/>
        <w:rPr>
          <w:rFonts w:ascii="Arial" w:hAnsi="Arial" w:cs="Arial"/>
          <w:b/>
          <w:sz w:val="22"/>
          <w:szCs w:val="22"/>
        </w:rPr>
      </w:pPr>
    </w:p>
    <w:p w14:paraId="51F472F8" w14:textId="29EB7AD2" w:rsidR="00EE6506" w:rsidRDefault="00EE6506">
      <w:pPr>
        <w:jc w:val="center"/>
        <w:rPr>
          <w:rFonts w:ascii="Arial" w:hAnsi="Arial" w:cs="Arial"/>
          <w:b/>
          <w:sz w:val="22"/>
          <w:szCs w:val="22"/>
        </w:rPr>
      </w:pPr>
    </w:p>
    <w:p w14:paraId="49D3A540" w14:textId="503F0F27" w:rsidR="00EE6506" w:rsidRDefault="00EE6506">
      <w:pPr>
        <w:jc w:val="center"/>
        <w:rPr>
          <w:rFonts w:ascii="Arial" w:hAnsi="Arial" w:cs="Arial"/>
          <w:b/>
          <w:sz w:val="22"/>
          <w:szCs w:val="22"/>
        </w:rPr>
      </w:pPr>
    </w:p>
    <w:p w14:paraId="1E3521CA" w14:textId="561AB9FB" w:rsidR="00EE6506" w:rsidRDefault="00EE6506">
      <w:pPr>
        <w:jc w:val="center"/>
        <w:rPr>
          <w:rFonts w:ascii="Arial" w:hAnsi="Arial" w:cs="Arial"/>
          <w:b/>
          <w:sz w:val="22"/>
          <w:szCs w:val="22"/>
        </w:rPr>
      </w:pPr>
      <w:r>
        <w:rPr>
          <w:rFonts w:ascii="Arial" w:hAnsi="Arial" w:cs="Arial"/>
          <w:b/>
          <w:sz w:val="22"/>
          <w:szCs w:val="22"/>
        </w:rPr>
        <w:lastRenderedPageBreak/>
        <w:t>TABLE OF CONTENTS</w:t>
      </w:r>
    </w:p>
    <w:p w14:paraId="404BE248" w14:textId="3A34B8AD" w:rsidR="00EE6506" w:rsidRDefault="00EE6506" w:rsidP="00EE6506">
      <w:pPr>
        <w:jc w:val="left"/>
        <w:rPr>
          <w:rFonts w:ascii="Arial" w:hAnsi="Arial" w:cs="Arial"/>
          <w:b/>
          <w:sz w:val="22"/>
          <w:szCs w:val="22"/>
        </w:rPr>
      </w:pPr>
    </w:p>
    <w:p w14:paraId="139D9A7E" w14:textId="1F954C41" w:rsidR="00EE6506" w:rsidRDefault="00A9440C" w:rsidP="00EE6506">
      <w:pPr>
        <w:jc w:val="left"/>
        <w:rPr>
          <w:rFonts w:ascii="Arial" w:hAnsi="Arial" w:cs="Arial"/>
          <w:b/>
          <w:sz w:val="22"/>
          <w:szCs w:val="22"/>
        </w:rPr>
      </w:pPr>
      <w:r>
        <w:rPr>
          <w:rFonts w:ascii="Arial" w:hAnsi="Arial" w:cs="Arial"/>
          <w:bCs/>
          <w:sz w:val="22"/>
          <w:szCs w:val="22"/>
        </w:rPr>
        <w:t xml:space="preserve">1.1 </w:t>
      </w:r>
      <w:r w:rsidR="00EE6506" w:rsidRPr="009C08C8">
        <w:rPr>
          <w:rFonts w:ascii="Arial" w:hAnsi="Arial" w:cs="Arial"/>
          <w:bCs/>
          <w:sz w:val="22"/>
          <w:szCs w:val="22"/>
        </w:rPr>
        <w:t>Introductio</w:t>
      </w:r>
      <w:r>
        <w:rPr>
          <w:rFonts w:ascii="Arial" w:hAnsi="Arial" w:cs="Arial"/>
          <w:bCs/>
          <w:sz w:val="22"/>
          <w:szCs w:val="22"/>
        </w:rPr>
        <w:t>n</w:t>
      </w:r>
      <w:r w:rsidR="00EE6506">
        <w:rPr>
          <w:rFonts w:ascii="Arial" w:hAnsi="Arial" w:cs="Arial"/>
          <w:b/>
          <w:sz w:val="22"/>
          <w:szCs w:val="22"/>
        </w:rPr>
        <w:t>………………………………………………………………………………</w:t>
      </w:r>
      <w:r>
        <w:rPr>
          <w:rFonts w:ascii="Arial" w:hAnsi="Arial" w:cs="Arial"/>
          <w:b/>
          <w:sz w:val="22"/>
          <w:szCs w:val="22"/>
        </w:rPr>
        <w:t>….</w:t>
      </w:r>
      <w:r w:rsidR="00EE6506">
        <w:rPr>
          <w:rFonts w:ascii="Arial" w:hAnsi="Arial" w:cs="Arial"/>
          <w:b/>
          <w:sz w:val="22"/>
          <w:szCs w:val="22"/>
        </w:rPr>
        <w:t>3</w:t>
      </w:r>
    </w:p>
    <w:p w14:paraId="2CFC83A3" w14:textId="3C9CA899" w:rsidR="00EE6506" w:rsidRDefault="00A9440C" w:rsidP="00EE6506">
      <w:pPr>
        <w:jc w:val="left"/>
        <w:rPr>
          <w:rFonts w:ascii="Arial" w:hAnsi="Arial" w:cs="Arial"/>
          <w:b/>
          <w:sz w:val="22"/>
          <w:szCs w:val="22"/>
        </w:rPr>
      </w:pPr>
      <w:r>
        <w:rPr>
          <w:rFonts w:ascii="Arial" w:hAnsi="Arial" w:cs="Arial"/>
          <w:bCs/>
          <w:sz w:val="22"/>
          <w:szCs w:val="22"/>
        </w:rPr>
        <w:t xml:space="preserve">1.2 </w:t>
      </w:r>
      <w:r w:rsidR="00EE6506" w:rsidRPr="009C08C8">
        <w:rPr>
          <w:rFonts w:ascii="Arial" w:hAnsi="Arial" w:cs="Arial"/>
          <w:bCs/>
          <w:sz w:val="22"/>
          <w:szCs w:val="22"/>
        </w:rPr>
        <w:t>Case study description</w:t>
      </w:r>
      <w:r w:rsidR="00EE6506">
        <w:rPr>
          <w:rFonts w:ascii="Arial" w:hAnsi="Arial" w:cs="Arial"/>
          <w:b/>
          <w:sz w:val="22"/>
          <w:szCs w:val="22"/>
        </w:rPr>
        <w:t>…………………………………………………………………</w:t>
      </w:r>
      <w:r w:rsidR="009C08C8">
        <w:rPr>
          <w:rFonts w:ascii="Arial" w:hAnsi="Arial" w:cs="Arial"/>
          <w:b/>
          <w:sz w:val="22"/>
          <w:szCs w:val="22"/>
        </w:rPr>
        <w:t>….</w:t>
      </w:r>
      <w:r w:rsidR="00EE6506">
        <w:rPr>
          <w:rFonts w:ascii="Arial" w:hAnsi="Arial" w:cs="Arial"/>
          <w:b/>
          <w:sz w:val="22"/>
          <w:szCs w:val="22"/>
        </w:rPr>
        <w:t>.3</w:t>
      </w:r>
    </w:p>
    <w:p w14:paraId="3EA78631" w14:textId="14E5961B" w:rsidR="009C08C8" w:rsidRDefault="00A9440C" w:rsidP="00EE6506">
      <w:pPr>
        <w:jc w:val="left"/>
        <w:rPr>
          <w:rFonts w:ascii="Arial" w:hAnsi="Arial" w:cs="Arial"/>
          <w:b/>
          <w:sz w:val="22"/>
          <w:szCs w:val="22"/>
        </w:rPr>
      </w:pPr>
      <w:r>
        <w:rPr>
          <w:rFonts w:ascii="Arial" w:hAnsi="Arial" w:cs="Arial"/>
          <w:bCs/>
          <w:sz w:val="22"/>
          <w:szCs w:val="22"/>
        </w:rPr>
        <w:t xml:space="preserve">1.3 </w:t>
      </w:r>
      <w:r w:rsidR="009C08C8" w:rsidRPr="009C08C8">
        <w:rPr>
          <w:rFonts w:ascii="Arial" w:hAnsi="Arial" w:cs="Arial"/>
          <w:bCs/>
          <w:sz w:val="22"/>
          <w:szCs w:val="22"/>
        </w:rPr>
        <w:t>The support provided or suggested</w:t>
      </w:r>
      <w:r w:rsidR="009C08C8">
        <w:rPr>
          <w:rFonts w:ascii="Arial" w:hAnsi="Arial" w:cs="Arial"/>
          <w:b/>
          <w:sz w:val="22"/>
          <w:szCs w:val="22"/>
        </w:rPr>
        <w:t>………..…………………………………</w:t>
      </w:r>
      <w:r>
        <w:rPr>
          <w:rFonts w:ascii="Arial" w:hAnsi="Arial" w:cs="Arial"/>
          <w:b/>
          <w:sz w:val="22"/>
          <w:szCs w:val="22"/>
        </w:rPr>
        <w:t>…………..</w:t>
      </w:r>
      <w:r w:rsidR="009C08C8">
        <w:rPr>
          <w:rFonts w:ascii="Arial" w:hAnsi="Arial" w:cs="Arial"/>
          <w:b/>
          <w:sz w:val="22"/>
          <w:szCs w:val="22"/>
        </w:rPr>
        <w:t>3</w:t>
      </w:r>
    </w:p>
    <w:p w14:paraId="6005A961" w14:textId="0B662B7C" w:rsidR="009C08C8" w:rsidRPr="009C08C8" w:rsidRDefault="009C08C8" w:rsidP="009C08C8">
      <w:pPr>
        <w:jc w:val="left"/>
        <w:rPr>
          <w:rFonts w:ascii="Arial" w:hAnsi="Arial" w:cs="Arial"/>
          <w:bCs/>
          <w:sz w:val="22"/>
          <w:szCs w:val="22"/>
        </w:rPr>
      </w:pPr>
      <w:r w:rsidRPr="009C08C8">
        <w:rPr>
          <w:rFonts w:ascii="Arial" w:hAnsi="Arial" w:cs="Arial"/>
          <w:bCs/>
          <w:sz w:val="22"/>
          <w:szCs w:val="22"/>
        </w:rPr>
        <w:t>-Awareness………………………………………………………</w:t>
      </w:r>
      <w:r w:rsidR="00A9440C">
        <w:rPr>
          <w:rFonts w:ascii="Arial" w:hAnsi="Arial" w:cs="Arial"/>
          <w:bCs/>
          <w:sz w:val="22"/>
          <w:szCs w:val="22"/>
        </w:rPr>
        <w:t>..</w:t>
      </w:r>
      <w:r w:rsidRPr="009C08C8">
        <w:rPr>
          <w:rFonts w:ascii="Arial" w:hAnsi="Arial" w:cs="Arial"/>
          <w:bCs/>
          <w:sz w:val="22"/>
          <w:szCs w:val="22"/>
        </w:rPr>
        <w:t>…………………………….</w:t>
      </w:r>
      <w:r w:rsidR="00A9440C">
        <w:rPr>
          <w:rFonts w:ascii="Arial" w:hAnsi="Arial" w:cs="Arial"/>
          <w:bCs/>
          <w:sz w:val="22"/>
          <w:szCs w:val="22"/>
        </w:rPr>
        <w:t>.</w:t>
      </w:r>
      <w:r w:rsidRPr="009C08C8">
        <w:rPr>
          <w:rFonts w:ascii="Arial" w:hAnsi="Arial" w:cs="Arial"/>
          <w:bCs/>
          <w:sz w:val="22"/>
          <w:szCs w:val="22"/>
        </w:rPr>
        <w:t>3</w:t>
      </w:r>
    </w:p>
    <w:p w14:paraId="543FCC6C" w14:textId="549B9B64" w:rsidR="009C08C8" w:rsidRPr="009C08C8" w:rsidRDefault="009C08C8" w:rsidP="009C08C8">
      <w:pPr>
        <w:jc w:val="left"/>
        <w:rPr>
          <w:rFonts w:ascii="Arial" w:hAnsi="Arial" w:cs="Arial"/>
          <w:bCs/>
          <w:sz w:val="22"/>
          <w:szCs w:val="22"/>
        </w:rPr>
      </w:pPr>
      <w:r w:rsidRPr="009C08C8">
        <w:rPr>
          <w:rFonts w:ascii="Arial" w:hAnsi="Arial" w:cs="Arial"/>
          <w:bCs/>
          <w:sz w:val="22"/>
          <w:szCs w:val="22"/>
        </w:rPr>
        <w:t>-Unfolding Responsibility……………………………………………</w:t>
      </w:r>
      <w:r w:rsidR="00A9440C">
        <w:rPr>
          <w:rFonts w:ascii="Arial" w:hAnsi="Arial" w:cs="Arial"/>
          <w:bCs/>
          <w:sz w:val="22"/>
          <w:szCs w:val="22"/>
        </w:rPr>
        <w:t>..</w:t>
      </w:r>
      <w:r w:rsidRPr="009C08C8">
        <w:rPr>
          <w:rFonts w:ascii="Arial" w:hAnsi="Arial" w:cs="Arial"/>
          <w:bCs/>
          <w:sz w:val="22"/>
          <w:szCs w:val="22"/>
        </w:rPr>
        <w:t>……………………</w:t>
      </w:r>
      <w:r>
        <w:rPr>
          <w:rFonts w:ascii="Arial" w:hAnsi="Arial" w:cs="Arial"/>
          <w:bCs/>
          <w:sz w:val="22"/>
          <w:szCs w:val="22"/>
        </w:rPr>
        <w:t>….</w:t>
      </w:r>
      <w:r w:rsidRPr="009C08C8">
        <w:rPr>
          <w:rFonts w:ascii="Arial" w:hAnsi="Arial" w:cs="Arial"/>
          <w:bCs/>
          <w:sz w:val="22"/>
          <w:szCs w:val="22"/>
        </w:rPr>
        <w:t>.</w:t>
      </w:r>
      <w:r>
        <w:rPr>
          <w:rFonts w:ascii="Arial" w:hAnsi="Arial" w:cs="Arial"/>
          <w:bCs/>
          <w:sz w:val="22"/>
          <w:szCs w:val="22"/>
        </w:rPr>
        <w:t>.</w:t>
      </w:r>
      <w:r w:rsidRPr="009C08C8">
        <w:rPr>
          <w:rFonts w:ascii="Arial" w:hAnsi="Arial" w:cs="Arial"/>
          <w:bCs/>
          <w:sz w:val="22"/>
          <w:szCs w:val="22"/>
        </w:rPr>
        <w:t>4</w:t>
      </w:r>
    </w:p>
    <w:p w14:paraId="2E923170" w14:textId="4DF0F96D" w:rsidR="009C08C8" w:rsidRPr="009C08C8" w:rsidRDefault="009C08C8" w:rsidP="009C08C8">
      <w:pPr>
        <w:jc w:val="left"/>
        <w:rPr>
          <w:rFonts w:ascii="Arial" w:hAnsi="Arial" w:cs="Arial"/>
          <w:bCs/>
          <w:sz w:val="22"/>
          <w:szCs w:val="22"/>
        </w:rPr>
      </w:pPr>
      <w:r w:rsidRPr="009C08C8">
        <w:rPr>
          <w:rFonts w:ascii="Arial" w:hAnsi="Arial" w:cs="Arial"/>
          <w:bCs/>
          <w:sz w:val="22"/>
          <w:szCs w:val="22"/>
        </w:rPr>
        <w:t>-Helping with Household Duties, Self-Care, Mobility, and Oversight……………</w:t>
      </w:r>
      <w:r w:rsidR="00A9440C">
        <w:rPr>
          <w:rFonts w:ascii="Arial" w:hAnsi="Arial" w:cs="Arial"/>
          <w:bCs/>
          <w:sz w:val="22"/>
          <w:szCs w:val="22"/>
        </w:rPr>
        <w:t>...</w:t>
      </w:r>
      <w:r w:rsidRPr="009C08C8">
        <w:rPr>
          <w:rFonts w:ascii="Arial" w:hAnsi="Arial" w:cs="Arial"/>
          <w:bCs/>
          <w:sz w:val="22"/>
          <w:szCs w:val="22"/>
        </w:rPr>
        <w:t>…</w:t>
      </w:r>
      <w:r>
        <w:rPr>
          <w:rFonts w:ascii="Arial" w:hAnsi="Arial" w:cs="Arial"/>
          <w:bCs/>
          <w:sz w:val="22"/>
          <w:szCs w:val="22"/>
        </w:rPr>
        <w:t>……</w:t>
      </w:r>
      <w:r w:rsidRPr="009C08C8">
        <w:rPr>
          <w:rFonts w:ascii="Arial" w:hAnsi="Arial" w:cs="Arial"/>
          <w:bCs/>
          <w:sz w:val="22"/>
          <w:szCs w:val="22"/>
        </w:rPr>
        <w:t>.4</w:t>
      </w:r>
    </w:p>
    <w:p w14:paraId="397F663C" w14:textId="196AD01E" w:rsidR="009C08C8" w:rsidRPr="009C08C8" w:rsidRDefault="009C08C8" w:rsidP="009C08C8">
      <w:pPr>
        <w:jc w:val="left"/>
        <w:rPr>
          <w:rFonts w:ascii="Arial" w:hAnsi="Arial" w:cs="Arial"/>
          <w:bCs/>
          <w:sz w:val="22"/>
          <w:szCs w:val="22"/>
        </w:rPr>
      </w:pPr>
      <w:r w:rsidRPr="009C08C8">
        <w:rPr>
          <w:rFonts w:ascii="Arial" w:hAnsi="Arial" w:cs="Arial"/>
          <w:bCs/>
          <w:sz w:val="22"/>
          <w:szCs w:val="22"/>
        </w:rPr>
        <w:t>-Providing Emotional and Social Support………………………………………………</w:t>
      </w:r>
      <w:r w:rsidR="00A9440C">
        <w:rPr>
          <w:rFonts w:ascii="Arial" w:hAnsi="Arial" w:cs="Arial"/>
          <w:bCs/>
          <w:sz w:val="22"/>
          <w:szCs w:val="22"/>
        </w:rPr>
        <w:t>...</w:t>
      </w:r>
      <w:r>
        <w:rPr>
          <w:rFonts w:ascii="Arial" w:hAnsi="Arial" w:cs="Arial"/>
          <w:bCs/>
          <w:sz w:val="22"/>
          <w:szCs w:val="22"/>
        </w:rPr>
        <w:t>…..</w:t>
      </w:r>
      <w:r w:rsidRPr="009C08C8">
        <w:rPr>
          <w:rFonts w:ascii="Arial" w:hAnsi="Arial" w:cs="Arial"/>
          <w:bCs/>
          <w:sz w:val="22"/>
          <w:szCs w:val="22"/>
        </w:rPr>
        <w:t>.4</w:t>
      </w:r>
    </w:p>
    <w:p w14:paraId="6781EFC0" w14:textId="4DF6CA95" w:rsidR="009C08C8" w:rsidRPr="009C08C8" w:rsidRDefault="009C08C8" w:rsidP="009C08C8">
      <w:pPr>
        <w:jc w:val="left"/>
        <w:rPr>
          <w:rFonts w:ascii="Arial" w:hAnsi="Arial" w:cs="Arial"/>
          <w:bCs/>
          <w:sz w:val="22"/>
          <w:szCs w:val="22"/>
        </w:rPr>
      </w:pPr>
      <w:r w:rsidRPr="009C08C8">
        <w:rPr>
          <w:rFonts w:ascii="Arial" w:hAnsi="Arial" w:cs="Arial"/>
          <w:bCs/>
          <w:sz w:val="22"/>
          <w:szCs w:val="22"/>
        </w:rPr>
        <w:t>-Health and Medical Care……………………………………………………………</w:t>
      </w:r>
      <w:r w:rsidR="00A9440C">
        <w:rPr>
          <w:rFonts w:ascii="Arial" w:hAnsi="Arial" w:cs="Arial"/>
          <w:bCs/>
          <w:sz w:val="22"/>
          <w:szCs w:val="22"/>
        </w:rPr>
        <w:t>...</w:t>
      </w:r>
      <w:r w:rsidRPr="009C08C8">
        <w:rPr>
          <w:rFonts w:ascii="Arial" w:hAnsi="Arial" w:cs="Arial"/>
          <w:bCs/>
          <w:sz w:val="22"/>
          <w:szCs w:val="22"/>
        </w:rPr>
        <w:t>………</w:t>
      </w:r>
      <w:r>
        <w:rPr>
          <w:rFonts w:ascii="Arial" w:hAnsi="Arial" w:cs="Arial"/>
          <w:bCs/>
          <w:sz w:val="22"/>
          <w:szCs w:val="22"/>
        </w:rPr>
        <w:t>..</w:t>
      </w:r>
      <w:r w:rsidRPr="009C08C8">
        <w:rPr>
          <w:rFonts w:ascii="Arial" w:hAnsi="Arial" w:cs="Arial"/>
          <w:bCs/>
          <w:sz w:val="22"/>
          <w:szCs w:val="22"/>
        </w:rPr>
        <w:t>5</w:t>
      </w:r>
    </w:p>
    <w:p w14:paraId="5756BF51" w14:textId="6A668FF0" w:rsidR="009C08C8" w:rsidRDefault="009C08C8" w:rsidP="009C08C8">
      <w:pPr>
        <w:jc w:val="left"/>
        <w:rPr>
          <w:rFonts w:ascii="Arial" w:hAnsi="Arial" w:cs="Arial"/>
          <w:b/>
          <w:sz w:val="22"/>
          <w:szCs w:val="22"/>
        </w:rPr>
      </w:pPr>
      <w:r w:rsidRPr="009C08C8">
        <w:rPr>
          <w:rFonts w:ascii="Arial" w:hAnsi="Arial" w:cs="Arial"/>
          <w:bCs/>
          <w:sz w:val="22"/>
          <w:szCs w:val="22"/>
        </w:rPr>
        <w:t>-Decision Making……………………………………………………………………</w:t>
      </w:r>
      <w:r w:rsidR="00A9440C">
        <w:rPr>
          <w:rFonts w:ascii="Arial" w:hAnsi="Arial" w:cs="Arial"/>
          <w:bCs/>
          <w:sz w:val="22"/>
          <w:szCs w:val="22"/>
        </w:rPr>
        <w:t>...</w:t>
      </w:r>
      <w:r w:rsidRPr="009C08C8">
        <w:rPr>
          <w:rFonts w:ascii="Arial" w:hAnsi="Arial" w:cs="Arial"/>
          <w:bCs/>
          <w:sz w:val="22"/>
          <w:szCs w:val="22"/>
        </w:rPr>
        <w:t>………...</w:t>
      </w:r>
      <w:r>
        <w:rPr>
          <w:rFonts w:ascii="Arial" w:hAnsi="Arial" w:cs="Arial"/>
          <w:bCs/>
          <w:sz w:val="22"/>
          <w:szCs w:val="22"/>
        </w:rPr>
        <w:t>..</w:t>
      </w:r>
      <w:r w:rsidR="00A5035F">
        <w:rPr>
          <w:rFonts w:ascii="Arial" w:hAnsi="Arial" w:cs="Arial"/>
          <w:b/>
          <w:sz w:val="22"/>
          <w:szCs w:val="22"/>
        </w:rPr>
        <w:t>5</w:t>
      </w:r>
    </w:p>
    <w:p w14:paraId="5E7BA5B7" w14:textId="6D6F8C53" w:rsidR="00A9440C" w:rsidRDefault="00A9440C" w:rsidP="009C08C8">
      <w:pPr>
        <w:jc w:val="left"/>
        <w:rPr>
          <w:rFonts w:ascii="Arial" w:hAnsi="Arial" w:cs="Arial"/>
          <w:bCs/>
          <w:sz w:val="22"/>
          <w:szCs w:val="22"/>
        </w:rPr>
      </w:pPr>
      <w:r>
        <w:rPr>
          <w:rFonts w:ascii="Arial" w:hAnsi="Arial" w:cs="Arial"/>
          <w:bCs/>
          <w:sz w:val="22"/>
          <w:szCs w:val="22"/>
        </w:rPr>
        <w:t xml:space="preserve">1.4 </w:t>
      </w:r>
      <w:r w:rsidR="00381D28">
        <w:rPr>
          <w:rFonts w:ascii="Arial" w:hAnsi="Arial" w:cs="Arial"/>
          <w:bCs/>
          <w:sz w:val="22"/>
          <w:szCs w:val="22"/>
        </w:rPr>
        <w:t>C</w:t>
      </w:r>
      <w:r>
        <w:rPr>
          <w:rFonts w:ascii="Arial" w:hAnsi="Arial" w:cs="Arial"/>
          <w:bCs/>
          <w:sz w:val="22"/>
          <w:szCs w:val="22"/>
        </w:rPr>
        <w:t>hosen organisation………………………………………………………………………….6</w:t>
      </w:r>
    </w:p>
    <w:p w14:paraId="439692A3" w14:textId="57DCFD21" w:rsidR="00A9440C" w:rsidRDefault="00A9440C" w:rsidP="009C08C8">
      <w:pPr>
        <w:jc w:val="left"/>
        <w:rPr>
          <w:rFonts w:ascii="Arial" w:hAnsi="Arial" w:cs="Arial"/>
          <w:bCs/>
          <w:sz w:val="22"/>
          <w:szCs w:val="22"/>
        </w:rPr>
      </w:pPr>
      <w:r>
        <w:rPr>
          <w:rFonts w:ascii="Arial" w:hAnsi="Arial" w:cs="Arial"/>
          <w:bCs/>
          <w:sz w:val="22"/>
          <w:szCs w:val="22"/>
        </w:rPr>
        <w:t xml:space="preserve">1.5 </w:t>
      </w:r>
      <w:r w:rsidR="00381D28">
        <w:rPr>
          <w:rFonts w:ascii="Arial" w:hAnsi="Arial" w:cs="Arial"/>
          <w:bCs/>
          <w:sz w:val="22"/>
          <w:szCs w:val="22"/>
        </w:rPr>
        <w:t>P</w:t>
      </w:r>
      <w:r>
        <w:rPr>
          <w:rFonts w:ascii="Arial" w:hAnsi="Arial" w:cs="Arial"/>
          <w:bCs/>
          <w:sz w:val="22"/>
          <w:szCs w:val="22"/>
        </w:rPr>
        <w:t>rinciples of support, policy and relevant practice in this study…………………………</w:t>
      </w:r>
      <w:r w:rsidR="00894E5C">
        <w:rPr>
          <w:rFonts w:ascii="Arial" w:hAnsi="Arial" w:cs="Arial"/>
          <w:bCs/>
          <w:sz w:val="22"/>
          <w:szCs w:val="22"/>
        </w:rPr>
        <w:t>6</w:t>
      </w:r>
    </w:p>
    <w:p w14:paraId="531740AB" w14:textId="459791A5" w:rsidR="00381D28" w:rsidRPr="00381D28" w:rsidRDefault="00381D28" w:rsidP="00381D28">
      <w:pPr>
        <w:jc w:val="left"/>
        <w:rPr>
          <w:rFonts w:ascii="Arial" w:hAnsi="Arial" w:cs="Arial"/>
          <w:bCs/>
          <w:sz w:val="22"/>
          <w:szCs w:val="22"/>
        </w:rPr>
      </w:pPr>
      <w:r>
        <w:rPr>
          <w:rFonts w:ascii="Arial" w:hAnsi="Arial" w:cs="Arial"/>
          <w:bCs/>
          <w:sz w:val="22"/>
          <w:szCs w:val="22"/>
        </w:rPr>
        <w:t>-</w:t>
      </w:r>
      <w:r w:rsidRPr="00381D28">
        <w:rPr>
          <w:rFonts w:ascii="Arial" w:hAnsi="Arial" w:cs="Arial"/>
          <w:bCs/>
          <w:sz w:val="22"/>
          <w:szCs w:val="22"/>
        </w:rPr>
        <w:t>Treatment that lasts for a long time</w:t>
      </w:r>
      <w:r>
        <w:rPr>
          <w:rFonts w:ascii="Arial" w:hAnsi="Arial" w:cs="Arial"/>
          <w:bCs/>
          <w:sz w:val="22"/>
          <w:szCs w:val="22"/>
        </w:rPr>
        <w:t>……………………………………………………………</w:t>
      </w:r>
      <w:r w:rsidRPr="00381D28">
        <w:rPr>
          <w:rFonts w:ascii="Arial" w:hAnsi="Arial" w:cs="Arial"/>
          <w:bCs/>
          <w:sz w:val="22"/>
          <w:szCs w:val="22"/>
        </w:rPr>
        <w:t>7</w:t>
      </w:r>
    </w:p>
    <w:p w14:paraId="3E18D2C3" w14:textId="37615E4E" w:rsidR="00381D28" w:rsidRPr="00381D28" w:rsidRDefault="00381D28" w:rsidP="00381D28">
      <w:pPr>
        <w:jc w:val="left"/>
        <w:rPr>
          <w:rFonts w:ascii="Arial" w:hAnsi="Arial" w:cs="Arial"/>
          <w:bCs/>
          <w:sz w:val="22"/>
          <w:szCs w:val="22"/>
        </w:rPr>
      </w:pPr>
      <w:r>
        <w:rPr>
          <w:rFonts w:ascii="Arial" w:hAnsi="Arial" w:cs="Arial"/>
          <w:bCs/>
          <w:sz w:val="22"/>
          <w:szCs w:val="22"/>
        </w:rPr>
        <w:t>-</w:t>
      </w:r>
      <w:r w:rsidRPr="00381D28">
        <w:rPr>
          <w:rFonts w:ascii="Arial" w:hAnsi="Arial" w:cs="Arial"/>
          <w:bCs/>
          <w:sz w:val="22"/>
          <w:szCs w:val="22"/>
        </w:rPr>
        <w:t>Treatment in accordance with established protocols</w:t>
      </w:r>
      <w:r>
        <w:rPr>
          <w:rFonts w:ascii="Arial" w:hAnsi="Arial" w:cs="Arial"/>
          <w:bCs/>
          <w:sz w:val="22"/>
          <w:szCs w:val="22"/>
        </w:rPr>
        <w:t>………………………………………..</w:t>
      </w:r>
      <w:r w:rsidRPr="00381D28">
        <w:rPr>
          <w:rFonts w:ascii="Arial" w:hAnsi="Arial" w:cs="Arial"/>
          <w:bCs/>
          <w:sz w:val="22"/>
          <w:szCs w:val="22"/>
        </w:rPr>
        <w:t>7</w:t>
      </w:r>
    </w:p>
    <w:p w14:paraId="233B22BB" w14:textId="4ECD6AE3" w:rsidR="00381D28" w:rsidRDefault="00381D28" w:rsidP="00381D28">
      <w:pPr>
        <w:jc w:val="left"/>
        <w:rPr>
          <w:rFonts w:ascii="Arial" w:hAnsi="Arial" w:cs="Arial"/>
          <w:bCs/>
          <w:sz w:val="22"/>
          <w:szCs w:val="22"/>
        </w:rPr>
      </w:pPr>
      <w:r>
        <w:rPr>
          <w:rFonts w:ascii="Arial" w:hAnsi="Arial" w:cs="Arial"/>
          <w:bCs/>
          <w:sz w:val="22"/>
          <w:szCs w:val="22"/>
        </w:rPr>
        <w:t>-</w:t>
      </w:r>
      <w:r w:rsidRPr="00381D28">
        <w:rPr>
          <w:rFonts w:ascii="Arial" w:hAnsi="Arial" w:cs="Arial"/>
          <w:bCs/>
          <w:sz w:val="22"/>
          <w:szCs w:val="22"/>
        </w:rPr>
        <w:t>Current Practice</w:t>
      </w:r>
      <w:r>
        <w:rPr>
          <w:rFonts w:ascii="Arial" w:hAnsi="Arial" w:cs="Arial"/>
          <w:bCs/>
          <w:sz w:val="22"/>
          <w:szCs w:val="22"/>
        </w:rPr>
        <w:t>………………………………………………………………………………….</w:t>
      </w:r>
      <w:r w:rsidR="00894E5C">
        <w:rPr>
          <w:rFonts w:ascii="Arial" w:hAnsi="Arial" w:cs="Arial"/>
          <w:bCs/>
          <w:sz w:val="22"/>
          <w:szCs w:val="22"/>
        </w:rPr>
        <w:t>7</w:t>
      </w:r>
    </w:p>
    <w:p w14:paraId="7CD7723C" w14:textId="5998BD0F" w:rsidR="00381D28" w:rsidRDefault="00381D28" w:rsidP="00381D28">
      <w:pPr>
        <w:jc w:val="left"/>
        <w:rPr>
          <w:rFonts w:ascii="Arial" w:hAnsi="Arial" w:cs="Arial"/>
          <w:bCs/>
          <w:sz w:val="22"/>
          <w:szCs w:val="22"/>
        </w:rPr>
      </w:pPr>
      <w:r>
        <w:rPr>
          <w:rFonts w:ascii="Arial" w:hAnsi="Arial" w:cs="Arial"/>
          <w:bCs/>
          <w:sz w:val="22"/>
          <w:szCs w:val="22"/>
        </w:rPr>
        <w:t>1.6 Recommendations</w:t>
      </w:r>
      <w:r w:rsidR="00F44E79">
        <w:rPr>
          <w:rFonts w:ascii="Arial" w:hAnsi="Arial" w:cs="Arial"/>
          <w:bCs/>
          <w:sz w:val="22"/>
          <w:szCs w:val="22"/>
        </w:rPr>
        <w:t>…………………………………………………………………………..</w:t>
      </w:r>
      <w:r w:rsidR="00894E5C">
        <w:rPr>
          <w:rFonts w:ascii="Arial" w:hAnsi="Arial" w:cs="Arial"/>
          <w:bCs/>
          <w:sz w:val="22"/>
          <w:szCs w:val="22"/>
        </w:rPr>
        <w:t>8</w:t>
      </w:r>
    </w:p>
    <w:p w14:paraId="5487B9C3" w14:textId="15344CAF" w:rsidR="00BF5A64" w:rsidRDefault="00BF5A64" w:rsidP="00381D28">
      <w:pPr>
        <w:jc w:val="left"/>
        <w:rPr>
          <w:rFonts w:ascii="Arial" w:hAnsi="Arial" w:cs="Arial"/>
          <w:bCs/>
          <w:sz w:val="22"/>
          <w:szCs w:val="22"/>
        </w:rPr>
      </w:pPr>
      <w:r>
        <w:rPr>
          <w:rFonts w:ascii="Arial" w:hAnsi="Arial" w:cs="Arial"/>
          <w:bCs/>
          <w:sz w:val="22"/>
          <w:szCs w:val="22"/>
        </w:rPr>
        <w:t xml:space="preserve">1.7 </w:t>
      </w:r>
      <w:r w:rsidR="00FD35FA">
        <w:rPr>
          <w:rFonts w:ascii="Arial" w:hAnsi="Arial" w:cs="Arial"/>
          <w:bCs/>
          <w:sz w:val="22"/>
          <w:szCs w:val="22"/>
        </w:rPr>
        <w:t>References……………………………………………………………………………………</w:t>
      </w:r>
      <w:r w:rsidR="00894E5C">
        <w:rPr>
          <w:rFonts w:ascii="Arial" w:hAnsi="Arial" w:cs="Arial"/>
          <w:bCs/>
          <w:sz w:val="22"/>
          <w:szCs w:val="22"/>
        </w:rPr>
        <w:t>9</w:t>
      </w:r>
    </w:p>
    <w:p w14:paraId="2FE585B7" w14:textId="70889A5B" w:rsidR="00A9440C" w:rsidRPr="00A9440C" w:rsidRDefault="00A9440C" w:rsidP="009C08C8">
      <w:pPr>
        <w:jc w:val="left"/>
        <w:rPr>
          <w:rFonts w:ascii="Arial" w:hAnsi="Arial" w:cs="Arial"/>
          <w:bCs/>
          <w:sz w:val="22"/>
          <w:szCs w:val="22"/>
        </w:rPr>
      </w:pPr>
      <w:r>
        <w:rPr>
          <w:rFonts w:ascii="Arial" w:hAnsi="Arial" w:cs="Arial"/>
          <w:bCs/>
          <w:sz w:val="22"/>
          <w:szCs w:val="22"/>
        </w:rPr>
        <w:t xml:space="preserve"> </w:t>
      </w:r>
    </w:p>
    <w:p w14:paraId="6C7E92C6" w14:textId="77777777" w:rsidR="00A9440C" w:rsidRDefault="00A9440C" w:rsidP="009C08C8">
      <w:pPr>
        <w:jc w:val="left"/>
        <w:rPr>
          <w:rFonts w:ascii="Arial" w:hAnsi="Arial" w:cs="Arial"/>
          <w:b/>
          <w:sz w:val="22"/>
          <w:szCs w:val="22"/>
        </w:rPr>
      </w:pPr>
    </w:p>
    <w:p w14:paraId="6A8B4C25" w14:textId="77777777" w:rsidR="00EE6506" w:rsidRDefault="00EE6506">
      <w:pPr>
        <w:jc w:val="center"/>
        <w:rPr>
          <w:rFonts w:ascii="Arial" w:hAnsi="Arial" w:cs="Arial"/>
          <w:b/>
          <w:sz w:val="22"/>
          <w:szCs w:val="22"/>
        </w:rPr>
      </w:pPr>
    </w:p>
    <w:p w14:paraId="1D33332D" w14:textId="77777777" w:rsidR="00EE6506" w:rsidRDefault="00EE6506">
      <w:pPr>
        <w:jc w:val="center"/>
        <w:rPr>
          <w:rFonts w:ascii="Arial" w:hAnsi="Arial" w:cs="Arial"/>
          <w:b/>
          <w:sz w:val="22"/>
          <w:szCs w:val="22"/>
        </w:rPr>
      </w:pPr>
    </w:p>
    <w:p w14:paraId="1CEBFC25" w14:textId="77777777" w:rsidR="00EE6506" w:rsidRPr="00827B56" w:rsidRDefault="00EE6506">
      <w:pPr>
        <w:jc w:val="center"/>
        <w:rPr>
          <w:rFonts w:ascii="Arial" w:hAnsi="Arial" w:cs="Arial"/>
          <w:b/>
          <w:sz w:val="22"/>
          <w:szCs w:val="22"/>
        </w:rPr>
      </w:pPr>
    </w:p>
    <w:p w14:paraId="473D9462" w14:textId="77777777" w:rsidR="00EE6506" w:rsidRDefault="00EE6506">
      <w:pPr>
        <w:jc w:val="center"/>
      </w:pPr>
    </w:p>
    <w:p w14:paraId="5A6E0C9A" w14:textId="77777777" w:rsidR="00EE6506" w:rsidRDefault="00EE6506">
      <w:pPr>
        <w:jc w:val="center"/>
      </w:pPr>
    </w:p>
    <w:p w14:paraId="03864935" w14:textId="77777777" w:rsidR="00EE6506" w:rsidRDefault="00EE6506">
      <w:pPr>
        <w:jc w:val="center"/>
      </w:pPr>
    </w:p>
    <w:p w14:paraId="068EF771" w14:textId="7CF50C11" w:rsidR="00EE6506" w:rsidRDefault="00EE6506" w:rsidP="00EE6506">
      <w:pPr>
        <w:jc w:val="center"/>
        <w:rPr>
          <w:rFonts w:ascii="Arial" w:hAnsi="Arial" w:cs="Arial"/>
          <w:sz w:val="22"/>
          <w:szCs w:val="22"/>
        </w:rPr>
      </w:pPr>
    </w:p>
    <w:p w14:paraId="5FDCE634" w14:textId="387846D0" w:rsidR="00EE6506" w:rsidRDefault="00EE6506" w:rsidP="00EE6506">
      <w:pPr>
        <w:jc w:val="center"/>
        <w:rPr>
          <w:rFonts w:ascii="Arial" w:hAnsi="Arial" w:cs="Arial"/>
          <w:sz w:val="22"/>
          <w:szCs w:val="22"/>
        </w:rPr>
      </w:pPr>
    </w:p>
    <w:p w14:paraId="79415EF1" w14:textId="5BE44B65" w:rsidR="00EE6506" w:rsidRDefault="00EE6506" w:rsidP="00EE6506">
      <w:pPr>
        <w:jc w:val="center"/>
        <w:rPr>
          <w:rFonts w:ascii="Arial" w:hAnsi="Arial" w:cs="Arial"/>
          <w:sz w:val="22"/>
          <w:szCs w:val="22"/>
        </w:rPr>
      </w:pPr>
    </w:p>
    <w:p w14:paraId="602D47AB" w14:textId="44234D21" w:rsidR="00EE6506" w:rsidRDefault="00EE6506" w:rsidP="00EE6506">
      <w:pPr>
        <w:jc w:val="center"/>
        <w:rPr>
          <w:rFonts w:ascii="Arial" w:hAnsi="Arial" w:cs="Arial"/>
          <w:sz w:val="22"/>
          <w:szCs w:val="22"/>
        </w:rPr>
      </w:pPr>
    </w:p>
    <w:p w14:paraId="1952B4F2" w14:textId="14F4661C" w:rsidR="00EE6506" w:rsidRDefault="00EE6506" w:rsidP="00EE6506">
      <w:pPr>
        <w:jc w:val="center"/>
        <w:rPr>
          <w:rFonts w:ascii="Arial" w:hAnsi="Arial" w:cs="Arial"/>
          <w:sz w:val="22"/>
          <w:szCs w:val="22"/>
        </w:rPr>
      </w:pPr>
    </w:p>
    <w:p w14:paraId="7EFDEA81" w14:textId="5DE1349E" w:rsidR="00EE6506" w:rsidRDefault="00EE6506" w:rsidP="00EE6506">
      <w:pPr>
        <w:jc w:val="center"/>
        <w:rPr>
          <w:rFonts w:ascii="Arial" w:hAnsi="Arial" w:cs="Arial"/>
          <w:sz w:val="22"/>
          <w:szCs w:val="22"/>
        </w:rPr>
      </w:pPr>
    </w:p>
    <w:p w14:paraId="23AC702F" w14:textId="29588C4C" w:rsidR="007873DE" w:rsidRDefault="007873DE" w:rsidP="00EE6506">
      <w:pPr>
        <w:jc w:val="center"/>
        <w:rPr>
          <w:rFonts w:ascii="Arial" w:hAnsi="Arial" w:cs="Arial"/>
          <w:sz w:val="22"/>
          <w:szCs w:val="22"/>
        </w:rPr>
      </w:pPr>
    </w:p>
    <w:p w14:paraId="450B158D" w14:textId="5546A92C" w:rsidR="007873DE" w:rsidRDefault="007873DE" w:rsidP="00EE6506">
      <w:pPr>
        <w:jc w:val="center"/>
        <w:rPr>
          <w:rFonts w:ascii="Arial" w:hAnsi="Arial" w:cs="Arial"/>
          <w:sz w:val="22"/>
          <w:szCs w:val="22"/>
        </w:rPr>
      </w:pPr>
    </w:p>
    <w:p w14:paraId="12D4ECDB" w14:textId="0D8F484E" w:rsidR="007873DE" w:rsidRDefault="007873DE" w:rsidP="00EE6506">
      <w:pPr>
        <w:jc w:val="center"/>
        <w:rPr>
          <w:rFonts w:ascii="Arial" w:hAnsi="Arial" w:cs="Arial"/>
          <w:sz w:val="22"/>
          <w:szCs w:val="22"/>
        </w:rPr>
      </w:pPr>
    </w:p>
    <w:p w14:paraId="09ADC83E" w14:textId="77777777" w:rsidR="007873DE" w:rsidRDefault="007873DE" w:rsidP="007873DE">
      <w:pPr>
        <w:rPr>
          <w:rFonts w:ascii="Arial" w:hAnsi="Arial" w:cs="Arial"/>
          <w:sz w:val="22"/>
          <w:szCs w:val="22"/>
        </w:rPr>
      </w:pPr>
      <w:bookmarkStart w:id="0" w:name="_6ag0oamayrd8" w:colFirst="0" w:colLast="0"/>
      <w:bookmarkStart w:id="1" w:name="_2ldeyw5ba9nh" w:colFirst="0" w:colLast="0"/>
      <w:bookmarkEnd w:id="0"/>
      <w:bookmarkEnd w:id="1"/>
    </w:p>
    <w:p w14:paraId="00000023" w14:textId="588B51F3" w:rsidR="00C75B06" w:rsidRPr="007873DE" w:rsidRDefault="007873DE" w:rsidP="007873DE">
      <w:pPr>
        <w:rPr>
          <w:rFonts w:ascii="Arial" w:hAnsi="Arial" w:cs="Arial"/>
          <w:b/>
          <w:bCs/>
          <w:sz w:val="22"/>
          <w:szCs w:val="22"/>
        </w:rPr>
      </w:pPr>
      <w:r>
        <w:rPr>
          <w:rFonts w:ascii="Arial" w:hAnsi="Arial" w:cs="Arial"/>
          <w:b/>
          <w:bCs/>
          <w:sz w:val="22"/>
          <w:szCs w:val="22"/>
        </w:rPr>
        <w:lastRenderedPageBreak/>
        <w:t xml:space="preserve">1.1 </w:t>
      </w:r>
      <w:r w:rsidRPr="007873DE">
        <w:rPr>
          <w:rFonts w:ascii="Arial" w:hAnsi="Arial" w:cs="Arial"/>
          <w:b/>
          <w:bCs/>
          <w:sz w:val="22"/>
          <w:szCs w:val="22"/>
        </w:rPr>
        <w:t>Introduction</w:t>
      </w:r>
    </w:p>
    <w:p w14:paraId="00000024" w14:textId="355EA0A2" w:rsidR="00C75B06" w:rsidRDefault="00B12C1C">
      <w:pPr>
        <w:rPr>
          <w:rFonts w:ascii="Arial" w:hAnsi="Arial" w:cs="Arial"/>
          <w:sz w:val="22"/>
          <w:szCs w:val="22"/>
        </w:rPr>
      </w:pPr>
      <w:r w:rsidRPr="00B12C1C">
        <w:rPr>
          <w:rFonts w:ascii="Arial" w:hAnsi="Arial" w:cs="Arial"/>
          <w:sz w:val="22"/>
          <w:szCs w:val="22"/>
        </w:rPr>
        <w:t xml:space="preserve">Elder caregiving embraces the whole scale of healthcare delivery. </w:t>
      </w:r>
      <w:r>
        <w:rPr>
          <w:rFonts w:ascii="Arial" w:hAnsi="Arial" w:cs="Arial"/>
          <w:sz w:val="22"/>
          <w:szCs w:val="22"/>
        </w:rPr>
        <w:t>f</w:t>
      </w:r>
      <w:r w:rsidR="00C16194" w:rsidRPr="007873DE">
        <w:rPr>
          <w:rFonts w:ascii="Arial" w:hAnsi="Arial" w:cs="Arial"/>
          <w:sz w:val="22"/>
          <w:szCs w:val="22"/>
        </w:rPr>
        <w:t>rom in-home and community-based services to institutionalised care, including hospitalisation, rehabilitation, home care, assisted living, nursing home, and hospice. The caregiver's social, physical, and mental health are all impacted by</w:t>
      </w:r>
      <w:r w:rsidR="007873DE">
        <w:rPr>
          <w:rFonts w:ascii="Arial" w:hAnsi="Arial" w:cs="Arial"/>
          <w:sz w:val="22"/>
          <w:szCs w:val="22"/>
        </w:rPr>
        <w:t xml:space="preserve"> roles </w:t>
      </w:r>
      <w:r w:rsidR="00C16194" w:rsidRPr="007873DE">
        <w:rPr>
          <w:rFonts w:ascii="Arial" w:hAnsi="Arial" w:cs="Arial"/>
          <w:sz w:val="22"/>
          <w:szCs w:val="22"/>
        </w:rPr>
        <w:t>, as well as the care recipient's health and functional condition. The current study has provided a brief and detailed introduction to the case study situation of Mr and Mrs T with special reference to their diminishing health situation that demands the help of the care system of the society. The study has profoundly provided a detailed introduction to a caregiving organisation that solely works for the well-being of the elderly, i.e., Age UK. Further, the study has provided information on the available care facilities and the policy implications on the matter precisely. An appropriate set of recommendations has also been provided for a better emphasis on the situation</w:t>
      </w:r>
      <w:r w:rsidR="007873DE">
        <w:rPr>
          <w:rFonts w:ascii="Arial" w:hAnsi="Arial" w:cs="Arial"/>
          <w:sz w:val="22"/>
          <w:szCs w:val="22"/>
        </w:rPr>
        <w:t>.</w:t>
      </w:r>
    </w:p>
    <w:p w14:paraId="5F3AE30A" w14:textId="77777777" w:rsidR="007873DE" w:rsidRPr="007873DE" w:rsidRDefault="007873DE">
      <w:pPr>
        <w:rPr>
          <w:rFonts w:ascii="Arial" w:hAnsi="Arial" w:cs="Arial"/>
          <w:b/>
          <w:bCs/>
          <w:sz w:val="22"/>
          <w:szCs w:val="22"/>
        </w:rPr>
      </w:pPr>
    </w:p>
    <w:p w14:paraId="00000025" w14:textId="1AA14BEB" w:rsidR="00C75B06" w:rsidRPr="007873DE" w:rsidRDefault="007873DE" w:rsidP="007873DE">
      <w:pPr>
        <w:rPr>
          <w:rFonts w:ascii="Arial" w:hAnsi="Arial" w:cs="Arial"/>
          <w:b/>
          <w:bCs/>
          <w:sz w:val="22"/>
          <w:szCs w:val="22"/>
        </w:rPr>
      </w:pPr>
      <w:bookmarkStart w:id="2" w:name="_xhg4ca4o4vk0" w:colFirst="0" w:colLast="0"/>
      <w:bookmarkEnd w:id="2"/>
      <w:r>
        <w:rPr>
          <w:rFonts w:ascii="Arial" w:hAnsi="Arial" w:cs="Arial"/>
          <w:b/>
          <w:bCs/>
          <w:sz w:val="22"/>
          <w:szCs w:val="22"/>
        </w:rPr>
        <w:t xml:space="preserve">1.2 </w:t>
      </w:r>
      <w:r w:rsidRPr="007873DE">
        <w:rPr>
          <w:rFonts w:ascii="Arial" w:hAnsi="Arial" w:cs="Arial"/>
          <w:b/>
          <w:bCs/>
          <w:sz w:val="22"/>
          <w:szCs w:val="22"/>
        </w:rPr>
        <w:t xml:space="preserve">Case study description </w:t>
      </w:r>
    </w:p>
    <w:p w14:paraId="00000026" w14:textId="76679EAA" w:rsidR="00C75B06" w:rsidRDefault="00C16194">
      <w:pPr>
        <w:rPr>
          <w:rFonts w:ascii="Arial" w:hAnsi="Arial" w:cs="Arial"/>
          <w:sz w:val="22"/>
          <w:szCs w:val="22"/>
        </w:rPr>
      </w:pPr>
      <w:r w:rsidRPr="007873DE">
        <w:rPr>
          <w:rFonts w:ascii="Arial" w:hAnsi="Arial" w:cs="Arial"/>
          <w:sz w:val="22"/>
          <w:szCs w:val="22"/>
        </w:rPr>
        <w:t xml:space="preserve">Mr and Mrs T. are both elderly, having reached that milestone far beyond their 85th birthdays. Mr T is afflicted with increasing dementia and other chronic diseases. </w:t>
      </w:r>
      <w:r w:rsidR="00891678">
        <w:rPr>
          <w:rFonts w:ascii="Arial" w:hAnsi="Arial" w:cs="Arial"/>
          <w:sz w:val="22"/>
          <w:szCs w:val="22"/>
        </w:rPr>
        <w:t xml:space="preserve">Due to fell </w:t>
      </w:r>
      <w:r w:rsidRPr="007873DE">
        <w:rPr>
          <w:rFonts w:ascii="Arial" w:hAnsi="Arial" w:cs="Arial"/>
          <w:sz w:val="22"/>
          <w:szCs w:val="22"/>
        </w:rPr>
        <w:t xml:space="preserve">recently, they were both highly self-reliant and able to take care of one another. Recent hip surgery and </w:t>
      </w:r>
      <w:r w:rsidR="00891678">
        <w:rPr>
          <w:rFonts w:ascii="Arial" w:hAnsi="Arial" w:cs="Arial"/>
          <w:sz w:val="22"/>
          <w:szCs w:val="22"/>
        </w:rPr>
        <w:t xml:space="preserve">the </w:t>
      </w:r>
      <w:r w:rsidR="00891678" w:rsidRPr="007873DE">
        <w:rPr>
          <w:rFonts w:ascii="Arial" w:hAnsi="Arial" w:cs="Arial"/>
          <w:sz w:val="22"/>
          <w:szCs w:val="22"/>
        </w:rPr>
        <w:t>fall</w:t>
      </w:r>
      <w:r w:rsidRPr="007873DE">
        <w:rPr>
          <w:rFonts w:ascii="Arial" w:hAnsi="Arial" w:cs="Arial"/>
          <w:sz w:val="22"/>
          <w:szCs w:val="22"/>
        </w:rPr>
        <w:t xml:space="preserve"> left Mr T reliant on a mobility frame and hospitalisation. Mrs T reached this impasse and realised that they needed assistance if they were to retain their independence any longer. She was looking for guidance and resources to help them improve their daily lives. To maintain their autonomy for as long as feasible, they will get assistance with things like personal care, mobility enhancement, housekeeping, and social activities.</w:t>
      </w:r>
    </w:p>
    <w:p w14:paraId="76BA25AF" w14:textId="77777777" w:rsidR="00891678" w:rsidRPr="007873DE" w:rsidRDefault="00891678">
      <w:pPr>
        <w:rPr>
          <w:rFonts w:ascii="Arial" w:hAnsi="Arial" w:cs="Arial"/>
          <w:sz w:val="22"/>
          <w:szCs w:val="22"/>
        </w:rPr>
      </w:pPr>
    </w:p>
    <w:p w14:paraId="00000027" w14:textId="69906A94" w:rsidR="00C75B06" w:rsidRPr="00891678" w:rsidRDefault="00891678" w:rsidP="00891678">
      <w:pPr>
        <w:rPr>
          <w:rFonts w:ascii="Arial" w:hAnsi="Arial" w:cs="Arial"/>
          <w:b/>
          <w:bCs/>
          <w:sz w:val="22"/>
          <w:szCs w:val="22"/>
        </w:rPr>
      </w:pPr>
      <w:bookmarkStart w:id="3" w:name="_l8081mdwfd45" w:colFirst="0" w:colLast="0"/>
      <w:bookmarkEnd w:id="3"/>
      <w:r>
        <w:rPr>
          <w:rFonts w:ascii="Arial" w:hAnsi="Arial" w:cs="Arial"/>
          <w:b/>
          <w:bCs/>
          <w:sz w:val="22"/>
          <w:szCs w:val="22"/>
        </w:rPr>
        <w:t xml:space="preserve">1.3 </w:t>
      </w:r>
      <w:r w:rsidRPr="00891678">
        <w:rPr>
          <w:rFonts w:ascii="Arial" w:hAnsi="Arial" w:cs="Arial"/>
          <w:b/>
          <w:bCs/>
          <w:sz w:val="22"/>
          <w:szCs w:val="22"/>
        </w:rPr>
        <w:t>The support available in the current health and social care context</w:t>
      </w:r>
    </w:p>
    <w:p w14:paraId="00000028" w14:textId="437DEF19" w:rsidR="00C75B06" w:rsidRPr="00891678" w:rsidRDefault="00E57F3D" w:rsidP="00891678">
      <w:pPr>
        <w:rPr>
          <w:rFonts w:ascii="Arial" w:hAnsi="Arial" w:cs="Arial"/>
        </w:rPr>
      </w:pPr>
      <w:r>
        <w:rPr>
          <w:rFonts w:ascii="Arial" w:hAnsi="Arial" w:cs="Arial"/>
        </w:rPr>
        <w:t>-</w:t>
      </w:r>
      <w:r w:rsidRPr="00891678">
        <w:rPr>
          <w:rFonts w:ascii="Arial" w:hAnsi="Arial" w:cs="Arial"/>
        </w:rPr>
        <w:t>Awareness</w:t>
      </w:r>
    </w:p>
    <w:p w14:paraId="00000029" w14:textId="46036DEB" w:rsidR="00C75B06" w:rsidRDefault="00C16194">
      <w:r w:rsidRPr="00891678">
        <w:rPr>
          <w:rFonts w:ascii="Arial" w:hAnsi="Arial" w:cs="Arial"/>
          <w:sz w:val="22"/>
          <w:szCs w:val="22"/>
        </w:rPr>
        <w:t xml:space="preserve">During this time, the older person's social network begins to become aware of the elder's impairments, health problems, and/or behavioural changes, all of which may indicate the need for assistance. During this time, the elderly person may try to minimise their actual care needs out of fear of being seen as a burden on family and friends. Some causes of functional impairment are chronic, such as in dementia, while others are acute, such as in a stroke or traumatic brain injury. One's ability to satisfy the requirements of the person in their care raises a myriad of issues when they are unexpectedly thrown into that job. One or more family members will generally emerge as carers in response to a need for caring on the side of the older adult and/or family members. </w:t>
      </w:r>
      <w:r w:rsidR="00E57F3D" w:rsidRPr="00891678">
        <w:rPr>
          <w:rFonts w:ascii="Arial" w:hAnsi="Arial" w:cs="Arial"/>
          <w:sz w:val="22"/>
          <w:szCs w:val="22"/>
        </w:rPr>
        <w:t>Pre-existing</w:t>
      </w:r>
      <w:r w:rsidRPr="00891678">
        <w:rPr>
          <w:rFonts w:ascii="Arial" w:hAnsi="Arial" w:cs="Arial"/>
          <w:sz w:val="22"/>
          <w:szCs w:val="22"/>
        </w:rPr>
        <w:t xml:space="preserve"> relationships, gender roles, cultural norms and</w:t>
      </w:r>
      <w:r>
        <w:t xml:space="preserve"> expectations, location, and other variables all play a part in determining who ends up being the primary caregiver within a family.</w:t>
      </w:r>
    </w:p>
    <w:p w14:paraId="0000002A" w14:textId="3F49C6AA" w:rsidR="00C75B06" w:rsidRPr="00E57F3D" w:rsidRDefault="00E57F3D" w:rsidP="00E57F3D">
      <w:pPr>
        <w:rPr>
          <w:rFonts w:ascii="Arial" w:hAnsi="Arial" w:cs="Arial"/>
          <w:sz w:val="22"/>
          <w:szCs w:val="22"/>
        </w:rPr>
      </w:pPr>
      <w:bookmarkStart w:id="4" w:name="_3tnco6dv66mm" w:colFirst="0" w:colLast="0"/>
      <w:bookmarkEnd w:id="4"/>
      <w:r>
        <w:rPr>
          <w:rFonts w:ascii="Arial" w:hAnsi="Arial" w:cs="Arial"/>
          <w:sz w:val="22"/>
          <w:szCs w:val="22"/>
        </w:rPr>
        <w:lastRenderedPageBreak/>
        <w:t>-</w:t>
      </w:r>
      <w:r w:rsidRPr="00E57F3D">
        <w:rPr>
          <w:rFonts w:ascii="Arial" w:hAnsi="Arial" w:cs="Arial"/>
          <w:sz w:val="22"/>
          <w:szCs w:val="22"/>
        </w:rPr>
        <w:t>Unfolding Responsibility</w:t>
      </w:r>
    </w:p>
    <w:p w14:paraId="0000002B" w14:textId="585DB562" w:rsidR="00C75B06" w:rsidRDefault="00C16194">
      <w:pPr>
        <w:rPr>
          <w:rFonts w:ascii="Arial" w:hAnsi="Arial" w:cs="Arial"/>
          <w:sz w:val="22"/>
          <w:szCs w:val="22"/>
        </w:rPr>
      </w:pPr>
      <w:r w:rsidRPr="00E57F3D">
        <w:rPr>
          <w:rFonts w:ascii="Arial" w:hAnsi="Arial" w:cs="Arial"/>
          <w:sz w:val="22"/>
          <w:szCs w:val="22"/>
        </w:rPr>
        <w:t>Some carers may feel stigmatised or discriminated against because of the care recipient's illness, while others may face role ambiguity as they adjust to their new responsibilities (Gibbons et al., 2014). The social landscape shifts when people's attention moves from their customary engagement in life's activities to the trial of caring for a loved one. The care recipient's unpredictable disease experience may cause them to worry about their future. The caregiver's sense of competence in meeting the requirements of the person they are caring for is correlated with the severity of the patient's sickness and the caregiver's familiarity with the caregiving tasks at hand (Gibbons</w:t>
      </w:r>
      <w:r w:rsidRPr="00E57F3D">
        <w:rPr>
          <w:rFonts w:ascii="Arial" w:hAnsi="Arial" w:cs="Arial"/>
          <w:i/>
          <w:sz w:val="22"/>
          <w:szCs w:val="22"/>
        </w:rPr>
        <w:t xml:space="preserve"> et al.,</w:t>
      </w:r>
      <w:r w:rsidRPr="00E57F3D">
        <w:rPr>
          <w:rFonts w:ascii="Arial" w:hAnsi="Arial" w:cs="Arial"/>
          <w:sz w:val="22"/>
          <w:szCs w:val="22"/>
        </w:rPr>
        <w:t xml:space="preserve"> 2014). Caregivers may be attempting to make sense of the older person's limitations at the same time as they are aware of their caring duties. Considerable cultural, educational, and social variation exists, for instance, in family caregivers' understandings of dementia (Hinton, 2002).</w:t>
      </w:r>
    </w:p>
    <w:p w14:paraId="1E04627F" w14:textId="77777777" w:rsidR="00E57F3D" w:rsidRPr="00E57F3D" w:rsidRDefault="00E57F3D">
      <w:pPr>
        <w:rPr>
          <w:rFonts w:ascii="Arial" w:hAnsi="Arial" w:cs="Arial"/>
          <w:sz w:val="22"/>
          <w:szCs w:val="22"/>
        </w:rPr>
      </w:pPr>
    </w:p>
    <w:p w14:paraId="378A4AC9" w14:textId="4F63BFBC" w:rsidR="00ED6B83" w:rsidRPr="00ED6B83" w:rsidRDefault="00E57F3D" w:rsidP="00E57F3D">
      <w:pPr>
        <w:rPr>
          <w:rFonts w:ascii="Arial" w:hAnsi="Arial" w:cs="Arial"/>
          <w:sz w:val="22"/>
          <w:szCs w:val="22"/>
        </w:rPr>
      </w:pPr>
      <w:bookmarkStart w:id="5" w:name="_mcupcdkcbf3i" w:colFirst="0" w:colLast="0"/>
      <w:bookmarkEnd w:id="5"/>
      <w:r w:rsidRPr="00ED6B83">
        <w:rPr>
          <w:rFonts w:ascii="Arial" w:hAnsi="Arial" w:cs="Arial"/>
          <w:sz w:val="22"/>
          <w:szCs w:val="22"/>
        </w:rPr>
        <w:t>-Helping with Household Duties, Self-Care, Mobility, and Oversight</w:t>
      </w:r>
    </w:p>
    <w:p w14:paraId="0000002D" w14:textId="0A521299" w:rsidR="00C75B06" w:rsidRPr="00ED6B83" w:rsidRDefault="00C16194">
      <w:pPr>
        <w:rPr>
          <w:rFonts w:ascii="Arial" w:hAnsi="Arial" w:cs="Arial"/>
          <w:sz w:val="22"/>
          <w:szCs w:val="22"/>
        </w:rPr>
      </w:pPr>
      <w:r w:rsidRPr="00ED6B83">
        <w:rPr>
          <w:rFonts w:ascii="Arial" w:hAnsi="Arial" w:cs="Arial"/>
          <w:sz w:val="22"/>
          <w:szCs w:val="22"/>
        </w:rPr>
        <w:t xml:space="preserve">Almost all carers assist their elderly clients with activities of daily living such as grocery shopping, laundry, cleaning, food preparation, transportation, bill paying, and home maintenance. Whether due to health or functional constraints, the elderly person may need assistance on a regular basis with the </w:t>
      </w:r>
      <w:r w:rsidR="00E57F3D" w:rsidRPr="00ED6B83">
        <w:rPr>
          <w:rFonts w:ascii="Arial" w:hAnsi="Arial" w:cs="Arial"/>
          <w:sz w:val="22"/>
          <w:szCs w:val="22"/>
        </w:rPr>
        <w:t>tasks</w:t>
      </w:r>
      <w:r w:rsidRPr="00ED6B83">
        <w:rPr>
          <w:rFonts w:ascii="Arial" w:hAnsi="Arial" w:cs="Arial"/>
          <w:sz w:val="22"/>
          <w:szCs w:val="22"/>
        </w:rPr>
        <w:t>. Movement and care for oneself include activities such as walking, transferring, bathing or showering, grooming, clothing, eating, and toileting. Some carers' duties include assisting their charges with everyday activities of self-care. For "high-need" seniors, defined as those with at least two self-care requirements or dementia, caregivers are more likely to assist with a broad range of activities, such as completing household chores, assisting with mobility, monitoring medication, and scheduling doctor's visits.</w:t>
      </w:r>
    </w:p>
    <w:p w14:paraId="09A02A76" w14:textId="77777777" w:rsidR="00E57F3D" w:rsidRPr="00ED6B83" w:rsidRDefault="00E57F3D">
      <w:pPr>
        <w:rPr>
          <w:rFonts w:ascii="Arial" w:hAnsi="Arial" w:cs="Arial"/>
          <w:sz w:val="22"/>
          <w:szCs w:val="22"/>
        </w:rPr>
      </w:pPr>
    </w:p>
    <w:p w14:paraId="0000002E" w14:textId="6089B127" w:rsidR="00C75B06" w:rsidRPr="00ED6B83" w:rsidRDefault="00E57F3D" w:rsidP="00E57F3D">
      <w:pPr>
        <w:rPr>
          <w:rFonts w:ascii="Arial" w:hAnsi="Arial" w:cs="Arial"/>
          <w:sz w:val="22"/>
          <w:szCs w:val="22"/>
        </w:rPr>
      </w:pPr>
      <w:bookmarkStart w:id="6" w:name="_psrt34ibtw4f" w:colFirst="0" w:colLast="0"/>
      <w:bookmarkEnd w:id="6"/>
      <w:r w:rsidRPr="00ED6B83">
        <w:rPr>
          <w:rFonts w:ascii="Arial" w:hAnsi="Arial" w:cs="Arial"/>
          <w:sz w:val="22"/>
          <w:szCs w:val="22"/>
        </w:rPr>
        <w:t>-Providing Emotional and Social Support</w:t>
      </w:r>
    </w:p>
    <w:p w14:paraId="0000002F" w14:textId="0A621331" w:rsidR="00C75B06" w:rsidRDefault="00C16194">
      <w:r w:rsidRPr="00ED6B83">
        <w:rPr>
          <w:rFonts w:ascii="Arial" w:hAnsi="Arial" w:cs="Arial"/>
          <w:sz w:val="22"/>
          <w:szCs w:val="22"/>
        </w:rPr>
        <w:t xml:space="preserve">Most people over 65 value emotional intimate relationships over all others. In the life of elderly people, emphasising intimate emotional relationships is very important. Each person has their own place to live, which allows them to maintain connections with their children and other relatives while still devoting time and energy to their partner. Emotional and social supports for older persons who are receiving care for the first time due to growing frailty or the start of a disabling illness are distinct from the typical interactions among family members (Brody, 1985). The reciprocity ratio in the caregiving relationship has shifted, which is a significant development. </w:t>
      </w:r>
      <w:r w:rsidR="00ED6B83" w:rsidRPr="00ED6B83">
        <w:rPr>
          <w:rFonts w:ascii="Arial" w:hAnsi="Arial" w:cs="Arial"/>
          <w:sz w:val="22"/>
          <w:szCs w:val="22"/>
        </w:rPr>
        <w:t>Despite</w:t>
      </w:r>
      <w:r w:rsidRPr="00ED6B83">
        <w:rPr>
          <w:rFonts w:ascii="Arial" w:hAnsi="Arial" w:cs="Arial"/>
          <w:sz w:val="22"/>
          <w:szCs w:val="22"/>
        </w:rPr>
        <w:t xml:space="preserve"> caregivers' best attempts to preserve </w:t>
      </w:r>
      <w:r w:rsidR="00ED6B83" w:rsidRPr="00ED6B83">
        <w:rPr>
          <w:rFonts w:ascii="Arial" w:hAnsi="Arial" w:cs="Arial"/>
          <w:sz w:val="22"/>
          <w:szCs w:val="22"/>
        </w:rPr>
        <w:t>reciprocity</w:t>
      </w:r>
      <w:r w:rsidRPr="00ED6B83">
        <w:rPr>
          <w:rFonts w:ascii="Arial" w:hAnsi="Arial" w:cs="Arial"/>
          <w:sz w:val="22"/>
          <w:szCs w:val="22"/>
        </w:rPr>
        <w:t>, the care</w:t>
      </w:r>
      <w:r w:rsidRPr="00E57F3D">
        <w:rPr>
          <w:rFonts w:ascii="Arial" w:hAnsi="Arial" w:cs="Arial"/>
          <w:sz w:val="22"/>
          <w:szCs w:val="22"/>
        </w:rPr>
        <w:t xml:space="preserve"> receiver may be </w:t>
      </w:r>
      <w:r>
        <w:t>able to contribute less to the relationship while demanding more support as their demands get more severe (Dawson, 2021).</w:t>
      </w:r>
    </w:p>
    <w:p w14:paraId="00000030" w14:textId="71418E11" w:rsidR="00C75B06" w:rsidRPr="00ED6B83" w:rsidRDefault="00A5035F" w:rsidP="00ED6B83">
      <w:pPr>
        <w:rPr>
          <w:rFonts w:ascii="Arial" w:hAnsi="Arial" w:cs="Arial"/>
          <w:sz w:val="22"/>
          <w:szCs w:val="22"/>
        </w:rPr>
      </w:pPr>
      <w:bookmarkStart w:id="7" w:name="_bs6ujiyo8ayd" w:colFirst="0" w:colLast="0"/>
      <w:bookmarkEnd w:id="7"/>
      <w:r>
        <w:rPr>
          <w:rFonts w:ascii="Arial" w:hAnsi="Arial" w:cs="Arial"/>
          <w:sz w:val="22"/>
          <w:szCs w:val="22"/>
        </w:rPr>
        <w:lastRenderedPageBreak/>
        <w:t>-</w:t>
      </w:r>
      <w:r w:rsidRPr="00ED6B83">
        <w:rPr>
          <w:rFonts w:ascii="Arial" w:hAnsi="Arial" w:cs="Arial"/>
          <w:sz w:val="22"/>
          <w:szCs w:val="22"/>
        </w:rPr>
        <w:t>Health and Medical Care</w:t>
      </w:r>
    </w:p>
    <w:p w14:paraId="00000031" w14:textId="45F281FA" w:rsidR="00C75B06" w:rsidRPr="00ED6B83" w:rsidRDefault="00C16194">
      <w:pPr>
        <w:rPr>
          <w:rFonts w:ascii="Arial" w:hAnsi="Arial" w:cs="Arial"/>
          <w:sz w:val="22"/>
          <w:szCs w:val="22"/>
        </w:rPr>
      </w:pPr>
      <w:r w:rsidRPr="00ED6B83">
        <w:rPr>
          <w:rFonts w:ascii="Arial" w:hAnsi="Arial" w:cs="Arial"/>
          <w:sz w:val="22"/>
          <w:szCs w:val="22"/>
        </w:rPr>
        <w:t>Home health and medical care is not a new concept, but it has become more popular and is often far more advanced than in the past. Caregivers nowadays provide a variety of nursing or medical services, hitherto reserved for only registered or certified professionals, to their senior clients in their homes, transforming in-home caregiving into a de facto clinical care setting. Efforts to reduce hospital stays and nursing home placements have contributed to this trend, as have the growing number of outpatient treatment options for chronic and acute diseases. Providing care in the areas of health and medicine is becoming a more nuanced and demanding profession. In the past, medical treatment was more straightforward. There are now a variety of non-oral methods, such as patches, injections, and intravenous infusions, for administering drugs at home on a prescription basis. Caregiving involves more than just alleviating symptoms and keeping an eye on a patient's vitals; it also involves handling technical procedures and equipment, such as feeding and drainage tubes, catheters, and tracheostomies, for those whose patients are extremely sick or disabled (Dawson, 2021).</w:t>
      </w:r>
    </w:p>
    <w:p w14:paraId="00000032" w14:textId="3CF3B261" w:rsidR="00C75B06" w:rsidRDefault="00C16194">
      <w:pPr>
        <w:rPr>
          <w:rFonts w:ascii="Arial" w:hAnsi="Arial" w:cs="Arial"/>
          <w:sz w:val="22"/>
          <w:szCs w:val="22"/>
        </w:rPr>
      </w:pPr>
      <w:r w:rsidRPr="00ED6B83">
        <w:rPr>
          <w:rFonts w:ascii="Arial" w:hAnsi="Arial" w:cs="Arial"/>
          <w:sz w:val="22"/>
          <w:szCs w:val="22"/>
        </w:rPr>
        <w:t>Caregivers often act in dual roles of advocate and care coordinator. Their job as advocates is to locate relevant community and health care services and then connect those in need with them. Some of the costs and benefits of providing care may be calculated. Health care providers, governmental and private sector community-based groups, employers, and various potential payers all contribute to a complex and disjointed system of care that the older adult and their carers must navigate. Those who are elderly and go into residential care continue to get caregiver visits (e.g., assisted living facilities and nursing homes). They provide the same level of emotional support and companionship they did at home, as well as meal preparation, personal hygiene assistance, money management, grocery shopping, and transportation.</w:t>
      </w:r>
    </w:p>
    <w:p w14:paraId="6C0F1565" w14:textId="77777777" w:rsidR="00A5035F" w:rsidRPr="00ED6B83" w:rsidRDefault="00A5035F">
      <w:pPr>
        <w:rPr>
          <w:rFonts w:ascii="Arial" w:hAnsi="Arial" w:cs="Arial"/>
          <w:sz w:val="22"/>
          <w:szCs w:val="22"/>
        </w:rPr>
      </w:pPr>
    </w:p>
    <w:p w14:paraId="00000033" w14:textId="19B4B297" w:rsidR="00C75B06" w:rsidRPr="00A5035F" w:rsidRDefault="00A5035F" w:rsidP="00A5035F">
      <w:pPr>
        <w:rPr>
          <w:rFonts w:ascii="Arial" w:hAnsi="Arial" w:cs="Arial"/>
          <w:sz w:val="22"/>
          <w:szCs w:val="22"/>
        </w:rPr>
      </w:pPr>
      <w:bookmarkStart w:id="8" w:name="_44z5q44ko3qe" w:colFirst="0" w:colLast="0"/>
      <w:bookmarkEnd w:id="8"/>
      <w:r w:rsidRPr="00A5035F">
        <w:rPr>
          <w:rFonts w:ascii="Arial" w:hAnsi="Arial" w:cs="Arial"/>
          <w:sz w:val="22"/>
          <w:szCs w:val="22"/>
        </w:rPr>
        <w:t xml:space="preserve">-Decision Making </w:t>
      </w:r>
    </w:p>
    <w:p w14:paraId="00000034" w14:textId="64B3FC02" w:rsidR="00C75B06" w:rsidRDefault="00C16194">
      <w:pPr>
        <w:rPr>
          <w:rFonts w:ascii="Arial" w:hAnsi="Arial" w:cs="Arial"/>
          <w:sz w:val="22"/>
          <w:szCs w:val="22"/>
        </w:rPr>
      </w:pPr>
      <w:r w:rsidRPr="00A5035F">
        <w:rPr>
          <w:rFonts w:ascii="Arial" w:hAnsi="Arial" w:cs="Arial"/>
          <w:sz w:val="22"/>
          <w:szCs w:val="22"/>
        </w:rPr>
        <w:t>Caregivers often make decisions together and, in some cases, on behalf of those they are caring for. The extent to which caregivers participate varies, however. There are a variety of decision-making roles that may be taken, such as being directive, participative, supporting or guiding, advising, advocative, or seeking to withhold influence and allow the older adult to make a choice. Individuals with mild to moderate cognitive impairment are frequently able to communicate preferences and make decisions, but those with severe cognitive impairment may need surrogate decision-making, as indicated below (Jadva, Prosser, and Gamble, 2021).</w:t>
      </w:r>
    </w:p>
    <w:p w14:paraId="67D7D34F" w14:textId="77777777" w:rsidR="00A5035F" w:rsidRPr="00A5035F" w:rsidRDefault="00A5035F">
      <w:pPr>
        <w:rPr>
          <w:rFonts w:ascii="Arial" w:hAnsi="Arial" w:cs="Arial"/>
          <w:sz w:val="22"/>
          <w:szCs w:val="22"/>
        </w:rPr>
      </w:pPr>
    </w:p>
    <w:p w14:paraId="7559AF57" w14:textId="77777777" w:rsidR="00A5035F" w:rsidRDefault="00A5035F" w:rsidP="00A5035F">
      <w:bookmarkStart w:id="9" w:name="_wfnmma54pmy0" w:colFirst="0" w:colLast="0"/>
      <w:bookmarkEnd w:id="9"/>
    </w:p>
    <w:p w14:paraId="00000035" w14:textId="2D51A95A" w:rsidR="00C75B06" w:rsidRPr="00A5035F" w:rsidRDefault="00A5035F" w:rsidP="00A5035F">
      <w:pPr>
        <w:rPr>
          <w:rFonts w:ascii="Arial" w:hAnsi="Arial" w:cs="Arial"/>
          <w:b/>
          <w:bCs/>
          <w:sz w:val="22"/>
          <w:szCs w:val="22"/>
        </w:rPr>
      </w:pPr>
      <w:r>
        <w:rPr>
          <w:rFonts w:ascii="Arial" w:hAnsi="Arial" w:cs="Arial"/>
          <w:b/>
          <w:bCs/>
          <w:sz w:val="22"/>
          <w:szCs w:val="22"/>
        </w:rPr>
        <w:t xml:space="preserve">1.4 </w:t>
      </w:r>
      <w:r w:rsidRPr="00A5035F">
        <w:rPr>
          <w:rFonts w:ascii="Arial" w:hAnsi="Arial" w:cs="Arial"/>
          <w:b/>
          <w:bCs/>
          <w:sz w:val="22"/>
          <w:szCs w:val="22"/>
        </w:rPr>
        <w:t>Choosing an organisation that supports Mr T in their situation.</w:t>
      </w:r>
    </w:p>
    <w:p w14:paraId="00000036" w14:textId="77777777" w:rsidR="00C75B06" w:rsidRPr="00A5035F" w:rsidRDefault="00C16194">
      <w:pPr>
        <w:rPr>
          <w:rFonts w:ascii="Arial" w:hAnsi="Arial" w:cs="Arial"/>
          <w:sz w:val="22"/>
          <w:szCs w:val="22"/>
        </w:rPr>
      </w:pPr>
      <w:r w:rsidRPr="00A5035F">
        <w:rPr>
          <w:rFonts w:ascii="Arial" w:hAnsi="Arial" w:cs="Arial"/>
          <w:sz w:val="22"/>
          <w:szCs w:val="22"/>
        </w:rPr>
        <w:t xml:space="preserve">The Age UK group may be useful in the scenario presented in the case study. Age UK is the biggest organisation in the United Kingdom, working to ensure that everyone has the </w:t>
      </w:r>
      <w:r w:rsidRPr="00A5035F">
        <w:rPr>
          <w:rFonts w:ascii="Arial" w:hAnsi="Arial" w:cs="Arial"/>
          <w:sz w:val="22"/>
          <w:szCs w:val="22"/>
        </w:rPr>
        <w:lastRenderedPageBreak/>
        <w:t>opportunity to enjoy their older years. About 140 independent Age UKs form the backbone of the Age UK network, which covers the majority of England. About 5.9 million individuals a year benefit from our guidance and resources (AGEUK, 2022). Age Cymru, Age NI, and Age Scotland are all partners with us. According to its mission statement, the organisation is concentrating its efforts on the elderly population. The number of elderly individuals living below or below the poverty level is alarmingly high. Far too many people lack access to the help they need. Way too many people have nobody to turn to for help.</w:t>
      </w:r>
    </w:p>
    <w:p w14:paraId="00000037" w14:textId="30DAA6A1" w:rsidR="00C75B06" w:rsidRPr="00A5035F" w:rsidRDefault="00C16194">
      <w:pPr>
        <w:rPr>
          <w:rFonts w:ascii="Arial" w:hAnsi="Arial" w:cs="Arial"/>
          <w:sz w:val="22"/>
          <w:szCs w:val="22"/>
        </w:rPr>
      </w:pPr>
      <w:r w:rsidRPr="00A5035F">
        <w:rPr>
          <w:rFonts w:ascii="Arial" w:hAnsi="Arial" w:cs="Arial"/>
          <w:sz w:val="22"/>
          <w:szCs w:val="22"/>
        </w:rPr>
        <w:t xml:space="preserve">Age UK is a nationwide organisation that offers local programmes to encourage and empower the elderly. This group not only advocates for the senior population as a whole but also safeguards future generations' interests. Over 75,000 active volunteers are a part of this group, all working to ensure that seniors have fulfilling lives. Age UK collaborates with a network of nonprofits around the nation that it refers to as "Friends." As a result, it has a vast system of communities and groups dedicated to aiding and supporting its constituents (Morton </w:t>
      </w:r>
      <w:r w:rsidRPr="00A5035F">
        <w:rPr>
          <w:rFonts w:ascii="Arial" w:hAnsi="Arial" w:cs="Arial"/>
          <w:i/>
          <w:sz w:val="22"/>
          <w:szCs w:val="22"/>
        </w:rPr>
        <w:t>et al.</w:t>
      </w:r>
      <w:r w:rsidRPr="00A5035F">
        <w:rPr>
          <w:rFonts w:ascii="Arial" w:hAnsi="Arial" w:cs="Arial"/>
          <w:sz w:val="22"/>
          <w:szCs w:val="22"/>
        </w:rPr>
        <w:t>, 2019).</w:t>
      </w:r>
    </w:p>
    <w:p w14:paraId="1B0A3890" w14:textId="0B8AA0BC" w:rsidR="00A5035F" w:rsidRDefault="00A5035F">
      <w:pPr>
        <w:rPr>
          <w:rFonts w:ascii="Arial" w:hAnsi="Arial" w:cs="Arial"/>
          <w:sz w:val="22"/>
          <w:szCs w:val="22"/>
        </w:rPr>
      </w:pPr>
    </w:p>
    <w:p w14:paraId="3DD3DDFD" w14:textId="77777777" w:rsidR="00F44E79" w:rsidRPr="00A5035F" w:rsidRDefault="00F44E79">
      <w:pPr>
        <w:rPr>
          <w:rFonts w:ascii="Arial" w:hAnsi="Arial" w:cs="Arial"/>
          <w:sz w:val="22"/>
          <w:szCs w:val="22"/>
        </w:rPr>
      </w:pPr>
    </w:p>
    <w:p w14:paraId="00000039" w14:textId="2C98BFCA" w:rsidR="00C75B06" w:rsidRPr="00A5035F" w:rsidRDefault="00A5035F" w:rsidP="00A5035F">
      <w:pPr>
        <w:rPr>
          <w:rFonts w:ascii="Arial" w:hAnsi="Arial" w:cs="Arial"/>
          <w:b/>
          <w:bCs/>
          <w:sz w:val="22"/>
          <w:szCs w:val="22"/>
        </w:rPr>
      </w:pPr>
      <w:bookmarkStart w:id="10" w:name="_bnolfgbkcgny" w:colFirst="0" w:colLast="0"/>
      <w:bookmarkEnd w:id="10"/>
      <w:r w:rsidRPr="00A5035F">
        <w:rPr>
          <w:rFonts w:ascii="Arial" w:hAnsi="Arial" w:cs="Arial"/>
          <w:b/>
          <w:bCs/>
          <w:sz w:val="22"/>
          <w:szCs w:val="22"/>
        </w:rPr>
        <w:t>1.5 Principles of support</w:t>
      </w:r>
      <w:r w:rsidR="00C16194">
        <w:rPr>
          <w:rFonts w:ascii="Arial" w:hAnsi="Arial" w:cs="Arial"/>
          <w:b/>
          <w:bCs/>
          <w:sz w:val="22"/>
          <w:szCs w:val="22"/>
        </w:rPr>
        <w:t xml:space="preserve"> </w:t>
      </w:r>
      <w:r w:rsidRPr="00A5035F">
        <w:rPr>
          <w:rFonts w:ascii="Arial" w:hAnsi="Arial" w:cs="Arial"/>
          <w:b/>
          <w:bCs/>
          <w:sz w:val="22"/>
          <w:szCs w:val="22"/>
        </w:rPr>
        <w:t xml:space="preserve">and relevant practices </w:t>
      </w:r>
    </w:p>
    <w:p w14:paraId="0000003A" w14:textId="1F48BAE0" w:rsidR="00C75B06" w:rsidRDefault="00C16194">
      <w:r w:rsidRPr="00F44E79">
        <w:rPr>
          <w:rFonts w:ascii="Arial" w:hAnsi="Arial" w:cs="Arial"/>
          <w:sz w:val="22"/>
          <w:szCs w:val="22"/>
        </w:rPr>
        <w:t>Policymakers assume that an ageing population would place strains on the economy, society, and perhaps the political system and that the younger generation will be expected to make more sacrifices of different types in order to care for the elderly. The existing patterns of economic activity and the robust links between age, sickness, disability, and the use of health services have sparked concerns about the economic consequences of an ageing population. The great</w:t>
      </w:r>
      <w:r>
        <w:t xml:space="preserve"> majority of persons aged 65 and older, however, do not have health issues that prevent them from being active members of their families and neighbourhoods.</w:t>
      </w:r>
    </w:p>
    <w:p w14:paraId="4435D9D9" w14:textId="77777777" w:rsidR="00F44E79" w:rsidRPr="00F44E79" w:rsidRDefault="00F44E79">
      <w:pPr>
        <w:rPr>
          <w:rFonts w:ascii="Arial" w:hAnsi="Arial" w:cs="Arial"/>
          <w:sz w:val="22"/>
          <w:szCs w:val="22"/>
        </w:rPr>
      </w:pPr>
    </w:p>
    <w:p w14:paraId="0000003B" w14:textId="60F335B1" w:rsidR="00C75B06" w:rsidRPr="00F44E79" w:rsidRDefault="00F44E79" w:rsidP="00F44E79">
      <w:pPr>
        <w:rPr>
          <w:rFonts w:ascii="Arial" w:hAnsi="Arial" w:cs="Arial"/>
          <w:sz w:val="22"/>
          <w:szCs w:val="22"/>
        </w:rPr>
      </w:pPr>
      <w:bookmarkStart w:id="11" w:name="_yjq0nzmbp8uw" w:colFirst="0" w:colLast="0"/>
      <w:bookmarkEnd w:id="11"/>
      <w:r w:rsidRPr="00F44E79">
        <w:rPr>
          <w:rFonts w:ascii="Arial" w:hAnsi="Arial" w:cs="Arial"/>
          <w:sz w:val="22"/>
          <w:szCs w:val="22"/>
        </w:rPr>
        <w:t>-Treatment that lasts for a long time</w:t>
      </w:r>
    </w:p>
    <w:p w14:paraId="0000003C" w14:textId="51871C89" w:rsidR="00C75B06" w:rsidRDefault="00C16194">
      <w:pPr>
        <w:rPr>
          <w:rFonts w:ascii="Arial" w:hAnsi="Arial" w:cs="Arial"/>
          <w:sz w:val="22"/>
          <w:szCs w:val="22"/>
        </w:rPr>
      </w:pPr>
      <w:r w:rsidRPr="00F44E79">
        <w:rPr>
          <w:rFonts w:ascii="Arial" w:hAnsi="Arial" w:cs="Arial"/>
          <w:sz w:val="22"/>
          <w:szCs w:val="22"/>
        </w:rPr>
        <w:t>However, demographic shifts are obviously linked to increases in the need for, and the cost of, long-term care of different sorts since rates of impairment and the need for help are highest among the elderly. Among British women aged 85 and above, one-fourth need help with even the most basic acts of movement like taking a shower or bath. Even if disability rates continue to drop as forecast, there will be a substantial rise in the number of older people who have limitations in Activities of Daily Living (ADLs) including showering, dressing, and transferring to and from bed due to the growth of age groups where the incidence of disability is greatest and accompanying increases in expenditures (Morton et al., 2019).</w:t>
      </w:r>
    </w:p>
    <w:p w14:paraId="475E9ED8" w14:textId="77777777" w:rsidR="00F44E79" w:rsidRDefault="00F44E79">
      <w:pPr>
        <w:rPr>
          <w:rFonts w:ascii="Arial" w:hAnsi="Arial" w:cs="Arial"/>
          <w:sz w:val="22"/>
          <w:szCs w:val="22"/>
        </w:rPr>
      </w:pPr>
    </w:p>
    <w:p w14:paraId="251A6F33" w14:textId="77777777" w:rsidR="00894E5C" w:rsidRPr="00F44E79" w:rsidRDefault="00894E5C">
      <w:pPr>
        <w:rPr>
          <w:rFonts w:ascii="Arial" w:hAnsi="Arial" w:cs="Arial"/>
          <w:sz w:val="22"/>
          <w:szCs w:val="22"/>
        </w:rPr>
      </w:pPr>
    </w:p>
    <w:p w14:paraId="0000003D" w14:textId="14008D9A" w:rsidR="00C75B06" w:rsidRPr="00F44E79" w:rsidRDefault="00F44E79" w:rsidP="00F44E79">
      <w:pPr>
        <w:rPr>
          <w:rFonts w:ascii="Arial" w:hAnsi="Arial" w:cs="Arial"/>
          <w:sz w:val="22"/>
          <w:szCs w:val="22"/>
        </w:rPr>
      </w:pPr>
      <w:bookmarkStart w:id="12" w:name="_877fu4rxcpfk" w:colFirst="0" w:colLast="0"/>
      <w:bookmarkEnd w:id="12"/>
      <w:r w:rsidRPr="00F44E79">
        <w:rPr>
          <w:rFonts w:ascii="Arial" w:hAnsi="Arial" w:cs="Arial"/>
          <w:sz w:val="22"/>
          <w:szCs w:val="22"/>
        </w:rPr>
        <w:lastRenderedPageBreak/>
        <w:t>-Treatment in accordance with established protocols</w:t>
      </w:r>
    </w:p>
    <w:p w14:paraId="0000003E" w14:textId="37C9366A" w:rsidR="00C75B06" w:rsidRDefault="00C16194">
      <w:pPr>
        <w:rPr>
          <w:rFonts w:ascii="Arial" w:hAnsi="Arial" w:cs="Arial"/>
          <w:sz w:val="22"/>
          <w:szCs w:val="22"/>
        </w:rPr>
      </w:pPr>
      <w:r w:rsidRPr="00F44E79">
        <w:rPr>
          <w:rFonts w:ascii="Arial" w:hAnsi="Arial" w:cs="Arial"/>
          <w:sz w:val="22"/>
          <w:szCs w:val="22"/>
        </w:rPr>
        <w:t>The National Health Service (NHS) in the United Kingdom provides universal, publicly funded healthcare to all residents at no cost at the point of service. The National Health Service (NHS) offers primary care (family physicians), acute treatment in hospitals, intermediate care (a recent focus aimed at preparing patients for discharge from the hospital and back into the community), public health, and preventive care (including screening programmes), and some long-term care (discussed further below). The National Health Service is fully supported by the Central Government, which uses tax revenue. To a large extent, it is the responsibility of local governments to provide any additional services for the elderly (municipalities). These include sheltered housing, which consists of modest apartments in clustered buildings with a resident warden; housing designed specifically for the elderly that does not provide warden services; community warden programmes; and different long-term care services. Contractual partnerships with a volunteer (non-profit) and commercial (for-profit) organisations are replacing direct service provision by local government. The majority of a local government's budget comes from the federal government. However, it also collects certain local taxes that are monitored by the feds. In addition to these programmes, the Central Government provides</w:t>
      </w:r>
      <w:r>
        <w:t xml:space="preserve"> extra income supplements for persons of any age who are disabled, regardless of their ability </w:t>
      </w:r>
      <w:r w:rsidRPr="00F44E79">
        <w:rPr>
          <w:rFonts w:ascii="Arial" w:hAnsi="Arial" w:cs="Arial"/>
          <w:sz w:val="22"/>
          <w:szCs w:val="22"/>
        </w:rPr>
        <w:t xml:space="preserve">to work (Steele </w:t>
      </w:r>
      <w:r w:rsidRPr="00F44E79">
        <w:rPr>
          <w:rFonts w:ascii="Arial" w:hAnsi="Arial" w:cs="Arial"/>
          <w:i/>
          <w:sz w:val="22"/>
          <w:szCs w:val="22"/>
        </w:rPr>
        <w:t>et al.,</w:t>
      </w:r>
      <w:r w:rsidRPr="00F44E79">
        <w:rPr>
          <w:rFonts w:ascii="Arial" w:hAnsi="Arial" w:cs="Arial"/>
          <w:sz w:val="22"/>
          <w:szCs w:val="22"/>
        </w:rPr>
        <w:t xml:space="preserve"> 2018). Most big firms offer programmes that enable employees with caring duties to adapt their working hours and take some paid carer leave. Younger workers who forgo employment to care for a handicapped relative are also entitled to some financial assistance.</w:t>
      </w:r>
    </w:p>
    <w:p w14:paraId="29EDE266" w14:textId="77777777" w:rsidR="00F44E79" w:rsidRPr="00F44E79" w:rsidRDefault="00F44E79" w:rsidP="00C16194">
      <w:pPr>
        <w:rPr>
          <w:rFonts w:ascii="Arial" w:hAnsi="Arial" w:cs="Arial"/>
          <w:sz w:val="22"/>
          <w:szCs w:val="22"/>
        </w:rPr>
      </w:pPr>
      <w:bookmarkStart w:id="13" w:name="_pyf761i32zyg" w:colFirst="0" w:colLast="0"/>
      <w:bookmarkEnd w:id="13"/>
    </w:p>
    <w:p w14:paraId="00000044" w14:textId="261334A7" w:rsidR="00C75B06" w:rsidRPr="00BD496A" w:rsidRDefault="00F44E79" w:rsidP="00F44E79">
      <w:pPr>
        <w:rPr>
          <w:rFonts w:ascii="Arial" w:hAnsi="Arial" w:cs="Arial"/>
          <w:sz w:val="22"/>
          <w:szCs w:val="22"/>
        </w:rPr>
      </w:pPr>
      <w:bookmarkStart w:id="14" w:name="_33vg3mj1o8m4" w:colFirst="0" w:colLast="0"/>
      <w:bookmarkEnd w:id="14"/>
      <w:r w:rsidRPr="00BD496A">
        <w:rPr>
          <w:rFonts w:ascii="Arial" w:hAnsi="Arial" w:cs="Arial"/>
          <w:sz w:val="22"/>
          <w:szCs w:val="22"/>
        </w:rPr>
        <w:t>-Current Practice</w:t>
      </w:r>
    </w:p>
    <w:p w14:paraId="00000045" w14:textId="77777777" w:rsidR="00C75B06" w:rsidRPr="00BD496A" w:rsidRDefault="00C16194">
      <w:pPr>
        <w:rPr>
          <w:rFonts w:ascii="Arial" w:hAnsi="Arial" w:cs="Arial"/>
          <w:sz w:val="22"/>
          <w:szCs w:val="22"/>
        </w:rPr>
      </w:pPr>
      <w:r w:rsidRPr="00BD496A">
        <w:rPr>
          <w:rFonts w:ascii="Arial" w:hAnsi="Arial" w:cs="Arial"/>
          <w:sz w:val="22"/>
          <w:szCs w:val="22"/>
        </w:rPr>
        <w:t>The National Health Service and other English social care agencies are among the best in the world when it comes to helping the elderly. We have started doing the following:</w:t>
      </w:r>
    </w:p>
    <w:p w14:paraId="00000046" w14:textId="77777777" w:rsidR="00C75B06" w:rsidRPr="00BD496A" w:rsidRDefault="00C16194">
      <w:pPr>
        <w:numPr>
          <w:ilvl w:val="0"/>
          <w:numId w:val="2"/>
        </w:numPr>
        <w:rPr>
          <w:rFonts w:ascii="Arial" w:hAnsi="Arial" w:cs="Arial"/>
          <w:sz w:val="22"/>
          <w:szCs w:val="22"/>
        </w:rPr>
      </w:pPr>
      <w:r w:rsidRPr="00BD496A">
        <w:rPr>
          <w:rFonts w:ascii="Arial" w:hAnsi="Arial" w:cs="Arial"/>
          <w:sz w:val="22"/>
          <w:szCs w:val="22"/>
        </w:rPr>
        <w:t>Care facilities, the new National Care Standards Commission, and the Better Care Higher Standards Charters should all strive to raise the bar for care delivery.</w:t>
      </w:r>
    </w:p>
    <w:p w14:paraId="00000047" w14:textId="77777777" w:rsidR="00C75B06" w:rsidRPr="00BD496A" w:rsidRDefault="00C16194">
      <w:pPr>
        <w:numPr>
          <w:ilvl w:val="0"/>
          <w:numId w:val="2"/>
        </w:numPr>
        <w:rPr>
          <w:rFonts w:ascii="Arial" w:hAnsi="Arial" w:cs="Arial"/>
          <w:sz w:val="22"/>
          <w:szCs w:val="22"/>
        </w:rPr>
      </w:pPr>
      <w:r w:rsidRPr="00BD496A">
        <w:rPr>
          <w:rFonts w:ascii="Arial" w:hAnsi="Arial" w:cs="Arial"/>
          <w:sz w:val="22"/>
          <w:szCs w:val="22"/>
        </w:rPr>
        <w:t>Widen the availability of services: Those over the age of 60 will be eligible for free NHS eye exams, access to cataract treatments will be enhanced, and the breast cancer screening programme for women will be extended to women up to the age of 70 (NIH, 2021). In recognition of the unique nature of caregiving, the Carers and Disabled Children Act of 2000 ensures that carers have equal access to services.</w:t>
      </w:r>
    </w:p>
    <w:p w14:paraId="00000048" w14:textId="77777777" w:rsidR="00C75B06" w:rsidRPr="00BD496A" w:rsidRDefault="00C16194">
      <w:pPr>
        <w:numPr>
          <w:ilvl w:val="0"/>
          <w:numId w:val="2"/>
        </w:numPr>
        <w:rPr>
          <w:rFonts w:ascii="Arial" w:hAnsi="Arial" w:cs="Arial"/>
          <w:sz w:val="22"/>
          <w:szCs w:val="22"/>
        </w:rPr>
      </w:pPr>
      <w:r w:rsidRPr="00BD496A">
        <w:rPr>
          <w:rFonts w:ascii="Arial" w:hAnsi="Arial" w:cs="Arial"/>
          <w:sz w:val="22"/>
          <w:szCs w:val="22"/>
        </w:rPr>
        <w:t>In order to provide more equitable financing for long-term care, nursing home residents will not have to pay for their care during the covid 19 impacted year (KFF, 2022).</w:t>
      </w:r>
    </w:p>
    <w:p w14:paraId="00000049" w14:textId="77777777" w:rsidR="00C75B06" w:rsidRPr="00BD496A" w:rsidRDefault="00C16194">
      <w:pPr>
        <w:numPr>
          <w:ilvl w:val="0"/>
          <w:numId w:val="2"/>
        </w:numPr>
        <w:rPr>
          <w:rFonts w:ascii="Arial" w:hAnsi="Arial" w:cs="Arial"/>
          <w:sz w:val="22"/>
          <w:szCs w:val="22"/>
        </w:rPr>
      </w:pPr>
      <w:r w:rsidRPr="00BD496A">
        <w:rPr>
          <w:rFonts w:ascii="Arial" w:hAnsi="Arial" w:cs="Arial"/>
          <w:sz w:val="22"/>
          <w:szCs w:val="22"/>
        </w:rPr>
        <w:t xml:space="preserve">In order to assist individuals in avoiding needless hospital admission and to speed up recovery and rehabilitation, new intermediate care services are being put in place to encourage independence. Councils may get funding from the Promoting Independence </w:t>
      </w:r>
      <w:r w:rsidRPr="00BD496A">
        <w:rPr>
          <w:rFonts w:ascii="Arial" w:hAnsi="Arial" w:cs="Arial"/>
          <w:sz w:val="22"/>
          <w:szCs w:val="22"/>
        </w:rPr>
        <w:lastRenderedPageBreak/>
        <w:t>Grant to provide services that enable more individuals to live independently for longer (NIH, 2022). Supporting People is a new programme that offers a variety of housing-related services to low-income individuals so that they may remain independent in their communities.</w:t>
      </w:r>
    </w:p>
    <w:p w14:paraId="0000004A" w14:textId="65B46026" w:rsidR="00C75B06" w:rsidRPr="00BD496A" w:rsidRDefault="00C16194">
      <w:pPr>
        <w:numPr>
          <w:ilvl w:val="0"/>
          <w:numId w:val="2"/>
        </w:numPr>
        <w:rPr>
          <w:rFonts w:ascii="Arial" w:hAnsi="Arial" w:cs="Arial"/>
          <w:sz w:val="22"/>
          <w:szCs w:val="22"/>
        </w:rPr>
      </w:pPr>
      <w:r w:rsidRPr="00BD496A">
        <w:rPr>
          <w:rFonts w:ascii="Arial" w:hAnsi="Arial" w:cs="Arial"/>
          <w:sz w:val="22"/>
          <w:szCs w:val="22"/>
        </w:rPr>
        <w:t>If you're 65 or older, get the free flu shot to protect your health. The oral health of the elderly is a priority (NHS, 2022). Hence efforts are being made to provide access to dental care. Campaigns encouraging people to "Keep Warm and Keep Well" are effective in reducing the number of fatalities caused by cold weather each winter.</w:t>
      </w:r>
    </w:p>
    <w:p w14:paraId="53D9760F" w14:textId="77777777" w:rsidR="00BD496A" w:rsidRDefault="00BD496A" w:rsidP="00BD496A">
      <w:pPr>
        <w:ind w:left="720"/>
      </w:pPr>
    </w:p>
    <w:p w14:paraId="0000004B" w14:textId="43EA5E1D" w:rsidR="00C75B06" w:rsidRPr="00BD496A" w:rsidRDefault="00BD496A" w:rsidP="00BD496A">
      <w:pPr>
        <w:rPr>
          <w:rFonts w:ascii="Arial" w:hAnsi="Arial" w:cs="Arial"/>
          <w:b/>
          <w:bCs/>
          <w:sz w:val="22"/>
          <w:szCs w:val="22"/>
        </w:rPr>
      </w:pPr>
      <w:bookmarkStart w:id="15" w:name="_5iompaqjqdmy" w:colFirst="0" w:colLast="0"/>
      <w:bookmarkEnd w:id="15"/>
      <w:r>
        <w:rPr>
          <w:rFonts w:ascii="Arial" w:hAnsi="Arial" w:cs="Arial"/>
          <w:b/>
          <w:bCs/>
          <w:sz w:val="22"/>
          <w:szCs w:val="22"/>
        </w:rPr>
        <w:t xml:space="preserve">1.6 </w:t>
      </w:r>
      <w:r w:rsidRPr="00BD496A">
        <w:rPr>
          <w:rFonts w:ascii="Arial" w:hAnsi="Arial" w:cs="Arial"/>
          <w:b/>
          <w:bCs/>
          <w:sz w:val="22"/>
          <w:szCs w:val="22"/>
        </w:rPr>
        <w:t>Recommendations</w:t>
      </w:r>
    </w:p>
    <w:p w14:paraId="0000004C" w14:textId="172ED9C1" w:rsidR="00C75B06" w:rsidRPr="00BD496A" w:rsidRDefault="003E22F4">
      <w:pPr>
        <w:rPr>
          <w:rFonts w:ascii="Arial" w:hAnsi="Arial" w:cs="Arial"/>
          <w:sz w:val="22"/>
          <w:szCs w:val="22"/>
        </w:rPr>
      </w:pPr>
      <w:r w:rsidRPr="003E22F4">
        <w:rPr>
          <w:rFonts w:ascii="Arial" w:hAnsi="Arial" w:cs="Arial"/>
          <w:sz w:val="22"/>
          <w:szCs w:val="22"/>
        </w:rPr>
        <w:t>The family has always chosen self-sufficiency, and members have always looked out for one another through life's ups and downs</w:t>
      </w:r>
      <w:r w:rsidRPr="00BD496A">
        <w:rPr>
          <w:rFonts w:ascii="Arial" w:hAnsi="Arial" w:cs="Arial"/>
          <w:sz w:val="22"/>
          <w:szCs w:val="22"/>
        </w:rPr>
        <w:t>. However, things are not as they were before Mr T's health crisis; therefore, it is clear that they will not be able to carry out their previous duties and responsibilities. As a result, individuals must come to terms with the reality that they need assistance in order to do their necessary outside-the-home tasks. Therefore, they should be willing to accept assistance and should be very friendly to the individuals who will come to aid them on behalf of the organisation from which they will be requesting assistance in the near future.</w:t>
      </w:r>
    </w:p>
    <w:p w14:paraId="0000004D" w14:textId="77777777" w:rsidR="00C75B06" w:rsidRPr="00BD496A" w:rsidRDefault="00C16194">
      <w:pPr>
        <w:rPr>
          <w:rFonts w:ascii="Arial" w:hAnsi="Arial" w:cs="Arial"/>
          <w:sz w:val="22"/>
          <w:szCs w:val="22"/>
        </w:rPr>
      </w:pPr>
      <w:r w:rsidRPr="00BD496A">
        <w:rPr>
          <w:rFonts w:ascii="Arial" w:hAnsi="Arial" w:cs="Arial"/>
          <w:sz w:val="22"/>
          <w:szCs w:val="22"/>
        </w:rPr>
        <w:t>In addition, everyone in the household should prioritise their health. They should sign up for quality health coverage at a reputable medical facility. In this way, they will have ready access to urgent medical care, including exams and treatment. By having this information at their disposal, they will always be prepared for any health issues that may arise. To live a risk-free, healthy, and happy existence, the family must have access to nutritious food, engage in moderate exercise, and have a positive outlook.</w:t>
      </w:r>
    </w:p>
    <w:p w14:paraId="364F0C92" w14:textId="6D0A0093" w:rsidR="00BD496A" w:rsidRDefault="00C16194">
      <w:pPr>
        <w:rPr>
          <w:rFonts w:ascii="Arial" w:hAnsi="Arial" w:cs="Arial"/>
          <w:sz w:val="22"/>
          <w:szCs w:val="22"/>
        </w:rPr>
      </w:pPr>
      <w:r w:rsidRPr="00BD496A">
        <w:rPr>
          <w:rFonts w:ascii="Arial" w:hAnsi="Arial" w:cs="Arial"/>
          <w:sz w:val="22"/>
          <w:szCs w:val="22"/>
        </w:rPr>
        <w:t xml:space="preserve">Helpers who come to the T's home must treat the members of the family with the </w:t>
      </w:r>
      <w:r w:rsidR="002F3733">
        <w:rPr>
          <w:rFonts w:ascii="Arial" w:hAnsi="Arial" w:cs="Arial"/>
          <w:sz w:val="22"/>
          <w:szCs w:val="22"/>
        </w:rPr>
        <w:t>major</w:t>
      </w:r>
      <w:r w:rsidR="00E06097">
        <w:rPr>
          <w:rFonts w:ascii="Arial" w:hAnsi="Arial" w:cs="Arial"/>
          <w:sz w:val="22"/>
          <w:szCs w:val="22"/>
        </w:rPr>
        <w:t xml:space="preserve"> </w:t>
      </w:r>
      <w:r w:rsidRPr="00BD496A">
        <w:rPr>
          <w:rFonts w:ascii="Arial" w:hAnsi="Arial" w:cs="Arial"/>
          <w:sz w:val="22"/>
          <w:szCs w:val="22"/>
        </w:rPr>
        <w:t>respect. The members of the family are used to working alone. The carers have a responsibility to recognise this reality and respond to the family's requests in a way that meets their specific requirements. Caregivers shouldn't put too much stress on the family's mental health by working too much. The elderly couple needs constant vigilance from their carers. The caretaker is responsible for ensuring the family's physical and emotional health and survival. The most important thing for the family to survive the remainder of the time is for everyone to learn to rely on one another, to have some mutual understanding, acceptance, and assimilation.</w:t>
      </w:r>
    </w:p>
    <w:p w14:paraId="0230965F" w14:textId="77777777" w:rsidR="00AE1E60" w:rsidRDefault="00AE1E60">
      <w:pPr>
        <w:rPr>
          <w:rFonts w:ascii="Arial" w:hAnsi="Arial" w:cs="Arial"/>
          <w:sz w:val="22"/>
          <w:szCs w:val="22"/>
        </w:rPr>
      </w:pPr>
    </w:p>
    <w:p w14:paraId="071143EC" w14:textId="77777777" w:rsidR="00C16194" w:rsidRDefault="00C16194">
      <w:pPr>
        <w:rPr>
          <w:rFonts w:ascii="Arial" w:hAnsi="Arial" w:cs="Arial"/>
          <w:sz w:val="22"/>
          <w:szCs w:val="22"/>
        </w:rPr>
      </w:pPr>
    </w:p>
    <w:p w14:paraId="6E320BA7" w14:textId="77777777" w:rsidR="00894E5C" w:rsidRDefault="00894E5C">
      <w:pPr>
        <w:rPr>
          <w:rFonts w:ascii="Arial" w:hAnsi="Arial" w:cs="Arial"/>
          <w:sz w:val="22"/>
          <w:szCs w:val="22"/>
        </w:rPr>
      </w:pPr>
    </w:p>
    <w:p w14:paraId="46A00377" w14:textId="77777777" w:rsidR="00894E5C" w:rsidRPr="00BD496A" w:rsidRDefault="00894E5C">
      <w:pPr>
        <w:rPr>
          <w:rFonts w:ascii="Arial" w:hAnsi="Arial" w:cs="Arial"/>
          <w:sz w:val="22"/>
          <w:szCs w:val="22"/>
        </w:rPr>
      </w:pPr>
    </w:p>
    <w:p w14:paraId="00000051" w14:textId="72FB9E6F" w:rsidR="00C75B06" w:rsidRDefault="00BD496A" w:rsidP="00BD496A">
      <w:pPr>
        <w:rPr>
          <w:rFonts w:ascii="Arial" w:hAnsi="Arial" w:cs="Arial"/>
          <w:b/>
          <w:bCs/>
          <w:sz w:val="22"/>
          <w:szCs w:val="22"/>
        </w:rPr>
      </w:pPr>
      <w:bookmarkStart w:id="16" w:name="_7yl4pr53i7og" w:colFirst="0" w:colLast="0"/>
      <w:bookmarkStart w:id="17" w:name="_md79t78zo2ak" w:colFirst="0" w:colLast="0"/>
      <w:bookmarkEnd w:id="16"/>
      <w:bookmarkEnd w:id="17"/>
      <w:r w:rsidRPr="00BD496A">
        <w:rPr>
          <w:rFonts w:ascii="Arial" w:hAnsi="Arial" w:cs="Arial"/>
          <w:b/>
          <w:bCs/>
          <w:sz w:val="22"/>
          <w:szCs w:val="22"/>
        </w:rPr>
        <w:lastRenderedPageBreak/>
        <w:t>1.7 Reference</w:t>
      </w:r>
    </w:p>
    <w:p w14:paraId="39FA03A8" w14:textId="476B1D45" w:rsidR="00DD4AB4" w:rsidRDefault="00DD4AB4" w:rsidP="00BD496A">
      <w:pPr>
        <w:rPr>
          <w:rFonts w:ascii="Arial" w:hAnsi="Arial" w:cs="Arial"/>
          <w:b/>
          <w:bCs/>
          <w:sz w:val="22"/>
          <w:szCs w:val="22"/>
        </w:rPr>
      </w:pPr>
    </w:p>
    <w:p w14:paraId="7053C38F" w14:textId="34E951C9" w:rsidR="00DD4AB4" w:rsidRDefault="00DD4AB4" w:rsidP="00DD4AB4">
      <w:r>
        <w:rPr>
          <w:rFonts w:ascii="Arial" w:hAnsi="Arial" w:cs="Arial"/>
          <w:b/>
          <w:bCs/>
          <w:sz w:val="22"/>
          <w:szCs w:val="22"/>
        </w:rPr>
        <w:t>-</w:t>
      </w:r>
      <w:r w:rsidRPr="00DD4AB4">
        <w:t xml:space="preserve"> </w:t>
      </w:r>
      <w:r>
        <w:t>AGEUK, 2022, “</w:t>
      </w:r>
      <w:r>
        <w:rPr>
          <w:i/>
        </w:rPr>
        <w:t>What we do</w:t>
      </w:r>
      <w:r>
        <w:t xml:space="preserve">”, Available at </w:t>
      </w:r>
      <w:hyperlink r:id="rId9">
        <w:r>
          <w:rPr>
            <w:color w:val="1155CC"/>
            <w:u w:val="single"/>
          </w:rPr>
          <w:t>https://www.ageuk.org.uk/about-us/what-we-do/</w:t>
        </w:r>
      </w:hyperlink>
      <w:r>
        <w:t xml:space="preserve"> [Accessed on 1st September 2022]</w:t>
      </w:r>
    </w:p>
    <w:p w14:paraId="588244C7" w14:textId="011AE37C" w:rsidR="00DD4AB4" w:rsidRDefault="00DD4AB4" w:rsidP="00DD4AB4">
      <w:r>
        <w:t>CPA,2022, “</w:t>
      </w:r>
      <w:r>
        <w:rPr>
          <w:i/>
        </w:rPr>
        <w:t>Policies on ageing</w:t>
      </w:r>
      <w:r>
        <w:t xml:space="preserve">”, Available at </w:t>
      </w:r>
      <w:hyperlink r:id="rId10">
        <w:r>
          <w:rPr>
            <w:color w:val="1155CC"/>
            <w:u w:val="single"/>
          </w:rPr>
          <w:t>http://www.cpa.org.uk/cpa/policies_on_ageing.html</w:t>
        </w:r>
      </w:hyperlink>
      <w:r>
        <w:t xml:space="preserve"> [Accessed on 1st September 2022]</w:t>
      </w:r>
    </w:p>
    <w:p w14:paraId="6C2CC54E" w14:textId="133BCF31" w:rsidR="00E921EC" w:rsidRDefault="00DD4AB4" w:rsidP="00E921EC">
      <w:r>
        <w:t>-</w:t>
      </w:r>
      <w:r w:rsidR="00E921EC" w:rsidRPr="00E921EC">
        <w:t xml:space="preserve"> </w:t>
      </w:r>
      <w:r w:rsidR="00E921EC">
        <w:t>Broese van Groenou, M., te Riele, S. and de Jong Gierveld, J., 2019. Receiving support and care in older age: Comparing LAT relationships with first marriages, remarriages, and cohabitation. Journal of Family Issues, 40(13), pp.1786-1807.</w:t>
      </w:r>
    </w:p>
    <w:p w14:paraId="38FFCA9C" w14:textId="24285E6E" w:rsidR="003107D5" w:rsidRDefault="00E921EC" w:rsidP="003107D5">
      <w:r>
        <w:t>-</w:t>
      </w:r>
      <w:r w:rsidR="003107D5" w:rsidRPr="003107D5">
        <w:t xml:space="preserve"> </w:t>
      </w:r>
      <w:r w:rsidR="003107D5">
        <w:t>CWF, 2020, “</w:t>
      </w:r>
      <w:r w:rsidR="003107D5">
        <w:rPr>
          <w:i/>
        </w:rPr>
        <w:t>International Health Care System Profiles, England</w:t>
      </w:r>
      <w:r w:rsidR="003107D5">
        <w:t xml:space="preserve">”, Available at </w:t>
      </w:r>
      <w:hyperlink r:id="rId11">
        <w:r w:rsidR="003107D5">
          <w:rPr>
            <w:color w:val="1155CC"/>
            <w:u w:val="single"/>
          </w:rPr>
          <w:t>https://www.commonwealthfund.org/international-health-policy-center/countries/england</w:t>
        </w:r>
      </w:hyperlink>
      <w:r w:rsidR="003107D5">
        <w:t xml:space="preserve"> [Accessed on 1st September 2022]</w:t>
      </w:r>
    </w:p>
    <w:p w14:paraId="20038FA7" w14:textId="06DAE971" w:rsidR="00E43345" w:rsidRDefault="003107D5" w:rsidP="00E43345">
      <w:r>
        <w:t>-</w:t>
      </w:r>
      <w:r w:rsidR="00E43345" w:rsidRPr="00E43345">
        <w:t xml:space="preserve"> </w:t>
      </w:r>
      <w:r w:rsidR="00E43345">
        <w:t>European Dermatology Forum guidelines on topical photodynamic therapy 2019 Part 1: treatment delivery and established indications–actinic keratoses, Bowen's disease and basal cell carcinomas. Journal of the European Academy of Dermatology and Venereology, 33(12), pp.2225-2238.</w:t>
      </w:r>
    </w:p>
    <w:p w14:paraId="2C3CDE2D" w14:textId="26E5AF73" w:rsidR="00355523" w:rsidRDefault="00355523" w:rsidP="00355523">
      <w:r>
        <w:t>-</w:t>
      </w:r>
      <w:r w:rsidRPr="00355523">
        <w:t xml:space="preserve"> </w:t>
      </w:r>
      <w:r>
        <w:t>KFF, 2022, “</w:t>
      </w:r>
      <w:r>
        <w:rPr>
          <w:i/>
        </w:rPr>
        <w:t>Funding for Health Care Providers During the Pandemic: An Update</w:t>
      </w:r>
      <w:r>
        <w:t xml:space="preserve">” </w:t>
      </w:r>
      <w:hyperlink r:id="rId12">
        <w:r>
          <w:rPr>
            <w:color w:val="1155CC"/>
            <w:u w:val="single"/>
          </w:rPr>
          <w:t>https://www.kff.org/coronavirus-covid-19/issue-brief/funding-for-health-care-providers-during-the-pandemic-an-update/</w:t>
        </w:r>
      </w:hyperlink>
      <w:r>
        <w:t xml:space="preserve"> </w:t>
      </w:r>
    </w:p>
    <w:p w14:paraId="44502496" w14:textId="5D85C675" w:rsidR="003E66E9" w:rsidRDefault="003E66E9" w:rsidP="003E66E9">
      <w:r>
        <w:t>-</w:t>
      </w:r>
      <w:r w:rsidRPr="003E66E9">
        <w:t xml:space="preserve"> </w:t>
      </w:r>
      <w:r>
        <w:t>Jadva, V., Prosser, H. and Gamble, N., 2021. Cross-border and domestic surrogacy in the UK context: an exploration of practical and legal decision-making. Human Fertility, 24(2), pp.93-104.</w:t>
      </w:r>
    </w:p>
    <w:p w14:paraId="6507AA18" w14:textId="35D29DFD" w:rsidR="00967059" w:rsidRDefault="00967059" w:rsidP="00967059">
      <w:r>
        <w:t>-</w:t>
      </w:r>
      <w:r w:rsidRPr="00967059">
        <w:t xml:space="preserve"> </w:t>
      </w:r>
      <w:r>
        <w:t>NIH, 2021, “</w:t>
      </w:r>
      <w:r>
        <w:rPr>
          <w:i/>
        </w:rPr>
        <w:t>Is there an association of socioeconomic deprivation with acute primary angle closure?</w:t>
      </w:r>
      <w:r>
        <w:t xml:space="preserve">” </w:t>
      </w:r>
      <w:hyperlink r:id="rId13">
        <w:r>
          <w:rPr>
            <w:color w:val="1155CC"/>
            <w:u w:val="single"/>
          </w:rPr>
          <w:t>https://www.ncbi.nlm.nih.gov/pmc/articles/PMC8193016/</w:t>
        </w:r>
      </w:hyperlink>
      <w:r>
        <w:t xml:space="preserve"> </w:t>
      </w:r>
    </w:p>
    <w:p w14:paraId="04729A7A" w14:textId="5C5A4B07" w:rsidR="00BF7F0F" w:rsidRDefault="00BF7F0F" w:rsidP="00BF7F0F">
      <w:r>
        <w:t>-</w:t>
      </w:r>
      <w:r w:rsidRPr="00BF7F0F">
        <w:t xml:space="preserve"> </w:t>
      </w:r>
      <w:r>
        <w:t>NIH, 2022, “</w:t>
      </w:r>
      <w:r>
        <w:rPr>
          <w:i/>
        </w:rPr>
        <w:t>Reablement services for people at risk of needing social care: the MoRe mixed-methods evaluation.</w:t>
      </w:r>
      <w:r>
        <w:t xml:space="preserve">” Available at </w:t>
      </w:r>
      <w:hyperlink r:id="rId14">
        <w:r>
          <w:rPr>
            <w:color w:val="1155CC"/>
            <w:u w:val="single"/>
          </w:rPr>
          <w:t>https://www.ncbi.nlm.nih.gov/books/NBK540369/</w:t>
        </w:r>
      </w:hyperlink>
      <w:r>
        <w:t xml:space="preserve"> [Accessed on 1st September 2022]</w:t>
      </w:r>
    </w:p>
    <w:p w14:paraId="65E1F4B8" w14:textId="14ABC46E" w:rsidR="00BF7F0F" w:rsidRDefault="00BF7F0F" w:rsidP="00BF7F0F">
      <w:r>
        <w:t>-NHS, 2022, “</w:t>
      </w:r>
      <w:r>
        <w:rPr>
          <w:i/>
        </w:rPr>
        <w:t>Flu vaccine</w:t>
      </w:r>
      <w:r>
        <w:t xml:space="preserve">” Available at </w:t>
      </w:r>
      <w:hyperlink r:id="rId15">
        <w:r>
          <w:rPr>
            <w:color w:val="1155CC"/>
            <w:u w:val="single"/>
          </w:rPr>
          <w:t>https://www.nhs.uk/conditions/vaccinations/flu-influenza-vaccine/</w:t>
        </w:r>
      </w:hyperlink>
      <w:r>
        <w:t xml:space="preserve"> [Accessed on 1st September 2022]</w:t>
      </w:r>
    </w:p>
    <w:p w14:paraId="60F3A3EC" w14:textId="7F073B12" w:rsidR="00BF7F0F" w:rsidRDefault="00BF7F0F" w:rsidP="00BF7F0F">
      <w:r>
        <w:t>-NCBI, 2016, “</w:t>
      </w:r>
      <w:r>
        <w:rPr>
          <w:i/>
        </w:rPr>
        <w:t>Family Caregiving Roles and Impacts</w:t>
      </w:r>
      <w:r>
        <w:t xml:space="preserve">”, Available at </w:t>
      </w:r>
      <w:hyperlink r:id="rId16">
        <w:r>
          <w:rPr>
            <w:color w:val="1155CC"/>
            <w:u w:val="single"/>
          </w:rPr>
          <w:t>https://www.ncbi.nlm.nih.gov/books/NBK396398/</w:t>
        </w:r>
      </w:hyperlink>
      <w:r>
        <w:t xml:space="preserve"> [Accessed on 31st August 2022]</w:t>
      </w:r>
    </w:p>
    <w:p w14:paraId="25DAB830" w14:textId="61CE17EB" w:rsidR="00BF7F0F" w:rsidRDefault="00BF7F0F" w:rsidP="00BF7F0F">
      <w:r>
        <w:t>-</w:t>
      </w:r>
      <w:r w:rsidRPr="00BF7F0F">
        <w:t xml:space="preserve"> </w:t>
      </w:r>
      <w:r>
        <w:t xml:space="preserve">Steele, S.J., Farchione, T.J., Cassiello-Robbins, C., Ametaj, A., Sbi, S., Sauer-Zavala, S. and Barlow, D.H., 2018. Efficacy of the Unified Protocol for transdiagnostic treatment of comorbid </w:t>
      </w:r>
      <w:r>
        <w:lastRenderedPageBreak/>
        <w:t>psychopathology accompanying emotional disorders compared to treatments targeting single disorders. Journal of psychiatric research, 104, pp.211-216.</w:t>
      </w:r>
    </w:p>
    <w:p w14:paraId="569347BE" w14:textId="5970628D" w:rsidR="003144CC" w:rsidRDefault="003144CC" w:rsidP="003144CC">
      <w:r>
        <w:t>-</w:t>
      </w:r>
      <w:r w:rsidRPr="003144CC">
        <w:t xml:space="preserve"> </w:t>
      </w:r>
      <w:r>
        <w:t xml:space="preserve">Morton, C.A., Szeimies, R.M., Basset‐Seguin, N., Calzavara‐Pinton, P., Gilaberte, Y., Haedersdal, M., Hofbauer, G.F.L., Hunger, R.E., Karrer, S., Piaserico, S. and Ulrich, C., 2019. </w:t>
      </w:r>
    </w:p>
    <w:p w14:paraId="6B34249B" w14:textId="0881CE39" w:rsidR="003144CC" w:rsidRDefault="003144CC" w:rsidP="003144CC">
      <w:r>
        <w:t>NIH, 2021, “</w:t>
      </w:r>
      <w:r>
        <w:rPr>
          <w:i/>
        </w:rPr>
        <w:t>Is there an association of socioeconomic deprivation with acute primary angle closure?</w:t>
      </w:r>
      <w:r>
        <w:t xml:space="preserve">” </w:t>
      </w:r>
      <w:hyperlink r:id="rId17">
        <w:r>
          <w:rPr>
            <w:color w:val="1155CC"/>
            <w:u w:val="single"/>
          </w:rPr>
          <w:t>https://www.ncbi.nlm.nih.gov/pmc/articles/PMC8193016/</w:t>
        </w:r>
      </w:hyperlink>
      <w:r>
        <w:t xml:space="preserve"> .</w:t>
      </w:r>
    </w:p>
    <w:p w14:paraId="3E143012" w14:textId="4A6D2D51" w:rsidR="003144CC" w:rsidRDefault="003144CC" w:rsidP="00BF7F0F"/>
    <w:p w14:paraId="38743F0D" w14:textId="52D8CA1A" w:rsidR="00BF7F0F" w:rsidRPr="00BF7F0F" w:rsidRDefault="00BF7F0F" w:rsidP="00BF7F0F">
      <w:pPr>
        <w:rPr>
          <w:rFonts w:ascii="Arial" w:hAnsi="Arial" w:cs="Arial"/>
          <w:b/>
          <w:bCs/>
          <w:sz w:val="22"/>
          <w:szCs w:val="22"/>
        </w:rPr>
      </w:pPr>
    </w:p>
    <w:p w14:paraId="69F8B078" w14:textId="7DE48B1E" w:rsidR="00BF7F0F" w:rsidRDefault="00BF7F0F" w:rsidP="00BF7F0F"/>
    <w:p w14:paraId="3797C8DC" w14:textId="287616C1" w:rsidR="00BF7F0F" w:rsidRDefault="00BF7F0F" w:rsidP="00355523"/>
    <w:p w14:paraId="781A3E81" w14:textId="36243A84" w:rsidR="00355523" w:rsidRDefault="00355523" w:rsidP="00E43345"/>
    <w:p w14:paraId="40E457D0" w14:textId="43AAB47D" w:rsidR="00E921EC" w:rsidRDefault="00E921EC" w:rsidP="00E921EC"/>
    <w:p w14:paraId="55BE8C90" w14:textId="0C9A36FA" w:rsidR="00DD4AB4" w:rsidRDefault="00DD4AB4" w:rsidP="00DD4AB4"/>
    <w:p w14:paraId="7F95C909" w14:textId="0A23553F" w:rsidR="00DD4AB4" w:rsidRDefault="00DD4AB4" w:rsidP="00DD4AB4"/>
    <w:p w14:paraId="734EC6B7" w14:textId="18955BA4" w:rsidR="00DD4AB4" w:rsidRPr="00DD4AB4" w:rsidRDefault="00DD4AB4" w:rsidP="00BD496A">
      <w:pPr>
        <w:rPr>
          <w:rFonts w:ascii="Arial" w:hAnsi="Arial" w:cs="Arial"/>
          <w:sz w:val="22"/>
          <w:szCs w:val="22"/>
        </w:rPr>
      </w:pPr>
    </w:p>
    <w:p w14:paraId="1234E8D6" w14:textId="77777777" w:rsidR="00BD496A" w:rsidRPr="00BD496A" w:rsidRDefault="00BD496A" w:rsidP="00BD496A">
      <w:pPr>
        <w:rPr>
          <w:rFonts w:ascii="Arial" w:hAnsi="Arial" w:cs="Arial"/>
          <w:b/>
          <w:bCs/>
          <w:sz w:val="22"/>
          <w:szCs w:val="22"/>
        </w:rPr>
      </w:pPr>
      <w:bookmarkStart w:id="18" w:name="_Hlk113316293"/>
    </w:p>
    <w:bookmarkEnd w:id="18"/>
    <w:p w14:paraId="0000005E" w14:textId="77777777" w:rsidR="00C75B06" w:rsidRDefault="00C75B06"/>
    <w:p w14:paraId="0000005F" w14:textId="77777777" w:rsidR="00C75B06" w:rsidRDefault="00C75B06"/>
    <w:sectPr w:rsidR="00C75B06" w:rsidSect="00381D28">
      <w:footerReference w:type="default" r:id="rId18"/>
      <w:pgSz w:w="11906" w:h="16838"/>
      <w:pgMar w:top="1440" w:right="1440" w:bottom="1440" w:left="1417" w:header="0" w:footer="0" w:gutter="0"/>
      <w:pgNumType w:start="1"/>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D56C61" w14:textId="77777777" w:rsidR="00BE193F" w:rsidRDefault="00BE193F" w:rsidP="00381D28">
      <w:pPr>
        <w:spacing w:line="240" w:lineRule="auto"/>
      </w:pPr>
      <w:r>
        <w:separator/>
      </w:r>
    </w:p>
  </w:endnote>
  <w:endnote w:type="continuationSeparator" w:id="0">
    <w:p w14:paraId="44AEB528" w14:textId="77777777" w:rsidR="00BE193F" w:rsidRDefault="00BE193F" w:rsidP="00381D2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07513916"/>
      <w:docPartObj>
        <w:docPartGallery w:val="Page Numbers (Bottom of Page)"/>
        <w:docPartUnique/>
      </w:docPartObj>
    </w:sdtPr>
    <w:sdtEndPr>
      <w:rPr>
        <w:noProof/>
      </w:rPr>
    </w:sdtEndPr>
    <w:sdtContent>
      <w:p w14:paraId="31B8CB64" w14:textId="16F86A4D" w:rsidR="00381D28" w:rsidRDefault="00381D2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E8428D1" w14:textId="77777777" w:rsidR="00381D28" w:rsidRDefault="00381D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7AF9E2" w14:textId="77777777" w:rsidR="00BE193F" w:rsidRDefault="00BE193F" w:rsidP="00381D28">
      <w:pPr>
        <w:spacing w:line="240" w:lineRule="auto"/>
      </w:pPr>
      <w:r>
        <w:separator/>
      </w:r>
    </w:p>
  </w:footnote>
  <w:footnote w:type="continuationSeparator" w:id="0">
    <w:p w14:paraId="2D62BA7C" w14:textId="77777777" w:rsidR="00BE193F" w:rsidRDefault="00BE193F" w:rsidP="00381D2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8B1C19"/>
    <w:multiLevelType w:val="multilevel"/>
    <w:tmpl w:val="5ADC3BA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74F34F92"/>
    <w:multiLevelType w:val="multilevel"/>
    <w:tmpl w:val="C4C2EAC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017800274">
    <w:abstractNumId w:val="0"/>
  </w:num>
  <w:num w:numId="2" w16cid:durableId="88140038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7"/>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75B06"/>
    <w:rsid w:val="000A10B7"/>
    <w:rsid w:val="002F3733"/>
    <w:rsid w:val="003107D5"/>
    <w:rsid w:val="003144CC"/>
    <w:rsid w:val="00355523"/>
    <w:rsid w:val="00381D28"/>
    <w:rsid w:val="003E22F4"/>
    <w:rsid w:val="003E66E9"/>
    <w:rsid w:val="004A1D83"/>
    <w:rsid w:val="004F1B70"/>
    <w:rsid w:val="0059331C"/>
    <w:rsid w:val="007873DE"/>
    <w:rsid w:val="00827B56"/>
    <w:rsid w:val="00851C2B"/>
    <w:rsid w:val="00891678"/>
    <w:rsid w:val="00894E5C"/>
    <w:rsid w:val="0092523A"/>
    <w:rsid w:val="00967059"/>
    <w:rsid w:val="009C08C8"/>
    <w:rsid w:val="009C74D1"/>
    <w:rsid w:val="00A5035F"/>
    <w:rsid w:val="00A74E4E"/>
    <w:rsid w:val="00A9440C"/>
    <w:rsid w:val="00AE1E60"/>
    <w:rsid w:val="00B12C1C"/>
    <w:rsid w:val="00BD496A"/>
    <w:rsid w:val="00BE193F"/>
    <w:rsid w:val="00BF5A64"/>
    <w:rsid w:val="00BF7F0F"/>
    <w:rsid w:val="00C16194"/>
    <w:rsid w:val="00C75B06"/>
    <w:rsid w:val="00CA3D7F"/>
    <w:rsid w:val="00DD4AB4"/>
    <w:rsid w:val="00E06097"/>
    <w:rsid w:val="00E43345"/>
    <w:rsid w:val="00E57F3D"/>
    <w:rsid w:val="00E921EC"/>
    <w:rsid w:val="00ED6B83"/>
    <w:rsid w:val="00EE6506"/>
    <w:rsid w:val="00F42774"/>
    <w:rsid w:val="00F44E79"/>
    <w:rsid w:val="00FD35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2E81B0"/>
  <w15:docId w15:val="{182BBFDB-107D-4548-9C66-D284962306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D4AB4"/>
  </w:style>
  <w:style w:type="paragraph" w:styleId="Heading1">
    <w:name w:val="heading 1"/>
    <w:basedOn w:val="Normal"/>
    <w:next w:val="Normal"/>
    <w:uiPriority w:val="9"/>
    <w:qFormat/>
    <w:pPr>
      <w:keepNext/>
      <w:keepLines/>
      <w:spacing w:before="400" w:after="120"/>
      <w:outlineLvl w:val="0"/>
    </w:pPr>
    <w:rPr>
      <w:b/>
      <w:sz w:val="28"/>
      <w:szCs w:val="28"/>
    </w:rPr>
  </w:style>
  <w:style w:type="paragraph" w:styleId="Heading2">
    <w:name w:val="heading 2"/>
    <w:basedOn w:val="Normal"/>
    <w:next w:val="Normal"/>
    <w:uiPriority w:val="9"/>
    <w:unhideWhenUsed/>
    <w:qFormat/>
    <w:pPr>
      <w:keepNext/>
      <w:keepLines/>
      <w:spacing w:before="360" w:after="120"/>
      <w:outlineLvl w:val="1"/>
    </w:pPr>
    <w:rPr>
      <w:b/>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381D28"/>
    <w:pPr>
      <w:tabs>
        <w:tab w:val="center" w:pos="4513"/>
        <w:tab w:val="right" w:pos="9026"/>
      </w:tabs>
      <w:spacing w:line="240" w:lineRule="auto"/>
    </w:pPr>
  </w:style>
  <w:style w:type="character" w:customStyle="1" w:styleId="HeaderChar">
    <w:name w:val="Header Char"/>
    <w:basedOn w:val="DefaultParagraphFont"/>
    <w:link w:val="Header"/>
    <w:uiPriority w:val="99"/>
    <w:rsid w:val="00381D28"/>
  </w:style>
  <w:style w:type="paragraph" w:styleId="Footer">
    <w:name w:val="footer"/>
    <w:basedOn w:val="Normal"/>
    <w:link w:val="FooterChar"/>
    <w:uiPriority w:val="99"/>
    <w:unhideWhenUsed/>
    <w:rsid w:val="00381D28"/>
    <w:pPr>
      <w:tabs>
        <w:tab w:val="center" w:pos="4513"/>
        <w:tab w:val="right" w:pos="9026"/>
      </w:tabs>
      <w:spacing w:line="240" w:lineRule="auto"/>
    </w:pPr>
  </w:style>
  <w:style w:type="character" w:customStyle="1" w:styleId="FooterChar">
    <w:name w:val="Footer Char"/>
    <w:basedOn w:val="DefaultParagraphFont"/>
    <w:link w:val="Footer"/>
    <w:uiPriority w:val="99"/>
    <w:rsid w:val="00381D2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ncbi.nlm.nih.gov/pmc/articles/PMC8193016/"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kff.org/coronavirus-covid-19/issue-brief/funding-for-health-care-providers-during-the-pandemic-an-update/" TargetMode="External"/><Relationship Id="rId17" Type="http://schemas.openxmlformats.org/officeDocument/2006/relationships/hyperlink" Target="https://www.ncbi.nlm.nih.gov/pmc/articles/PMC8193016/" TargetMode="External"/><Relationship Id="rId2" Type="http://schemas.openxmlformats.org/officeDocument/2006/relationships/numbering" Target="numbering.xml"/><Relationship Id="rId16" Type="http://schemas.openxmlformats.org/officeDocument/2006/relationships/hyperlink" Target="https://www.ncbi.nlm.nih.gov/books/NBK396398/"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ommonwealthfund.org/international-health-policy-center/countries/england" TargetMode="External"/><Relationship Id="rId5" Type="http://schemas.openxmlformats.org/officeDocument/2006/relationships/webSettings" Target="webSettings.xml"/><Relationship Id="rId15" Type="http://schemas.openxmlformats.org/officeDocument/2006/relationships/hyperlink" Target="https://www.nhs.uk/conditions/vaccinations/flu-influenza-vaccine/" TargetMode="External"/><Relationship Id="rId10" Type="http://schemas.openxmlformats.org/officeDocument/2006/relationships/hyperlink" Target="http://www.cpa.org.uk/cpa/policies_on_ageing.html"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ageuk.org.uk/about-us/what-we-do/" TargetMode="External"/><Relationship Id="rId14" Type="http://schemas.openxmlformats.org/officeDocument/2006/relationships/hyperlink" Target="https://www.ncbi.nlm.nih.gov/books/NBK54036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0357E84-5EB0-451B-B026-81F740F4D4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TotalTime>
  <Pages>10</Pages>
  <Words>3219</Words>
  <Characters>18354</Characters>
  <Application>Microsoft Office Word</Application>
  <DocSecurity>0</DocSecurity>
  <Lines>152</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Natalia Piedrahita</dc:creator>
  <cp:lastModifiedBy>Natalia Piedrahita Uribe (1906185)</cp:lastModifiedBy>
  <cp:revision>27</cp:revision>
  <dcterms:created xsi:type="dcterms:W3CDTF">2022-09-05T23:17:00Z</dcterms:created>
  <dcterms:modified xsi:type="dcterms:W3CDTF">2022-09-07T22:46:00Z</dcterms:modified>
</cp:coreProperties>
</file>