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DEC7D" w14:textId="00F9968D" w:rsidR="00B818D0" w:rsidRPr="00D92EDE" w:rsidRDefault="00A746BD" w:rsidP="00D92EDE">
      <w:pPr>
        <w:spacing w:after="80" w:line="360" w:lineRule="auto"/>
        <w:jc w:val="center"/>
        <w:rPr>
          <w:rFonts w:ascii="Arial" w:hAnsi="Arial" w:cs="Arial"/>
          <w:b/>
          <w:bCs/>
          <w:sz w:val="40"/>
          <w:szCs w:val="40"/>
        </w:rPr>
      </w:pPr>
      <w:r w:rsidRPr="00D92EDE">
        <w:rPr>
          <w:rFonts w:ascii="Arial" w:hAnsi="Arial" w:cs="Arial"/>
          <w:b/>
          <w:bCs/>
          <w:sz w:val="40"/>
          <w:szCs w:val="40"/>
        </w:rPr>
        <w:t>Introduction to Health and Social Care</w:t>
      </w:r>
    </w:p>
    <w:p w14:paraId="6AEF6D9B" w14:textId="7D0A4F93" w:rsidR="00A746BD" w:rsidRPr="00D92EDE" w:rsidRDefault="00A746BD" w:rsidP="00D92EDE">
      <w:pPr>
        <w:spacing w:after="80" w:line="360" w:lineRule="auto"/>
        <w:jc w:val="center"/>
        <w:rPr>
          <w:rFonts w:ascii="Arial" w:hAnsi="Arial" w:cs="Arial"/>
          <w:b/>
          <w:bCs/>
          <w:sz w:val="40"/>
          <w:szCs w:val="40"/>
        </w:rPr>
      </w:pPr>
      <w:r w:rsidRPr="00D92EDE">
        <w:rPr>
          <w:rFonts w:ascii="Arial" w:hAnsi="Arial" w:cs="Arial"/>
          <w:b/>
          <w:bCs/>
          <w:sz w:val="40"/>
          <w:szCs w:val="40"/>
        </w:rPr>
        <w:t>LCHS4003_BIRM</w:t>
      </w:r>
    </w:p>
    <w:p w14:paraId="349BA7B5" w14:textId="7933BC83" w:rsidR="00D92EDE" w:rsidRPr="00D92EDE" w:rsidRDefault="00D92EDE" w:rsidP="00D92EDE">
      <w:pPr>
        <w:spacing w:after="80" w:line="360" w:lineRule="auto"/>
        <w:jc w:val="center"/>
        <w:rPr>
          <w:rFonts w:ascii="Arial" w:hAnsi="Arial" w:cs="Arial"/>
          <w:b/>
          <w:bCs/>
          <w:sz w:val="40"/>
          <w:szCs w:val="40"/>
        </w:rPr>
      </w:pPr>
      <w:proofErr w:type="spellStart"/>
      <w:r w:rsidRPr="00D92EDE">
        <w:rPr>
          <w:rFonts w:ascii="Arial" w:hAnsi="Arial" w:cs="Arial"/>
          <w:b/>
          <w:bCs/>
          <w:sz w:val="40"/>
          <w:szCs w:val="40"/>
        </w:rPr>
        <w:t>Mr</w:t>
      </w:r>
      <w:proofErr w:type="spellEnd"/>
      <w:r w:rsidRPr="00D92EDE">
        <w:rPr>
          <w:rFonts w:ascii="Arial" w:hAnsi="Arial" w:cs="Arial"/>
          <w:b/>
          <w:bCs/>
          <w:sz w:val="40"/>
          <w:szCs w:val="40"/>
        </w:rPr>
        <w:t xml:space="preserve"> Ahmed Case Study</w:t>
      </w:r>
    </w:p>
    <w:p w14:paraId="64979AF3" w14:textId="30543F24" w:rsidR="00A746BD" w:rsidRPr="00D92EDE" w:rsidRDefault="00A746BD" w:rsidP="00D92EDE">
      <w:pPr>
        <w:spacing w:after="80" w:line="360" w:lineRule="auto"/>
        <w:jc w:val="center"/>
        <w:rPr>
          <w:rFonts w:ascii="Arial" w:hAnsi="Arial" w:cs="Arial"/>
          <w:b/>
          <w:bCs/>
          <w:sz w:val="40"/>
          <w:szCs w:val="40"/>
        </w:rPr>
      </w:pPr>
      <w:r w:rsidRPr="00D92EDE">
        <w:rPr>
          <w:rFonts w:ascii="Arial" w:hAnsi="Arial" w:cs="Arial"/>
          <w:b/>
          <w:bCs/>
          <w:sz w:val="40"/>
          <w:szCs w:val="40"/>
        </w:rPr>
        <w:t>Dilnawaz Khan</w:t>
      </w:r>
    </w:p>
    <w:p w14:paraId="4B3A0B37" w14:textId="0043FECB" w:rsidR="00A746BD" w:rsidRPr="00D92EDE" w:rsidRDefault="00D92EDE" w:rsidP="00D92EDE">
      <w:pPr>
        <w:spacing w:after="80" w:line="360" w:lineRule="auto"/>
        <w:jc w:val="center"/>
        <w:rPr>
          <w:rFonts w:ascii="Arial" w:hAnsi="Arial" w:cs="Arial"/>
          <w:b/>
          <w:bCs/>
          <w:sz w:val="36"/>
          <w:szCs w:val="36"/>
        </w:rPr>
      </w:pPr>
      <w:r w:rsidRPr="00D92EDE">
        <w:rPr>
          <w:rFonts w:ascii="Arial" w:hAnsi="Arial" w:cs="Arial"/>
          <w:b/>
          <w:bCs/>
          <w:sz w:val="36"/>
          <w:szCs w:val="36"/>
        </w:rPr>
        <w:t>2435767</w:t>
      </w:r>
    </w:p>
    <w:p w14:paraId="49001BDD" w14:textId="40F0807B" w:rsidR="00D92EDE" w:rsidRPr="00D92EDE" w:rsidRDefault="00D92EDE" w:rsidP="00D92EDE">
      <w:pPr>
        <w:spacing w:after="80" w:line="360" w:lineRule="auto"/>
        <w:jc w:val="center"/>
        <w:rPr>
          <w:rFonts w:ascii="Arial" w:hAnsi="Arial" w:cs="Arial"/>
          <w:b/>
          <w:bCs/>
          <w:sz w:val="36"/>
          <w:szCs w:val="36"/>
        </w:rPr>
      </w:pPr>
      <w:r w:rsidRPr="00D92EDE">
        <w:rPr>
          <w:rFonts w:ascii="Arial" w:hAnsi="Arial" w:cs="Arial"/>
          <w:b/>
          <w:bCs/>
          <w:sz w:val="36"/>
          <w:szCs w:val="36"/>
        </w:rPr>
        <w:t>Lecturer – Azida Zainol</w:t>
      </w:r>
    </w:p>
    <w:p w14:paraId="3494F515" w14:textId="518AE5CB" w:rsidR="00A746BD" w:rsidRPr="00A746BD" w:rsidRDefault="00A746BD" w:rsidP="00A746BD">
      <w:pPr>
        <w:spacing w:line="360" w:lineRule="auto"/>
        <w:rPr>
          <w:rFonts w:ascii="Arial" w:hAnsi="Arial" w:cs="Arial"/>
          <w:sz w:val="22"/>
        </w:rPr>
      </w:pPr>
      <w:r w:rsidRPr="00A746BD">
        <w:rPr>
          <w:rFonts w:ascii="Arial" w:hAnsi="Arial" w:cs="Arial"/>
          <w:sz w:val="22"/>
        </w:rPr>
        <w:br w:type="page"/>
      </w:r>
    </w:p>
    <w:p w14:paraId="589E7B4E" w14:textId="7D939947" w:rsidR="00A746BD" w:rsidRPr="00D92EDE" w:rsidRDefault="002B592A" w:rsidP="00D92EDE">
      <w:pPr>
        <w:spacing w:after="80" w:line="360" w:lineRule="auto"/>
        <w:jc w:val="center"/>
        <w:rPr>
          <w:rFonts w:ascii="Arial" w:hAnsi="Arial" w:cs="Arial"/>
          <w:b/>
          <w:bCs/>
          <w:sz w:val="28"/>
          <w:szCs w:val="28"/>
        </w:rPr>
      </w:pPr>
      <w:r w:rsidRPr="00D92EDE">
        <w:rPr>
          <w:rFonts w:ascii="Arial" w:hAnsi="Arial" w:cs="Arial"/>
          <w:b/>
          <w:bCs/>
          <w:sz w:val="28"/>
          <w:szCs w:val="28"/>
        </w:rPr>
        <w:lastRenderedPageBreak/>
        <w:t>Contents</w:t>
      </w:r>
    </w:p>
    <w:p w14:paraId="734A66D0" w14:textId="77777777" w:rsidR="00D92EDE" w:rsidRDefault="00D92EDE" w:rsidP="00A746BD">
      <w:pPr>
        <w:spacing w:after="80" w:line="360" w:lineRule="auto"/>
        <w:rPr>
          <w:rFonts w:ascii="Arial" w:hAnsi="Arial" w:cs="Arial"/>
          <w:sz w:val="22"/>
        </w:rPr>
      </w:pPr>
    </w:p>
    <w:p w14:paraId="2B57F175" w14:textId="1F39464B" w:rsidR="002B592A" w:rsidRDefault="002B592A" w:rsidP="00A746BD">
      <w:pPr>
        <w:spacing w:after="80" w:line="360" w:lineRule="auto"/>
        <w:rPr>
          <w:rFonts w:ascii="Arial" w:hAnsi="Arial" w:cs="Arial"/>
          <w:sz w:val="22"/>
        </w:rPr>
      </w:pPr>
      <w:r>
        <w:rPr>
          <w:rFonts w:ascii="Arial" w:hAnsi="Arial" w:cs="Arial"/>
          <w:sz w:val="22"/>
        </w:rPr>
        <w:t>Introduction</w:t>
      </w:r>
      <w:r w:rsidR="00D92EDE">
        <w:rPr>
          <w:rFonts w:ascii="Arial" w:hAnsi="Arial" w:cs="Arial"/>
          <w:sz w:val="22"/>
        </w:rPr>
        <w:t xml:space="preserve"> ……………………………………………………………………………………………… 3</w:t>
      </w:r>
    </w:p>
    <w:p w14:paraId="4DB6AE06" w14:textId="5173980C" w:rsidR="002B592A" w:rsidRDefault="002B592A" w:rsidP="002B592A">
      <w:pPr>
        <w:pStyle w:val="ListParagraph"/>
        <w:numPr>
          <w:ilvl w:val="0"/>
          <w:numId w:val="11"/>
        </w:numPr>
        <w:spacing w:after="80" w:line="360" w:lineRule="auto"/>
        <w:rPr>
          <w:rFonts w:ascii="Arial" w:hAnsi="Arial" w:cs="Arial"/>
          <w:sz w:val="22"/>
        </w:rPr>
      </w:pPr>
      <w:r>
        <w:rPr>
          <w:rFonts w:ascii="Arial" w:hAnsi="Arial" w:cs="Arial"/>
          <w:sz w:val="22"/>
        </w:rPr>
        <w:t xml:space="preserve">Key themes to communicate with </w:t>
      </w:r>
      <w:proofErr w:type="spellStart"/>
      <w:r>
        <w:rPr>
          <w:rFonts w:ascii="Arial" w:hAnsi="Arial" w:cs="Arial"/>
          <w:sz w:val="22"/>
        </w:rPr>
        <w:t>Mr</w:t>
      </w:r>
      <w:proofErr w:type="spellEnd"/>
      <w:r>
        <w:rPr>
          <w:rFonts w:ascii="Arial" w:hAnsi="Arial" w:cs="Arial"/>
          <w:sz w:val="22"/>
        </w:rPr>
        <w:t xml:space="preserve"> Ahmed and his family</w:t>
      </w:r>
      <w:r w:rsidR="00D92EDE">
        <w:rPr>
          <w:rFonts w:ascii="Arial" w:hAnsi="Arial" w:cs="Arial"/>
          <w:sz w:val="22"/>
        </w:rPr>
        <w:t xml:space="preserve"> ……………………………… 3</w:t>
      </w:r>
    </w:p>
    <w:p w14:paraId="12F39CDD" w14:textId="78F49423" w:rsidR="002B592A" w:rsidRDefault="002B592A" w:rsidP="002B592A">
      <w:pPr>
        <w:pStyle w:val="ListParagraph"/>
        <w:numPr>
          <w:ilvl w:val="0"/>
          <w:numId w:val="11"/>
        </w:numPr>
        <w:spacing w:after="80" w:line="360" w:lineRule="auto"/>
        <w:rPr>
          <w:rFonts w:ascii="Arial" w:hAnsi="Arial" w:cs="Arial"/>
          <w:sz w:val="22"/>
        </w:rPr>
      </w:pPr>
      <w:r>
        <w:rPr>
          <w:rFonts w:ascii="Arial" w:hAnsi="Arial" w:cs="Arial"/>
          <w:sz w:val="22"/>
        </w:rPr>
        <w:t>Poor communication issues shown in the case</w:t>
      </w:r>
      <w:r w:rsidR="00D92EDE">
        <w:rPr>
          <w:rFonts w:ascii="Arial" w:hAnsi="Arial" w:cs="Arial"/>
          <w:sz w:val="22"/>
        </w:rPr>
        <w:t xml:space="preserve"> …………………………………………</w:t>
      </w:r>
      <w:proofErr w:type="gramStart"/>
      <w:r w:rsidR="00D92EDE">
        <w:rPr>
          <w:rFonts w:ascii="Arial" w:hAnsi="Arial" w:cs="Arial"/>
          <w:sz w:val="22"/>
        </w:rPr>
        <w:t>…..</w:t>
      </w:r>
      <w:proofErr w:type="gramEnd"/>
      <w:r w:rsidR="00D92EDE">
        <w:rPr>
          <w:rFonts w:ascii="Arial" w:hAnsi="Arial" w:cs="Arial"/>
          <w:sz w:val="22"/>
        </w:rPr>
        <w:t xml:space="preserve"> 4</w:t>
      </w:r>
    </w:p>
    <w:p w14:paraId="2C45C285" w14:textId="3C637605" w:rsidR="002B592A" w:rsidRDefault="002B592A" w:rsidP="002B592A">
      <w:pPr>
        <w:pStyle w:val="ListParagraph"/>
        <w:numPr>
          <w:ilvl w:val="0"/>
          <w:numId w:val="11"/>
        </w:numPr>
        <w:spacing w:after="80" w:line="360" w:lineRule="auto"/>
        <w:rPr>
          <w:rFonts w:ascii="Arial" w:hAnsi="Arial" w:cs="Arial"/>
          <w:sz w:val="22"/>
        </w:rPr>
      </w:pPr>
      <w:r>
        <w:rPr>
          <w:rFonts w:ascii="Arial" w:hAnsi="Arial" w:cs="Arial"/>
          <w:sz w:val="22"/>
        </w:rPr>
        <w:t>Communication model: Applying the Shannon – Weaver Model</w:t>
      </w:r>
      <w:r w:rsidR="00D92EDE">
        <w:rPr>
          <w:rFonts w:ascii="Arial" w:hAnsi="Arial" w:cs="Arial"/>
          <w:sz w:val="22"/>
        </w:rPr>
        <w:t xml:space="preserve"> …………………………. 5</w:t>
      </w:r>
    </w:p>
    <w:p w14:paraId="23F204A5" w14:textId="11E32D79" w:rsidR="002B592A" w:rsidRDefault="002B592A" w:rsidP="002B592A">
      <w:pPr>
        <w:pStyle w:val="ListParagraph"/>
        <w:numPr>
          <w:ilvl w:val="0"/>
          <w:numId w:val="11"/>
        </w:numPr>
        <w:spacing w:after="80" w:line="360" w:lineRule="auto"/>
        <w:rPr>
          <w:rFonts w:ascii="Arial" w:hAnsi="Arial" w:cs="Arial"/>
          <w:sz w:val="22"/>
        </w:rPr>
      </w:pPr>
      <w:r>
        <w:rPr>
          <w:rFonts w:ascii="Arial" w:hAnsi="Arial" w:cs="Arial"/>
          <w:sz w:val="22"/>
        </w:rPr>
        <w:t>Equality Act 2010: Relevant aspects in this case</w:t>
      </w:r>
      <w:r w:rsidR="00D92EDE">
        <w:rPr>
          <w:rFonts w:ascii="Arial" w:hAnsi="Arial" w:cs="Arial"/>
          <w:sz w:val="22"/>
        </w:rPr>
        <w:t xml:space="preserve"> …………………………………………... 5</w:t>
      </w:r>
    </w:p>
    <w:p w14:paraId="5FBAA804" w14:textId="2CB28243" w:rsidR="002B592A" w:rsidRDefault="002B592A" w:rsidP="002B592A">
      <w:pPr>
        <w:pStyle w:val="ListParagraph"/>
        <w:numPr>
          <w:ilvl w:val="0"/>
          <w:numId w:val="11"/>
        </w:numPr>
        <w:spacing w:after="80" w:line="360" w:lineRule="auto"/>
        <w:rPr>
          <w:rFonts w:ascii="Arial" w:hAnsi="Arial" w:cs="Arial"/>
          <w:sz w:val="22"/>
        </w:rPr>
      </w:pPr>
      <w:r>
        <w:rPr>
          <w:rFonts w:ascii="Arial" w:hAnsi="Arial" w:cs="Arial"/>
          <w:sz w:val="22"/>
        </w:rPr>
        <w:t>Record keeping in Health &amp; Social Care</w:t>
      </w:r>
      <w:r w:rsidR="00D92EDE">
        <w:rPr>
          <w:rFonts w:ascii="Arial" w:hAnsi="Arial" w:cs="Arial"/>
          <w:sz w:val="22"/>
        </w:rPr>
        <w:t xml:space="preserve"> ……………………………………………………. 6</w:t>
      </w:r>
    </w:p>
    <w:p w14:paraId="6DFAAD00" w14:textId="772C57BA" w:rsidR="002B592A" w:rsidRDefault="002B592A" w:rsidP="002B592A">
      <w:pPr>
        <w:pStyle w:val="ListParagraph"/>
        <w:numPr>
          <w:ilvl w:val="0"/>
          <w:numId w:val="11"/>
        </w:numPr>
        <w:spacing w:after="80" w:line="360" w:lineRule="auto"/>
        <w:rPr>
          <w:rFonts w:ascii="Arial" w:hAnsi="Arial" w:cs="Arial"/>
          <w:sz w:val="22"/>
        </w:rPr>
      </w:pPr>
      <w:r>
        <w:rPr>
          <w:rFonts w:ascii="Arial" w:hAnsi="Arial" w:cs="Arial"/>
          <w:sz w:val="22"/>
        </w:rPr>
        <w:t>Applying the Data Protection Act 2018 and UK GDPR</w:t>
      </w:r>
      <w:r w:rsidR="00D92EDE">
        <w:rPr>
          <w:rFonts w:ascii="Arial" w:hAnsi="Arial" w:cs="Arial"/>
          <w:sz w:val="22"/>
        </w:rPr>
        <w:t xml:space="preserve"> ……………………………………. 6</w:t>
      </w:r>
    </w:p>
    <w:p w14:paraId="6048C153" w14:textId="4267E165" w:rsidR="002B592A" w:rsidRDefault="002B592A" w:rsidP="002B592A">
      <w:pPr>
        <w:spacing w:after="80" w:line="360" w:lineRule="auto"/>
        <w:rPr>
          <w:rFonts w:ascii="Arial" w:hAnsi="Arial" w:cs="Arial"/>
          <w:sz w:val="22"/>
        </w:rPr>
      </w:pPr>
      <w:r>
        <w:rPr>
          <w:rFonts w:ascii="Arial" w:hAnsi="Arial" w:cs="Arial"/>
          <w:sz w:val="22"/>
        </w:rPr>
        <w:t>Conclusion</w:t>
      </w:r>
      <w:r w:rsidR="00D92EDE">
        <w:rPr>
          <w:rFonts w:ascii="Arial" w:hAnsi="Arial" w:cs="Arial"/>
          <w:sz w:val="22"/>
        </w:rPr>
        <w:t xml:space="preserve"> ………………………………………………………………………………………………. 7</w:t>
      </w:r>
    </w:p>
    <w:p w14:paraId="61DFBFA2" w14:textId="682EC8A8" w:rsidR="002B592A" w:rsidRPr="002B592A" w:rsidRDefault="002B592A" w:rsidP="002B592A">
      <w:pPr>
        <w:spacing w:after="80" w:line="360" w:lineRule="auto"/>
        <w:rPr>
          <w:rFonts w:ascii="Arial" w:hAnsi="Arial" w:cs="Arial"/>
          <w:sz w:val="22"/>
        </w:rPr>
      </w:pPr>
      <w:r>
        <w:rPr>
          <w:rFonts w:ascii="Arial" w:hAnsi="Arial" w:cs="Arial"/>
          <w:sz w:val="22"/>
        </w:rPr>
        <w:t>Reference</w:t>
      </w:r>
      <w:r w:rsidR="00D92EDE">
        <w:rPr>
          <w:rFonts w:ascii="Arial" w:hAnsi="Arial" w:cs="Arial"/>
          <w:sz w:val="22"/>
        </w:rPr>
        <w:t xml:space="preserve"> ……………………………………………………………………………………………</w:t>
      </w:r>
      <w:proofErr w:type="gramStart"/>
      <w:r w:rsidR="00D92EDE">
        <w:rPr>
          <w:rFonts w:ascii="Arial" w:hAnsi="Arial" w:cs="Arial"/>
          <w:sz w:val="22"/>
        </w:rPr>
        <w:t>…..</w:t>
      </w:r>
      <w:proofErr w:type="gramEnd"/>
      <w:r w:rsidR="00D92EDE">
        <w:rPr>
          <w:rFonts w:ascii="Arial" w:hAnsi="Arial" w:cs="Arial"/>
          <w:sz w:val="22"/>
        </w:rPr>
        <w:t xml:space="preserve"> 8</w:t>
      </w:r>
    </w:p>
    <w:p w14:paraId="5B5B67B0" w14:textId="4784B13D" w:rsidR="001D1CE6" w:rsidRPr="002B592A" w:rsidRDefault="002A262E" w:rsidP="002B592A">
      <w:pPr>
        <w:rPr>
          <w:rFonts w:ascii="Arial" w:hAnsi="Arial" w:cs="Arial"/>
          <w:sz w:val="22"/>
        </w:rPr>
      </w:pPr>
      <w:r w:rsidRPr="00A746BD">
        <w:rPr>
          <w:rFonts w:ascii="Arial" w:hAnsi="Arial" w:cs="Arial"/>
          <w:sz w:val="22"/>
        </w:rPr>
        <w:br w:type="page"/>
      </w:r>
    </w:p>
    <w:p w14:paraId="44A0266D" w14:textId="77777777" w:rsidR="001D1CE6" w:rsidRPr="00A746BD" w:rsidRDefault="002A262E" w:rsidP="00A746BD">
      <w:pPr>
        <w:spacing w:line="360" w:lineRule="auto"/>
        <w:rPr>
          <w:rFonts w:ascii="Arial" w:hAnsi="Arial" w:cs="Arial"/>
          <w:b/>
          <w:bCs/>
          <w:sz w:val="32"/>
          <w:szCs w:val="32"/>
        </w:rPr>
      </w:pPr>
      <w:bookmarkStart w:id="0" w:name="_Toc223994001"/>
      <w:r w:rsidRPr="00A746BD">
        <w:rPr>
          <w:rFonts w:ascii="Arial" w:hAnsi="Arial" w:cs="Arial"/>
          <w:b/>
          <w:bCs/>
          <w:sz w:val="32"/>
          <w:szCs w:val="32"/>
        </w:rPr>
        <w:lastRenderedPageBreak/>
        <w:t>Introduction</w:t>
      </w:r>
      <w:bookmarkEnd w:id="0"/>
    </w:p>
    <w:p w14:paraId="4EEF0395" w14:textId="589D0511" w:rsidR="001D1CE6" w:rsidRDefault="00A84368" w:rsidP="00A746BD">
      <w:pPr>
        <w:spacing w:after="120" w:line="360" w:lineRule="auto"/>
        <w:jc w:val="both"/>
        <w:rPr>
          <w:rFonts w:ascii="Arial" w:hAnsi="Arial" w:cs="Arial"/>
          <w:sz w:val="22"/>
        </w:rPr>
      </w:pPr>
      <w:r w:rsidRPr="00A746BD">
        <w:rPr>
          <w:rFonts w:ascii="Arial" w:hAnsi="Arial" w:cs="Arial"/>
          <w:sz w:val="22"/>
        </w:rPr>
        <w:t xml:space="preserve">Safe, person-centered health and social care is all about communication since it influences comprehension, consent, medicinal safety, dignity and continuity of care. Mr Ahmed is a 68-year-old stroke survivor who is provided with domiciliary care three times a day after being discharged by the hospital. His first language is Bengali, which he is not much conversant with complicated English, and he relies on his wife when talking to professionals. A multidisciplinary team, comprising of the GP, the district nurse, the speech and language therapist, and the care agency staff, is involved in his care (The King’s Fund, 2022). The lack </w:t>
      </w:r>
      <w:proofErr w:type="gramStart"/>
      <w:r w:rsidRPr="00A746BD">
        <w:rPr>
          <w:rFonts w:ascii="Arial" w:hAnsi="Arial" w:cs="Arial"/>
          <w:sz w:val="22"/>
        </w:rPr>
        <w:t>of the visit</w:t>
      </w:r>
      <w:proofErr w:type="gramEnd"/>
      <w:r w:rsidRPr="00A746BD">
        <w:rPr>
          <w:rFonts w:ascii="Arial" w:hAnsi="Arial" w:cs="Arial"/>
          <w:sz w:val="22"/>
        </w:rPr>
        <w:t xml:space="preserve"> to the home and the delayed medication</w:t>
      </w:r>
      <w:r w:rsidR="005666AB" w:rsidRPr="00A746BD">
        <w:rPr>
          <w:rFonts w:ascii="Arial" w:hAnsi="Arial" w:cs="Arial"/>
          <w:sz w:val="22"/>
        </w:rPr>
        <w:t xml:space="preserve"> administration</w:t>
      </w:r>
      <w:r w:rsidRPr="00A746BD">
        <w:rPr>
          <w:rFonts w:ascii="Arial" w:hAnsi="Arial" w:cs="Arial"/>
          <w:sz w:val="22"/>
        </w:rPr>
        <w:t xml:space="preserve"> indicate that the problem of poor communication is a patient-safety issue. The staff should therefore speak in an inclusive way, share the information in a legal manner and have proper records.</w:t>
      </w:r>
    </w:p>
    <w:p w14:paraId="20698BA3" w14:textId="77777777" w:rsidR="00A746BD" w:rsidRPr="00A746BD" w:rsidRDefault="00A746BD" w:rsidP="00A746BD">
      <w:pPr>
        <w:spacing w:after="120" w:line="360" w:lineRule="auto"/>
        <w:jc w:val="both"/>
        <w:rPr>
          <w:rFonts w:ascii="Arial" w:hAnsi="Arial" w:cs="Arial"/>
          <w:sz w:val="22"/>
        </w:rPr>
      </w:pPr>
    </w:p>
    <w:p w14:paraId="426938C1" w14:textId="77777777" w:rsidR="001D1CE6" w:rsidRPr="00A746BD" w:rsidRDefault="002A262E" w:rsidP="00A746BD">
      <w:pPr>
        <w:rPr>
          <w:rFonts w:ascii="Arial" w:hAnsi="Arial" w:cs="Arial"/>
          <w:b/>
          <w:bCs/>
          <w:sz w:val="32"/>
          <w:szCs w:val="28"/>
        </w:rPr>
      </w:pPr>
      <w:bookmarkStart w:id="1" w:name="_Toc223994002"/>
      <w:r w:rsidRPr="00A746BD">
        <w:rPr>
          <w:rFonts w:ascii="Arial" w:hAnsi="Arial" w:cs="Arial"/>
          <w:b/>
          <w:bCs/>
          <w:sz w:val="32"/>
          <w:szCs w:val="28"/>
        </w:rPr>
        <w:t>1. Key themes to communicate with Mr Ahmed and his family</w:t>
      </w:r>
      <w:bookmarkEnd w:id="1"/>
    </w:p>
    <w:p w14:paraId="53703620" w14:textId="4BCCBD00" w:rsidR="00A84368" w:rsidRPr="00A746BD" w:rsidRDefault="005666AB" w:rsidP="00A746BD">
      <w:pPr>
        <w:spacing w:after="120" w:line="360" w:lineRule="auto"/>
        <w:jc w:val="both"/>
        <w:rPr>
          <w:rFonts w:ascii="Arial" w:hAnsi="Arial" w:cs="Arial"/>
          <w:sz w:val="22"/>
        </w:rPr>
      </w:pPr>
      <w:r w:rsidRPr="00A746BD">
        <w:rPr>
          <w:rFonts w:ascii="Arial" w:hAnsi="Arial" w:cs="Arial"/>
          <w:sz w:val="22"/>
        </w:rPr>
        <w:t xml:space="preserve">The core objective </w:t>
      </w:r>
      <w:r w:rsidR="00A84368" w:rsidRPr="00A746BD">
        <w:rPr>
          <w:rFonts w:ascii="Arial" w:hAnsi="Arial" w:cs="Arial"/>
          <w:sz w:val="22"/>
        </w:rPr>
        <w:t>is person-</w:t>
      </w:r>
      <w:r w:rsidR="00C6437D" w:rsidRPr="00A746BD">
        <w:rPr>
          <w:rFonts w:ascii="Arial" w:hAnsi="Arial" w:cs="Arial"/>
          <w:sz w:val="22"/>
        </w:rPr>
        <w:t>centered</w:t>
      </w:r>
      <w:r w:rsidR="00A84368" w:rsidRPr="00A746BD">
        <w:rPr>
          <w:rFonts w:ascii="Arial" w:hAnsi="Arial" w:cs="Arial"/>
          <w:sz w:val="22"/>
        </w:rPr>
        <w:t xml:space="preserve"> care. Instead of talking primarily to his wife, professionals should address </w:t>
      </w:r>
      <w:proofErr w:type="spellStart"/>
      <w:r w:rsidR="00A84368" w:rsidRPr="00A746BD">
        <w:rPr>
          <w:rFonts w:ascii="Arial" w:hAnsi="Arial" w:cs="Arial"/>
          <w:sz w:val="22"/>
        </w:rPr>
        <w:t>Mr</w:t>
      </w:r>
      <w:proofErr w:type="spellEnd"/>
      <w:r w:rsidR="00A84368" w:rsidRPr="00A746BD">
        <w:rPr>
          <w:rFonts w:ascii="Arial" w:hAnsi="Arial" w:cs="Arial"/>
          <w:sz w:val="22"/>
        </w:rPr>
        <w:t xml:space="preserve"> Ahmed </w:t>
      </w:r>
      <w:r w:rsidR="00B818D0" w:rsidRPr="00A746BD">
        <w:rPr>
          <w:rFonts w:ascii="Arial" w:hAnsi="Arial" w:cs="Arial"/>
          <w:sz w:val="22"/>
        </w:rPr>
        <w:t>and</w:t>
      </w:r>
      <w:r w:rsidR="00A84368" w:rsidRPr="00A746BD">
        <w:rPr>
          <w:rFonts w:ascii="Arial" w:hAnsi="Arial" w:cs="Arial"/>
          <w:sz w:val="22"/>
        </w:rPr>
        <w:t xml:space="preserve"> engage</w:t>
      </w:r>
      <w:r w:rsidRPr="00A746BD">
        <w:rPr>
          <w:rFonts w:ascii="Arial" w:hAnsi="Arial" w:cs="Arial"/>
          <w:sz w:val="22"/>
        </w:rPr>
        <w:t xml:space="preserve"> with</w:t>
      </w:r>
      <w:r w:rsidR="00A84368" w:rsidRPr="00A746BD">
        <w:rPr>
          <w:rFonts w:ascii="Arial" w:hAnsi="Arial" w:cs="Arial"/>
          <w:sz w:val="22"/>
        </w:rPr>
        <w:t xml:space="preserve"> him in making decisions concerning medication, routines, therapy, and follow-up</w:t>
      </w:r>
      <w:r w:rsidRPr="00A746BD">
        <w:rPr>
          <w:rFonts w:ascii="Arial" w:hAnsi="Arial" w:cs="Arial"/>
          <w:sz w:val="22"/>
        </w:rPr>
        <w:t>s</w:t>
      </w:r>
      <w:r w:rsidR="00A84368" w:rsidRPr="00A746BD">
        <w:rPr>
          <w:rFonts w:ascii="Arial" w:hAnsi="Arial" w:cs="Arial"/>
          <w:sz w:val="22"/>
        </w:rPr>
        <w:t xml:space="preserve">. His wife plays a significant role in encouraging him, but she </w:t>
      </w:r>
      <w:r w:rsidRPr="00A746BD">
        <w:rPr>
          <w:rFonts w:ascii="Arial" w:hAnsi="Arial" w:cs="Arial"/>
          <w:sz w:val="22"/>
        </w:rPr>
        <w:t>should</w:t>
      </w:r>
      <w:r w:rsidR="00A84368" w:rsidRPr="00A746BD">
        <w:rPr>
          <w:rFonts w:ascii="Arial" w:hAnsi="Arial" w:cs="Arial"/>
          <w:sz w:val="22"/>
        </w:rPr>
        <w:t xml:space="preserve"> encourage his voice and not take </w:t>
      </w:r>
      <w:r w:rsidRPr="00A746BD">
        <w:rPr>
          <w:rFonts w:ascii="Arial" w:hAnsi="Arial" w:cs="Arial"/>
          <w:sz w:val="22"/>
        </w:rPr>
        <w:t>over it</w:t>
      </w:r>
      <w:r w:rsidR="00A84368" w:rsidRPr="00A746BD">
        <w:rPr>
          <w:rFonts w:ascii="Arial" w:hAnsi="Arial" w:cs="Arial"/>
          <w:sz w:val="22"/>
        </w:rPr>
        <w:t>. Whe</w:t>
      </w:r>
      <w:r w:rsidRPr="00A746BD">
        <w:rPr>
          <w:rFonts w:ascii="Arial" w:hAnsi="Arial" w:cs="Arial"/>
          <w:sz w:val="22"/>
        </w:rPr>
        <w:t>re</w:t>
      </w:r>
      <w:r w:rsidR="00A84368" w:rsidRPr="00A746BD">
        <w:rPr>
          <w:rFonts w:ascii="Arial" w:hAnsi="Arial" w:cs="Arial"/>
          <w:sz w:val="22"/>
        </w:rPr>
        <w:t xml:space="preserve"> there is good communication, participation is achieved, preferences are respected and dependence is reduced (Moss, 2020).</w:t>
      </w:r>
    </w:p>
    <w:p w14:paraId="12D9456A" w14:textId="77777777"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The second theme is the unambiguous information on care. Having a schedule of medication, times of care visits, times of therapy sessions, expectations of health monitoring, and what to do when a visit is skipped are among the things </w:t>
      </w:r>
      <w:proofErr w:type="spellStart"/>
      <w:r w:rsidRPr="00A746BD">
        <w:rPr>
          <w:rFonts w:ascii="Arial" w:hAnsi="Arial" w:cs="Arial"/>
          <w:sz w:val="22"/>
        </w:rPr>
        <w:t>Mr</w:t>
      </w:r>
      <w:proofErr w:type="spellEnd"/>
      <w:r w:rsidRPr="00A746BD">
        <w:rPr>
          <w:rFonts w:ascii="Arial" w:hAnsi="Arial" w:cs="Arial"/>
          <w:sz w:val="22"/>
        </w:rPr>
        <w:t xml:space="preserve"> Ahmed and his wife should be aware of. Different verbal explanations, written care plans and staff handovers should have the same information. Professional communication entails clarity, order and responsibility (Reuter-Sandquist, 2022).</w:t>
      </w:r>
    </w:p>
    <w:p w14:paraId="3448BA8A" w14:textId="2B0D5B09"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The third theme is </w:t>
      </w:r>
      <w:r w:rsidR="00587E6B" w:rsidRPr="00A746BD">
        <w:rPr>
          <w:rFonts w:ascii="Arial" w:hAnsi="Arial" w:cs="Arial"/>
          <w:sz w:val="22"/>
        </w:rPr>
        <w:t>language</w:t>
      </w:r>
      <w:r w:rsidRPr="00A746BD">
        <w:rPr>
          <w:rFonts w:ascii="Arial" w:hAnsi="Arial" w:cs="Arial"/>
          <w:sz w:val="22"/>
        </w:rPr>
        <w:t xml:space="preserve"> and accessibility. </w:t>
      </w:r>
      <w:proofErr w:type="spellStart"/>
      <w:r w:rsidRPr="00A746BD">
        <w:rPr>
          <w:rFonts w:ascii="Arial" w:hAnsi="Arial" w:cs="Arial"/>
          <w:sz w:val="22"/>
        </w:rPr>
        <w:t>Mr</w:t>
      </w:r>
      <w:proofErr w:type="spellEnd"/>
      <w:r w:rsidRPr="00A746BD">
        <w:rPr>
          <w:rFonts w:ascii="Arial" w:hAnsi="Arial" w:cs="Arial"/>
          <w:sz w:val="22"/>
        </w:rPr>
        <w:t xml:space="preserve"> Ahmed speaks Bengali as his native language and thus simple English should be used by the staff and use of unnecessary terms should be avoided, staff should also give time to ask questions </w:t>
      </w:r>
      <w:r w:rsidR="00587E6B" w:rsidRPr="00A746BD">
        <w:rPr>
          <w:rFonts w:ascii="Arial" w:hAnsi="Arial" w:cs="Arial"/>
          <w:sz w:val="22"/>
        </w:rPr>
        <w:t>and</w:t>
      </w:r>
      <w:r w:rsidRPr="00A746BD">
        <w:rPr>
          <w:rFonts w:ascii="Arial" w:hAnsi="Arial" w:cs="Arial"/>
          <w:sz w:val="22"/>
        </w:rPr>
        <w:t xml:space="preserve"> should check the understanding carefully. In situations where medication, consent or change to care are to be discussed, translated materials, communication aids or a professional interpreter may be a better choice than depending solely on the support of family. Accessible Information Standard mandates the services to find, document and fulfill communication requirements in a premeditated manner (NHS England, 2025).</w:t>
      </w:r>
    </w:p>
    <w:p w14:paraId="65292176" w14:textId="6A1F5CF6"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lastRenderedPageBreak/>
        <w:t xml:space="preserve">The fourth theme is involvement of family. The plan of care and its escalation should involve </w:t>
      </w:r>
      <w:proofErr w:type="spellStart"/>
      <w:r w:rsidRPr="00A746BD">
        <w:rPr>
          <w:rFonts w:ascii="Arial" w:hAnsi="Arial" w:cs="Arial"/>
          <w:sz w:val="22"/>
        </w:rPr>
        <w:t>Mr</w:t>
      </w:r>
      <w:proofErr w:type="spellEnd"/>
      <w:r w:rsidRPr="00A746BD">
        <w:rPr>
          <w:rFonts w:ascii="Arial" w:hAnsi="Arial" w:cs="Arial"/>
          <w:sz w:val="22"/>
        </w:rPr>
        <w:t xml:space="preserve"> Ahmed wife. Nonetheless, when professionals rely on her to interpret, track missed visits or identify errors, it becomes unfair to staff and benefits</w:t>
      </w:r>
      <w:r w:rsidR="000C31AF" w:rsidRPr="00A746BD">
        <w:rPr>
          <w:rFonts w:ascii="Arial" w:hAnsi="Arial" w:cs="Arial"/>
          <w:sz w:val="22"/>
        </w:rPr>
        <w:t xml:space="preserve"> the</w:t>
      </w:r>
      <w:r w:rsidRPr="00A746BD">
        <w:rPr>
          <w:rFonts w:ascii="Arial" w:hAnsi="Arial" w:cs="Arial"/>
          <w:sz w:val="22"/>
        </w:rPr>
        <w:t xml:space="preserve"> family. The study of stroke rehabilitation indicates that the relatives are frequently burdened with the responsibility of communication that can serve the purpose yet may also cause privacy loss and selectively share information with the patient (Shafer, Shafer and Haley, 2019).</w:t>
      </w:r>
    </w:p>
    <w:p w14:paraId="66EA54D9" w14:textId="75F5AA31" w:rsidR="001D1CE6" w:rsidRDefault="00A84368" w:rsidP="00A746BD">
      <w:pPr>
        <w:spacing w:after="120" w:line="360" w:lineRule="auto"/>
        <w:jc w:val="both"/>
        <w:rPr>
          <w:rFonts w:ascii="Arial" w:hAnsi="Arial" w:cs="Arial"/>
          <w:sz w:val="22"/>
        </w:rPr>
      </w:pPr>
      <w:r w:rsidRPr="00A746BD">
        <w:rPr>
          <w:rFonts w:ascii="Arial" w:hAnsi="Arial" w:cs="Arial"/>
          <w:sz w:val="22"/>
        </w:rPr>
        <w:t>The fifth theme is multidisciplinary and safety planning. There should be a mutual understanding of the medication routines, swallowing tips, communication requirement and course of action in case of doubts by the GP, district nurse, speech and language therapist and care agency staff. This is in line with the statutory requirements that care and support must be aligned to the needs of the person (DHSC, 2025).</w:t>
      </w:r>
    </w:p>
    <w:p w14:paraId="10855C28" w14:textId="77777777" w:rsidR="00A746BD" w:rsidRPr="00A746BD" w:rsidRDefault="00A746BD" w:rsidP="00A746BD">
      <w:pPr>
        <w:spacing w:after="120" w:line="360" w:lineRule="auto"/>
        <w:jc w:val="both"/>
        <w:rPr>
          <w:rFonts w:ascii="Arial" w:hAnsi="Arial" w:cs="Arial"/>
          <w:sz w:val="22"/>
        </w:rPr>
      </w:pPr>
    </w:p>
    <w:p w14:paraId="46C5EB4A" w14:textId="77777777" w:rsidR="001D1CE6" w:rsidRPr="00A746BD" w:rsidRDefault="002A262E" w:rsidP="00A746BD">
      <w:pPr>
        <w:rPr>
          <w:rFonts w:ascii="Arial" w:hAnsi="Arial" w:cs="Arial"/>
          <w:b/>
          <w:bCs/>
          <w:sz w:val="32"/>
          <w:szCs w:val="28"/>
        </w:rPr>
      </w:pPr>
      <w:bookmarkStart w:id="2" w:name="_Toc223994003"/>
      <w:r w:rsidRPr="00A746BD">
        <w:rPr>
          <w:rFonts w:ascii="Arial" w:hAnsi="Arial" w:cs="Arial"/>
          <w:b/>
          <w:bCs/>
          <w:sz w:val="32"/>
          <w:szCs w:val="28"/>
        </w:rPr>
        <w:t>2. Poor communication issues shown in the case</w:t>
      </w:r>
      <w:bookmarkEnd w:id="2"/>
    </w:p>
    <w:p w14:paraId="56EC7D52" w14:textId="475B0378"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The most obvious issue is the missed domiciliary visit that led to delay in administration. This brings issues of timing, handover, escalation as well as the question of whether the absence was realized early enough. The safe service is not supposed to be based on chance finding or family continuity. According to patient-safety advice, the analysis of the incidents must be conducted using systems learning and prevention rather than solely blame (NHS England, 2023).</w:t>
      </w:r>
    </w:p>
    <w:p w14:paraId="7BBC8FB5" w14:textId="77777777" w:rsidR="000C31AF"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The second problem is poor professional coordination. When one part of the service knows the needs of </w:t>
      </w:r>
      <w:proofErr w:type="spellStart"/>
      <w:r w:rsidRPr="00A746BD">
        <w:rPr>
          <w:rFonts w:ascii="Arial" w:hAnsi="Arial" w:cs="Arial"/>
          <w:sz w:val="22"/>
        </w:rPr>
        <w:t>Mr</w:t>
      </w:r>
      <w:proofErr w:type="spellEnd"/>
      <w:r w:rsidRPr="00A746BD">
        <w:rPr>
          <w:rFonts w:ascii="Arial" w:hAnsi="Arial" w:cs="Arial"/>
          <w:sz w:val="22"/>
        </w:rPr>
        <w:t xml:space="preserve"> Ahmed, and the other does not, there could be a delay in treatment, inconsistency in the advice and unnecessary anxiety. </w:t>
      </w:r>
    </w:p>
    <w:p w14:paraId="49908C7A" w14:textId="503E2920"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The third problem is language barrier. There is no reason why staff members should think that medicine, the danger of risk or follow-up action is discussed using standard English explanations. Communication can seem complete to the professional and incomplete to the service user without requiring any understanding to be checked.</w:t>
      </w:r>
    </w:p>
    <w:p w14:paraId="1AEC04AE" w14:textId="77777777" w:rsidR="000C31AF"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The fourth problem is when they are over-dependent on the wife of </w:t>
      </w:r>
      <w:proofErr w:type="spellStart"/>
      <w:r w:rsidRPr="00A746BD">
        <w:rPr>
          <w:rFonts w:ascii="Arial" w:hAnsi="Arial" w:cs="Arial"/>
          <w:sz w:val="22"/>
        </w:rPr>
        <w:t>Mr</w:t>
      </w:r>
      <w:proofErr w:type="spellEnd"/>
      <w:r w:rsidRPr="00A746BD">
        <w:rPr>
          <w:rFonts w:ascii="Arial" w:hAnsi="Arial" w:cs="Arial"/>
          <w:sz w:val="22"/>
        </w:rPr>
        <w:t xml:space="preserve"> Ahmed to interpret. Though this might seem viable it can diminish privacy, restrict autonomy and contribute to simplified information.</w:t>
      </w:r>
    </w:p>
    <w:p w14:paraId="77DD2C7A" w14:textId="06844231" w:rsidR="001D1CE6" w:rsidRDefault="00A84368" w:rsidP="00A746BD">
      <w:pPr>
        <w:spacing w:after="120" w:line="360" w:lineRule="auto"/>
        <w:jc w:val="both"/>
        <w:rPr>
          <w:rFonts w:ascii="Arial" w:hAnsi="Arial" w:cs="Arial"/>
          <w:sz w:val="22"/>
        </w:rPr>
      </w:pPr>
      <w:r w:rsidRPr="00A746BD">
        <w:rPr>
          <w:rFonts w:ascii="Arial" w:hAnsi="Arial" w:cs="Arial"/>
          <w:sz w:val="22"/>
        </w:rPr>
        <w:t xml:space="preserve"> A fifth problem lies with bad documentation</w:t>
      </w:r>
      <w:r w:rsidR="000C31AF" w:rsidRPr="00A746BD">
        <w:rPr>
          <w:rFonts w:ascii="Arial" w:hAnsi="Arial" w:cs="Arial"/>
          <w:sz w:val="22"/>
        </w:rPr>
        <w:t xml:space="preserve"> or </w:t>
      </w:r>
      <w:r w:rsidRPr="00A746BD">
        <w:rPr>
          <w:rFonts w:ascii="Arial" w:hAnsi="Arial" w:cs="Arial"/>
          <w:sz w:val="22"/>
        </w:rPr>
        <w:t xml:space="preserve">handover. Failure to record the missed visit in time may cause other staff members to operate with unfinished information. Professional standards ask practitioners to communicate professionally, maintain proper records and safeguard the </w:t>
      </w:r>
      <w:r w:rsidRPr="00A746BD">
        <w:rPr>
          <w:rFonts w:ascii="Arial" w:hAnsi="Arial" w:cs="Arial"/>
          <w:sz w:val="22"/>
        </w:rPr>
        <w:lastRenderedPageBreak/>
        <w:t>service users against unnecessary injuries (HCPC, 2024). The results are severe direct risk, lack of confidence in the services, family distress and treatment delays.</w:t>
      </w:r>
    </w:p>
    <w:p w14:paraId="6C394791" w14:textId="77777777" w:rsidR="00A746BD" w:rsidRPr="00A746BD" w:rsidRDefault="00A746BD" w:rsidP="00A746BD">
      <w:pPr>
        <w:spacing w:after="120" w:line="360" w:lineRule="auto"/>
        <w:jc w:val="both"/>
        <w:rPr>
          <w:rFonts w:ascii="Arial" w:hAnsi="Arial" w:cs="Arial"/>
          <w:sz w:val="22"/>
        </w:rPr>
      </w:pPr>
    </w:p>
    <w:p w14:paraId="7B003CCD" w14:textId="77777777" w:rsidR="001D1CE6" w:rsidRPr="00A746BD" w:rsidRDefault="002A262E" w:rsidP="00A746BD">
      <w:pPr>
        <w:rPr>
          <w:rFonts w:ascii="Arial" w:hAnsi="Arial" w:cs="Arial"/>
          <w:b/>
          <w:bCs/>
          <w:sz w:val="32"/>
          <w:szCs w:val="28"/>
        </w:rPr>
      </w:pPr>
      <w:bookmarkStart w:id="3" w:name="_Toc223994004"/>
      <w:r w:rsidRPr="00A746BD">
        <w:rPr>
          <w:rFonts w:ascii="Arial" w:hAnsi="Arial" w:cs="Arial"/>
          <w:b/>
          <w:bCs/>
          <w:sz w:val="32"/>
          <w:szCs w:val="28"/>
        </w:rPr>
        <w:t>3. Communication model: applying the Shannon-Weaver model</w:t>
      </w:r>
      <w:bookmarkEnd w:id="3"/>
    </w:p>
    <w:p w14:paraId="2816AB9F" w14:textId="77777777"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In this case the Shannon-Weaver model applies as this model indicates the areas where communication may fail. It involves the sender, message, channel, receiver and noise (Shannon and Weaver, 1949). The sender can be a nurse or a care worker, the message can be about medication or visit times, the medium can be oral communication, notes or electronic documentation and the recipient may be </w:t>
      </w:r>
      <w:proofErr w:type="spellStart"/>
      <w:r w:rsidRPr="00A746BD">
        <w:rPr>
          <w:rFonts w:ascii="Arial" w:hAnsi="Arial" w:cs="Arial"/>
          <w:sz w:val="22"/>
        </w:rPr>
        <w:t>Mr</w:t>
      </w:r>
      <w:proofErr w:type="spellEnd"/>
      <w:r w:rsidRPr="00A746BD">
        <w:rPr>
          <w:rFonts w:ascii="Arial" w:hAnsi="Arial" w:cs="Arial"/>
          <w:sz w:val="22"/>
        </w:rPr>
        <w:t xml:space="preserve"> Ahmed. </w:t>
      </w:r>
    </w:p>
    <w:p w14:paraId="4E6DED21" w14:textId="45FC973E" w:rsidR="001D1CE6" w:rsidRDefault="00A84368" w:rsidP="00A746BD">
      <w:pPr>
        <w:spacing w:after="120" w:line="360" w:lineRule="auto"/>
        <w:jc w:val="both"/>
        <w:rPr>
          <w:rFonts w:ascii="Arial" w:hAnsi="Arial" w:cs="Arial"/>
          <w:sz w:val="22"/>
        </w:rPr>
      </w:pPr>
      <w:r w:rsidRPr="00A746BD">
        <w:rPr>
          <w:rFonts w:ascii="Arial" w:hAnsi="Arial" w:cs="Arial"/>
          <w:sz w:val="22"/>
        </w:rPr>
        <w:t>The key idea is noise. Noise, in this instance, can be poor handovers, weak records, limited English, medical language</w:t>
      </w:r>
      <w:r w:rsidR="000C31AF" w:rsidRPr="00A746BD">
        <w:rPr>
          <w:rFonts w:ascii="Arial" w:hAnsi="Arial" w:cs="Arial"/>
          <w:sz w:val="22"/>
        </w:rPr>
        <w:t xml:space="preserve"> and</w:t>
      </w:r>
      <w:r w:rsidRPr="00A746BD">
        <w:rPr>
          <w:rFonts w:ascii="Arial" w:hAnsi="Arial" w:cs="Arial"/>
          <w:sz w:val="22"/>
        </w:rPr>
        <w:t xml:space="preserve"> rushed visits. The model is of particular significance to the missed visit</w:t>
      </w:r>
      <w:r w:rsidR="000C31AF" w:rsidRPr="00A746BD">
        <w:rPr>
          <w:rFonts w:ascii="Arial" w:hAnsi="Arial" w:cs="Arial"/>
          <w:sz w:val="22"/>
        </w:rPr>
        <w:t>,</w:t>
      </w:r>
      <w:r w:rsidRPr="00A746BD">
        <w:rPr>
          <w:rFonts w:ascii="Arial" w:hAnsi="Arial" w:cs="Arial"/>
          <w:sz w:val="22"/>
        </w:rPr>
        <w:t xml:space="preserve"> because the failure could have occurred either in the process of allocation, family contact, or</w:t>
      </w:r>
      <w:r w:rsidR="000C31AF" w:rsidRPr="00A746BD">
        <w:rPr>
          <w:rFonts w:ascii="Arial" w:hAnsi="Arial" w:cs="Arial"/>
          <w:sz w:val="22"/>
        </w:rPr>
        <w:t xml:space="preserve"> </w:t>
      </w:r>
      <w:r w:rsidR="000C31AF" w:rsidRPr="00A746BD">
        <w:rPr>
          <w:rFonts w:ascii="Arial" w:hAnsi="Arial" w:cs="Arial"/>
          <w:sz w:val="22"/>
        </w:rPr>
        <w:t>reporting</w:t>
      </w:r>
      <w:r w:rsidRPr="00A746BD">
        <w:rPr>
          <w:rFonts w:ascii="Arial" w:hAnsi="Arial" w:cs="Arial"/>
          <w:sz w:val="22"/>
        </w:rPr>
        <w:t xml:space="preserve"> delayed medication escalation. Even though it is linear and restricted, it aids in describing how communication issues may influence safety.</w:t>
      </w:r>
    </w:p>
    <w:p w14:paraId="7420B67C" w14:textId="77777777" w:rsidR="00A746BD" w:rsidRPr="00A746BD" w:rsidRDefault="00A746BD" w:rsidP="00A746BD">
      <w:pPr>
        <w:spacing w:after="120" w:line="360" w:lineRule="auto"/>
        <w:jc w:val="both"/>
        <w:rPr>
          <w:rFonts w:ascii="Arial" w:hAnsi="Arial" w:cs="Arial"/>
          <w:sz w:val="22"/>
        </w:rPr>
      </w:pPr>
    </w:p>
    <w:p w14:paraId="6A2EF1A3" w14:textId="77777777" w:rsidR="001D1CE6" w:rsidRPr="00A746BD" w:rsidRDefault="002A262E" w:rsidP="00A746BD">
      <w:pPr>
        <w:rPr>
          <w:rFonts w:ascii="Arial" w:hAnsi="Arial" w:cs="Arial"/>
          <w:b/>
          <w:bCs/>
          <w:sz w:val="32"/>
          <w:szCs w:val="28"/>
        </w:rPr>
      </w:pPr>
      <w:bookmarkStart w:id="4" w:name="_Toc223994005"/>
      <w:r w:rsidRPr="00A746BD">
        <w:rPr>
          <w:rFonts w:ascii="Arial" w:hAnsi="Arial" w:cs="Arial"/>
          <w:b/>
          <w:bCs/>
          <w:sz w:val="32"/>
          <w:szCs w:val="28"/>
        </w:rPr>
        <w:t>4. Equality Act 2010: relevant aspects in this case</w:t>
      </w:r>
      <w:bookmarkEnd w:id="4"/>
    </w:p>
    <w:p w14:paraId="4A92E66A" w14:textId="53027ED8" w:rsidR="001D1CE6" w:rsidRDefault="000C31AF" w:rsidP="00A746BD">
      <w:pPr>
        <w:spacing w:after="120" w:line="360" w:lineRule="auto"/>
        <w:jc w:val="both"/>
        <w:rPr>
          <w:rFonts w:ascii="Arial" w:hAnsi="Arial" w:cs="Arial"/>
          <w:sz w:val="22"/>
        </w:rPr>
      </w:pPr>
      <w:r w:rsidRPr="00A746BD">
        <w:rPr>
          <w:rFonts w:ascii="Arial" w:hAnsi="Arial" w:cs="Arial"/>
          <w:sz w:val="22"/>
        </w:rPr>
        <w:t xml:space="preserve">The </w:t>
      </w:r>
      <w:r w:rsidR="00A84368" w:rsidRPr="00A746BD">
        <w:rPr>
          <w:rFonts w:ascii="Arial" w:hAnsi="Arial" w:cs="Arial"/>
          <w:sz w:val="22"/>
        </w:rPr>
        <w:t xml:space="preserve">Equality Act is quite topical since health and social care providers cannot discriminate, and they should offer equal access to services (UK Parliament, 2010). Disability, race and age are the most </w:t>
      </w:r>
      <w:r w:rsidRPr="00A746BD">
        <w:rPr>
          <w:rFonts w:ascii="Arial" w:hAnsi="Arial" w:cs="Arial"/>
          <w:sz w:val="22"/>
        </w:rPr>
        <w:t>prominent</w:t>
      </w:r>
      <w:r w:rsidR="00A84368" w:rsidRPr="00A746BD">
        <w:rPr>
          <w:rFonts w:ascii="Arial" w:hAnsi="Arial" w:cs="Arial"/>
          <w:sz w:val="22"/>
        </w:rPr>
        <w:t xml:space="preserve"> </w:t>
      </w:r>
      <w:r w:rsidR="00C32049" w:rsidRPr="00A746BD">
        <w:rPr>
          <w:rFonts w:ascii="Arial" w:hAnsi="Arial" w:cs="Arial"/>
          <w:sz w:val="22"/>
        </w:rPr>
        <w:t>secure</w:t>
      </w:r>
      <w:r w:rsidR="00A84368" w:rsidRPr="00A746BD">
        <w:rPr>
          <w:rFonts w:ascii="Arial" w:hAnsi="Arial" w:cs="Arial"/>
          <w:sz w:val="22"/>
        </w:rPr>
        <w:t xml:space="preserve"> features in this case. Disability is significan</w:t>
      </w:r>
      <w:r w:rsidR="00C32049" w:rsidRPr="00A746BD">
        <w:rPr>
          <w:rFonts w:ascii="Arial" w:hAnsi="Arial" w:cs="Arial"/>
          <w:sz w:val="22"/>
        </w:rPr>
        <w:t>t in this case,</w:t>
      </w:r>
      <w:r w:rsidR="00A84368" w:rsidRPr="00A746BD">
        <w:rPr>
          <w:rFonts w:ascii="Arial" w:hAnsi="Arial" w:cs="Arial"/>
          <w:sz w:val="22"/>
        </w:rPr>
        <w:t xml:space="preserve"> since the stroke</w:t>
      </w:r>
      <w:r w:rsidR="00C32049" w:rsidRPr="00A746BD">
        <w:rPr>
          <w:rFonts w:ascii="Arial" w:hAnsi="Arial" w:cs="Arial"/>
          <w:sz w:val="22"/>
        </w:rPr>
        <w:t xml:space="preserve"> has had</w:t>
      </w:r>
      <w:r w:rsidR="00A84368" w:rsidRPr="00A746BD">
        <w:rPr>
          <w:rFonts w:ascii="Arial" w:hAnsi="Arial" w:cs="Arial"/>
          <w:sz w:val="22"/>
        </w:rPr>
        <w:t xml:space="preserve"> an impact on </w:t>
      </w:r>
      <w:proofErr w:type="spellStart"/>
      <w:r w:rsidR="00C32049" w:rsidRPr="00A746BD">
        <w:rPr>
          <w:rFonts w:ascii="Arial" w:hAnsi="Arial" w:cs="Arial"/>
          <w:sz w:val="22"/>
        </w:rPr>
        <w:t>Mr</w:t>
      </w:r>
      <w:proofErr w:type="spellEnd"/>
      <w:r w:rsidR="00C32049" w:rsidRPr="00A746BD">
        <w:rPr>
          <w:rFonts w:ascii="Arial" w:hAnsi="Arial" w:cs="Arial"/>
          <w:sz w:val="22"/>
        </w:rPr>
        <w:t xml:space="preserve"> Ahmed’s </w:t>
      </w:r>
      <w:r w:rsidR="00A84368" w:rsidRPr="00A746BD">
        <w:rPr>
          <w:rFonts w:ascii="Arial" w:hAnsi="Arial" w:cs="Arial"/>
          <w:sz w:val="22"/>
        </w:rPr>
        <w:t>speech, understanding, mobility</w:t>
      </w:r>
      <w:r w:rsidR="00C32049" w:rsidRPr="00A746BD">
        <w:rPr>
          <w:rFonts w:ascii="Arial" w:hAnsi="Arial" w:cs="Arial"/>
          <w:sz w:val="22"/>
        </w:rPr>
        <w:t xml:space="preserve"> and</w:t>
      </w:r>
      <w:r w:rsidR="00A84368" w:rsidRPr="00A746BD">
        <w:rPr>
          <w:rFonts w:ascii="Arial" w:hAnsi="Arial" w:cs="Arial"/>
          <w:sz w:val="22"/>
        </w:rPr>
        <w:t xml:space="preserve"> swallowing. The relevance of race and ethnicity is that unequal access can be practiced in terms of culturally insensitive communication or lack of response to language requirements. </w:t>
      </w:r>
      <w:r w:rsidR="00587E6B" w:rsidRPr="00A746BD">
        <w:rPr>
          <w:rFonts w:ascii="Arial" w:hAnsi="Arial" w:cs="Arial"/>
          <w:sz w:val="22"/>
        </w:rPr>
        <w:t>Age</w:t>
      </w:r>
      <w:r w:rsidR="00A84368" w:rsidRPr="00A746BD">
        <w:rPr>
          <w:rFonts w:ascii="Arial" w:hAnsi="Arial" w:cs="Arial"/>
          <w:sz w:val="22"/>
        </w:rPr>
        <w:t xml:space="preserve"> </w:t>
      </w:r>
      <w:r w:rsidR="00C32049" w:rsidRPr="00A746BD">
        <w:rPr>
          <w:rFonts w:ascii="Arial" w:hAnsi="Arial" w:cs="Arial"/>
          <w:sz w:val="22"/>
        </w:rPr>
        <w:t xml:space="preserve">is </w:t>
      </w:r>
      <w:r w:rsidR="00A84368" w:rsidRPr="00A746BD">
        <w:rPr>
          <w:rFonts w:ascii="Arial" w:hAnsi="Arial" w:cs="Arial"/>
          <w:sz w:val="22"/>
        </w:rPr>
        <w:t>also an issue</w:t>
      </w:r>
      <w:r w:rsidR="00C32049" w:rsidRPr="00A746BD">
        <w:rPr>
          <w:rFonts w:ascii="Arial" w:hAnsi="Arial" w:cs="Arial"/>
          <w:sz w:val="22"/>
        </w:rPr>
        <w:t>,</w:t>
      </w:r>
      <w:r w:rsidR="00A84368" w:rsidRPr="00A746BD">
        <w:rPr>
          <w:rFonts w:ascii="Arial" w:hAnsi="Arial" w:cs="Arial"/>
          <w:sz w:val="22"/>
        </w:rPr>
        <w:t xml:space="preserve"> since the aged can be talked about and not talked to. These are the most important principles</w:t>
      </w:r>
      <w:r w:rsidR="00C32049" w:rsidRPr="00A746BD">
        <w:rPr>
          <w:rFonts w:ascii="Arial" w:hAnsi="Arial" w:cs="Arial"/>
          <w:sz w:val="22"/>
        </w:rPr>
        <w:t>,</w:t>
      </w:r>
      <w:r w:rsidR="00A84368" w:rsidRPr="00A746BD">
        <w:rPr>
          <w:rFonts w:ascii="Arial" w:hAnsi="Arial" w:cs="Arial"/>
          <w:sz w:val="22"/>
        </w:rPr>
        <w:t xml:space="preserve"> which are equal access, </w:t>
      </w:r>
      <w:r w:rsidR="00C6437D" w:rsidRPr="00A746BD">
        <w:rPr>
          <w:rFonts w:ascii="Arial" w:hAnsi="Arial" w:cs="Arial"/>
          <w:sz w:val="22"/>
        </w:rPr>
        <w:t>non-discrimination,</w:t>
      </w:r>
      <w:r w:rsidR="00A84368" w:rsidRPr="00A746BD">
        <w:rPr>
          <w:rFonts w:ascii="Arial" w:hAnsi="Arial" w:cs="Arial"/>
          <w:sz w:val="22"/>
        </w:rPr>
        <w:t xml:space="preserve"> and reasonable adjustments. Practically, the reasonable adjustments can consist of additional time to discuss, plain language, interpretation aids support, translation information and communication aids.</w:t>
      </w:r>
    </w:p>
    <w:p w14:paraId="31BFD361" w14:textId="77777777" w:rsidR="00A746BD" w:rsidRDefault="00A746BD" w:rsidP="00A746BD">
      <w:pPr>
        <w:spacing w:after="120" w:line="360" w:lineRule="auto"/>
        <w:jc w:val="both"/>
        <w:rPr>
          <w:rFonts w:ascii="Arial" w:hAnsi="Arial" w:cs="Arial"/>
          <w:sz w:val="22"/>
        </w:rPr>
      </w:pPr>
    </w:p>
    <w:p w14:paraId="1FEA7502" w14:textId="77777777" w:rsidR="00A746BD" w:rsidRDefault="00A746BD" w:rsidP="00A746BD">
      <w:pPr>
        <w:spacing w:after="120" w:line="360" w:lineRule="auto"/>
        <w:jc w:val="both"/>
        <w:rPr>
          <w:rFonts w:ascii="Arial" w:hAnsi="Arial" w:cs="Arial"/>
          <w:sz w:val="22"/>
        </w:rPr>
      </w:pPr>
    </w:p>
    <w:p w14:paraId="179D59A4" w14:textId="77777777" w:rsidR="00A746BD" w:rsidRPr="00A746BD" w:rsidRDefault="00A746BD" w:rsidP="00A746BD">
      <w:pPr>
        <w:spacing w:after="120" w:line="360" w:lineRule="auto"/>
        <w:jc w:val="both"/>
        <w:rPr>
          <w:rFonts w:ascii="Arial" w:hAnsi="Arial" w:cs="Arial"/>
          <w:sz w:val="22"/>
        </w:rPr>
      </w:pPr>
    </w:p>
    <w:p w14:paraId="009E47E1" w14:textId="77777777" w:rsidR="001D1CE6" w:rsidRPr="00D92EDE" w:rsidRDefault="002A262E" w:rsidP="00A746BD">
      <w:pPr>
        <w:rPr>
          <w:rFonts w:ascii="Arial" w:hAnsi="Arial" w:cs="Arial"/>
          <w:b/>
          <w:bCs/>
          <w:sz w:val="32"/>
          <w:szCs w:val="28"/>
        </w:rPr>
      </w:pPr>
      <w:bookmarkStart w:id="5" w:name="_Toc223994006"/>
      <w:r w:rsidRPr="00D92EDE">
        <w:rPr>
          <w:rFonts w:ascii="Arial" w:hAnsi="Arial" w:cs="Arial"/>
          <w:b/>
          <w:bCs/>
          <w:sz w:val="32"/>
          <w:szCs w:val="28"/>
        </w:rPr>
        <w:lastRenderedPageBreak/>
        <w:t>5. Record keeping in health and social care</w:t>
      </w:r>
      <w:bookmarkEnd w:id="5"/>
    </w:p>
    <w:p w14:paraId="250D08E9" w14:textId="77777777"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One of the primary means of communication that is carried across services is record keeping. Medication administration, care visits, health observation, therapy advice, incidents and follow actions should be recorded. Without complete and clear records, the subsequent staff might lack knowledge of whether the medication was administered, whether the visit was canceled or not, or whether the advice has been modified. Nurses and nursing associates are expected to maintain very clear, accurate, and in-the-moment records since documentation falls under the category of safe practice (NMC, 2018). </w:t>
      </w:r>
    </w:p>
    <w:p w14:paraId="09DEEC1D" w14:textId="7EA637CF" w:rsidR="001D1CE6" w:rsidRDefault="00A84368" w:rsidP="00A746BD">
      <w:pPr>
        <w:spacing w:after="120" w:line="360" w:lineRule="auto"/>
        <w:jc w:val="both"/>
        <w:rPr>
          <w:rFonts w:ascii="Arial" w:hAnsi="Arial" w:cs="Arial"/>
          <w:sz w:val="22"/>
        </w:rPr>
      </w:pPr>
      <w:r w:rsidRPr="00A746BD">
        <w:rPr>
          <w:rFonts w:ascii="Arial" w:hAnsi="Arial" w:cs="Arial"/>
          <w:sz w:val="22"/>
        </w:rPr>
        <w:t xml:space="preserve">According to the Royal College of Nursing, records should also be factual, timely and continuity of care (RCN, 2023). In this instance, the visit that was missed should be recorded, reported and investigated. It improves accountability, continuity of care and safe decision-making across the multidisciplinary team due to good records. This can be facilitated by shared care records to enable professionals concerned to have access to latest information (NHS England, 2023). The duty of </w:t>
      </w:r>
      <w:r w:rsidR="00C6437D" w:rsidRPr="00A746BD">
        <w:rPr>
          <w:rFonts w:ascii="Arial" w:hAnsi="Arial" w:cs="Arial"/>
          <w:sz w:val="22"/>
        </w:rPr>
        <w:t>candor</w:t>
      </w:r>
      <w:r w:rsidRPr="00A746BD">
        <w:rPr>
          <w:rFonts w:ascii="Arial" w:hAnsi="Arial" w:cs="Arial"/>
          <w:sz w:val="22"/>
        </w:rPr>
        <w:t xml:space="preserve"> also requires openness to be done to the patient and family where the incident has caused harm or placed a person at risk of harm (CQC, 2025).</w:t>
      </w:r>
    </w:p>
    <w:p w14:paraId="45A09363" w14:textId="77777777" w:rsidR="00A746BD" w:rsidRPr="00A746BD" w:rsidRDefault="00A746BD" w:rsidP="00A746BD">
      <w:pPr>
        <w:spacing w:after="120" w:line="360" w:lineRule="auto"/>
        <w:jc w:val="both"/>
        <w:rPr>
          <w:rFonts w:ascii="Arial" w:hAnsi="Arial" w:cs="Arial"/>
          <w:sz w:val="22"/>
        </w:rPr>
      </w:pPr>
    </w:p>
    <w:p w14:paraId="4814D965" w14:textId="1F30CB7C" w:rsidR="001D1CE6" w:rsidRPr="00A746BD" w:rsidRDefault="002A262E" w:rsidP="00A746BD">
      <w:pPr>
        <w:rPr>
          <w:rFonts w:ascii="Arial" w:hAnsi="Arial" w:cs="Arial"/>
          <w:b/>
          <w:bCs/>
          <w:sz w:val="32"/>
          <w:szCs w:val="28"/>
        </w:rPr>
      </w:pPr>
      <w:bookmarkStart w:id="6" w:name="_Toc223994007"/>
      <w:r w:rsidRPr="00A746BD">
        <w:rPr>
          <w:rFonts w:ascii="Arial" w:hAnsi="Arial" w:cs="Arial"/>
          <w:b/>
          <w:bCs/>
          <w:sz w:val="32"/>
          <w:szCs w:val="28"/>
        </w:rPr>
        <w:t xml:space="preserve">6. Applying the Data Protection Act 2018 and UK </w:t>
      </w:r>
      <w:r w:rsidR="00C32049" w:rsidRPr="00A746BD">
        <w:rPr>
          <w:rFonts w:ascii="Arial" w:hAnsi="Arial" w:cs="Arial"/>
          <w:b/>
          <w:bCs/>
          <w:sz w:val="32"/>
          <w:szCs w:val="28"/>
        </w:rPr>
        <w:t xml:space="preserve">General Data Protection Regulation (UK </w:t>
      </w:r>
      <w:r w:rsidRPr="00A746BD">
        <w:rPr>
          <w:rFonts w:ascii="Arial" w:hAnsi="Arial" w:cs="Arial"/>
          <w:b/>
          <w:bCs/>
          <w:sz w:val="32"/>
          <w:szCs w:val="28"/>
        </w:rPr>
        <w:t>GDPR</w:t>
      </w:r>
      <w:bookmarkEnd w:id="6"/>
      <w:r w:rsidR="00C32049" w:rsidRPr="00A746BD">
        <w:rPr>
          <w:rFonts w:ascii="Arial" w:hAnsi="Arial" w:cs="Arial"/>
          <w:b/>
          <w:bCs/>
          <w:sz w:val="32"/>
          <w:szCs w:val="28"/>
        </w:rPr>
        <w:t>)</w:t>
      </w:r>
    </w:p>
    <w:p w14:paraId="0EC6EB9F" w14:textId="77777777" w:rsidR="00A84368"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Data Protection Act 2018 governs the practical use of personal information of </w:t>
      </w:r>
      <w:proofErr w:type="spellStart"/>
      <w:r w:rsidRPr="00A746BD">
        <w:rPr>
          <w:rFonts w:ascii="Arial" w:hAnsi="Arial" w:cs="Arial"/>
          <w:sz w:val="22"/>
        </w:rPr>
        <w:t>Mr</w:t>
      </w:r>
      <w:proofErr w:type="spellEnd"/>
      <w:r w:rsidRPr="00A746BD">
        <w:rPr>
          <w:rFonts w:ascii="Arial" w:hAnsi="Arial" w:cs="Arial"/>
          <w:sz w:val="22"/>
        </w:rPr>
        <w:t xml:space="preserve"> Ahmed in the collection, storage and sharing of his personal information (UK Parliament, 2018). The UK GDPR lawfulness, fair and transparency principle implies that he is supposed to be aware of the information being captured, its purpose and its accessibility to his care (ICO, 2025). The broader data protection principles also demand that information must be pertinent, true, safe and not stored any longer than is required (ICO, 2023). </w:t>
      </w:r>
    </w:p>
    <w:p w14:paraId="76792AB3" w14:textId="7B92E767" w:rsidR="001D1CE6"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In practice, this entails secure electronic care records, attentive sharing in the multidisciplinary team, and correct updating following the missed visit. The disclosure of information to the wife of </w:t>
      </w:r>
      <w:proofErr w:type="spellStart"/>
      <w:r w:rsidRPr="00A746BD">
        <w:rPr>
          <w:rFonts w:ascii="Arial" w:hAnsi="Arial" w:cs="Arial"/>
          <w:sz w:val="22"/>
        </w:rPr>
        <w:t>Mr</w:t>
      </w:r>
      <w:proofErr w:type="spellEnd"/>
      <w:r w:rsidRPr="00A746BD">
        <w:rPr>
          <w:rFonts w:ascii="Arial" w:hAnsi="Arial" w:cs="Arial"/>
          <w:sz w:val="22"/>
        </w:rPr>
        <w:t xml:space="preserve"> Ahmed must be done with caution since this does not make disregard of confidentiality and consent irrelevant. The Caldicott Principles allow sharing the information on a need-to-know basis according to proportionate, justified sharing (DHSC, 2020), and the NHS confidentiality guidance ensures control and avoidance of wrongful disclosure (NHS England, 2025).</w:t>
      </w:r>
    </w:p>
    <w:p w14:paraId="6D53AF5B" w14:textId="77777777" w:rsidR="00A746BD" w:rsidRDefault="00A746BD" w:rsidP="00A746BD">
      <w:pPr>
        <w:rPr>
          <w:rFonts w:ascii="Arial" w:hAnsi="Arial" w:cs="Arial"/>
          <w:b/>
          <w:bCs/>
          <w:sz w:val="32"/>
          <w:szCs w:val="28"/>
        </w:rPr>
      </w:pPr>
      <w:bookmarkStart w:id="7" w:name="_Toc223994008"/>
    </w:p>
    <w:p w14:paraId="2167FBC2" w14:textId="71FC0B8A" w:rsidR="001D1CE6" w:rsidRPr="00A746BD" w:rsidRDefault="002A262E" w:rsidP="00A746BD">
      <w:pPr>
        <w:rPr>
          <w:rFonts w:ascii="Arial" w:hAnsi="Arial" w:cs="Arial"/>
          <w:b/>
          <w:bCs/>
          <w:sz w:val="32"/>
          <w:szCs w:val="28"/>
        </w:rPr>
      </w:pPr>
      <w:r w:rsidRPr="00A746BD">
        <w:rPr>
          <w:rFonts w:ascii="Arial" w:hAnsi="Arial" w:cs="Arial"/>
          <w:b/>
          <w:bCs/>
          <w:sz w:val="32"/>
          <w:szCs w:val="28"/>
        </w:rPr>
        <w:lastRenderedPageBreak/>
        <w:t>Conclusion</w:t>
      </w:r>
      <w:bookmarkEnd w:id="7"/>
    </w:p>
    <w:p w14:paraId="2D31F627" w14:textId="7CB933D9" w:rsidR="001D1CE6" w:rsidRPr="00A746BD" w:rsidRDefault="00A84368" w:rsidP="00A746BD">
      <w:pPr>
        <w:spacing w:after="120" w:line="360" w:lineRule="auto"/>
        <w:jc w:val="both"/>
        <w:rPr>
          <w:rFonts w:ascii="Arial" w:hAnsi="Arial" w:cs="Arial"/>
          <w:sz w:val="22"/>
        </w:rPr>
      </w:pPr>
      <w:r w:rsidRPr="00A746BD">
        <w:rPr>
          <w:rFonts w:ascii="Arial" w:hAnsi="Arial" w:cs="Arial"/>
          <w:sz w:val="22"/>
        </w:rPr>
        <w:t xml:space="preserve">In the case of </w:t>
      </w:r>
      <w:proofErr w:type="spellStart"/>
      <w:r w:rsidRPr="00A746BD">
        <w:rPr>
          <w:rFonts w:ascii="Arial" w:hAnsi="Arial" w:cs="Arial"/>
          <w:sz w:val="22"/>
        </w:rPr>
        <w:t>Mr</w:t>
      </w:r>
      <w:proofErr w:type="spellEnd"/>
      <w:r w:rsidRPr="00A746BD">
        <w:rPr>
          <w:rFonts w:ascii="Arial" w:hAnsi="Arial" w:cs="Arial"/>
          <w:sz w:val="22"/>
        </w:rPr>
        <w:t xml:space="preserve"> Ahmed, it is evident that health and social care communication should be inclusive, clear and accountable. Themes are the person-</w:t>
      </w:r>
      <w:r w:rsidR="00C6437D" w:rsidRPr="00A746BD">
        <w:rPr>
          <w:rFonts w:ascii="Arial" w:hAnsi="Arial" w:cs="Arial"/>
          <w:sz w:val="22"/>
        </w:rPr>
        <w:t>centered</w:t>
      </w:r>
      <w:r w:rsidRPr="00A746BD">
        <w:rPr>
          <w:rFonts w:ascii="Arial" w:hAnsi="Arial" w:cs="Arial"/>
          <w:sz w:val="22"/>
        </w:rPr>
        <w:t xml:space="preserve"> involvement, proper information regarding medicines and visits, the accessible language, family involvement that does not in any way override professional responsibility, multidisciplinary coordination and explicit safety planning. Lack of proper communication may lead to delayed delivery of medication, loss of trust and unnecessary exposure of patients to harm. Equality Act 2010 supports the principle of fair access and reasonable adjustments, and the appropriate record keeping and lawful information processing are imperative to continuity, accountability and safe care in the day-to-day practice as well.</w:t>
      </w:r>
    </w:p>
    <w:p w14:paraId="052A3F80" w14:textId="77777777" w:rsidR="00A84368" w:rsidRPr="00A746BD" w:rsidRDefault="00A84368" w:rsidP="00A746BD">
      <w:pPr>
        <w:spacing w:line="360" w:lineRule="auto"/>
        <w:rPr>
          <w:rFonts w:ascii="Arial" w:eastAsiaTheme="majorEastAsia" w:hAnsi="Arial" w:cs="Arial"/>
          <w:b/>
          <w:bCs/>
          <w:sz w:val="22"/>
        </w:rPr>
      </w:pPr>
      <w:r w:rsidRPr="00A746BD">
        <w:rPr>
          <w:rFonts w:ascii="Arial" w:hAnsi="Arial" w:cs="Arial"/>
          <w:sz w:val="22"/>
        </w:rPr>
        <w:br w:type="page"/>
      </w:r>
    </w:p>
    <w:p w14:paraId="70BD043E" w14:textId="6B19CF67" w:rsidR="001D1CE6" w:rsidRPr="00D92EDE" w:rsidRDefault="002A262E" w:rsidP="00A746BD">
      <w:pPr>
        <w:rPr>
          <w:rFonts w:ascii="Arial" w:hAnsi="Arial" w:cs="Arial"/>
          <w:b/>
          <w:bCs/>
        </w:rPr>
      </w:pPr>
      <w:bookmarkStart w:id="8" w:name="_Toc223994009"/>
      <w:r w:rsidRPr="00D92EDE">
        <w:rPr>
          <w:rFonts w:ascii="Arial" w:hAnsi="Arial" w:cs="Arial"/>
          <w:b/>
          <w:bCs/>
          <w:sz w:val="32"/>
          <w:szCs w:val="28"/>
        </w:rPr>
        <w:lastRenderedPageBreak/>
        <w:t>Reference</w:t>
      </w:r>
      <w:bookmarkEnd w:id="8"/>
      <w:r w:rsidRPr="00D92EDE">
        <w:rPr>
          <w:rFonts w:ascii="Arial" w:hAnsi="Arial" w:cs="Arial"/>
          <w:b/>
          <w:bCs/>
        </w:rPr>
        <w:t xml:space="preserve"> </w:t>
      </w:r>
    </w:p>
    <w:p w14:paraId="136557CD" w14:textId="1A1C1EBE"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Care Quality Commission (CQC) (2025) Regulation 20: Duty of candour. Available at: </w:t>
      </w:r>
      <w:hyperlink r:id="rId8" w:history="1">
        <w:r w:rsidR="00AF1C51" w:rsidRPr="00A746BD">
          <w:rPr>
            <w:rStyle w:val="Hyperlink"/>
            <w:rFonts w:ascii="Arial" w:hAnsi="Arial" w:cs="Arial"/>
            <w:sz w:val="22"/>
          </w:rPr>
          <w:t>https://www.cqc.org.uk/guidance-regulation/providers/regulations-service-providers-and-managers/health-social-care-act/regulation-20</w:t>
        </w:r>
      </w:hyperlink>
      <w:r w:rsidR="00B818D0" w:rsidRPr="00A746BD">
        <w:rPr>
          <w:rFonts w:ascii="Arial" w:hAnsi="Arial" w:cs="Arial"/>
          <w:sz w:val="22"/>
        </w:rPr>
        <w:t xml:space="preserve"> </w:t>
      </w:r>
      <w:r w:rsidRPr="00A746BD">
        <w:rPr>
          <w:rFonts w:ascii="Arial" w:hAnsi="Arial" w:cs="Arial"/>
          <w:sz w:val="22"/>
        </w:rPr>
        <w:t>(Accessed: 9 March 2026).</w:t>
      </w:r>
    </w:p>
    <w:p w14:paraId="31E60BE5" w14:textId="761E2140"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Department of Health and Social Care (DHSC) (2020) The Caldicott Principles. Available at: </w:t>
      </w:r>
      <w:hyperlink r:id="rId9" w:history="1">
        <w:r w:rsidR="00933013" w:rsidRPr="00A746BD">
          <w:rPr>
            <w:rStyle w:val="Hyperlink"/>
            <w:rFonts w:ascii="Arial" w:hAnsi="Arial" w:cs="Arial"/>
            <w:sz w:val="22"/>
          </w:rPr>
          <w:t>https://www.gov.uk/government/publications/the-caldicott-principles</w:t>
        </w:r>
      </w:hyperlink>
      <w:r w:rsidR="00933013" w:rsidRPr="00A746BD">
        <w:rPr>
          <w:rFonts w:ascii="Arial" w:hAnsi="Arial" w:cs="Arial"/>
          <w:sz w:val="22"/>
        </w:rPr>
        <w:t xml:space="preserve"> </w:t>
      </w:r>
      <w:r w:rsidRPr="00A746BD">
        <w:rPr>
          <w:rFonts w:ascii="Arial" w:hAnsi="Arial" w:cs="Arial"/>
          <w:sz w:val="22"/>
        </w:rPr>
        <w:t>(Accessed: 9 March 2026).</w:t>
      </w:r>
    </w:p>
    <w:p w14:paraId="61632169" w14:textId="4D0B4807"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Health and Care Professions Council (HCPC) (2024) Standards of conduct, performance and ethics. Available at: </w:t>
      </w:r>
      <w:hyperlink r:id="rId10" w:history="1">
        <w:r w:rsidR="00933013" w:rsidRPr="00A746BD">
          <w:rPr>
            <w:rStyle w:val="Hyperlink"/>
            <w:rFonts w:ascii="Arial" w:hAnsi="Arial" w:cs="Arial"/>
            <w:sz w:val="22"/>
          </w:rPr>
          <w:t>https://www.hcpc-uk.org/standards/standards-of-conduct-performance-and-ethics/</w:t>
        </w:r>
      </w:hyperlink>
      <w:r w:rsidR="00933013" w:rsidRPr="00A746BD">
        <w:rPr>
          <w:rFonts w:ascii="Arial" w:hAnsi="Arial" w:cs="Arial"/>
          <w:sz w:val="22"/>
        </w:rPr>
        <w:t xml:space="preserve"> </w:t>
      </w:r>
      <w:r w:rsidRPr="00A746BD">
        <w:rPr>
          <w:rFonts w:ascii="Arial" w:hAnsi="Arial" w:cs="Arial"/>
          <w:sz w:val="22"/>
        </w:rPr>
        <w:t>(Accessed: 9 March 2026).</w:t>
      </w:r>
    </w:p>
    <w:p w14:paraId="3305B574" w14:textId="504C473B"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Information Commissioner’s Office (ICO) (2023) A guide to the data protection principles. Available at: </w:t>
      </w:r>
      <w:hyperlink r:id="rId11" w:history="1">
        <w:r w:rsidR="00933013" w:rsidRPr="00A746BD">
          <w:rPr>
            <w:rStyle w:val="Hyperlink"/>
            <w:rFonts w:ascii="Arial" w:hAnsi="Arial" w:cs="Arial"/>
            <w:sz w:val="22"/>
          </w:rPr>
          <w:t>https://ico.org.uk/for-organisations/uk-gdpr-guidance-and-resources/data-protection-principles/a-guide-to-the-data-protection-principles/</w:t>
        </w:r>
      </w:hyperlink>
      <w:r w:rsidR="00933013" w:rsidRPr="00A746BD">
        <w:rPr>
          <w:rFonts w:ascii="Arial" w:hAnsi="Arial" w:cs="Arial"/>
          <w:sz w:val="22"/>
        </w:rPr>
        <w:t xml:space="preserve"> </w:t>
      </w:r>
      <w:r w:rsidRPr="00A746BD">
        <w:rPr>
          <w:rFonts w:ascii="Arial" w:hAnsi="Arial" w:cs="Arial"/>
          <w:sz w:val="22"/>
        </w:rPr>
        <w:t>(Accessed: 9 March 2026).</w:t>
      </w:r>
    </w:p>
    <w:p w14:paraId="7D0EE3BA" w14:textId="77777777"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Moss, B. (2020). Communication skills in nursing, health and social care.</w:t>
      </w:r>
    </w:p>
    <w:p w14:paraId="3F434670" w14:textId="31662BDD"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NHS England (2023) Shared care records. Available at: </w:t>
      </w:r>
      <w:hyperlink r:id="rId12" w:history="1">
        <w:r w:rsidR="00933013" w:rsidRPr="00A746BD">
          <w:rPr>
            <w:rStyle w:val="Hyperlink"/>
            <w:rFonts w:ascii="Arial" w:hAnsi="Arial" w:cs="Arial"/>
            <w:sz w:val="22"/>
          </w:rPr>
          <w:t>https://www.england.nhs.uk/long-read/shared-care-records/</w:t>
        </w:r>
      </w:hyperlink>
      <w:r w:rsidR="00933013" w:rsidRPr="00A746BD">
        <w:rPr>
          <w:rFonts w:ascii="Arial" w:hAnsi="Arial" w:cs="Arial"/>
          <w:sz w:val="22"/>
        </w:rPr>
        <w:t xml:space="preserve"> </w:t>
      </w:r>
      <w:r w:rsidRPr="00A746BD">
        <w:rPr>
          <w:rFonts w:ascii="Arial" w:hAnsi="Arial" w:cs="Arial"/>
          <w:sz w:val="22"/>
        </w:rPr>
        <w:t>(Accessed: 9 March 2026).</w:t>
      </w:r>
    </w:p>
    <w:p w14:paraId="12F217DF" w14:textId="654EC96C"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NHS England (2025) Accessible Information Standard – requirements (DAPB1605). Available at: </w:t>
      </w:r>
      <w:hyperlink r:id="rId13" w:history="1">
        <w:r w:rsidR="00933013" w:rsidRPr="00A746BD">
          <w:rPr>
            <w:rStyle w:val="Hyperlink"/>
            <w:rFonts w:ascii="Arial" w:hAnsi="Arial" w:cs="Arial"/>
            <w:sz w:val="22"/>
          </w:rPr>
          <w:t>https://www.england.nhs.uk/long-read/accessible-information-standard-requirements-dapb1605/</w:t>
        </w:r>
      </w:hyperlink>
      <w:r w:rsidR="00933013" w:rsidRPr="00A746BD">
        <w:rPr>
          <w:rFonts w:ascii="Arial" w:hAnsi="Arial" w:cs="Arial"/>
          <w:sz w:val="22"/>
        </w:rPr>
        <w:t xml:space="preserve"> </w:t>
      </w:r>
      <w:r w:rsidRPr="00A746BD">
        <w:rPr>
          <w:rFonts w:ascii="Arial" w:hAnsi="Arial" w:cs="Arial"/>
          <w:sz w:val="22"/>
        </w:rPr>
        <w:t>(Accessed: 9 March 2026).</w:t>
      </w:r>
    </w:p>
    <w:p w14:paraId="6C8A900A" w14:textId="409B78FD"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Nursing and Midwifery Council (NMC) (2024) The Code. Available at: </w:t>
      </w:r>
      <w:hyperlink r:id="rId14" w:history="1">
        <w:r w:rsidR="00933013" w:rsidRPr="00A746BD">
          <w:rPr>
            <w:rStyle w:val="Hyperlink"/>
            <w:rFonts w:ascii="Arial" w:hAnsi="Arial" w:cs="Arial"/>
            <w:sz w:val="22"/>
          </w:rPr>
          <w:t>https://www.nmc.org.uk/standards/code/</w:t>
        </w:r>
      </w:hyperlink>
      <w:r w:rsidRPr="00A746BD">
        <w:rPr>
          <w:rFonts w:ascii="Arial" w:hAnsi="Arial" w:cs="Arial"/>
          <w:sz w:val="22"/>
        </w:rPr>
        <w:t xml:space="preserve"> (Accessed: 9 March 2026).</w:t>
      </w:r>
    </w:p>
    <w:p w14:paraId="1AC4BB28" w14:textId="188D082F"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Reuter-Sandquist, M. (</w:t>
      </w:r>
      <w:proofErr w:type="gramStart"/>
      <w:r w:rsidRPr="00A746BD">
        <w:rPr>
          <w:rFonts w:ascii="Arial" w:hAnsi="Arial" w:cs="Arial"/>
          <w:sz w:val="22"/>
        </w:rPr>
        <w:t>2022) ‘</w:t>
      </w:r>
      <w:proofErr w:type="gramEnd"/>
      <w:r w:rsidRPr="00A746BD">
        <w:rPr>
          <w:rFonts w:ascii="Arial" w:hAnsi="Arial" w:cs="Arial"/>
          <w:sz w:val="22"/>
        </w:rPr>
        <w:t xml:space="preserve">Chapter 1: Communicate Professionally Within a Health Care Setting’, in </w:t>
      </w:r>
      <w:proofErr w:type="spellStart"/>
      <w:r w:rsidRPr="00A746BD">
        <w:rPr>
          <w:rFonts w:ascii="Arial" w:hAnsi="Arial" w:cs="Arial"/>
          <w:sz w:val="22"/>
        </w:rPr>
        <w:t>Ernstmeyer</w:t>
      </w:r>
      <w:proofErr w:type="spellEnd"/>
      <w:r w:rsidRPr="00A746BD">
        <w:rPr>
          <w:rFonts w:ascii="Arial" w:hAnsi="Arial" w:cs="Arial"/>
          <w:sz w:val="22"/>
        </w:rPr>
        <w:t xml:space="preserve">, K. and Christman, E. (eds.) Nursing Assistant [Internet]. Eau Claire (WI): Chippewa Valley Technical College. Available at: </w:t>
      </w:r>
      <w:hyperlink r:id="rId15" w:history="1">
        <w:r w:rsidR="00933013" w:rsidRPr="00A746BD">
          <w:rPr>
            <w:rStyle w:val="Hyperlink"/>
            <w:rFonts w:ascii="Arial" w:hAnsi="Arial" w:cs="Arial"/>
            <w:sz w:val="22"/>
          </w:rPr>
          <w:t>https://www.ncbi.nlm.nih.gov/books/NBK599382/</w:t>
        </w:r>
      </w:hyperlink>
      <w:r w:rsidR="00933013" w:rsidRPr="00A746BD">
        <w:rPr>
          <w:rFonts w:ascii="Arial" w:hAnsi="Arial" w:cs="Arial"/>
          <w:sz w:val="22"/>
        </w:rPr>
        <w:t xml:space="preserve"> </w:t>
      </w:r>
      <w:r w:rsidRPr="00A746BD">
        <w:rPr>
          <w:rFonts w:ascii="Arial" w:hAnsi="Arial" w:cs="Arial"/>
          <w:sz w:val="22"/>
        </w:rPr>
        <w:t>(Accessed: 5 March 2026).</w:t>
      </w:r>
    </w:p>
    <w:p w14:paraId="084CBA30" w14:textId="07DEC8A2"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Royal College of Nursing (RCN) (2023) Record keeping: The facts. Available at: </w:t>
      </w:r>
      <w:hyperlink r:id="rId16" w:history="1">
        <w:r w:rsidR="00933013" w:rsidRPr="00A746BD">
          <w:rPr>
            <w:rStyle w:val="Hyperlink"/>
            <w:rFonts w:ascii="Arial" w:hAnsi="Arial" w:cs="Arial"/>
            <w:sz w:val="22"/>
          </w:rPr>
          <w:t>https://www.rcn.org.uk/Professional-Development/publications/rcn-record-keeping-uk-pub-011-016</w:t>
        </w:r>
      </w:hyperlink>
      <w:r w:rsidR="00933013" w:rsidRPr="00A746BD">
        <w:rPr>
          <w:rFonts w:ascii="Arial" w:hAnsi="Arial" w:cs="Arial"/>
          <w:sz w:val="22"/>
        </w:rPr>
        <w:t xml:space="preserve"> </w:t>
      </w:r>
      <w:r w:rsidRPr="00A746BD">
        <w:rPr>
          <w:rFonts w:ascii="Arial" w:hAnsi="Arial" w:cs="Arial"/>
          <w:sz w:val="22"/>
        </w:rPr>
        <w:t>(Accessed: 9 March 2026).</w:t>
      </w:r>
    </w:p>
    <w:p w14:paraId="028F6FF3" w14:textId="77777777"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Shafer, J.S., Shafer, P.R. and Haley, K.L. (2019) ‘Caregivers navigating rehabilitative care for people with aphasia after stroke: a multi-lens perspective’, International Journal of Language &amp; Communication Disorders, 54(4), pp. 634–644. </w:t>
      </w:r>
      <w:proofErr w:type="spellStart"/>
      <w:r w:rsidRPr="00A746BD">
        <w:rPr>
          <w:rFonts w:ascii="Arial" w:hAnsi="Arial" w:cs="Arial"/>
          <w:sz w:val="22"/>
        </w:rPr>
        <w:t>doi</w:t>
      </w:r>
      <w:proofErr w:type="spellEnd"/>
      <w:r w:rsidRPr="00A746BD">
        <w:rPr>
          <w:rFonts w:ascii="Arial" w:hAnsi="Arial" w:cs="Arial"/>
          <w:sz w:val="22"/>
        </w:rPr>
        <w:t xml:space="preserve">: 10.1111/1460-6984.12467. </w:t>
      </w:r>
    </w:p>
    <w:p w14:paraId="53C66CB5" w14:textId="77777777"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lastRenderedPageBreak/>
        <w:t>Shannon, C.E. and Weaver, W. (1949) The Mathematical Theory of Communication. Urbana: University of Illinois Press.</w:t>
      </w:r>
    </w:p>
    <w:p w14:paraId="7E4534C5" w14:textId="44F0AFD0"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The King’s Fund (2022) Integrated Care Systems Explained. Available at: </w:t>
      </w:r>
      <w:hyperlink r:id="rId17" w:history="1">
        <w:r w:rsidR="00933013" w:rsidRPr="00A746BD">
          <w:rPr>
            <w:rStyle w:val="Hyperlink"/>
            <w:rFonts w:ascii="Arial" w:hAnsi="Arial" w:cs="Arial"/>
            <w:sz w:val="22"/>
          </w:rPr>
          <w:t>https://www.kingsfund.org.uk/insight-and-analysis/long-reads/integrated-care-systems-explained</w:t>
        </w:r>
      </w:hyperlink>
      <w:r w:rsidRPr="00A746BD">
        <w:rPr>
          <w:rFonts w:ascii="Arial" w:hAnsi="Arial" w:cs="Arial"/>
          <w:sz w:val="22"/>
        </w:rPr>
        <w:t xml:space="preserve"> (Accessed: 5 March 2026).</w:t>
      </w:r>
    </w:p>
    <w:p w14:paraId="40065251" w14:textId="5C7A632D" w:rsidR="00587E6B" w:rsidRPr="00A746BD" w:rsidRDefault="00587E6B" w:rsidP="00A746BD">
      <w:pPr>
        <w:spacing w:after="60" w:line="360" w:lineRule="auto"/>
        <w:ind w:left="432" w:hanging="432"/>
        <w:rPr>
          <w:rFonts w:ascii="Arial" w:hAnsi="Arial" w:cs="Arial"/>
          <w:sz w:val="22"/>
        </w:rPr>
      </w:pPr>
      <w:r w:rsidRPr="00A746BD">
        <w:rPr>
          <w:rFonts w:ascii="Arial" w:hAnsi="Arial" w:cs="Arial"/>
          <w:sz w:val="22"/>
        </w:rPr>
        <w:t xml:space="preserve">UK Parliament (2010) Equality Act 2010. Available at: </w:t>
      </w:r>
      <w:hyperlink r:id="rId18" w:history="1">
        <w:r w:rsidR="00933013" w:rsidRPr="00A746BD">
          <w:rPr>
            <w:rStyle w:val="Hyperlink"/>
            <w:rFonts w:ascii="Arial" w:hAnsi="Arial" w:cs="Arial"/>
            <w:sz w:val="22"/>
          </w:rPr>
          <w:t>https://www.legislation.gov.uk/ukpga/2010/15/contents</w:t>
        </w:r>
      </w:hyperlink>
      <w:r w:rsidRPr="00A746BD">
        <w:rPr>
          <w:rFonts w:ascii="Arial" w:hAnsi="Arial" w:cs="Arial"/>
          <w:sz w:val="22"/>
        </w:rPr>
        <w:t xml:space="preserve"> (Accessed: 9 March 2026).</w:t>
      </w:r>
    </w:p>
    <w:p w14:paraId="4D90C4DE" w14:textId="60762B77" w:rsidR="00587E6B" w:rsidRPr="00B818D0" w:rsidRDefault="00587E6B" w:rsidP="00A746BD">
      <w:pPr>
        <w:spacing w:after="60" w:line="360" w:lineRule="auto"/>
        <w:ind w:left="432" w:hanging="432"/>
        <w:rPr>
          <w:rFonts w:asciiTheme="majorBidi" w:hAnsiTheme="majorBidi" w:cstheme="majorBidi"/>
        </w:rPr>
      </w:pPr>
      <w:r w:rsidRPr="00A746BD">
        <w:rPr>
          <w:rFonts w:ascii="Arial" w:hAnsi="Arial" w:cs="Arial"/>
          <w:sz w:val="22"/>
        </w:rPr>
        <w:t xml:space="preserve">UK Parliament (2018) Data Protection Act 2018. Available at: </w:t>
      </w:r>
      <w:hyperlink r:id="rId19" w:history="1">
        <w:r w:rsidR="00933013" w:rsidRPr="00A746BD">
          <w:rPr>
            <w:rStyle w:val="Hyperlink"/>
            <w:rFonts w:ascii="Arial" w:hAnsi="Arial" w:cs="Arial"/>
            <w:sz w:val="22"/>
          </w:rPr>
          <w:t>https://www.legislation.gov.uk/ukpga/2018/12/contents</w:t>
        </w:r>
      </w:hyperlink>
      <w:r w:rsidRPr="00A746BD">
        <w:rPr>
          <w:rFonts w:ascii="Arial" w:hAnsi="Arial" w:cs="Arial"/>
          <w:sz w:val="22"/>
        </w:rPr>
        <w:t xml:space="preserve"> (Accessed: 9 March 2026).</w:t>
      </w:r>
    </w:p>
    <w:sectPr w:rsidR="00587E6B" w:rsidRPr="00B818D0" w:rsidSect="000346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B0C7D" w14:textId="77777777" w:rsidR="002A262E" w:rsidRDefault="002A262E" w:rsidP="002B592A">
      <w:pPr>
        <w:spacing w:after="0" w:line="240" w:lineRule="auto"/>
      </w:pPr>
      <w:r>
        <w:separator/>
      </w:r>
    </w:p>
  </w:endnote>
  <w:endnote w:type="continuationSeparator" w:id="0">
    <w:p w14:paraId="19A5B9DC" w14:textId="77777777" w:rsidR="002A262E" w:rsidRDefault="002A262E" w:rsidP="002B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742683"/>
      <w:docPartObj>
        <w:docPartGallery w:val="Page Numbers (Bottom of Page)"/>
        <w:docPartUnique/>
      </w:docPartObj>
    </w:sdtPr>
    <w:sdtEndPr>
      <w:rPr>
        <w:rFonts w:ascii="Arial" w:hAnsi="Arial" w:cs="Arial"/>
        <w:noProof/>
        <w:sz w:val="22"/>
        <w:szCs w:val="20"/>
      </w:rPr>
    </w:sdtEndPr>
    <w:sdtContent>
      <w:p w14:paraId="58C03409" w14:textId="19D86922" w:rsidR="002B592A" w:rsidRPr="00D92EDE" w:rsidRDefault="002B592A">
        <w:pPr>
          <w:pStyle w:val="Footer"/>
          <w:jc w:val="center"/>
          <w:rPr>
            <w:rFonts w:ascii="Arial" w:hAnsi="Arial" w:cs="Arial"/>
            <w:sz w:val="22"/>
            <w:szCs w:val="20"/>
          </w:rPr>
        </w:pPr>
        <w:r w:rsidRPr="00D92EDE">
          <w:rPr>
            <w:rFonts w:ascii="Arial" w:hAnsi="Arial" w:cs="Arial"/>
            <w:sz w:val="22"/>
            <w:szCs w:val="20"/>
          </w:rPr>
          <w:fldChar w:fldCharType="begin"/>
        </w:r>
        <w:r w:rsidRPr="00D92EDE">
          <w:rPr>
            <w:rFonts w:ascii="Arial" w:hAnsi="Arial" w:cs="Arial"/>
            <w:sz w:val="22"/>
            <w:szCs w:val="20"/>
          </w:rPr>
          <w:instrText xml:space="preserve"> PAGE   \* MERGEFORMAT </w:instrText>
        </w:r>
        <w:r w:rsidRPr="00D92EDE">
          <w:rPr>
            <w:rFonts w:ascii="Arial" w:hAnsi="Arial" w:cs="Arial"/>
            <w:sz w:val="22"/>
            <w:szCs w:val="20"/>
          </w:rPr>
          <w:fldChar w:fldCharType="separate"/>
        </w:r>
        <w:r w:rsidRPr="00D92EDE">
          <w:rPr>
            <w:rFonts w:ascii="Arial" w:hAnsi="Arial" w:cs="Arial"/>
            <w:noProof/>
            <w:sz w:val="22"/>
            <w:szCs w:val="20"/>
          </w:rPr>
          <w:t>2</w:t>
        </w:r>
        <w:r w:rsidRPr="00D92EDE">
          <w:rPr>
            <w:rFonts w:ascii="Arial" w:hAnsi="Arial" w:cs="Arial"/>
            <w:noProof/>
            <w:sz w:val="22"/>
            <w:szCs w:val="20"/>
          </w:rPr>
          <w:fldChar w:fldCharType="end"/>
        </w:r>
      </w:p>
    </w:sdtContent>
  </w:sdt>
  <w:p w14:paraId="2579CEDD" w14:textId="77777777" w:rsidR="002B592A" w:rsidRDefault="002B5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0D869" w14:textId="77777777" w:rsidR="002A262E" w:rsidRDefault="002A262E" w:rsidP="002B592A">
      <w:pPr>
        <w:spacing w:after="0" w:line="240" w:lineRule="auto"/>
      </w:pPr>
      <w:r>
        <w:separator/>
      </w:r>
    </w:p>
  </w:footnote>
  <w:footnote w:type="continuationSeparator" w:id="0">
    <w:p w14:paraId="60029D04" w14:textId="77777777" w:rsidR="002A262E" w:rsidRDefault="002A262E" w:rsidP="002B5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6474ECB"/>
    <w:multiLevelType w:val="hybridMultilevel"/>
    <w:tmpl w:val="F8C2B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B56A12"/>
    <w:multiLevelType w:val="hybridMultilevel"/>
    <w:tmpl w:val="C2168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7693523">
    <w:abstractNumId w:val="8"/>
  </w:num>
  <w:num w:numId="2" w16cid:durableId="381057179">
    <w:abstractNumId w:val="6"/>
  </w:num>
  <w:num w:numId="3" w16cid:durableId="758453704">
    <w:abstractNumId w:val="5"/>
  </w:num>
  <w:num w:numId="4" w16cid:durableId="1336882459">
    <w:abstractNumId w:val="4"/>
  </w:num>
  <w:num w:numId="5" w16cid:durableId="1023819159">
    <w:abstractNumId w:val="7"/>
  </w:num>
  <w:num w:numId="6" w16cid:durableId="249002849">
    <w:abstractNumId w:val="3"/>
  </w:num>
  <w:num w:numId="7" w16cid:durableId="862012859">
    <w:abstractNumId w:val="2"/>
  </w:num>
  <w:num w:numId="8" w16cid:durableId="1729298925">
    <w:abstractNumId w:val="1"/>
  </w:num>
  <w:num w:numId="9" w16cid:durableId="301809402">
    <w:abstractNumId w:val="0"/>
  </w:num>
  <w:num w:numId="10" w16cid:durableId="1213149296">
    <w:abstractNumId w:val="9"/>
  </w:num>
  <w:num w:numId="11" w16cid:durableId="13880693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5BC"/>
    <w:rsid w:val="0006063C"/>
    <w:rsid w:val="000C31AF"/>
    <w:rsid w:val="0015074B"/>
    <w:rsid w:val="001D1CE6"/>
    <w:rsid w:val="00233B13"/>
    <w:rsid w:val="0029639D"/>
    <w:rsid w:val="002A262E"/>
    <w:rsid w:val="002B592A"/>
    <w:rsid w:val="00326F90"/>
    <w:rsid w:val="003E4FBB"/>
    <w:rsid w:val="005666AB"/>
    <w:rsid w:val="00587E6B"/>
    <w:rsid w:val="00877FF9"/>
    <w:rsid w:val="00933013"/>
    <w:rsid w:val="00A746BD"/>
    <w:rsid w:val="00A84368"/>
    <w:rsid w:val="00AA1D8D"/>
    <w:rsid w:val="00AF1C51"/>
    <w:rsid w:val="00B47730"/>
    <w:rsid w:val="00B57F58"/>
    <w:rsid w:val="00B818D0"/>
    <w:rsid w:val="00B873A3"/>
    <w:rsid w:val="00C125C5"/>
    <w:rsid w:val="00C32049"/>
    <w:rsid w:val="00C6437D"/>
    <w:rsid w:val="00CB0664"/>
    <w:rsid w:val="00D92EDE"/>
    <w:rsid w:val="00FB48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EBEEE2"/>
  <w14:defaultImageDpi w14:val="300"/>
  <w15:docId w15:val="{339E8B5C-DFCB-44D9-84B5-26AABC380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F3864"/>
      <w:sz w:val="28"/>
      <w:szCs w:val="28"/>
    </w:rPr>
  </w:style>
  <w:style w:type="paragraph" w:styleId="Heading2">
    <w:name w:val="heading 2"/>
    <w:basedOn w:val="Normal"/>
    <w:next w:val="Normal"/>
    <w:link w:val="Heading2Char"/>
    <w:uiPriority w:val="9"/>
    <w:unhideWhenUsed/>
    <w:qFormat/>
    <w:rsid w:val="00FC693F"/>
    <w:pPr>
      <w:keepNext/>
      <w:keepLines/>
      <w:spacing w:before="120" w:after="6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3864"/>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84368"/>
    <w:rPr>
      <w:color w:val="0000FF" w:themeColor="hyperlink"/>
      <w:u w:val="single"/>
    </w:rPr>
  </w:style>
  <w:style w:type="character" w:styleId="UnresolvedMention">
    <w:name w:val="Unresolved Mention"/>
    <w:basedOn w:val="DefaultParagraphFont"/>
    <w:uiPriority w:val="99"/>
    <w:semiHidden/>
    <w:unhideWhenUsed/>
    <w:rsid w:val="00A84368"/>
    <w:rPr>
      <w:color w:val="605E5C"/>
      <w:shd w:val="clear" w:color="auto" w:fill="E1DFDD"/>
    </w:rPr>
  </w:style>
  <w:style w:type="paragraph" w:styleId="TOC1">
    <w:name w:val="toc 1"/>
    <w:basedOn w:val="Normal"/>
    <w:next w:val="Normal"/>
    <w:autoRedefine/>
    <w:uiPriority w:val="39"/>
    <w:unhideWhenUsed/>
    <w:rsid w:val="00B818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regulations-service-providers-and-managers/health-social-care-act/regulation-20" TargetMode="External"/><Relationship Id="rId13" Type="http://schemas.openxmlformats.org/officeDocument/2006/relationships/hyperlink" Target="https://www.england.nhs.uk/long-read/accessible-information-standard-requirements-dapb1605/" TargetMode="External"/><Relationship Id="rId18" Type="http://schemas.openxmlformats.org/officeDocument/2006/relationships/hyperlink" Target="https://www.legislation.gov.uk/ukpga/2010/15/conten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gland.nhs.uk/long-read/shared-care-records/" TargetMode="External"/><Relationship Id="rId17" Type="http://schemas.openxmlformats.org/officeDocument/2006/relationships/hyperlink" Target="https://www.kingsfund.org.uk/insight-and-analysis/long-reads/integrated-care-systems-explained" TargetMode="External"/><Relationship Id="rId2" Type="http://schemas.openxmlformats.org/officeDocument/2006/relationships/numbering" Target="numbering.xml"/><Relationship Id="rId16" Type="http://schemas.openxmlformats.org/officeDocument/2006/relationships/hyperlink" Target="https://www.rcn.org.uk/Professional-Development/publications/rcn-record-keeping-uk-pub-011-01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webSettings" Target="webSettings.xml"/><Relationship Id="rId15" Type="http://schemas.openxmlformats.org/officeDocument/2006/relationships/hyperlink" Target="https://www.ncbi.nlm.nih.gov/books/NBK599382/" TargetMode="External"/><Relationship Id="rId10" Type="http://schemas.openxmlformats.org/officeDocument/2006/relationships/hyperlink" Target="https://www.hcpc-uk.org/standards/standards-of-conduct-performance-and-ethics/" TargetMode="External"/><Relationship Id="rId19" Type="http://schemas.openxmlformats.org/officeDocument/2006/relationships/hyperlink" Target="https://www.legislation.gov.uk/ukpga/2018/12/contents" TargetMode="External"/><Relationship Id="rId4" Type="http://schemas.openxmlformats.org/officeDocument/2006/relationships/settings" Target="settings.xml"/><Relationship Id="rId9" Type="http://schemas.openxmlformats.org/officeDocument/2006/relationships/hyperlink" Target="https://www.gov.uk/government/publications/the-caldicott-principles" TargetMode="External"/><Relationship Id="rId14" Type="http://schemas.openxmlformats.org/officeDocument/2006/relationships/hyperlink" Target="https://www.nmc.org.uk/standards/co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2129</Words>
  <Characters>12906</Characters>
  <Application>Microsoft Office Word</Application>
  <DocSecurity>0</DocSecurity>
  <Lines>230</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dc:creator>
  <cp:keywords/>
  <cp:lastModifiedBy>Dilnawaz Khan (2435767)</cp:lastModifiedBy>
  <cp:revision>2</cp:revision>
  <cp:lastPrinted>2026-03-12T12:45:00Z</cp:lastPrinted>
  <dcterms:created xsi:type="dcterms:W3CDTF">2026-03-27T00:18:00Z</dcterms:created>
  <dcterms:modified xsi:type="dcterms:W3CDTF">2026-03-27T00:18:00Z</dcterms:modified>
  <cp:category/>
</cp:coreProperties>
</file>