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0267793"/>
        <w:docPartObj>
          <w:docPartGallery w:val="Cover Pages"/>
          <w:docPartUnique/>
        </w:docPartObj>
      </w:sdtPr>
      <w:sdtContent>
        <w:p w14:paraId="6DBE19E8" w14:textId="220D69F1" w:rsidR="00E05FFA" w:rsidRDefault="00E05FFA"/>
        <w:p w14:paraId="43FC8BCC" w14:textId="694F4B6C" w:rsidR="00E05FFA" w:rsidRDefault="00E05FFA">
          <w:r>
            <w:rPr>
              <w:noProof/>
            </w:rPr>
            <mc:AlternateContent>
              <mc:Choice Requires="wpg">
                <w:drawing>
                  <wp:anchor distT="0" distB="0" distL="114300" distR="114300" simplePos="0" relativeHeight="251659264" behindDoc="1" locked="0" layoutInCell="1" allowOverlap="1" wp14:anchorId="3A3A3363" wp14:editId="65D2293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A8BEB9F" w14:textId="7FC62D63" w:rsidR="00E05FFA" w:rsidRDefault="00000000" w:rsidP="00E05FF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E05FFA" w:rsidRPr="00E05FFA">
                                        <w:rPr>
                                          <w:color w:val="FFFFFF" w:themeColor="background1"/>
                                          <w:sz w:val="72"/>
                                          <w:szCs w:val="72"/>
                                        </w:rPr>
                                        <w:t>Business Report of IAS and IFRS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A3A3363"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A8BEB9F" w14:textId="7FC62D63" w:rsidR="00E05FFA" w:rsidRDefault="00E05FFA" w:rsidP="00E05FF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E05FFA">
                                  <w:rPr>
                                    <w:color w:val="FFFFFF" w:themeColor="background1"/>
                                    <w:sz w:val="72"/>
                                    <w:szCs w:val="72"/>
                                  </w:rPr>
                                  <w:t>Business Report of IAS and IFRS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A8505EA" wp14:editId="6C40CC6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DB1CC8" w14:textId="20BFC3FE" w:rsidR="00E05FFA"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173B00">
                                      <w:rPr>
                                        <w:caps/>
                                        <w:color w:val="7F7F7F" w:themeColor="text1" w:themeTint="80"/>
                                        <w:sz w:val="18"/>
                                        <w:szCs w:val="18"/>
                                      </w:rPr>
                                      <w:t xml:space="preserve">     </w:t>
                                    </w:r>
                                  </w:sdtContent>
                                </w:sdt>
                                <w:r w:rsidR="00E05FFA">
                                  <w:rPr>
                                    <w:caps/>
                                    <w:color w:val="7F7F7F" w:themeColor="text1" w:themeTint="80"/>
                                    <w:sz w:val="18"/>
                                    <w:szCs w:val="18"/>
                                  </w:rPr>
                                  <w:t> </w:t>
                                </w:r>
                                <w:r w:rsidR="00E05FF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E05FFA">
                                      <w:rPr>
                                        <w:color w:val="7F7F7F" w:themeColor="text1" w:themeTint="80"/>
                                        <w:sz w:val="18"/>
                                        <w:szCs w:val="18"/>
                                      </w:rPr>
                                      <w:t>2110728</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A8505E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4DB1CC8" w14:textId="20BFC3FE" w:rsidR="00E05FFA"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sidR="00173B00">
                                <w:rPr>
                                  <w:caps/>
                                  <w:color w:val="7F7F7F" w:themeColor="text1" w:themeTint="80"/>
                                  <w:sz w:val="18"/>
                                  <w:szCs w:val="18"/>
                                </w:rPr>
                                <w:t xml:space="preserve">     </w:t>
                              </w:r>
                            </w:sdtContent>
                          </w:sdt>
                          <w:r w:rsidR="00E05FFA">
                            <w:rPr>
                              <w:caps/>
                              <w:color w:val="7F7F7F" w:themeColor="text1" w:themeTint="80"/>
                              <w:sz w:val="18"/>
                              <w:szCs w:val="18"/>
                            </w:rPr>
                            <w:t> </w:t>
                          </w:r>
                          <w:r w:rsidR="00E05FF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E05FFA">
                                <w:rPr>
                                  <w:color w:val="7F7F7F" w:themeColor="text1" w:themeTint="80"/>
                                  <w:sz w:val="18"/>
                                  <w:szCs w:val="18"/>
                                </w:rPr>
                                <w:t>2110728</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0CEE88ED" wp14:editId="3607A92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C23AB4" w14:textId="77777777" w:rsidR="00E05FFA" w:rsidRDefault="00E05FFA" w:rsidP="00E05FFA">
                                <w:pPr>
                                  <w:pStyle w:val="NoSpacing"/>
                                  <w:spacing w:before="40" w:after="40"/>
                                  <w:rPr>
                                    <w:caps/>
                                    <w:color w:val="4472C4" w:themeColor="accent1"/>
                                    <w:sz w:val="28"/>
                                    <w:szCs w:val="28"/>
                                  </w:rPr>
                                </w:pPr>
                                <w:r w:rsidRPr="00E05FFA">
                                  <w:rPr>
                                    <w:caps/>
                                    <w:color w:val="4472C4" w:themeColor="accent1"/>
                                    <w:sz w:val="28"/>
                                    <w:szCs w:val="28"/>
                                  </w:rPr>
                                  <w:t xml:space="preserve">Financial Reporting </w:t>
                                </w:r>
                              </w:p>
                              <w:p w14:paraId="779EC33A" w14:textId="77777777" w:rsidR="00E05FFA" w:rsidRDefault="00E05FFA" w:rsidP="00E05FFA">
                                <w:pPr>
                                  <w:pStyle w:val="NoSpacing"/>
                                  <w:spacing w:before="40" w:after="40"/>
                                  <w:rPr>
                                    <w:caps/>
                                    <w:color w:val="4472C4" w:themeColor="accent1"/>
                                    <w:sz w:val="28"/>
                                    <w:szCs w:val="28"/>
                                  </w:rPr>
                                </w:pPr>
                              </w:p>
                              <w:p w14:paraId="426E7C52" w14:textId="41D4A419" w:rsidR="00E05FFA" w:rsidRDefault="00000000" w:rsidP="00E05FFA">
                                <w:pPr>
                                  <w:pStyle w:val="NoSpacing"/>
                                  <w:spacing w:before="40" w:after="40"/>
                                  <w:rPr>
                                    <w:caps/>
                                    <w:color w:val="5B9BD5" w:themeColor="accent5"/>
                                    <w:sz w:val="24"/>
                                    <w:szCs w:val="24"/>
                                  </w:rPr>
                                </w:pPr>
                                <w:sdt>
                                  <w:sdtPr>
                                    <w:rPr>
                                      <w:caps/>
                                      <w:color w:val="5B9BD5"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r w:rsidR="00E05FFA">
                                      <w:rPr>
                                        <w:caps/>
                                        <w:color w:val="5B9BD5" w:themeColor="accent5"/>
                                        <w:sz w:val="24"/>
                                        <w:szCs w:val="24"/>
                                      </w:rPr>
                                      <w:t xml:space="preserve">     </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CEE88ED"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26C23AB4" w14:textId="77777777" w:rsidR="00E05FFA" w:rsidRDefault="00E05FFA" w:rsidP="00E05FFA">
                          <w:pPr>
                            <w:pStyle w:val="NoSpacing"/>
                            <w:spacing w:before="40" w:after="40"/>
                            <w:rPr>
                              <w:caps/>
                              <w:color w:val="4472C4" w:themeColor="accent1"/>
                              <w:sz w:val="28"/>
                              <w:szCs w:val="28"/>
                            </w:rPr>
                          </w:pPr>
                          <w:r w:rsidRPr="00E05FFA">
                            <w:rPr>
                              <w:caps/>
                              <w:color w:val="4472C4" w:themeColor="accent1"/>
                              <w:sz w:val="28"/>
                              <w:szCs w:val="28"/>
                            </w:rPr>
                            <w:t>Financial Reporting</w:t>
                          </w:r>
                          <w:r w:rsidRPr="00E05FFA">
                            <w:rPr>
                              <w:caps/>
                              <w:color w:val="4472C4" w:themeColor="accent1"/>
                              <w:sz w:val="28"/>
                              <w:szCs w:val="28"/>
                            </w:rPr>
                            <w:t xml:space="preserve"> </w:t>
                          </w:r>
                        </w:p>
                        <w:p w14:paraId="779EC33A" w14:textId="77777777" w:rsidR="00E05FFA" w:rsidRDefault="00E05FFA" w:rsidP="00E05FFA">
                          <w:pPr>
                            <w:pStyle w:val="NoSpacing"/>
                            <w:spacing w:before="40" w:after="40"/>
                            <w:rPr>
                              <w:caps/>
                              <w:color w:val="4472C4" w:themeColor="accent1"/>
                              <w:sz w:val="28"/>
                              <w:szCs w:val="28"/>
                            </w:rPr>
                          </w:pPr>
                        </w:p>
                        <w:p w14:paraId="426E7C52" w14:textId="41D4A419" w:rsidR="00E05FFA" w:rsidRDefault="00E05FFA" w:rsidP="00E05FFA">
                          <w:pPr>
                            <w:pStyle w:val="NoSpacing"/>
                            <w:spacing w:before="40" w:after="40"/>
                            <w:rPr>
                              <w:caps/>
                              <w:color w:val="5B9BD5" w:themeColor="accent5"/>
                              <w:sz w:val="24"/>
                              <w:szCs w:val="24"/>
                            </w:rPr>
                          </w:pPr>
                          <w:sdt>
                            <w:sdtPr>
                              <w:rPr>
                                <w:caps/>
                                <w:color w:val="5B9BD5"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EF18B85" wp14:editId="7382504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23A43626" w14:textId="1E26F2F2" w:rsidR="00E05FFA" w:rsidRDefault="00E05FFA">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EF18B85"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23A43626" w14:textId="1E26F2F2" w:rsidR="00E05FFA" w:rsidRDefault="00E05FFA">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67B8FAE6" w14:textId="26AFDEA1" w:rsidR="00267272" w:rsidRPr="00E05FFA" w:rsidRDefault="00042F80" w:rsidP="00E05FFA">
      <w:r w:rsidRPr="00955A4D">
        <w:rPr>
          <w:rFonts w:ascii="Times New Roman" w:hAnsi="Times New Roman" w:cs="Times New Roman"/>
          <w:b/>
          <w:bCs/>
          <w:sz w:val="24"/>
          <w:szCs w:val="24"/>
          <w:lang w:val="en-GB"/>
        </w:rPr>
        <w:lastRenderedPageBreak/>
        <w:t>Executive Summary</w:t>
      </w:r>
    </w:p>
    <w:p w14:paraId="3E7E2A10" w14:textId="4929F151" w:rsidR="00923743" w:rsidRPr="00955A4D" w:rsidRDefault="004F530D" w:rsidP="00955A4D">
      <w:pPr>
        <w:spacing w:line="480" w:lineRule="auto"/>
        <w:ind w:firstLine="720"/>
        <w:jc w:val="both"/>
        <w:rPr>
          <w:rFonts w:ascii="Times New Roman" w:hAnsi="Times New Roman" w:cs="Times New Roman"/>
          <w:sz w:val="24"/>
          <w:szCs w:val="24"/>
          <w:lang w:val="en-GB"/>
        </w:rPr>
      </w:pPr>
      <w:r w:rsidRPr="00955A4D">
        <w:rPr>
          <w:rFonts w:ascii="Times New Roman" w:hAnsi="Times New Roman" w:cs="Times New Roman"/>
          <w:sz w:val="24"/>
          <w:szCs w:val="24"/>
          <w:lang w:val="en-GB"/>
        </w:rPr>
        <w:t xml:space="preserve">The report mainly focuses on presenting the significance of IAS/IFRS in financial reporting that helps enhance uniformity and transparency. It helps investors make rational financial decisions and provides the requisite presentation of a company's financial performance and position. It also presented that IFRS adoption provides the advantage of comparability, global </w:t>
      </w:r>
      <w:r w:rsidR="00173B00" w:rsidRPr="00955A4D">
        <w:rPr>
          <w:rFonts w:ascii="Times New Roman" w:hAnsi="Times New Roman" w:cs="Times New Roman"/>
          <w:sz w:val="24"/>
          <w:szCs w:val="24"/>
          <w:lang w:val="en-GB"/>
        </w:rPr>
        <w:t>harmonisation,</w:t>
      </w:r>
      <w:r w:rsidRPr="00955A4D">
        <w:rPr>
          <w:rFonts w:ascii="Times New Roman" w:hAnsi="Times New Roman" w:cs="Times New Roman"/>
          <w:sz w:val="24"/>
          <w:szCs w:val="24"/>
          <w:lang w:val="en-GB"/>
        </w:rPr>
        <w:t xml:space="preserve"> and prudence management. However, some disadvantages associated with IFRS are lack of technical expertise, political interference, lack of training and requisite infrastructure. Further, some of the potential barriers faced in adopting IFRS are higher adoption costs and inconsistency with the existing accounting framework of a country. In order to overcome the barriers, countries can use a due process approach for the successful adoption of IFRS/IAS that can help in improving financial reporting at the global level. </w:t>
      </w:r>
      <w:r w:rsidR="00923743" w:rsidRPr="00955A4D">
        <w:rPr>
          <w:rFonts w:ascii="Times New Roman" w:hAnsi="Times New Roman" w:cs="Times New Roman"/>
          <w:sz w:val="24"/>
          <w:szCs w:val="24"/>
          <w:lang w:val="en-GB"/>
        </w:rPr>
        <w:br w:type="page"/>
      </w:r>
    </w:p>
    <w:sdt>
      <w:sdtPr>
        <w:rPr>
          <w:rFonts w:ascii="Times New Roman" w:eastAsiaTheme="minorHAnsi" w:hAnsi="Times New Roman" w:cs="Times New Roman"/>
          <w:color w:val="auto"/>
          <w:sz w:val="24"/>
          <w:szCs w:val="24"/>
          <w:lang w:val="en-IN"/>
        </w:rPr>
        <w:id w:val="-1538813513"/>
        <w:docPartObj>
          <w:docPartGallery w:val="Table of Contents"/>
          <w:docPartUnique/>
        </w:docPartObj>
      </w:sdtPr>
      <w:sdtEndPr>
        <w:rPr>
          <w:b/>
          <w:bCs/>
          <w:noProof/>
        </w:rPr>
      </w:sdtEndPr>
      <w:sdtContent>
        <w:p w14:paraId="09207FDB" w14:textId="77777777" w:rsidR="00792C08" w:rsidRPr="00FE2C7C" w:rsidRDefault="00792C08" w:rsidP="00FE2C7C">
          <w:pPr>
            <w:pStyle w:val="TOCHeading"/>
            <w:spacing w:line="480" w:lineRule="auto"/>
            <w:rPr>
              <w:rFonts w:ascii="Times New Roman" w:hAnsi="Times New Roman" w:cs="Times New Roman"/>
              <w:b/>
              <w:bCs/>
              <w:color w:val="auto"/>
              <w:sz w:val="24"/>
              <w:szCs w:val="24"/>
            </w:rPr>
          </w:pPr>
          <w:r w:rsidRPr="00FE2C7C">
            <w:rPr>
              <w:rFonts w:ascii="Times New Roman" w:hAnsi="Times New Roman" w:cs="Times New Roman"/>
              <w:b/>
              <w:bCs/>
              <w:color w:val="auto"/>
              <w:sz w:val="24"/>
              <w:szCs w:val="24"/>
            </w:rPr>
            <w:t>Table of Contents</w:t>
          </w:r>
        </w:p>
        <w:p w14:paraId="3ED5B872" w14:textId="77777777" w:rsidR="009052B1" w:rsidRPr="00FE2C7C" w:rsidRDefault="00000000" w:rsidP="00FE2C7C">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120544707" w:history="1">
            <w:r w:rsidR="009052B1" w:rsidRPr="00FE2C7C">
              <w:rPr>
                <w:rStyle w:val="Hyperlink"/>
                <w:rFonts w:ascii="Times New Roman" w:hAnsi="Times New Roman" w:cs="Times New Roman"/>
                <w:noProof/>
                <w:sz w:val="24"/>
                <w:szCs w:val="24"/>
                <w:lang w:val="en-GB"/>
              </w:rPr>
              <w:t>Introduction</w:t>
            </w:r>
            <w:r w:rsidR="009052B1" w:rsidRPr="00FE2C7C">
              <w:rPr>
                <w:rFonts w:ascii="Times New Roman" w:hAnsi="Times New Roman" w:cs="Times New Roman"/>
                <w:noProof/>
                <w:webHidden/>
                <w:sz w:val="24"/>
                <w:szCs w:val="24"/>
              </w:rPr>
              <w:tab/>
            </w:r>
            <w:r w:rsidR="009052B1" w:rsidRPr="00FE2C7C">
              <w:rPr>
                <w:rFonts w:ascii="Times New Roman" w:hAnsi="Times New Roman" w:cs="Times New Roman"/>
                <w:noProof/>
                <w:webHidden/>
                <w:sz w:val="24"/>
                <w:szCs w:val="24"/>
              </w:rPr>
              <w:fldChar w:fldCharType="begin"/>
            </w:r>
            <w:r w:rsidR="009052B1" w:rsidRPr="00FE2C7C">
              <w:rPr>
                <w:rFonts w:ascii="Times New Roman" w:hAnsi="Times New Roman" w:cs="Times New Roman"/>
                <w:noProof/>
                <w:webHidden/>
                <w:sz w:val="24"/>
                <w:szCs w:val="24"/>
              </w:rPr>
              <w:instrText xml:space="preserve"> PAGEREF _Toc120544707 \h </w:instrText>
            </w:r>
            <w:r w:rsidR="009052B1" w:rsidRPr="00FE2C7C">
              <w:rPr>
                <w:rFonts w:ascii="Times New Roman" w:hAnsi="Times New Roman" w:cs="Times New Roman"/>
                <w:noProof/>
                <w:webHidden/>
                <w:sz w:val="24"/>
                <w:szCs w:val="24"/>
              </w:rPr>
            </w:r>
            <w:r w:rsidR="009052B1" w:rsidRPr="00FE2C7C">
              <w:rPr>
                <w:rFonts w:ascii="Times New Roman" w:hAnsi="Times New Roman" w:cs="Times New Roman"/>
                <w:noProof/>
                <w:webHidden/>
                <w:sz w:val="24"/>
                <w:szCs w:val="24"/>
              </w:rPr>
              <w:fldChar w:fldCharType="separate"/>
            </w:r>
            <w:r w:rsidR="009052B1" w:rsidRPr="00FE2C7C">
              <w:rPr>
                <w:rFonts w:ascii="Times New Roman" w:hAnsi="Times New Roman" w:cs="Times New Roman"/>
                <w:noProof/>
                <w:webHidden/>
                <w:sz w:val="24"/>
                <w:szCs w:val="24"/>
              </w:rPr>
              <w:t>4</w:t>
            </w:r>
            <w:r w:rsidR="009052B1" w:rsidRPr="00FE2C7C">
              <w:rPr>
                <w:rFonts w:ascii="Times New Roman" w:hAnsi="Times New Roman" w:cs="Times New Roman"/>
                <w:noProof/>
                <w:webHidden/>
                <w:sz w:val="24"/>
                <w:szCs w:val="24"/>
              </w:rPr>
              <w:fldChar w:fldCharType="end"/>
            </w:r>
          </w:hyperlink>
        </w:p>
        <w:p w14:paraId="2811B69F" w14:textId="77777777" w:rsidR="009052B1" w:rsidRPr="00FE2C7C" w:rsidRDefault="00000000" w:rsidP="00FE2C7C">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120544708" w:history="1">
            <w:r w:rsidR="009052B1" w:rsidRPr="00FE2C7C">
              <w:rPr>
                <w:rStyle w:val="Hyperlink"/>
                <w:rFonts w:ascii="Times New Roman" w:hAnsi="Times New Roman" w:cs="Times New Roman"/>
                <w:noProof/>
                <w:sz w:val="24"/>
                <w:szCs w:val="24"/>
                <w:lang w:val="en-GB"/>
              </w:rPr>
              <w:t>Meaning of terms ‘IAS’ and ‘IFRS’</w:t>
            </w:r>
            <w:r w:rsidR="009052B1" w:rsidRPr="00FE2C7C">
              <w:rPr>
                <w:rFonts w:ascii="Times New Roman" w:hAnsi="Times New Roman" w:cs="Times New Roman"/>
                <w:noProof/>
                <w:webHidden/>
                <w:sz w:val="24"/>
                <w:szCs w:val="24"/>
              </w:rPr>
              <w:tab/>
              <w:t>4</w:t>
            </w:r>
          </w:hyperlink>
        </w:p>
        <w:p w14:paraId="4A97B6FF" w14:textId="77777777" w:rsidR="009052B1" w:rsidRPr="00FE2C7C" w:rsidRDefault="00000000" w:rsidP="00FE2C7C">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120544709" w:history="1">
            <w:r w:rsidR="009052B1" w:rsidRPr="00FE2C7C">
              <w:rPr>
                <w:rStyle w:val="Hyperlink"/>
                <w:rFonts w:ascii="Times New Roman" w:hAnsi="Times New Roman" w:cs="Times New Roman"/>
                <w:noProof/>
                <w:sz w:val="24"/>
                <w:szCs w:val="24"/>
                <w:lang w:val="en-GB"/>
              </w:rPr>
              <w:t>Analysis of Standards that could drive entities and countries around the world towards their basis for financial reporting</w:t>
            </w:r>
            <w:r w:rsidR="009052B1" w:rsidRPr="00FE2C7C">
              <w:rPr>
                <w:rFonts w:ascii="Times New Roman" w:hAnsi="Times New Roman" w:cs="Times New Roman"/>
                <w:noProof/>
                <w:webHidden/>
                <w:sz w:val="24"/>
                <w:szCs w:val="24"/>
              </w:rPr>
              <w:tab/>
              <w:t>5</w:t>
            </w:r>
          </w:hyperlink>
        </w:p>
        <w:p w14:paraId="3954282F" w14:textId="77777777" w:rsidR="009052B1" w:rsidRPr="00FE2C7C" w:rsidRDefault="00000000" w:rsidP="00FE2C7C">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120544710" w:history="1">
            <w:r w:rsidR="009052B1" w:rsidRPr="00FE2C7C">
              <w:rPr>
                <w:rStyle w:val="Hyperlink"/>
                <w:rFonts w:ascii="Times New Roman" w:hAnsi="Times New Roman" w:cs="Times New Roman"/>
                <w:noProof/>
                <w:sz w:val="24"/>
                <w:szCs w:val="24"/>
              </w:rPr>
              <w:t>Evaluation of the advantages and disadvantages of a common set of global reporting standards with specific examples</w:t>
            </w:r>
            <w:r w:rsidR="009052B1" w:rsidRPr="00FE2C7C">
              <w:rPr>
                <w:rFonts w:ascii="Times New Roman" w:hAnsi="Times New Roman" w:cs="Times New Roman"/>
                <w:noProof/>
                <w:webHidden/>
                <w:sz w:val="24"/>
                <w:szCs w:val="24"/>
              </w:rPr>
              <w:tab/>
              <w:t>8</w:t>
            </w:r>
          </w:hyperlink>
        </w:p>
        <w:p w14:paraId="6C965ADA" w14:textId="77777777" w:rsidR="009052B1" w:rsidRPr="00FE2C7C" w:rsidRDefault="00000000" w:rsidP="00FE2C7C">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120544711" w:history="1">
            <w:r w:rsidR="009052B1" w:rsidRPr="00FE2C7C">
              <w:rPr>
                <w:rStyle w:val="Hyperlink"/>
                <w:rFonts w:ascii="Times New Roman" w:hAnsi="Times New Roman" w:cs="Times New Roman"/>
                <w:noProof/>
                <w:sz w:val="24"/>
                <w:szCs w:val="24"/>
              </w:rPr>
              <w:t>Potential Barriers to Current and Future Adoption of IFRS</w:t>
            </w:r>
            <w:r w:rsidR="009052B1" w:rsidRPr="00FE2C7C">
              <w:rPr>
                <w:rFonts w:ascii="Times New Roman" w:hAnsi="Times New Roman" w:cs="Times New Roman"/>
                <w:noProof/>
                <w:webHidden/>
                <w:sz w:val="24"/>
                <w:szCs w:val="24"/>
              </w:rPr>
              <w:tab/>
              <w:t>9</w:t>
            </w:r>
          </w:hyperlink>
        </w:p>
        <w:p w14:paraId="5F285DD8" w14:textId="77777777" w:rsidR="009052B1" w:rsidRPr="00FE2C7C" w:rsidRDefault="00000000" w:rsidP="00FE2C7C">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120544712" w:history="1">
            <w:r w:rsidR="009052B1" w:rsidRPr="00FE2C7C">
              <w:rPr>
                <w:rStyle w:val="Hyperlink"/>
                <w:rFonts w:ascii="Times New Roman" w:hAnsi="Times New Roman" w:cs="Times New Roman"/>
                <w:noProof/>
                <w:sz w:val="24"/>
                <w:szCs w:val="24"/>
              </w:rPr>
              <w:t>Conclusion and Recommendation</w:t>
            </w:r>
            <w:r w:rsidR="009052B1" w:rsidRPr="00FE2C7C">
              <w:rPr>
                <w:rFonts w:ascii="Times New Roman" w:hAnsi="Times New Roman" w:cs="Times New Roman"/>
                <w:noProof/>
                <w:webHidden/>
                <w:sz w:val="24"/>
                <w:szCs w:val="24"/>
              </w:rPr>
              <w:tab/>
              <w:t>10</w:t>
            </w:r>
          </w:hyperlink>
        </w:p>
        <w:p w14:paraId="2AA52307" w14:textId="77777777" w:rsidR="009052B1" w:rsidRPr="00FE2C7C" w:rsidRDefault="00000000" w:rsidP="00FE2C7C">
          <w:pPr>
            <w:pStyle w:val="TOC1"/>
            <w:tabs>
              <w:tab w:val="right" w:leader="dot" w:pos="9016"/>
            </w:tabs>
            <w:spacing w:line="480" w:lineRule="auto"/>
            <w:rPr>
              <w:rFonts w:ascii="Times New Roman" w:eastAsiaTheme="minorEastAsia" w:hAnsi="Times New Roman" w:cs="Times New Roman"/>
              <w:noProof/>
              <w:sz w:val="24"/>
              <w:szCs w:val="24"/>
              <w:lang w:eastAsia="en-IN"/>
            </w:rPr>
          </w:pPr>
          <w:hyperlink w:anchor="_Toc120544713" w:history="1">
            <w:r w:rsidR="009052B1" w:rsidRPr="00FE2C7C">
              <w:rPr>
                <w:rStyle w:val="Hyperlink"/>
                <w:rFonts w:ascii="Times New Roman" w:hAnsi="Times New Roman" w:cs="Times New Roman"/>
                <w:noProof/>
                <w:sz w:val="24"/>
                <w:szCs w:val="24"/>
                <w:lang w:val="en-GB"/>
              </w:rPr>
              <w:t>References</w:t>
            </w:r>
            <w:r w:rsidR="009052B1" w:rsidRPr="00FE2C7C">
              <w:rPr>
                <w:rFonts w:ascii="Times New Roman" w:hAnsi="Times New Roman" w:cs="Times New Roman"/>
                <w:noProof/>
                <w:webHidden/>
                <w:sz w:val="24"/>
                <w:szCs w:val="24"/>
              </w:rPr>
              <w:tab/>
              <w:t>12</w:t>
            </w:r>
          </w:hyperlink>
        </w:p>
        <w:p w14:paraId="1C3D8B2D" w14:textId="77777777" w:rsidR="00792C08" w:rsidRPr="00FE2C7C" w:rsidRDefault="00000000" w:rsidP="00FE2C7C">
          <w:pPr>
            <w:spacing w:line="480" w:lineRule="auto"/>
            <w:rPr>
              <w:rFonts w:ascii="Times New Roman" w:hAnsi="Times New Roman" w:cs="Times New Roman"/>
              <w:sz w:val="24"/>
              <w:szCs w:val="24"/>
            </w:rPr>
          </w:pPr>
        </w:p>
      </w:sdtContent>
    </w:sdt>
    <w:p w14:paraId="001109B4" w14:textId="77777777" w:rsidR="00C14110" w:rsidRPr="00FE2C7C" w:rsidRDefault="00C14110" w:rsidP="00FE2C7C">
      <w:pPr>
        <w:spacing w:line="480" w:lineRule="auto"/>
        <w:ind w:firstLine="720"/>
        <w:jc w:val="both"/>
        <w:rPr>
          <w:rFonts w:ascii="Times New Roman" w:hAnsi="Times New Roman" w:cs="Times New Roman"/>
          <w:color w:val="FF0000"/>
          <w:sz w:val="24"/>
          <w:szCs w:val="24"/>
          <w:lang w:val="en-GB"/>
        </w:rPr>
      </w:pPr>
      <w:r w:rsidRPr="00FE2C7C">
        <w:rPr>
          <w:rFonts w:ascii="Times New Roman" w:hAnsi="Times New Roman" w:cs="Times New Roman"/>
          <w:color w:val="FF0000"/>
          <w:sz w:val="24"/>
          <w:szCs w:val="24"/>
          <w:lang w:val="en-GB"/>
        </w:rPr>
        <w:br w:type="page"/>
      </w:r>
    </w:p>
    <w:p w14:paraId="28ADF564" w14:textId="77777777" w:rsidR="00C14110" w:rsidRPr="00FE2C7C" w:rsidRDefault="00C14110" w:rsidP="00FE2C7C">
      <w:pPr>
        <w:pStyle w:val="Heading1"/>
        <w:rPr>
          <w:rFonts w:cs="Times New Roman"/>
          <w:szCs w:val="24"/>
          <w:lang w:val="en-GB"/>
        </w:rPr>
      </w:pPr>
      <w:bookmarkStart w:id="0" w:name="_Toc120544707"/>
      <w:r w:rsidRPr="00FE2C7C">
        <w:rPr>
          <w:rFonts w:cs="Times New Roman"/>
          <w:szCs w:val="24"/>
          <w:lang w:val="en-GB"/>
        </w:rPr>
        <w:lastRenderedPageBreak/>
        <w:t>Introduction</w:t>
      </w:r>
      <w:bookmarkEnd w:id="0"/>
    </w:p>
    <w:p w14:paraId="34ABBD3F" w14:textId="77777777" w:rsidR="00C14110" w:rsidRPr="00FE2C7C" w:rsidRDefault="00C14110" w:rsidP="00FE2C7C">
      <w:pPr>
        <w:spacing w:line="480" w:lineRule="auto"/>
        <w:ind w:firstLine="720"/>
        <w:jc w:val="both"/>
        <w:rPr>
          <w:rFonts w:ascii="Times New Roman" w:hAnsi="Times New Roman" w:cs="Times New Roman"/>
          <w:sz w:val="24"/>
          <w:szCs w:val="24"/>
          <w:lang w:val="en-GB"/>
        </w:rPr>
      </w:pPr>
      <w:r w:rsidRPr="00FE2C7C">
        <w:rPr>
          <w:rFonts w:ascii="Times New Roman" w:hAnsi="Times New Roman" w:cs="Times New Roman"/>
          <w:sz w:val="24"/>
          <w:szCs w:val="24"/>
          <w:lang w:val="en-GB"/>
        </w:rPr>
        <w:t>In the current dynamic era, uniform financial reporting plays a crucial role in providing critical insight and maintaining transparency regarding financial performance and position. The key objectives of financial reporting are to provide critical insights regarding the firm's resources and help make a comparison between different companies. It enhances financial credibility and helps derive consistent and accurate financial information (Gokten, 2017). In addition, it depicts the cash flow position and helps in monitoring business performance that significantly contributes towards making rational decisions. As a result, it supports maintaining a higher level of consistency in presenting financial information to domestic and overseas stakeholders. It also enhances the level of international comparability along with enhancing the quality of financial statements. Thus, it helps investors to make a rational economic decision regarding the investment in the company (Robinson</w:t>
      </w:r>
      <w:r w:rsidRPr="00FE2C7C">
        <w:rPr>
          <w:rFonts w:ascii="Times New Roman" w:hAnsi="Times New Roman" w:cs="Times New Roman"/>
          <w:i/>
          <w:iCs/>
          <w:sz w:val="24"/>
          <w:szCs w:val="24"/>
          <w:lang w:val="en-GB"/>
        </w:rPr>
        <w:t xml:space="preserve"> et al.</w:t>
      </w:r>
      <w:r w:rsidRPr="00FE2C7C">
        <w:rPr>
          <w:rFonts w:ascii="Times New Roman" w:hAnsi="Times New Roman" w:cs="Times New Roman"/>
          <w:sz w:val="24"/>
          <w:szCs w:val="24"/>
          <w:lang w:val="en-GB"/>
        </w:rPr>
        <w:t>, 2012). In this regard, the report aims to analyse the advantages and disadvantages of a common set of global reporting standards (IAS and IFRS) with the help of specific examples and the progress towards harmonisation in different countries. It also includes potential barriers to current as well as future adoption of IFRS, along with providing appropriate recommendations to improve their implementation.</w:t>
      </w:r>
    </w:p>
    <w:p w14:paraId="3B87D8AD" w14:textId="77777777" w:rsidR="00C14110" w:rsidRPr="00FE2C7C" w:rsidRDefault="00E72B03" w:rsidP="00FE2C7C">
      <w:pPr>
        <w:pStyle w:val="Heading1"/>
        <w:rPr>
          <w:rFonts w:cs="Times New Roman"/>
          <w:szCs w:val="24"/>
          <w:lang w:val="en-GB"/>
        </w:rPr>
      </w:pPr>
      <w:bookmarkStart w:id="1" w:name="_Toc120544708"/>
      <w:r w:rsidRPr="00FE2C7C">
        <w:rPr>
          <w:rFonts w:cs="Times New Roman"/>
          <w:szCs w:val="24"/>
          <w:lang w:val="en-GB"/>
        </w:rPr>
        <w:t xml:space="preserve">Meaning </w:t>
      </w:r>
      <w:r w:rsidR="00C14110" w:rsidRPr="00FE2C7C">
        <w:rPr>
          <w:rFonts w:cs="Times New Roman"/>
          <w:szCs w:val="24"/>
          <w:lang w:val="en-GB"/>
        </w:rPr>
        <w:t xml:space="preserve">of </w:t>
      </w:r>
      <w:r w:rsidRPr="00FE2C7C">
        <w:rPr>
          <w:rFonts w:cs="Times New Roman"/>
          <w:szCs w:val="24"/>
          <w:lang w:val="en-GB"/>
        </w:rPr>
        <w:t>term</w:t>
      </w:r>
      <w:r w:rsidR="007F3135" w:rsidRPr="00FE2C7C">
        <w:rPr>
          <w:rFonts w:cs="Times New Roman"/>
          <w:szCs w:val="24"/>
          <w:lang w:val="en-GB"/>
        </w:rPr>
        <w:t>s</w:t>
      </w:r>
      <w:r w:rsidRPr="00FE2C7C">
        <w:rPr>
          <w:rFonts w:cs="Times New Roman"/>
          <w:szCs w:val="24"/>
          <w:lang w:val="en-GB"/>
        </w:rPr>
        <w:t xml:space="preserve"> </w:t>
      </w:r>
      <w:r w:rsidR="007F3135" w:rsidRPr="00FE2C7C">
        <w:rPr>
          <w:rFonts w:cs="Times New Roman"/>
          <w:szCs w:val="24"/>
          <w:lang w:val="en-GB"/>
        </w:rPr>
        <w:t>‘</w:t>
      </w:r>
      <w:r w:rsidR="00C14110" w:rsidRPr="00FE2C7C">
        <w:rPr>
          <w:rFonts w:cs="Times New Roman"/>
          <w:szCs w:val="24"/>
          <w:lang w:val="en-GB"/>
        </w:rPr>
        <w:t>IAS</w:t>
      </w:r>
      <w:r w:rsidR="007F3135" w:rsidRPr="00FE2C7C">
        <w:rPr>
          <w:rFonts w:cs="Times New Roman"/>
          <w:szCs w:val="24"/>
          <w:lang w:val="en-GB"/>
        </w:rPr>
        <w:t>’</w:t>
      </w:r>
      <w:r w:rsidR="00C14110" w:rsidRPr="00FE2C7C">
        <w:rPr>
          <w:rFonts w:cs="Times New Roman"/>
          <w:szCs w:val="24"/>
          <w:lang w:val="en-GB"/>
        </w:rPr>
        <w:t xml:space="preserve"> and </w:t>
      </w:r>
      <w:r w:rsidR="007F3135" w:rsidRPr="00FE2C7C">
        <w:rPr>
          <w:rFonts w:cs="Times New Roman"/>
          <w:szCs w:val="24"/>
          <w:lang w:val="en-GB"/>
        </w:rPr>
        <w:t>‘</w:t>
      </w:r>
      <w:r w:rsidR="00C14110" w:rsidRPr="00FE2C7C">
        <w:rPr>
          <w:rFonts w:cs="Times New Roman"/>
          <w:szCs w:val="24"/>
          <w:lang w:val="en-GB"/>
        </w:rPr>
        <w:t>IFRS</w:t>
      </w:r>
      <w:r w:rsidR="007F3135" w:rsidRPr="00FE2C7C">
        <w:rPr>
          <w:rFonts w:cs="Times New Roman"/>
          <w:szCs w:val="24"/>
          <w:lang w:val="en-GB"/>
        </w:rPr>
        <w:t>’</w:t>
      </w:r>
      <w:bookmarkEnd w:id="1"/>
    </w:p>
    <w:p w14:paraId="659046ED" w14:textId="7CA71BD9" w:rsidR="00C14110" w:rsidRPr="00FE2C7C" w:rsidRDefault="00C14110" w:rsidP="00FE2C7C">
      <w:pPr>
        <w:spacing w:line="480" w:lineRule="auto"/>
        <w:ind w:firstLine="720"/>
        <w:jc w:val="both"/>
        <w:rPr>
          <w:rFonts w:ascii="Times New Roman" w:hAnsi="Times New Roman" w:cs="Times New Roman"/>
          <w:sz w:val="24"/>
          <w:szCs w:val="24"/>
        </w:rPr>
      </w:pPr>
      <w:r w:rsidRPr="00FE2C7C">
        <w:rPr>
          <w:rFonts w:ascii="Times New Roman" w:hAnsi="Times New Roman" w:cs="Times New Roman"/>
          <w:sz w:val="24"/>
          <w:szCs w:val="24"/>
          <w:lang w:val="en-GB"/>
        </w:rPr>
        <w:t xml:space="preserve">IAS (International Accounting Standards) are defined as a set of principles and practices developed by the IASB (International Accounting Standards Board) to make the comparative analysis easier between the financial information of different countries at the domestic and global levels. It mainly focuses on enhancing transparency within the global trade and investment accounting process. Therefore, it is considered relevant for financial reporting as it provides comparable accounting standards at the global level by promoting accountability, </w:t>
      </w:r>
      <w:r w:rsidR="00173B00" w:rsidRPr="00FE2C7C">
        <w:rPr>
          <w:rFonts w:ascii="Times New Roman" w:hAnsi="Times New Roman" w:cs="Times New Roman"/>
          <w:sz w:val="24"/>
          <w:szCs w:val="24"/>
          <w:lang w:val="en-GB"/>
        </w:rPr>
        <w:t>efficiency,</w:t>
      </w:r>
      <w:r w:rsidRPr="00FE2C7C">
        <w:rPr>
          <w:rFonts w:ascii="Times New Roman" w:hAnsi="Times New Roman" w:cs="Times New Roman"/>
          <w:sz w:val="24"/>
          <w:szCs w:val="24"/>
          <w:lang w:val="en-GB"/>
        </w:rPr>
        <w:t xml:space="preserve"> and transparency in the financial market (Donnelly, 2022). Furthermore, it supports investors in making rational economic decisions by analysing the investment opportunities </w:t>
      </w:r>
      <w:r w:rsidRPr="00FE2C7C">
        <w:rPr>
          <w:rFonts w:ascii="Times New Roman" w:hAnsi="Times New Roman" w:cs="Times New Roman"/>
          <w:sz w:val="24"/>
          <w:szCs w:val="24"/>
          <w:lang w:val="en-GB"/>
        </w:rPr>
        <w:lastRenderedPageBreak/>
        <w:t>available along with the risk associated with them. Thus, it provides help in optimal capital allocation that can help in</w:t>
      </w:r>
      <w:r w:rsidRPr="00FE2C7C">
        <w:rPr>
          <w:rFonts w:ascii="Times New Roman" w:hAnsi="Times New Roman" w:cs="Times New Roman"/>
          <w:sz w:val="24"/>
          <w:szCs w:val="24"/>
        </w:rPr>
        <w:t xml:space="preserve"> deriving maximum financial benefit from the investment. Moreover, it plays a crucial role in ensuring ethical and regulatory compliance as a uniform accounting framework help the business organisation to efficiently conduct business in overseas market by adhering to uniform accounting standards and policies. Thus, it reduces compliance pressure and also helps in decreasing reporting costs (Kieso, Kimmel and Weygandt, 2018</w:t>
      </w:r>
      <w:r w:rsidR="00A82BB8" w:rsidRPr="00FE2C7C">
        <w:rPr>
          <w:rFonts w:ascii="Times New Roman" w:hAnsi="Times New Roman" w:cs="Times New Roman"/>
          <w:sz w:val="24"/>
          <w:szCs w:val="24"/>
        </w:rPr>
        <w:t>; Elliott and Elliott, 2015.</w:t>
      </w:r>
      <w:r w:rsidRPr="00FE2C7C">
        <w:rPr>
          <w:rFonts w:ascii="Times New Roman" w:hAnsi="Times New Roman" w:cs="Times New Roman"/>
          <w:sz w:val="24"/>
          <w:szCs w:val="24"/>
        </w:rPr>
        <w:t>).</w:t>
      </w:r>
    </w:p>
    <w:p w14:paraId="6AFDE962" w14:textId="77777777" w:rsidR="00C14110" w:rsidRPr="00FE2C7C" w:rsidRDefault="00C14110" w:rsidP="00FE2C7C">
      <w:pPr>
        <w:spacing w:line="480" w:lineRule="auto"/>
        <w:ind w:firstLine="720"/>
        <w:jc w:val="both"/>
        <w:rPr>
          <w:rFonts w:ascii="Times New Roman" w:hAnsi="Times New Roman" w:cs="Times New Roman"/>
          <w:sz w:val="24"/>
          <w:szCs w:val="24"/>
        </w:rPr>
      </w:pPr>
      <w:r w:rsidRPr="00FE2C7C">
        <w:rPr>
          <w:rFonts w:ascii="Times New Roman" w:hAnsi="Times New Roman" w:cs="Times New Roman"/>
          <w:sz w:val="24"/>
          <w:szCs w:val="24"/>
        </w:rPr>
        <w:t xml:space="preserve">IFRS (International Financial Reporting Framework) has replaced the IAS for enhancing consistency by increasing focus on financial record keeping. It comprises accounting standards that govern various types of financial transactions, as well as financial events to be presented under the company's financial statement (Picker </w:t>
      </w:r>
      <w:r w:rsidRPr="00FE2C7C">
        <w:rPr>
          <w:rFonts w:ascii="Times New Roman" w:hAnsi="Times New Roman" w:cs="Times New Roman"/>
          <w:i/>
          <w:iCs/>
          <w:sz w:val="24"/>
          <w:szCs w:val="24"/>
        </w:rPr>
        <w:t>et al.,</w:t>
      </w:r>
      <w:r w:rsidRPr="00FE2C7C">
        <w:rPr>
          <w:rFonts w:ascii="Times New Roman" w:hAnsi="Times New Roman" w:cs="Times New Roman"/>
          <w:sz w:val="24"/>
          <w:szCs w:val="24"/>
        </w:rPr>
        <w:t xml:space="preserve"> 2019</w:t>
      </w:r>
      <w:r w:rsidR="003F3EEC" w:rsidRPr="00FE2C7C">
        <w:rPr>
          <w:rFonts w:ascii="Times New Roman" w:hAnsi="Times New Roman" w:cs="Times New Roman"/>
          <w:sz w:val="24"/>
          <w:szCs w:val="24"/>
        </w:rPr>
        <w:t>; Young and Cohen, 2013</w:t>
      </w:r>
      <w:r w:rsidRPr="00FE2C7C">
        <w:rPr>
          <w:rFonts w:ascii="Times New Roman" w:hAnsi="Times New Roman" w:cs="Times New Roman"/>
          <w:sz w:val="24"/>
          <w:szCs w:val="24"/>
        </w:rPr>
        <w:t xml:space="preserve">). They are mainly established for maintaining a higher level of transparency, as well as creditability, that helps investors get critical insight regarding the company's financial performance and make comparative analyses among different periods or with different countries operating in different parts of the world. The authority of issuing, as well as making modifications in standards, is with IASB, which focuses on developing a standard format and framework for preparation, as well as presentation of financial statements that can help in conducting proper interpretation from country to country and company to company. It applies in around 100 countries, including EU nations and various countries located in South America and Asia (CFI, 2022). </w:t>
      </w:r>
    </w:p>
    <w:p w14:paraId="29EF3509" w14:textId="77777777" w:rsidR="00C14110" w:rsidRPr="00FE2C7C" w:rsidRDefault="00C14110" w:rsidP="00FE2C7C">
      <w:pPr>
        <w:pStyle w:val="Heading1"/>
        <w:rPr>
          <w:rFonts w:cs="Times New Roman"/>
          <w:szCs w:val="24"/>
          <w:lang w:val="en-GB"/>
        </w:rPr>
      </w:pPr>
      <w:bookmarkStart w:id="2" w:name="_Toc120544709"/>
      <w:r w:rsidRPr="00FE2C7C">
        <w:rPr>
          <w:rFonts w:cs="Times New Roman"/>
          <w:szCs w:val="24"/>
          <w:lang w:val="en-GB"/>
        </w:rPr>
        <w:t>Analysis of Standards that could drive entities and countries around the world towards their basis for financial reporting</w:t>
      </w:r>
      <w:bookmarkEnd w:id="2"/>
      <w:r w:rsidRPr="00FE2C7C">
        <w:rPr>
          <w:rFonts w:cs="Times New Roman"/>
          <w:szCs w:val="24"/>
          <w:lang w:val="en-GB"/>
        </w:rPr>
        <w:t xml:space="preserve"> </w:t>
      </w:r>
    </w:p>
    <w:p w14:paraId="58D26B6A" w14:textId="77777777" w:rsidR="00C14110" w:rsidRPr="00FE2C7C" w:rsidRDefault="00C14110" w:rsidP="00FE2C7C">
      <w:pPr>
        <w:spacing w:line="480" w:lineRule="auto"/>
        <w:ind w:firstLine="720"/>
        <w:jc w:val="both"/>
        <w:rPr>
          <w:rFonts w:ascii="Times New Roman" w:hAnsi="Times New Roman" w:cs="Times New Roman"/>
          <w:sz w:val="24"/>
          <w:szCs w:val="24"/>
          <w:lang w:val="en-GB"/>
        </w:rPr>
      </w:pPr>
      <w:r w:rsidRPr="00FE2C7C">
        <w:rPr>
          <w:rFonts w:ascii="Times New Roman" w:hAnsi="Times New Roman" w:cs="Times New Roman"/>
          <w:sz w:val="24"/>
          <w:szCs w:val="24"/>
          <w:lang w:val="en-GB"/>
        </w:rPr>
        <w:t>IFRS mainly focuses on enhancing the uniformity of financial information presented within the domestic and international arena. IFRS 1, "</w:t>
      </w:r>
      <w:r w:rsidRPr="00FE2C7C">
        <w:rPr>
          <w:rFonts w:ascii="Times New Roman" w:hAnsi="Times New Roman" w:cs="Times New Roman"/>
          <w:i/>
          <w:iCs/>
          <w:sz w:val="24"/>
          <w:szCs w:val="24"/>
          <w:lang w:val="en-GB"/>
        </w:rPr>
        <w:t xml:space="preserve">First-time Adoption of International Financial Reporting Standards", </w:t>
      </w:r>
      <w:r w:rsidRPr="00FE2C7C">
        <w:rPr>
          <w:rFonts w:ascii="Times New Roman" w:hAnsi="Times New Roman" w:cs="Times New Roman"/>
          <w:sz w:val="24"/>
          <w:szCs w:val="24"/>
          <w:lang w:val="en-GB"/>
        </w:rPr>
        <w:t xml:space="preserve">mainly focuses on presenting the procedure that can help the </w:t>
      </w:r>
      <w:r w:rsidRPr="00FE2C7C">
        <w:rPr>
          <w:rFonts w:ascii="Times New Roman" w:hAnsi="Times New Roman" w:cs="Times New Roman"/>
          <w:sz w:val="24"/>
          <w:szCs w:val="24"/>
          <w:lang w:val="en-GB"/>
        </w:rPr>
        <w:lastRenderedPageBreak/>
        <w:t xml:space="preserve">entity to develop general-purpose financial information that is adopting the IFRS approach to prepare financial statements. It mainly ensures that the financial statement of the entity that is adopting IFRS for the first time comprises high-quality financial information and has requisite disclosure that can benefit financial statement users in different parts of the world. The adoption of IFRS has helped in the integration of the global capital market and also provides a common base for conducting a comparison between countries. It helps in decreasing accounting practices' diversity and maintains uniformity in the financial information of countries operating in different parts of the world (Cai and Wong, 2010). </w:t>
      </w:r>
    </w:p>
    <w:p w14:paraId="1B6FB6D9" w14:textId="77777777" w:rsidR="00C14110" w:rsidRPr="00FE2C7C" w:rsidRDefault="00C14110" w:rsidP="00FE2C7C">
      <w:pPr>
        <w:spacing w:line="480" w:lineRule="auto"/>
        <w:ind w:firstLine="720"/>
        <w:jc w:val="both"/>
        <w:rPr>
          <w:rFonts w:ascii="Times New Roman" w:hAnsi="Times New Roman" w:cs="Times New Roman"/>
          <w:sz w:val="24"/>
          <w:szCs w:val="24"/>
          <w:lang w:val="en-GB"/>
        </w:rPr>
      </w:pPr>
      <w:r w:rsidRPr="00FE2C7C">
        <w:rPr>
          <w:rFonts w:ascii="Times New Roman" w:hAnsi="Times New Roman" w:cs="Times New Roman"/>
          <w:sz w:val="24"/>
          <w:szCs w:val="24"/>
          <w:lang w:val="en-GB"/>
        </w:rPr>
        <w:t>IFRS 16 mainly presented a single model of accounting for lessee where the assets and liabilities are recognised for 12 months or more. Under IFRS-16, the lessee is required to use right-to-use assets and present a lease liability, thus, highlighting the obligation regarding lease rental payment. It focuses on the faithful representation of lease transactions. Also, it provides a base for financial statement users to evaluate the monetary amount, cash flow uncertainty and timing that arise from entering a lease contract (IFRS, 2022</w:t>
      </w:r>
      <w:r w:rsidR="00E93B65" w:rsidRPr="00FE2C7C">
        <w:rPr>
          <w:rFonts w:ascii="Times New Roman" w:hAnsi="Times New Roman" w:cs="Times New Roman"/>
          <w:sz w:val="24"/>
          <w:szCs w:val="24"/>
          <w:lang w:val="en-GB"/>
        </w:rPr>
        <w:t>; FRC, 2018</w:t>
      </w:r>
      <w:r w:rsidRPr="00FE2C7C">
        <w:rPr>
          <w:rFonts w:ascii="Times New Roman" w:hAnsi="Times New Roman" w:cs="Times New Roman"/>
          <w:sz w:val="24"/>
          <w:szCs w:val="24"/>
          <w:lang w:val="en-GB"/>
        </w:rPr>
        <w:t xml:space="preserve">). For instance, Tesco Plc adopted IFRS 16, where the presentation regarding the leased asset where the lease liability and the right to use asset are presented in the balance sheet of the company. In addition, the lease liability was considered as the present value of the lease payment in future. Thus, it would help in improving operating profit without affecting the sales, as well as the cash flow of the group. As a result, the operating profit of Tesco rose to £ 1121 million from the year 2019 from £ 188 million by applying IFRS 16 (Tesco, 2019). </w:t>
      </w:r>
    </w:p>
    <w:p w14:paraId="27C6678B" w14:textId="77777777" w:rsidR="00C14110" w:rsidRPr="00FE2C7C" w:rsidRDefault="00C14110" w:rsidP="00FE2C7C">
      <w:pPr>
        <w:spacing w:line="480" w:lineRule="auto"/>
        <w:jc w:val="both"/>
        <w:rPr>
          <w:rFonts w:ascii="Times New Roman" w:hAnsi="Times New Roman" w:cs="Times New Roman"/>
          <w:sz w:val="24"/>
          <w:szCs w:val="24"/>
          <w:lang w:val="en-GB"/>
        </w:rPr>
      </w:pPr>
      <w:r w:rsidRPr="00FE2C7C">
        <w:rPr>
          <w:rFonts w:ascii="Times New Roman" w:hAnsi="Times New Roman" w:cs="Times New Roman"/>
          <w:noProof/>
          <w:sz w:val="24"/>
          <w:szCs w:val="24"/>
        </w:rPr>
        <w:lastRenderedPageBreak/>
        <w:drawing>
          <wp:inline distT="0" distB="0" distL="0" distR="0" wp14:anchorId="699230C9" wp14:editId="28668B41">
            <wp:extent cx="5683250" cy="2806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rcRect l="36007" t="35454" r="23554" b="28698"/>
                    <a:stretch>
                      <a:fillRect/>
                    </a:stretch>
                  </pic:blipFill>
                  <pic:spPr bwMode="auto">
                    <a:xfrm>
                      <a:off x="0" y="0"/>
                      <a:ext cx="5683250" cy="2806700"/>
                    </a:xfrm>
                    <a:prstGeom prst="rect">
                      <a:avLst/>
                    </a:prstGeom>
                    <a:ln>
                      <a:noFill/>
                    </a:ln>
                    <a:extLst>
                      <a:ext uri="{53640926-AAD7-44D8-BBD7-CCE9431645EC}">
                        <a14:shadowObscured xmlns:a14="http://schemas.microsoft.com/office/drawing/2010/main"/>
                      </a:ext>
                    </a:extLst>
                  </pic:spPr>
                </pic:pic>
              </a:graphicData>
            </a:graphic>
          </wp:inline>
        </w:drawing>
      </w:r>
    </w:p>
    <w:p w14:paraId="017F08A1" w14:textId="77777777" w:rsidR="00C14110" w:rsidRPr="00FE2C7C" w:rsidRDefault="00C14110" w:rsidP="00FE2C7C">
      <w:pPr>
        <w:spacing w:line="480" w:lineRule="auto"/>
        <w:jc w:val="center"/>
        <w:rPr>
          <w:rFonts w:ascii="Times New Roman" w:hAnsi="Times New Roman" w:cs="Times New Roman"/>
          <w:sz w:val="24"/>
          <w:szCs w:val="24"/>
          <w:lang w:val="en-GB"/>
        </w:rPr>
      </w:pPr>
      <w:r w:rsidRPr="00FE2C7C">
        <w:rPr>
          <w:rFonts w:ascii="Times New Roman" w:hAnsi="Times New Roman" w:cs="Times New Roman"/>
          <w:sz w:val="24"/>
          <w:szCs w:val="24"/>
          <w:lang w:val="en-GB"/>
        </w:rPr>
        <w:t>Figure 1: Criteria for classification in IFRS 9</w:t>
      </w:r>
    </w:p>
    <w:p w14:paraId="017AC6C2" w14:textId="77777777" w:rsidR="00C14110" w:rsidRPr="00FE2C7C" w:rsidRDefault="00C14110" w:rsidP="00FE2C7C">
      <w:pPr>
        <w:spacing w:line="480" w:lineRule="auto"/>
        <w:jc w:val="center"/>
        <w:rPr>
          <w:rFonts w:ascii="Times New Roman" w:hAnsi="Times New Roman" w:cs="Times New Roman"/>
          <w:sz w:val="24"/>
          <w:szCs w:val="24"/>
          <w:lang w:val="en-GB"/>
        </w:rPr>
      </w:pPr>
      <w:r w:rsidRPr="00FE2C7C">
        <w:rPr>
          <w:rFonts w:ascii="Times New Roman" w:hAnsi="Times New Roman" w:cs="Times New Roman"/>
          <w:sz w:val="24"/>
          <w:szCs w:val="24"/>
          <w:lang w:val="en-GB"/>
        </w:rPr>
        <w:t>(Source: PwC, 2017)</w:t>
      </w:r>
    </w:p>
    <w:p w14:paraId="5E27B1C7" w14:textId="77777777" w:rsidR="001807DE" w:rsidRPr="000B05E8" w:rsidRDefault="00C14110" w:rsidP="00FE2C7C">
      <w:pPr>
        <w:pStyle w:val="NormalWeb"/>
        <w:spacing w:before="0" w:beforeAutospacing="0" w:after="0" w:afterAutospacing="0" w:line="480" w:lineRule="auto"/>
        <w:ind w:firstLine="720"/>
        <w:jc w:val="both"/>
      </w:pPr>
      <w:r w:rsidRPr="00FE2C7C">
        <w:rPr>
          <w:lang w:val="en-GB"/>
        </w:rPr>
        <w:t>IFRS 9 mainly focuses on the recognition and measurement of financial instruments incorporating general hedging accounting, impairment and derecognition. It categorises the financial instruments in amortised cost, FVPL (Fair Value through Profit or Loss) and FVOCI (Fair Value of Other comprehensive information). It develops fundamental criteria for determining cost, as depicted in figure 1 and helps decrease recognition and measurement inconsistency. In addition, it also helps in helps in managing, as well as evaluating the performance at fair value (PwC, 2017</w:t>
      </w:r>
      <w:r w:rsidR="00E93B65" w:rsidRPr="00FE2C7C">
        <w:rPr>
          <w:lang w:val="en-GB"/>
        </w:rPr>
        <w:t>)</w:t>
      </w:r>
      <w:r w:rsidRPr="00FE2C7C">
        <w:rPr>
          <w:lang w:val="en-GB"/>
        </w:rPr>
        <w:t xml:space="preserve">. </w:t>
      </w:r>
      <w:r w:rsidR="004F530D" w:rsidRPr="000B05E8">
        <w:t>For instance, Samsung Electronics applied IFRS-9 by focusing on the fair valuation of financial liabilities through FVPL or amortised cost. In addition, the financial assets are valued at amortised cost from the date of acquisition (SAMSUNG Electronics Slovakia, 2021). Thus, it helps in making a comparative analysis between financial instrument valuation in different periods or among different companies situated in different countries. </w:t>
      </w:r>
      <w:r w:rsidR="001807DE" w:rsidRPr="000B05E8">
        <w:t> </w:t>
      </w:r>
    </w:p>
    <w:p w14:paraId="33DC1890" w14:textId="77777777" w:rsidR="001807DE" w:rsidRPr="000B05E8" w:rsidRDefault="001807DE" w:rsidP="00FE2C7C">
      <w:pPr>
        <w:pStyle w:val="Heading1"/>
        <w:rPr>
          <w:rFonts w:cs="Times New Roman"/>
          <w:szCs w:val="24"/>
        </w:rPr>
      </w:pPr>
      <w:bookmarkStart w:id="3" w:name="_Toc120544710"/>
      <w:r w:rsidRPr="000B05E8">
        <w:rPr>
          <w:rStyle w:val="Strong"/>
          <w:rFonts w:cs="Times New Roman"/>
          <w:b/>
          <w:bCs w:val="0"/>
          <w:szCs w:val="24"/>
        </w:rPr>
        <w:lastRenderedPageBreak/>
        <w:t>Evaluation of the advantages and disadvantages of a common set of global reporting standards with specific examples</w:t>
      </w:r>
      <w:bookmarkEnd w:id="3"/>
      <w:r w:rsidRPr="000B05E8">
        <w:rPr>
          <w:rFonts w:cs="Times New Roman"/>
          <w:szCs w:val="24"/>
        </w:rPr>
        <w:t> </w:t>
      </w:r>
    </w:p>
    <w:p w14:paraId="1DA721CF" w14:textId="1D8359A7" w:rsidR="00FE2C7C" w:rsidRPr="000B05E8" w:rsidRDefault="00FE2C7C" w:rsidP="000B05E8">
      <w:pPr>
        <w:pStyle w:val="NormalWeb"/>
        <w:spacing w:before="0" w:beforeAutospacing="0" w:after="0" w:afterAutospacing="0" w:line="480" w:lineRule="auto"/>
        <w:ind w:firstLine="720"/>
        <w:jc w:val="both"/>
      </w:pPr>
      <w:bookmarkStart w:id="4" w:name="_Toc120544711"/>
      <w:r w:rsidRPr="000B05E8">
        <w:t xml:space="preserve">One of the critical advantages of IFRS is the establishment of a globally harmonised framework that helps maintain consistency and uniformity in financial reporting, along with decreasing financial costs. It provides support to investors in making rational financial as well as investment decisions and also help in making future business plans and estimation to enhance the business performance. It focuses on standardisation along with improving accounting practices. Therefore, various companies listed on stock exchanges in London, Zurich, Rome, Amsterdam, </w:t>
      </w:r>
      <w:r w:rsidR="00173B00" w:rsidRPr="000B05E8">
        <w:t>Frankfurt,</w:t>
      </w:r>
      <w:r w:rsidRPr="000B05E8">
        <w:t xml:space="preserve"> and Hong Kong are using IFRS to prepare and present financial statements (Oanh, 2022). Another advantage of adopting IFRS is support towards making a comparative analysis as it is a global accounting standard. It helps verify financial results with the financial statements of companies in different countries. For instance, Audi is a German-based company that uses IFRS, and its financial statements can be easily compared with Jaguar, a UK-based automobile company due to uniformity in the preparation and presentation of financial statements in accordance with the IFRS. It also helps improve the level of transparency and reduces the cost of capital. It also provides a base for overseas investors to make cross-country investments. It is considered self-reinforcing that helps reduce the transaction cost incurred due to cross-border investment transactions (De George, Li and Shivkumar, 2016). </w:t>
      </w:r>
    </w:p>
    <w:p w14:paraId="2FC8BF58" w14:textId="30A301CD" w:rsidR="00FE2C7C" w:rsidRPr="000B05E8" w:rsidRDefault="00FE2C7C" w:rsidP="000B05E8">
      <w:pPr>
        <w:pStyle w:val="NormalWeb"/>
        <w:spacing w:before="0" w:beforeAutospacing="0" w:after="0" w:afterAutospacing="0" w:line="480" w:lineRule="auto"/>
        <w:ind w:firstLine="720"/>
        <w:jc w:val="both"/>
      </w:pPr>
      <w:r w:rsidRPr="000B05E8">
        <w:t xml:space="preserve">The application of IFRS also provides the advantage of enhancing the level of transparency and brings clarity in communication that helps in improving the financial performance of business organisations. In addition, it also improves compatibility and also provides a base for making comparisons required by supervisory authorities, </w:t>
      </w:r>
      <w:r w:rsidR="00173B00" w:rsidRPr="000B05E8">
        <w:t>investors,</w:t>
      </w:r>
      <w:r w:rsidRPr="000B05E8">
        <w:t xml:space="preserve"> and financial markets. It also helps fulfil three crucial financial statement criteria: neutrality, </w:t>
      </w:r>
      <w:r w:rsidR="00173B00" w:rsidRPr="000B05E8">
        <w:t>completeness,</w:t>
      </w:r>
      <w:r w:rsidRPr="000B05E8">
        <w:t xml:space="preserve"> and comparability. Moreover, it also helps in developing and maintaining </w:t>
      </w:r>
      <w:r w:rsidRPr="000B05E8">
        <w:lastRenderedPageBreak/>
        <w:t xml:space="preserve">prudent management that helps reduce the volatility level in long-term investment (Capkun, Collins and Jeanjean, 2016). On the other hand, one of the main disadvantages of IFRS is the lack of detailed information in financial statements, which is requisite by investors, </w:t>
      </w:r>
      <w:r w:rsidR="00173B00" w:rsidRPr="000B05E8">
        <w:t>employees,</w:t>
      </w:r>
      <w:r w:rsidRPr="000B05E8">
        <w:t xml:space="preserve"> and regulators. Many countries such as the US and Canada use GAAP (Generally Accepted Accounting Principles) which provides detailed information as compared to IFRS; thus, it fulfils the needs of investors and other stakeholders (Burnett </w:t>
      </w:r>
      <w:r w:rsidRPr="000B05E8">
        <w:rPr>
          <w:rStyle w:val="Emphasis"/>
        </w:rPr>
        <w:t>et al.,</w:t>
      </w:r>
      <w:r w:rsidRPr="000B05E8">
        <w:t xml:space="preserve"> 2015).</w:t>
      </w:r>
    </w:p>
    <w:p w14:paraId="43614ED6" w14:textId="77777777" w:rsidR="00FE2C7C" w:rsidRPr="000B05E8" w:rsidRDefault="00FE2C7C" w:rsidP="00FE2C7C">
      <w:pPr>
        <w:pStyle w:val="NormalWeb"/>
        <w:spacing w:before="0" w:beforeAutospacing="0" w:after="0" w:afterAutospacing="0" w:line="480" w:lineRule="auto"/>
        <w:jc w:val="both"/>
      </w:pPr>
      <w:r w:rsidRPr="000B05E8">
        <w:t>Further, adopting IFRS is considered a costly affair due to higher implementation costs as the adoption of IFRS in each country significantly increases the cost of training and education for professionals. Moreover, the capital market is different in all the countries at the global level; thus, the requirement for the presentation of financial information is different for different countries (Pawsey, 2017). For instance, adopting IFRS in companies operating in Ghana raised the ongoing cost, such as training and development, to comply with complicated regulations and enhanced higher disclosure requirements which increased pressure on companies (Agyei-Boapeah </w:t>
      </w:r>
      <w:r w:rsidRPr="000B05E8">
        <w:rPr>
          <w:rStyle w:val="Emphasis"/>
        </w:rPr>
        <w:t>et al.,</w:t>
      </w:r>
      <w:r w:rsidRPr="000B05E8">
        <w:t> 2020). </w:t>
      </w:r>
    </w:p>
    <w:p w14:paraId="071A469B" w14:textId="77777777" w:rsidR="001807DE" w:rsidRPr="000B05E8" w:rsidRDefault="001807DE" w:rsidP="00FE2C7C">
      <w:pPr>
        <w:pStyle w:val="Heading1"/>
        <w:rPr>
          <w:rFonts w:cs="Times New Roman"/>
          <w:szCs w:val="24"/>
        </w:rPr>
      </w:pPr>
      <w:r w:rsidRPr="000B05E8">
        <w:rPr>
          <w:rStyle w:val="Strong"/>
          <w:rFonts w:cs="Times New Roman"/>
          <w:b/>
          <w:bCs w:val="0"/>
          <w:szCs w:val="24"/>
        </w:rPr>
        <w:t xml:space="preserve">Potential </w:t>
      </w:r>
      <w:r w:rsidR="00923743" w:rsidRPr="000B05E8">
        <w:rPr>
          <w:rStyle w:val="Strong"/>
          <w:rFonts w:cs="Times New Roman"/>
          <w:b/>
          <w:bCs w:val="0"/>
          <w:szCs w:val="24"/>
        </w:rPr>
        <w:t>B</w:t>
      </w:r>
      <w:r w:rsidRPr="000B05E8">
        <w:rPr>
          <w:rStyle w:val="Strong"/>
          <w:rFonts w:cs="Times New Roman"/>
          <w:b/>
          <w:bCs w:val="0"/>
          <w:szCs w:val="24"/>
        </w:rPr>
        <w:t xml:space="preserve">arriers to </w:t>
      </w:r>
      <w:r w:rsidR="00923743" w:rsidRPr="000B05E8">
        <w:rPr>
          <w:rStyle w:val="Strong"/>
          <w:rFonts w:cs="Times New Roman"/>
          <w:b/>
          <w:bCs w:val="0"/>
          <w:szCs w:val="24"/>
        </w:rPr>
        <w:t>C</w:t>
      </w:r>
      <w:r w:rsidRPr="000B05E8">
        <w:rPr>
          <w:rStyle w:val="Strong"/>
          <w:rFonts w:cs="Times New Roman"/>
          <w:b/>
          <w:bCs w:val="0"/>
          <w:szCs w:val="24"/>
        </w:rPr>
        <w:t xml:space="preserve">urrent and </w:t>
      </w:r>
      <w:r w:rsidR="00923743" w:rsidRPr="000B05E8">
        <w:rPr>
          <w:rStyle w:val="Strong"/>
          <w:rFonts w:cs="Times New Roman"/>
          <w:b/>
          <w:bCs w:val="0"/>
          <w:szCs w:val="24"/>
        </w:rPr>
        <w:t>F</w:t>
      </w:r>
      <w:r w:rsidRPr="000B05E8">
        <w:rPr>
          <w:rStyle w:val="Strong"/>
          <w:rFonts w:cs="Times New Roman"/>
          <w:b/>
          <w:bCs w:val="0"/>
          <w:szCs w:val="24"/>
        </w:rPr>
        <w:t xml:space="preserve">uture </w:t>
      </w:r>
      <w:r w:rsidR="00923743" w:rsidRPr="000B05E8">
        <w:rPr>
          <w:rStyle w:val="Strong"/>
          <w:rFonts w:cs="Times New Roman"/>
          <w:b/>
          <w:bCs w:val="0"/>
          <w:szCs w:val="24"/>
        </w:rPr>
        <w:t>A</w:t>
      </w:r>
      <w:r w:rsidRPr="000B05E8">
        <w:rPr>
          <w:rStyle w:val="Strong"/>
          <w:rFonts w:cs="Times New Roman"/>
          <w:b/>
          <w:bCs w:val="0"/>
          <w:szCs w:val="24"/>
        </w:rPr>
        <w:t>doption of IFRS</w:t>
      </w:r>
      <w:bookmarkEnd w:id="4"/>
    </w:p>
    <w:p w14:paraId="16135A24" w14:textId="647ED6B2" w:rsidR="00FE2C7C" w:rsidRPr="000B05E8" w:rsidRDefault="00FE2C7C" w:rsidP="00FE2C7C">
      <w:pPr>
        <w:pStyle w:val="NormalWeb"/>
        <w:spacing w:before="0" w:beforeAutospacing="0" w:after="0" w:afterAutospacing="0" w:line="480" w:lineRule="auto"/>
        <w:ind w:firstLine="720"/>
        <w:jc w:val="both"/>
      </w:pPr>
      <w:bookmarkStart w:id="5" w:name="_Toc120544712"/>
      <w:r w:rsidRPr="000B05E8">
        <w:t xml:space="preserve">One of the critical potential barriers to the adoption of IFRS is technical complexities that create problems in making accurate financial forecasts, including forecast </w:t>
      </w:r>
      <w:r w:rsidR="00173B00" w:rsidRPr="000B05E8">
        <w:t>dispersion,</w:t>
      </w:r>
      <w:r w:rsidRPr="000B05E8">
        <w:t xml:space="preserve"> and forecasting errors. In addition, the lack of requisite technical infrastructure and experts knowing IFRS also create problems in its effective adoption. Further, financial analysts also face problems in interpretations and comparisons due to accounting standards changing that affect their forecasting accuracy (Miah </w:t>
      </w:r>
      <w:r w:rsidRPr="000B05E8">
        <w:rPr>
          <w:rStyle w:val="Emphasis"/>
        </w:rPr>
        <w:t>et al.,</w:t>
      </w:r>
      <w:r w:rsidRPr="000B05E8">
        <w:t xml:space="preserve"> 2020). Another potential barrier faced in adopting IFRS is an inconsistent existing framework that creates problems in evaluating and interpreting financial information. In addition, lack of professional training and education regarding the IFRS also acts as a barrier due to which professionals have a resistant behaviour towards IFRS adoption. Moreover, higher complexity in the computation of fair value under IFRS and the </w:t>
      </w:r>
      <w:r w:rsidRPr="000B05E8">
        <w:lastRenderedPageBreak/>
        <w:t>lack of requisite internal processes for the adoption of IFRS also act as a barrier. Further, negative attitudes and perceptions regarding IFRS, along with a lower level of awareness regarding the audit of international practices and standards, also act as a hurdle to adopting IFRS (Ahmad, Ahmad and Ajmal, 2019). Political interference, quality of domestic regulations and colonialism also affect the adoption of IFRS. It was highlighted that strong countries having higher political power are likely to influence IFRS, while countries having less influence of political power have a higher probability of adopting IFRS (Pratiwi, Shalihatulhayah and Mayasari, 2015). </w:t>
      </w:r>
    </w:p>
    <w:p w14:paraId="7F75C288" w14:textId="77777777" w:rsidR="001807DE" w:rsidRPr="000B05E8" w:rsidRDefault="001807DE" w:rsidP="00FE2C7C">
      <w:pPr>
        <w:pStyle w:val="Heading1"/>
        <w:rPr>
          <w:rFonts w:cs="Times New Roman"/>
          <w:szCs w:val="24"/>
        </w:rPr>
      </w:pPr>
      <w:r w:rsidRPr="000B05E8">
        <w:rPr>
          <w:rStyle w:val="Strong"/>
          <w:rFonts w:cs="Times New Roman"/>
          <w:b/>
          <w:bCs w:val="0"/>
          <w:szCs w:val="24"/>
        </w:rPr>
        <w:t>Conclusion and Recommendation</w:t>
      </w:r>
      <w:bookmarkEnd w:id="5"/>
      <w:r w:rsidRPr="000B05E8">
        <w:rPr>
          <w:rStyle w:val="Strong"/>
          <w:rFonts w:cs="Times New Roman"/>
          <w:b/>
          <w:bCs w:val="0"/>
          <w:szCs w:val="24"/>
        </w:rPr>
        <w:t> </w:t>
      </w:r>
    </w:p>
    <w:p w14:paraId="63B4E918" w14:textId="6B54288F" w:rsidR="00FE2C7C" w:rsidRPr="000B05E8" w:rsidRDefault="00FE2C7C" w:rsidP="00FE2C7C">
      <w:pPr>
        <w:pStyle w:val="NormalWeb"/>
        <w:spacing w:before="0" w:beforeAutospacing="0" w:after="0" w:afterAutospacing="0" w:line="480" w:lineRule="auto"/>
        <w:ind w:firstLine="720"/>
        <w:jc w:val="both"/>
      </w:pPr>
      <w:r w:rsidRPr="000B05E8">
        <w:t xml:space="preserve">On the basis of the review conducted, it was presented that IFRS mainly focuses on maintaining uniformity in financial reporting at the global level, enhances the level of transparency and helps in easier comparative analysis. It was also highlighted that the adoption of IFRS helps in enhancing prudence management and also helps in enhancing the level of credibility as well as accountability in financial reporting. However, it was also highlighted that adopting IFRS increases the adoption cost and requires training and knowledge for proper adoption of IFRS. In order to properly implement the IFRS and IAS for improving financial reporting, different methods such as due process, optional and not fully converged can be adopted. Further, the potential barriers faced in the adoption of IFRS are political interference, lack of requisite technical experience, lack of infrastructure and fair complexity in the computation of fair value affecting the reporting process. In due process, the key objective is to maintain transparency, </w:t>
      </w:r>
      <w:r w:rsidR="00173B00" w:rsidRPr="000B05E8">
        <w:t>accountability,</w:t>
      </w:r>
      <w:r w:rsidRPr="000B05E8">
        <w:t xml:space="preserve"> and fair consultation (IFRS, 2020). It mainly incorporates a research programme, making a proposal, re-deliberation, </w:t>
      </w:r>
      <w:r w:rsidR="00173B00" w:rsidRPr="000B05E8">
        <w:t>finalising,</w:t>
      </w:r>
      <w:r w:rsidRPr="000B05E8">
        <w:t xml:space="preserve"> and post-implementation review. The research programme mainly focuses on the evaluation of estimated financial reporting issues that can be faced while making a proposal focusing on establishing a draft proposal that incorporates an agenda and technique for execution. Further, </w:t>
      </w:r>
      <w:r w:rsidRPr="000B05E8">
        <w:lastRenderedPageBreak/>
        <w:t xml:space="preserve">the finalisation incorporates finalised pronouncement, while the post-implementation review includes a review process in 2.5 to 3 years (Deloitte, 2022). </w:t>
      </w:r>
    </w:p>
    <w:p w14:paraId="2E5F2A24" w14:textId="77777777" w:rsidR="00892329" w:rsidRPr="00FE2C7C" w:rsidRDefault="00892329" w:rsidP="00FE2C7C">
      <w:pPr>
        <w:spacing w:line="480" w:lineRule="auto"/>
        <w:jc w:val="both"/>
        <w:rPr>
          <w:rFonts w:ascii="Times New Roman" w:hAnsi="Times New Roman" w:cs="Times New Roman"/>
          <w:sz w:val="24"/>
          <w:szCs w:val="24"/>
          <w:lang w:val="en-GB"/>
        </w:rPr>
      </w:pPr>
    </w:p>
    <w:p w14:paraId="13E07A8D" w14:textId="77777777" w:rsidR="00D717B0" w:rsidRPr="00FE2C7C" w:rsidRDefault="00D717B0" w:rsidP="00FE2C7C">
      <w:pPr>
        <w:spacing w:line="480" w:lineRule="auto"/>
        <w:jc w:val="both"/>
        <w:rPr>
          <w:rFonts w:ascii="Times New Roman" w:hAnsi="Times New Roman" w:cs="Times New Roman"/>
          <w:b/>
          <w:bCs/>
          <w:sz w:val="24"/>
          <w:szCs w:val="24"/>
          <w:lang w:val="en-GB"/>
        </w:rPr>
      </w:pPr>
    </w:p>
    <w:p w14:paraId="25CA340A" w14:textId="77777777" w:rsidR="00EC4D2C" w:rsidRPr="00FE2C7C" w:rsidRDefault="00EC4D2C" w:rsidP="00FE2C7C">
      <w:pPr>
        <w:spacing w:line="480" w:lineRule="auto"/>
        <w:jc w:val="both"/>
        <w:rPr>
          <w:rFonts w:ascii="Times New Roman" w:hAnsi="Times New Roman" w:cs="Times New Roman"/>
          <w:sz w:val="24"/>
          <w:szCs w:val="24"/>
          <w:lang w:val="en-GB"/>
        </w:rPr>
      </w:pPr>
    </w:p>
    <w:p w14:paraId="593B1BAE" w14:textId="77777777" w:rsidR="008A4C61" w:rsidRPr="00FE2C7C" w:rsidRDefault="008A4C61" w:rsidP="00FE2C7C">
      <w:pPr>
        <w:spacing w:line="480" w:lineRule="auto"/>
        <w:jc w:val="both"/>
        <w:rPr>
          <w:rFonts w:ascii="Times New Roman" w:hAnsi="Times New Roman" w:cs="Times New Roman"/>
          <w:sz w:val="24"/>
          <w:szCs w:val="24"/>
        </w:rPr>
      </w:pPr>
    </w:p>
    <w:p w14:paraId="4BA1B6F4" w14:textId="77777777" w:rsidR="005E1A1C" w:rsidRPr="00FE2C7C" w:rsidRDefault="005E1A1C" w:rsidP="00FE2C7C">
      <w:pPr>
        <w:spacing w:line="480" w:lineRule="auto"/>
        <w:jc w:val="both"/>
        <w:rPr>
          <w:rFonts w:ascii="Times New Roman" w:hAnsi="Times New Roman" w:cs="Times New Roman"/>
          <w:sz w:val="24"/>
          <w:szCs w:val="24"/>
        </w:rPr>
      </w:pPr>
    </w:p>
    <w:p w14:paraId="15F49931" w14:textId="77777777" w:rsidR="0036364F" w:rsidRPr="00FE2C7C" w:rsidRDefault="00000000" w:rsidP="00FE2C7C">
      <w:pPr>
        <w:spacing w:line="480" w:lineRule="auto"/>
        <w:rPr>
          <w:rFonts w:ascii="Times New Roman" w:hAnsi="Times New Roman" w:cs="Times New Roman"/>
          <w:sz w:val="24"/>
          <w:szCs w:val="24"/>
          <w:lang w:val="en-GB"/>
        </w:rPr>
      </w:pPr>
      <w:r w:rsidRPr="00FE2C7C">
        <w:rPr>
          <w:rFonts w:ascii="Times New Roman" w:hAnsi="Times New Roman" w:cs="Times New Roman"/>
          <w:sz w:val="24"/>
          <w:szCs w:val="24"/>
          <w:lang w:val="en-GB"/>
        </w:rPr>
        <w:br w:type="page"/>
      </w:r>
    </w:p>
    <w:p w14:paraId="63A5AB84" w14:textId="77777777" w:rsidR="0068474D" w:rsidRPr="00FE2C7C" w:rsidRDefault="00000000" w:rsidP="00FE2C7C">
      <w:pPr>
        <w:pStyle w:val="Heading1"/>
        <w:rPr>
          <w:rFonts w:cs="Times New Roman"/>
          <w:szCs w:val="24"/>
          <w:lang w:val="en-GB"/>
        </w:rPr>
      </w:pPr>
      <w:bookmarkStart w:id="6" w:name="_Toc120544713"/>
      <w:r w:rsidRPr="00FE2C7C">
        <w:rPr>
          <w:rFonts w:cs="Times New Roman"/>
          <w:szCs w:val="24"/>
          <w:lang w:val="en-GB"/>
        </w:rPr>
        <w:lastRenderedPageBreak/>
        <w:t>References</w:t>
      </w:r>
      <w:bookmarkEnd w:id="6"/>
    </w:p>
    <w:p w14:paraId="65B1C210" w14:textId="77777777" w:rsidR="009052B1" w:rsidRPr="00FE2C7C" w:rsidRDefault="009052B1" w:rsidP="00FE2C7C">
      <w:pPr>
        <w:spacing w:line="480" w:lineRule="auto"/>
        <w:ind w:left="709" w:hanging="709"/>
        <w:jc w:val="both"/>
        <w:rPr>
          <w:rFonts w:ascii="Times New Roman" w:hAnsi="Times New Roman" w:cs="Times New Roman"/>
          <w:color w:val="222222"/>
          <w:sz w:val="24"/>
          <w:szCs w:val="24"/>
          <w:shd w:val="clear" w:color="auto" w:fill="FFFFFF"/>
        </w:rPr>
      </w:pPr>
      <w:r w:rsidRPr="00FE2C7C">
        <w:rPr>
          <w:rFonts w:ascii="Times New Roman" w:hAnsi="Times New Roman" w:cs="Times New Roman"/>
          <w:color w:val="222222"/>
          <w:sz w:val="24"/>
          <w:szCs w:val="24"/>
          <w:shd w:val="clear" w:color="auto" w:fill="FFFFFF"/>
        </w:rPr>
        <w:t>Agyei-Boapeah, H., Machokoto, M., Amankwah-Amoah, J., Tunyi, A. and Fosu, S. 2020. IFRS adoption and firm value: African evidence. </w:t>
      </w:r>
      <w:r w:rsidRPr="00FE2C7C">
        <w:rPr>
          <w:rFonts w:ascii="Times New Roman" w:hAnsi="Times New Roman" w:cs="Times New Roman"/>
          <w:i/>
          <w:iCs/>
          <w:color w:val="222222"/>
          <w:sz w:val="24"/>
          <w:szCs w:val="24"/>
          <w:shd w:val="clear" w:color="auto" w:fill="FFFFFF"/>
        </w:rPr>
        <w:t>Accounting Forum</w:t>
      </w:r>
      <w:r w:rsidRPr="00FE2C7C">
        <w:rPr>
          <w:rFonts w:ascii="Times New Roman" w:hAnsi="Times New Roman" w:cs="Times New Roman"/>
          <w:color w:val="222222"/>
          <w:sz w:val="24"/>
          <w:szCs w:val="24"/>
          <w:shd w:val="clear" w:color="auto" w:fill="FFFFFF"/>
        </w:rPr>
        <w:t xml:space="preserve"> 44(3), pp. 238-261.</w:t>
      </w:r>
    </w:p>
    <w:p w14:paraId="6F6EDB38" w14:textId="77777777" w:rsidR="009052B1" w:rsidRPr="00FE2C7C" w:rsidRDefault="009052B1" w:rsidP="00FE2C7C">
      <w:pPr>
        <w:spacing w:line="480" w:lineRule="auto"/>
        <w:ind w:left="709" w:hanging="709"/>
        <w:jc w:val="both"/>
        <w:rPr>
          <w:rFonts w:ascii="Times New Roman" w:hAnsi="Times New Roman" w:cs="Times New Roman"/>
          <w:sz w:val="24"/>
          <w:szCs w:val="24"/>
        </w:rPr>
      </w:pPr>
      <w:r w:rsidRPr="00FE2C7C">
        <w:rPr>
          <w:rFonts w:ascii="Times New Roman" w:hAnsi="Times New Roman" w:cs="Times New Roman"/>
          <w:color w:val="222222"/>
          <w:sz w:val="24"/>
          <w:szCs w:val="24"/>
          <w:shd w:val="clear" w:color="auto" w:fill="FFFFFF"/>
        </w:rPr>
        <w:t xml:space="preserve">Ahmad, M.J., Ahmad, M.M. and Ajmal, M. 2019. </w:t>
      </w:r>
      <w:r w:rsidRPr="00FE2C7C">
        <w:rPr>
          <w:rFonts w:ascii="Times New Roman" w:hAnsi="Times New Roman" w:cs="Times New Roman"/>
          <w:sz w:val="24"/>
          <w:szCs w:val="24"/>
        </w:rPr>
        <w:t>Barriers in Adoption of IFRS in Developed and Developing Economies: TIFS Framework</w:t>
      </w:r>
      <w:r w:rsidRPr="00FE2C7C">
        <w:rPr>
          <w:rFonts w:ascii="Times New Roman" w:hAnsi="Times New Roman" w:cs="Times New Roman"/>
          <w:i/>
          <w:iCs/>
          <w:sz w:val="24"/>
          <w:szCs w:val="24"/>
        </w:rPr>
        <w:t>. International Journal of Recent Technology and Engineering (IJRTE)</w:t>
      </w:r>
      <w:r w:rsidRPr="00FE2C7C">
        <w:rPr>
          <w:rFonts w:ascii="Times New Roman" w:hAnsi="Times New Roman" w:cs="Times New Roman"/>
          <w:sz w:val="24"/>
          <w:szCs w:val="24"/>
        </w:rPr>
        <w:t xml:space="preserve"> 8(4), pp. 506-512.</w:t>
      </w:r>
    </w:p>
    <w:p w14:paraId="0ADCD368" w14:textId="77777777" w:rsidR="009052B1" w:rsidRPr="00FE2C7C" w:rsidRDefault="009052B1" w:rsidP="00FE2C7C">
      <w:pPr>
        <w:spacing w:line="480" w:lineRule="auto"/>
        <w:ind w:left="709" w:hanging="709"/>
        <w:jc w:val="both"/>
        <w:rPr>
          <w:rFonts w:ascii="Times New Roman" w:hAnsi="Times New Roman" w:cs="Times New Roman"/>
          <w:color w:val="222222"/>
          <w:sz w:val="24"/>
          <w:szCs w:val="24"/>
          <w:shd w:val="clear" w:color="auto" w:fill="FFFFFF"/>
        </w:rPr>
      </w:pPr>
      <w:r w:rsidRPr="00FE2C7C">
        <w:rPr>
          <w:rFonts w:ascii="Times New Roman" w:hAnsi="Times New Roman" w:cs="Times New Roman"/>
          <w:color w:val="222222"/>
          <w:sz w:val="24"/>
          <w:szCs w:val="24"/>
          <w:shd w:val="clear" w:color="auto" w:fill="FFFFFF"/>
        </w:rPr>
        <w:t>Burnett, B.M., Gordon, E.A., Jorgensen, B.N. and Linthicum, C.L. 2015. Earnings quality: Evidence from Canadian firms' choice between IFRS and US GAAP. </w:t>
      </w:r>
      <w:r w:rsidRPr="00FE2C7C">
        <w:rPr>
          <w:rFonts w:ascii="Times New Roman" w:hAnsi="Times New Roman" w:cs="Times New Roman"/>
          <w:i/>
          <w:iCs/>
          <w:color w:val="222222"/>
          <w:sz w:val="24"/>
          <w:szCs w:val="24"/>
          <w:shd w:val="clear" w:color="auto" w:fill="FFFFFF"/>
        </w:rPr>
        <w:t>Accounting Perspectives</w:t>
      </w:r>
      <w:r w:rsidRPr="00FE2C7C">
        <w:rPr>
          <w:rFonts w:ascii="Times New Roman" w:hAnsi="Times New Roman" w:cs="Times New Roman"/>
          <w:color w:val="222222"/>
          <w:sz w:val="24"/>
          <w:szCs w:val="24"/>
          <w:shd w:val="clear" w:color="auto" w:fill="FFFFFF"/>
        </w:rPr>
        <w:t> 14(3), pp. 212-249.</w:t>
      </w:r>
    </w:p>
    <w:p w14:paraId="54A6EB29" w14:textId="49851B1A" w:rsidR="009052B1" w:rsidRPr="00FE2C7C" w:rsidRDefault="009052B1" w:rsidP="00FE2C7C">
      <w:pPr>
        <w:spacing w:line="480" w:lineRule="auto"/>
        <w:ind w:left="709" w:hanging="709"/>
        <w:jc w:val="both"/>
        <w:rPr>
          <w:rFonts w:ascii="Times New Roman" w:hAnsi="Times New Roman" w:cs="Times New Roman"/>
          <w:sz w:val="24"/>
          <w:szCs w:val="24"/>
        </w:rPr>
      </w:pPr>
      <w:r w:rsidRPr="00FE2C7C">
        <w:rPr>
          <w:rFonts w:ascii="Times New Roman" w:hAnsi="Times New Roman" w:cs="Times New Roman"/>
          <w:sz w:val="24"/>
          <w:szCs w:val="24"/>
          <w:lang w:val="en-GB"/>
        </w:rPr>
        <w:t xml:space="preserve">Cai, F. and Wong, H. 2010. </w:t>
      </w:r>
      <w:r w:rsidRPr="00FE2C7C">
        <w:rPr>
          <w:rFonts w:ascii="Times New Roman" w:hAnsi="Times New Roman" w:cs="Times New Roman"/>
          <w:sz w:val="24"/>
          <w:szCs w:val="24"/>
        </w:rPr>
        <w:t xml:space="preserve">The Effect </w:t>
      </w:r>
      <w:r w:rsidR="00173B00" w:rsidRPr="00FE2C7C">
        <w:rPr>
          <w:rFonts w:ascii="Times New Roman" w:hAnsi="Times New Roman" w:cs="Times New Roman"/>
          <w:sz w:val="24"/>
          <w:szCs w:val="24"/>
        </w:rPr>
        <w:t>of</w:t>
      </w:r>
      <w:r w:rsidRPr="00FE2C7C">
        <w:rPr>
          <w:rFonts w:ascii="Times New Roman" w:hAnsi="Times New Roman" w:cs="Times New Roman"/>
          <w:sz w:val="24"/>
          <w:szCs w:val="24"/>
        </w:rPr>
        <w:t xml:space="preserve"> IFRS Adoption </w:t>
      </w:r>
      <w:r w:rsidR="00173B00" w:rsidRPr="00FE2C7C">
        <w:rPr>
          <w:rFonts w:ascii="Times New Roman" w:hAnsi="Times New Roman" w:cs="Times New Roman"/>
          <w:sz w:val="24"/>
          <w:szCs w:val="24"/>
        </w:rPr>
        <w:t>on</w:t>
      </w:r>
      <w:r w:rsidRPr="00FE2C7C">
        <w:rPr>
          <w:rFonts w:ascii="Times New Roman" w:hAnsi="Times New Roman" w:cs="Times New Roman"/>
          <w:sz w:val="24"/>
          <w:szCs w:val="24"/>
        </w:rPr>
        <w:t xml:space="preserve"> Global Market Integration. </w:t>
      </w:r>
      <w:r w:rsidRPr="00FE2C7C">
        <w:rPr>
          <w:rFonts w:ascii="Times New Roman" w:hAnsi="Times New Roman" w:cs="Times New Roman"/>
          <w:i/>
          <w:iCs/>
          <w:sz w:val="24"/>
          <w:szCs w:val="24"/>
        </w:rPr>
        <w:t>International Business &amp; Economics Research Journal</w:t>
      </w:r>
      <w:r w:rsidRPr="00FE2C7C">
        <w:rPr>
          <w:rFonts w:ascii="Times New Roman" w:hAnsi="Times New Roman" w:cs="Times New Roman"/>
          <w:sz w:val="24"/>
          <w:szCs w:val="24"/>
        </w:rPr>
        <w:t xml:space="preserve"> 9(10), pp. 25-34. </w:t>
      </w:r>
    </w:p>
    <w:p w14:paraId="22986E72" w14:textId="77777777" w:rsidR="009052B1" w:rsidRPr="00FE2C7C" w:rsidRDefault="009052B1" w:rsidP="00FE2C7C">
      <w:pPr>
        <w:spacing w:line="480" w:lineRule="auto"/>
        <w:ind w:left="709" w:hanging="709"/>
        <w:jc w:val="both"/>
        <w:rPr>
          <w:rFonts w:ascii="Times New Roman" w:hAnsi="Times New Roman" w:cs="Times New Roman"/>
          <w:color w:val="222222"/>
          <w:sz w:val="24"/>
          <w:szCs w:val="24"/>
          <w:shd w:val="clear" w:color="auto" w:fill="FFFFFF"/>
        </w:rPr>
      </w:pPr>
      <w:r w:rsidRPr="00FE2C7C">
        <w:rPr>
          <w:rFonts w:ascii="Times New Roman" w:hAnsi="Times New Roman" w:cs="Times New Roman"/>
          <w:color w:val="222222"/>
          <w:sz w:val="24"/>
          <w:szCs w:val="24"/>
          <w:shd w:val="clear" w:color="auto" w:fill="FFFFFF"/>
        </w:rPr>
        <w:t>Capkun, V., Collins, D. and Jeanjean, T. 2016. The effect of IAS/IFRS adoption on earnings management (smoothing): A closer look at competing explanations. </w:t>
      </w:r>
      <w:r w:rsidRPr="00FE2C7C">
        <w:rPr>
          <w:rFonts w:ascii="Times New Roman" w:hAnsi="Times New Roman" w:cs="Times New Roman"/>
          <w:i/>
          <w:iCs/>
          <w:color w:val="222222"/>
          <w:sz w:val="24"/>
          <w:szCs w:val="24"/>
          <w:shd w:val="clear" w:color="auto" w:fill="FFFFFF"/>
        </w:rPr>
        <w:t>Journal of Accounting and Public Policy</w:t>
      </w:r>
      <w:r w:rsidRPr="00FE2C7C">
        <w:rPr>
          <w:rFonts w:ascii="Times New Roman" w:hAnsi="Times New Roman" w:cs="Times New Roman"/>
          <w:color w:val="222222"/>
          <w:sz w:val="24"/>
          <w:szCs w:val="24"/>
          <w:shd w:val="clear" w:color="auto" w:fill="FFFFFF"/>
        </w:rPr>
        <w:t> 35(4), pp. 352-394.</w:t>
      </w:r>
    </w:p>
    <w:p w14:paraId="4CD1CA21" w14:textId="77777777" w:rsidR="009052B1" w:rsidRPr="00FE2C7C" w:rsidRDefault="009052B1" w:rsidP="00FE2C7C">
      <w:pPr>
        <w:spacing w:line="480" w:lineRule="auto"/>
        <w:ind w:left="709" w:hanging="709"/>
        <w:jc w:val="both"/>
        <w:rPr>
          <w:rFonts w:ascii="Times New Roman" w:hAnsi="Times New Roman" w:cs="Times New Roman"/>
          <w:sz w:val="24"/>
          <w:szCs w:val="24"/>
          <w:lang w:val="en-GB"/>
        </w:rPr>
      </w:pPr>
      <w:r w:rsidRPr="00FE2C7C">
        <w:rPr>
          <w:rFonts w:ascii="Times New Roman" w:hAnsi="Times New Roman" w:cs="Times New Roman"/>
          <w:sz w:val="24"/>
          <w:szCs w:val="24"/>
          <w:lang w:val="en-GB"/>
        </w:rPr>
        <w:t xml:space="preserve">CFI. 2022. What are IFRS Standards? [Online]. Available at: </w:t>
      </w:r>
      <w:hyperlink r:id="rId9" w:history="1">
        <w:r w:rsidRPr="00FE2C7C">
          <w:rPr>
            <w:rStyle w:val="Hyperlink"/>
            <w:rFonts w:ascii="Times New Roman" w:hAnsi="Times New Roman" w:cs="Times New Roman"/>
            <w:sz w:val="24"/>
            <w:szCs w:val="24"/>
            <w:lang w:val="en-GB"/>
          </w:rPr>
          <w:t>https://corporatefinanceinstitute.com/resources/accounting/what-are-ifrs-standards/</w:t>
        </w:r>
      </w:hyperlink>
      <w:r w:rsidRPr="00FE2C7C">
        <w:rPr>
          <w:rFonts w:ascii="Times New Roman" w:hAnsi="Times New Roman" w:cs="Times New Roman"/>
          <w:sz w:val="24"/>
          <w:szCs w:val="24"/>
          <w:lang w:val="en-GB"/>
        </w:rPr>
        <w:t xml:space="preserve"> [Accessed on: 28 November 2022]. </w:t>
      </w:r>
    </w:p>
    <w:p w14:paraId="27442F1A" w14:textId="77777777" w:rsidR="009052B1" w:rsidRPr="00FE2C7C" w:rsidRDefault="009052B1" w:rsidP="00FE2C7C">
      <w:pPr>
        <w:spacing w:line="480" w:lineRule="auto"/>
        <w:ind w:left="709" w:hanging="709"/>
        <w:jc w:val="both"/>
        <w:rPr>
          <w:rFonts w:ascii="Times New Roman" w:hAnsi="Times New Roman" w:cs="Times New Roman"/>
          <w:color w:val="222222"/>
          <w:sz w:val="24"/>
          <w:szCs w:val="24"/>
          <w:shd w:val="clear" w:color="auto" w:fill="FFFFFF"/>
        </w:rPr>
      </w:pPr>
      <w:r w:rsidRPr="00FE2C7C">
        <w:rPr>
          <w:rFonts w:ascii="Times New Roman" w:hAnsi="Times New Roman" w:cs="Times New Roman"/>
          <w:color w:val="222222"/>
          <w:sz w:val="24"/>
          <w:szCs w:val="24"/>
          <w:shd w:val="clear" w:color="auto" w:fill="FFFFFF"/>
        </w:rPr>
        <w:t>De George, E.T., Li, X. and Shivakumar, L. 2016. A review of the IFRS adoption literature. </w:t>
      </w:r>
      <w:r w:rsidRPr="00FE2C7C">
        <w:rPr>
          <w:rFonts w:ascii="Times New Roman" w:hAnsi="Times New Roman" w:cs="Times New Roman"/>
          <w:i/>
          <w:iCs/>
          <w:color w:val="222222"/>
          <w:sz w:val="24"/>
          <w:szCs w:val="24"/>
          <w:shd w:val="clear" w:color="auto" w:fill="FFFFFF"/>
        </w:rPr>
        <w:t>Review of accounting studies</w:t>
      </w:r>
      <w:r w:rsidRPr="00FE2C7C">
        <w:rPr>
          <w:rFonts w:ascii="Times New Roman" w:hAnsi="Times New Roman" w:cs="Times New Roman"/>
          <w:color w:val="222222"/>
          <w:sz w:val="24"/>
          <w:szCs w:val="24"/>
          <w:shd w:val="clear" w:color="auto" w:fill="FFFFFF"/>
        </w:rPr>
        <w:t> 21(3), pp. 898-1004.</w:t>
      </w:r>
    </w:p>
    <w:p w14:paraId="7DCFCD7C" w14:textId="77777777" w:rsidR="009052B1" w:rsidRPr="00FE2C7C" w:rsidRDefault="009052B1" w:rsidP="00FE2C7C">
      <w:pPr>
        <w:spacing w:line="480" w:lineRule="auto"/>
        <w:ind w:left="709" w:hanging="709"/>
        <w:jc w:val="both"/>
        <w:rPr>
          <w:rFonts w:ascii="Times New Roman" w:hAnsi="Times New Roman" w:cs="Times New Roman"/>
          <w:sz w:val="24"/>
          <w:szCs w:val="24"/>
        </w:rPr>
      </w:pPr>
      <w:r w:rsidRPr="00FE2C7C">
        <w:rPr>
          <w:rFonts w:ascii="Times New Roman" w:hAnsi="Times New Roman" w:cs="Times New Roman"/>
          <w:sz w:val="24"/>
          <w:szCs w:val="24"/>
        </w:rPr>
        <w:t xml:space="preserve">Deloitte. 2022. IASB due process. [Online]. Available at: </w:t>
      </w:r>
      <w:hyperlink r:id="rId10" w:history="1">
        <w:r w:rsidRPr="00FE2C7C">
          <w:rPr>
            <w:rStyle w:val="Hyperlink"/>
            <w:rFonts w:ascii="Times New Roman" w:hAnsi="Times New Roman" w:cs="Times New Roman"/>
            <w:sz w:val="24"/>
            <w:szCs w:val="24"/>
          </w:rPr>
          <w:t>https://www.iasplus.com/en/resources/ifrsf/due-process/iasb-due-process</w:t>
        </w:r>
      </w:hyperlink>
      <w:r w:rsidRPr="00FE2C7C">
        <w:rPr>
          <w:rFonts w:ascii="Times New Roman" w:hAnsi="Times New Roman" w:cs="Times New Roman"/>
          <w:sz w:val="24"/>
          <w:szCs w:val="24"/>
        </w:rPr>
        <w:t xml:space="preserve"> [Accessed on: 28 November 2022]. </w:t>
      </w:r>
    </w:p>
    <w:p w14:paraId="280B1478" w14:textId="77777777" w:rsidR="009052B1" w:rsidRPr="00FE2C7C" w:rsidRDefault="009052B1" w:rsidP="00FE2C7C">
      <w:pPr>
        <w:spacing w:line="480" w:lineRule="auto"/>
        <w:ind w:left="709" w:hanging="709"/>
        <w:jc w:val="both"/>
        <w:rPr>
          <w:rFonts w:ascii="Times New Roman" w:hAnsi="Times New Roman" w:cs="Times New Roman"/>
          <w:sz w:val="24"/>
          <w:szCs w:val="24"/>
          <w:lang w:val="en-GB"/>
        </w:rPr>
      </w:pPr>
      <w:r w:rsidRPr="00FE2C7C">
        <w:rPr>
          <w:rFonts w:ascii="Times New Roman" w:hAnsi="Times New Roman" w:cs="Times New Roman"/>
          <w:sz w:val="24"/>
          <w:szCs w:val="24"/>
          <w:lang w:val="en-GB"/>
        </w:rPr>
        <w:lastRenderedPageBreak/>
        <w:t xml:space="preserve">Donnelly, D. 2022. What are International Accounting Standards (IAS)? [Online]. Available at: </w:t>
      </w:r>
      <w:hyperlink r:id="rId11" w:history="1">
        <w:r w:rsidRPr="00FE2C7C">
          <w:rPr>
            <w:rStyle w:val="Hyperlink"/>
            <w:rFonts w:ascii="Times New Roman" w:hAnsi="Times New Roman" w:cs="Times New Roman"/>
            <w:sz w:val="24"/>
            <w:szCs w:val="24"/>
            <w:lang w:val="en-GB"/>
          </w:rPr>
          <w:t>https://nhglobalpartners.com/international-accounting-standards/</w:t>
        </w:r>
      </w:hyperlink>
      <w:r w:rsidRPr="00FE2C7C">
        <w:rPr>
          <w:rFonts w:ascii="Times New Roman" w:hAnsi="Times New Roman" w:cs="Times New Roman"/>
          <w:sz w:val="24"/>
          <w:szCs w:val="24"/>
          <w:lang w:val="en-GB"/>
        </w:rPr>
        <w:t xml:space="preserve"> [Accessed on: 28 November 2022].</w:t>
      </w:r>
    </w:p>
    <w:p w14:paraId="4C1D1456" w14:textId="77777777" w:rsidR="009052B1" w:rsidRPr="00FE2C7C" w:rsidRDefault="009052B1" w:rsidP="00FE2C7C">
      <w:pPr>
        <w:spacing w:line="480" w:lineRule="auto"/>
        <w:ind w:left="709" w:hanging="709"/>
        <w:rPr>
          <w:rFonts w:ascii="Times New Roman" w:hAnsi="Times New Roman" w:cs="Times New Roman"/>
          <w:sz w:val="24"/>
          <w:szCs w:val="24"/>
        </w:rPr>
      </w:pPr>
      <w:r w:rsidRPr="00FE2C7C">
        <w:rPr>
          <w:rFonts w:ascii="Times New Roman" w:hAnsi="Times New Roman" w:cs="Times New Roman"/>
          <w:sz w:val="24"/>
          <w:szCs w:val="24"/>
        </w:rPr>
        <w:t xml:space="preserve">Elliott, B. and Elliott, J. 2015. </w:t>
      </w:r>
      <w:r w:rsidRPr="00FE2C7C">
        <w:rPr>
          <w:rFonts w:ascii="Times New Roman" w:hAnsi="Times New Roman" w:cs="Times New Roman"/>
          <w:i/>
          <w:iCs/>
          <w:sz w:val="24"/>
          <w:szCs w:val="24"/>
        </w:rPr>
        <w:t>(17</w:t>
      </w:r>
      <w:r w:rsidRPr="00FE2C7C">
        <w:rPr>
          <w:rFonts w:ascii="Times New Roman" w:hAnsi="Times New Roman" w:cs="Times New Roman"/>
          <w:i/>
          <w:iCs/>
          <w:sz w:val="24"/>
          <w:szCs w:val="24"/>
          <w:vertAlign w:val="superscript"/>
        </w:rPr>
        <w:t>th</w:t>
      </w:r>
      <w:r w:rsidRPr="00FE2C7C">
        <w:rPr>
          <w:rFonts w:ascii="Times New Roman" w:hAnsi="Times New Roman" w:cs="Times New Roman"/>
          <w:i/>
          <w:iCs/>
          <w:sz w:val="24"/>
          <w:szCs w:val="24"/>
        </w:rPr>
        <w:t xml:space="preserve"> Ed) Financial Accounting &amp; Reporting</w:t>
      </w:r>
      <w:r w:rsidRPr="00FE2C7C">
        <w:rPr>
          <w:rFonts w:ascii="Times New Roman" w:hAnsi="Times New Roman" w:cs="Times New Roman"/>
          <w:sz w:val="24"/>
          <w:szCs w:val="24"/>
        </w:rPr>
        <w:t>. London: Financial Times, Prentice Hall.</w:t>
      </w:r>
    </w:p>
    <w:p w14:paraId="12A211CB" w14:textId="77777777" w:rsidR="009052B1" w:rsidRPr="00FE2C7C" w:rsidRDefault="009052B1" w:rsidP="00FE2C7C">
      <w:pPr>
        <w:spacing w:line="480" w:lineRule="auto"/>
        <w:ind w:left="709" w:hanging="709"/>
        <w:jc w:val="both"/>
        <w:rPr>
          <w:rFonts w:ascii="Times New Roman" w:hAnsi="Times New Roman" w:cs="Times New Roman"/>
          <w:sz w:val="24"/>
          <w:szCs w:val="24"/>
        </w:rPr>
      </w:pPr>
      <w:r w:rsidRPr="00FE2C7C">
        <w:rPr>
          <w:rFonts w:ascii="Times New Roman" w:hAnsi="Times New Roman" w:cs="Times New Roman"/>
          <w:sz w:val="24"/>
          <w:szCs w:val="24"/>
        </w:rPr>
        <w:t xml:space="preserve">FRC. 2018. Thematic Review – Disclosures relating to the implementation of IFRS 16 within 2019 interim accounts. [Online]. Available at: </w:t>
      </w:r>
      <w:hyperlink r:id="rId12" w:history="1">
        <w:r w:rsidRPr="00FE2C7C">
          <w:rPr>
            <w:rStyle w:val="Hyperlink"/>
            <w:rFonts w:ascii="Times New Roman" w:hAnsi="Times New Roman" w:cs="Times New Roman"/>
            <w:sz w:val="24"/>
            <w:szCs w:val="24"/>
          </w:rPr>
          <w:t>https://www.frc.org.uk/getattachment/287f1769-0e52-4dc0-b709-6eaa400d146b/IFRS16-New.pdf</w:t>
        </w:r>
      </w:hyperlink>
      <w:r w:rsidRPr="00FE2C7C">
        <w:rPr>
          <w:rFonts w:ascii="Times New Roman" w:hAnsi="Times New Roman" w:cs="Times New Roman"/>
          <w:sz w:val="24"/>
          <w:szCs w:val="24"/>
        </w:rPr>
        <w:t xml:space="preserve"> [Accessed on: 28 November 2022].</w:t>
      </w:r>
    </w:p>
    <w:p w14:paraId="6E915775" w14:textId="77777777" w:rsidR="009052B1" w:rsidRPr="00FE2C7C" w:rsidRDefault="009052B1" w:rsidP="00FE2C7C">
      <w:pPr>
        <w:spacing w:line="480" w:lineRule="auto"/>
        <w:ind w:left="709" w:hanging="709"/>
        <w:jc w:val="both"/>
        <w:rPr>
          <w:rFonts w:ascii="Times New Roman" w:hAnsi="Times New Roman" w:cs="Times New Roman"/>
          <w:sz w:val="24"/>
          <w:szCs w:val="24"/>
          <w:lang w:val="en-GB"/>
        </w:rPr>
      </w:pPr>
      <w:r w:rsidRPr="00FE2C7C">
        <w:rPr>
          <w:rFonts w:ascii="Times New Roman" w:hAnsi="Times New Roman" w:cs="Times New Roman"/>
          <w:sz w:val="24"/>
          <w:szCs w:val="24"/>
          <w:lang w:val="en-GB"/>
        </w:rPr>
        <w:t xml:space="preserve">Gokten, S. 2017. </w:t>
      </w:r>
      <w:r w:rsidRPr="00FE2C7C">
        <w:rPr>
          <w:rFonts w:ascii="Times New Roman" w:hAnsi="Times New Roman" w:cs="Times New Roman"/>
          <w:i/>
          <w:iCs/>
          <w:sz w:val="24"/>
          <w:szCs w:val="24"/>
          <w:lang w:val="en-GB"/>
        </w:rPr>
        <w:t>Accounting and Corporate Reporting: Today and Tomorrow.</w:t>
      </w:r>
      <w:r w:rsidRPr="00FE2C7C">
        <w:rPr>
          <w:rFonts w:ascii="Times New Roman" w:hAnsi="Times New Roman" w:cs="Times New Roman"/>
          <w:sz w:val="24"/>
          <w:szCs w:val="24"/>
          <w:lang w:val="en-GB"/>
        </w:rPr>
        <w:t> Berlin: IntechOpen.</w:t>
      </w:r>
    </w:p>
    <w:p w14:paraId="58D524FB" w14:textId="77777777" w:rsidR="009052B1" w:rsidRPr="00FE2C7C" w:rsidRDefault="009052B1" w:rsidP="00FE2C7C">
      <w:pPr>
        <w:spacing w:line="480" w:lineRule="auto"/>
        <w:ind w:left="709" w:hanging="709"/>
        <w:jc w:val="both"/>
        <w:rPr>
          <w:rFonts w:ascii="Times New Roman" w:hAnsi="Times New Roman" w:cs="Times New Roman"/>
          <w:sz w:val="24"/>
          <w:szCs w:val="24"/>
        </w:rPr>
      </w:pPr>
      <w:r w:rsidRPr="00FE2C7C">
        <w:rPr>
          <w:rFonts w:ascii="Times New Roman" w:hAnsi="Times New Roman" w:cs="Times New Roman"/>
          <w:color w:val="222222"/>
          <w:sz w:val="24"/>
          <w:szCs w:val="24"/>
          <w:shd w:val="clear" w:color="auto" w:fill="FFFFFF"/>
        </w:rPr>
        <w:t xml:space="preserve">IFRS. 2020. </w:t>
      </w:r>
      <w:r w:rsidRPr="00FE2C7C">
        <w:rPr>
          <w:rFonts w:ascii="Times New Roman" w:hAnsi="Times New Roman" w:cs="Times New Roman"/>
          <w:sz w:val="24"/>
          <w:szCs w:val="24"/>
        </w:rPr>
        <w:t xml:space="preserve">Due Process Handbook. [Online]. Available at: </w:t>
      </w:r>
      <w:hyperlink r:id="rId13" w:history="1">
        <w:r w:rsidRPr="00FE2C7C">
          <w:rPr>
            <w:rStyle w:val="Hyperlink"/>
            <w:rFonts w:ascii="Times New Roman" w:hAnsi="Times New Roman" w:cs="Times New Roman"/>
            <w:sz w:val="24"/>
            <w:szCs w:val="24"/>
          </w:rPr>
          <w:t>https://www.ifrs.org/content/dam/ifrs/about-us/legal-and-governance/constitution-docs/due-process-handbook-2020.pdf</w:t>
        </w:r>
      </w:hyperlink>
      <w:r w:rsidRPr="00FE2C7C">
        <w:rPr>
          <w:rFonts w:ascii="Times New Roman" w:hAnsi="Times New Roman" w:cs="Times New Roman"/>
          <w:sz w:val="24"/>
          <w:szCs w:val="24"/>
        </w:rPr>
        <w:t xml:space="preserve"> [Accessed on: 28 November 2022].</w:t>
      </w:r>
    </w:p>
    <w:p w14:paraId="03F8863B" w14:textId="77777777" w:rsidR="009052B1" w:rsidRPr="00FE2C7C" w:rsidRDefault="009052B1" w:rsidP="00FE2C7C">
      <w:pPr>
        <w:spacing w:line="480" w:lineRule="auto"/>
        <w:ind w:left="709" w:hanging="709"/>
        <w:jc w:val="both"/>
        <w:rPr>
          <w:rFonts w:ascii="Times New Roman" w:hAnsi="Times New Roman" w:cs="Times New Roman"/>
          <w:sz w:val="24"/>
          <w:szCs w:val="24"/>
        </w:rPr>
      </w:pPr>
      <w:r w:rsidRPr="00FE2C7C">
        <w:rPr>
          <w:rFonts w:ascii="Times New Roman" w:hAnsi="Times New Roman" w:cs="Times New Roman"/>
          <w:sz w:val="24"/>
          <w:szCs w:val="24"/>
        </w:rPr>
        <w:t xml:space="preserve">IFRS. 2022. IFRS 16 Leases. [Online]. Available at: </w:t>
      </w:r>
      <w:hyperlink r:id="rId14" w:anchor="about" w:history="1">
        <w:r w:rsidRPr="00FE2C7C">
          <w:rPr>
            <w:rStyle w:val="Hyperlink"/>
            <w:rFonts w:ascii="Times New Roman" w:hAnsi="Times New Roman" w:cs="Times New Roman"/>
            <w:sz w:val="24"/>
            <w:szCs w:val="24"/>
          </w:rPr>
          <w:t>https://www.ifrs.org/issued-standards/list-of-standards/ifrs-16-leases/#about</w:t>
        </w:r>
      </w:hyperlink>
      <w:r w:rsidRPr="00FE2C7C">
        <w:rPr>
          <w:rFonts w:ascii="Times New Roman" w:hAnsi="Times New Roman" w:cs="Times New Roman"/>
          <w:sz w:val="24"/>
          <w:szCs w:val="24"/>
        </w:rPr>
        <w:t xml:space="preserve"> [Accessed on: 28 November 2022].</w:t>
      </w:r>
    </w:p>
    <w:p w14:paraId="70423F20" w14:textId="77777777" w:rsidR="009052B1" w:rsidRPr="00FE2C7C" w:rsidRDefault="009052B1" w:rsidP="00FE2C7C">
      <w:pPr>
        <w:spacing w:line="480" w:lineRule="auto"/>
        <w:ind w:left="709" w:hanging="709"/>
        <w:jc w:val="both"/>
        <w:rPr>
          <w:rFonts w:ascii="Times New Roman" w:hAnsi="Times New Roman" w:cs="Times New Roman"/>
          <w:sz w:val="24"/>
          <w:szCs w:val="24"/>
          <w:lang w:val="en-GB"/>
        </w:rPr>
      </w:pPr>
      <w:r w:rsidRPr="00FE2C7C">
        <w:rPr>
          <w:rFonts w:ascii="Times New Roman" w:hAnsi="Times New Roman" w:cs="Times New Roman"/>
          <w:sz w:val="24"/>
          <w:szCs w:val="24"/>
          <w:lang w:val="en-GB"/>
        </w:rPr>
        <w:t>Kieso, D.E., Kimmel, P.D. and Weygandt, J.J. 2018. </w:t>
      </w:r>
      <w:r w:rsidRPr="00FE2C7C">
        <w:rPr>
          <w:rFonts w:ascii="Times New Roman" w:hAnsi="Times New Roman" w:cs="Times New Roman"/>
          <w:i/>
          <w:iCs/>
          <w:sz w:val="24"/>
          <w:szCs w:val="24"/>
          <w:lang w:val="en-GB"/>
        </w:rPr>
        <w:t>Financial Accounting with International Financial Reporting Standards</w:t>
      </w:r>
      <w:r w:rsidRPr="00FE2C7C">
        <w:rPr>
          <w:rFonts w:ascii="Times New Roman" w:hAnsi="Times New Roman" w:cs="Times New Roman"/>
          <w:sz w:val="24"/>
          <w:szCs w:val="24"/>
          <w:lang w:val="en-GB"/>
        </w:rPr>
        <w:t>. London: Wiley.</w:t>
      </w:r>
    </w:p>
    <w:p w14:paraId="387CA995" w14:textId="19BB2142" w:rsidR="009052B1" w:rsidRPr="00FE2C7C" w:rsidRDefault="009052B1" w:rsidP="00FE2C7C">
      <w:pPr>
        <w:spacing w:line="480" w:lineRule="auto"/>
        <w:ind w:left="709" w:hanging="709"/>
        <w:jc w:val="both"/>
        <w:rPr>
          <w:rFonts w:ascii="Times New Roman" w:hAnsi="Times New Roman" w:cs="Times New Roman"/>
          <w:color w:val="222222"/>
          <w:sz w:val="24"/>
          <w:szCs w:val="24"/>
          <w:shd w:val="clear" w:color="auto" w:fill="FFFFFF"/>
        </w:rPr>
      </w:pPr>
      <w:r w:rsidRPr="00FE2C7C">
        <w:rPr>
          <w:rFonts w:ascii="Times New Roman" w:hAnsi="Times New Roman" w:cs="Times New Roman"/>
          <w:color w:val="222222"/>
          <w:sz w:val="24"/>
          <w:szCs w:val="24"/>
          <w:shd w:val="clear" w:color="auto" w:fill="FFFFFF"/>
        </w:rPr>
        <w:t xml:space="preserve">Miah, M.S., Jiang, H., Rahman, A. and Stent, W. 2020. </w:t>
      </w:r>
      <w:r w:rsidRPr="00FE2C7C">
        <w:rPr>
          <w:rFonts w:ascii="Times New Roman" w:hAnsi="Times New Roman" w:cs="Times New Roman"/>
          <w:sz w:val="24"/>
          <w:szCs w:val="24"/>
        </w:rPr>
        <w:t xml:space="preserve">The impact of IFRS complexity on analyst forecast properties: The moderating role of </w:t>
      </w:r>
      <w:r w:rsidR="00173B00" w:rsidRPr="00FE2C7C">
        <w:rPr>
          <w:rFonts w:ascii="Times New Roman" w:hAnsi="Times New Roman" w:cs="Times New Roman"/>
          <w:sz w:val="24"/>
          <w:szCs w:val="24"/>
        </w:rPr>
        <w:t>high-quality</w:t>
      </w:r>
      <w:r w:rsidRPr="00FE2C7C">
        <w:rPr>
          <w:rFonts w:ascii="Times New Roman" w:hAnsi="Times New Roman" w:cs="Times New Roman"/>
          <w:sz w:val="24"/>
          <w:szCs w:val="24"/>
        </w:rPr>
        <w:t xml:space="preserve"> audit. </w:t>
      </w:r>
      <w:r w:rsidRPr="00FE2C7C">
        <w:rPr>
          <w:rFonts w:ascii="Times New Roman" w:hAnsi="Times New Roman" w:cs="Times New Roman"/>
          <w:i/>
          <w:iCs/>
          <w:color w:val="222222"/>
          <w:sz w:val="24"/>
          <w:szCs w:val="24"/>
          <w:shd w:val="clear" w:color="auto" w:fill="FFFFFF"/>
        </w:rPr>
        <w:t>International Journal of Finance &amp; Economics</w:t>
      </w:r>
      <w:r w:rsidRPr="00FE2C7C">
        <w:rPr>
          <w:rFonts w:ascii="Times New Roman" w:hAnsi="Times New Roman" w:cs="Times New Roman"/>
          <w:color w:val="222222"/>
          <w:sz w:val="24"/>
          <w:szCs w:val="24"/>
          <w:shd w:val="clear" w:color="auto" w:fill="FFFFFF"/>
        </w:rPr>
        <w:t>, pp. 1-27.</w:t>
      </w:r>
    </w:p>
    <w:p w14:paraId="218295D1" w14:textId="77777777" w:rsidR="009052B1" w:rsidRPr="00FE2C7C" w:rsidRDefault="009052B1" w:rsidP="00FE2C7C">
      <w:pPr>
        <w:spacing w:line="480" w:lineRule="auto"/>
        <w:ind w:left="709" w:hanging="709"/>
        <w:jc w:val="both"/>
        <w:rPr>
          <w:rFonts w:ascii="Times New Roman" w:hAnsi="Times New Roman" w:cs="Times New Roman"/>
          <w:sz w:val="24"/>
          <w:szCs w:val="24"/>
        </w:rPr>
      </w:pPr>
      <w:r w:rsidRPr="00FE2C7C">
        <w:rPr>
          <w:rFonts w:ascii="Times New Roman" w:hAnsi="Times New Roman" w:cs="Times New Roman"/>
          <w:sz w:val="24"/>
          <w:szCs w:val="24"/>
        </w:rPr>
        <w:t xml:space="preserve">Oanh, N. 2022. Advantages and disadvantages of international accounting standards: All you need to know. [Online]. Available at: </w:t>
      </w:r>
      <w:hyperlink r:id="rId15" w:history="1">
        <w:r w:rsidRPr="00FE2C7C">
          <w:rPr>
            <w:rStyle w:val="Hyperlink"/>
            <w:rFonts w:ascii="Times New Roman" w:hAnsi="Times New Roman" w:cs="Times New Roman"/>
            <w:sz w:val="24"/>
            <w:szCs w:val="24"/>
          </w:rPr>
          <w:t>https://www.appvizer.co.uk/magazine/accounting-finance/accounting/advantages-and-disadvantages-of-international-accounting-standards</w:t>
        </w:r>
      </w:hyperlink>
      <w:r w:rsidRPr="00FE2C7C">
        <w:rPr>
          <w:rFonts w:ascii="Times New Roman" w:hAnsi="Times New Roman" w:cs="Times New Roman"/>
          <w:sz w:val="24"/>
          <w:szCs w:val="24"/>
        </w:rPr>
        <w:t xml:space="preserve"> [Accessed on: 28 November 2022].</w:t>
      </w:r>
    </w:p>
    <w:p w14:paraId="29BA40DA" w14:textId="77777777" w:rsidR="009052B1" w:rsidRPr="00FE2C7C" w:rsidRDefault="009052B1" w:rsidP="00FE2C7C">
      <w:pPr>
        <w:spacing w:line="480" w:lineRule="auto"/>
        <w:ind w:left="709" w:hanging="709"/>
        <w:jc w:val="both"/>
        <w:rPr>
          <w:rFonts w:ascii="Times New Roman" w:hAnsi="Times New Roman" w:cs="Times New Roman"/>
          <w:color w:val="222222"/>
          <w:sz w:val="24"/>
          <w:szCs w:val="24"/>
          <w:shd w:val="clear" w:color="auto" w:fill="FFFFFF"/>
        </w:rPr>
      </w:pPr>
      <w:r w:rsidRPr="00FE2C7C">
        <w:rPr>
          <w:rFonts w:ascii="Times New Roman" w:hAnsi="Times New Roman" w:cs="Times New Roman"/>
          <w:color w:val="222222"/>
          <w:sz w:val="24"/>
          <w:szCs w:val="24"/>
          <w:shd w:val="clear" w:color="auto" w:fill="FFFFFF"/>
        </w:rPr>
        <w:t>Pawsey, N.L. 2017, June. IFRS adoption: A costly change that keeps on costing. In </w:t>
      </w:r>
      <w:r w:rsidRPr="00FE2C7C">
        <w:rPr>
          <w:rFonts w:ascii="Times New Roman" w:hAnsi="Times New Roman" w:cs="Times New Roman"/>
          <w:i/>
          <w:iCs/>
          <w:color w:val="222222"/>
          <w:sz w:val="24"/>
          <w:szCs w:val="24"/>
          <w:shd w:val="clear" w:color="auto" w:fill="FFFFFF"/>
        </w:rPr>
        <w:t>Accounting Forum</w:t>
      </w:r>
      <w:r w:rsidRPr="00FE2C7C">
        <w:rPr>
          <w:rFonts w:ascii="Times New Roman" w:hAnsi="Times New Roman" w:cs="Times New Roman"/>
          <w:color w:val="222222"/>
          <w:sz w:val="24"/>
          <w:szCs w:val="24"/>
          <w:shd w:val="clear" w:color="auto" w:fill="FFFFFF"/>
        </w:rPr>
        <w:t>, 41(2), pp. 116-131.</w:t>
      </w:r>
    </w:p>
    <w:p w14:paraId="6956C170" w14:textId="77777777" w:rsidR="009052B1" w:rsidRPr="00FE2C7C" w:rsidRDefault="009052B1" w:rsidP="00FE2C7C">
      <w:pPr>
        <w:spacing w:line="480" w:lineRule="auto"/>
        <w:ind w:left="709" w:hanging="709"/>
        <w:jc w:val="both"/>
        <w:rPr>
          <w:rFonts w:ascii="Times New Roman" w:hAnsi="Times New Roman" w:cs="Times New Roman"/>
          <w:sz w:val="24"/>
          <w:szCs w:val="24"/>
          <w:lang w:val="en-GB"/>
        </w:rPr>
      </w:pPr>
      <w:r w:rsidRPr="00FE2C7C">
        <w:rPr>
          <w:rFonts w:ascii="Times New Roman" w:hAnsi="Times New Roman" w:cs="Times New Roman"/>
          <w:sz w:val="24"/>
          <w:szCs w:val="24"/>
          <w:lang w:val="en-GB"/>
        </w:rPr>
        <w:t>Picker, R., Kolitz, D., Dunn, J., Loftus, J., van der Tas, L., Livne, G. and Clark, K. 2019. </w:t>
      </w:r>
      <w:r w:rsidRPr="00FE2C7C">
        <w:rPr>
          <w:rFonts w:ascii="Times New Roman" w:hAnsi="Times New Roman" w:cs="Times New Roman"/>
          <w:i/>
          <w:iCs/>
          <w:sz w:val="24"/>
          <w:szCs w:val="24"/>
          <w:lang w:val="en-GB"/>
        </w:rPr>
        <w:t>Applying IFRS Standards</w:t>
      </w:r>
      <w:r w:rsidRPr="00FE2C7C">
        <w:rPr>
          <w:rFonts w:ascii="Times New Roman" w:hAnsi="Times New Roman" w:cs="Times New Roman"/>
          <w:sz w:val="24"/>
          <w:szCs w:val="24"/>
          <w:lang w:val="en-GB"/>
        </w:rPr>
        <w:t>. London: Wiley.</w:t>
      </w:r>
    </w:p>
    <w:p w14:paraId="4047C226" w14:textId="77777777" w:rsidR="009052B1" w:rsidRPr="00FE2C7C" w:rsidRDefault="009052B1" w:rsidP="00FE2C7C">
      <w:pPr>
        <w:spacing w:line="480" w:lineRule="auto"/>
        <w:ind w:left="709" w:hanging="709"/>
        <w:jc w:val="both"/>
        <w:rPr>
          <w:rFonts w:ascii="Times New Roman" w:hAnsi="Times New Roman" w:cs="Times New Roman"/>
          <w:color w:val="222222"/>
          <w:sz w:val="24"/>
          <w:szCs w:val="24"/>
          <w:shd w:val="clear" w:color="auto" w:fill="FFFFFF"/>
        </w:rPr>
      </w:pPr>
      <w:r w:rsidRPr="00FE2C7C">
        <w:rPr>
          <w:rFonts w:ascii="Times New Roman" w:hAnsi="Times New Roman" w:cs="Times New Roman"/>
          <w:color w:val="222222"/>
          <w:sz w:val="24"/>
          <w:szCs w:val="24"/>
          <w:shd w:val="clear" w:color="auto" w:fill="FFFFFF"/>
        </w:rPr>
        <w:t>Pratiwi, N., Shalihatulhayah, A. and Mayasari, D. 2015. The influence of political factors on IFRS adoption. In </w:t>
      </w:r>
      <w:r w:rsidRPr="00FE2C7C">
        <w:rPr>
          <w:rFonts w:ascii="Times New Roman" w:hAnsi="Times New Roman" w:cs="Times New Roman"/>
          <w:i/>
          <w:iCs/>
          <w:color w:val="222222"/>
          <w:sz w:val="24"/>
          <w:szCs w:val="24"/>
          <w:shd w:val="clear" w:color="auto" w:fill="FFFFFF"/>
        </w:rPr>
        <w:t>The 3rd Uzbekistan-Indonesia International Joint Conference on Economic Development and Nation Character Building to Meet the Global Economic Challenges</w:t>
      </w:r>
      <w:r w:rsidRPr="00FE2C7C">
        <w:rPr>
          <w:rFonts w:ascii="Times New Roman" w:hAnsi="Times New Roman" w:cs="Times New Roman"/>
          <w:color w:val="222222"/>
          <w:sz w:val="24"/>
          <w:szCs w:val="24"/>
          <w:shd w:val="clear" w:color="auto" w:fill="FFFFFF"/>
        </w:rPr>
        <w:t>, pp. 60-65.</w:t>
      </w:r>
    </w:p>
    <w:p w14:paraId="1BF00B31" w14:textId="77777777" w:rsidR="009052B1" w:rsidRPr="00FE2C7C" w:rsidRDefault="009052B1" w:rsidP="00FE2C7C">
      <w:pPr>
        <w:spacing w:line="480" w:lineRule="auto"/>
        <w:ind w:left="709" w:hanging="709"/>
        <w:jc w:val="both"/>
        <w:rPr>
          <w:rFonts w:ascii="Times New Roman" w:hAnsi="Times New Roman" w:cs="Times New Roman"/>
          <w:sz w:val="24"/>
          <w:szCs w:val="24"/>
        </w:rPr>
      </w:pPr>
      <w:r w:rsidRPr="00FE2C7C">
        <w:rPr>
          <w:rFonts w:ascii="Times New Roman" w:hAnsi="Times New Roman" w:cs="Times New Roman"/>
          <w:sz w:val="24"/>
          <w:szCs w:val="24"/>
        </w:rPr>
        <w:t xml:space="preserve">PwC. 2017. IFRS 9, Financial Instruments Understanding the basics. [Online]. Available at: </w:t>
      </w:r>
      <w:hyperlink r:id="rId16" w:history="1">
        <w:r w:rsidRPr="00FE2C7C">
          <w:rPr>
            <w:rStyle w:val="Hyperlink"/>
            <w:rFonts w:ascii="Times New Roman" w:hAnsi="Times New Roman" w:cs="Times New Roman"/>
            <w:sz w:val="24"/>
            <w:szCs w:val="24"/>
          </w:rPr>
          <w:t>https://www.pwc.com/gx/en/audit-services/ifrs/publications/ifrs-9/ifrs-9-understanding-the-basics.pdf</w:t>
        </w:r>
      </w:hyperlink>
      <w:r w:rsidRPr="00FE2C7C">
        <w:rPr>
          <w:rFonts w:ascii="Times New Roman" w:hAnsi="Times New Roman" w:cs="Times New Roman"/>
          <w:sz w:val="24"/>
          <w:szCs w:val="24"/>
        </w:rPr>
        <w:t xml:space="preserve"> [Accessed on: 28 November 2022].</w:t>
      </w:r>
    </w:p>
    <w:p w14:paraId="62EA130B" w14:textId="77777777" w:rsidR="009052B1" w:rsidRPr="00FE2C7C" w:rsidRDefault="009052B1" w:rsidP="00FE2C7C">
      <w:pPr>
        <w:spacing w:line="480" w:lineRule="auto"/>
        <w:ind w:left="709" w:hanging="709"/>
        <w:jc w:val="both"/>
        <w:rPr>
          <w:rFonts w:ascii="Times New Roman" w:hAnsi="Times New Roman" w:cs="Times New Roman"/>
          <w:sz w:val="24"/>
          <w:szCs w:val="24"/>
          <w:lang w:val="en-GB"/>
        </w:rPr>
      </w:pPr>
      <w:r w:rsidRPr="00FE2C7C">
        <w:rPr>
          <w:rFonts w:ascii="Times New Roman" w:hAnsi="Times New Roman" w:cs="Times New Roman"/>
          <w:sz w:val="24"/>
          <w:szCs w:val="24"/>
          <w:lang w:val="en-GB"/>
        </w:rPr>
        <w:t>Robinson, T.R., Henry, E., Pirie, W.L. and Broihahn, M.A. 2012. </w:t>
      </w:r>
      <w:r w:rsidRPr="00FE2C7C">
        <w:rPr>
          <w:rFonts w:ascii="Times New Roman" w:hAnsi="Times New Roman" w:cs="Times New Roman"/>
          <w:i/>
          <w:iCs/>
          <w:sz w:val="24"/>
          <w:szCs w:val="24"/>
          <w:lang w:val="en-GB"/>
        </w:rPr>
        <w:t>International Financial Statement Analysis.</w:t>
      </w:r>
      <w:r w:rsidRPr="00FE2C7C">
        <w:rPr>
          <w:rFonts w:ascii="Times New Roman" w:hAnsi="Times New Roman" w:cs="Times New Roman"/>
          <w:sz w:val="24"/>
          <w:szCs w:val="24"/>
          <w:lang w:val="en-GB"/>
        </w:rPr>
        <w:t> New York: Wiley.</w:t>
      </w:r>
    </w:p>
    <w:p w14:paraId="48E96855" w14:textId="77777777" w:rsidR="009052B1" w:rsidRPr="00FE2C7C" w:rsidRDefault="009052B1" w:rsidP="00FE2C7C">
      <w:pPr>
        <w:spacing w:line="480" w:lineRule="auto"/>
        <w:ind w:left="709" w:hanging="709"/>
        <w:jc w:val="both"/>
        <w:rPr>
          <w:rFonts w:ascii="Times New Roman" w:hAnsi="Times New Roman" w:cs="Times New Roman"/>
          <w:sz w:val="24"/>
          <w:szCs w:val="24"/>
        </w:rPr>
      </w:pPr>
      <w:r w:rsidRPr="00FE2C7C">
        <w:rPr>
          <w:rFonts w:ascii="Times New Roman" w:hAnsi="Times New Roman" w:cs="Times New Roman"/>
          <w:sz w:val="24"/>
          <w:szCs w:val="24"/>
        </w:rPr>
        <w:t xml:space="preserve">SAMSUNG Electronics Slovakia. 2021. Financial Statements. [Online]. Available at: </w:t>
      </w:r>
      <w:hyperlink r:id="rId17" w:history="1">
        <w:r w:rsidRPr="00FE2C7C">
          <w:rPr>
            <w:rStyle w:val="Hyperlink"/>
            <w:rFonts w:ascii="Times New Roman" w:hAnsi="Times New Roman" w:cs="Times New Roman"/>
            <w:sz w:val="24"/>
            <w:szCs w:val="24"/>
          </w:rPr>
          <w:t>https://images.samsung.com/is/content/samsung/assets/sk/pdf/Financial_Statement_2021.pdf</w:t>
        </w:r>
      </w:hyperlink>
      <w:r w:rsidRPr="00FE2C7C">
        <w:rPr>
          <w:rFonts w:ascii="Times New Roman" w:hAnsi="Times New Roman" w:cs="Times New Roman"/>
          <w:sz w:val="24"/>
          <w:szCs w:val="24"/>
        </w:rPr>
        <w:t xml:space="preserve"> [Accessed on: 28 November 2022].</w:t>
      </w:r>
    </w:p>
    <w:p w14:paraId="3D546ED4" w14:textId="77777777" w:rsidR="009052B1" w:rsidRPr="00FE2C7C" w:rsidRDefault="009052B1" w:rsidP="00FE2C7C">
      <w:pPr>
        <w:spacing w:line="480" w:lineRule="auto"/>
        <w:ind w:left="709" w:hanging="709"/>
        <w:jc w:val="both"/>
        <w:rPr>
          <w:rFonts w:ascii="Times New Roman" w:hAnsi="Times New Roman" w:cs="Times New Roman"/>
          <w:sz w:val="24"/>
          <w:szCs w:val="24"/>
        </w:rPr>
      </w:pPr>
      <w:r w:rsidRPr="00FE2C7C">
        <w:rPr>
          <w:rFonts w:ascii="Times New Roman" w:hAnsi="Times New Roman" w:cs="Times New Roman"/>
          <w:sz w:val="24"/>
          <w:szCs w:val="24"/>
        </w:rPr>
        <w:t xml:space="preserve">Tesco. 2019. IFRS 16: Briefing. [Online]. Available at: </w:t>
      </w:r>
      <w:hyperlink r:id="rId18" w:history="1">
        <w:r w:rsidRPr="00FE2C7C">
          <w:rPr>
            <w:rStyle w:val="Hyperlink"/>
            <w:rFonts w:ascii="Times New Roman" w:hAnsi="Times New Roman" w:cs="Times New Roman"/>
            <w:sz w:val="24"/>
            <w:szCs w:val="24"/>
          </w:rPr>
          <w:t>https://www.tescoplc.com/news/2019/ifrs-16-briefing/</w:t>
        </w:r>
      </w:hyperlink>
      <w:r w:rsidRPr="00FE2C7C">
        <w:rPr>
          <w:rFonts w:ascii="Times New Roman" w:hAnsi="Times New Roman" w:cs="Times New Roman"/>
          <w:sz w:val="24"/>
          <w:szCs w:val="24"/>
        </w:rPr>
        <w:t xml:space="preserve"> [Accessed on: 28 November 2022].</w:t>
      </w:r>
    </w:p>
    <w:p w14:paraId="6B2C8EB5" w14:textId="77777777" w:rsidR="009052B1" w:rsidRPr="00FE2C7C" w:rsidRDefault="009052B1" w:rsidP="00FE2C7C">
      <w:pPr>
        <w:spacing w:line="480" w:lineRule="auto"/>
        <w:ind w:left="709" w:hanging="709"/>
        <w:rPr>
          <w:rStyle w:val="Emphasis"/>
          <w:rFonts w:ascii="Times New Roman" w:hAnsi="Times New Roman" w:cs="Times New Roman"/>
          <w:b/>
          <w:i w:val="0"/>
          <w:sz w:val="24"/>
          <w:szCs w:val="24"/>
        </w:rPr>
      </w:pPr>
      <w:r w:rsidRPr="00FE2C7C">
        <w:rPr>
          <w:rFonts w:ascii="Times New Roman" w:hAnsi="Times New Roman" w:cs="Times New Roman"/>
          <w:sz w:val="24"/>
          <w:szCs w:val="24"/>
        </w:rPr>
        <w:lastRenderedPageBreak/>
        <w:t xml:space="preserve">Young, D. and Cohen, J. 2013. </w:t>
      </w:r>
      <w:r w:rsidRPr="00FE2C7C">
        <w:rPr>
          <w:rFonts w:ascii="Times New Roman" w:hAnsi="Times New Roman" w:cs="Times New Roman"/>
          <w:i/>
          <w:iCs/>
          <w:sz w:val="24"/>
          <w:szCs w:val="24"/>
        </w:rPr>
        <w:t>(3</w:t>
      </w:r>
      <w:r w:rsidRPr="00FE2C7C">
        <w:rPr>
          <w:rFonts w:ascii="Times New Roman" w:hAnsi="Times New Roman" w:cs="Times New Roman"/>
          <w:i/>
          <w:iCs/>
          <w:sz w:val="24"/>
          <w:szCs w:val="24"/>
          <w:vertAlign w:val="superscript"/>
        </w:rPr>
        <w:t>rd</w:t>
      </w:r>
      <w:r w:rsidRPr="00FE2C7C">
        <w:rPr>
          <w:rFonts w:ascii="Times New Roman" w:hAnsi="Times New Roman" w:cs="Times New Roman"/>
          <w:i/>
          <w:iCs/>
          <w:sz w:val="24"/>
          <w:szCs w:val="24"/>
        </w:rPr>
        <w:t xml:space="preserve"> Ed) Corporate Financial Reporting and Analysis</w:t>
      </w:r>
      <w:r w:rsidRPr="00FE2C7C">
        <w:rPr>
          <w:rFonts w:ascii="Times New Roman" w:hAnsi="Times New Roman" w:cs="Times New Roman"/>
          <w:sz w:val="24"/>
          <w:szCs w:val="24"/>
        </w:rPr>
        <w:t xml:space="preserve">. London: John Wiley &amp; Sons. </w:t>
      </w:r>
    </w:p>
    <w:p w14:paraId="276BB1D6" w14:textId="77777777" w:rsidR="001B5B04" w:rsidRPr="00FE2C7C" w:rsidRDefault="001B5B04" w:rsidP="00FE2C7C">
      <w:pPr>
        <w:spacing w:line="480" w:lineRule="auto"/>
        <w:jc w:val="both"/>
        <w:rPr>
          <w:rFonts w:ascii="Times New Roman" w:hAnsi="Times New Roman" w:cs="Times New Roman"/>
          <w:sz w:val="24"/>
          <w:szCs w:val="24"/>
          <w:lang w:val="en-GB"/>
        </w:rPr>
      </w:pPr>
    </w:p>
    <w:sectPr w:rsidR="001B5B04" w:rsidRPr="00FE2C7C" w:rsidSect="00E05FFA">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CE53A" w14:textId="77777777" w:rsidR="00535971" w:rsidRDefault="00535971" w:rsidP="00923743">
      <w:pPr>
        <w:spacing w:after="0" w:line="240" w:lineRule="auto"/>
      </w:pPr>
      <w:r>
        <w:separator/>
      </w:r>
    </w:p>
  </w:endnote>
  <w:endnote w:type="continuationSeparator" w:id="0">
    <w:p w14:paraId="1F6EF907" w14:textId="77777777" w:rsidR="00535971" w:rsidRDefault="00535971" w:rsidP="009237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929961"/>
      <w:docPartObj>
        <w:docPartGallery w:val="Page Numbers (Bottom of Page)"/>
        <w:docPartUnique/>
      </w:docPartObj>
    </w:sdtPr>
    <w:sdtEndPr>
      <w:rPr>
        <w:noProof/>
      </w:rPr>
    </w:sdtEndPr>
    <w:sdtContent>
      <w:p w14:paraId="57522CE3" w14:textId="77777777" w:rsidR="00923743" w:rsidRDefault="009237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90DECE" w14:textId="77777777" w:rsidR="00923743" w:rsidRDefault="009237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289DE" w14:textId="77777777" w:rsidR="00535971" w:rsidRDefault="00535971" w:rsidP="00923743">
      <w:pPr>
        <w:spacing w:after="0" w:line="240" w:lineRule="auto"/>
      </w:pPr>
      <w:r>
        <w:separator/>
      </w:r>
    </w:p>
  </w:footnote>
  <w:footnote w:type="continuationSeparator" w:id="0">
    <w:p w14:paraId="5F36CE2B" w14:textId="77777777" w:rsidR="00535971" w:rsidRDefault="00535971" w:rsidP="009237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B92"/>
    <w:rsid w:val="00000F2C"/>
    <w:rsid w:val="00012E11"/>
    <w:rsid w:val="00014D94"/>
    <w:rsid w:val="00032C63"/>
    <w:rsid w:val="000348AB"/>
    <w:rsid w:val="000350F2"/>
    <w:rsid w:val="000418E9"/>
    <w:rsid w:val="00042F80"/>
    <w:rsid w:val="00050C62"/>
    <w:rsid w:val="000544DF"/>
    <w:rsid w:val="0006594E"/>
    <w:rsid w:val="000716D7"/>
    <w:rsid w:val="000730B7"/>
    <w:rsid w:val="000779A7"/>
    <w:rsid w:val="00092426"/>
    <w:rsid w:val="000B05E8"/>
    <w:rsid w:val="000C22E9"/>
    <w:rsid w:val="000C2F1C"/>
    <w:rsid w:val="000D5B05"/>
    <w:rsid w:val="000D7550"/>
    <w:rsid w:val="000E4432"/>
    <w:rsid w:val="000E6F9E"/>
    <w:rsid w:val="000E74A3"/>
    <w:rsid w:val="000F5C0C"/>
    <w:rsid w:val="00106026"/>
    <w:rsid w:val="00107DCD"/>
    <w:rsid w:val="0011769C"/>
    <w:rsid w:val="00127927"/>
    <w:rsid w:val="00135392"/>
    <w:rsid w:val="0016065F"/>
    <w:rsid w:val="00160A76"/>
    <w:rsid w:val="00173B00"/>
    <w:rsid w:val="0017734E"/>
    <w:rsid w:val="001807DE"/>
    <w:rsid w:val="00184525"/>
    <w:rsid w:val="001A3D67"/>
    <w:rsid w:val="001B4C9A"/>
    <w:rsid w:val="001B5B04"/>
    <w:rsid w:val="001C5245"/>
    <w:rsid w:val="001D7899"/>
    <w:rsid w:val="001E44A5"/>
    <w:rsid w:val="001E766E"/>
    <w:rsid w:val="001F0FAA"/>
    <w:rsid w:val="002230B1"/>
    <w:rsid w:val="00242392"/>
    <w:rsid w:val="00253806"/>
    <w:rsid w:val="00254475"/>
    <w:rsid w:val="00254C0C"/>
    <w:rsid w:val="002617CB"/>
    <w:rsid w:val="00261CA4"/>
    <w:rsid w:val="00267272"/>
    <w:rsid w:val="00281232"/>
    <w:rsid w:val="00290B00"/>
    <w:rsid w:val="002B59DD"/>
    <w:rsid w:val="002C6C3B"/>
    <w:rsid w:val="002D3FC1"/>
    <w:rsid w:val="002E143C"/>
    <w:rsid w:val="002E5972"/>
    <w:rsid w:val="00304380"/>
    <w:rsid w:val="00324D6A"/>
    <w:rsid w:val="00330EB1"/>
    <w:rsid w:val="003347F2"/>
    <w:rsid w:val="00341920"/>
    <w:rsid w:val="003433FF"/>
    <w:rsid w:val="003451C3"/>
    <w:rsid w:val="00345F86"/>
    <w:rsid w:val="0036364F"/>
    <w:rsid w:val="00390F98"/>
    <w:rsid w:val="0039358E"/>
    <w:rsid w:val="003A332A"/>
    <w:rsid w:val="003B467B"/>
    <w:rsid w:val="003C68B4"/>
    <w:rsid w:val="003D711B"/>
    <w:rsid w:val="003F379C"/>
    <w:rsid w:val="003F3EEC"/>
    <w:rsid w:val="003F685F"/>
    <w:rsid w:val="00416ADD"/>
    <w:rsid w:val="00422A05"/>
    <w:rsid w:val="00436E5B"/>
    <w:rsid w:val="004420EF"/>
    <w:rsid w:val="00453A8E"/>
    <w:rsid w:val="004605DA"/>
    <w:rsid w:val="00460B94"/>
    <w:rsid w:val="00476E77"/>
    <w:rsid w:val="0048274E"/>
    <w:rsid w:val="00487D6F"/>
    <w:rsid w:val="004936F1"/>
    <w:rsid w:val="004977B6"/>
    <w:rsid w:val="004A042B"/>
    <w:rsid w:val="004C409A"/>
    <w:rsid w:val="004C4260"/>
    <w:rsid w:val="004D5CC5"/>
    <w:rsid w:val="004D69FA"/>
    <w:rsid w:val="004E6E54"/>
    <w:rsid w:val="004F14E0"/>
    <w:rsid w:val="004F530D"/>
    <w:rsid w:val="00500831"/>
    <w:rsid w:val="00503DDC"/>
    <w:rsid w:val="005132C1"/>
    <w:rsid w:val="0051483D"/>
    <w:rsid w:val="00515E4E"/>
    <w:rsid w:val="005303FD"/>
    <w:rsid w:val="00535971"/>
    <w:rsid w:val="00541C34"/>
    <w:rsid w:val="00587BCF"/>
    <w:rsid w:val="005A5327"/>
    <w:rsid w:val="005B73BD"/>
    <w:rsid w:val="005D17D1"/>
    <w:rsid w:val="005E1A1C"/>
    <w:rsid w:val="005E357D"/>
    <w:rsid w:val="005E5883"/>
    <w:rsid w:val="005E6B96"/>
    <w:rsid w:val="005F306B"/>
    <w:rsid w:val="00601E94"/>
    <w:rsid w:val="006036A0"/>
    <w:rsid w:val="006055C5"/>
    <w:rsid w:val="0061117B"/>
    <w:rsid w:val="00620CD4"/>
    <w:rsid w:val="00620DFF"/>
    <w:rsid w:val="00626929"/>
    <w:rsid w:val="00642682"/>
    <w:rsid w:val="0064768B"/>
    <w:rsid w:val="00650D56"/>
    <w:rsid w:val="00663318"/>
    <w:rsid w:val="0068474D"/>
    <w:rsid w:val="00690376"/>
    <w:rsid w:val="006A7021"/>
    <w:rsid w:val="006C1E55"/>
    <w:rsid w:val="006C7C1C"/>
    <w:rsid w:val="006D3863"/>
    <w:rsid w:val="006F1E17"/>
    <w:rsid w:val="00752D90"/>
    <w:rsid w:val="00754761"/>
    <w:rsid w:val="00755179"/>
    <w:rsid w:val="0076459A"/>
    <w:rsid w:val="00772A54"/>
    <w:rsid w:val="00773DD3"/>
    <w:rsid w:val="00775F67"/>
    <w:rsid w:val="0078045A"/>
    <w:rsid w:val="0078401A"/>
    <w:rsid w:val="0078444A"/>
    <w:rsid w:val="0079270A"/>
    <w:rsid w:val="00792C08"/>
    <w:rsid w:val="00795AB3"/>
    <w:rsid w:val="007A1B73"/>
    <w:rsid w:val="007A659F"/>
    <w:rsid w:val="007B06F0"/>
    <w:rsid w:val="007B7851"/>
    <w:rsid w:val="007C11D8"/>
    <w:rsid w:val="007C57B0"/>
    <w:rsid w:val="007C74F4"/>
    <w:rsid w:val="007D5488"/>
    <w:rsid w:val="007D58D2"/>
    <w:rsid w:val="007E6142"/>
    <w:rsid w:val="007F3135"/>
    <w:rsid w:val="007F4053"/>
    <w:rsid w:val="00811B55"/>
    <w:rsid w:val="00821958"/>
    <w:rsid w:val="00821A88"/>
    <w:rsid w:val="00824756"/>
    <w:rsid w:val="0083069D"/>
    <w:rsid w:val="00857880"/>
    <w:rsid w:val="008756F7"/>
    <w:rsid w:val="00885B2A"/>
    <w:rsid w:val="00885EEF"/>
    <w:rsid w:val="00892329"/>
    <w:rsid w:val="00896E24"/>
    <w:rsid w:val="00897883"/>
    <w:rsid w:val="008A4C61"/>
    <w:rsid w:val="008D0047"/>
    <w:rsid w:val="008D1E05"/>
    <w:rsid w:val="008D3D4E"/>
    <w:rsid w:val="008D4092"/>
    <w:rsid w:val="008D6C06"/>
    <w:rsid w:val="008F131B"/>
    <w:rsid w:val="008F216A"/>
    <w:rsid w:val="009052B1"/>
    <w:rsid w:val="00923743"/>
    <w:rsid w:val="00936B92"/>
    <w:rsid w:val="009410E1"/>
    <w:rsid w:val="00955A4D"/>
    <w:rsid w:val="00972031"/>
    <w:rsid w:val="00975394"/>
    <w:rsid w:val="00981FF1"/>
    <w:rsid w:val="0098691A"/>
    <w:rsid w:val="009A3FAF"/>
    <w:rsid w:val="009B53FB"/>
    <w:rsid w:val="009C0A55"/>
    <w:rsid w:val="009D1938"/>
    <w:rsid w:val="009D2135"/>
    <w:rsid w:val="009D6A53"/>
    <w:rsid w:val="00A155AF"/>
    <w:rsid w:val="00A1697D"/>
    <w:rsid w:val="00A34AEB"/>
    <w:rsid w:val="00A36376"/>
    <w:rsid w:val="00A5507E"/>
    <w:rsid w:val="00A6067E"/>
    <w:rsid w:val="00A702E7"/>
    <w:rsid w:val="00A70A68"/>
    <w:rsid w:val="00A82BB8"/>
    <w:rsid w:val="00A85115"/>
    <w:rsid w:val="00A872A3"/>
    <w:rsid w:val="00A96256"/>
    <w:rsid w:val="00AB0999"/>
    <w:rsid w:val="00AC3BB3"/>
    <w:rsid w:val="00AE1709"/>
    <w:rsid w:val="00AE2150"/>
    <w:rsid w:val="00AE2CD2"/>
    <w:rsid w:val="00AE57EF"/>
    <w:rsid w:val="00B07CEE"/>
    <w:rsid w:val="00B16CC1"/>
    <w:rsid w:val="00B22AB2"/>
    <w:rsid w:val="00B26CA4"/>
    <w:rsid w:val="00B31154"/>
    <w:rsid w:val="00B47AEB"/>
    <w:rsid w:val="00B516D9"/>
    <w:rsid w:val="00B554AC"/>
    <w:rsid w:val="00B6591C"/>
    <w:rsid w:val="00B75ABE"/>
    <w:rsid w:val="00B81B15"/>
    <w:rsid w:val="00B929D9"/>
    <w:rsid w:val="00BA5468"/>
    <w:rsid w:val="00BB5F56"/>
    <w:rsid w:val="00BD3390"/>
    <w:rsid w:val="00BD6075"/>
    <w:rsid w:val="00BF37DF"/>
    <w:rsid w:val="00BF403A"/>
    <w:rsid w:val="00C0080D"/>
    <w:rsid w:val="00C01852"/>
    <w:rsid w:val="00C029A9"/>
    <w:rsid w:val="00C05770"/>
    <w:rsid w:val="00C14110"/>
    <w:rsid w:val="00C34CBC"/>
    <w:rsid w:val="00C44562"/>
    <w:rsid w:val="00C45E69"/>
    <w:rsid w:val="00C465BD"/>
    <w:rsid w:val="00C47329"/>
    <w:rsid w:val="00C52333"/>
    <w:rsid w:val="00C535BA"/>
    <w:rsid w:val="00C645FA"/>
    <w:rsid w:val="00C64801"/>
    <w:rsid w:val="00C700EB"/>
    <w:rsid w:val="00C82FCE"/>
    <w:rsid w:val="00CB275E"/>
    <w:rsid w:val="00CE1E54"/>
    <w:rsid w:val="00CE3703"/>
    <w:rsid w:val="00CF1FCD"/>
    <w:rsid w:val="00D11488"/>
    <w:rsid w:val="00D1453D"/>
    <w:rsid w:val="00D14A06"/>
    <w:rsid w:val="00D21301"/>
    <w:rsid w:val="00D27A6A"/>
    <w:rsid w:val="00D37CC2"/>
    <w:rsid w:val="00D45BCE"/>
    <w:rsid w:val="00D611C0"/>
    <w:rsid w:val="00D64F1A"/>
    <w:rsid w:val="00D717B0"/>
    <w:rsid w:val="00D7696F"/>
    <w:rsid w:val="00D80846"/>
    <w:rsid w:val="00D80EBE"/>
    <w:rsid w:val="00DA55EF"/>
    <w:rsid w:val="00DB102A"/>
    <w:rsid w:val="00DB2CF7"/>
    <w:rsid w:val="00DD1321"/>
    <w:rsid w:val="00DD6D30"/>
    <w:rsid w:val="00DE0AEB"/>
    <w:rsid w:val="00DF117C"/>
    <w:rsid w:val="00E05FFA"/>
    <w:rsid w:val="00E06DCD"/>
    <w:rsid w:val="00E262C2"/>
    <w:rsid w:val="00E2710C"/>
    <w:rsid w:val="00E35BA4"/>
    <w:rsid w:val="00E4296B"/>
    <w:rsid w:val="00E55C9E"/>
    <w:rsid w:val="00E728D3"/>
    <w:rsid w:val="00E72A2B"/>
    <w:rsid w:val="00E72B03"/>
    <w:rsid w:val="00E93B65"/>
    <w:rsid w:val="00EA571F"/>
    <w:rsid w:val="00EC4D2C"/>
    <w:rsid w:val="00EC6DFD"/>
    <w:rsid w:val="00ED6226"/>
    <w:rsid w:val="00ED7054"/>
    <w:rsid w:val="00EF47BD"/>
    <w:rsid w:val="00F05293"/>
    <w:rsid w:val="00F072EA"/>
    <w:rsid w:val="00F103BD"/>
    <w:rsid w:val="00F20AF5"/>
    <w:rsid w:val="00F23941"/>
    <w:rsid w:val="00F35B4A"/>
    <w:rsid w:val="00F41DF8"/>
    <w:rsid w:val="00F45CF3"/>
    <w:rsid w:val="00F47886"/>
    <w:rsid w:val="00F47A11"/>
    <w:rsid w:val="00F530D3"/>
    <w:rsid w:val="00F57630"/>
    <w:rsid w:val="00F61B6B"/>
    <w:rsid w:val="00F65B39"/>
    <w:rsid w:val="00F65BB6"/>
    <w:rsid w:val="00F95D2D"/>
    <w:rsid w:val="00F974DA"/>
    <w:rsid w:val="00FA7A65"/>
    <w:rsid w:val="00FE2C7C"/>
    <w:rsid w:val="00FF0F31"/>
    <w:rsid w:val="00FF72A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E144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743"/>
    <w:pPr>
      <w:keepNext/>
      <w:keepLines/>
      <w:spacing w:before="240" w:after="0" w:line="480" w:lineRule="auto"/>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685F"/>
    <w:rPr>
      <w:color w:val="0563C1" w:themeColor="hyperlink"/>
      <w:u w:val="single"/>
    </w:rPr>
  </w:style>
  <w:style w:type="character" w:styleId="UnresolvedMention">
    <w:name w:val="Unresolved Mention"/>
    <w:basedOn w:val="DefaultParagraphFont"/>
    <w:uiPriority w:val="99"/>
    <w:semiHidden/>
    <w:unhideWhenUsed/>
    <w:rsid w:val="003F685F"/>
    <w:rPr>
      <w:color w:val="605E5C"/>
      <w:shd w:val="clear" w:color="auto" w:fill="E1DFDD"/>
    </w:rPr>
  </w:style>
  <w:style w:type="character" w:styleId="FollowedHyperlink">
    <w:name w:val="FollowedHyperlink"/>
    <w:basedOn w:val="DefaultParagraphFont"/>
    <w:uiPriority w:val="99"/>
    <w:semiHidden/>
    <w:unhideWhenUsed/>
    <w:rsid w:val="006A7021"/>
    <w:rPr>
      <w:color w:val="954F72" w:themeColor="followedHyperlink"/>
      <w:u w:val="single"/>
    </w:rPr>
  </w:style>
  <w:style w:type="paragraph" w:styleId="NormalWeb">
    <w:name w:val="Normal (Web)"/>
    <w:basedOn w:val="Normal"/>
    <w:uiPriority w:val="99"/>
    <w:unhideWhenUsed/>
    <w:rsid w:val="001807D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1807DE"/>
    <w:rPr>
      <w:b/>
      <w:bCs/>
    </w:rPr>
  </w:style>
  <w:style w:type="character" w:styleId="Emphasis">
    <w:name w:val="Emphasis"/>
    <w:basedOn w:val="DefaultParagraphFont"/>
    <w:qFormat/>
    <w:rsid w:val="001807DE"/>
    <w:rPr>
      <w:i/>
      <w:iCs/>
    </w:rPr>
  </w:style>
  <w:style w:type="character" w:customStyle="1" w:styleId="Heading1Char">
    <w:name w:val="Heading 1 Char"/>
    <w:basedOn w:val="DefaultParagraphFont"/>
    <w:link w:val="Heading1"/>
    <w:uiPriority w:val="9"/>
    <w:rsid w:val="00923743"/>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9237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3743"/>
  </w:style>
  <w:style w:type="paragraph" w:styleId="Footer">
    <w:name w:val="footer"/>
    <w:basedOn w:val="Normal"/>
    <w:link w:val="FooterChar"/>
    <w:uiPriority w:val="99"/>
    <w:unhideWhenUsed/>
    <w:rsid w:val="009237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3743"/>
  </w:style>
  <w:style w:type="paragraph" w:styleId="TOCHeading">
    <w:name w:val="TOC Heading"/>
    <w:basedOn w:val="Heading1"/>
    <w:next w:val="Normal"/>
    <w:uiPriority w:val="39"/>
    <w:unhideWhenUsed/>
    <w:qFormat/>
    <w:rsid w:val="00792C08"/>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92C08"/>
    <w:pPr>
      <w:spacing w:after="100"/>
    </w:pPr>
  </w:style>
  <w:style w:type="paragraph" w:styleId="NoSpacing">
    <w:name w:val="No Spacing"/>
    <w:link w:val="NoSpacingChar"/>
    <w:uiPriority w:val="1"/>
    <w:qFormat/>
    <w:rsid w:val="00E05F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5FF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561551">
      <w:bodyDiv w:val="1"/>
      <w:marLeft w:val="0"/>
      <w:marRight w:val="0"/>
      <w:marTop w:val="0"/>
      <w:marBottom w:val="0"/>
      <w:divBdr>
        <w:top w:val="none" w:sz="0" w:space="0" w:color="auto"/>
        <w:left w:val="none" w:sz="0" w:space="0" w:color="auto"/>
        <w:bottom w:val="none" w:sz="0" w:space="0" w:color="auto"/>
        <w:right w:val="none" w:sz="0" w:space="0" w:color="auto"/>
      </w:divBdr>
    </w:div>
    <w:div w:id="1531339733">
      <w:bodyDiv w:val="1"/>
      <w:marLeft w:val="0"/>
      <w:marRight w:val="0"/>
      <w:marTop w:val="0"/>
      <w:marBottom w:val="0"/>
      <w:divBdr>
        <w:top w:val="none" w:sz="0" w:space="0" w:color="auto"/>
        <w:left w:val="none" w:sz="0" w:space="0" w:color="auto"/>
        <w:bottom w:val="none" w:sz="0" w:space="0" w:color="auto"/>
        <w:right w:val="none" w:sz="0" w:space="0" w:color="auto"/>
      </w:divBdr>
    </w:div>
    <w:div w:id="2030402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2110728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7CA2E6-0FEF-4F52-AD13-111CC0077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3012</Words>
  <Characters>17172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of IAS and IFRS</dc:title>
  <dc:creator/>
  <cp:lastModifiedBy/>
  <cp:revision>1</cp:revision>
  <dcterms:created xsi:type="dcterms:W3CDTF">2022-11-28T18:59:00Z</dcterms:created>
  <dcterms:modified xsi:type="dcterms:W3CDTF">2022-12-02T04:18:00Z</dcterms:modified>
</cp:coreProperties>
</file>