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24EA3" w14:textId="77777777" w:rsidR="00A5593C" w:rsidRDefault="00A5593C" w:rsidP="000A3C54">
      <w:pPr>
        <w:spacing w:line="360" w:lineRule="auto"/>
        <w:rPr>
          <w:b/>
          <w:bCs/>
          <w:sz w:val="24"/>
          <w:szCs w:val="24"/>
          <w:lang w:val="en-GB"/>
        </w:rPr>
      </w:pPr>
    </w:p>
    <w:p w14:paraId="2B52C20B" w14:textId="77777777" w:rsidR="00A5593C" w:rsidRDefault="00A5593C" w:rsidP="000A3C54">
      <w:pPr>
        <w:spacing w:line="360" w:lineRule="auto"/>
        <w:rPr>
          <w:b/>
          <w:bCs/>
          <w:sz w:val="24"/>
          <w:szCs w:val="24"/>
          <w:lang w:val="en-GB"/>
        </w:rPr>
      </w:pPr>
    </w:p>
    <w:p w14:paraId="562846B1" w14:textId="1ACFA752" w:rsidR="000A3C54" w:rsidRPr="00A5593C" w:rsidRDefault="000A3C54" w:rsidP="000A3C54">
      <w:pPr>
        <w:spacing w:line="360" w:lineRule="auto"/>
        <w:rPr>
          <w:sz w:val="24"/>
          <w:szCs w:val="24"/>
          <w:lang w:val="en-GB"/>
        </w:rPr>
      </w:pPr>
      <w:r w:rsidRPr="00A5593C">
        <w:rPr>
          <w:b/>
          <w:bCs/>
          <w:sz w:val="24"/>
          <w:szCs w:val="24"/>
          <w:lang w:val="en-GB"/>
        </w:rPr>
        <w:t>Name:</w:t>
      </w:r>
      <w:r w:rsidRPr="00A5593C">
        <w:rPr>
          <w:sz w:val="24"/>
          <w:szCs w:val="24"/>
          <w:lang w:val="en-GB"/>
        </w:rPr>
        <w:t xml:space="preserve"> Angela Maria Gonzalez Caro</w:t>
      </w:r>
    </w:p>
    <w:p w14:paraId="622CE43E" w14:textId="77777777" w:rsidR="000A3C54" w:rsidRPr="00A5593C" w:rsidRDefault="000A3C54" w:rsidP="000A3C54">
      <w:pPr>
        <w:spacing w:line="360" w:lineRule="auto"/>
        <w:rPr>
          <w:sz w:val="24"/>
          <w:szCs w:val="24"/>
        </w:rPr>
      </w:pPr>
      <w:r w:rsidRPr="00A5593C">
        <w:rPr>
          <w:b/>
          <w:bCs/>
          <w:sz w:val="24"/>
          <w:szCs w:val="24"/>
        </w:rPr>
        <w:t>Student Number:</w:t>
      </w:r>
      <w:r w:rsidRPr="00A5593C">
        <w:rPr>
          <w:sz w:val="24"/>
          <w:szCs w:val="24"/>
        </w:rPr>
        <w:t xml:space="preserve"> 2442780</w:t>
      </w:r>
    </w:p>
    <w:p w14:paraId="6F3D0699" w14:textId="77777777" w:rsidR="000A3C54" w:rsidRPr="00A5593C" w:rsidRDefault="000A3C54" w:rsidP="000A3C54">
      <w:pPr>
        <w:spacing w:line="360" w:lineRule="auto"/>
        <w:rPr>
          <w:sz w:val="24"/>
          <w:szCs w:val="24"/>
        </w:rPr>
      </w:pPr>
      <w:r w:rsidRPr="00A5593C">
        <w:rPr>
          <w:b/>
          <w:bCs/>
          <w:sz w:val="24"/>
          <w:szCs w:val="24"/>
        </w:rPr>
        <w:t>Module Title:</w:t>
      </w:r>
      <w:r w:rsidRPr="00A5593C">
        <w:rPr>
          <w:sz w:val="24"/>
          <w:szCs w:val="24"/>
        </w:rPr>
        <w:t xml:space="preserve"> Introduction to Health and Social Care </w:t>
      </w:r>
    </w:p>
    <w:p w14:paraId="133300E3" w14:textId="77777777" w:rsidR="000A3C54" w:rsidRPr="00A5593C" w:rsidRDefault="000A3C54" w:rsidP="000A3C54">
      <w:pPr>
        <w:spacing w:line="360" w:lineRule="auto"/>
        <w:rPr>
          <w:sz w:val="24"/>
          <w:szCs w:val="24"/>
        </w:rPr>
      </w:pPr>
      <w:r w:rsidRPr="00A5593C">
        <w:rPr>
          <w:b/>
          <w:bCs/>
          <w:sz w:val="24"/>
          <w:szCs w:val="24"/>
        </w:rPr>
        <w:t>Lecturer:</w:t>
      </w:r>
      <w:r w:rsidRPr="00A5593C">
        <w:rPr>
          <w:sz w:val="24"/>
          <w:szCs w:val="24"/>
        </w:rPr>
        <w:t xml:space="preserve"> Mark Kane</w:t>
      </w:r>
    </w:p>
    <w:p w14:paraId="26B5CE1F" w14:textId="77777777" w:rsidR="000A3C54" w:rsidRPr="00A5593C" w:rsidRDefault="000A3C54" w:rsidP="000A3C54">
      <w:pPr>
        <w:spacing w:line="360" w:lineRule="auto"/>
        <w:rPr>
          <w:sz w:val="24"/>
          <w:szCs w:val="24"/>
        </w:rPr>
      </w:pPr>
      <w:r w:rsidRPr="00A5593C">
        <w:rPr>
          <w:b/>
          <w:bCs/>
          <w:sz w:val="24"/>
          <w:szCs w:val="24"/>
        </w:rPr>
        <w:t>Assignment Title:</w:t>
      </w:r>
      <w:r w:rsidRPr="00A5593C">
        <w:rPr>
          <w:sz w:val="24"/>
          <w:szCs w:val="24"/>
        </w:rPr>
        <w:t xml:space="preserve"> Case Study Report</w:t>
      </w:r>
    </w:p>
    <w:p w14:paraId="27B143F2" w14:textId="77777777" w:rsidR="000A3C54" w:rsidRDefault="000A3C54" w:rsidP="000A3C54">
      <w:r>
        <w:br w:type="page"/>
      </w:r>
    </w:p>
    <w:p w14:paraId="568855BB" w14:textId="77777777" w:rsidR="000A3C54" w:rsidRDefault="000A3C54" w:rsidP="000A3C54">
      <w:pPr>
        <w:pStyle w:val="Ttulo2"/>
        <w:spacing w:line="360" w:lineRule="auto"/>
        <w:jc w:val="both"/>
      </w:pPr>
    </w:p>
    <w:p w14:paraId="474DD753" w14:textId="77777777" w:rsidR="000A3C54" w:rsidRPr="00BC166A" w:rsidRDefault="000A3C54" w:rsidP="000A3C54">
      <w:pPr>
        <w:pStyle w:val="Ttulo1"/>
        <w:jc w:val="center"/>
        <w:rPr>
          <w:rFonts w:ascii="Arial" w:hAnsi="Arial" w:cs="Arial"/>
          <w:b/>
          <w:bCs/>
          <w:color w:val="000000" w:themeColor="text1"/>
          <w:sz w:val="24"/>
          <w:szCs w:val="24"/>
        </w:rPr>
      </w:pPr>
      <w:r w:rsidRPr="00BC166A">
        <w:rPr>
          <w:rFonts w:ascii="Arial" w:hAnsi="Arial" w:cs="Arial"/>
          <w:b/>
          <w:bCs/>
          <w:color w:val="000000" w:themeColor="text1"/>
          <w:sz w:val="24"/>
          <w:szCs w:val="24"/>
        </w:rPr>
        <w:t>Mrs Mann Case Study – Written Assignment</w:t>
      </w:r>
    </w:p>
    <w:p w14:paraId="104A76AD" w14:textId="77777777" w:rsidR="000A3C54" w:rsidRPr="000E446F" w:rsidRDefault="000A3C54" w:rsidP="000A3C54">
      <w:pPr>
        <w:rPr>
          <w:rFonts w:cs="Arial"/>
          <w:lang w:val="en-GB"/>
        </w:rPr>
      </w:pPr>
    </w:p>
    <w:p w14:paraId="13B7976D" w14:textId="77777777" w:rsidR="000A3C54" w:rsidRPr="00A5593C" w:rsidRDefault="000A3C54" w:rsidP="00A5593C">
      <w:pPr>
        <w:pStyle w:val="Ttulo2"/>
        <w:spacing w:line="360" w:lineRule="auto"/>
        <w:jc w:val="both"/>
        <w:rPr>
          <w:rFonts w:ascii="Arial" w:hAnsi="Arial" w:cs="Arial"/>
          <w:b/>
          <w:bCs/>
          <w:color w:val="000000" w:themeColor="text1"/>
          <w:sz w:val="22"/>
          <w:szCs w:val="22"/>
        </w:rPr>
      </w:pPr>
      <w:r w:rsidRPr="00A5593C">
        <w:rPr>
          <w:rFonts w:ascii="Arial" w:hAnsi="Arial" w:cs="Arial"/>
          <w:b/>
          <w:bCs/>
          <w:color w:val="000000" w:themeColor="text1"/>
          <w:sz w:val="22"/>
          <w:szCs w:val="22"/>
        </w:rPr>
        <w:t>Introduction</w:t>
      </w:r>
    </w:p>
    <w:p w14:paraId="0538FC81" w14:textId="77777777" w:rsidR="000A3C54" w:rsidRPr="00A5593C" w:rsidRDefault="000A3C54" w:rsidP="00A5593C">
      <w:pPr>
        <w:spacing w:line="360" w:lineRule="auto"/>
        <w:jc w:val="both"/>
        <w:rPr>
          <w:rFonts w:cs="Arial"/>
        </w:rPr>
      </w:pPr>
      <w:r w:rsidRPr="00A5593C">
        <w:rPr>
          <w:rFonts w:cs="Arial"/>
          <w:lang w:val="en-GB"/>
        </w:rPr>
        <w:t>Effective practice within health and social care requires integrated communication, lawful administrative processes, and coordinated multidisciplinary working.</w:t>
      </w:r>
      <w:r w:rsidRPr="00A5593C">
        <w:rPr>
          <w:rFonts w:cs="Arial"/>
        </w:rPr>
        <w:t xml:space="preserve"> These elements ensure that support is person-centered, ethical, and safe for individuals with complex needs. The case of </w:t>
      </w:r>
      <w:proofErr w:type="spellStart"/>
      <w:r w:rsidRPr="00A5593C">
        <w:rPr>
          <w:rFonts w:cs="Arial"/>
        </w:rPr>
        <w:t>Mrs</w:t>
      </w:r>
      <w:proofErr w:type="spellEnd"/>
      <w:r w:rsidRPr="00A5593C">
        <w:rPr>
          <w:rFonts w:cs="Arial"/>
        </w:rPr>
        <w:t xml:space="preserve"> Mann, a 72-year-old woman recently discharged following hip replacement surgery, offers a relevant context for examining these principles in practice. </w:t>
      </w:r>
      <w:proofErr w:type="spellStart"/>
      <w:r w:rsidRPr="00A5593C">
        <w:rPr>
          <w:rFonts w:cs="Arial"/>
        </w:rPr>
        <w:t>Mrs</w:t>
      </w:r>
      <w:proofErr w:type="spellEnd"/>
      <w:r w:rsidRPr="00A5593C">
        <w:rPr>
          <w:rFonts w:cs="Arial"/>
        </w:rPr>
        <w:t xml:space="preserve"> Mann speaks limited English, identifies Urdu as her first language, and relies on her daughter for informal interpretation. Her care involves a general practitioner, physiotherapist and domiciliary care worker who visit twice daily. Recent concerns within her care records, including inconsistent documentation and a delayed medication adjustment, highlight the consequences of communication failures and administrative weaknesses. This assignment therefore evaluates three crucial dimensions of professionalism. Practice: effective communication aligned with the Equality Act 2010; good administrative skills guided by the Data Protection Act 2018 and NHS information governance frameworks; and collaborative work essential for safe, coordinated, and person-centered care.</w:t>
      </w:r>
    </w:p>
    <w:p w14:paraId="763B9469" w14:textId="77777777" w:rsidR="000A3C54" w:rsidRPr="00A5593C" w:rsidRDefault="000A3C54" w:rsidP="00A5593C">
      <w:pPr>
        <w:spacing w:line="360" w:lineRule="auto"/>
        <w:jc w:val="both"/>
        <w:rPr>
          <w:rFonts w:cs="Arial"/>
          <w:b/>
          <w:bCs/>
          <w:color w:val="000000" w:themeColor="text1"/>
        </w:rPr>
      </w:pPr>
      <w:r w:rsidRPr="00A5593C">
        <w:rPr>
          <w:rFonts w:cs="Arial"/>
          <w:b/>
          <w:bCs/>
          <w:color w:val="000000" w:themeColor="text1"/>
        </w:rPr>
        <w:t>1. Importance of Effective Communication</w:t>
      </w:r>
    </w:p>
    <w:p w14:paraId="66B97F25" w14:textId="77777777" w:rsidR="000A3C54" w:rsidRPr="00A5593C" w:rsidRDefault="000A3C54" w:rsidP="00A5593C">
      <w:pPr>
        <w:spacing w:line="360" w:lineRule="auto"/>
        <w:jc w:val="both"/>
        <w:rPr>
          <w:rFonts w:eastAsia="Times New Roman" w:cs="Arial"/>
          <w:lang w:val="en-GB" w:eastAsia="en-GB"/>
        </w:rPr>
      </w:pPr>
      <w:r w:rsidRPr="00A5593C">
        <w:rPr>
          <w:rFonts w:cs="Arial"/>
          <w:color w:val="000000" w:themeColor="text1"/>
          <w:lang w:val="en-GB"/>
        </w:rPr>
        <w:t xml:space="preserve">Effective communication is essential for delivering safe, person-centred care, particularly when supporting individuals who experience linguistic, cultural or cognitive barriers. </w:t>
      </w:r>
      <w:r w:rsidRPr="00A5593C">
        <w:rPr>
          <w:rFonts w:eastAsia="Times New Roman" w:cs="Arial"/>
          <w:lang w:val="en-GB" w:eastAsia="en-GB"/>
        </w:rPr>
        <w:t>For Mrs Mann, a 72-year-old woman recovering from hip replacement surgery, communication is central to ensuring understanding, promoting informed decision-making, and maintaining autonomy throughout her rehabilitation. Her limited English proficiency increases her vulnerability during interactions with her general practitioner, physiotherapist, domiciliary care workers, and other professionals. When communication is unclear or inaccessible, the risk of clinical errors, missed information, and misunderstandings increases, compromising continuity of care and delaying recovery.</w:t>
      </w:r>
    </w:p>
    <w:p w14:paraId="754FAA25"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 xml:space="preserve">The Equality Act 2010 requires services to eliminate discrimination and implement reasonable adjusts for individuals with protected characteristics, including race, ethnicity, and language. For Mrs Mann, this means providing professional interpreters, culturally, sensitive explanations, information in Urdu, and sufficient time for communication. Evidence shows that linguistic barriers contribute to treatment delays, reduced adherence, and misunderstandings </w:t>
      </w:r>
      <w:r w:rsidRPr="00A5593C">
        <w:rPr>
          <w:rFonts w:eastAsia="Times New Roman" w:cs="Arial"/>
          <w:lang w:val="en-GB" w:eastAsia="en-GB"/>
        </w:rPr>
        <w:lastRenderedPageBreak/>
        <w:t xml:space="preserve">about medication and procedures (Al Shamsi et al.,2020). Relying solely on family members, including her daughter, places pressure on relatives, risk breaches of confidentiality, and may result in inaccurate interpretation. Professional interpreting is therefore essential for accuracy and safety. </w:t>
      </w:r>
    </w:p>
    <w:p w14:paraId="0C3F4960"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Communication also relates to multiple dimensions of Mrs Mann’s wellbeing. Physically, she must understand physiotherapy exercises, mobility restrictions, and sigs of complications. Emotionally, communication that demonstrates dignity and empathy helps reduce anxiety and support trust during recovery (Sharma and Kuo,2020). Linguistically, interpreter support enables her to participate meaningfully in decisions. Socially and culturally, recognising her background as a possible Pakistani woman promotes respectful and culturally safe interaction without being overburdened or placed in ethically challenging situations.</w:t>
      </w:r>
    </w:p>
    <w:p w14:paraId="72EEAC22"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Structured communication models, such as the SOLER framework, support effective practice by promoting active listening, appropriate posture, and empathetic engagement. These strategies improve rapport and help individuals express concerns, which is especially valuable for people who rely heavily on non-verbal cues. The recent inconsistencies in Mrs Mann’s documentation and the delayed medication adjustment highlight how communication failures between professionals can lead to safety risk. Interprofessional miscommunication is recognised as a major cause of preventable harm in both community and acute settings (Thomas and McKevitt,2020).</w:t>
      </w:r>
    </w:p>
    <w:p w14:paraId="63A0A032" w14:textId="161D88B2"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In summary, effective communication in Mrs Mann’s carte must align with the Equality Act 2010, address linguistic and cultural need, incorporate structured communication models, and ensure accurate information sharing across the multidisciplinary team.  Strengthening communication in these ways promotes safe, dignified, and person-centred rehabilitation.</w:t>
      </w:r>
    </w:p>
    <w:p w14:paraId="242E8185" w14:textId="77777777" w:rsidR="000A3C54" w:rsidRPr="00A5593C" w:rsidRDefault="000A3C54" w:rsidP="00A5593C">
      <w:pPr>
        <w:spacing w:before="100" w:beforeAutospacing="1" w:after="100" w:afterAutospacing="1" w:line="360" w:lineRule="auto"/>
        <w:jc w:val="both"/>
        <w:rPr>
          <w:rFonts w:eastAsia="Times New Roman" w:cs="Arial"/>
          <w:b/>
          <w:bCs/>
          <w:lang w:val="en-GB" w:eastAsia="en-GB"/>
        </w:rPr>
      </w:pPr>
      <w:r w:rsidRPr="00A5593C">
        <w:rPr>
          <w:rFonts w:eastAsia="Times New Roman" w:cs="Arial"/>
          <w:b/>
          <w:bCs/>
          <w:lang w:val="en-GB" w:eastAsia="en-GB"/>
        </w:rPr>
        <w:t xml:space="preserve">2. Importance of Good Administrative Skills </w:t>
      </w:r>
    </w:p>
    <w:p w14:paraId="272B9F9D"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Good administrative skills are fundamental to lawful, safe, and accountable professional practice, and they play a central role in ensuring continuity and coordination of care. In the case of Mrs Mann, whose recovery requires input from her physiotherapist, general practitioner, domiciliary carers, and her informal carer, effective administration is essential for preventing errors, maintaining accuracy, and promoting transparency. High-quality administrative practices enable all professionals to access reliable, timely, and comprehensive information about her mobility progress, pain levels, medication needs, and personal care routines. Without these skills, information becomes fragmented, which increases risk and undermines person-centred care.</w:t>
      </w:r>
    </w:p>
    <w:p w14:paraId="4F970AC6"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lastRenderedPageBreak/>
        <w:t>Accurate record keeping is particularly important. Records must be factual, clear, legible, consistent, and updated promptly. The inconsistencies identified in Mrs Mann’s documentation demonstrate how administrative weaknesses may lead to delayed interventions, unclear responsibility, and preventable harm. Poor documentation has been widely associated with duplicated task. communication failures, and medication errors (</w:t>
      </w:r>
      <w:proofErr w:type="spellStart"/>
      <w:r w:rsidRPr="00A5593C">
        <w:rPr>
          <w:rFonts w:eastAsia="Times New Roman" w:cs="Arial"/>
          <w:lang w:val="en-GB" w:eastAsia="en-GB"/>
        </w:rPr>
        <w:t>Manojlovich</w:t>
      </w:r>
      <w:proofErr w:type="spellEnd"/>
      <w:r w:rsidRPr="00A5593C">
        <w:rPr>
          <w:rFonts w:eastAsia="Times New Roman" w:cs="Arial"/>
          <w:lang w:val="en-GB" w:eastAsia="en-GB"/>
        </w:rPr>
        <w:t xml:space="preserve"> et al., 2019). The Care Quality Commission identified effective record keeping as a legal requirement and a key indicator of safe and high-quality care, meaning that lapses in documentation are not merely clerical issues but pose direct risks to service users. </w:t>
      </w:r>
    </w:p>
    <w:p w14:paraId="38EAFB33" w14:textId="3EF83162"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Information governance forms another essential component of administrative competence. The Data Protection Act 2018 and UK GDPR establish strict requirements for the lawful, secure and transparent processing of personal data. NHS Digital (2023) emphasises that organisations must implement secure systems, restrict access to authorised staff, and ensure accountability in all stages of data handling. For Mrs Mann, this includes protecting sensitive information relating to her interpreter requirements, cultural preferences, religious considerations, rehabilitation progress, and medication records. Mishandling or oversharing such information may compromise privacy, breach legislation, and undermine trust.</w:t>
      </w:r>
    </w:p>
    <w:p w14:paraId="29B3A3B4"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 xml:space="preserve">The NHS privacy Notice (2025) reinforces these principles by outlining patient rights, organizational responsibilities, and the need for transparency in how data collected, stored, and shared. Furthermore, the Caldicott Principles require that personal information be accessed only for justified purposes, shared in the minimum necessary form, and protected though appropriate safeguards. When involving Mrs Mann’s daughter in communication, professionals must carefully document the rationale, ensure confidentiality is upheld and evaluate whether a professional interpreter would offer greater protection and accuracy. </w:t>
      </w:r>
    </w:p>
    <w:p w14:paraId="6B9BF180"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Administrative skills are also closely connected to Mrs Mann’s physical, emotional, linguistic, cultural, and family needs. Accurate documentation supports safe mobilisation, medication management, and personal care. Respectful handling of personal information supports emotional wellbeing by reinforcing dignity and trust. Recording interpreter needs ensures consistency in communication, while documenting cultural preferences promotes culturally safe care. Clarifying the role of her daughter prevents over-reliance and ensures that support is appropriate and coordinated.</w:t>
      </w:r>
    </w:p>
    <w:p w14:paraId="588CB5C8"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In summary, strong administrative skills promote lawful, transparent, and person-centred practice. They safeguard patient rights, enhance multidisciplinary communication, and ensure that care remains safe and well-coordinated throughout Mrs Mann’s rehabilitation.</w:t>
      </w:r>
    </w:p>
    <w:p w14:paraId="2926A448" w14:textId="77777777" w:rsidR="000A3C54" w:rsidRPr="00A5593C" w:rsidRDefault="000A3C54" w:rsidP="00A5593C">
      <w:pPr>
        <w:spacing w:before="100" w:beforeAutospacing="1" w:after="100" w:afterAutospacing="1" w:line="360" w:lineRule="auto"/>
        <w:jc w:val="both"/>
        <w:rPr>
          <w:rFonts w:eastAsia="Times New Roman" w:cs="Arial"/>
          <w:b/>
          <w:bCs/>
          <w:lang w:val="en-GB" w:eastAsia="en-GB"/>
        </w:rPr>
      </w:pPr>
      <w:r w:rsidRPr="00A5593C">
        <w:rPr>
          <w:rFonts w:eastAsia="Times New Roman" w:cs="Arial"/>
          <w:b/>
          <w:bCs/>
          <w:lang w:val="en-GB" w:eastAsia="en-GB"/>
        </w:rPr>
        <w:lastRenderedPageBreak/>
        <w:t>3. Importance of Collaborative Working</w:t>
      </w:r>
    </w:p>
    <w:p w14:paraId="4A7923D7"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Collaborative working is essential for delivering safe, effective, and person-centred care, particularly when and individual has complex health and social care needs such as Mrs Mann. Her postoperative recovery following hip replacement surgery requires coordinated input from multiple professionals, including her general practitioner, physiotherapist, and domiciliary care workers, alongside the support provided by her daughter as an informal carer. Effective collaboration ensures continuity of care, prevents fragmentation, and promotes shared decision-making that reflects Mrs Mann’s physical, emotional, linguistic, cultural, and family needs.</w:t>
      </w:r>
    </w:p>
    <w:p w14:paraId="2460C619"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High-quality collaborative practice depends on structured communication tools, shared digital documentation, multidisciplinary discussions, and clearly defined handover procedures. These systems help professionals maintain awareness of Mrs Mann’s mobility progress, rehabilitation goals, pain management needs, and any changes in her medication. Shared electronic records also reduce the likelihood of duplicated tasks or missed responsibilities, which is particularly important given the previous concerns about inconsistent documentation in her case. When information flows effectively across the multidisciplinary team, professionals are better equipped to anticipate risks and intervene promptly.</w:t>
      </w:r>
    </w:p>
    <w:p w14:paraId="2F9C8280"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Despite these benefits, multi-agency working presents several challenges. Differences in organisational policies, documentation formats, workloads, and communication styles my lead to misunderstandings or gaps in practice. The earlier delay in adjusting Mrs Mann’s medication illustrates how communication breakdowns between services can create safely risk. Overcoming this challenge requires clear role delineation, agreed accountability, agrees accountability framework, and a commitment to transparent, delineation, agreed accountability frameworks, and a commitment to transparent, respectful communication. Regular multidisciplinary meetings and the use of structured handover tools, such as SBAR (Situation, Background, Assessment, Recommendation), strengthen coordination and reduce ambiguity.</w:t>
      </w:r>
    </w:p>
    <w:p w14:paraId="2247450A" w14:textId="77777777" w:rsidR="000A3C54" w:rsidRPr="00A5593C" w:rsidRDefault="000A3C54" w:rsidP="00A5593C">
      <w:pPr>
        <w:spacing w:before="100" w:beforeAutospacing="1" w:after="100" w:afterAutospacing="1" w:line="360" w:lineRule="auto"/>
        <w:jc w:val="both"/>
        <w:rPr>
          <w:rFonts w:eastAsia="Times New Roman" w:cs="Arial"/>
          <w:lang w:val="en-GB" w:eastAsia="en-GB"/>
        </w:rPr>
      </w:pPr>
      <w:r w:rsidRPr="00A5593C">
        <w:rPr>
          <w:rFonts w:eastAsia="Times New Roman" w:cs="Arial"/>
          <w:lang w:val="en-GB" w:eastAsia="en-GB"/>
        </w:rPr>
        <w:t>Collaboration also supports Mrs Mann’s holistic needs. Physically, coordinated working ensures that physiotherapists and carers implement consistent mobility and safety plans. Emotionally, seamless communication across the team provides reassurance, reduces anxiety, and prevents conflicting information from confusing Mrs Mann or her daughter. Linguistically, collaborative planning ensures that interpreter support is available across</w:t>
      </w:r>
      <w:r w:rsidRPr="00A5593C">
        <w:rPr>
          <w:rFonts w:eastAsia="Times New Roman" w:cs="Arial"/>
          <w:u w:val="single"/>
          <w:lang w:val="en-GB" w:eastAsia="en-GB"/>
        </w:rPr>
        <w:t xml:space="preserve"> </w:t>
      </w:r>
      <w:r w:rsidRPr="00A5593C">
        <w:rPr>
          <w:rFonts w:eastAsia="Times New Roman" w:cs="Arial"/>
          <w:lang w:val="en-GB" w:eastAsia="en-GB"/>
        </w:rPr>
        <w:t xml:space="preserve">appointments rather than arranges reactively. Culturally, a shared understanding among professionals promotes respectful and personalised care that recognises Mrs Mann’s background. For her daughter, consistent communication helps prevent caregiver strain by </w:t>
      </w:r>
      <w:r w:rsidRPr="00A5593C">
        <w:rPr>
          <w:rFonts w:eastAsia="Times New Roman" w:cs="Arial"/>
          <w:lang w:val="en-GB" w:eastAsia="en-GB"/>
        </w:rPr>
        <w:lastRenderedPageBreak/>
        <w:t xml:space="preserve">ensuring that she receives accurate, timely guidance rather than partial or conflicting instructions.  </w:t>
      </w:r>
    </w:p>
    <w:p w14:paraId="0F91C240" w14:textId="2C2294F6" w:rsidR="000A3C54" w:rsidRPr="00A5593C" w:rsidRDefault="000A3C54" w:rsidP="00A5593C">
      <w:pPr>
        <w:spacing w:before="100" w:beforeAutospacing="1" w:after="100" w:afterAutospacing="1" w:line="360" w:lineRule="auto"/>
        <w:jc w:val="both"/>
        <w:rPr>
          <w:rFonts w:eastAsia="Times New Roman" w:cs="Arial"/>
          <w:u w:val="single"/>
          <w:lang w:val="en-GB" w:eastAsia="en-GB"/>
        </w:rPr>
      </w:pPr>
      <w:r w:rsidRPr="00A5593C">
        <w:rPr>
          <w:rFonts w:eastAsia="Times New Roman" w:cs="Arial"/>
          <w:lang w:val="en-GB" w:eastAsia="en-GB"/>
        </w:rPr>
        <w:t>In summary, collaborative working enables professionals to deliver coherent, responsive, and safe care that addresses the full range of Mrs Mann’s needs. Effective teamwork reduces risks, strengthens continuity, and supports person-centred rehabilitation.</w:t>
      </w:r>
    </w:p>
    <w:p w14:paraId="65D5C699" w14:textId="77777777" w:rsidR="000A3C54" w:rsidRPr="00AB64B5" w:rsidRDefault="000A3C54" w:rsidP="00A5593C">
      <w:pPr>
        <w:pStyle w:val="Ttulo2"/>
        <w:spacing w:line="360" w:lineRule="auto"/>
        <w:jc w:val="both"/>
        <w:rPr>
          <w:rFonts w:ascii="Arial" w:hAnsi="Arial" w:cs="Arial"/>
          <w:b/>
          <w:bCs/>
          <w:color w:val="auto"/>
          <w:sz w:val="22"/>
          <w:szCs w:val="22"/>
        </w:rPr>
      </w:pPr>
      <w:r w:rsidRPr="00AB64B5">
        <w:rPr>
          <w:rFonts w:ascii="Arial" w:hAnsi="Arial" w:cs="Arial"/>
          <w:b/>
          <w:bCs/>
          <w:color w:val="auto"/>
          <w:sz w:val="22"/>
          <w:szCs w:val="22"/>
        </w:rPr>
        <w:t>Conclusion</w:t>
      </w:r>
    </w:p>
    <w:p w14:paraId="5530C202" w14:textId="7784B440" w:rsidR="000A3C54" w:rsidRPr="00A5593C" w:rsidRDefault="000A3C54" w:rsidP="00A5593C">
      <w:pPr>
        <w:spacing w:line="360" w:lineRule="auto"/>
        <w:jc w:val="both"/>
        <w:rPr>
          <w:rFonts w:cs="Arial"/>
        </w:rPr>
      </w:pPr>
      <w:r w:rsidRPr="00A5593C">
        <w:rPr>
          <w:rFonts w:cs="Arial"/>
          <w:lang w:val="en-GB"/>
        </w:rPr>
        <w:t xml:space="preserve">The case of Mrs Mann demonstrates the fundamental importance of effective communication, strong administrative skills, and collaborative working in delivering high-quality health and social care. </w:t>
      </w:r>
      <w:r w:rsidRPr="00A5593C">
        <w:rPr>
          <w:rFonts w:cs="Arial"/>
        </w:rPr>
        <w:t xml:space="preserve">Communication must align with the Equality Act 2010, uphold dignity and address linguistic and cultural needs through structured approaches such as the SOLER model. Administrative competence, supported by the Data Protection Act 2018, UK GDPR, NHS Digital guidance, and the Caldicott Principles, ensure lawful, transparent, and secure management of personal information. Collaborative working across the multidisciplinary team promotes continuity, continuity, reduces risk, and supports safe rehabilitation. When </w:t>
      </w:r>
      <w:r w:rsidR="00D21072" w:rsidRPr="00A5593C">
        <w:rPr>
          <w:rFonts w:cs="Arial"/>
        </w:rPr>
        <w:t>applied</w:t>
      </w:r>
      <w:r w:rsidRPr="00A5593C">
        <w:rPr>
          <w:rFonts w:cs="Arial"/>
        </w:rPr>
        <w:t xml:space="preserve"> consistently, these components enable person-centered ethical and coordinated care that meets the complex needs of individuals like </w:t>
      </w:r>
      <w:proofErr w:type="spellStart"/>
      <w:r w:rsidRPr="00A5593C">
        <w:rPr>
          <w:rFonts w:cs="Arial"/>
        </w:rPr>
        <w:t>Mrs</w:t>
      </w:r>
      <w:proofErr w:type="spellEnd"/>
      <w:r w:rsidRPr="00A5593C">
        <w:rPr>
          <w:rFonts w:cs="Arial"/>
        </w:rPr>
        <w:t xml:space="preserve"> Mann.</w:t>
      </w:r>
    </w:p>
    <w:p w14:paraId="685F680F" w14:textId="77777777" w:rsidR="00D21072" w:rsidRPr="00A5593C" w:rsidRDefault="00D21072" w:rsidP="00A5593C">
      <w:pPr>
        <w:spacing w:line="360" w:lineRule="auto"/>
        <w:jc w:val="both"/>
        <w:rPr>
          <w:rFonts w:cs="Arial"/>
          <w:highlight w:val="yellow"/>
        </w:rPr>
      </w:pPr>
    </w:p>
    <w:p w14:paraId="4A8FAC2E" w14:textId="77777777" w:rsidR="000A3C54" w:rsidRPr="006963EB" w:rsidRDefault="000A3C54" w:rsidP="00A5593C">
      <w:pPr>
        <w:pStyle w:val="Ttulo2"/>
        <w:jc w:val="both"/>
        <w:rPr>
          <w:rFonts w:ascii="Arial" w:hAnsi="Arial" w:cs="Arial"/>
          <w:b/>
          <w:bCs/>
          <w:color w:val="auto"/>
          <w:sz w:val="22"/>
          <w:szCs w:val="22"/>
          <w:u w:val="single"/>
        </w:rPr>
      </w:pPr>
      <w:r w:rsidRPr="00A5593C">
        <w:rPr>
          <w:rFonts w:ascii="Arial" w:hAnsi="Arial" w:cs="Arial"/>
          <w:b/>
          <w:bCs/>
          <w:color w:val="auto"/>
          <w:sz w:val="22"/>
          <w:szCs w:val="22"/>
        </w:rPr>
        <w:t xml:space="preserve">References </w:t>
      </w:r>
    </w:p>
    <w:p w14:paraId="2AA9A6A6" w14:textId="77777777" w:rsidR="00D21072" w:rsidRPr="00A5593C" w:rsidRDefault="00D21072" w:rsidP="00A5593C">
      <w:pPr>
        <w:jc w:val="both"/>
        <w:rPr>
          <w:rFonts w:cs="Arial"/>
          <w:lang w:val="en-GB"/>
        </w:rPr>
      </w:pPr>
    </w:p>
    <w:p w14:paraId="04CD384E"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Government Equalities Office (2020)</w:t>
      </w:r>
      <w:r w:rsidRPr="00A5593C">
        <w:rPr>
          <w:rFonts w:eastAsia="Times New Roman" w:cs="Arial"/>
          <w:lang w:val="en-GB" w:eastAsia="en-GB"/>
        </w:rPr>
        <w:t xml:space="preserve"> </w:t>
      </w:r>
      <w:r w:rsidRPr="00A5593C">
        <w:rPr>
          <w:rFonts w:eastAsia="Times New Roman" w:cs="Arial"/>
          <w:i/>
          <w:iCs/>
          <w:lang w:val="en-GB" w:eastAsia="en-GB"/>
        </w:rPr>
        <w:t>Equality Act 2010: Guidance</w:t>
      </w:r>
      <w:r w:rsidRPr="00A5593C">
        <w:rPr>
          <w:rFonts w:eastAsia="Times New Roman" w:cs="Arial"/>
          <w:lang w:val="en-GB" w:eastAsia="en-GB"/>
        </w:rPr>
        <w:t xml:space="preserve">. UK Government. Available at: </w:t>
      </w:r>
      <w:hyperlink r:id="rId4" w:tgtFrame="_new" w:history="1">
        <w:r w:rsidRPr="00A5593C">
          <w:rPr>
            <w:rFonts w:eastAsia="Times New Roman" w:cs="Arial"/>
            <w:color w:val="0000FF"/>
            <w:u w:val="single"/>
            <w:lang w:val="en-GB" w:eastAsia="en-GB"/>
          </w:rPr>
          <w:t>https://www.gov.uk</w:t>
        </w:r>
      </w:hyperlink>
      <w:r w:rsidRPr="00A5593C">
        <w:rPr>
          <w:rFonts w:eastAsia="Times New Roman" w:cs="Arial"/>
          <w:lang w:val="en-GB" w:eastAsia="en-GB"/>
        </w:rPr>
        <w:t xml:space="preserve"> (Accessed: 23 November 2025).</w:t>
      </w:r>
    </w:p>
    <w:p w14:paraId="4FF5C8C6"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NHS Digital (2023)</w:t>
      </w:r>
      <w:r w:rsidRPr="00A5593C">
        <w:rPr>
          <w:rFonts w:eastAsia="Times New Roman" w:cs="Arial"/>
          <w:lang w:val="en-GB" w:eastAsia="en-GB"/>
        </w:rPr>
        <w:t xml:space="preserve"> </w:t>
      </w:r>
      <w:r w:rsidRPr="00A5593C">
        <w:rPr>
          <w:rFonts w:eastAsia="Times New Roman" w:cs="Arial"/>
          <w:i/>
          <w:iCs/>
          <w:lang w:val="en-GB" w:eastAsia="en-GB"/>
        </w:rPr>
        <w:t>Protecting patient data</w:t>
      </w:r>
      <w:r w:rsidRPr="00A5593C">
        <w:rPr>
          <w:rFonts w:eastAsia="Times New Roman" w:cs="Arial"/>
          <w:lang w:val="en-GB" w:eastAsia="en-GB"/>
        </w:rPr>
        <w:t xml:space="preserve">. NHS England. Available at: </w:t>
      </w:r>
      <w:hyperlink r:id="rId5" w:tgtFrame="_new" w:history="1">
        <w:r w:rsidRPr="00A5593C">
          <w:rPr>
            <w:rFonts w:eastAsia="Times New Roman" w:cs="Arial"/>
            <w:color w:val="0000FF"/>
            <w:u w:val="single"/>
            <w:lang w:val="en-GB" w:eastAsia="en-GB"/>
          </w:rPr>
          <w:t>https://digital.nhs.uk</w:t>
        </w:r>
      </w:hyperlink>
      <w:r w:rsidRPr="00A5593C">
        <w:rPr>
          <w:rFonts w:eastAsia="Times New Roman" w:cs="Arial"/>
          <w:lang w:val="en-GB" w:eastAsia="en-GB"/>
        </w:rPr>
        <w:t xml:space="preserve"> (Accessed: 23 November 2025).</w:t>
      </w:r>
    </w:p>
    <w:p w14:paraId="232435DD"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NHS England (2022)</w:t>
      </w:r>
      <w:r w:rsidRPr="00A5593C">
        <w:rPr>
          <w:rFonts w:eastAsia="Times New Roman" w:cs="Arial"/>
          <w:lang w:val="en-GB" w:eastAsia="en-GB"/>
        </w:rPr>
        <w:t xml:space="preserve"> </w:t>
      </w:r>
      <w:r w:rsidRPr="00A5593C">
        <w:rPr>
          <w:rFonts w:eastAsia="Times New Roman" w:cs="Arial"/>
          <w:i/>
          <w:iCs/>
          <w:lang w:val="en-GB" w:eastAsia="en-GB"/>
        </w:rPr>
        <w:t>Integrated care systems and multidisciplinary coordination</w:t>
      </w:r>
      <w:r w:rsidRPr="00A5593C">
        <w:rPr>
          <w:rFonts w:eastAsia="Times New Roman" w:cs="Arial"/>
          <w:lang w:val="en-GB" w:eastAsia="en-GB"/>
        </w:rPr>
        <w:t xml:space="preserve">. NHS Publications. Available at: </w:t>
      </w:r>
      <w:hyperlink r:id="rId6" w:tgtFrame="_new" w:history="1">
        <w:r w:rsidRPr="00A5593C">
          <w:rPr>
            <w:rFonts w:eastAsia="Times New Roman" w:cs="Arial"/>
            <w:color w:val="0000FF"/>
            <w:u w:val="single"/>
            <w:lang w:val="en-GB" w:eastAsia="en-GB"/>
          </w:rPr>
          <w:t>https://www.england.nhs.uk</w:t>
        </w:r>
      </w:hyperlink>
      <w:r w:rsidRPr="00A5593C">
        <w:rPr>
          <w:rFonts w:eastAsia="Times New Roman" w:cs="Arial"/>
          <w:lang w:val="en-GB" w:eastAsia="en-GB"/>
        </w:rPr>
        <w:t xml:space="preserve"> (Accessed: 23 November 2025).</w:t>
      </w:r>
    </w:p>
    <w:p w14:paraId="3F332245"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UK Government (2024)</w:t>
      </w:r>
      <w:r w:rsidRPr="00A5593C">
        <w:rPr>
          <w:rFonts w:eastAsia="Times New Roman" w:cs="Arial"/>
          <w:lang w:val="en-GB" w:eastAsia="en-GB"/>
        </w:rPr>
        <w:t xml:space="preserve"> </w:t>
      </w:r>
      <w:r w:rsidRPr="00A5593C">
        <w:rPr>
          <w:rFonts w:eastAsia="Times New Roman" w:cs="Arial"/>
          <w:i/>
          <w:iCs/>
          <w:lang w:val="en-GB" w:eastAsia="en-GB"/>
        </w:rPr>
        <w:t>Data Protection Act 2018</w:t>
      </w:r>
      <w:r w:rsidRPr="00A5593C">
        <w:rPr>
          <w:rFonts w:eastAsia="Times New Roman" w:cs="Arial"/>
          <w:lang w:val="en-GB" w:eastAsia="en-GB"/>
        </w:rPr>
        <w:t xml:space="preserve">. legislation.gov.uk. Available at: </w:t>
      </w:r>
      <w:hyperlink r:id="rId7" w:tgtFrame="_new" w:history="1">
        <w:r w:rsidRPr="00A5593C">
          <w:rPr>
            <w:rFonts w:eastAsia="Times New Roman" w:cs="Arial"/>
            <w:color w:val="0000FF"/>
            <w:u w:val="single"/>
            <w:lang w:val="en-GB" w:eastAsia="en-GB"/>
          </w:rPr>
          <w:t>https://www.legislation.gov.uk</w:t>
        </w:r>
      </w:hyperlink>
      <w:r w:rsidRPr="00A5593C">
        <w:rPr>
          <w:rFonts w:eastAsia="Times New Roman" w:cs="Arial"/>
          <w:lang w:val="en-GB" w:eastAsia="en-GB"/>
        </w:rPr>
        <w:t xml:space="preserve"> (Accessed: 23 November 2025).</w:t>
      </w:r>
    </w:p>
    <w:p w14:paraId="27B699BE"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Al Shamsi, H., Almutairi, A., Al Mashrafi, S. and Al Kalbani, T. (2020)</w:t>
      </w:r>
      <w:r w:rsidRPr="00A5593C">
        <w:rPr>
          <w:rFonts w:eastAsia="Times New Roman" w:cs="Arial"/>
          <w:lang w:val="en-GB" w:eastAsia="en-GB"/>
        </w:rPr>
        <w:t xml:space="preserve"> ‘Implications of language barriers for healthcare’, </w:t>
      </w:r>
      <w:r w:rsidRPr="00A5593C">
        <w:rPr>
          <w:rFonts w:eastAsia="Times New Roman" w:cs="Arial"/>
          <w:i/>
          <w:iCs/>
          <w:lang w:val="en-GB" w:eastAsia="en-GB"/>
        </w:rPr>
        <w:t>Journal of Multidisciplinary Healthcare</w:t>
      </w:r>
      <w:r w:rsidRPr="00A5593C">
        <w:rPr>
          <w:rFonts w:eastAsia="Times New Roman" w:cs="Arial"/>
          <w:lang w:val="en-GB" w:eastAsia="en-GB"/>
        </w:rPr>
        <w:t xml:space="preserve">, 13, pp. 1–6. Available at: </w:t>
      </w:r>
      <w:hyperlink r:id="rId8" w:tgtFrame="_new" w:history="1">
        <w:r w:rsidRPr="00A5593C">
          <w:rPr>
            <w:rFonts w:eastAsia="Times New Roman" w:cs="Arial"/>
            <w:color w:val="0000FF"/>
            <w:u w:val="single"/>
            <w:lang w:val="en-GB" w:eastAsia="en-GB"/>
          </w:rPr>
          <w:t>https://www.dovepress.com</w:t>
        </w:r>
      </w:hyperlink>
      <w:r w:rsidRPr="00A5593C">
        <w:rPr>
          <w:rFonts w:eastAsia="Times New Roman" w:cs="Arial"/>
          <w:lang w:val="en-GB" w:eastAsia="en-GB"/>
        </w:rPr>
        <w:t xml:space="preserve"> (Accessed: 30 November 2025).</w:t>
      </w:r>
    </w:p>
    <w:p w14:paraId="2334DE59"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British Medical Journal (2021)</w:t>
      </w:r>
      <w:r w:rsidRPr="00A5593C">
        <w:rPr>
          <w:rFonts w:eastAsia="Times New Roman" w:cs="Arial"/>
          <w:lang w:val="en-GB" w:eastAsia="en-GB"/>
        </w:rPr>
        <w:t xml:space="preserve"> ‘Improving communication and continuity in multidisciplinary teams’, </w:t>
      </w:r>
      <w:r w:rsidRPr="00A5593C">
        <w:rPr>
          <w:rFonts w:eastAsia="Times New Roman" w:cs="Arial"/>
          <w:i/>
          <w:iCs/>
          <w:lang w:val="en-GB" w:eastAsia="en-GB"/>
        </w:rPr>
        <w:t>BMJ Quality &amp; Safety</w:t>
      </w:r>
      <w:r w:rsidRPr="00A5593C">
        <w:rPr>
          <w:rFonts w:eastAsia="Times New Roman" w:cs="Arial"/>
          <w:lang w:val="en-GB" w:eastAsia="en-GB"/>
        </w:rPr>
        <w:t xml:space="preserve">, 30(7), pp. 577–584. Available at: </w:t>
      </w:r>
      <w:hyperlink r:id="rId9" w:tgtFrame="_new" w:history="1">
        <w:r w:rsidRPr="00A5593C">
          <w:rPr>
            <w:rFonts w:eastAsia="Times New Roman" w:cs="Arial"/>
            <w:color w:val="0000FF"/>
            <w:u w:val="single"/>
            <w:lang w:val="en-GB" w:eastAsia="en-GB"/>
          </w:rPr>
          <w:t>https://qualitysafety.bmj.com</w:t>
        </w:r>
      </w:hyperlink>
      <w:r w:rsidRPr="00A5593C">
        <w:rPr>
          <w:rFonts w:eastAsia="Times New Roman" w:cs="Arial"/>
          <w:lang w:val="en-GB" w:eastAsia="en-GB"/>
        </w:rPr>
        <w:t xml:space="preserve"> (Accessed: 30 November 2025).</w:t>
      </w:r>
    </w:p>
    <w:p w14:paraId="3E42CB62"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lastRenderedPageBreak/>
        <w:t>Lee, J., Rhodes, S. and Bowen, S. (2021)</w:t>
      </w:r>
      <w:r w:rsidRPr="00A5593C">
        <w:rPr>
          <w:rFonts w:eastAsia="Times New Roman" w:cs="Arial"/>
          <w:lang w:val="en-GB" w:eastAsia="en-GB"/>
        </w:rPr>
        <w:t xml:space="preserve"> ‘Interpreter use and patient safety outcomes’, </w:t>
      </w:r>
      <w:r w:rsidRPr="00A5593C">
        <w:rPr>
          <w:rFonts w:eastAsia="Times New Roman" w:cs="Arial"/>
          <w:i/>
          <w:iCs/>
          <w:lang w:val="en-GB" w:eastAsia="en-GB"/>
        </w:rPr>
        <w:t>Health Communication Journal</w:t>
      </w:r>
      <w:r w:rsidRPr="00A5593C">
        <w:rPr>
          <w:rFonts w:eastAsia="Times New Roman" w:cs="Arial"/>
          <w:lang w:val="en-GB" w:eastAsia="en-GB"/>
        </w:rPr>
        <w:t xml:space="preserve">, 36(4), pp. 512–520. Available at: </w:t>
      </w:r>
      <w:hyperlink r:id="rId10" w:tgtFrame="_new" w:history="1">
        <w:r w:rsidRPr="00A5593C">
          <w:rPr>
            <w:rFonts w:eastAsia="Times New Roman" w:cs="Arial"/>
            <w:color w:val="0000FF"/>
            <w:u w:val="single"/>
            <w:lang w:val="en-GB" w:eastAsia="en-GB"/>
          </w:rPr>
          <w:t>https://www.tandfonline.com</w:t>
        </w:r>
      </w:hyperlink>
      <w:r w:rsidRPr="00A5593C">
        <w:rPr>
          <w:rFonts w:eastAsia="Times New Roman" w:cs="Arial"/>
          <w:lang w:val="en-GB" w:eastAsia="en-GB"/>
        </w:rPr>
        <w:t xml:space="preserve"> (Accessed: 30 November 2025).</w:t>
      </w:r>
    </w:p>
    <w:p w14:paraId="23813A48"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proofErr w:type="spellStart"/>
      <w:r w:rsidRPr="00A5593C">
        <w:rPr>
          <w:rFonts w:eastAsia="Times New Roman" w:cs="Arial"/>
          <w:b/>
          <w:bCs/>
          <w:lang w:val="en-GB" w:eastAsia="en-GB"/>
        </w:rPr>
        <w:t>Manojlovich</w:t>
      </w:r>
      <w:proofErr w:type="spellEnd"/>
      <w:r w:rsidRPr="00A5593C">
        <w:rPr>
          <w:rFonts w:eastAsia="Times New Roman" w:cs="Arial"/>
          <w:b/>
          <w:bCs/>
          <w:lang w:val="en-GB" w:eastAsia="en-GB"/>
        </w:rPr>
        <w:t>, M., Burns, L., Rattray, N., Cron, D. and Saint, S. (2019)</w:t>
      </w:r>
      <w:r w:rsidRPr="00A5593C">
        <w:rPr>
          <w:rFonts w:eastAsia="Times New Roman" w:cs="Arial"/>
          <w:lang w:val="en-GB" w:eastAsia="en-GB"/>
        </w:rPr>
        <w:t xml:space="preserve"> ‘Nurse communication and medication errors’, </w:t>
      </w:r>
      <w:r w:rsidRPr="00A5593C">
        <w:rPr>
          <w:rFonts w:eastAsia="Times New Roman" w:cs="Arial"/>
          <w:i/>
          <w:iCs/>
          <w:lang w:val="en-GB" w:eastAsia="en-GB"/>
        </w:rPr>
        <w:t>BMJ Quality &amp; Safety</w:t>
      </w:r>
      <w:r w:rsidRPr="00A5593C">
        <w:rPr>
          <w:rFonts w:eastAsia="Times New Roman" w:cs="Arial"/>
          <w:lang w:val="en-GB" w:eastAsia="en-GB"/>
        </w:rPr>
        <w:t xml:space="preserve">, 28(9), pp. 1–10. Available at: </w:t>
      </w:r>
      <w:hyperlink r:id="rId11" w:tgtFrame="_new" w:history="1">
        <w:r w:rsidRPr="00A5593C">
          <w:rPr>
            <w:rFonts w:eastAsia="Times New Roman" w:cs="Arial"/>
            <w:color w:val="0000FF"/>
            <w:u w:val="single"/>
            <w:lang w:val="en-GB" w:eastAsia="en-GB"/>
          </w:rPr>
          <w:t>https://qualitysafety.bmj.com</w:t>
        </w:r>
      </w:hyperlink>
      <w:r w:rsidRPr="00A5593C">
        <w:rPr>
          <w:rFonts w:eastAsia="Times New Roman" w:cs="Arial"/>
          <w:lang w:val="en-GB" w:eastAsia="en-GB"/>
        </w:rPr>
        <w:t xml:space="preserve"> (Accessed: 30 November 2025).</w:t>
      </w:r>
    </w:p>
    <w:p w14:paraId="2FA5A12B"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NHS Modality Lewisham (2025)</w:t>
      </w:r>
      <w:r w:rsidRPr="00A5593C">
        <w:rPr>
          <w:rFonts w:eastAsia="Times New Roman" w:cs="Arial"/>
          <w:lang w:val="en-GB" w:eastAsia="en-GB"/>
        </w:rPr>
        <w:t xml:space="preserve"> </w:t>
      </w:r>
      <w:r w:rsidRPr="00A5593C">
        <w:rPr>
          <w:rFonts w:eastAsia="Times New Roman" w:cs="Arial"/>
          <w:i/>
          <w:iCs/>
          <w:lang w:val="en-GB" w:eastAsia="en-GB"/>
        </w:rPr>
        <w:t>Data Protection Privacy Notice for Patients</w:t>
      </w:r>
      <w:r w:rsidRPr="00A5593C">
        <w:rPr>
          <w:rFonts w:eastAsia="Times New Roman" w:cs="Arial"/>
          <w:lang w:val="en-GB" w:eastAsia="en-GB"/>
        </w:rPr>
        <w:t xml:space="preserve">. Available at: </w:t>
      </w:r>
      <w:hyperlink r:id="rId12" w:tgtFrame="_new" w:history="1">
        <w:r w:rsidRPr="00A5593C">
          <w:rPr>
            <w:rFonts w:eastAsia="Times New Roman" w:cs="Arial"/>
            <w:color w:val="0000FF"/>
            <w:u w:val="single"/>
            <w:lang w:val="en-GB" w:eastAsia="en-GB"/>
          </w:rPr>
          <w:t>https://www.modalitypartnership.nhs.uk</w:t>
        </w:r>
      </w:hyperlink>
      <w:r w:rsidRPr="00A5593C">
        <w:rPr>
          <w:rFonts w:eastAsia="Times New Roman" w:cs="Arial"/>
          <w:lang w:val="en-GB" w:eastAsia="en-GB"/>
        </w:rPr>
        <w:t xml:space="preserve"> (Accessed: 30 November 2025).</w:t>
      </w:r>
    </w:p>
    <w:p w14:paraId="0024AD44"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Sharma, R. and Kuo, T. (2020)</w:t>
      </w:r>
      <w:r w:rsidRPr="00A5593C">
        <w:rPr>
          <w:rFonts w:eastAsia="Times New Roman" w:cs="Arial"/>
          <w:lang w:val="en-GB" w:eastAsia="en-GB"/>
        </w:rPr>
        <w:t xml:space="preserve"> ‘Person-centred communication in diverse populations’, </w:t>
      </w:r>
      <w:r w:rsidRPr="00A5593C">
        <w:rPr>
          <w:rFonts w:eastAsia="Times New Roman" w:cs="Arial"/>
          <w:i/>
          <w:iCs/>
          <w:lang w:val="en-GB" w:eastAsia="en-GB"/>
        </w:rPr>
        <w:t>International Journal of Nursing Studies</w:t>
      </w:r>
      <w:r w:rsidRPr="00A5593C">
        <w:rPr>
          <w:rFonts w:eastAsia="Times New Roman" w:cs="Arial"/>
          <w:lang w:val="en-GB" w:eastAsia="en-GB"/>
        </w:rPr>
        <w:t xml:space="preserve">, 109, pp. 1–8. Available at: </w:t>
      </w:r>
      <w:hyperlink r:id="rId13" w:tgtFrame="_new" w:history="1">
        <w:r w:rsidRPr="00A5593C">
          <w:rPr>
            <w:rFonts w:eastAsia="Times New Roman" w:cs="Arial"/>
            <w:color w:val="0000FF"/>
            <w:u w:val="single"/>
            <w:lang w:val="en-GB" w:eastAsia="en-GB"/>
          </w:rPr>
          <w:t>https://www.sciencedirect.com</w:t>
        </w:r>
      </w:hyperlink>
      <w:r w:rsidRPr="00A5593C">
        <w:rPr>
          <w:rFonts w:eastAsia="Times New Roman" w:cs="Arial"/>
          <w:lang w:val="en-GB" w:eastAsia="en-GB"/>
        </w:rPr>
        <w:t xml:space="preserve"> (Accessed: 30 November 2025).</w:t>
      </w:r>
    </w:p>
    <w:p w14:paraId="1A17B77D" w14:textId="77777777" w:rsidR="000A3C54" w:rsidRPr="00A5593C" w:rsidRDefault="000A3C54" w:rsidP="00A5593C">
      <w:pPr>
        <w:spacing w:before="100" w:beforeAutospacing="1" w:after="100" w:afterAutospacing="1" w:line="240" w:lineRule="auto"/>
        <w:jc w:val="both"/>
        <w:rPr>
          <w:rFonts w:eastAsia="Times New Roman" w:cs="Arial"/>
          <w:lang w:val="en-GB" w:eastAsia="en-GB"/>
        </w:rPr>
      </w:pPr>
      <w:r w:rsidRPr="00A5593C">
        <w:rPr>
          <w:rFonts w:eastAsia="Times New Roman" w:cs="Arial"/>
          <w:b/>
          <w:bCs/>
          <w:lang w:val="en-GB" w:eastAsia="en-GB"/>
        </w:rPr>
        <w:t>Thomas, L. and McKevitt, C. (2020)</w:t>
      </w:r>
      <w:r w:rsidRPr="00A5593C">
        <w:rPr>
          <w:rFonts w:eastAsia="Times New Roman" w:cs="Arial"/>
          <w:lang w:val="en-GB" w:eastAsia="en-GB"/>
        </w:rPr>
        <w:t xml:space="preserve"> ‘Interprofessional communication and patient safety’, </w:t>
      </w:r>
      <w:r w:rsidRPr="00A5593C">
        <w:rPr>
          <w:rFonts w:eastAsia="Times New Roman" w:cs="Arial"/>
          <w:i/>
          <w:iCs/>
          <w:lang w:val="en-GB" w:eastAsia="en-GB"/>
        </w:rPr>
        <w:t>Social Science &amp; Medicine</w:t>
      </w:r>
      <w:r w:rsidRPr="00A5593C">
        <w:rPr>
          <w:rFonts w:eastAsia="Times New Roman" w:cs="Arial"/>
          <w:lang w:val="en-GB" w:eastAsia="en-GB"/>
        </w:rPr>
        <w:t xml:space="preserve">, 256, 113043. Available at: </w:t>
      </w:r>
      <w:hyperlink r:id="rId14" w:tgtFrame="_new" w:history="1">
        <w:r w:rsidRPr="00A5593C">
          <w:rPr>
            <w:rFonts w:eastAsia="Times New Roman" w:cs="Arial"/>
            <w:color w:val="0000FF"/>
            <w:u w:val="single"/>
            <w:lang w:val="en-GB" w:eastAsia="en-GB"/>
          </w:rPr>
          <w:t>https://www.sciencedirect.com</w:t>
        </w:r>
      </w:hyperlink>
      <w:r w:rsidRPr="00A5593C">
        <w:rPr>
          <w:rFonts w:eastAsia="Times New Roman" w:cs="Arial"/>
          <w:lang w:val="en-GB" w:eastAsia="en-GB"/>
        </w:rPr>
        <w:t xml:space="preserve"> (Accessed: 30 November 2025).</w:t>
      </w:r>
    </w:p>
    <w:p w14:paraId="1AE6E937" w14:textId="77777777" w:rsidR="000A3C54" w:rsidRPr="00A5593C" w:rsidRDefault="000A3C54" w:rsidP="00A5593C">
      <w:pPr>
        <w:pStyle w:val="NormalWeb"/>
        <w:jc w:val="both"/>
        <w:rPr>
          <w:rFonts w:ascii="Arial" w:hAnsi="Arial" w:cs="Arial"/>
          <w:sz w:val="22"/>
          <w:szCs w:val="22"/>
          <w:u w:val="single"/>
        </w:rPr>
      </w:pPr>
    </w:p>
    <w:p w14:paraId="2B0D4DC3" w14:textId="77777777" w:rsidR="000A3C54" w:rsidRPr="00A5593C" w:rsidRDefault="000A3C54" w:rsidP="00A5593C">
      <w:pPr>
        <w:jc w:val="both"/>
        <w:rPr>
          <w:rFonts w:cs="Arial"/>
        </w:rPr>
      </w:pPr>
    </w:p>
    <w:sectPr w:rsidR="000A3C54" w:rsidRPr="00A559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C54"/>
    <w:rsid w:val="000A3C54"/>
    <w:rsid w:val="00243A35"/>
    <w:rsid w:val="0065716B"/>
    <w:rsid w:val="006963EB"/>
    <w:rsid w:val="00A5593C"/>
    <w:rsid w:val="00A97C3C"/>
    <w:rsid w:val="00AB64B5"/>
    <w:rsid w:val="00AE5CE8"/>
    <w:rsid w:val="00BD7E2A"/>
    <w:rsid w:val="00C74086"/>
    <w:rsid w:val="00D21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504BF"/>
  <w15:chartTrackingRefBased/>
  <w15:docId w15:val="{D3FBF260-BDBF-4E78-A795-B10F392A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C54"/>
    <w:pPr>
      <w:spacing w:after="200" w:line="276" w:lineRule="auto"/>
    </w:pPr>
    <w:rPr>
      <w:rFonts w:ascii="Arial" w:eastAsia="Arial" w:hAnsi="Arial"/>
      <w:kern w:val="0"/>
      <w:sz w:val="22"/>
      <w:szCs w:val="22"/>
      <w:lang w:val="en-US"/>
      <w14:ligatures w14:val="none"/>
    </w:rPr>
  </w:style>
  <w:style w:type="paragraph" w:styleId="Ttulo1">
    <w:name w:val="heading 1"/>
    <w:basedOn w:val="Normal"/>
    <w:next w:val="Normal"/>
    <w:link w:val="Ttulo1Car"/>
    <w:uiPriority w:val="9"/>
    <w:qFormat/>
    <w:rsid w:val="000A3C5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Ttulo2">
    <w:name w:val="heading 2"/>
    <w:basedOn w:val="Normal"/>
    <w:next w:val="Normal"/>
    <w:link w:val="Ttulo2Car"/>
    <w:uiPriority w:val="9"/>
    <w:unhideWhenUsed/>
    <w:qFormat/>
    <w:rsid w:val="000A3C5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Ttulo3">
    <w:name w:val="heading 3"/>
    <w:basedOn w:val="Normal"/>
    <w:next w:val="Normal"/>
    <w:link w:val="Ttulo3Car"/>
    <w:uiPriority w:val="9"/>
    <w:semiHidden/>
    <w:unhideWhenUsed/>
    <w:qFormat/>
    <w:rsid w:val="000A3C5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Ttulo4">
    <w:name w:val="heading 4"/>
    <w:basedOn w:val="Normal"/>
    <w:next w:val="Normal"/>
    <w:link w:val="Ttulo4Car"/>
    <w:uiPriority w:val="9"/>
    <w:semiHidden/>
    <w:unhideWhenUsed/>
    <w:qFormat/>
    <w:rsid w:val="000A3C5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Ttulo5">
    <w:name w:val="heading 5"/>
    <w:basedOn w:val="Normal"/>
    <w:next w:val="Normal"/>
    <w:link w:val="Ttulo5Car"/>
    <w:uiPriority w:val="9"/>
    <w:semiHidden/>
    <w:unhideWhenUsed/>
    <w:qFormat/>
    <w:rsid w:val="000A3C5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Ttulo6">
    <w:name w:val="heading 6"/>
    <w:basedOn w:val="Normal"/>
    <w:next w:val="Normal"/>
    <w:link w:val="Ttulo6Car"/>
    <w:uiPriority w:val="9"/>
    <w:semiHidden/>
    <w:unhideWhenUsed/>
    <w:qFormat/>
    <w:rsid w:val="000A3C54"/>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Ttulo7">
    <w:name w:val="heading 7"/>
    <w:basedOn w:val="Normal"/>
    <w:next w:val="Normal"/>
    <w:link w:val="Ttulo7Car"/>
    <w:uiPriority w:val="9"/>
    <w:semiHidden/>
    <w:unhideWhenUsed/>
    <w:qFormat/>
    <w:rsid w:val="000A3C54"/>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Ttulo8">
    <w:name w:val="heading 8"/>
    <w:basedOn w:val="Normal"/>
    <w:next w:val="Normal"/>
    <w:link w:val="Ttulo8Car"/>
    <w:uiPriority w:val="9"/>
    <w:semiHidden/>
    <w:unhideWhenUsed/>
    <w:qFormat/>
    <w:rsid w:val="000A3C54"/>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Ttulo9">
    <w:name w:val="heading 9"/>
    <w:basedOn w:val="Normal"/>
    <w:next w:val="Normal"/>
    <w:link w:val="Ttulo9Car"/>
    <w:uiPriority w:val="9"/>
    <w:semiHidden/>
    <w:unhideWhenUsed/>
    <w:qFormat/>
    <w:rsid w:val="000A3C54"/>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3C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A3C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A3C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A3C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A3C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A3C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3C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3C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3C54"/>
    <w:rPr>
      <w:rFonts w:eastAsiaTheme="majorEastAsia" w:cstheme="majorBidi"/>
      <w:color w:val="272727" w:themeColor="text1" w:themeTint="D8"/>
    </w:rPr>
  </w:style>
  <w:style w:type="paragraph" w:styleId="Ttulo">
    <w:name w:val="Title"/>
    <w:basedOn w:val="Normal"/>
    <w:next w:val="Normal"/>
    <w:link w:val="TtuloCar"/>
    <w:uiPriority w:val="10"/>
    <w:qFormat/>
    <w:rsid w:val="000A3C54"/>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tuloCar">
    <w:name w:val="Título Car"/>
    <w:basedOn w:val="Fuentedeprrafopredeter"/>
    <w:link w:val="Ttulo"/>
    <w:uiPriority w:val="10"/>
    <w:rsid w:val="000A3C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3C5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tuloCar">
    <w:name w:val="Subtítulo Car"/>
    <w:basedOn w:val="Fuentedeprrafopredeter"/>
    <w:link w:val="Subttulo"/>
    <w:uiPriority w:val="11"/>
    <w:rsid w:val="000A3C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3C54"/>
    <w:pPr>
      <w:spacing w:before="160" w:after="160" w:line="278" w:lineRule="auto"/>
      <w:jc w:val="center"/>
    </w:pPr>
    <w:rPr>
      <w:rFonts w:asciiTheme="minorHAnsi" w:eastAsiaTheme="minorHAnsi" w:hAnsiTheme="minorHAnsi"/>
      <w:i/>
      <w:iCs/>
      <w:color w:val="404040" w:themeColor="text1" w:themeTint="BF"/>
      <w:kern w:val="2"/>
      <w:sz w:val="24"/>
      <w:szCs w:val="24"/>
      <w:lang w:val="en-GB"/>
      <w14:ligatures w14:val="standardContextual"/>
    </w:rPr>
  </w:style>
  <w:style w:type="character" w:customStyle="1" w:styleId="CitaCar">
    <w:name w:val="Cita Car"/>
    <w:basedOn w:val="Fuentedeprrafopredeter"/>
    <w:link w:val="Cita"/>
    <w:uiPriority w:val="29"/>
    <w:rsid w:val="000A3C54"/>
    <w:rPr>
      <w:i/>
      <w:iCs/>
      <w:color w:val="404040" w:themeColor="text1" w:themeTint="BF"/>
    </w:rPr>
  </w:style>
  <w:style w:type="paragraph" w:styleId="Prrafodelista">
    <w:name w:val="List Paragraph"/>
    <w:basedOn w:val="Normal"/>
    <w:uiPriority w:val="34"/>
    <w:qFormat/>
    <w:rsid w:val="000A3C54"/>
    <w:pPr>
      <w:spacing w:after="160" w:line="278" w:lineRule="auto"/>
      <w:ind w:left="720"/>
      <w:contextualSpacing/>
    </w:pPr>
    <w:rPr>
      <w:rFonts w:asciiTheme="minorHAnsi" w:eastAsiaTheme="minorHAnsi" w:hAnsiTheme="minorHAnsi"/>
      <w:kern w:val="2"/>
      <w:sz w:val="24"/>
      <w:szCs w:val="24"/>
      <w:lang w:val="en-GB"/>
      <w14:ligatures w14:val="standardContextual"/>
    </w:rPr>
  </w:style>
  <w:style w:type="character" w:styleId="nfasisintenso">
    <w:name w:val="Intense Emphasis"/>
    <w:basedOn w:val="Fuentedeprrafopredeter"/>
    <w:uiPriority w:val="21"/>
    <w:qFormat/>
    <w:rsid w:val="000A3C54"/>
    <w:rPr>
      <w:i/>
      <w:iCs/>
      <w:color w:val="0F4761" w:themeColor="accent1" w:themeShade="BF"/>
    </w:rPr>
  </w:style>
  <w:style w:type="paragraph" w:styleId="Citadestacada">
    <w:name w:val="Intense Quote"/>
    <w:basedOn w:val="Normal"/>
    <w:next w:val="Normal"/>
    <w:link w:val="CitadestacadaCar"/>
    <w:uiPriority w:val="30"/>
    <w:qFormat/>
    <w:rsid w:val="000A3C5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lang w:val="en-GB"/>
      <w14:ligatures w14:val="standardContextual"/>
    </w:rPr>
  </w:style>
  <w:style w:type="character" w:customStyle="1" w:styleId="CitadestacadaCar">
    <w:name w:val="Cita destacada Car"/>
    <w:basedOn w:val="Fuentedeprrafopredeter"/>
    <w:link w:val="Citadestacada"/>
    <w:uiPriority w:val="30"/>
    <w:rsid w:val="000A3C54"/>
    <w:rPr>
      <w:i/>
      <w:iCs/>
      <w:color w:val="0F4761" w:themeColor="accent1" w:themeShade="BF"/>
    </w:rPr>
  </w:style>
  <w:style w:type="character" w:styleId="Referenciaintensa">
    <w:name w:val="Intense Reference"/>
    <w:basedOn w:val="Fuentedeprrafopredeter"/>
    <w:uiPriority w:val="32"/>
    <w:qFormat/>
    <w:rsid w:val="000A3C54"/>
    <w:rPr>
      <w:b/>
      <w:bCs/>
      <w:smallCaps/>
      <w:color w:val="0F4761" w:themeColor="accent1" w:themeShade="BF"/>
      <w:spacing w:val="5"/>
    </w:rPr>
  </w:style>
  <w:style w:type="paragraph" w:styleId="NormalWeb">
    <w:name w:val="Normal (Web)"/>
    <w:basedOn w:val="Normal"/>
    <w:uiPriority w:val="99"/>
    <w:semiHidden/>
    <w:unhideWhenUsed/>
    <w:rsid w:val="000A3C5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vepress.com" TargetMode="External"/><Relationship Id="rId13" Type="http://schemas.openxmlformats.org/officeDocument/2006/relationships/hyperlink" Target="https://www.sciencedirect.com" TargetMode="External"/><Relationship Id="rId3" Type="http://schemas.openxmlformats.org/officeDocument/2006/relationships/webSettings" Target="webSettings.xml"/><Relationship Id="rId7" Type="http://schemas.openxmlformats.org/officeDocument/2006/relationships/hyperlink" Target="https://www.legislation.gov.uk" TargetMode="External"/><Relationship Id="rId12" Type="http://schemas.openxmlformats.org/officeDocument/2006/relationships/hyperlink" Target="https://www.modalitypartnership.nhs.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ngland.nhs.uk" TargetMode="External"/><Relationship Id="rId11" Type="http://schemas.openxmlformats.org/officeDocument/2006/relationships/hyperlink" Target="https://qualitysafety.bmj.com" TargetMode="External"/><Relationship Id="rId5" Type="http://schemas.openxmlformats.org/officeDocument/2006/relationships/hyperlink" Target="https://digital.nhs.uk" TargetMode="External"/><Relationship Id="rId15" Type="http://schemas.openxmlformats.org/officeDocument/2006/relationships/fontTable" Target="fontTable.xml"/><Relationship Id="rId10" Type="http://schemas.openxmlformats.org/officeDocument/2006/relationships/hyperlink" Target="https://www.tandfonline.com" TargetMode="External"/><Relationship Id="rId4" Type="http://schemas.openxmlformats.org/officeDocument/2006/relationships/hyperlink" Target="https://www.gov.uk" TargetMode="External"/><Relationship Id="rId9" Type="http://schemas.openxmlformats.org/officeDocument/2006/relationships/hyperlink" Target="https://qualitysafety.bmj.com" TargetMode="External"/><Relationship Id="rId14" Type="http://schemas.openxmlformats.org/officeDocument/2006/relationships/hyperlink" Target="https://www.sciencedirect.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2249</Words>
  <Characters>12825</Characters>
  <Application>Microsoft Office Word</Application>
  <DocSecurity>0</DocSecurity>
  <Lines>106</Lines>
  <Paragraphs>30</Paragraphs>
  <ScaleCrop>false</ScaleCrop>
  <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Angy Caro</dc:creator>
  <cp:keywords/>
  <dc:description/>
  <cp:lastModifiedBy>Angy Caro</cp:lastModifiedBy>
  <cp:revision>8</cp:revision>
  <dcterms:created xsi:type="dcterms:W3CDTF">2025-12-03T21:08:00Z</dcterms:created>
  <dcterms:modified xsi:type="dcterms:W3CDTF">2025-12-03T21:38:00Z</dcterms:modified>
</cp:coreProperties>
</file>