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BB764" w14:textId="77777777" w:rsidR="00F757BE" w:rsidRDefault="00F757BE" w:rsidP="00045698">
      <w:pPr>
        <w:pStyle w:val="Heading1"/>
      </w:pPr>
    </w:p>
    <w:p w14:paraId="2F64A7AB" w14:textId="77777777" w:rsidR="00C136C3" w:rsidRDefault="00C136C3"/>
    <w:p w14:paraId="48A26F02" w14:textId="77777777" w:rsidR="00C136C3" w:rsidRDefault="00C136C3"/>
    <w:p w14:paraId="29FA9F77" w14:textId="77777777" w:rsidR="00C136C3" w:rsidRDefault="00C136C3"/>
    <w:p w14:paraId="2072F88F" w14:textId="77777777" w:rsidR="00C136C3" w:rsidRDefault="00C136C3"/>
    <w:p w14:paraId="1B2A7F58" w14:textId="77777777" w:rsidR="002B44B0" w:rsidRPr="0078564B" w:rsidRDefault="00355384" w:rsidP="006E421E">
      <w:pPr>
        <w:pStyle w:val="Title"/>
      </w:pPr>
      <w:r w:rsidRPr="00355384">
        <w:t xml:space="preserve">Investigating the Impact of Organisational Rebranding on Employee Experience and Operational Performance: </w:t>
      </w:r>
    </w:p>
    <w:p w14:paraId="7D37AA61" w14:textId="486419DA" w:rsidR="00355384" w:rsidRPr="0078564B" w:rsidRDefault="00355384" w:rsidP="006E421E">
      <w:pPr>
        <w:pStyle w:val="Title"/>
      </w:pPr>
      <w:r w:rsidRPr="00355384">
        <w:t>A Case Study of the Marriott Hotel’s Transition</w:t>
      </w:r>
    </w:p>
    <w:p w14:paraId="571BAF04" w14:textId="77777777" w:rsidR="00355384" w:rsidRPr="00355384" w:rsidRDefault="00355384" w:rsidP="00881C15">
      <w:pPr>
        <w:spacing w:line="480" w:lineRule="auto"/>
        <w:rPr>
          <w:b/>
          <w:bCs/>
        </w:rPr>
      </w:pPr>
    </w:p>
    <w:p w14:paraId="6E1E75BA" w14:textId="77777777" w:rsidR="00C136C3" w:rsidRDefault="00C136C3"/>
    <w:p w14:paraId="4806921C" w14:textId="77777777" w:rsidR="00C136C3" w:rsidRDefault="00C136C3"/>
    <w:p w14:paraId="4ECDCDAE" w14:textId="77777777" w:rsidR="00C136C3" w:rsidRDefault="00C136C3"/>
    <w:p w14:paraId="051012B7" w14:textId="77777777" w:rsidR="00C136C3" w:rsidRDefault="00C136C3"/>
    <w:p w14:paraId="535CE718" w14:textId="77777777" w:rsidR="00866AEC" w:rsidRDefault="00866AEC"/>
    <w:p w14:paraId="437B9485" w14:textId="77777777" w:rsidR="00866AEC" w:rsidRDefault="00866AEC"/>
    <w:p w14:paraId="7738F4BC" w14:textId="77777777" w:rsidR="00866AEC" w:rsidRDefault="00866AEC"/>
    <w:p w14:paraId="49EB8B13" w14:textId="77777777" w:rsidR="00866AEC" w:rsidRDefault="00866AEC"/>
    <w:p w14:paraId="681D4019" w14:textId="77777777" w:rsidR="00866AEC" w:rsidRDefault="00866AEC"/>
    <w:p w14:paraId="03962702" w14:textId="77777777" w:rsidR="00866AEC" w:rsidRDefault="00866AEC"/>
    <w:p w14:paraId="1E91DD31" w14:textId="77777777" w:rsidR="00866AEC" w:rsidRDefault="00866AEC"/>
    <w:p w14:paraId="7E383EE5" w14:textId="77777777" w:rsidR="00866AEC" w:rsidRDefault="00866AEC"/>
    <w:p w14:paraId="6061308B" w14:textId="77777777" w:rsidR="00866AEC" w:rsidRDefault="00866AEC"/>
    <w:p w14:paraId="36C28E8E" w14:textId="77777777" w:rsidR="00866AEC" w:rsidRDefault="00866AEC"/>
    <w:p w14:paraId="1BD278D5" w14:textId="77777777" w:rsidR="00866AEC" w:rsidRDefault="00866AEC"/>
    <w:p w14:paraId="022F0DA3" w14:textId="77777777" w:rsidR="00C136C3" w:rsidRDefault="00C136C3"/>
    <w:p w14:paraId="03FC4543" w14:textId="69AD0811" w:rsidR="00C136C3" w:rsidRPr="00881C15" w:rsidRDefault="005E1054" w:rsidP="00D83E77">
      <w:pPr>
        <w:rPr>
          <w:rFonts w:ascii="Times New Roman" w:hAnsi="Times New Roman" w:cs="Times New Roman"/>
          <w:sz w:val="28"/>
          <w:szCs w:val="28"/>
        </w:rPr>
      </w:pPr>
      <w:r w:rsidRPr="00881C15">
        <w:rPr>
          <w:rStyle w:val="Strong"/>
          <w:rFonts w:ascii="Times New Roman" w:hAnsi="Times New Roman" w:cs="Times New Roman"/>
          <w:sz w:val="28"/>
          <w:szCs w:val="28"/>
        </w:rPr>
        <w:t>Name:</w:t>
      </w:r>
      <w:r w:rsidRPr="00881C15">
        <w:rPr>
          <w:rFonts w:ascii="Times New Roman" w:hAnsi="Times New Roman" w:cs="Times New Roman"/>
          <w:sz w:val="28"/>
          <w:szCs w:val="28"/>
        </w:rPr>
        <w:t xml:space="preserve"> Codruta-Daniela Bogatean</w:t>
      </w:r>
      <w:r w:rsidRPr="00881C15">
        <w:rPr>
          <w:rFonts w:ascii="Times New Roman" w:hAnsi="Times New Roman" w:cs="Times New Roman"/>
          <w:sz w:val="28"/>
          <w:szCs w:val="28"/>
        </w:rPr>
        <w:br/>
      </w:r>
      <w:r w:rsidRPr="00881C15">
        <w:rPr>
          <w:rStyle w:val="Strong"/>
          <w:rFonts w:ascii="Times New Roman" w:hAnsi="Times New Roman" w:cs="Times New Roman"/>
          <w:sz w:val="28"/>
          <w:szCs w:val="28"/>
        </w:rPr>
        <w:t>Student Number:</w:t>
      </w:r>
      <w:r w:rsidRPr="00881C15">
        <w:rPr>
          <w:rFonts w:ascii="Times New Roman" w:hAnsi="Times New Roman" w:cs="Times New Roman"/>
          <w:sz w:val="28"/>
          <w:szCs w:val="28"/>
        </w:rPr>
        <w:t xml:space="preserve"> 2210404</w:t>
      </w:r>
      <w:r w:rsidRPr="00881C15">
        <w:rPr>
          <w:rFonts w:ascii="Times New Roman" w:hAnsi="Times New Roman" w:cs="Times New Roman"/>
          <w:sz w:val="28"/>
          <w:szCs w:val="28"/>
        </w:rPr>
        <w:br/>
      </w:r>
      <w:r w:rsidRPr="00881C15">
        <w:rPr>
          <w:rStyle w:val="Strong"/>
          <w:rFonts w:ascii="Times New Roman" w:hAnsi="Times New Roman" w:cs="Times New Roman"/>
          <w:sz w:val="28"/>
          <w:szCs w:val="28"/>
        </w:rPr>
        <w:t>Module Name:</w:t>
      </w:r>
      <w:r w:rsidRPr="00881C15">
        <w:rPr>
          <w:rFonts w:ascii="Times New Roman" w:hAnsi="Times New Roman" w:cs="Times New Roman"/>
          <w:sz w:val="28"/>
          <w:szCs w:val="28"/>
        </w:rPr>
        <w:t xml:space="preserve"> Hotel Placement Research Project</w:t>
      </w:r>
      <w:r w:rsidRPr="00881C15">
        <w:rPr>
          <w:rFonts w:ascii="Times New Roman" w:hAnsi="Times New Roman" w:cs="Times New Roman"/>
          <w:sz w:val="28"/>
          <w:szCs w:val="28"/>
        </w:rPr>
        <w:br/>
      </w:r>
      <w:r w:rsidRPr="00881C15">
        <w:rPr>
          <w:rStyle w:val="Strong"/>
          <w:rFonts w:ascii="Times New Roman" w:hAnsi="Times New Roman" w:cs="Times New Roman"/>
          <w:sz w:val="28"/>
          <w:szCs w:val="28"/>
        </w:rPr>
        <w:t>Module Code:</w:t>
      </w:r>
      <w:r w:rsidRPr="00881C15">
        <w:rPr>
          <w:rFonts w:ascii="Times New Roman" w:hAnsi="Times New Roman" w:cs="Times New Roman"/>
          <w:sz w:val="28"/>
          <w:szCs w:val="28"/>
        </w:rPr>
        <w:t xml:space="preserve"> BMIH6008</w:t>
      </w:r>
      <w:r w:rsidRPr="00881C15">
        <w:rPr>
          <w:rFonts w:ascii="Times New Roman" w:hAnsi="Times New Roman" w:cs="Times New Roman"/>
          <w:sz w:val="28"/>
          <w:szCs w:val="28"/>
        </w:rPr>
        <w:br/>
      </w:r>
      <w:r w:rsidRPr="00881C15">
        <w:rPr>
          <w:rStyle w:val="Strong"/>
          <w:rFonts w:ascii="Times New Roman" w:hAnsi="Times New Roman" w:cs="Times New Roman"/>
          <w:sz w:val="28"/>
          <w:szCs w:val="28"/>
        </w:rPr>
        <w:t>Programme:</w:t>
      </w:r>
      <w:r w:rsidRPr="00881C15">
        <w:rPr>
          <w:rFonts w:ascii="Times New Roman" w:hAnsi="Times New Roman" w:cs="Times New Roman"/>
          <w:sz w:val="28"/>
          <w:szCs w:val="28"/>
        </w:rPr>
        <w:t xml:space="preserve"> BA International Hotel Management</w:t>
      </w:r>
      <w:r w:rsidRPr="00881C15">
        <w:rPr>
          <w:rFonts w:ascii="Times New Roman" w:hAnsi="Times New Roman" w:cs="Times New Roman"/>
          <w:sz w:val="28"/>
          <w:szCs w:val="28"/>
        </w:rPr>
        <w:br/>
      </w:r>
      <w:r w:rsidRPr="00881C15">
        <w:rPr>
          <w:rStyle w:val="Strong"/>
          <w:rFonts w:ascii="Times New Roman" w:hAnsi="Times New Roman" w:cs="Times New Roman"/>
          <w:sz w:val="28"/>
          <w:szCs w:val="28"/>
        </w:rPr>
        <w:t>Institution:</w:t>
      </w:r>
      <w:r w:rsidRPr="00881C15">
        <w:rPr>
          <w:rFonts w:ascii="Times New Roman" w:hAnsi="Times New Roman" w:cs="Times New Roman"/>
          <w:sz w:val="28"/>
          <w:szCs w:val="28"/>
        </w:rPr>
        <w:t xml:space="preserve"> University of Wales Trinity Saint David</w:t>
      </w:r>
      <w:r w:rsidRPr="00881C15">
        <w:rPr>
          <w:rFonts w:ascii="Times New Roman" w:hAnsi="Times New Roman" w:cs="Times New Roman"/>
          <w:sz w:val="28"/>
          <w:szCs w:val="28"/>
        </w:rPr>
        <w:br/>
      </w:r>
      <w:r w:rsidRPr="00881C15">
        <w:rPr>
          <w:rStyle w:val="Strong"/>
          <w:rFonts w:ascii="Times New Roman" w:hAnsi="Times New Roman" w:cs="Times New Roman"/>
          <w:sz w:val="28"/>
          <w:szCs w:val="28"/>
        </w:rPr>
        <w:t>Department:</w:t>
      </w:r>
      <w:r w:rsidRPr="00881C15">
        <w:rPr>
          <w:rFonts w:ascii="Times New Roman" w:hAnsi="Times New Roman" w:cs="Times New Roman"/>
          <w:sz w:val="28"/>
          <w:szCs w:val="28"/>
        </w:rPr>
        <w:t xml:space="preserve"> Hospitality &amp; Tourism Management</w:t>
      </w:r>
      <w:r w:rsidRPr="00881C15">
        <w:rPr>
          <w:rFonts w:ascii="Times New Roman" w:hAnsi="Times New Roman" w:cs="Times New Roman"/>
          <w:sz w:val="28"/>
          <w:szCs w:val="28"/>
        </w:rPr>
        <w:br/>
      </w:r>
      <w:r w:rsidRPr="00881C15">
        <w:rPr>
          <w:rStyle w:val="Strong"/>
          <w:rFonts w:ascii="Times New Roman" w:hAnsi="Times New Roman" w:cs="Times New Roman"/>
          <w:sz w:val="28"/>
          <w:szCs w:val="28"/>
        </w:rPr>
        <w:t>Supervisor:</w:t>
      </w:r>
      <w:r w:rsidRPr="00881C15">
        <w:rPr>
          <w:rFonts w:ascii="Times New Roman" w:hAnsi="Times New Roman" w:cs="Times New Roman"/>
          <w:sz w:val="28"/>
          <w:szCs w:val="28"/>
        </w:rPr>
        <w:t xml:space="preserve"> Dr. Ernest Wavei</w:t>
      </w:r>
      <w:r w:rsidRPr="00881C15">
        <w:rPr>
          <w:rFonts w:ascii="Times New Roman" w:hAnsi="Times New Roman" w:cs="Times New Roman"/>
          <w:sz w:val="28"/>
          <w:szCs w:val="28"/>
        </w:rPr>
        <w:br/>
      </w:r>
      <w:r w:rsidRPr="00881C15">
        <w:rPr>
          <w:rStyle w:val="Strong"/>
          <w:rFonts w:ascii="Times New Roman" w:hAnsi="Times New Roman" w:cs="Times New Roman"/>
          <w:sz w:val="28"/>
          <w:szCs w:val="28"/>
        </w:rPr>
        <w:t>Submission Date:</w:t>
      </w:r>
      <w:r w:rsidRPr="00881C15">
        <w:rPr>
          <w:rFonts w:ascii="Times New Roman" w:hAnsi="Times New Roman" w:cs="Times New Roman"/>
          <w:sz w:val="28"/>
          <w:szCs w:val="28"/>
        </w:rPr>
        <w:t xml:space="preserve"> 12 June 2025</w:t>
      </w:r>
    </w:p>
    <w:p w14:paraId="2CBC8265" w14:textId="77777777" w:rsidR="00C136C3" w:rsidRDefault="00C136C3" w:rsidP="00D83E77"/>
    <w:p w14:paraId="61A4FFA2" w14:textId="77777777" w:rsidR="00C136C3" w:rsidRDefault="00C136C3"/>
    <w:p w14:paraId="39FEC343" w14:textId="77777777" w:rsidR="00C136C3" w:rsidRDefault="00C136C3"/>
    <w:p w14:paraId="72633A97" w14:textId="77777777" w:rsidR="00C136C3" w:rsidRDefault="00C136C3"/>
    <w:p w14:paraId="16623210" w14:textId="77777777" w:rsidR="00C136C3" w:rsidRDefault="00C136C3"/>
    <w:p w14:paraId="1110343C" w14:textId="77777777" w:rsidR="00C136C3" w:rsidRDefault="00C136C3"/>
    <w:p w14:paraId="756961BC" w14:textId="77777777" w:rsidR="00A702CE" w:rsidRDefault="00A702CE"/>
    <w:p w14:paraId="07005DA0" w14:textId="77777777" w:rsidR="00A702CE" w:rsidRDefault="00A702CE"/>
    <w:p w14:paraId="71B5CC8D" w14:textId="77777777" w:rsidR="00A702CE" w:rsidRDefault="00A702CE"/>
    <w:p w14:paraId="39695FDD" w14:textId="77777777" w:rsidR="00A702CE" w:rsidRDefault="00A702CE"/>
    <w:p w14:paraId="0DCC684B" w14:textId="77777777" w:rsidR="00A702CE" w:rsidRDefault="00A702CE"/>
    <w:p w14:paraId="18E667DA" w14:textId="77777777" w:rsidR="00A702CE" w:rsidRDefault="00A702CE"/>
    <w:p w14:paraId="5D1A58E0" w14:textId="77777777" w:rsidR="00A702CE" w:rsidRDefault="00A702CE"/>
    <w:p w14:paraId="525E4FF9" w14:textId="77777777" w:rsidR="00C136C3" w:rsidRDefault="00C136C3"/>
    <w:p w14:paraId="2B3D262C" w14:textId="77777777" w:rsidR="00C136C3" w:rsidRDefault="00C136C3"/>
    <w:p w14:paraId="5D27D587" w14:textId="46F4D4DA" w:rsidR="00753453" w:rsidRPr="00753453" w:rsidRDefault="00753453" w:rsidP="00753453">
      <w:pPr>
        <w:rPr>
          <w:b/>
          <w:bCs/>
        </w:rPr>
      </w:pPr>
      <w:r w:rsidRPr="00753453">
        <w:rPr>
          <w:b/>
          <w:bCs/>
        </w:rPr>
        <w:t xml:space="preserve">I acknowledge the use of Grammarly (https://www.grammarly.com/) on </w:t>
      </w:r>
      <w:r>
        <w:rPr>
          <w:b/>
          <w:bCs/>
        </w:rPr>
        <w:t>11 June</w:t>
      </w:r>
      <w:r w:rsidRPr="00753453">
        <w:rPr>
          <w:b/>
          <w:bCs/>
        </w:rPr>
        <w:t xml:space="preserve"> 2025 to check my work using the prompt(s) </w:t>
      </w:r>
    </w:p>
    <w:p w14:paraId="5C378D55" w14:textId="53898B2F" w:rsidR="00753453" w:rsidRDefault="00753453" w:rsidP="00753453">
      <w:pPr>
        <w:rPr>
          <w:b/>
          <w:bCs/>
        </w:rPr>
      </w:pPr>
      <w:r w:rsidRPr="00753453">
        <w:rPr>
          <w:b/>
          <w:bCs/>
        </w:rPr>
        <w:t xml:space="preserve">I confirm that I have not presented any </w:t>
      </w:r>
      <w:r>
        <w:rPr>
          <w:b/>
          <w:bCs/>
        </w:rPr>
        <w:t>AI-generated</w:t>
      </w:r>
      <w:r w:rsidRPr="00753453">
        <w:rPr>
          <w:b/>
          <w:bCs/>
        </w:rPr>
        <w:t xml:space="preserve"> text as my own work. I confirm I have copies of my drafts, notes, and other resources I used before and after the use of AI tools</w:t>
      </w:r>
      <w:r>
        <w:rPr>
          <w:b/>
          <w:bCs/>
        </w:rPr>
        <w:t>,</w:t>
      </w:r>
      <w:r w:rsidRPr="00753453">
        <w:rPr>
          <w:b/>
          <w:bCs/>
        </w:rPr>
        <w:t xml:space="preserve"> which I may be asked to provide </w:t>
      </w:r>
      <w:r>
        <w:rPr>
          <w:b/>
          <w:bCs/>
        </w:rPr>
        <w:t>as</w:t>
      </w:r>
      <w:r w:rsidRPr="00753453">
        <w:rPr>
          <w:b/>
          <w:bCs/>
        </w:rPr>
        <w:t xml:space="preserve"> evidence.</w:t>
      </w:r>
    </w:p>
    <w:p w14:paraId="1BE6E2A4" w14:textId="77777777" w:rsidR="0078564B" w:rsidRDefault="0078564B" w:rsidP="00753453">
      <w:pPr>
        <w:rPr>
          <w:b/>
          <w:bCs/>
        </w:rPr>
      </w:pPr>
    </w:p>
    <w:p w14:paraId="7D72CEAA" w14:textId="77777777" w:rsidR="0078564B" w:rsidRDefault="0078564B" w:rsidP="00753453">
      <w:pPr>
        <w:rPr>
          <w:b/>
          <w:bCs/>
        </w:rPr>
      </w:pPr>
    </w:p>
    <w:p w14:paraId="2235D84A" w14:textId="77777777" w:rsidR="0078564B" w:rsidRPr="00753453" w:rsidRDefault="0078564B" w:rsidP="00753453">
      <w:pPr>
        <w:rPr>
          <w:b/>
          <w:bCs/>
        </w:rPr>
      </w:pPr>
    </w:p>
    <w:p w14:paraId="01D0B371" w14:textId="77777777" w:rsidR="00582ABC" w:rsidRPr="0078564B" w:rsidRDefault="00582ABC" w:rsidP="00045698">
      <w:pPr>
        <w:pStyle w:val="Heading1"/>
      </w:pPr>
      <w:bookmarkStart w:id="0" w:name="_Toc200637184"/>
      <w:r w:rsidRPr="0078564B">
        <w:lastRenderedPageBreak/>
        <w:t>Acknowledgement</w:t>
      </w:r>
      <w:bookmarkEnd w:id="0"/>
    </w:p>
    <w:p w14:paraId="3E80AC73" w14:textId="77777777" w:rsidR="00582ABC" w:rsidRDefault="00582ABC" w:rsidP="006E421E">
      <w:pPr>
        <w:jc w:val="both"/>
      </w:pPr>
      <w:r>
        <w:t>I would like to express my deepest gratitude to all those who have supported me throughout the completion of this research project.</w:t>
      </w:r>
    </w:p>
    <w:p w14:paraId="69648CAC" w14:textId="77777777" w:rsidR="00582ABC" w:rsidRDefault="00582ABC" w:rsidP="006E421E">
      <w:pPr>
        <w:jc w:val="both"/>
      </w:pPr>
    </w:p>
    <w:p w14:paraId="51758B9C" w14:textId="77777777" w:rsidR="00582ABC" w:rsidRDefault="00582ABC" w:rsidP="006E421E">
      <w:pPr>
        <w:jc w:val="both"/>
      </w:pPr>
      <w:r>
        <w:t>First and foremost, I would like to thank Dr. Ernest Wavei, my supervisor, for his consistent guidance, constructive feedback, and invaluable support throughout the research process. His expertise and encouragement have been instrumental in shaping this project.</w:t>
      </w:r>
    </w:p>
    <w:p w14:paraId="2579B372" w14:textId="77777777" w:rsidR="00582ABC" w:rsidRDefault="00582ABC" w:rsidP="006E421E">
      <w:pPr>
        <w:jc w:val="both"/>
      </w:pPr>
    </w:p>
    <w:p w14:paraId="48E5D2BD" w14:textId="77777777" w:rsidR="00582ABC" w:rsidRDefault="00582ABC" w:rsidP="006E421E">
      <w:pPr>
        <w:jc w:val="both"/>
      </w:pPr>
      <w:r>
        <w:t>I would also like to extend my sincere appreciation to the staff and management of Delta Hotels by Marriott Bristol City Centre for providing me with the opportunity to complete my placement and for their openness and cooperation during the research period. Their insights and hospitality contributed significantly to the depth and relevance of this study.</w:t>
      </w:r>
    </w:p>
    <w:p w14:paraId="33D26A96" w14:textId="77777777" w:rsidR="00582ABC" w:rsidRDefault="00582ABC" w:rsidP="006E421E">
      <w:pPr>
        <w:jc w:val="both"/>
      </w:pPr>
    </w:p>
    <w:p w14:paraId="2A4FD2BC" w14:textId="77777777" w:rsidR="00582ABC" w:rsidRDefault="00582ABC" w:rsidP="006E421E">
      <w:pPr>
        <w:jc w:val="both"/>
      </w:pPr>
      <w:r>
        <w:t>My heartfelt thanks go to the University of Wales Trinity Saint David, especially the Hospitality and Tourism Management Department, for offering a learning environment that fostered both academic and personal growth.</w:t>
      </w:r>
    </w:p>
    <w:p w14:paraId="535452C2" w14:textId="77777777" w:rsidR="00582ABC" w:rsidRDefault="00582ABC" w:rsidP="006E421E">
      <w:pPr>
        <w:jc w:val="both"/>
      </w:pPr>
    </w:p>
    <w:p w14:paraId="64F7BBDC" w14:textId="77777777" w:rsidR="00582ABC" w:rsidRDefault="00582ABC" w:rsidP="006E421E">
      <w:pPr>
        <w:jc w:val="both"/>
      </w:pPr>
      <w:r>
        <w:t>To my family and friends, thank you for your unwavering support, patience, and encouragement during challenging moments. Your belief in me kept me motivated and focused.</w:t>
      </w:r>
    </w:p>
    <w:p w14:paraId="0EEEC988" w14:textId="77777777" w:rsidR="00582ABC" w:rsidRDefault="00582ABC" w:rsidP="006E421E">
      <w:pPr>
        <w:jc w:val="both"/>
      </w:pPr>
    </w:p>
    <w:p w14:paraId="27A0354D" w14:textId="79B61B61" w:rsidR="00A702CE" w:rsidRDefault="00582ABC" w:rsidP="006E421E">
      <w:pPr>
        <w:jc w:val="both"/>
      </w:pPr>
      <w:r>
        <w:t>Finally, I am grateful to all those who, directly or indirectly, contributed to this academic journey. This accomplishment would not have been possible without your support.</w:t>
      </w:r>
    </w:p>
    <w:p w14:paraId="593A7170" w14:textId="77777777" w:rsidR="00582ABC" w:rsidRDefault="00582ABC"/>
    <w:p w14:paraId="5E0CE20B" w14:textId="77777777" w:rsidR="00582ABC" w:rsidRDefault="00582ABC"/>
    <w:p w14:paraId="0ECF7D97" w14:textId="77777777" w:rsidR="00582ABC" w:rsidRDefault="00582ABC"/>
    <w:p w14:paraId="4A3CE4AB" w14:textId="77777777" w:rsidR="00582ABC" w:rsidRDefault="00582ABC"/>
    <w:p w14:paraId="0A0513DE" w14:textId="77777777" w:rsidR="00582ABC" w:rsidRDefault="00582ABC"/>
    <w:p w14:paraId="18EAD10A" w14:textId="77777777" w:rsidR="00582ABC" w:rsidRDefault="00582ABC"/>
    <w:p w14:paraId="68428F26" w14:textId="77777777" w:rsidR="00582ABC" w:rsidRDefault="00582ABC"/>
    <w:p w14:paraId="66F3DC96" w14:textId="77777777" w:rsidR="00582ABC" w:rsidRDefault="00582ABC"/>
    <w:p w14:paraId="3DBA0FF5" w14:textId="77777777" w:rsidR="00582ABC" w:rsidRDefault="00582ABC"/>
    <w:p w14:paraId="4DBC5198" w14:textId="77777777" w:rsidR="00582ABC" w:rsidRDefault="00582ABC"/>
    <w:p w14:paraId="5FB1CC92" w14:textId="77777777" w:rsidR="00C136C3" w:rsidRPr="00045698" w:rsidRDefault="00C136C3" w:rsidP="00045698">
      <w:pPr>
        <w:pStyle w:val="Heading1"/>
      </w:pPr>
      <w:bookmarkStart w:id="1" w:name="_Toc200637185"/>
      <w:r w:rsidRPr="00045698">
        <w:rPr>
          <w:rStyle w:val="Strong"/>
          <w:b w:val="0"/>
          <w:bCs w:val="0"/>
        </w:rPr>
        <w:lastRenderedPageBreak/>
        <w:t>Abstract</w:t>
      </w:r>
      <w:bookmarkEnd w:id="1"/>
    </w:p>
    <w:p w14:paraId="4301DFF2" w14:textId="6959F2BE" w:rsidR="00C136C3" w:rsidRPr="00FD2FA7" w:rsidRDefault="00C136C3" w:rsidP="006E421E">
      <w:pPr>
        <w:pStyle w:val="NormalWeb"/>
        <w:spacing w:line="276" w:lineRule="auto"/>
        <w:jc w:val="both"/>
      </w:pPr>
      <w:r w:rsidRPr="00FD2FA7">
        <w:t>This research investigates the effects of organisational rebranding on employee experience and operational performance within the hospitality sector, using the Delta Hotels by Marriott Bristol City Centre as a case study. Organisational rebranding, particularly in service-oriented industries, is increasingly used to revitalise brand identity, meet evolving customer expectations, and enhance competitiveness. However, the internal impact of such transitions</w:t>
      </w:r>
      <w:r w:rsidR="001D3CCF">
        <w:t xml:space="preserve">, </w:t>
      </w:r>
      <w:r w:rsidRPr="00FD2FA7">
        <w:t>especially on employees</w:t>
      </w:r>
      <w:r w:rsidR="001D3CCF">
        <w:t xml:space="preserve">, </w:t>
      </w:r>
      <w:r w:rsidRPr="00FD2FA7">
        <w:t>remains underexplored in academic and industry literature. This study addresses that gap through a qualitative, longitudinal analysis of the Marriott-to-Delta rebrand, informed by two 10-week student placements conducted in 2023 and 2025.</w:t>
      </w:r>
    </w:p>
    <w:p w14:paraId="39F917C3" w14:textId="77777777" w:rsidR="00C136C3" w:rsidRPr="00FD2FA7" w:rsidRDefault="00C136C3" w:rsidP="006E421E">
      <w:pPr>
        <w:pStyle w:val="NormalWeb"/>
        <w:spacing w:line="276" w:lineRule="auto"/>
        <w:jc w:val="both"/>
      </w:pPr>
      <w:r w:rsidRPr="00FD2FA7">
        <w:t>The methodological approach combines an instrumental case study framework with netnographic analysis and observational research. Placement-based insights were triangulated with publicly available employee reviews, internal brand communications, and academic theory. Data was thematically analysed around six core areas: renovation and operational modernisation, role redefinition, internal communication, cultural integration, guest perception, and sustainability practices. These themes reflect both tangible operational outcomes and the deeper cultural implications of brand repositioning.</w:t>
      </w:r>
    </w:p>
    <w:p w14:paraId="24116D4E" w14:textId="77AF5769" w:rsidR="00C136C3" w:rsidRPr="00FD2FA7" w:rsidRDefault="00C136C3" w:rsidP="006E421E">
      <w:pPr>
        <w:pStyle w:val="NormalWeb"/>
        <w:spacing w:line="276" w:lineRule="auto"/>
        <w:jc w:val="both"/>
      </w:pPr>
      <w:r w:rsidRPr="00FD2FA7">
        <w:t>Findings indicate that the rebranding produced significant infrastructure upgrades and service efficiencies, aligning with Delta’s mid-tier, streamlined hospitality model. Technological innovations such as smart rooms and self-service stations enhanced operational flow and reduced staffing pressures. However, these efficiencies also led to redefined employee roles, especially in front-of-house and food and beverage departments. Long-tenured staff reported feelings of alienation, loss of personal interaction, and increased ambiguity in their roles</w:t>
      </w:r>
      <w:r w:rsidR="00A16F8D" w:rsidRPr="00FD2FA7">
        <w:t xml:space="preserve">, </w:t>
      </w:r>
      <w:r w:rsidRPr="00FD2FA7">
        <w:t>highlighting the emotional labour challenges noted in hospitality research. Conversely, new employees adapted more readily to the brand’s efficiency-driven ethos, reflecting generational differences in service expectations.</w:t>
      </w:r>
    </w:p>
    <w:p w14:paraId="4B9B1E87" w14:textId="693A2F62" w:rsidR="00C136C3" w:rsidRPr="00FD2FA7" w:rsidRDefault="00C136C3" w:rsidP="006E421E">
      <w:pPr>
        <w:pStyle w:val="NormalWeb"/>
        <w:spacing w:line="276" w:lineRule="auto"/>
        <w:jc w:val="both"/>
      </w:pPr>
      <w:r w:rsidRPr="00FD2FA7">
        <w:t>Communication emerged as a critical success factor. In 2023, poor internal communication created uncertainty, resistance, and disengagement. By 2025, improved practices</w:t>
      </w:r>
      <w:r w:rsidR="001D3CCF">
        <w:t xml:space="preserve">, </w:t>
      </w:r>
      <w:r w:rsidRPr="00FD2FA7">
        <w:t>including team briefings, staff feedback channels, and rebranding workshops</w:t>
      </w:r>
      <w:r w:rsidR="001D3CCF">
        <w:t xml:space="preserve">, </w:t>
      </w:r>
      <w:r w:rsidR="00A16F8D" w:rsidRPr="00FD2FA7">
        <w:t>will enhance</w:t>
      </w:r>
      <w:r w:rsidRPr="00FD2FA7">
        <w:t xml:space="preserve"> employee involvement and transparency. However, gaps remained, particularly among support departments, suggesting the need for multidirectional communication to ensure inclusivity.</w:t>
      </w:r>
    </w:p>
    <w:p w14:paraId="18EF0F0A" w14:textId="08C651A6" w:rsidR="00C136C3" w:rsidRPr="00FD2FA7" w:rsidRDefault="00C136C3" w:rsidP="006E421E">
      <w:pPr>
        <w:pStyle w:val="NormalWeb"/>
        <w:spacing w:line="276" w:lineRule="auto"/>
        <w:jc w:val="both"/>
      </w:pPr>
      <w:r w:rsidRPr="00FD2FA7">
        <w:t>Culturally, the brand transition succeeded more in visual and technological terms than in deep-seated behavioural alignment. While Marriott’s ESG-focused “Serve 360” strategy was embedded into operations through eco-friendly practices, uneven staff training and guest compliance limited its impact. Nevertheless, employees expressed greater job satisfaction when sustainability goals were communicated and integrated into daily tasks.</w:t>
      </w:r>
    </w:p>
    <w:p w14:paraId="2620BEFD" w14:textId="5B25B5B4" w:rsidR="00C136C3" w:rsidRPr="00FD2FA7" w:rsidRDefault="00C136C3" w:rsidP="006E421E">
      <w:pPr>
        <w:pStyle w:val="NormalWeb"/>
        <w:spacing w:line="276" w:lineRule="auto"/>
        <w:jc w:val="both"/>
      </w:pPr>
      <w:r w:rsidRPr="00FD2FA7">
        <w:t>Guest feedback mirrored this complexity. While positive about the hotel’s upgraded design and improved functionality, some guests lamented the reduction in personal interaction</w:t>
      </w:r>
      <w:r w:rsidR="00A16F8D" w:rsidRPr="00FD2FA7">
        <w:t xml:space="preserve">, </w:t>
      </w:r>
      <w:r w:rsidRPr="00FD2FA7">
        <w:t xml:space="preserve">a hallmark of the original Marriott experience. This reveals a crucial tension in rebranding strategies: </w:t>
      </w:r>
      <w:r w:rsidRPr="00FD2FA7">
        <w:lastRenderedPageBreak/>
        <w:t>achieving operational excellence without eroding the emotional connection that drives guest loyalty.</w:t>
      </w:r>
    </w:p>
    <w:p w14:paraId="514BA6E8" w14:textId="77777777" w:rsidR="00C136C3" w:rsidRPr="00FD2FA7" w:rsidRDefault="00C136C3" w:rsidP="006E421E">
      <w:pPr>
        <w:pStyle w:val="NormalWeb"/>
        <w:spacing w:line="276" w:lineRule="auto"/>
        <w:jc w:val="both"/>
      </w:pPr>
      <w:r w:rsidRPr="00FD2FA7">
        <w:t>Ultimately, this research offers practical recommendations for hospitality leaders undertaking similar transformations. These include tailored training for legacy staff, implementation of departmental change ambassadors, improved guest-personalisation strategies, and stronger integration of sustainability. The study contributes to a deeper understanding of rebranding as a holistic, ongoing process that must balance identity, culture, communication, and stakeholder expectations. It underscores the need to align both physical and emotional dimensions of the brand to achieve a resilient and authentic organisational transformation.</w:t>
      </w:r>
    </w:p>
    <w:p w14:paraId="13A176EE" w14:textId="77777777" w:rsidR="00C136C3" w:rsidRPr="00FD2FA7" w:rsidRDefault="00C136C3" w:rsidP="006E421E">
      <w:pPr>
        <w:spacing w:line="276" w:lineRule="auto"/>
        <w:jc w:val="both"/>
        <w:rPr>
          <w:rFonts w:ascii="Times New Roman" w:hAnsi="Times New Roman" w:cs="Times New Roman"/>
          <w:sz w:val="24"/>
          <w:szCs w:val="24"/>
        </w:rPr>
      </w:pPr>
    </w:p>
    <w:p w14:paraId="4FFBA8CD" w14:textId="77777777" w:rsidR="00C136C3" w:rsidRPr="00FD2FA7" w:rsidRDefault="00C136C3" w:rsidP="006E421E">
      <w:pPr>
        <w:spacing w:line="276" w:lineRule="auto"/>
        <w:jc w:val="both"/>
        <w:rPr>
          <w:rFonts w:ascii="Times New Roman" w:hAnsi="Times New Roman" w:cs="Times New Roman"/>
          <w:sz w:val="24"/>
          <w:szCs w:val="24"/>
        </w:rPr>
      </w:pPr>
    </w:p>
    <w:p w14:paraId="7E20AE33" w14:textId="77777777" w:rsidR="00A702CE" w:rsidRPr="00FD2FA7" w:rsidRDefault="00A702CE" w:rsidP="006E421E">
      <w:pPr>
        <w:spacing w:line="276" w:lineRule="auto"/>
        <w:jc w:val="both"/>
        <w:rPr>
          <w:rFonts w:ascii="Times New Roman" w:hAnsi="Times New Roman" w:cs="Times New Roman"/>
          <w:sz w:val="24"/>
          <w:szCs w:val="24"/>
        </w:rPr>
      </w:pPr>
    </w:p>
    <w:p w14:paraId="7C69C651" w14:textId="77777777" w:rsidR="00A702CE" w:rsidRPr="00FD2FA7" w:rsidRDefault="00A702CE" w:rsidP="006E421E">
      <w:pPr>
        <w:spacing w:line="276" w:lineRule="auto"/>
        <w:jc w:val="both"/>
        <w:rPr>
          <w:rFonts w:ascii="Times New Roman" w:hAnsi="Times New Roman" w:cs="Times New Roman"/>
          <w:sz w:val="24"/>
          <w:szCs w:val="24"/>
        </w:rPr>
      </w:pPr>
    </w:p>
    <w:p w14:paraId="2B1E286B" w14:textId="77777777" w:rsidR="00A702CE" w:rsidRPr="00FD2FA7" w:rsidRDefault="00A702CE" w:rsidP="006E421E">
      <w:pPr>
        <w:spacing w:line="276" w:lineRule="auto"/>
        <w:jc w:val="both"/>
        <w:rPr>
          <w:rFonts w:ascii="Times New Roman" w:hAnsi="Times New Roman" w:cs="Times New Roman"/>
          <w:sz w:val="24"/>
          <w:szCs w:val="24"/>
        </w:rPr>
      </w:pPr>
    </w:p>
    <w:p w14:paraId="30207691" w14:textId="77777777" w:rsidR="00A702CE" w:rsidRPr="00FD2FA7" w:rsidRDefault="00A702CE" w:rsidP="006E421E">
      <w:pPr>
        <w:spacing w:line="276" w:lineRule="auto"/>
        <w:jc w:val="both"/>
        <w:rPr>
          <w:rFonts w:ascii="Times New Roman" w:hAnsi="Times New Roman" w:cs="Times New Roman"/>
          <w:sz w:val="24"/>
          <w:szCs w:val="24"/>
        </w:rPr>
      </w:pPr>
    </w:p>
    <w:p w14:paraId="5F3B120D" w14:textId="77777777" w:rsidR="00A702CE" w:rsidRPr="00FD2FA7" w:rsidRDefault="00A702CE" w:rsidP="006E421E">
      <w:pPr>
        <w:spacing w:line="276" w:lineRule="auto"/>
        <w:jc w:val="both"/>
        <w:rPr>
          <w:rFonts w:ascii="Times New Roman" w:hAnsi="Times New Roman" w:cs="Times New Roman"/>
          <w:sz w:val="24"/>
          <w:szCs w:val="24"/>
        </w:rPr>
      </w:pPr>
    </w:p>
    <w:p w14:paraId="74A31F62" w14:textId="77777777" w:rsidR="00A702CE" w:rsidRPr="00FD2FA7" w:rsidRDefault="00A702CE" w:rsidP="006E421E">
      <w:pPr>
        <w:spacing w:line="276" w:lineRule="auto"/>
        <w:jc w:val="both"/>
        <w:rPr>
          <w:rFonts w:ascii="Times New Roman" w:hAnsi="Times New Roman" w:cs="Times New Roman"/>
          <w:sz w:val="24"/>
          <w:szCs w:val="24"/>
        </w:rPr>
      </w:pPr>
    </w:p>
    <w:p w14:paraId="30CEF5BE" w14:textId="77777777" w:rsidR="00A702CE" w:rsidRPr="00FD2FA7" w:rsidRDefault="00A702CE" w:rsidP="006E421E">
      <w:pPr>
        <w:spacing w:line="276" w:lineRule="auto"/>
        <w:jc w:val="both"/>
        <w:rPr>
          <w:rFonts w:ascii="Times New Roman" w:hAnsi="Times New Roman" w:cs="Times New Roman"/>
          <w:sz w:val="24"/>
          <w:szCs w:val="24"/>
        </w:rPr>
      </w:pPr>
    </w:p>
    <w:p w14:paraId="022C88F0" w14:textId="77777777" w:rsidR="00A702CE" w:rsidRPr="00FD2FA7" w:rsidRDefault="00A702CE" w:rsidP="006E421E">
      <w:pPr>
        <w:spacing w:line="276" w:lineRule="auto"/>
        <w:jc w:val="both"/>
        <w:rPr>
          <w:rFonts w:ascii="Times New Roman" w:hAnsi="Times New Roman" w:cs="Times New Roman"/>
          <w:sz w:val="24"/>
          <w:szCs w:val="24"/>
        </w:rPr>
      </w:pPr>
    </w:p>
    <w:p w14:paraId="41F8FABC" w14:textId="77777777" w:rsidR="00A702CE" w:rsidRPr="00FD2FA7" w:rsidRDefault="00A702CE" w:rsidP="006E421E">
      <w:pPr>
        <w:spacing w:line="276" w:lineRule="auto"/>
        <w:jc w:val="both"/>
        <w:rPr>
          <w:rFonts w:ascii="Times New Roman" w:hAnsi="Times New Roman" w:cs="Times New Roman"/>
          <w:sz w:val="24"/>
          <w:szCs w:val="24"/>
        </w:rPr>
      </w:pPr>
    </w:p>
    <w:p w14:paraId="32DFCF6F" w14:textId="77777777" w:rsidR="00A702CE" w:rsidRPr="00FD2FA7" w:rsidRDefault="00A702CE" w:rsidP="006E421E">
      <w:pPr>
        <w:spacing w:line="276" w:lineRule="auto"/>
        <w:jc w:val="both"/>
        <w:rPr>
          <w:rFonts w:ascii="Times New Roman" w:hAnsi="Times New Roman" w:cs="Times New Roman"/>
          <w:sz w:val="24"/>
          <w:szCs w:val="24"/>
        </w:rPr>
      </w:pPr>
    </w:p>
    <w:p w14:paraId="74504955" w14:textId="77777777" w:rsidR="00A702CE" w:rsidRDefault="00A702CE" w:rsidP="006E421E">
      <w:pPr>
        <w:spacing w:line="276" w:lineRule="auto"/>
        <w:jc w:val="both"/>
        <w:rPr>
          <w:rFonts w:ascii="Times New Roman" w:hAnsi="Times New Roman" w:cs="Times New Roman"/>
          <w:sz w:val="24"/>
          <w:szCs w:val="24"/>
        </w:rPr>
      </w:pPr>
    </w:p>
    <w:p w14:paraId="1EEDC737" w14:textId="77777777" w:rsidR="001D3CCF" w:rsidRPr="00FD2FA7" w:rsidRDefault="001D3CCF" w:rsidP="006E421E">
      <w:pPr>
        <w:spacing w:line="276" w:lineRule="auto"/>
        <w:jc w:val="both"/>
        <w:rPr>
          <w:rFonts w:ascii="Times New Roman" w:hAnsi="Times New Roman" w:cs="Times New Roman"/>
          <w:sz w:val="24"/>
          <w:szCs w:val="24"/>
        </w:rPr>
      </w:pPr>
    </w:p>
    <w:p w14:paraId="529471C3" w14:textId="77777777" w:rsidR="00A702CE" w:rsidRPr="00FD2FA7" w:rsidRDefault="00A702CE" w:rsidP="00FD2FA7">
      <w:pPr>
        <w:spacing w:line="276" w:lineRule="auto"/>
        <w:rPr>
          <w:rFonts w:ascii="Times New Roman" w:hAnsi="Times New Roman" w:cs="Times New Roman"/>
          <w:sz w:val="24"/>
          <w:szCs w:val="24"/>
        </w:rPr>
      </w:pPr>
    </w:p>
    <w:p w14:paraId="74CD4B1D" w14:textId="77777777" w:rsidR="00A702CE" w:rsidRPr="00FD2FA7" w:rsidRDefault="00A702CE" w:rsidP="00FD2FA7">
      <w:pPr>
        <w:spacing w:line="276" w:lineRule="auto"/>
        <w:rPr>
          <w:rFonts w:ascii="Times New Roman" w:hAnsi="Times New Roman" w:cs="Times New Roman"/>
          <w:sz w:val="24"/>
          <w:szCs w:val="24"/>
        </w:rPr>
      </w:pPr>
    </w:p>
    <w:p w14:paraId="3C34F4EE" w14:textId="77777777" w:rsidR="00A702CE" w:rsidRPr="00FD2FA7" w:rsidRDefault="00A702CE" w:rsidP="00FD2FA7">
      <w:pPr>
        <w:spacing w:line="276" w:lineRule="auto"/>
        <w:rPr>
          <w:rFonts w:ascii="Times New Roman" w:hAnsi="Times New Roman" w:cs="Times New Roman"/>
          <w:sz w:val="24"/>
          <w:szCs w:val="24"/>
        </w:rPr>
      </w:pPr>
    </w:p>
    <w:p w14:paraId="189D9F6F" w14:textId="77777777" w:rsidR="00A702CE" w:rsidRPr="00FD2FA7" w:rsidRDefault="00A702CE" w:rsidP="00FD2FA7">
      <w:pPr>
        <w:spacing w:line="276" w:lineRule="auto"/>
        <w:rPr>
          <w:rFonts w:ascii="Times New Roman" w:hAnsi="Times New Roman" w:cs="Times New Roman"/>
          <w:sz w:val="24"/>
          <w:szCs w:val="24"/>
        </w:rPr>
      </w:pPr>
    </w:p>
    <w:p w14:paraId="26C3920A" w14:textId="77777777" w:rsidR="00A702CE" w:rsidRPr="00FD2FA7" w:rsidRDefault="00A702CE" w:rsidP="00FD2FA7">
      <w:pPr>
        <w:spacing w:line="276" w:lineRule="auto"/>
        <w:rPr>
          <w:rFonts w:ascii="Times New Roman" w:hAnsi="Times New Roman" w:cs="Times New Roman"/>
          <w:sz w:val="24"/>
          <w:szCs w:val="24"/>
        </w:rPr>
      </w:pPr>
    </w:p>
    <w:p w14:paraId="4B512AC6" w14:textId="77777777" w:rsidR="00A702CE" w:rsidRPr="00FD2FA7" w:rsidRDefault="00A702CE" w:rsidP="00FD2FA7">
      <w:pPr>
        <w:spacing w:line="276" w:lineRule="auto"/>
        <w:rPr>
          <w:rFonts w:ascii="Times New Roman" w:hAnsi="Times New Roman" w:cs="Times New Roman"/>
          <w:sz w:val="24"/>
          <w:szCs w:val="24"/>
        </w:rPr>
      </w:pPr>
    </w:p>
    <w:p w14:paraId="203B2F7A" w14:textId="4D893FE0" w:rsidR="00BB68E2" w:rsidRPr="00045698" w:rsidRDefault="00E2351F" w:rsidP="00045698">
      <w:pPr>
        <w:pStyle w:val="Heading1"/>
      </w:pPr>
      <w:bookmarkStart w:id="2" w:name="_Toc200637186"/>
      <w:r w:rsidRPr="00045698">
        <w:lastRenderedPageBreak/>
        <w:t xml:space="preserve">Table of </w:t>
      </w:r>
      <w:r w:rsidR="00664198">
        <w:t>contents</w:t>
      </w:r>
      <w:bookmarkEnd w:id="2"/>
      <w:r w:rsidRPr="00045698">
        <w:t xml:space="preserve"> </w:t>
      </w:r>
    </w:p>
    <w:p w14:paraId="543F1FC1" w14:textId="77777777" w:rsidR="00BB68E2" w:rsidRDefault="00BB68E2" w:rsidP="00FD2FA7">
      <w:pPr>
        <w:spacing w:line="276" w:lineRule="auto"/>
        <w:rPr>
          <w:rFonts w:ascii="Times New Roman" w:hAnsi="Times New Roman" w:cs="Times New Roman"/>
          <w:b/>
          <w:bCs/>
          <w:sz w:val="32"/>
          <w:szCs w:val="32"/>
        </w:rPr>
      </w:pPr>
    </w:p>
    <w:sdt>
      <w:sdtPr>
        <w:rPr>
          <w:rFonts w:asciiTheme="minorHAnsi" w:eastAsiaTheme="minorHAnsi" w:hAnsiTheme="minorHAnsi" w:cstheme="minorBidi"/>
          <w:color w:val="auto"/>
          <w:kern w:val="2"/>
          <w:sz w:val="22"/>
          <w:szCs w:val="22"/>
          <w:lang w:val="en-GB"/>
          <w14:ligatures w14:val="standardContextual"/>
        </w:rPr>
        <w:id w:val="29925118"/>
        <w:docPartObj>
          <w:docPartGallery w:val="Table of Contents"/>
          <w:docPartUnique/>
        </w:docPartObj>
      </w:sdtPr>
      <w:sdtEndPr>
        <w:rPr>
          <w:b/>
          <w:bCs/>
          <w:noProof/>
        </w:rPr>
      </w:sdtEndPr>
      <w:sdtContent>
        <w:p w14:paraId="68929B0B" w14:textId="727B57CD" w:rsidR="00725FDC" w:rsidRDefault="00725FDC">
          <w:pPr>
            <w:pStyle w:val="TOCHeading"/>
          </w:pPr>
          <w:r>
            <w:t>Contents</w:t>
          </w:r>
        </w:p>
        <w:p w14:paraId="797F94DC" w14:textId="0BC154A7" w:rsidR="00FA185D" w:rsidRDefault="00725FD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0637184" w:history="1">
            <w:r w:rsidR="00FA185D" w:rsidRPr="005D4BFB">
              <w:rPr>
                <w:rStyle w:val="Hyperlink"/>
                <w:noProof/>
              </w:rPr>
              <w:t>Acknowledgement</w:t>
            </w:r>
            <w:r w:rsidR="00FA185D">
              <w:rPr>
                <w:noProof/>
                <w:webHidden/>
              </w:rPr>
              <w:tab/>
            </w:r>
            <w:r w:rsidR="00FA185D">
              <w:rPr>
                <w:noProof/>
                <w:webHidden/>
              </w:rPr>
              <w:fldChar w:fldCharType="begin"/>
            </w:r>
            <w:r w:rsidR="00FA185D">
              <w:rPr>
                <w:noProof/>
                <w:webHidden/>
              </w:rPr>
              <w:instrText xml:space="preserve"> PAGEREF _Toc200637184 \h </w:instrText>
            </w:r>
            <w:r w:rsidR="00FA185D">
              <w:rPr>
                <w:noProof/>
                <w:webHidden/>
              </w:rPr>
            </w:r>
            <w:r w:rsidR="00FA185D">
              <w:rPr>
                <w:noProof/>
                <w:webHidden/>
              </w:rPr>
              <w:fldChar w:fldCharType="separate"/>
            </w:r>
            <w:r w:rsidR="00FA185D">
              <w:rPr>
                <w:noProof/>
                <w:webHidden/>
              </w:rPr>
              <w:t>3</w:t>
            </w:r>
            <w:r w:rsidR="00FA185D">
              <w:rPr>
                <w:noProof/>
                <w:webHidden/>
              </w:rPr>
              <w:fldChar w:fldCharType="end"/>
            </w:r>
          </w:hyperlink>
        </w:p>
        <w:p w14:paraId="2E7EC26B" w14:textId="33995E75" w:rsidR="00FA185D" w:rsidRDefault="00FA185D">
          <w:pPr>
            <w:pStyle w:val="TOC1"/>
            <w:tabs>
              <w:tab w:val="right" w:leader="dot" w:pos="9016"/>
            </w:tabs>
            <w:rPr>
              <w:rFonts w:eastAsiaTheme="minorEastAsia"/>
              <w:noProof/>
              <w:sz w:val="24"/>
              <w:szCs w:val="24"/>
              <w:lang w:eastAsia="en-GB"/>
            </w:rPr>
          </w:pPr>
          <w:hyperlink w:anchor="_Toc200637185" w:history="1">
            <w:r w:rsidRPr="005D4BFB">
              <w:rPr>
                <w:rStyle w:val="Hyperlink"/>
                <w:noProof/>
              </w:rPr>
              <w:t>Abstract</w:t>
            </w:r>
            <w:r>
              <w:rPr>
                <w:noProof/>
                <w:webHidden/>
              </w:rPr>
              <w:tab/>
            </w:r>
            <w:r>
              <w:rPr>
                <w:noProof/>
                <w:webHidden/>
              </w:rPr>
              <w:fldChar w:fldCharType="begin"/>
            </w:r>
            <w:r>
              <w:rPr>
                <w:noProof/>
                <w:webHidden/>
              </w:rPr>
              <w:instrText xml:space="preserve"> PAGEREF _Toc200637185 \h </w:instrText>
            </w:r>
            <w:r>
              <w:rPr>
                <w:noProof/>
                <w:webHidden/>
              </w:rPr>
            </w:r>
            <w:r>
              <w:rPr>
                <w:noProof/>
                <w:webHidden/>
              </w:rPr>
              <w:fldChar w:fldCharType="separate"/>
            </w:r>
            <w:r>
              <w:rPr>
                <w:noProof/>
                <w:webHidden/>
              </w:rPr>
              <w:t>4</w:t>
            </w:r>
            <w:r>
              <w:rPr>
                <w:noProof/>
                <w:webHidden/>
              </w:rPr>
              <w:fldChar w:fldCharType="end"/>
            </w:r>
          </w:hyperlink>
        </w:p>
        <w:p w14:paraId="4FF55E82" w14:textId="5832A19F" w:rsidR="00FA185D" w:rsidRDefault="00FA185D">
          <w:pPr>
            <w:pStyle w:val="TOC1"/>
            <w:tabs>
              <w:tab w:val="right" w:leader="dot" w:pos="9016"/>
            </w:tabs>
            <w:rPr>
              <w:rFonts w:eastAsiaTheme="minorEastAsia"/>
              <w:noProof/>
              <w:sz w:val="24"/>
              <w:szCs w:val="24"/>
              <w:lang w:eastAsia="en-GB"/>
            </w:rPr>
          </w:pPr>
          <w:hyperlink w:anchor="_Toc200637186" w:history="1">
            <w:r w:rsidRPr="005D4BFB">
              <w:rPr>
                <w:rStyle w:val="Hyperlink"/>
                <w:noProof/>
              </w:rPr>
              <w:t>Table of contents</w:t>
            </w:r>
            <w:r>
              <w:rPr>
                <w:noProof/>
                <w:webHidden/>
              </w:rPr>
              <w:tab/>
            </w:r>
            <w:r>
              <w:rPr>
                <w:noProof/>
                <w:webHidden/>
              </w:rPr>
              <w:fldChar w:fldCharType="begin"/>
            </w:r>
            <w:r>
              <w:rPr>
                <w:noProof/>
                <w:webHidden/>
              </w:rPr>
              <w:instrText xml:space="preserve"> PAGEREF _Toc200637186 \h </w:instrText>
            </w:r>
            <w:r>
              <w:rPr>
                <w:noProof/>
                <w:webHidden/>
              </w:rPr>
            </w:r>
            <w:r>
              <w:rPr>
                <w:noProof/>
                <w:webHidden/>
              </w:rPr>
              <w:fldChar w:fldCharType="separate"/>
            </w:r>
            <w:r>
              <w:rPr>
                <w:noProof/>
                <w:webHidden/>
              </w:rPr>
              <w:t>6</w:t>
            </w:r>
            <w:r>
              <w:rPr>
                <w:noProof/>
                <w:webHidden/>
              </w:rPr>
              <w:fldChar w:fldCharType="end"/>
            </w:r>
          </w:hyperlink>
        </w:p>
        <w:p w14:paraId="133780B0" w14:textId="2AA511E4" w:rsidR="00FA185D" w:rsidRDefault="00FA185D">
          <w:pPr>
            <w:pStyle w:val="TOC1"/>
            <w:tabs>
              <w:tab w:val="right" w:leader="dot" w:pos="9016"/>
            </w:tabs>
            <w:rPr>
              <w:rFonts w:eastAsiaTheme="minorEastAsia"/>
              <w:noProof/>
              <w:sz w:val="24"/>
              <w:szCs w:val="24"/>
              <w:lang w:eastAsia="en-GB"/>
            </w:rPr>
          </w:pPr>
          <w:hyperlink w:anchor="_Toc200637187" w:history="1">
            <w:r w:rsidRPr="005D4BFB">
              <w:rPr>
                <w:rStyle w:val="Hyperlink"/>
                <w:b/>
                <w:bCs/>
                <w:noProof/>
              </w:rPr>
              <w:t>Chapter 1: Introduction</w:t>
            </w:r>
            <w:r>
              <w:rPr>
                <w:noProof/>
                <w:webHidden/>
              </w:rPr>
              <w:tab/>
            </w:r>
            <w:r>
              <w:rPr>
                <w:noProof/>
                <w:webHidden/>
              </w:rPr>
              <w:fldChar w:fldCharType="begin"/>
            </w:r>
            <w:r>
              <w:rPr>
                <w:noProof/>
                <w:webHidden/>
              </w:rPr>
              <w:instrText xml:space="preserve"> PAGEREF _Toc200637187 \h </w:instrText>
            </w:r>
            <w:r>
              <w:rPr>
                <w:noProof/>
                <w:webHidden/>
              </w:rPr>
            </w:r>
            <w:r>
              <w:rPr>
                <w:noProof/>
                <w:webHidden/>
              </w:rPr>
              <w:fldChar w:fldCharType="separate"/>
            </w:r>
            <w:r>
              <w:rPr>
                <w:noProof/>
                <w:webHidden/>
              </w:rPr>
              <w:t>8</w:t>
            </w:r>
            <w:r>
              <w:rPr>
                <w:noProof/>
                <w:webHidden/>
              </w:rPr>
              <w:fldChar w:fldCharType="end"/>
            </w:r>
          </w:hyperlink>
        </w:p>
        <w:p w14:paraId="5350A326" w14:textId="7DA402AB" w:rsidR="00FA185D" w:rsidRDefault="00FA185D">
          <w:pPr>
            <w:pStyle w:val="TOC2"/>
            <w:tabs>
              <w:tab w:val="right" w:leader="dot" w:pos="9016"/>
            </w:tabs>
            <w:rPr>
              <w:rFonts w:eastAsiaTheme="minorEastAsia"/>
              <w:noProof/>
              <w:sz w:val="24"/>
              <w:szCs w:val="24"/>
              <w:lang w:eastAsia="en-GB"/>
            </w:rPr>
          </w:pPr>
          <w:hyperlink w:anchor="_Toc200637188" w:history="1">
            <w:r w:rsidRPr="005D4BFB">
              <w:rPr>
                <w:rStyle w:val="Hyperlink"/>
                <w:noProof/>
              </w:rPr>
              <w:t>1.1 Research Aim</w:t>
            </w:r>
            <w:r>
              <w:rPr>
                <w:noProof/>
                <w:webHidden/>
              </w:rPr>
              <w:tab/>
            </w:r>
            <w:r>
              <w:rPr>
                <w:noProof/>
                <w:webHidden/>
              </w:rPr>
              <w:fldChar w:fldCharType="begin"/>
            </w:r>
            <w:r>
              <w:rPr>
                <w:noProof/>
                <w:webHidden/>
              </w:rPr>
              <w:instrText xml:space="preserve"> PAGEREF _Toc200637188 \h </w:instrText>
            </w:r>
            <w:r>
              <w:rPr>
                <w:noProof/>
                <w:webHidden/>
              </w:rPr>
            </w:r>
            <w:r>
              <w:rPr>
                <w:noProof/>
                <w:webHidden/>
              </w:rPr>
              <w:fldChar w:fldCharType="separate"/>
            </w:r>
            <w:r>
              <w:rPr>
                <w:noProof/>
                <w:webHidden/>
              </w:rPr>
              <w:t>9</w:t>
            </w:r>
            <w:r>
              <w:rPr>
                <w:noProof/>
                <w:webHidden/>
              </w:rPr>
              <w:fldChar w:fldCharType="end"/>
            </w:r>
          </w:hyperlink>
        </w:p>
        <w:p w14:paraId="578FC005" w14:textId="6E5765EE" w:rsidR="00FA185D" w:rsidRDefault="00FA185D">
          <w:pPr>
            <w:pStyle w:val="TOC2"/>
            <w:tabs>
              <w:tab w:val="right" w:leader="dot" w:pos="9016"/>
            </w:tabs>
            <w:rPr>
              <w:rFonts w:eastAsiaTheme="minorEastAsia"/>
              <w:noProof/>
              <w:sz w:val="24"/>
              <w:szCs w:val="24"/>
              <w:lang w:eastAsia="en-GB"/>
            </w:rPr>
          </w:pPr>
          <w:hyperlink w:anchor="_Toc200637189" w:history="1">
            <w:r w:rsidRPr="005D4BFB">
              <w:rPr>
                <w:rStyle w:val="Hyperlink"/>
                <w:noProof/>
              </w:rPr>
              <w:t>1.2 Research Objectives</w:t>
            </w:r>
            <w:r>
              <w:rPr>
                <w:noProof/>
                <w:webHidden/>
              </w:rPr>
              <w:tab/>
            </w:r>
            <w:r>
              <w:rPr>
                <w:noProof/>
                <w:webHidden/>
              </w:rPr>
              <w:fldChar w:fldCharType="begin"/>
            </w:r>
            <w:r>
              <w:rPr>
                <w:noProof/>
                <w:webHidden/>
              </w:rPr>
              <w:instrText xml:space="preserve"> PAGEREF _Toc200637189 \h </w:instrText>
            </w:r>
            <w:r>
              <w:rPr>
                <w:noProof/>
                <w:webHidden/>
              </w:rPr>
            </w:r>
            <w:r>
              <w:rPr>
                <w:noProof/>
                <w:webHidden/>
              </w:rPr>
              <w:fldChar w:fldCharType="separate"/>
            </w:r>
            <w:r>
              <w:rPr>
                <w:noProof/>
                <w:webHidden/>
              </w:rPr>
              <w:t>9</w:t>
            </w:r>
            <w:r>
              <w:rPr>
                <w:noProof/>
                <w:webHidden/>
              </w:rPr>
              <w:fldChar w:fldCharType="end"/>
            </w:r>
          </w:hyperlink>
        </w:p>
        <w:p w14:paraId="40C66A24" w14:textId="35C41729" w:rsidR="00FA185D" w:rsidRDefault="00FA185D">
          <w:pPr>
            <w:pStyle w:val="TOC2"/>
            <w:tabs>
              <w:tab w:val="right" w:leader="dot" w:pos="9016"/>
            </w:tabs>
            <w:rPr>
              <w:rFonts w:eastAsiaTheme="minorEastAsia"/>
              <w:noProof/>
              <w:sz w:val="24"/>
              <w:szCs w:val="24"/>
              <w:lang w:eastAsia="en-GB"/>
            </w:rPr>
          </w:pPr>
          <w:hyperlink w:anchor="_Toc200637190" w:history="1">
            <w:r w:rsidRPr="005D4BFB">
              <w:rPr>
                <w:rStyle w:val="Hyperlink"/>
                <w:noProof/>
              </w:rPr>
              <w:t>1.3 Research Questions</w:t>
            </w:r>
            <w:r>
              <w:rPr>
                <w:noProof/>
                <w:webHidden/>
              </w:rPr>
              <w:tab/>
            </w:r>
            <w:r>
              <w:rPr>
                <w:noProof/>
                <w:webHidden/>
              </w:rPr>
              <w:fldChar w:fldCharType="begin"/>
            </w:r>
            <w:r>
              <w:rPr>
                <w:noProof/>
                <w:webHidden/>
              </w:rPr>
              <w:instrText xml:space="preserve"> PAGEREF _Toc200637190 \h </w:instrText>
            </w:r>
            <w:r>
              <w:rPr>
                <w:noProof/>
                <w:webHidden/>
              </w:rPr>
            </w:r>
            <w:r>
              <w:rPr>
                <w:noProof/>
                <w:webHidden/>
              </w:rPr>
              <w:fldChar w:fldCharType="separate"/>
            </w:r>
            <w:r>
              <w:rPr>
                <w:noProof/>
                <w:webHidden/>
              </w:rPr>
              <w:t>9</w:t>
            </w:r>
            <w:r>
              <w:rPr>
                <w:noProof/>
                <w:webHidden/>
              </w:rPr>
              <w:fldChar w:fldCharType="end"/>
            </w:r>
          </w:hyperlink>
        </w:p>
        <w:p w14:paraId="16E2B741" w14:textId="683B6CE3" w:rsidR="00FA185D" w:rsidRDefault="00FA185D">
          <w:pPr>
            <w:pStyle w:val="TOC3"/>
            <w:tabs>
              <w:tab w:val="right" w:leader="dot" w:pos="9016"/>
            </w:tabs>
            <w:rPr>
              <w:rFonts w:eastAsiaTheme="minorEastAsia"/>
              <w:noProof/>
              <w:sz w:val="24"/>
              <w:szCs w:val="24"/>
              <w:lang w:eastAsia="en-GB"/>
            </w:rPr>
          </w:pPr>
          <w:hyperlink w:anchor="_Toc200637191" w:history="1">
            <w:r w:rsidRPr="005D4BFB">
              <w:rPr>
                <w:rStyle w:val="Hyperlink"/>
                <w:noProof/>
              </w:rPr>
              <w:t>Closing Summary</w:t>
            </w:r>
            <w:r>
              <w:rPr>
                <w:noProof/>
                <w:webHidden/>
              </w:rPr>
              <w:tab/>
            </w:r>
            <w:r>
              <w:rPr>
                <w:noProof/>
                <w:webHidden/>
              </w:rPr>
              <w:fldChar w:fldCharType="begin"/>
            </w:r>
            <w:r>
              <w:rPr>
                <w:noProof/>
                <w:webHidden/>
              </w:rPr>
              <w:instrText xml:space="preserve"> PAGEREF _Toc200637191 \h </w:instrText>
            </w:r>
            <w:r>
              <w:rPr>
                <w:noProof/>
                <w:webHidden/>
              </w:rPr>
            </w:r>
            <w:r>
              <w:rPr>
                <w:noProof/>
                <w:webHidden/>
              </w:rPr>
              <w:fldChar w:fldCharType="separate"/>
            </w:r>
            <w:r>
              <w:rPr>
                <w:noProof/>
                <w:webHidden/>
              </w:rPr>
              <w:t>10</w:t>
            </w:r>
            <w:r>
              <w:rPr>
                <w:noProof/>
                <w:webHidden/>
              </w:rPr>
              <w:fldChar w:fldCharType="end"/>
            </w:r>
          </w:hyperlink>
        </w:p>
        <w:p w14:paraId="129CF9BB" w14:textId="3EDD95CD" w:rsidR="00FA185D" w:rsidRDefault="00FA185D">
          <w:pPr>
            <w:pStyle w:val="TOC1"/>
            <w:tabs>
              <w:tab w:val="right" w:leader="dot" w:pos="9016"/>
            </w:tabs>
            <w:rPr>
              <w:rFonts w:eastAsiaTheme="minorEastAsia"/>
              <w:noProof/>
              <w:sz w:val="24"/>
              <w:szCs w:val="24"/>
              <w:lang w:eastAsia="en-GB"/>
            </w:rPr>
          </w:pPr>
          <w:hyperlink w:anchor="_Toc200637192" w:history="1">
            <w:r w:rsidRPr="005D4BFB">
              <w:rPr>
                <w:rStyle w:val="Hyperlink"/>
                <w:rFonts w:eastAsia="Times New Roman"/>
                <w:b/>
                <w:bCs/>
                <w:noProof/>
                <w:lang w:eastAsia="en-GB"/>
              </w:rPr>
              <w:t>Chapter 2: Literature Review</w:t>
            </w:r>
            <w:r>
              <w:rPr>
                <w:noProof/>
                <w:webHidden/>
              </w:rPr>
              <w:tab/>
            </w:r>
            <w:r>
              <w:rPr>
                <w:noProof/>
                <w:webHidden/>
              </w:rPr>
              <w:fldChar w:fldCharType="begin"/>
            </w:r>
            <w:r>
              <w:rPr>
                <w:noProof/>
                <w:webHidden/>
              </w:rPr>
              <w:instrText xml:space="preserve"> PAGEREF _Toc200637192 \h </w:instrText>
            </w:r>
            <w:r>
              <w:rPr>
                <w:noProof/>
                <w:webHidden/>
              </w:rPr>
            </w:r>
            <w:r>
              <w:rPr>
                <w:noProof/>
                <w:webHidden/>
              </w:rPr>
              <w:fldChar w:fldCharType="separate"/>
            </w:r>
            <w:r>
              <w:rPr>
                <w:noProof/>
                <w:webHidden/>
              </w:rPr>
              <w:t>11</w:t>
            </w:r>
            <w:r>
              <w:rPr>
                <w:noProof/>
                <w:webHidden/>
              </w:rPr>
              <w:fldChar w:fldCharType="end"/>
            </w:r>
          </w:hyperlink>
        </w:p>
        <w:p w14:paraId="2B25287E" w14:textId="116860A8" w:rsidR="00FA185D" w:rsidRDefault="00FA185D">
          <w:pPr>
            <w:pStyle w:val="TOC2"/>
            <w:tabs>
              <w:tab w:val="right" w:leader="dot" w:pos="9016"/>
            </w:tabs>
            <w:rPr>
              <w:rFonts w:eastAsiaTheme="minorEastAsia"/>
              <w:noProof/>
              <w:sz w:val="24"/>
              <w:szCs w:val="24"/>
              <w:lang w:eastAsia="en-GB"/>
            </w:rPr>
          </w:pPr>
          <w:hyperlink w:anchor="_Toc200637193" w:history="1">
            <w:r w:rsidRPr="005D4BFB">
              <w:rPr>
                <w:rStyle w:val="Hyperlink"/>
                <w:rFonts w:eastAsia="Times New Roman"/>
                <w:noProof/>
                <w:lang w:eastAsia="en-GB"/>
              </w:rPr>
              <w:t>2.1 Rationale Behind Organisational Rebranding</w:t>
            </w:r>
            <w:r>
              <w:rPr>
                <w:noProof/>
                <w:webHidden/>
              </w:rPr>
              <w:tab/>
            </w:r>
            <w:r>
              <w:rPr>
                <w:noProof/>
                <w:webHidden/>
              </w:rPr>
              <w:fldChar w:fldCharType="begin"/>
            </w:r>
            <w:r>
              <w:rPr>
                <w:noProof/>
                <w:webHidden/>
              </w:rPr>
              <w:instrText xml:space="preserve"> PAGEREF _Toc200637193 \h </w:instrText>
            </w:r>
            <w:r>
              <w:rPr>
                <w:noProof/>
                <w:webHidden/>
              </w:rPr>
            </w:r>
            <w:r>
              <w:rPr>
                <w:noProof/>
                <w:webHidden/>
              </w:rPr>
              <w:fldChar w:fldCharType="separate"/>
            </w:r>
            <w:r>
              <w:rPr>
                <w:noProof/>
                <w:webHidden/>
              </w:rPr>
              <w:t>11</w:t>
            </w:r>
            <w:r>
              <w:rPr>
                <w:noProof/>
                <w:webHidden/>
              </w:rPr>
              <w:fldChar w:fldCharType="end"/>
            </w:r>
          </w:hyperlink>
        </w:p>
        <w:p w14:paraId="4B8F2E08" w14:textId="73B64D36" w:rsidR="00FA185D" w:rsidRDefault="00FA185D">
          <w:pPr>
            <w:pStyle w:val="TOC2"/>
            <w:tabs>
              <w:tab w:val="right" w:leader="dot" w:pos="9016"/>
            </w:tabs>
            <w:rPr>
              <w:rFonts w:eastAsiaTheme="minorEastAsia"/>
              <w:noProof/>
              <w:sz w:val="24"/>
              <w:szCs w:val="24"/>
              <w:lang w:eastAsia="en-GB"/>
            </w:rPr>
          </w:pPr>
          <w:hyperlink w:anchor="_Toc200637194" w:history="1">
            <w:r w:rsidRPr="005D4BFB">
              <w:rPr>
                <w:rStyle w:val="Hyperlink"/>
                <w:rFonts w:eastAsia="Times New Roman"/>
                <w:noProof/>
                <w:lang w:eastAsia="en-GB"/>
              </w:rPr>
              <w:t>2.2 Employee Experience During Rebranding</w:t>
            </w:r>
            <w:r>
              <w:rPr>
                <w:noProof/>
                <w:webHidden/>
              </w:rPr>
              <w:tab/>
            </w:r>
            <w:r>
              <w:rPr>
                <w:noProof/>
                <w:webHidden/>
              </w:rPr>
              <w:fldChar w:fldCharType="begin"/>
            </w:r>
            <w:r>
              <w:rPr>
                <w:noProof/>
                <w:webHidden/>
              </w:rPr>
              <w:instrText xml:space="preserve"> PAGEREF _Toc200637194 \h </w:instrText>
            </w:r>
            <w:r>
              <w:rPr>
                <w:noProof/>
                <w:webHidden/>
              </w:rPr>
            </w:r>
            <w:r>
              <w:rPr>
                <w:noProof/>
                <w:webHidden/>
              </w:rPr>
              <w:fldChar w:fldCharType="separate"/>
            </w:r>
            <w:r>
              <w:rPr>
                <w:noProof/>
                <w:webHidden/>
              </w:rPr>
              <w:t>12</w:t>
            </w:r>
            <w:r>
              <w:rPr>
                <w:noProof/>
                <w:webHidden/>
              </w:rPr>
              <w:fldChar w:fldCharType="end"/>
            </w:r>
          </w:hyperlink>
        </w:p>
        <w:p w14:paraId="4EE5D4F4" w14:textId="75582FC2" w:rsidR="00FA185D" w:rsidRDefault="00FA185D">
          <w:pPr>
            <w:pStyle w:val="TOC2"/>
            <w:tabs>
              <w:tab w:val="right" w:leader="dot" w:pos="9016"/>
            </w:tabs>
            <w:rPr>
              <w:rFonts w:eastAsiaTheme="minorEastAsia"/>
              <w:noProof/>
              <w:sz w:val="24"/>
              <w:szCs w:val="24"/>
              <w:lang w:eastAsia="en-GB"/>
            </w:rPr>
          </w:pPr>
          <w:hyperlink w:anchor="_Toc200637195" w:history="1">
            <w:r w:rsidRPr="005D4BFB">
              <w:rPr>
                <w:rStyle w:val="Hyperlink"/>
                <w:rFonts w:eastAsia="Times New Roman"/>
                <w:noProof/>
                <w:lang w:eastAsia="en-GB"/>
              </w:rPr>
              <w:t>2.3 Operational Impact of Rebranding</w:t>
            </w:r>
            <w:r>
              <w:rPr>
                <w:noProof/>
                <w:webHidden/>
              </w:rPr>
              <w:tab/>
            </w:r>
            <w:r>
              <w:rPr>
                <w:noProof/>
                <w:webHidden/>
              </w:rPr>
              <w:fldChar w:fldCharType="begin"/>
            </w:r>
            <w:r>
              <w:rPr>
                <w:noProof/>
                <w:webHidden/>
              </w:rPr>
              <w:instrText xml:space="preserve"> PAGEREF _Toc200637195 \h </w:instrText>
            </w:r>
            <w:r>
              <w:rPr>
                <w:noProof/>
                <w:webHidden/>
              </w:rPr>
            </w:r>
            <w:r>
              <w:rPr>
                <w:noProof/>
                <w:webHidden/>
              </w:rPr>
              <w:fldChar w:fldCharType="separate"/>
            </w:r>
            <w:r>
              <w:rPr>
                <w:noProof/>
                <w:webHidden/>
              </w:rPr>
              <w:t>12</w:t>
            </w:r>
            <w:r>
              <w:rPr>
                <w:noProof/>
                <w:webHidden/>
              </w:rPr>
              <w:fldChar w:fldCharType="end"/>
            </w:r>
          </w:hyperlink>
        </w:p>
        <w:p w14:paraId="62276BA1" w14:textId="074A67AE" w:rsidR="00FA185D" w:rsidRDefault="00FA185D">
          <w:pPr>
            <w:pStyle w:val="TOC2"/>
            <w:tabs>
              <w:tab w:val="right" w:leader="dot" w:pos="9016"/>
            </w:tabs>
            <w:rPr>
              <w:rFonts w:eastAsiaTheme="minorEastAsia"/>
              <w:noProof/>
              <w:sz w:val="24"/>
              <w:szCs w:val="24"/>
              <w:lang w:eastAsia="en-GB"/>
            </w:rPr>
          </w:pPr>
          <w:hyperlink w:anchor="_Toc200637196" w:history="1">
            <w:r w:rsidRPr="005D4BFB">
              <w:rPr>
                <w:rStyle w:val="Hyperlink"/>
                <w:rFonts w:eastAsia="Times New Roman"/>
                <w:noProof/>
                <w:lang w:eastAsia="en-GB"/>
              </w:rPr>
              <w:t>2.4 Brand Identity Transfer and Cultural Integration</w:t>
            </w:r>
            <w:r>
              <w:rPr>
                <w:noProof/>
                <w:webHidden/>
              </w:rPr>
              <w:tab/>
            </w:r>
            <w:r>
              <w:rPr>
                <w:noProof/>
                <w:webHidden/>
              </w:rPr>
              <w:fldChar w:fldCharType="begin"/>
            </w:r>
            <w:r>
              <w:rPr>
                <w:noProof/>
                <w:webHidden/>
              </w:rPr>
              <w:instrText xml:space="preserve"> PAGEREF _Toc200637196 \h </w:instrText>
            </w:r>
            <w:r>
              <w:rPr>
                <w:noProof/>
                <w:webHidden/>
              </w:rPr>
            </w:r>
            <w:r>
              <w:rPr>
                <w:noProof/>
                <w:webHidden/>
              </w:rPr>
              <w:fldChar w:fldCharType="separate"/>
            </w:r>
            <w:r>
              <w:rPr>
                <w:noProof/>
                <w:webHidden/>
              </w:rPr>
              <w:t>13</w:t>
            </w:r>
            <w:r>
              <w:rPr>
                <w:noProof/>
                <w:webHidden/>
              </w:rPr>
              <w:fldChar w:fldCharType="end"/>
            </w:r>
          </w:hyperlink>
        </w:p>
        <w:p w14:paraId="1D58FB46" w14:textId="3C8C824A" w:rsidR="00FA185D" w:rsidRDefault="00FA185D">
          <w:pPr>
            <w:pStyle w:val="TOC2"/>
            <w:tabs>
              <w:tab w:val="right" w:leader="dot" w:pos="9016"/>
            </w:tabs>
            <w:rPr>
              <w:rFonts w:eastAsiaTheme="minorEastAsia"/>
              <w:noProof/>
              <w:sz w:val="24"/>
              <w:szCs w:val="24"/>
              <w:lang w:eastAsia="en-GB"/>
            </w:rPr>
          </w:pPr>
          <w:hyperlink w:anchor="_Toc200637197" w:history="1">
            <w:r w:rsidRPr="005D4BFB">
              <w:rPr>
                <w:rStyle w:val="Hyperlink"/>
                <w:rFonts w:eastAsia="Times New Roman"/>
                <w:noProof/>
                <w:lang w:eastAsia="en-GB"/>
              </w:rPr>
              <w:t>2.5 Technology, Digital Transformation, and Guest Expectations</w:t>
            </w:r>
            <w:r>
              <w:rPr>
                <w:noProof/>
                <w:webHidden/>
              </w:rPr>
              <w:tab/>
            </w:r>
            <w:r>
              <w:rPr>
                <w:noProof/>
                <w:webHidden/>
              </w:rPr>
              <w:fldChar w:fldCharType="begin"/>
            </w:r>
            <w:r>
              <w:rPr>
                <w:noProof/>
                <w:webHidden/>
              </w:rPr>
              <w:instrText xml:space="preserve"> PAGEREF _Toc200637197 \h </w:instrText>
            </w:r>
            <w:r>
              <w:rPr>
                <w:noProof/>
                <w:webHidden/>
              </w:rPr>
            </w:r>
            <w:r>
              <w:rPr>
                <w:noProof/>
                <w:webHidden/>
              </w:rPr>
              <w:fldChar w:fldCharType="separate"/>
            </w:r>
            <w:r>
              <w:rPr>
                <w:noProof/>
                <w:webHidden/>
              </w:rPr>
              <w:t>13</w:t>
            </w:r>
            <w:r>
              <w:rPr>
                <w:noProof/>
                <w:webHidden/>
              </w:rPr>
              <w:fldChar w:fldCharType="end"/>
            </w:r>
          </w:hyperlink>
        </w:p>
        <w:p w14:paraId="79AC629A" w14:textId="41B05072" w:rsidR="00FA185D" w:rsidRDefault="00FA185D">
          <w:pPr>
            <w:pStyle w:val="TOC2"/>
            <w:tabs>
              <w:tab w:val="right" w:leader="dot" w:pos="9016"/>
            </w:tabs>
            <w:rPr>
              <w:rFonts w:eastAsiaTheme="minorEastAsia"/>
              <w:noProof/>
              <w:sz w:val="24"/>
              <w:szCs w:val="24"/>
              <w:lang w:eastAsia="en-GB"/>
            </w:rPr>
          </w:pPr>
          <w:hyperlink w:anchor="_Toc200637198" w:history="1">
            <w:r w:rsidRPr="005D4BFB">
              <w:rPr>
                <w:rStyle w:val="Hyperlink"/>
                <w:rFonts w:eastAsia="Times New Roman"/>
                <w:noProof/>
                <w:lang w:eastAsia="en-GB"/>
              </w:rPr>
              <w:t>2.6 Resistance to Change and Employee Resilience</w:t>
            </w:r>
            <w:r>
              <w:rPr>
                <w:noProof/>
                <w:webHidden/>
              </w:rPr>
              <w:tab/>
            </w:r>
            <w:r>
              <w:rPr>
                <w:noProof/>
                <w:webHidden/>
              </w:rPr>
              <w:fldChar w:fldCharType="begin"/>
            </w:r>
            <w:r>
              <w:rPr>
                <w:noProof/>
                <w:webHidden/>
              </w:rPr>
              <w:instrText xml:space="preserve"> PAGEREF _Toc200637198 \h </w:instrText>
            </w:r>
            <w:r>
              <w:rPr>
                <w:noProof/>
                <w:webHidden/>
              </w:rPr>
            </w:r>
            <w:r>
              <w:rPr>
                <w:noProof/>
                <w:webHidden/>
              </w:rPr>
              <w:fldChar w:fldCharType="separate"/>
            </w:r>
            <w:r>
              <w:rPr>
                <w:noProof/>
                <w:webHidden/>
              </w:rPr>
              <w:t>14</w:t>
            </w:r>
            <w:r>
              <w:rPr>
                <w:noProof/>
                <w:webHidden/>
              </w:rPr>
              <w:fldChar w:fldCharType="end"/>
            </w:r>
          </w:hyperlink>
        </w:p>
        <w:p w14:paraId="654F944C" w14:textId="523D5153" w:rsidR="00FA185D" w:rsidRDefault="00FA185D">
          <w:pPr>
            <w:pStyle w:val="TOC2"/>
            <w:tabs>
              <w:tab w:val="right" w:leader="dot" w:pos="9016"/>
            </w:tabs>
            <w:rPr>
              <w:rFonts w:eastAsiaTheme="minorEastAsia"/>
              <w:noProof/>
              <w:sz w:val="24"/>
              <w:szCs w:val="24"/>
              <w:lang w:eastAsia="en-GB"/>
            </w:rPr>
          </w:pPr>
          <w:hyperlink w:anchor="_Toc200637199" w:history="1">
            <w:r w:rsidRPr="005D4BFB">
              <w:rPr>
                <w:rStyle w:val="Hyperlink"/>
                <w:rFonts w:eastAsia="Times New Roman"/>
                <w:noProof/>
                <w:lang w:eastAsia="en-GB"/>
              </w:rPr>
              <w:t>2.7 Gaps in the Literature and Project Contribution</w:t>
            </w:r>
            <w:r>
              <w:rPr>
                <w:noProof/>
                <w:webHidden/>
              </w:rPr>
              <w:tab/>
            </w:r>
            <w:r>
              <w:rPr>
                <w:noProof/>
                <w:webHidden/>
              </w:rPr>
              <w:fldChar w:fldCharType="begin"/>
            </w:r>
            <w:r>
              <w:rPr>
                <w:noProof/>
                <w:webHidden/>
              </w:rPr>
              <w:instrText xml:space="preserve"> PAGEREF _Toc200637199 \h </w:instrText>
            </w:r>
            <w:r>
              <w:rPr>
                <w:noProof/>
                <w:webHidden/>
              </w:rPr>
            </w:r>
            <w:r>
              <w:rPr>
                <w:noProof/>
                <w:webHidden/>
              </w:rPr>
              <w:fldChar w:fldCharType="separate"/>
            </w:r>
            <w:r>
              <w:rPr>
                <w:noProof/>
                <w:webHidden/>
              </w:rPr>
              <w:t>14</w:t>
            </w:r>
            <w:r>
              <w:rPr>
                <w:noProof/>
                <w:webHidden/>
              </w:rPr>
              <w:fldChar w:fldCharType="end"/>
            </w:r>
          </w:hyperlink>
        </w:p>
        <w:p w14:paraId="38F9063F" w14:textId="78D6CF34" w:rsidR="00FA185D" w:rsidRDefault="00FA185D">
          <w:pPr>
            <w:pStyle w:val="TOC1"/>
            <w:tabs>
              <w:tab w:val="right" w:leader="dot" w:pos="9016"/>
            </w:tabs>
            <w:rPr>
              <w:rFonts w:eastAsiaTheme="minorEastAsia"/>
              <w:noProof/>
              <w:sz w:val="24"/>
              <w:szCs w:val="24"/>
              <w:lang w:eastAsia="en-GB"/>
            </w:rPr>
          </w:pPr>
          <w:hyperlink w:anchor="_Toc200637200" w:history="1">
            <w:r w:rsidRPr="005D4BFB">
              <w:rPr>
                <w:rStyle w:val="Hyperlink"/>
                <w:rFonts w:eastAsia="Times New Roman"/>
                <w:b/>
                <w:bCs/>
                <w:noProof/>
                <w:lang w:eastAsia="en-GB"/>
              </w:rPr>
              <w:t>Chapter 3: Methodology</w:t>
            </w:r>
            <w:r>
              <w:rPr>
                <w:noProof/>
                <w:webHidden/>
              </w:rPr>
              <w:tab/>
            </w:r>
            <w:r>
              <w:rPr>
                <w:noProof/>
                <w:webHidden/>
              </w:rPr>
              <w:fldChar w:fldCharType="begin"/>
            </w:r>
            <w:r>
              <w:rPr>
                <w:noProof/>
                <w:webHidden/>
              </w:rPr>
              <w:instrText xml:space="preserve"> PAGEREF _Toc200637200 \h </w:instrText>
            </w:r>
            <w:r>
              <w:rPr>
                <w:noProof/>
                <w:webHidden/>
              </w:rPr>
            </w:r>
            <w:r>
              <w:rPr>
                <w:noProof/>
                <w:webHidden/>
              </w:rPr>
              <w:fldChar w:fldCharType="separate"/>
            </w:r>
            <w:r>
              <w:rPr>
                <w:noProof/>
                <w:webHidden/>
              </w:rPr>
              <w:t>15</w:t>
            </w:r>
            <w:r>
              <w:rPr>
                <w:noProof/>
                <w:webHidden/>
              </w:rPr>
              <w:fldChar w:fldCharType="end"/>
            </w:r>
          </w:hyperlink>
        </w:p>
        <w:p w14:paraId="4471622C" w14:textId="6E4D46B5" w:rsidR="00FA185D" w:rsidRDefault="00FA185D">
          <w:pPr>
            <w:pStyle w:val="TOC2"/>
            <w:tabs>
              <w:tab w:val="right" w:leader="dot" w:pos="9016"/>
            </w:tabs>
            <w:rPr>
              <w:rFonts w:eastAsiaTheme="minorEastAsia"/>
              <w:noProof/>
              <w:sz w:val="24"/>
              <w:szCs w:val="24"/>
              <w:lang w:eastAsia="en-GB"/>
            </w:rPr>
          </w:pPr>
          <w:hyperlink w:anchor="_Toc200637201" w:history="1">
            <w:r w:rsidRPr="005D4BFB">
              <w:rPr>
                <w:rStyle w:val="Hyperlink"/>
                <w:rFonts w:eastAsia="Times New Roman"/>
                <w:noProof/>
                <w:lang w:eastAsia="en-GB"/>
              </w:rPr>
              <w:t>3.1 Case Study Approach</w:t>
            </w:r>
            <w:r>
              <w:rPr>
                <w:noProof/>
                <w:webHidden/>
              </w:rPr>
              <w:tab/>
            </w:r>
            <w:r>
              <w:rPr>
                <w:noProof/>
                <w:webHidden/>
              </w:rPr>
              <w:fldChar w:fldCharType="begin"/>
            </w:r>
            <w:r>
              <w:rPr>
                <w:noProof/>
                <w:webHidden/>
              </w:rPr>
              <w:instrText xml:space="preserve"> PAGEREF _Toc200637201 \h </w:instrText>
            </w:r>
            <w:r>
              <w:rPr>
                <w:noProof/>
                <w:webHidden/>
              </w:rPr>
            </w:r>
            <w:r>
              <w:rPr>
                <w:noProof/>
                <w:webHidden/>
              </w:rPr>
              <w:fldChar w:fldCharType="separate"/>
            </w:r>
            <w:r>
              <w:rPr>
                <w:noProof/>
                <w:webHidden/>
              </w:rPr>
              <w:t>15</w:t>
            </w:r>
            <w:r>
              <w:rPr>
                <w:noProof/>
                <w:webHidden/>
              </w:rPr>
              <w:fldChar w:fldCharType="end"/>
            </w:r>
          </w:hyperlink>
        </w:p>
        <w:p w14:paraId="4CD0102B" w14:textId="4CB0793C" w:rsidR="00FA185D" w:rsidRDefault="00FA185D">
          <w:pPr>
            <w:pStyle w:val="TOC2"/>
            <w:tabs>
              <w:tab w:val="right" w:leader="dot" w:pos="9016"/>
            </w:tabs>
            <w:rPr>
              <w:rFonts w:eastAsiaTheme="minorEastAsia"/>
              <w:noProof/>
              <w:sz w:val="24"/>
              <w:szCs w:val="24"/>
              <w:lang w:eastAsia="en-GB"/>
            </w:rPr>
          </w:pPr>
          <w:hyperlink w:anchor="_Toc200637202" w:history="1">
            <w:r w:rsidRPr="005D4BFB">
              <w:rPr>
                <w:rStyle w:val="Hyperlink"/>
                <w:rFonts w:eastAsia="Times New Roman"/>
                <w:noProof/>
                <w:lang w:eastAsia="en-GB"/>
              </w:rPr>
              <w:t>3.2 Netnography as a Complementary Method</w:t>
            </w:r>
            <w:r>
              <w:rPr>
                <w:noProof/>
                <w:webHidden/>
              </w:rPr>
              <w:tab/>
            </w:r>
            <w:r>
              <w:rPr>
                <w:noProof/>
                <w:webHidden/>
              </w:rPr>
              <w:fldChar w:fldCharType="begin"/>
            </w:r>
            <w:r>
              <w:rPr>
                <w:noProof/>
                <w:webHidden/>
              </w:rPr>
              <w:instrText xml:space="preserve"> PAGEREF _Toc200637202 \h </w:instrText>
            </w:r>
            <w:r>
              <w:rPr>
                <w:noProof/>
                <w:webHidden/>
              </w:rPr>
            </w:r>
            <w:r>
              <w:rPr>
                <w:noProof/>
                <w:webHidden/>
              </w:rPr>
              <w:fldChar w:fldCharType="separate"/>
            </w:r>
            <w:r>
              <w:rPr>
                <w:noProof/>
                <w:webHidden/>
              </w:rPr>
              <w:t>16</w:t>
            </w:r>
            <w:r>
              <w:rPr>
                <w:noProof/>
                <w:webHidden/>
              </w:rPr>
              <w:fldChar w:fldCharType="end"/>
            </w:r>
          </w:hyperlink>
        </w:p>
        <w:p w14:paraId="650927D2" w14:textId="75B48877" w:rsidR="00FA185D" w:rsidRDefault="00FA185D">
          <w:pPr>
            <w:pStyle w:val="TOC2"/>
            <w:tabs>
              <w:tab w:val="right" w:leader="dot" w:pos="9016"/>
            </w:tabs>
            <w:rPr>
              <w:rFonts w:eastAsiaTheme="minorEastAsia"/>
              <w:noProof/>
              <w:sz w:val="24"/>
              <w:szCs w:val="24"/>
              <w:lang w:eastAsia="en-GB"/>
            </w:rPr>
          </w:pPr>
          <w:hyperlink w:anchor="_Toc200637203" w:history="1">
            <w:r w:rsidRPr="005D4BFB">
              <w:rPr>
                <w:rStyle w:val="Hyperlink"/>
                <w:rFonts w:eastAsia="Times New Roman"/>
                <w:noProof/>
                <w:lang w:eastAsia="en-GB"/>
              </w:rPr>
              <w:t>3.3 Integration of Observational Learning</w:t>
            </w:r>
            <w:r>
              <w:rPr>
                <w:noProof/>
                <w:webHidden/>
              </w:rPr>
              <w:tab/>
            </w:r>
            <w:r>
              <w:rPr>
                <w:noProof/>
                <w:webHidden/>
              </w:rPr>
              <w:fldChar w:fldCharType="begin"/>
            </w:r>
            <w:r>
              <w:rPr>
                <w:noProof/>
                <w:webHidden/>
              </w:rPr>
              <w:instrText xml:space="preserve"> PAGEREF _Toc200637203 \h </w:instrText>
            </w:r>
            <w:r>
              <w:rPr>
                <w:noProof/>
                <w:webHidden/>
              </w:rPr>
            </w:r>
            <w:r>
              <w:rPr>
                <w:noProof/>
                <w:webHidden/>
              </w:rPr>
              <w:fldChar w:fldCharType="separate"/>
            </w:r>
            <w:r>
              <w:rPr>
                <w:noProof/>
                <w:webHidden/>
              </w:rPr>
              <w:t>16</w:t>
            </w:r>
            <w:r>
              <w:rPr>
                <w:noProof/>
                <w:webHidden/>
              </w:rPr>
              <w:fldChar w:fldCharType="end"/>
            </w:r>
          </w:hyperlink>
        </w:p>
        <w:p w14:paraId="2B499A34" w14:textId="2FDFAD7F" w:rsidR="00FA185D" w:rsidRDefault="00FA185D">
          <w:pPr>
            <w:pStyle w:val="TOC2"/>
            <w:tabs>
              <w:tab w:val="right" w:leader="dot" w:pos="9016"/>
            </w:tabs>
            <w:rPr>
              <w:rFonts w:eastAsiaTheme="minorEastAsia"/>
              <w:noProof/>
              <w:sz w:val="24"/>
              <w:szCs w:val="24"/>
              <w:lang w:eastAsia="en-GB"/>
            </w:rPr>
          </w:pPr>
          <w:hyperlink w:anchor="_Toc200637204" w:history="1">
            <w:r w:rsidRPr="005D4BFB">
              <w:rPr>
                <w:rStyle w:val="Hyperlink"/>
                <w:rFonts w:eastAsia="Times New Roman"/>
                <w:noProof/>
                <w:lang w:eastAsia="en-GB"/>
              </w:rPr>
              <w:t>3.4 Ethical Considerations</w:t>
            </w:r>
            <w:r>
              <w:rPr>
                <w:noProof/>
                <w:webHidden/>
              </w:rPr>
              <w:tab/>
            </w:r>
            <w:r>
              <w:rPr>
                <w:noProof/>
                <w:webHidden/>
              </w:rPr>
              <w:fldChar w:fldCharType="begin"/>
            </w:r>
            <w:r>
              <w:rPr>
                <w:noProof/>
                <w:webHidden/>
              </w:rPr>
              <w:instrText xml:space="preserve"> PAGEREF _Toc200637204 \h </w:instrText>
            </w:r>
            <w:r>
              <w:rPr>
                <w:noProof/>
                <w:webHidden/>
              </w:rPr>
            </w:r>
            <w:r>
              <w:rPr>
                <w:noProof/>
                <w:webHidden/>
              </w:rPr>
              <w:fldChar w:fldCharType="separate"/>
            </w:r>
            <w:r>
              <w:rPr>
                <w:noProof/>
                <w:webHidden/>
              </w:rPr>
              <w:t>17</w:t>
            </w:r>
            <w:r>
              <w:rPr>
                <w:noProof/>
                <w:webHidden/>
              </w:rPr>
              <w:fldChar w:fldCharType="end"/>
            </w:r>
          </w:hyperlink>
        </w:p>
        <w:p w14:paraId="41AD7A7B" w14:textId="7954AABA" w:rsidR="00FA185D" w:rsidRDefault="00FA185D">
          <w:pPr>
            <w:pStyle w:val="TOC1"/>
            <w:tabs>
              <w:tab w:val="right" w:leader="dot" w:pos="9016"/>
            </w:tabs>
            <w:rPr>
              <w:rFonts w:eastAsiaTheme="minorEastAsia"/>
              <w:noProof/>
              <w:sz w:val="24"/>
              <w:szCs w:val="24"/>
              <w:lang w:eastAsia="en-GB"/>
            </w:rPr>
          </w:pPr>
          <w:hyperlink w:anchor="_Toc200637205" w:history="1">
            <w:r w:rsidRPr="005D4BFB">
              <w:rPr>
                <w:rStyle w:val="Hyperlink"/>
                <w:b/>
                <w:bCs/>
                <w:noProof/>
              </w:rPr>
              <w:t>Chapter 4: Findings</w:t>
            </w:r>
            <w:r>
              <w:rPr>
                <w:noProof/>
                <w:webHidden/>
              </w:rPr>
              <w:tab/>
            </w:r>
            <w:r>
              <w:rPr>
                <w:noProof/>
                <w:webHidden/>
              </w:rPr>
              <w:fldChar w:fldCharType="begin"/>
            </w:r>
            <w:r>
              <w:rPr>
                <w:noProof/>
                <w:webHidden/>
              </w:rPr>
              <w:instrText xml:space="preserve"> PAGEREF _Toc200637205 \h </w:instrText>
            </w:r>
            <w:r>
              <w:rPr>
                <w:noProof/>
                <w:webHidden/>
              </w:rPr>
            </w:r>
            <w:r>
              <w:rPr>
                <w:noProof/>
                <w:webHidden/>
              </w:rPr>
              <w:fldChar w:fldCharType="separate"/>
            </w:r>
            <w:r>
              <w:rPr>
                <w:noProof/>
                <w:webHidden/>
              </w:rPr>
              <w:t>18</w:t>
            </w:r>
            <w:r>
              <w:rPr>
                <w:noProof/>
                <w:webHidden/>
              </w:rPr>
              <w:fldChar w:fldCharType="end"/>
            </w:r>
          </w:hyperlink>
        </w:p>
        <w:p w14:paraId="3740A65D" w14:textId="256C56DA" w:rsidR="00FA185D" w:rsidRDefault="00FA185D">
          <w:pPr>
            <w:pStyle w:val="TOC2"/>
            <w:tabs>
              <w:tab w:val="right" w:leader="dot" w:pos="9016"/>
            </w:tabs>
            <w:rPr>
              <w:rFonts w:eastAsiaTheme="minorEastAsia"/>
              <w:noProof/>
              <w:sz w:val="24"/>
              <w:szCs w:val="24"/>
              <w:lang w:eastAsia="en-GB"/>
            </w:rPr>
          </w:pPr>
          <w:hyperlink w:anchor="_Toc200637206" w:history="1">
            <w:r w:rsidRPr="005D4BFB">
              <w:rPr>
                <w:rStyle w:val="Hyperlink"/>
                <w:noProof/>
              </w:rPr>
              <w:t>4.1 Findings</w:t>
            </w:r>
            <w:r>
              <w:rPr>
                <w:noProof/>
                <w:webHidden/>
              </w:rPr>
              <w:tab/>
            </w:r>
            <w:r>
              <w:rPr>
                <w:noProof/>
                <w:webHidden/>
              </w:rPr>
              <w:fldChar w:fldCharType="begin"/>
            </w:r>
            <w:r>
              <w:rPr>
                <w:noProof/>
                <w:webHidden/>
              </w:rPr>
              <w:instrText xml:space="preserve"> PAGEREF _Toc200637206 \h </w:instrText>
            </w:r>
            <w:r>
              <w:rPr>
                <w:noProof/>
                <w:webHidden/>
              </w:rPr>
            </w:r>
            <w:r>
              <w:rPr>
                <w:noProof/>
                <w:webHidden/>
              </w:rPr>
              <w:fldChar w:fldCharType="separate"/>
            </w:r>
            <w:r>
              <w:rPr>
                <w:noProof/>
                <w:webHidden/>
              </w:rPr>
              <w:t>18</w:t>
            </w:r>
            <w:r>
              <w:rPr>
                <w:noProof/>
                <w:webHidden/>
              </w:rPr>
              <w:fldChar w:fldCharType="end"/>
            </w:r>
          </w:hyperlink>
        </w:p>
        <w:p w14:paraId="463B03EB" w14:textId="43282A59" w:rsidR="00FA185D" w:rsidRDefault="00FA185D">
          <w:pPr>
            <w:pStyle w:val="TOC3"/>
            <w:tabs>
              <w:tab w:val="right" w:leader="dot" w:pos="9016"/>
            </w:tabs>
            <w:rPr>
              <w:rFonts w:eastAsiaTheme="minorEastAsia"/>
              <w:noProof/>
              <w:sz w:val="24"/>
              <w:szCs w:val="24"/>
              <w:lang w:eastAsia="en-GB"/>
            </w:rPr>
          </w:pPr>
          <w:hyperlink w:anchor="_Toc200637207" w:history="1">
            <w:r w:rsidRPr="005D4BFB">
              <w:rPr>
                <w:rStyle w:val="Hyperlink"/>
                <w:noProof/>
              </w:rPr>
              <w:t>Theme 1: Renovation and Operational Modernisation</w:t>
            </w:r>
            <w:r>
              <w:rPr>
                <w:noProof/>
                <w:webHidden/>
              </w:rPr>
              <w:tab/>
            </w:r>
            <w:r>
              <w:rPr>
                <w:noProof/>
                <w:webHidden/>
              </w:rPr>
              <w:fldChar w:fldCharType="begin"/>
            </w:r>
            <w:r>
              <w:rPr>
                <w:noProof/>
                <w:webHidden/>
              </w:rPr>
              <w:instrText xml:space="preserve"> PAGEREF _Toc200637207 \h </w:instrText>
            </w:r>
            <w:r>
              <w:rPr>
                <w:noProof/>
                <w:webHidden/>
              </w:rPr>
            </w:r>
            <w:r>
              <w:rPr>
                <w:noProof/>
                <w:webHidden/>
              </w:rPr>
              <w:fldChar w:fldCharType="separate"/>
            </w:r>
            <w:r>
              <w:rPr>
                <w:noProof/>
                <w:webHidden/>
              </w:rPr>
              <w:t>18</w:t>
            </w:r>
            <w:r>
              <w:rPr>
                <w:noProof/>
                <w:webHidden/>
              </w:rPr>
              <w:fldChar w:fldCharType="end"/>
            </w:r>
          </w:hyperlink>
        </w:p>
        <w:p w14:paraId="611228CF" w14:textId="0E16B599" w:rsidR="00FA185D" w:rsidRDefault="00FA185D">
          <w:pPr>
            <w:pStyle w:val="TOC3"/>
            <w:tabs>
              <w:tab w:val="right" w:leader="dot" w:pos="9016"/>
            </w:tabs>
            <w:rPr>
              <w:rFonts w:eastAsiaTheme="minorEastAsia"/>
              <w:noProof/>
              <w:sz w:val="24"/>
              <w:szCs w:val="24"/>
              <w:lang w:eastAsia="en-GB"/>
            </w:rPr>
          </w:pPr>
          <w:hyperlink w:anchor="_Toc200637208" w:history="1">
            <w:r w:rsidRPr="005D4BFB">
              <w:rPr>
                <w:rStyle w:val="Hyperlink"/>
                <w:noProof/>
              </w:rPr>
              <w:t>Theme 2: Redefinition of Staff Roles and Service Culture</w:t>
            </w:r>
            <w:r>
              <w:rPr>
                <w:noProof/>
                <w:webHidden/>
              </w:rPr>
              <w:tab/>
            </w:r>
            <w:r>
              <w:rPr>
                <w:noProof/>
                <w:webHidden/>
              </w:rPr>
              <w:fldChar w:fldCharType="begin"/>
            </w:r>
            <w:r>
              <w:rPr>
                <w:noProof/>
                <w:webHidden/>
              </w:rPr>
              <w:instrText xml:space="preserve"> PAGEREF _Toc200637208 \h </w:instrText>
            </w:r>
            <w:r>
              <w:rPr>
                <w:noProof/>
                <w:webHidden/>
              </w:rPr>
            </w:r>
            <w:r>
              <w:rPr>
                <w:noProof/>
                <w:webHidden/>
              </w:rPr>
              <w:fldChar w:fldCharType="separate"/>
            </w:r>
            <w:r>
              <w:rPr>
                <w:noProof/>
                <w:webHidden/>
              </w:rPr>
              <w:t>19</w:t>
            </w:r>
            <w:r>
              <w:rPr>
                <w:noProof/>
                <w:webHidden/>
              </w:rPr>
              <w:fldChar w:fldCharType="end"/>
            </w:r>
          </w:hyperlink>
        </w:p>
        <w:p w14:paraId="10B47042" w14:textId="22D1034A" w:rsidR="00FA185D" w:rsidRDefault="00FA185D">
          <w:pPr>
            <w:pStyle w:val="TOC2"/>
            <w:tabs>
              <w:tab w:val="right" w:leader="dot" w:pos="9016"/>
            </w:tabs>
            <w:rPr>
              <w:rFonts w:eastAsiaTheme="minorEastAsia"/>
              <w:noProof/>
              <w:sz w:val="24"/>
              <w:szCs w:val="24"/>
              <w:lang w:eastAsia="en-GB"/>
            </w:rPr>
          </w:pPr>
          <w:hyperlink w:anchor="_Toc200637209" w:history="1">
            <w:r w:rsidRPr="005D4BFB">
              <w:rPr>
                <w:rStyle w:val="Hyperlink"/>
                <w:noProof/>
              </w:rPr>
              <w:t>Theme 3: Communication and Employee Engagement in Change</w:t>
            </w:r>
            <w:r>
              <w:rPr>
                <w:noProof/>
                <w:webHidden/>
              </w:rPr>
              <w:tab/>
            </w:r>
            <w:r>
              <w:rPr>
                <w:noProof/>
                <w:webHidden/>
              </w:rPr>
              <w:fldChar w:fldCharType="begin"/>
            </w:r>
            <w:r>
              <w:rPr>
                <w:noProof/>
                <w:webHidden/>
              </w:rPr>
              <w:instrText xml:space="preserve"> PAGEREF _Toc200637209 \h </w:instrText>
            </w:r>
            <w:r>
              <w:rPr>
                <w:noProof/>
                <w:webHidden/>
              </w:rPr>
            </w:r>
            <w:r>
              <w:rPr>
                <w:noProof/>
                <w:webHidden/>
              </w:rPr>
              <w:fldChar w:fldCharType="separate"/>
            </w:r>
            <w:r>
              <w:rPr>
                <w:noProof/>
                <w:webHidden/>
              </w:rPr>
              <w:t>20</w:t>
            </w:r>
            <w:r>
              <w:rPr>
                <w:noProof/>
                <w:webHidden/>
              </w:rPr>
              <w:fldChar w:fldCharType="end"/>
            </w:r>
          </w:hyperlink>
        </w:p>
        <w:p w14:paraId="75434C65" w14:textId="623D5C58" w:rsidR="00FA185D" w:rsidRDefault="00FA185D">
          <w:pPr>
            <w:pStyle w:val="TOC2"/>
            <w:tabs>
              <w:tab w:val="right" w:leader="dot" w:pos="9016"/>
            </w:tabs>
            <w:rPr>
              <w:rFonts w:eastAsiaTheme="minorEastAsia"/>
              <w:noProof/>
              <w:sz w:val="24"/>
              <w:szCs w:val="24"/>
              <w:lang w:eastAsia="en-GB"/>
            </w:rPr>
          </w:pPr>
          <w:hyperlink w:anchor="_Toc200637210" w:history="1">
            <w:r w:rsidRPr="005D4BFB">
              <w:rPr>
                <w:rStyle w:val="Hyperlink"/>
                <w:noProof/>
              </w:rPr>
              <w:t>Theme 4: Organisational Culture and Emotional Adjustment</w:t>
            </w:r>
            <w:r>
              <w:rPr>
                <w:noProof/>
                <w:webHidden/>
              </w:rPr>
              <w:tab/>
            </w:r>
            <w:r>
              <w:rPr>
                <w:noProof/>
                <w:webHidden/>
              </w:rPr>
              <w:fldChar w:fldCharType="begin"/>
            </w:r>
            <w:r>
              <w:rPr>
                <w:noProof/>
                <w:webHidden/>
              </w:rPr>
              <w:instrText xml:space="preserve"> PAGEREF _Toc200637210 \h </w:instrText>
            </w:r>
            <w:r>
              <w:rPr>
                <w:noProof/>
                <w:webHidden/>
              </w:rPr>
            </w:r>
            <w:r>
              <w:rPr>
                <w:noProof/>
                <w:webHidden/>
              </w:rPr>
              <w:fldChar w:fldCharType="separate"/>
            </w:r>
            <w:r>
              <w:rPr>
                <w:noProof/>
                <w:webHidden/>
              </w:rPr>
              <w:t>20</w:t>
            </w:r>
            <w:r>
              <w:rPr>
                <w:noProof/>
                <w:webHidden/>
              </w:rPr>
              <w:fldChar w:fldCharType="end"/>
            </w:r>
          </w:hyperlink>
        </w:p>
        <w:p w14:paraId="31D6B647" w14:textId="66214013" w:rsidR="00FA185D" w:rsidRDefault="00FA185D">
          <w:pPr>
            <w:pStyle w:val="TOC2"/>
            <w:tabs>
              <w:tab w:val="right" w:leader="dot" w:pos="9016"/>
            </w:tabs>
            <w:rPr>
              <w:rFonts w:eastAsiaTheme="minorEastAsia"/>
              <w:noProof/>
              <w:sz w:val="24"/>
              <w:szCs w:val="24"/>
              <w:lang w:eastAsia="en-GB"/>
            </w:rPr>
          </w:pPr>
          <w:hyperlink w:anchor="_Toc200637211" w:history="1">
            <w:r w:rsidRPr="005D4BFB">
              <w:rPr>
                <w:rStyle w:val="Hyperlink"/>
                <w:noProof/>
              </w:rPr>
              <w:t>Theme 5: Guest Perception, Value, and Brand Loyalty</w:t>
            </w:r>
            <w:r>
              <w:rPr>
                <w:noProof/>
                <w:webHidden/>
              </w:rPr>
              <w:tab/>
            </w:r>
            <w:r>
              <w:rPr>
                <w:noProof/>
                <w:webHidden/>
              </w:rPr>
              <w:fldChar w:fldCharType="begin"/>
            </w:r>
            <w:r>
              <w:rPr>
                <w:noProof/>
                <w:webHidden/>
              </w:rPr>
              <w:instrText xml:space="preserve"> PAGEREF _Toc200637211 \h </w:instrText>
            </w:r>
            <w:r>
              <w:rPr>
                <w:noProof/>
                <w:webHidden/>
              </w:rPr>
            </w:r>
            <w:r>
              <w:rPr>
                <w:noProof/>
                <w:webHidden/>
              </w:rPr>
              <w:fldChar w:fldCharType="separate"/>
            </w:r>
            <w:r>
              <w:rPr>
                <w:noProof/>
                <w:webHidden/>
              </w:rPr>
              <w:t>21</w:t>
            </w:r>
            <w:r>
              <w:rPr>
                <w:noProof/>
                <w:webHidden/>
              </w:rPr>
              <w:fldChar w:fldCharType="end"/>
            </w:r>
          </w:hyperlink>
        </w:p>
        <w:p w14:paraId="151B97BD" w14:textId="41EBE5F4" w:rsidR="00FA185D" w:rsidRDefault="00FA185D">
          <w:pPr>
            <w:pStyle w:val="TOC2"/>
            <w:tabs>
              <w:tab w:val="right" w:leader="dot" w:pos="9016"/>
            </w:tabs>
            <w:rPr>
              <w:rFonts w:eastAsiaTheme="minorEastAsia"/>
              <w:noProof/>
              <w:sz w:val="24"/>
              <w:szCs w:val="24"/>
              <w:lang w:eastAsia="en-GB"/>
            </w:rPr>
          </w:pPr>
          <w:hyperlink w:anchor="_Toc200637212" w:history="1">
            <w:r w:rsidRPr="005D4BFB">
              <w:rPr>
                <w:rStyle w:val="Hyperlink"/>
                <w:noProof/>
              </w:rPr>
              <w:t>Theme 6: Sustainability and ESG Perceptions</w:t>
            </w:r>
            <w:r>
              <w:rPr>
                <w:noProof/>
                <w:webHidden/>
              </w:rPr>
              <w:tab/>
            </w:r>
            <w:r>
              <w:rPr>
                <w:noProof/>
                <w:webHidden/>
              </w:rPr>
              <w:fldChar w:fldCharType="begin"/>
            </w:r>
            <w:r>
              <w:rPr>
                <w:noProof/>
                <w:webHidden/>
              </w:rPr>
              <w:instrText xml:space="preserve"> PAGEREF _Toc200637212 \h </w:instrText>
            </w:r>
            <w:r>
              <w:rPr>
                <w:noProof/>
                <w:webHidden/>
              </w:rPr>
            </w:r>
            <w:r>
              <w:rPr>
                <w:noProof/>
                <w:webHidden/>
              </w:rPr>
              <w:fldChar w:fldCharType="separate"/>
            </w:r>
            <w:r>
              <w:rPr>
                <w:noProof/>
                <w:webHidden/>
              </w:rPr>
              <w:t>22</w:t>
            </w:r>
            <w:r>
              <w:rPr>
                <w:noProof/>
                <w:webHidden/>
              </w:rPr>
              <w:fldChar w:fldCharType="end"/>
            </w:r>
          </w:hyperlink>
        </w:p>
        <w:p w14:paraId="5E98EE3F" w14:textId="159B206E" w:rsidR="00FA185D" w:rsidRDefault="00FA185D">
          <w:pPr>
            <w:pStyle w:val="TOC2"/>
            <w:tabs>
              <w:tab w:val="right" w:leader="dot" w:pos="9016"/>
            </w:tabs>
            <w:rPr>
              <w:rFonts w:eastAsiaTheme="minorEastAsia"/>
              <w:noProof/>
              <w:sz w:val="24"/>
              <w:szCs w:val="24"/>
              <w:lang w:eastAsia="en-GB"/>
            </w:rPr>
          </w:pPr>
          <w:hyperlink w:anchor="_Toc200637213" w:history="1">
            <w:r w:rsidRPr="005D4BFB">
              <w:rPr>
                <w:rStyle w:val="Hyperlink"/>
                <w:noProof/>
              </w:rPr>
              <w:t>4.2 Discussion</w:t>
            </w:r>
            <w:r>
              <w:rPr>
                <w:noProof/>
                <w:webHidden/>
              </w:rPr>
              <w:tab/>
            </w:r>
            <w:r>
              <w:rPr>
                <w:noProof/>
                <w:webHidden/>
              </w:rPr>
              <w:fldChar w:fldCharType="begin"/>
            </w:r>
            <w:r>
              <w:rPr>
                <w:noProof/>
                <w:webHidden/>
              </w:rPr>
              <w:instrText xml:space="preserve"> PAGEREF _Toc200637213 \h </w:instrText>
            </w:r>
            <w:r>
              <w:rPr>
                <w:noProof/>
                <w:webHidden/>
              </w:rPr>
            </w:r>
            <w:r>
              <w:rPr>
                <w:noProof/>
                <w:webHidden/>
              </w:rPr>
              <w:fldChar w:fldCharType="separate"/>
            </w:r>
            <w:r>
              <w:rPr>
                <w:noProof/>
                <w:webHidden/>
              </w:rPr>
              <w:t>24</w:t>
            </w:r>
            <w:r>
              <w:rPr>
                <w:noProof/>
                <w:webHidden/>
              </w:rPr>
              <w:fldChar w:fldCharType="end"/>
            </w:r>
          </w:hyperlink>
        </w:p>
        <w:p w14:paraId="2BF8D6C2" w14:textId="2815023D" w:rsidR="00FA185D" w:rsidRDefault="00FA185D">
          <w:pPr>
            <w:pStyle w:val="TOC3"/>
            <w:tabs>
              <w:tab w:val="right" w:leader="dot" w:pos="9016"/>
            </w:tabs>
            <w:rPr>
              <w:rFonts w:eastAsiaTheme="minorEastAsia"/>
              <w:noProof/>
              <w:sz w:val="24"/>
              <w:szCs w:val="24"/>
              <w:lang w:eastAsia="en-GB"/>
            </w:rPr>
          </w:pPr>
          <w:hyperlink w:anchor="_Toc200637214" w:history="1">
            <w:r w:rsidRPr="005D4BFB">
              <w:rPr>
                <w:rStyle w:val="Hyperlink"/>
                <w:noProof/>
              </w:rPr>
              <w:t>Objective 1: To examine how the rebranding has influenced employee roles, satisfaction, and engagement</w:t>
            </w:r>
            <w:r>
              <w:rPr>
                <w:noProof/>
                <w:webHidden/>
              </w:rPr>
              <w:tab/>
            </w:r>
            <w:r>
              <w:rPr>
                <w:noProof/>
                <w:webHidden/>
              </w:rPr>
              <w:fldChar w:fldCharType="begin"/>
            </w:r>
            <w:r>
              <w:rPr>
                <w:noProof/>
                <w:webHidden/>
              </w:rPr>
              <w:instrText xml:space="preserve"> PAGEREF _Toc200637214 \h </w:instrText>
            </w:r>
            <w:r>
              <w:rPr>
                <w:noProof/>
                <w:webHidden/>
              </w:rPr>
            </w:r>
            <w:r>
              <w:rPr>
                <w:noProof/>
                <w:webHidden/>
              </w:rPr>
              <w:fldChar w:fldCharType="separate"/>
            </w:r>
            <w:r>
              <w:rPr>
                <w:noProof/>
                <w:webHidden/>
              </w:rPr>
              <w:t>24</w:t>
            </w:r>
            <w:r>
              <w:rPr>
                <w:noProof/>
                <w:webHidden/>
              </w:rPr>
              <w:fldChar w:fldCharType="end"/>
            </w:r>
          </w:hyperlink>
        </w:p>
        <w:p w14:paraId="04538B39" w14:textId="2D46BA3A" w:rsidR="00FA185D" w:rsidRDefault="00FA185D">
          <w:pPr>
            <w:pStyle w:val="TOC3"/>
            <w:tabs>
              <w:tab w:val="right" w:leader="dot" w:pos="9016"/>
            </w:tabs>
            <w:rPr>
              <w:rFonts w:eastAsiaTheme="minorEastAsia"/>
              <w:noProof/>
              <w:sz w:val="24"/>
              <w:szCs w:val="24"/>
              <w:lang w:eastAsia="en-GB"/>
            </w:rPr>
          </w:pPr>
          <w:hyperlink w:anchor="_Toc200637215" w:history="1">
            <w:r w:rsidRPr="005D4BFB">
              <w:rPr>
                <w:rStyle w:val="Hyperlink"/>
                <w:noProof/>
              </w:rPr>
              <w:t>Objective 2: To evaluate the impact of the rebrand on internal communication, collaboration, and culture</w:t>
            </w:r>
            <w:r>
              <w:rPr>
                <w:noProof/>
                <w:webHidden/>
              </w:rPr>
              <w:tab/>
            </w:r>
            <w:r>
              <w:rPr>
                <w:noProof/>
                <w:webHidden/>
              </w:rPr>
              <w:fldChar w:fldCharType="begin"/>
            </w:r>
            <w:r>
              <w:rPr>
                <w:noProof/>
                <w:webHidden/>
              </w:rPr>
              <w:instrText xml:space="preserve"> PAGEREF _Toc200637215 \h </w:instrText>
            </w:r>
            <w:r>
              <w:rPr>
                <w:noProof/>
                <w:webHidden/>
              </w:rPr>
            </w:r>
            <w:r>
              <w:rPr>
                <w:noProof/>
                <w:webHidden/>
              </w:rPr>
              <w:fldChar w:fldCharType="separate"/>
            </w:r>
            <w:r>
              <w:rPr>
                <w:noProof/>
                <w:webHidden/>
              </w:rPr>
              <w:t>25</w:t>
            </w:r>
            <w:r>
              <w:rPr>
                <w:noProof/>
                <w:webHidden/>
              </w:rPr>
              <w:fldChar w:fldCharType="end"/>
            </w:r>
          </w:hyperlink>
        </w:p>
        <w:p w14:paraId="1410CCC5" w14:textId="2CD7B9A6" w:rsidR="00FA185D" w:rsidRDefault="00FA185D">
          <w:pPr>
            <w:pStyle w:val="TOC3"/>
            <w:tabs>
              <w:tab w:val="right" w:leader="dot" w:pos="9016"/>
            </w:tabs>
            <w:rPr>
              <w:rFonts w:eastAsiaTheme="minorEastAsia"/>
              <w:noProof/>
              <w:sz w:val="24"/>
              <w:szCs w:val="24"/>
              <w:lang w:eastAsia="en-GB"/>
            </w:rPr>
          </w:pPr>
          <w:hyperlink w:anchor="_Toc200637216" w:history="1">
            <w:r w:rsidRPr="005D4BFB">
              <w:rPr>
                <w:rStyle w:val="Hyperlink"/>
                <w:noProof/>
              </w:rPr>
              <w:t>Objective 3: To explore how guests and stakeholders perceive the rebrand and its implications for brand loyalty and performance</w:t>
            </w:r>
            <w:r>
              <w:rPr>
                <w:noProof/>
                <w:webHidden/>
              </w:rPr>
              <w:tab/>
            </w:r>
            <w:r>
              <w:rPr>
                <w:noProof/>
                <w:webHidden/>
              </w:rPr>
              <w:fldChar w:fldCharType="begin"/>
            </w:r>
            <w:r>
              <w:rPr>
                <w:noProof/>
                <w:webHidden/>
              </w:rPr>
              <w:instrText xml:space="preserve"> PAGEREF _Toc200637216 \h </w:instrText>
            </w:r>
            <w:r>
              <w:rPr>
                <w:noProof/>
                <w:webHidden/>
              </w:rPr>
            </w:r>
            <w:r>
              <w:rPr>
                <w:noProof/>
                <w:webHidden/>
              </w:rPr>
              <w:fldChar w:fldCharType="separate"/>
            </w:r>
            <w:r>
              <w:rPr>
                <w:noProof/>
                <w:webHidden/>
              </w:rPr>
              <w:t>25</w:t>
            </w:r>
            <w:r>
              <w:rPr>
                <w:noProof/>
                <w:webHidden/>
              </w:rPr>
              <w:fldChar w:fldCharType="end"/>
            </w:r>
          </w:hyperlink>
        </w:p>
        <w:p w14:paraId="638C6AD8" w14:textId="0DCBD8FC" w:rsidR="00FA185D" w:rsidRDefault="00FA185D">
          <w:pPr>
            <w:pStyle w:val="TOC3"/>
            <w:tabs>
              <w:tab w:val="right" w:leader="dot" w:pos="9016"/>
            </w:tabs>
            <w:rPr>
              <w:rFonts w:eastAsiaTheme="minorEastAsia"/>
              <w:noProof/>
              <w:sz w:val="24"/>
              <w:szCs w:val="24"/>
              <w:lang w:eastAsia="en-GB"/>
            </w:rPr>
          </w:pPr>
          <w:hyperlink w:anchor="_Toc200637217" w:history="1">
            <w:r w:rsidRPr="005D4BFB">
              <w:rPr>
                <w:rStyle w:val="Hyperlink"/>
                <w:noProof/>
              </w:rPr>
              <w:t>Cross-Cutting Theme: ESG Integration and Organisational Credibility</w:t>
            </w:r>
            <w:r>
              <w:rPr>
                <w:noProof/>
                <w:webHidden/>
              </w:rPr>
              <w:tab/>
            </w:r>
            <w:r>
              <w:rPr>
                <w:noProof/>
                <w:webHidden/>
              </w:rPr>
              <w:fldChar w:fldCharType="begin"/>
            </w:r>
            <w:r>
              <w:rPr>
                <w:noProof/>
                <w:webHidden/>
              </w:rPr>
              <w:instrText xml:space="preserve"> PAGEREF _Toc200637217 \h </w:instrText>
            </w:r>
            <w:r>
              <w:rPr>
                <w:noProof/>
                <w:webHidden/>
              </w:rPr>
            </w:r>
            <w:r>
              <w:rPr>
                <w:noProof/>
                <w:webHidden/>
              </w:rPr>
              <w:fldChar w:fldCharType="separate"/>
            </w:r>
            <w:r>
              <w:rPr>
                <w:noProof/>
                <w:webHidden/>
              </w:rPr>
              <w:t>26</w:t>
            </w:r>
            <w:r>
              <w:rPr>
                <w:noProof/>
                <w:webHidden/>
              </w:rPr>
              <w:fldChar w:fldCharType="end"/>
            </w:r>
          </w:hyperlink>
        </w:p>
        <w:p w14:paraId="1CEBD309" w14:textId="75358EFD" w:rsidR="00FA185D" w:rsidRDefault="00FA185D">
          <w:pPr>
            <w:pStyle w:val="TOC3"/>
            <w:tabs>
              <w:tab w:val="right" w:leader="dot" w:pos="9016"/>
            </w:tabs>
            <w:rPr>
              <w:rFonts w:eastAsiaTheme="minorEastAsia"/>
              <w:noProof/>
              <w:sz w:val="24"/>
              <w:szCs w:val="24"/>
              <w:lang w:eastAsia="en-GB"/>
            </w:rPr>
          </w:pPr>
          <w:hyperlink w:anchor="_Toc200637218" w:history="1">
            <w:r w:rsidRPr="005D4BFB">
              <w:rPr>
                <w:rStyle w:val="Hyperlink"/>
                <w:noProof/>
              </w:rPr>
              <w:t>Implications for the Hotel and the Hospitality Industry</w:t>
            </w:r>
            <w:r>
              <w:rPr>
                <w:noProof/>
                <w:webHidden/>
              </w:rPr>
              <w:tab/>
            </w:r>
            <w:r>
              <w:rPr>
                <w:noProof/>
                <w:webHidden/>
              </w:rPr>
              <w:fldChar w:fldCharType="begin"/>
            </w:r>
            <w:r>
              <w:rPr>
                <w:noProof/>
                <w:webHidden/>
              </w:rPr>
              <w:instrText xml:space="preserve"> PAGEREF _Toc200637218 \h </w:instrText>
            </w:r>
            <w:r>
              <w:rPr>
                <w:noProof/>
                <w:webHidden/>
              </w:rPr>
            </w:r>
            <w:r>
              <w:rPr>
                <w:noProof/>
                <w:webHidden/>
              </w:rPr>
              <w:fldChar w:fldCharType="separate"/>
            </w:r>
            <w:r>
              <w:rPr>
                <w:noProof/>
                <w:webHidden/>
              </w:rPr>
              <w:t>27</w:t>
            </w:r>
            <w:r>
              <w:rPr>
                <w:noProof/>
                <w:webHidden/>
              </w:rPr>
              <w:fldChar w:fldCharType="end"/>
            </w:r>
          </w:hyperlink>
        </w:p>
        <w:p w14:paraId="1E0BCFB2" w14:textId="0AE1904F" w:rsidR="00FA185D" w:rsidRDefault="00FA185D">
          <w:pPr>
            <w:pStyle w:val="TOC1"/>
            <w:tabs>
              <w:tab w:val="right" w:leader="dot" w:pos="9016"/>
            </w:tabs>
            <w:rPr>
              <w:rFonts w:eastAsiaTheme="minorEastAsia"/>
              <w:noProof/>
              <w:sz w:val="24"/>
              <w:szCs w:val="24"/>
              <w:lang w:eastAsia="en-GB"/>
            </w:rPr>
          </w:pPr>
          <w:hyperlink w:anchor="_Toc200637219" w:history="1">
            <w:r w:rsidRPr="005D4BFB">
              <w:rPr>
                <w:rStyle w:val="Hyperlink"/>
                <w:b/>
                <w:bCs/>
                <w:noProof/>
              </w:rPr>
              <w:t>Chapter 5: Conclusion</w:t>
            </w:r>
            <w:r>
              <w:rPr>
                <w:noProof/>
                <w:webHidden/>
              </w:rPr>
              <w:tab/>
            </w:r>
            <w:r>
              <w:rPr>
                <w:noProof/>
                <w:webHidden/>
              </w:rPr>
              <w:fldChar w:fldCharType="begin"/>
            </w:r>
            <w:r>
              <w:rPr>
                <w:noProof/>
                <w:webHidden/>
              </w:rPr>
              <w:instrText xml:space="preserve"> PAGEREF _Toc200637219 \h </w:instrText>
            </w:r>
            <w:r>
              <w:rPr>
                <w:noProof/>
                <w:webHidden/>
              </w:rPr>
            </w:r>
            <w:r>
              <w:rPr>
                <w:noProof/>
                <w:webHidden/>
              </w:rPr>
              <w:fldChar w:fldCharType="separate"/>
            </w:r>
            <w:r>
              <w:rPr>
                <w:noProof/>
                <w:webHidden/>
              </w:rPr>
              <w:t>28</w:t>
            </w:r>
            <w:r>
              <w:rPr>
                <w:noProof/>
                <w:webHidden/>
              </w:rPr>
              <w:fldChar w:fldCharType="end"/>
            </w:r>
          </w:hyperlink>
        </w:p>
        <w:p w14:paraId="462BA7D2" w14:textId="1876B272" w:rsidR="00FA185D" w:rsidRDefault="00FA185D">
          <w:pPr>
            <w:pStyle w:val="TOC2"/>
            <w:tabs>
              <w:tab w:val="right" w:leader="dot" w:pos="9016"/>
            </w:tabs>
            <w:rPr>
              <w:rFonts w:eastAsiaTheme="minorEastAsia"/>
              <w:noProof/>
              <w:sz w:val="24"/>
              <w:szCs w:val="24"/>
              <w:lang w:eastAsia="en-GB"/>
            </w:rPr>
          </w:pPr>
          <w:hyperlink w:anchor="_Toc200637220" w:history="1">
            <w:r w:rsidRPr="005D4BFB">
              <w:rPr>
                <w:rStyle w:val="Hyperlink"/>
                <w:noProof/>
              </w:rPr>
              <w:t>5.1 Recommendations and Practical Strategies</w:t>
            </w:r>
            <w:r>
              <w:rPr>
                <w:noProof/>
                <w:webHidden/>
              </w:rPr>
              <w:tab/>
            </w:r>
            <w:r>
              <w:rPr>
                <w:noProof/>
                <w:webHidden/>
              </w:rPr>
              <w:fldChar w:fldCharType="begin"/>
            </w:r>
            <w:r>
              <w:rPr>
                <w:noProof/>
                <w:webHidden/>
              </w:rPr>
              <w:instrText xml:space="preserve"> PAGEREF _Toc200637220 \h </w:instrText>
            </w:r>
            <w:r>
              <w:rPr>
                <w:noProof/>
                <w:webHidden/>
              </w:rPr>
            </w:r>
            <w:r>
              <w:rPr>
                <w:noProof/>
                <w:webHidden/>
              </w:rPr>
              <w:fldChar w:fldCharType="separate"/>
            </w:r>
            <w:r>
              <w:rPr>
                <w:noProof/>
                <w:webHidden/>
              </w:rPr>
              <w:t>30</w:t>
            </w:r>
            <w:r>
              <w:rPr>
                <w:noProof/>
                <w:webHidden/>
              </w:rPr>
              <w:fldChar w:fldCharType="end"/>
            </w:r>
          </w:hyperlink>
        </w:p>
        <w:p w14:paraId="13D1FA0F" w14:textId="08ECDCBB" w:rsidR="00FA185D" w:rsidRDefault="00FA185D">
          <w:pPr>
            <w:pStyle w:val="TOC3"/>
            <w:tabs>
              <w:tab w:val="right" w:leader="dot" w:pos="9016"/>
            </w:tabs>
            <w:rPr>
              <w:rFonts w:eastAsiaTheme="minorEastAsia"/>
              <w:noProof/>
              <w:sz w:val="24"/>
              <w:szCs w:val="24"/>
              <w:lang w:eastAsia="en-GB"/>
            </w:rPr>
          </w:pPr>
          <w:hyperlink w:anchor="_Toc200637221" w:history="1">
            <w:r w:rsidRPr="005D4BFB">
              <w:rPr>
                <w:rStyle w:val="Hyperlink"/>
                <w:noProof/>
              </w:rPr>
              <w:t>1. Strengthen Employee Engagement and Role Clarity through Tailored Training</w:t>
            </w:r>
            <w:r>
              <w:rPr>
                <w:noProof/>
                <w:webHidden/>
              </w:rPr>
              <w:tab/>
            </w:r>
            <w:r>
              <w:rPr>
                <w:noProof/>
                <w:webHidden/>
              </w:rPr>
              <w:fldChar w:fldCharType="begin"/>
            </w:r>
            <w:r>
              <w:rPr>
                <w:noProof/>
                <w:webHidden/>
              </w:rPr>
              <w:instrText xml:space="preserve"> PAGEREF _Toc200637221 \h </w:instrText>
            </w:r>
            <w:r>
              <w:rPr>
                <w:noProof/>
                <w:webHidden/>
              </w:rPr>
            </w:r>
            <w:r>
              <w:rPr>
                <w:noProof/>
                <w:webHidden/>
              </w:rPr>
              <w:fldChar w:fldCharType="separate"/>
            </w:r>
            <w:r>
              <w:rPr>
                <w:noProof/>
                <w:webHidden/>
              </w:rPr>
              <w:t>30</w:t>
            </w:r>
            <w:r>
              <w:rPr>
                <w:noProof/>
                <w:webHidden/>
              </w:rPr>
              <w:fldChar w:fldCharType="end"/>
            </w:r>
          </w:hyperlink>
        </w:p>
        <w:p w14:paraId="7972D1F6" w14:textId="0A6ECB8D" w:rsidR="00FA185D" w:rsidRDefault="00FA185D">
          <w:pPr>
            <w:pStyle w:val="TOC3"/>
            <w:tabs>
              <w:tab w:val="right" w:leader="dot" w:pos="9016"/>
            </w:tabs>
            <w:rPr>
              <w:rFonts w:eastAsiaTheme="minorEastAsia"/>
              <w:noProof/>
              <w:sz w:val="24"/>
              <w:szCs w:val="24"/>
              <w:lang w:eastAsia="en-GB"/>
            </w:rPr>
          </w:pPr>
          <w:hyperlink w:anchor="_Toc200637222" w:history="1">
            <w:r w:rsidRPr="005D4BFB">
              <w:rPr>
                <w:rStyle w:val="Hyperlink"/>
                <w:noProof/>
              </w:rPr>
              <w:t>2. Implement Departmental Change Ambassadors</w:t>
            </w:r>
            <w:r>
              <w:rPr>
                <w:noProof/>
                <w:webHidden/>
              </w:rPr>
              <w:tab/>
            </w:r>
            <w:r>
              <w:rPr>
                <w:noProof/>
                <w:webHidden/>
              </w:rPr>
              <w:fldChar w:fldCharType="begin"/>
            </w:r>
            <w:r>
              <w:rPr>
                <w:noProof/>
                <w:webHidden/>
              </w:rPr>
              <w:instrText xml:space="preserve"> PAGEREF _Toc200637222 \h </w:instrText>
            </w:r>
            <w:r>
              <w:rPr>
                <w:noProof/>
                <w:webHidden/>
              </w:rPr>
            </w:r>
            <w:r>
              <w:rPr>
                <w:noProof/>
                <w:webHidden/>
              </w:rPr>
              <w:fldChar w:fldCharType="separate"/>
            </w:r>
            <w:r>
              <w:rPr>
                <w:noProof/>
                <w:webHidden/>
              </w:rPr>
              <w:t>30</w:t>
            </w:r>
            <w:r>
              <w:rPr>
                <w:noProof/>
                <w:webHidden/>
              </w:rPr>
              <w:fldChar w:fldCharType="end"/>
            </w:r>
          </w:hyperlink>
        </w:p>
        <w:p w14:paraId="44EDB344" w14:textId="6DAC43DB" w:rsidR="00FA185D" w:rsidRDefault="00FA185D">
          <w:pPr>
            <w:pStyle w:val="TOC3"/>
            <w:tabs>
              <w:tab w:val="right" w:leader="dot" w:pos="9016"/>
            </w:tabs>
            <w:rPr>
              <w:rFonts w:eastAsiaTheme="minorEastAsia"/>
              <w:noProof/>
              <w:sz w:val="24"/>
              <w:szCs w:val="24"/>
              <w:lang w:eastAsia="en-GB"/>
            </w:rPr>
          </w:pPr>
          <w:hyperlink w:anchor="_Toc200637223" w:history="1">
            <w:r w:rsidRPr="005D4BFB">
              <w:rPr>
                <w:rStyle w:val="Hyperlink"/>
                <w:noProof/>
              </w:rPr>
              <w:t>3. Establish a Continuous Feedback and Recognition System</w:t>
            </w:r>
            <w:r>
              <w:rPr>
                <w:noProof/>
                <w:webHidden/>
              </w:rPr>
              <w:tab/>
            </w:r>
            <w:r>
              <w:rPr>
                <w:noProof/>
                <w:webHidden/>
              </w:rPr>
              <w:fldChar w:fldCharType="begin"/>
            </w:r>
            <w:r>
              <w:rPr>
                <w:noProof/>
                <w:webHidden/>
              </w:rPr>
              <w:instrText xml:space="preserve"> PAGEREF _Toc200637223 \h </w:instrText>
            </w:r>
            <w:r>
              <w:rPr>
                <w:noProof/>
                <w:webHidden/>
              </w:rPr>
            </w:r>
            <w:r>
              <w:rPr>
                <w:noProof/>
                <w:webHidden/>
              </w:rPr>
              <w:fldChar w:fldCharType="separate"/>
            </w:r>
            <w:r>
              <w:rPr>
                <w:noProof/>
                <w:webHidden/>
              </w:rPr>
              <w:t>31</w:t>
            </w:r>
            <w:r>
              <w:rPr>
                <w:noProof/>
                <w:webHidden/>
              </w:rPr>
              <w:fldChar w:fldCharType="end"/>
            </w:r>
          </w:hyperlink>
        </w:p>
        <w:p w14:paraId="6E031CEE" w14:textId="0AA43F98" w:rsidR="00FA185D" w:rsidRDefault="00FA185D">
          <w:pPr>
            <w:pStyle w:val="TOC3"/>
            <w:tabs>
              <w:tab w:val="right" w:leader="dot" w:pos="9016"/>
            </w:tabs>
            <w:rPr>
              <w:rFonts w:eastAsiaTheme="minorEastAsia"/>
              <w:noProof/>
              <w:sz w:val="24"/>
              <w:szCs w:val="24"/>
              <w:lang w:eastAsia="en-GB"/>
            </w:rPr>
          </w:pPr>
          <w:hyperlink w:anchor="_Toc200637224" w:history="1">
            <w:r w:rsidRPr="005D4BFB">
              <w:rPr>
                <w:rStyle w:val="Hyperlink"/>
                <w:noProof/>
              </w:rPr>
              <w:t>4. Rebalance Technology and Human Interaction for Guest Experience</w:t>
            </w:r>
            <w:r>
              <w:rPr>
                <w:noProof/>
                <w:webHidden/>
              </w:rPr>
              <w:tab/>
            </w:r>
            <w:r>
              <w:rPr>
                <w:noProof/>
                <w:webHidden/>
              </w:rPr>
              <w:fldChar w:fldCharType="begin"/>
            </w:r>
            <w:r>
              <w:rPr>
                <w:noProof/>
                <w:webHidden/>
              </w:rPr>
              <w:instrText xml:space="preserve"> PAGEREF _Toc200637224 \h </w:instrText>
            </w:r>
            <w:r>
              <w:rPr>
                <w:noProof/>
                <w:webHidden/>
              </w:rPr>
            </w:r>
            <w:r>
              <w:rPr>
                <w:noProof/>
                <w:webHidden/>
              </w:rPr>
              <w:fldChar w:fldCharType="separate"/>
            </w:r>
            <w:r>
              <w:rPr>
                <w:noProof/>
                <w:webHidden/>
              </w:rPr>
              <w:t>31</w:t>
            </w:r>
            <w:r>
              <w:rPr>
                <w:noProof/>
                <w:webHidden/>
              </w:rPr>
              <w:fldChar w:fldCharType="end"/>
            </w:r>
          </w:hyperlink>
        </w:p>
        <w:p w14:paraId="0879BF84" w14:textId="5CCCC2BC" w:rsidR="00FA185D" w:rsidRDefault="00FA185D">
          <w:pPr>
            <w:pStyle w:val="TOC3"/>
            <w:tabs>
              <w:tab w:val="right" w:leader="dot" w:pos="9016"/>
            </w:tabs>
            <w:rPr>
              <w:rFonts w:eastAsiaTheme="minorEastAsia"/>
              <w:noProof/>
              <w:sz w:val="24"/>
              <w:szCs w:val="24"/>
              <w:lang w:eastAsia="en-GB"/>
            </w:rPr>
          </w:pPr>
          <w:hyperlink w:anchor="_Toc200637225" w:history="1">
            <w:r w:rsidRPr="005D4BFB">
              <w:rPr>
                <w:rStyle w:val="Hyperlink"/>
                <w:noProof/>
              </w:rPr>
              <w:t>5. Expand Sustainability Training and Visibility</w:t>
            </w:r>
            <w:r>
              <w:rPr>
                <w:noProof/>
                <w:webHidden/>
              </w:rPr>
              <w:tab/>
            </w:r>
            <w:r>
              <w:rPr>
                <w:noProof/>
                <w:webHidden/>
              </w:rPr>
              <w:fldChar w:fldCharType="begin"/>
            </w:r>
            <w:r>
              <w:rPr>
                <w:noProof/>
                <w:webHidden/>
              </w:rPr>
              <w:instrText xml:space="preserve"> PAGEREF _Toc200637225 \h </w:instrText>
            </w:r>
            <w:r>
              <w:rPr>
                <w:noProof/>
                <w:webHidden/>
              </w:rPr>
            </w:r>
            <w:r>
              <w:rPr>
                <w:noProof/>
                <w:webHidden/>
              </w:rPr>
              <w:fldChar w:fldCharType="separate"/>
            </w:r>
            <w:r>
              <w:rPr>
                <w:noProof/>
                <w:webHidden/>
              </w:rPr>
              <w:t>31</w:t>
            </w:r>
            <w:r>
              <w:rPr>
                <w:noProof/>
                <w:webHidden/>
              </w:rPr>
              <w:fldChar w:fldCharType="end"/>
            </w:r>
          </w:hyperlink>
        </w:p>
        <w:p w14:paraId="41B4D18B" w14:textId="593CC975" w:rsidR="00FA185D" w:rsidRDefault="00FA185D">
          <w:pPr>
            <w:pStyle w:val="TOC3"/>
            <w:tabs>
              <w:tab w:val="right" w:leader="dot" w:pos="9016"/>
            </w:tabs>
            <w:rPr>
              <w:rFonts w:eastAsiaTheme="minorEastAsia"/>
              <w:noProof/>
              <w:sz w:val="24"/>
              <w:szCs w:val="24"/>
              <w:lang w:eastAsia="en-GB"/>
            </w:rPr>
          </w:pPr>
          <w:hyperlink w:anchor="_Toc200637226" w:history="1">
            <w:r w:rsidRPr="005D4BFB">
              <w:rPr>
                <w:rStyle w:val="Hyperlink"/>
                <w:noProof/>
              </w:rPr>
              <w:t>6. Formalise Guest Feedback as a Strategic Insight Tool</w:t>
            </w:r>
            <w:r>
              <w:rPr>
                <w:noProof/>
                <w:webHidden/>
              </w:rPr>
              <w:tab/>
            </w:r>
            <w:r>
              <w:rPr>
                <w:noProof/>
                <w:webHidden/>
              </w:rPr>
              <w:fldChar w:fldCharType="begin"/>
            </w:r>
            <w:r>
              <w:rPr>
                <w:noProof/>
                <w:webHidden/>
              </w:rPr>
              <w:instrText xml:space="preserve"> PAGEREF _Toc200637226 \h </w:instrText>
            </w:r>
            <w:r>
              <w:rPr>
                <w:noProof/>
                <w:webHidden/>
              </w:rPr>
            </w:r>
            <w:r>
              <w:rPr>
                <w:noProof/>
                <w:webHidden/>
              </w:rPr>
              <w:fldChar w:fldCharType="separate"/>
            </w:r>
            <w:r>
              <w:rPr>
                <w:noProof/>
                <w:webHidden/>
              </w:rPr>
              <w:t>32</w:t>
            </w:r>
            <w:r>
              <w:rPr>
                <w:noProof/>
                <w:webHidden/>
              </w:rPr>
              <w:fldChar w:fldCharType="end"/>
            </w:r>
          </w:hyperlink>
        </w:p>
        <w:p w14:paraId="50D789E0" w14:textId="63916151" w:rsidR="00FA185D" w:rsidRDefault="00FA185D">
          <w:pPr>
            <w:pStyle w:val="TOC3"/>
            <w:tabs>
              <w:tab w:val="right" w:leader="dot" w:pos="9016"/>
            </w:tabs>
            <w:rPr>
              <w:rFonts w:eastAsiaTheme="minorEastAsia"/>
              <w:noProof/>
              <w:sz w:val="24"/>
              <w:szCs w:val="24"/>
              <w:lang w:eastAsia="en-GB"/>
            </w:rPr>
          </w:pPr>
          <w:hyperlink w:anchor="_Toc200637227" w:history="1">
            <w:r w:rsidRPr="005D4BFB">
              <w:rPr>
                <w:rStyle w:val="Hyperlink"/>
                <w:noProof/>
              </w:rPr>
              <w:t>7. Introduce Post-Rebranding Evaluation Metrics</w:t>
            </w:r>
            <w:r>
              <w:rPr>
                <w:noProof/>
                <w:webHidden/>
              </w:rPr>
              <w:tab/>
            </w:r>
            <w:r>
              <w:rPr>
                <w:noProof/>
                <w:webHidden/>
              </w:rPr>
              <w:fldChar w:fldCharType="begin"/>
            </w:r>
            <w:r>
              <w:rPr>
                <w:noProof/>
                <w:webHidden/>
              </w:rPr>
              <w:instrText xml:space="preserve"> PAGEREF _Toc200637227 \h </w:instrText>
            </w:r>
            <w:r>
              <w:rPr>
                <w:noProof/>
                <w:webHidden/>
              </w:rPr>
            </w:r>
            <w:r>
              <w:rPr>
                <w:noProof/>
                <w:webHidden/>
              </w:rPr>
              <w:fldChar w:fldCharType="separate"/>
            </w:r>
            <w:r>
              <w:rPr>
                <w:noProof/>
                <w:webHidden/>
              </w:rPr>
              <w:t>32</w:t>
            </w:r>
            <w:r>
              <w:rPr>
                <w:noProof/>
                <w:webHidden/>
              </w:rPr>
              <w:fldChar w:fldCharType="end"/>
            </w:r>
          </w:hyperlink>
        </w:p>
        <w:p w14:paraId="77D1420B" w14:textId="097DF440" w:rsidR="00FA185D" w:rsidRDefault="00FA185D">
          <w:pPr>
            <w:pStyle w:val="TOC2"/>
            <w:tabs>
              <w:tab w:val="right" w:leader="dot" w:pos="9016"/>
            </w:tabs>
            <w:rPr>
              <w:rFonts w:eastAsiaTheme="minorEastAsia"/>
              <w:noProof/>
              <w:sz w:val="24"/>
              <w:szCs w:val="24"/>
              <w:lang w:eastAsia="en-GB"/>
            </w:rPr>
          </w:pPr>
          <w:hyperlink w:anchor="_Toc200637228" w:history="1">
            <w:r w:rsidRPr="005D4BFB">
              <w:rPr>
                <w:rStyle w:val="Hyperlink"/>
                <w:noProof/>
              </w:rPr>
              <w:t>5.2 Conclusion of Recommendations</w:t>
            </w:r>
            <w:r>
              <w:rPr>
                <w:noProof/>
                <w:webHidden/>
              </w:rPr>
              <w:tab/>
            </w:r>
            <w:r>
              <w:rPr>
                <w:noProof/>
                <w:webHidden/>
              </w:rPr>
              <w:fldChar w:fldCharType="begin"/>
            </w:r>
            <w:r>
              <w:rPr>
                <w:noProof/>
                <w:webHidden/>
              </w:rPr>
              <w:instrText xml:space="preserve"> PAGEREF _Toc200637228 \h </w:instrText>
            </w:r>
            <w:r>
              <w:rPr>
                <w:noProof/>
                <w:webHidden/>
              </w:rPr>
            </w:r>
            <w:r>
              <w:rPr>
                <w:noProof/>
                <w:webHidden/>
              </w:rPr>
              <w:fldChar w:fldCharType="separate"/>
            </w:r>
            <w:r>
              <w:rPr>
                <w:noProof/>
                <w:webHidden/>
              </w:rPr>
              <w:t>33</w:t>
            </w:r>
            <w:r>
              <w:rPr>
                <w:noProof/>
                <w:webHidden/>
              </w:rPr>
              <w:fldChar w:fldCharType="end"/>
            </w:r>
          </w:hyperlink>
        </w:p>
        <w:p w14:paraId="31DFA0E0" w14:textId="3D96CF22" w:rsidR="00FA185D" w:rsidRDefault="00FA185D">
          <w:pPr>
            <w:pStyle w:val="TOC1"/>
            <w:tabs>
              <w:tab w:val="right" w:leader="dot" w:pos="9016"/>
            </w:tabs>
            <w:rPr>
              <w:rFonts w:eastAsiaTheme="minorEastAsia"/>
              <w:noProof/>
              <w:sz w:val="24"/>
              <w:szCs w:val="24"/>
              <w:lang w:eastAsia="en-GB"/>
            </w:rPr>
          </w:pPr>
          <w:hyperlink w:anchor="_Toc200637229" w:history="1">
            <w:r w:rsidRPr="005D4BFB">
              <w:rPr>
                <w:rStyle w:val="Hyperlink"/>
                <w:b/>
                <w:bCs/>
                <w:noProof/>
              </w:rPr>
              <w:t>Reference list</w:t>
            </w:r>
            <w:r>
              <w:rPr>
                <w:noProof/>
                <w:webHidden/>
              </w:rPr>
              <w:tab/>
            </w:r>
            <w:r>
              <w:rPr>
                <w:noProof/>
                <w:webHidden/>
              </w:rPr>
              <w:fldChar w:fldCharType="begin"/>
            </w:r>
            <w:r>
              <w:rPr>
                <w:noProof/>
                <w:webHidden/>
              </w:rPr>
              <w:instrText xml:space="preserve"> PAGEREF _Toc200637229 \h </w:instrText>
            </w:r>
            <w:r>
              <w:rPr>
                <w:noProof/>
                <w:webHidden/>
              </w:rPr>
            </w:r>
            <w:r>
              <w:rPr>
                <w:noProof/>
                <w:webHidden/>
              </w:rPr>
              <w:fldChar w:fldCharType="separate"/>
            </w:r>
            <w:r>
              <w:rPr>
                <w:noProof/>
                <w:webHidden/>
              </w:rPr>
              <w:t>34</w:t>
            </w:r>
            <w:r>
              <w:rPr>
                <w:noProof/>
                <w:webHidden/>
              </w:rPr>
              <w:fldChar w:fldCharType="end"/>
            </w:r>
          </w:hyperlink>
        </w:p>
        <w:p w14:paraId="5B52E743" w14:textId="6B2B7508" w:rsidR="00725FDC" w:rsidRDefault="00725FDC">
          <w:r>
            <w:rPr>
              <w:b/>
              <w:bCs/>
              <w:noProof/>
            </w:rPr>
            <w:fldChar w:fldCharType="end"/>
          </w:r>
        </w:p>
      </w:sdtContent>
    </w:sdt>
    <w:p w14:paraId="0DB502D1" w14:textId="77777777" w:rsidR="00BB68E2" w:rsidRDefault="00BB68E2" w:rsidP="00FD2FA7">
      <w:pPr>
        <w:spacing w:line="276" w:lineRule="auto"/>
        <w:rPr>
          <w:rFonts w:ascii="Times New Roman" w:hAnsi="Times New Roman" w:cs="Times New Roman"/>
          <w:b/>
          <w:bCs/>
          <w:sz w:val="32"/>
          <w:szCs w:val="32"/>
        </w:rPr>
      </w:pPr>
    </w:p>
    <w:p w14:paraId="650C3420" w14:textId="77777777" w:rsidR="00BB68E2" w:rsidRDefault="00BB68E2" w:rsidP="00FD2FA7">
      <w:pPr>
        <w:spacing w:line="276" w:lineRule="auto"/>
        <w:rPr>
          <w:rFonts w:ascii="Times New Roman" w:hAnsi="Times New Roman" w:cs="Times New Roman"/>
          <w:b/>
          <w:bCs/>
          <w:sz w:val="32"/>
          <w:szCs w:val="32"/>
        </w:rPr>
      </w:pPr>
    </w:p>
    <w:p w14:paraId="35CA5736" w14:textId="77777777" w:rsidR="00BB68E2" w:rsidRDefault="00BB68E2" w:rsidP="00FD2FA7">
      <w:pPr>
        <w:spacing w:line="276" w:lineRule="auto"/>
        <w:rPr>
          <w:rFonts w:ascii="Times New Roman" w:hAnsi="Times New Roman" w:cs="Times New Roman"/>
          <w:b/>
          <w:bCs/>
          <w:sz w:val="32"/>
          <w:szCs w:val="32"/>
        </w:rPr>
      </w:pPr>
    </w:p>
    <w:p w14:paraId="1374035F" w14:textId="77777777" w:rsidR="00BB68E2" w:rsidRDefault="00BB68E2" w:rsidP="00FD2FA7">
      <w:pPr>
        <w:spacing w:line="276" w:lineRule="auto"/>
        <w:rPr>
          <w:rFonts w:ascii="Times New Roman" w:hAnsi="Times New Roman" w:cs="Times New Roman"/>
          <w:b/>
          <w:bCs/>
          <w:sz w:val="32"/>
          <w:szCs w:val="32"/>
        </w:rPr>
      </w:pPr>
    </w:p>
    <w:p w14:paraId="1C726D35" w14:textId="77777777" w:rsidR="00BB68E2" w:rsidRDefault="00BB68E2" w:rsidP="00FD2FA7">
      <w:pPr>
        <w:spacing w:line="276" w:lineRule="auto"/>
        <w:rPr>
          <w:rFonts w:ascii="Times New Roman" w:hAnsi="Times New Roman" w:cs="Times New Roman"/>
          <w:b/>
          <w:bCs/>
          <w:sz w:val="32"/>
          <w:szCs w:val="32"/>
        </w:rPr>
      </w:pPr>
    </w:p>
    <w:p w14:paraId="254B40DE" w14:textId="77777777" w:rsidR="00BB68E2" w:rsidRDefault="00BB68E2" w:rsidP="00FD2FA7">
      <w:pPr>
        <w:spacing w:line="276" w:lineRule="auto"/>
        <w:rPr>
          <w:rFonts w:ascii="Times New Roman" w:hAnsi="Times New Roman" w:cs="Times New Roman"/>
          <w:b/>
          <w:bCs/>
          <w:sz w:val="32"/>
          <w:szCs w:val="32"/>
        </w:rPr>
      </w:pPr>
    </w:p>
    <w:p w14:paraId="6514E7D8" w14:textId="77777777" w:rsidR="00BB68E2" w:rsidRDefault="00BB68E2" w:rsidP="00FD2FA7">
      <w:pPr>
        <w:spacing w:line="276" w:lineRule="auto"/>
        <w:rPr>
          <w:rFonts w:ascii="Times New Roman" w:hAnsi="Times New Roman" w:cs="Times New Roman"/>
          <w:b/>
          <w:bCs/>
          <w:sz w:val="32"/>
          <w:szCs w:val="32"/>
        </w:rPr>
      </w:pPr>
    </w:p>
    <w:p w14:paraId="5A7BE950" w14:textId="77777777" w:rsidR="00BB68E2" w:rsidRDefault="00BB68E2" w:rsidP="00FD2FA7">
      <w:pPr>
        <w:spacing w:line="276" w:lineRule="auto"/>
        <w:rPr>
          <w:rFonts w:ascii="Times New Roman" w:hAnsi="Times New Roman" w:cs="Times New Roman"/>
          <w:b/>
          <w:bCs/>
          <w:sz w:val="32"/>
          <w:szCs w:val="32"/>
        </w:rPr>
      </w:pPr>
    </w:p>
    <w:p w14:paraId="00C698E7" w14:textId="77777777" w:rsidR="00BB68E2" w:rsidRDefault="00BB68E2" w:rsidP="00FD2FA7">
      <w:pPr>
        <w:spacing w:line="276" w:lineRule="auto"/>
        <w:rPr>
          <w:rFonts w:ascii="Times New Roman" w:hAnsi="Times New Roman" w:cs="Times New Roman"/>
          <w:b/>
          <w:bCs/>
          <w:sz w:val="32"/>
          <w:szCs w:val="32"/>
        </w:rPr>
      </w:pPr>
    </w:p>
    <w:p w14:paraId="24F8E809" w14:textId="77777777" w:rsidR="00BB68E2" w:rsidRDefault="00BB68E2" w:rsidP="00FD2FA7">
      <w:pPr>
        <w:spacing w:line="276" w:lineRule="auto"/>
        <w:rPr>
          <w:rFonts w:ascii="Times New Roman" w:hAnsi="Times New Roman" w:cs="Times New Roman"/>
          <w:b/>
          <w:bCs/>
          <w:sz w:val="32"/>
          <w:szCs w:val="32"/>
        </w:rPr>
      </w:pPr>
    </w:p>
    <w:p w14:paraId="6CE399F4" w14:textId="77777777" w:rsidR="00BB68E2" w:rsidRDefault="00BB68E2" w:rsidP="00FD2FA7">
      <w:pPr>
        <w:spacing w:line="276" w:lineRule="auto"/>
        <w:rPr>
          <w:rFonts w:ascii="Times New Roman" w:hAnsi="Times New Roman" w:cs="Times New Roman"/>
          <w:b/>
          <w:bCs/>
          <w:sz w:val="32"/>
          <w:szCs w:val="32"/>
        </w:rPr>
      </w:pPr>
    </w:p>
    <w:p w14:paraId="04A127F2" w14:textId="77777777" w:rsidR="00BB68E2" w:rsidRDefault="00BB68E2" w:rsidP="00FD2FA7">
      <w:pPr>
        <w:spacing w:line="276" w:lineRule="auto"/>
        <w:rPr>
          <w:rFonts w:ascii="Times New Roman" w:hAnsi="Times New Roman" w:cs="Times New Roman"/>
          <w:b/>
          <w:bCs/>
          <w:sz w:val="32"/>
          <w:szCs w:val="32"/>
        </w:rPr>
      </w:pPr>
    </w:p>
    <w:p w14:paraId="476870D7" w14:textId="683EC83B" w:rsidR="004B7A19" w:rsidRPr="00725FDC" w:rsidRDefault="004B7A19" w:rsidP="00045698">
      <w:pPr>
        <w:pStyle w:val="Heading1"/>
        <w:rPr>
          <w:b/>
          <w:bCs/>
        </w:rPr>
      </w:pPr>
      <w:bookmarkStart w:id="3" w:name="_Toc200637187"/>
      <w:r w:rsidRPr="00725FDC">
        <w:rPr>
          <w:b/>
          <w:bCs/>
        </w:rPr>
        <w:lastRenderedPageBreak/>
        <w:t>Chapter 1: Introduction</w:t>
      </w:r>
      <w:bookmarkEnd w:id="3"/>
    </w:p>
    <w:p w14:paraId="5FD08FFD" w14:textId="77777777" w:rsidR="001D3CCF" w:rsidRPr="00B02E63" w:rsidRDefault="001D3CCF" w:rsidP="00FD2FA7">
      <w:pPr>
        <w:spacing w:line="276" w:lineRule="auto"/>
        <w:rPr>
          <w:rFonts w:ascii="Times New Roman" w:hAnsi="Times New Roman" w:cs="Times New Roman"/>
          <w:b/>
          <w:bCs/>
          <w:sz w:val="32"/>
          <w:szCs w:val="32"/>
        </w:rPr>
      </w:pPr>
    </w:p>
    <w:p w14:paraId="0CBDCD69" w14:textId="3BCFBB34" w:rsidR="004B7A19" w:rsidRPr="00FD2FA7" w:rsidRDefault="004B7A19"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 xml:space="preserve">The hospitality industry continues to evolve rapidly in response to rising customer expectations, digital innovation, and the pressure to maintain competitive differentiation (Pizam, 2020; Pine and Gilmore, 2011). Within this dynamic landscape, organisational rebranding has emerged as a vital strategy to revitalise hotel identities, enhance guest experience, and align internal practices with renewed brand standards (Muzellec and Lambkin, 2006; Merrilees and Miller, 2008). For many international hotel chains, rebranding is not only about visual transformation but also involves significant operational and cultural shifts that affect both customer perception and employee </w:t>
      </w:r>
      <w:r w:rsidR="005F3C92" w:rsidRPr="00FD2FA7">
        <w:rPr>
          <w:rFonts w:ascii="Times New Roman" w:hAnsi="Times New Roman" w:cs="Times New Roman"/>
          <w:sz w:val="24"/>
          <w:szCs w:val="24"/>
        </w:rPr>
        <w:t>experience. Walker (2021) highlights that evolving guest preferences are increasingly driving hotels to pursue strategic repositioning, with rebranding playing a central role in maintaining market relevance.</w:t>
      </w:r>
    </w:p>
    <w:p w14:paraId="687DFECC" w14:textId="4A3BF296" w:rsidR="004B7A19" w:rsidRPr="00FD2FA7" w:rsidRDefault="004B7A19"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This research investigates the impact of organisational rebranding on employee experience and operational performance, using a case study of the Marriott Bristol City Centre. Located at 2 Lower Castle Street, Bristol BS1 3AD, the hotel began its rebranding journey in August 2022, transitioning from the classic Marriott brand to Delta Hotels by Marriott. The study draws on two 10-week student placements undertaken at the property</w:t>
      </w:r>
      <w:r w:rsidR="001D3CCF">
        <w:rPr>
          <w:rFonts w:ascii="Times New Roman" w:hAnsi="Times New Roman" w:cs="Times New Roman"/>
          <w:sz w:val="24"/>
          <w:szCs w:val="24"/>
        </w:rPr>
        <w:t xml:space="preserve">, </w:t>
      </w:r>
      <w:r w:rsidRPr="00FD2FA7">
        <w:rPr>
          <w:rFonts w:ascii="Times New Roman" w:hAnsi="Times New Roman" w:cs="Times New Roman"/>
          <w:sz w:val="24"/>
          <w:szCs w:val="24"/>
        </w:rPr>
        <w:t>the first from April to June 2023 and the second from January to March 2025</w:t>
      </w:r>
      <w:r w:rsidR="001D3CCF">
        <w:rPr>
          <w:rFonts w:ascii="Times New Roman" w:hAnsi="Times New Roman" w:cs="Times New Roman"/>
          <w:sz w:val="24"/>
          <w:szCs w:val="24"/>
        </w:rPr>
        <w:t>,</w:t>
      </w:r>
      <w:r w:rsidRPr="00FD2FA7">
        <w:rPr>
          <w:rFonts w:ascii="Times New Roman" w:hAnsi="Times New Roman" w:cs="Times New Roman"/>
          <w:sz w:val="24"/>
          <w:szCs w:val="24"/>
        </w:rPr>
        <w:t xml:space="preserve"> providing comparative, first-hand insights into the rebranding process.</w:t>
      </w:r>
    </w:p>
    <w:p w14:paraId="44A4C727" w14:textId="77777777" w:rsidR="004B7A19" w:rsidRPr="00FD2FA7" w:rsidRDefault="004B7A19"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During the first placement, the rebranding was visible primarily in the form of exterior renovations and guest-facing upgrades, including balcony improvements, new air conditioning, and modernisation of the top-floor premium rooms. Internal operations remained mostly unchanged at this stage. However, by the second placement in 2025, the rebranding had expanded considerably. All rooms had been updated with new décor and TVs, while guest services had shifted to include self-service coffee machines, an upgraded water fountain in the reception area, and new furnishings in the bar and VIP lounge (Delta Hotels by Marriott, 2025).</w:t>
      </w:r>
    </w:p>
    <w:p w14:paraId="00E65AB6" w14:textId="77777777" w:rsidR="00386B30" w:rsidRDefault="004B7A19"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More significantly, placement observations revealed how these changes affected staff dynamics and operations. During the 2025 placement, the researcher shadowed front office and administrative teams, gaining exposure to departments such as HR, finance, and sales. Staff interactions reflected a mix of excitement and anxiety over new branding standards. Employees expressed concern about unclear managerial expectations and shifting procedures, particularly in departments like housekeeping and F&amp;B, where new systems altered traditional routines. However, engagement also increased as the new owner actively encouraged staff feedback through meetings and internal discussions</w:t>
      </w:r>
      <w:r w:rsidR="00C11376">
        <w:rPr>
          <w:rFonts w:ascii="Times New Roman" w:hAnsi="Times New Roman" w:cs="Times New Roman"/>
          <w:sz w:val="24"/>
          <w:szCs w:val="24"/>
        </w:rPr>
        <w:t>,</w:t>
      </w:r>
      <w:r w:rsidRPr="00FD2FA7">
        <w:rPr>
          <w:rFonts w:ascii="Times New Roman" w:hAnsi="Times New Roman" w:cs="Times New Roman"/>
          <w:sz w:val="24"/>
          <w:szCs w:val="24"/>
        </w:rPr>
        <w:t xml:space="preserve"> a strategy consistent with Kotter’s (1996) principles of communication and empowerment during organisational change. This aligns with Marriott International’s broader corporate philosophy outlined in its 2024 ESG report, which emphasises employee wellbeing, inclusive leadership, and a “put people first” culture during periods of change (Marriott International, 2024).</w:t>
      </w:r>
    </w:p>
    <w:p w14:paraId="0079045B" w14:textId="58E5BF3D" w:rsidR="004B7A19" w:rsidRPr="00FD2FA7" w:rsidRDefault="004B7A19"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 xml:space="preserve"> Independent employee reviews of the hotel also reflected these themes, noting strong leadership support during the transition (Indeed, 2024).</w:t>
      </w:r>
    </w:p>
    <w:p w14:paraId="3DA8BABA" w14:textId="77777777" w:rsidR="004B7A19" w:rsidRPr="00FD2FA7" w:rsidRDefault="004B7A19"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lastRenderedPageBreak/>
        <w:t>Such staff engagement and gradual adaptation align with Accor Group’s (2021) broader guidance on rebranding and sustainability, which highlights the importance of consistent service upgrades, staff retraining, and stakeholder inclusion. These industry frameworks demonstrate that rebranding must balance guest expectations with employee readiness to sustain operational effectiveness.</w:t>
      </w:r>
    </w:p>
    <w:p w14:paraId="0D1036BC" w14:textId="77777777" w:rsidR="004B7A19" w:rsidRPr="00FD2FA7" w:rsidRDefault="004B7A19"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This research contributes to academic and industry conversations on hotel rebranding by connecting theoretical models to real-world staff experiences and operational outcomes. It aims to offer practical recommendations for hospitality leaders navigating similar transitions.</w:t>
      </w:r>
    </w:p>
    <w:p w14:paraId="7FAE1972" w14:textId="77777777" w:rsidR="00C11376" w:rsidRDefault="00C11376" w:rsidP="006E421E">
      <w:pPr>
        <w:spacing w:line="276" w:lineRule="auto"/>
        <w:jc w:val="both"/>
        <w:rPr>
          <w:rFonts w:ascii="Times New Roman" w:hAnsi="Times New Roman" w:cs="Times New Roman"/>
          <w:b/>
          <w:bCs/>
          <w:sz w:val="28"/>
          <w:szCs w:val="28"/>
        </w:rPr>
      </w:pPr>
    </w:p>
    <w:p w14:paraId="42107BF9" w14:textId="3CC0D705" w:rsidR="004B7A19" w:rsidRPr="00E125E2" w:rsidRDefault="00E2351F" w:rsidP="006E421E">
      <w:pPr>
        <w:pStyle w:val="Heading2"/>
        <w:jc w:val="both"/>
      </w:pPr>
      <w:bookmarkStart w:id="4" w:name="_Toc200637188"/>
      <w:r>
        <w:t xml:space="preserve">1.1 </w:t>
      </w:r>
      <w:r w:rsidR="004B7A19" w:rsidRPr="00E125E2">
        <w:t>Research Aim</w:t>
      </w:r>
      <w:bookmarkEnd w:id="4"/>
    </w:p>
    <w:p w14:paraId="0D70E9B5" w14:textId="77777777" w:rsidR="004B7A19" w:rsidRPr="00FD2FA7" w:rsidRDefault="004B7A19"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To critically examine how organisational rebranding affects employee experience and operational performance in the hospitality sector, using the case study of the Marriott Bristol City Centre’s transition to Delta Hotels by Marriott.</w:t>
      </w:r>
    </w:p>
    <w:p w14:paraId="5B5C80E3" w14:textId="77777777" w:rsidR="00C11376" w:rsidRDefault="00C11376" w:rsidP="006E421E">
      <w:pPr>
        <w:spacing w:line="276" w:lineRule="auto"/>
        <w:jc w:val="both"/>
        <w:rPr>
          <w:rFonts w:ascii="Times New Roman" w:hAnsi="Times New Roman" w:cs="Times New Roman"/>
          <w:b/>
          <w:bCs/>
          <w:sz w:val="28"/>
          <w:szCs w:val="28"/>
        </w:rPr>
      </w:pPr>
    </w:p>
    <w:p w14:paraId="3FC28DF6" w14:textId="2E255F19" w:rsidR="004B7A19" w:rsidRPr="00E125E2" w:rsidRDefault="00E2351F" w:rsidP="006E421E">
      <w:pPr>
        <w:pStyle w:val="Heading2"/>
        <w:jc w:val="both"/>
      </w:pPr>
      <w:bookmarkStart w:id="5" w:name="_Toc200637189"/>
      <w:r>
        <w:t xml:space="preserve">1.2 </w:t>
      </w:r>
      <w:r w:rsidR="004B7A19" w:rsidRPr="00E125E2">
        <w:t>Research Objectives</w:t>
      </w:r>
      <w:bookmarkEnd w:id="5"/>
    </w:p>
    <w:p w14:paraId="25CCDB9A" w14:textId="77777777" w:rsidR="004B7A19" w:rsidRPr="00FD2FA7" w:rsidRDefault="004B7A19" w:rsidP="006E421E">
      <w:pPr>
        <w:numPr>
          <w:ilvl w:val="0"/>
          <w:numId w:val="13"/>
        </w:num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To explore the motivations and strategic goals behind the rebranding of the Marriott Bristol City Centre.</w:t>
      </w:r>
    </w:p>
    <w:p w14:paraId="3F11767E" w14:textId="77777777" w:rsidR="004B7A19" w:rsidRPr="00FD2FA7" w:rsidRDefault="004B7A19" w:rsidP="006E421E">
      <w:pPr>
        <w:numPr>
          <w:ilvl w:val="0"/>
          <w:numId w:val="13"/>
        </w:num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To examine employee perceptions and experiences during the organisational transition.</w:t>
      </w:r>
    </w:p>
    <w:p w14:paraId="1BFB878F" w14:textId="77777777" w:rsidR="004B7A19" w:rsidRPr="00FD2FA7" w:rsidRDefault="004B7A19" w:rsidP="006E421E">
      <w:pPr>
        <w:numPr>
          <w:ilvl w:val="0"/>
          <w:numId w:val="13"/>
        </w:num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To evaluate the effect of rebranding on operational performance and service delivery in the hotel.</w:t>
      </w:r>
    </w:p>
    <w:p w14:paraId="75F18AFB" w14:textId="77777777" w:rsidR="00C11376" w:rsidRDefault="00C11376" w:rsidP="006E421E">
      <w:pPr>
        <w:spacing w:line="276" w:lineRule="auto"/>
        <w:jc w:val="both"/>
        <w:rPr>
          <w:rFonts w:ascii="Times New Roman" w:hAnsi="Times New Roman" w:cs="Times New Roman"/>
          <w:b/>
          <w:bCs/>
          <w:sz w:val="28"/>
          <w:szCs w:val="28"/>
        </w:rPr>
      </w:pPr>
    </w:p>
    <w:p w14:paraId="1B8C2CE1" w14:textId="7F3FBEB5" w:rsidR="004B7A19" w:rsidRPr="00E125E2" w:rsidRDefault="00E2351F" w:rsidP="006E421E">
      <w:pPr>
        <w:pStyle w:val="Heading2"/>
        <w:jc w:val="both"/>
      </w:pPr>
      <w:bookmarkStart w:id="6" w:name="_Toc200637190"/>
      <w:r>
        <w:t xml:space="preserve">1.3 </w:t>
      </w:r>
      <w:r w:rsidR="004B7A19" w:rsidRPr="00E125E2">
        <w:t>Research Questions</w:t>
      </w:r>
      <w:bookmarkEnd w:id="6"/>
    </w:p>
    <w:p w14:paraId="6BA2627E" w14:textId="77777777" w:rsidR="004B7A19" w:rsidRPr="00FD2FA7" w:rsidRDefault="004B7A19" w:rsidP="006E421E">
      <w:pPr>
        <w:numPr>
          <w:ilvl w:val="0"/>
          <w:numId w:val="14"/>
        </w:num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What were the strategic motivations behind Marriott Bristol’s rebranding to Delta Hotels by Marriott?</w:t>
      </w:r>
    </w:p>
    <w:p w14:paraId="4FA962CD" w14:textId="77777777" w:rsidR="004B7A19" w:rsidRPr="00FD2FA7" w:rsidRDefault="004B7A19" w:rsidP="006E421E">
      <w:pPr>
        <w:numPr>
          <w:ilvl w:val="0"/>
          <w:numId w:val="14"/>
        </w:num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How did employees perceive and experience the rebranding process across its stages?</w:t>
      </w:r>
    </w:p>
    <w:p w14:paraId="30402306" w14:textId="77777777" w:rsidR="004B7A19" w:rsidRPr="00FD2FA7" w:rsidRDefault="004B7A19" w:rsidP="006E421E">
      <w:pPr>
        <w:numPr>
          <w:ilvl w:val="0"/>
          <w:numId w:val="14"/>
        </w:num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What impact has the rebranding had on operational performance and service delivery?</w:t>
      </w:r>
    </w:p>
    <w:p w14:paraId="6037CE9C" w14:textId="77777777" w:rsidR="00C11376" w:rsidRDefault="00C11376" w:rsidP="006E421E">
      <w:pPr>
        <w:spacing w:line="276" w:lineRule="auto"/>
        <w:jc w:val="both"/>
        <w:rPr>
          <w:rFonts w:ascii="Times New Roman" w:hAnsi="Times New Roman" w:cs="Times New Roman"/>
          <w:b/>
          <w:bCs/>
          <w:sz w:val="28"/>
          <w:szCs w:val="28"/>
        </w:rPr>
      </w:pPr>
    </w:p>
    <w:p w14:paraId="73FFDB0E" w14:textId="77777777" w:rsidR="006E421E" w:rsidRDefault="006E421E" w:rsidP="006E421E">
      <w:pPr>
        <w:spacing w:line="276" w:lineRule="auto"/>
        <w:jc w:val="both"/>
        <w:rPr>
          <w:rFonts w:ascii="Times New Roman" w:hAnsi="Times New Roman" w:cs="Times New Roman"/>
          <w:b/>
          <w:bCs/>
          <w:sz w:val="28"/>
          <w:szCs w:val="28"/>
        </w:rPr>
      </w:pPr>
    </w:p>
    <w:p w14:paraId="496A5C26" w14:textId="77777777" w:rsidR="00C11376" w:rsidRDefault="00C11376" w:rsidP="00FD2FA7">
      <w:pPr>
        <w:spacing w:line="276" w:lineRule="auto"/>
        <w:rPr>
          <w:rFonts w:ascii="Times New Roman" w:hAnsi="Times New Roman" w:cs="Times New Roman"/>
          <w:b/>
          <w:bCs/>
          <w:sz w:val="28"/>
          <w:szCs w:val="28"/>
        </w:rPr>
      </w:pPr>
    </w:p>
    <w:p w14:paraId="00682151" w14:textId="77777777" w:rsidR="00C11376" w:rsidRDefault="00C11376" w:rsidP="00FD2FA7">
      <w:pPr>
        <w:spacing w:line="276" w:lineRule="auto"/>
        <w:rPr>
          <w:rFonts w:ascii="Times New Roman" w:hAnsi="Times New Roman" w:cs="Times New Roman"/>
          <w:b/>
          <w:bCs/>
          <w:sz w:val="28"/>
          <w:szCs w:val="28"/>
        </w:rPr>
      </w:pPr>
    </w:p>
    <w:p w14:paraId="278C5AC6" w14:textId="105DFAB8" w:rsidR="004B7A19" w:rsidRPr="00E125E2" w:rsidRDefault="004B7A19" w:rsidP="006E421E">
      <w:pPr>
        <w:pStyle w:val="Heading3"/>
        <w:jc w:val="both"/>
      </w:pPr>
      <w:bookmarkStart w:id="7" w:name="_Toc200637191"/>
      <w:r w:rsidRPr="00E125E2">
        <w:lastRenderedPageBreak/>
        <w:t>Closing Summary</w:t>
      </w:r>
      <w:bookmarkEnd w:id="7"/>
    </w:p>
    <w:p w14:paraId="4E831D3E" w14:textId="46862DF9" w:rsidR="004B7A19" w:rsidRPr="00FD2FA7" w:rsidRDefault="004B7A19"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 xml:space="preserve">By concentrating on the strategic rationale, employee experience, and operational performance, this research aims to generate a well-rounded understanding of how rebranding impacts both staff and service delivery within a hotel setting. Through a case study approach supported by netnographic observations and placement-based reflection, the study will offer </w:t>
      </w:r>
      <w:r w:rsidR="00B9046C" w:rsidRPr="00FD2FA7">
        <w:rPr>
          <w:rFonts w:ascii="Times New Roman" w:hAnsi="Times New Roman" w:cs="Times New Roman"/>
          <w:sz w:val="24"/>
          <w:szCs w:val="24"/>
        </w:rPr>
        <w:t xml:space="preserve">a </w:t>
      </w:r>
      <w:r w:rsidRPr="00FD2FA7">
        <w:rPr>
          <w:rFonts w:ascii="Times New Roman" w:hAnsi="Times New Roman" w:cs="Times New Roman"/>
          <w:sz w:val="24"/>
          <w:szCs w:val="24"/>
        </w:rPr>
        <w:t>detailed, real-world analysis of Marriott Bristol’s transition. The findings will inform practical insights for hospitality professionals managing brand transitions and contribute meaningfully to academic literature on organisational change and employee engagement.</w:t>
      </w:r>
    </w:p>
    <w:p w14:paraId="1C37010F" w14:textId="77777777" w:rsidR="00F757BE" w:rsidRPr="00FD2FA7" w:rsidRDefault="00F757BE" w:rsidP="006E421E">
      <w:pPr>
        <w:spacing w:line="276" w:lineRule="auto"/>
        <w:jc w:val="both"/>
        <w:rPr>
          <w:rFonts w:ascii="Times New Roman" w:hAnsi="Times New Roman" w:cs="Times New Roman"/>
          <w:sz w:val="24"/>
          <w:szCs w:val="24"/>
        </w:rPr>
      </w:pPr>
    </w:p>
    <w:p w14:paraId="2BA22D4E" w14:textId="77777777" w:rsidR="00ED6D95" w:rsidRDefault="00ED6D95" w:rsidP="006E421E">
      <w:pPr>
        <w:spacing w:before="100" w:beforeAutospacing="1" w:after="100" w:afterAutospacing="1" w:line="276" w:lineRule="auto"/>
        <w:jc w:val="both"/>
        <w:rPr>
          <w:rFonts w:ascii="Times New Roman" w:hAnsi="Times New Roman" w:cs="Times New Roman"/>
          <w:sz w:val="24"/>
          <w:szCs w:val="24"/>
        </w:rPr>
      </w:pPr>
    </w:p>
    <w:p w14:paraId="71B3D223"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57E60317"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6F5041B8"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1EC725C6"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10F16451"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43D8EBA4"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45F7F370"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2867164D"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4B64AE39"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783EB326"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74FEF1FE"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7163E2D3"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7B3A9107"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3353B7DB"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62A0AE9E"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48ACE02E" w14:textId="77777777" w:rsidR="00C11376" w:rsidRDefault="00C11376" w:rsidP="006E421E">
      <w:pPr>
        <w:spacing w:before="100" w:beforeAutospacing="1" w:after="100" w:afterAutospacing="1" w:line="276" w:lineRule="auto"/>
        <w:jc w:val="both"/>
        <w:rPr>
          <w:rFonts w:ascii="Times New Roman" w:hAnsi="Times New Roman" w:cs="Times New Roman"/>
          <w:sz w:val="24"/>
          <w:szCs w:val="24"/>
        </w:rPr>
      </w:pPr>
    </w:p>
    <w:p w14:paraId="417667FF" w14:textId="06349E1B" w:rsidR="003D246E" w:rsidRPr="00725FDC" w:rsidRDefault="003D246E" w:rsidP="006E421E">
      <w:pPr>
        <w:pStyle w:val="Heading1"/>
        <w:jc w:val="both"/>
        <w:rPr>
          <w:rFonts w:eastAsia="Times New Roman"/>
          <w:b/>
          <w:bCs/>
          <w:lang w:eastAsia="en-GB"/>
        </w:rPr>
      </w:pPr>
      <w:bookmarkStart w:id="8" w:name="_Toc200637192"/>
      <w:r w:rsidRPr="00725FDC">
        <w:rPr>
          <w:rFonts w:eastAsia="Times New Roman"/>
          <w:b/>
          <w:bCs/>
          <w:lang w:eastAsia="en-GB"/>
        </w:rPr>
        <w:lastRenderedPageBreak/>
        <w:t>Chapter 2: Literature Review</w:t>
      </w:r>
      <w:bookmarkEnd w:id="8"/>
    </w:p>
    <w:p w14:paraId="768081B1" w14:textId="68FB5C54"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Organisational rebranding within the hospitality sector involves far more than a new logo or refreshed décor</w:t>
      </w:r>
      <w:r w:rsidR="00C11376">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 xml:space="preserve">it encompasses changes to operational systems, workplace culture, employee engagement, and customer experience. With the industry becoming ever more competitive and guest-centric, brands increasingly turn to rebranding to align with shifting market demands and redefine their value propositions (Pizam, 2020; Pine and Gilmore, 2011). According to Saunders, </w:t>
      </w:r>
      <w:r w:rsidR="00C11376" w:rsidRPr="00FD2FA7">
        <w:rPr>
          <w:rFonts w:ascii="Times New Roman" w:eastAsia="Times New Roman" w:hAnsi="Times New Roman" w:cs="Times New Roman"/>
          <w:kern w:val="0"/>
          <w:sz w:val="24"/>
          <w:szCs w:val="24"/>
          <w:lang w:eastAsia="en-GB"/>
          <w14:ligatures w14:val="none"/>
        </w:rPr>
        <w:t>Lewis,</w:t>
      </w:r>
      <w:r w:rsidRPr="00FD2FA7">
        <w:rPr>
          <w:rFonts w:ascii="Times New Roman" w:eastAsia="Times New Roman" w:hAnsi="Times New Roman" w:cs="Times New Roman"/>
          <w:kern w:val="0"/>
          <w:sz w:val="24"/>
          <w:szCs w:val="24"/>
          <w:lang w:eastAsia="en-GB"/>
          <w14:ligatures w14:val="none"/>
        </w:rPr>
        <w:t xml:space="preserve"> and Thornhill (2012), strategic rebranding in services must also address the interplay between tangible and intangible service elements to avoid brand dilution. This literature review examines key aspects of hotel rebranding, including its rationale, impact on the workforce, operational effects, cultural alignment, technological enablers, resistance to change, and prevailing research gaps.</w:t>
      </w:r>
    </w:p>
    <w:p w14:paraId="3AFC5E42" w14:textId="4B47AAEA" w:rsidR="003D246E" w:rsidRPr="00FD2FA7" w:rsidRDefault="003D246E"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7EB8E6A9" w14:textId="77777777" w:rsidR="003D246E" w:rsidRPr="00E125E2" w:rsidRDefault="003D246E" w:rsidP="006E421E">
      <w:pPr>
        <w:pStyle w:val="Heading2"/>
        <w:jc w:val="both"/>
        <w:rPr>
          <w:rFonts w:eastAsia="Times New Roman"/>
          <w:lang w:eastAsia="en-GB"/>
        </w:rPr>
      </w:pPr>
      <w:bookmarkStart w:id="9" w:name="_Toc200637193"/>
      <w:r w:rsidRPr="00E125E2">
        <w:rPr>
          <w:rFonts w:eastAsia="Times New Roman"/>
          <w:lang w:eastAsia="en-GB"/>
        </w:rPr>
        <w:t>2.1 Rationale Behind Organisational Rebranding</w:t>
      </w:r>
      <w:bookmarkEnd w:id="9"/>
    </w:p>
    <w:p w14:paraId="1675D5B0" w14:textId="77777777"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Rebranding is defined as “the practice of changing the name, logo, design or overall brand image of an organisation to reposition itself in the minds of stakeholders” (Muzellec and Lambkin, 2006, p. 804). In hospitality, this process, driven by mergers, acquisitions, repositioning or changing demographic outreach, aims to refresh hotel market positioning, broaden guest segments, or elevate service standards (Merrilees and Miller, 2008). As Robson (2016) notes, such change must also be research-led and evidence-informed to avoid unintended organisational consequences.</w:t>
      </w:r>
    </w:p>
    <w:p w14:paraId="419370D1" w14:textId="77777777"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Marriott’s shift of selected properties to the Delta Hotels brand is illustrative, representing a strategic repositioning toward an efficient, mid-tier lifestyle brand with streamlined amenities and modern aesthetics (Marriott International, 2024). According to Accor Group (2021), effective rebranding must balance visual identity with sustainable, operational continuity and inclusive stakeholder communication. This theoretical framing aligns with the staged transformations observed at the Bristol property, which introduced upgrades in phases (2023 vs 2025), demonstrating the need for gradual yet coherent brand evolution. Research by Bryman (2008) also supports the need for contextual sensitivity in implementing brand transitions, particularly in service industries where both staff and guest perceptions are shaped by subtle brand cues.</w:t>
      </w:r>
    </w:p>
    <w:p w14:paraId="505BDE63" w14:textId="02260FF7" w:rsidR="003D246E" w:rsidRDefault="003D246E"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5560B802" w14:textId="77777777" w:rsidR="00E125E2" w:rsidRDefault="00E125E2"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1D9A783A" w14:textId="77777777" w:rsidR="00E125E2" w:rsidRDefault="00E125E2"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7148C563" w14:textId="77777777" w:rsidR="00E125E2" w:rsidRDefault="00E125E2"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3D0BE86B" w14:textId="77777777" w:rsidR="00E125E2" w:rsidRDefault="00E125E2"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1023AAA9" w14:textId="77777777" w:rsidR="00E125E2" w:rsidRDefault="00E125E2"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75CEE8E0" w14:textId="77777777" w:rsidR="00E125E2" w:rsidRPr="00FD2FA7" w:rsidRDefault="00E125E2"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6F6F5B59" w14:textId="77777777" w:rsidR="003D246E" w:rsidRPr="00E125E2" w:rsidRDefault="003D246E" w:rsidP="006E421E">
      <w:pPr>
        <w:pStyle w:val="Heading2"/>
        <w:jc w:val="both"/>
        <w:rPr>
          <w:rFonts w:eastAsia="Times New Roman"/>
          <w:lang w:eastAsia="en-GB"/>
        </w:rPr>
      </w:pPr>
      <w:bookmarkStart w:id="10" w:name="_Toc200637194"/>
      <w:r w:rsidRPr="00E125E2">
        <w:rPr>
          <w:rFonts w:eastAsia="Times New Roman"/>
          <w:lang w:eastAsia="en-GB"/>
        </w:rPr>
        <w:lastRenderedPageBreak/>
        <w:t>2.2 Employee Experience During Rebranding</w:t>
      </w:r>
      <w:bookmarkEnd w:id="10"/>
    </w:p>
    <w:p w14:paraId="1E1047F1" w14:textId="5552AEB3"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Frontline employees are often the overlooked subjects in rebranding processes, despite their central role in delivering the service experience (King and Grace, 2008). Studies indicate that employees frequently experience anxiety, dissatisfaction, or resistance when rebranding strategies fail to include transparent communication and staff participation in planning (Armenakis and Harris, 2009; Kotter, 1996). Furthermore, Lashley (20</w:t>
      </w:r>
      <w:r w:rsidR="00541E02" w:rsidRPr="00FD2FA7">
        <w:rPr>
          <w:rFonts w:ascii="Times New Roman" w:eastAsia="Times New Roman" w:hAnsi="Times New Roman" w:cs="Times New Roman"/>
          <w:kern w:val="0"/>
          <w:sz w:val="24"/>
          <w:szCs w:val="24"/>
          <w:lang w:eastAsia="en-GB"/>
          <w14:ligatures w14:val="none"/>
        </w:rPr>
        <w:t>09</w:t>
      </w:r>
      <w:r w:rsidRPr="00FD2FA7">
        <w:rPr>
          <w:rFonts w:ascii="Times New Roman" w:eastAsia="Times New Roman" w:hAnsi="Times New Roman" w:cs="Times New Roman"/>
          <w:kern w:val="0"/>
          <w:sz w:val="24"/>
          <w:szCs w:val="24"/>
          <w:lang w:eastAsia="en-GB"/>
          <w14:ligatures w14:val="none"/>
        </w:rPr>
        <w:t>) argues that frontline engagement is vital in hospitality due to the emotional labour required to deliver personalised service.</w:t>
      </w:r>
    </w:p>
    <w:p w14:paraId="17928B60" w14:textId="6BF98E88" w:rsidR="002334FD" w:rsidRPr="00FD2FA7" w:rsidRDefault="002334FD"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According to Armstrong (2021), employee engagement during organisational change is strongly linked to trust, communication, and role clarity, all of which are essential in supporting morale and service continuity. Expanding on this, Madera et al. (2022) argue that employee adaptability and role evolution are vital for maintaining morale during brand transitions, especially in service-oriented sectors like hospitality, where roles are dynamic and guest expectations are high.</w:t>
      </w:r>
    </w:p>
    <w:p w14:paraId="71A49D86" w14:textId="16AB787D"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Kotter's eight-stage process emphasises fostering urgency, forming guiding coalitions, and enabling action through communication</w:t>
      </w:r>
      <w:r w:rsidR="00424983">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steps closely aligned with Marriott’s engagement tactics documented in its 2024 ESG report (Marriott International, 2024). The commitment to wellbeing, continuous development, and feedback sessions aligns with academic models prioritising employee involvement for effective change (Gill, 2002). Indeed (2024) staff reviews of the Delta Hotels property reinforce this alignment, with employees reporting improved clarity, direction, and empowerment during the transition.</w:t>
      </w:r>
    </w:p>
    <w:p w14:paraId="533C07A1" w14:textId="77777777"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 xml:space="preserve">Silverman (2011) further highlights the importance of qualitative data in understanding how employees </w:t>
      </w:r>
      <w:r w:rsidRPr="00FD2FA7">
        <w:rPr>
          <w:rFonts w:ascii="Times New Roman" w:eastAsia="Times New Roman" w:hAnsi="Times New Roman" w:cs="Times New Roman"/>
          <w:i/>
          <w:iCs/>
          <w:kern w:val="0"/>
          <w:sz w:val="24"/>
          <w:szCs w:val="24"/>
          <w:lang w:eastAsia="en-GB"/>
          <w14:ligatures w14:val="none"/>
        </w:rPr>
        <w:t>experience</w:t>
      </w:r>
      <w:r w:rsidRPr="00FD2FA7">
        <w:rPr>
          <w:rFonts w:ascii="Times New Roman" w:eastAsia="Times New Roman" w:hAnsi="Times New Roman" w:cs="Times New Roman"/>
          <w:kern w:val="0"/>
          <w:sz w:val="24"/>
          <w:szCs w:val="24"/>
          <w:lang w:eastAsia="en-GB"/>
          <w14:ligatures w14:val="none"/>
        </w:rPr>
        <w:t xml:space="preserve"> organisational transitions, underscoring the need for deeper inquiry into emotional reactions, not just behavioural changes.</w:t>
      </w:r>
    </w:p>
    <w:p w14:paraId="40FD7F55" w14:textId="2093AFF5" w:rsidR="003D246E" w:rsidRPr="00FD2FA7" w:rsidRDefault="003D246E"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580AC388" w14:textId="77777777" w:rsidR="003D246E" w:rsidRPr="00E125E2" w:rsidRDefault="003D246E" w:rsidP="006E421E">
      <w:pPr>
        <w:pStyle w:val="Heading2"/>
        <w:jc w:val="both"/>
        <w:rPr>
          <w:rFonts w:eastAsia="Times New Roman"/>
          <w:lang w:eastAsia="en-GB"/>
        </w:rPr>
      </w:pPr>
      <w:bookmarkStart w:id="11" w:name="_Toc200637195"/>
      <w:r w:rsidRPr="00E125E2">
        <w:rPr>
          <w:rFonts w:eastAsia="Times New Roman"/>
          <w:lang w:eastAsia="en-GB"/>
        </w:rPr>
        <w:t>2.3 Operational Impact of Rebranding</w:t>
      </w:r>
      <w:bookmarkEnd w:id="11"/>
    </w:p>
    <w:p w14:paraId="2FFC2893" w14:textId="3BB5DFB1"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 xml:space="preserve">Operational realignment is essential to support visual and experiential changes (Balmer and </w:t>
      </w:r>
      <w:r w:rsidR="00B930AC" w:rsidRPr="00FD2FA7">
        <w:rPr>
          <w:rFonts w:ascii="Times New Roman" w:eastAsia="Times New Roman" w:hAnsi="Times New Roman" w:cs="Times New Roman"/>
          <w:kern w:val="0"/>
          <w:sz w:val="24"/>
          <w:szCs w:val="24"/>
          <w:lang w:eastAsia="en-GB"/>
          <w14:ligatures w14:val="none"/>
        </w:rPr>
        <w:t>Grey</w:t>
      </w:r>
      <w:r w:rsidRPr="00FD2FA7">
        <w:rPr>
          <w:rFonts w:ascii="Times New Roman" w:eastAsia="Times New Roman" w:hAnsi="Times New Roman" w:cs="Times New Roman"/>
          <w:kern w:val="0"/>
          <w:sz w:val="24"/>
          <w:szCs w:val="24"/>
          <w:lang w:eastAsia="en-GB"/>
          <w14:ligatures w14:val="none"/>
        </w:rPr>
        <w:t xml:space="preserve">, 2003). Rebranding often requires investment in service technologies, modified SOPs (Standard Operating Procedures), and staff training to align with new brand standards (O'Neill and Mattila, 2010; Diefenbach, 2007). Yin (2018) explains that such transformations must be monitored as part of </w:t>
      </w:r>
      <w:r w:rsidR="00B930AC" w:rsidRPr="00FD2FA7">
        <w:rPr>
          <w:rFonts w:ascii="Times New Roman" w:eastAsia="Times New Roman" w:hAnsi="Times New Roman" w:cs="Times New Roman"/>
          <w:kern w:val="0"/>
          <w:sz w:val="24"/>
          <w:szCs w:val="24"/>
          <w:lang w:eastAsia="en-GB"/>
          <w14:ligatures w14:val="none"/>
        </w:rPr>
        <w:t xml:space="preserve">a </w:t>
      </w:r>
      <w:r w:rsidRPr="00FD2FA7">
        <w:rPr>
          <w:rFonts w:ascii="Times New Roman" w:eastAsia="Times New Roman" w:hAnsi="Times New Roman" w:cs="Times New Roman"/>
          <w:kern w:val="0"/>
          <w:sz w:val="24"/>
          <w:szCs w:val="24"/>
          <w:lang w:eastAsia="en-GB"/>
          <w14:ligatures w14:val="none"/>
        </w:rPr>
        <w:t>holistic case study design to evaluate long-term organisational effectiveness.</w:t>
      </w:r>
    </w:p>
    <w:p w14:paraId="77AD6604" w14:textId="1A7784F7"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In the Bristol case, guest-facing innovations</w:t>
      </w:r>
      <w:r w:rsidR="00BB1AAE">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like self-service coffee stations and automated water fountains</w:t>
      </w:r>
      <w:r w:rsidR="00BB1AAE">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 xml:space="preserve">reflect Pine and Gilmore's (2011) concept of the “Experience Economy,” where streamlined, guest-led service enhances satisfaction. These innovations also shifted staff roles from service provision to service facilitation. Without proper training and operational </w:t>
      </w:r>
      <w:r w:rsidRPr="00FD2FA7">
        <w:rPr>
          <w:rFonts w:ascii="Times New Roman" w:eastAsia="Times New Roman" w:hAnsi="Times New Roman" w:cs="Times New Roman"/>
          <w:kern w:val="0"/>
          <w:sz w:val="24"/>
          <w:szCs w:val="24"/>
          <w:lang w:eastAsia="en-GB"/>
          <w14:ligatures w14:val="none"/>
        </w:rPr>
        <w:lastRenderedPageBreak/>
        <w:t>support, such shifts can result in service inconsistency and employee frustration, reiterating Diefenbach’s (2007) warnings about unsupported systems change.</w:t>
      </w:r>
    </w:p>
    <w:p w14:paraId="522FA6C1" w14:textId="77777777"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According to Collis and Hussey (2014), successful operational transformation requires both structural realignment and cultural reorientation, especially when introducing automation in high-contact service sectors such as hotels.</w:t>
      </w:r>
    </w:p>
    <w:p w14:paraId="091D2B55" w14:textId="24E63CE3" w:rsidR="003D246E" w:rsidRPr="00FD2FA7" w:rsidRDefault="003D246E"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3F1420F7" w14:textId="77777777" w:rsidR="003D246E" w:rsidRPr="00E125E2" w:rsidRDefault="003D246E" w:rsidP="006E421E">
      <w:pPr>
        <w:pStyle w:val="Heading2"/>
        <w:jc w:val="both"/>
        <w:rPr>
          <w:rFonts w:eastAsia="Times New Roman"/>
          <w:lang w:eastAsia="en-GB"/>
        </w:rPr>
      </w:pPr>
      <w:bookmarkStart w:id="12" w:name="_Toc200637196"/>
      <w:r w:rsidRPr="00E125E2">
        <w:rPr>
          <w:rFonts w:eastAsia="Times New Roman"/>
          <w:lang w:eastAsia="en-GB"/>
        </w:rPr>
        <w:t>2.4 Brand Identity Transfer and Cultural Integration</w:t>
      </w:r>
      <w:bookmarkEnd w:id="12"/>
    </w:p>
    <w:p w14:paraId="02416958" w14:textId="77777777"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Brand renewal initiatives depend heavily on cultural alignment (Hatch and Schultz, 2003). In the hospitality context, employees must internalise brand values to ensure authentic guest interactions. When corporate culture is misaligned with client-facing messaging, the resulting dissonance can erode trust and service quality (de Chernatony and Harris, 2001).</w:t>
      </w:r>
    </w:p>
    <w:p w14:paraId="2272FEA2" w14:textId="0093B994"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Marriott’s internal campaigns during its Delta rebrand emphasised value-based coaching, team collaboration, and frequent briefings</w:t>
      </w:r>
      <w:r w:rsidR="00A163E4">
        <w:rPr>
          <w:rFonts w:ascii="Times New Roman" w:eastAsia="Times New Roman" w:hAnsi="Times New Roman" w:cs="Times New Roman"/>
          <w:kern w:val="0"/>
          <w:sz w:val="24"/>
          <w:szCs w:val="24"/>
          <w:lang w:eastAsia="en-GB"/>
          <w14:ligatures w14:val="none"/>
        </w:rPr>
        <w:t>,</w:t>
      </w:r>
      <w:r w:rsidR="00BB1AAE">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all consistent with its “Live by Values” approach (Marriott International, 2024). These initiatives reflect Hatch and Schultz’s</w:t>
      </w:r>
      <w:r w:rsidR="00981D51">
        <w:rPr>
          <w:rFonts w:ascii="Times New Roman" w:eastAsia="Times New Roman" w:hAnsi="Times New Roman" w:cs="Times New Roman"/>
          <w:kern w:val="0"/>
          <w:sz w:val="24"/>
          <w:szCs w:val="24"/>
          <w:lang w:eastAsia="en-GB"/>
          <w14:ligatures w14:val="none"/>
        </w:rPr>
        <w:t>,</w:t>
      </w:r>
      <w:r w:rsidRPr="00FD2FA7">
        <w:rPr>
          <w:rFonts w:ascii="Times New Roman" w:eastAsia="Times New Roman" w:hAnsi="Times New Roman" w:cs="Times New Roman"/>
          <w:kern w:val="0"/>
          <w:sz w:val="24"/>
          <w:szCs w:val="24"/>
          <w:lang w:eastAsia="en-GB"/>
          <w14:ligatures w14:val="none"/>
        </w:rPr>
        <w:t xml:space="preserve"> </w:t>
      </w:r>
      <w:r w:rsidR="00B0578C">
        <w:rPr>
          <w:rFonts w:ascii="Times New Roman" w:eastAsia="Times New Roman" w:hAnsi="Times New Roman" w:cs="Times New Roman"/>
          <w:kern w:val="0"/>
          <w:sz w:val="24"/>
          <w:szCs w:val="24"/>
          <w:lang w:eastAsia="en-GB"/>
          <w14:ligatures w14:val="none"/>
        </w:rPr>
        <w:t>to</w:t>
      </w:r>
      <w:r w:rsidRPr="00FD2FA7">
        <w:rPr>
          <w:rFonts w:ascii="Times New Roman" w:eastAsia="Times New Roman" w:hAnsi="Times New Roman" w:cs="Times New Roman"/>
          <w:kern w:val="0"/>
          <w:sz w:val="24"/>
          <w:szCs w:val="24"/>
          <w:lang w:eastAsia="en-GB"/>
          <w14:ligatures w14:val="none"/>
        </w:rPr>
        <w:t xml:space="preserve"> </w:t>
      </w:r>
      <w:r w:rsidR="00B0578C">
        <w:rPr>
          <w:rFonts w:ascii="Times New Roman" w:eastAsia="Times New Roman" w:hAnsi="Times New Roman" w:cs="Times New Roman"/>
          <w:kern w:val="0"/>
          <w:sz w:val="24"/>
          <w:szCs w:val="24"/>
          <w:lang w:eastAsia="en-GB"/>
          <w14:ligatures w14:val="none"/>
        </w:rPr>
        <w:t xml:space="preserve">the </w:t>
      </w:r>
      <w:r w:rsidRPr="00FD2FA7">
        <w:rPr>
          <w:rFonts w:ascii="Times New Roman" w:eastAsia="Times New Roman" w:hAnsi="Times New Roman" w:cs="Times New Roman"/>
          <w:kern w:val="0"/>
          <w:sz w:val="24"/>
          <w:szCs w:val="24"/>
          <w:lang w:eastAsia="en-GB"/>
          <w14:ligatures w14:val="none"/>
        </w:rPr>
        <w:t xml:space="preserve">consistent implementation of brand identity across culture, structure, and communications. As noted by Veal (2006), creating shared meanings through culture is particularly challenging </w:t>
      </w:r>
      <w:r w:rsidR="00B930AC" w:rsidRPr="00FD2FA7">
        <w:rPr>
          <w:rFonts w:ascii="Times New Roman" w:eastAsia="Times New Roman" w:hAnsi="Times New Roman" w:cs="Times New Roman"/>
          <w:kern w:val="0"/>
          <w:sz w:val="24"/>
          <w:szCs w:val="24"/>
          <w:lang w:eastAsia="en-GB"/>
          <w14:ligatures w14:val="none"/>
        </w:rPr>
        <w:t>in-service</w:t>
      </w:r>
      <w:r w:rsidRPr="00FD2FA7">
        <w:rPr>
          <w:rFonts w:ascii="Times New Roman" w:eastAsia="Times New Roman" w:hAnsi="Times New Roman" w:cs="Times New Roman"/>
          <w:kern w:val="0"/>
          <w:sz w:val="24"/>
          <w:szCs w:val="24"/>
          <w:lang w:eastAsia="en-GB"/>
          <w14:ligatures w14:val="none"/>
        </w:rPr>
        <w:t xml:space="preserve"> brands due to the variability of human performance across shifts and departments.</w:t>
      </w:r>
    </w:p>
    <w:p w14:paraId="309F4008" w14:textId="3308297F" w:rsidR="003D246E" w:rsidRPr="00FD2FA7" w:rsidRDefault="003D246E"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68683FB5" w14:textId="77777777" w:rsidR="003D246E" w:rsidRPr="00E125E2" w:rsidRDefault="003D246E" w:rsidP="006E421E">
      <w:pPr>
        <w:pStyle w:val="Heading2"/>
        <w:jc w:val="both"/>
        <w:rPr>
          <w:rFonts w:eastAsia="Times New Roman"/>
          <w:lang w:eastAsia="en-GB"/>
        </w:rPr>
      </w:pPr>
      <w:bookmarkStart w:id="13" w:name="_Toc200637197"/>
      <w:r w:rsidRPr="00E125E2">
        <w:rPr>
          <w:rFonts w:eastAsia="Times New Roman"/>
          <w:lang w:eastAsia="en-GB"/>
        </w:rPr>
        <w:t>2.5 Technology, Digital Transformation, and Guest Expectations</w:t>
      </w:r>
      <w:bookmarkEnd w:id="13"/>
    </w:p>
    <w:p w14:paraId="0260E391" w14:textId="38859496"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Digital innovation offers rebranded hotels a platform to enhance efficiency and guest satisfaction. According to Buhalis and Leung (2018), digital adoption</w:t>
      </w:r>
      <w:r w:rsidR="00F30A6E" w:rsidRPr="00FD2FA7">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such as mobile check-in, smart room control, AI-driven service suggestions, and automated self-service</w:t>
      </w:r>
      <w:r w:rsidR="00F30A6E" w:rsidRPr="00FD2FA7">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 xml:space="preserve">can radically improve the guest experience. Grbich (2006) supports this through qualitative evidence showing how digital interventions reshape both guest expectations and staff training </w:t>
      </w:r>
      <w:r w:rsidR="00CF3813" w:rsidRPr="00FD2FA7">
        <w:rPr>
          <w:rFonts w:ascii="Times New Roman" w:eastAsia="Times New Roman" w:hAnsi="Times New Roman" w:cs="Times New Roman"/>
          <w:kern w:val="0"/>
          <w:sz w:val="24"/>
          <w:szCs w:val="24"/>
          <w:lang w:eastAsia="en-GB"/>
          <w14:ligatures w14:val="none"/>
        </w:rPr>
        <w:t xml:space="preserve">priorities. </w:t>
      </w:r>
      <w:r w:rsidR="00F30A6E" w:rsidRPr="00FD2FA7">
        <w:rPr>
          <w:rFonts w:ascii="Times New Roman" w:eastAsia="Times New Roman" w:hAnsi="Times New Roman" w:cs="Times New Roman"/>
          <w:kern w:val="0"/>
          <w:sz w:val="24"/>
          <w:szCs w:val="24"/>
          <w:lang w:eastAsia="en-GB"/>
          <w14:ligatures w14:val="none"/>
        </w:rPr>
        <w:t xml:space="preserve">As </w:t>
      </w:r>
      <w:r w:rsidR="00CF3813" w:rsidRPr="00FD2FA7">
        <w:rPr>
          <w:rFonts w:ascii="Times New Roman" w:eastAsia="Times New Roman" w:hAnsi="Times New Roman" w:cs="Times New Roman"/>
          <w:kern w:val="0"/>
          <w:sz w:val="24"/>
          <w:szCs w:val="24"/>
          <w:lang w:eastAsia="en-GB"/>
          <w14:ligatures w14:val="none"/>
        </w:rPr>
        <w:t xml:space="preserve">Zeithaml et al. (2018) point out, technological adoption must be matched with service quality strategies to retain guest loyalty, emphasising that automation alone does not guarantee guest satisfaction. </w:t>
      </w:r>
    </w:p>
    <w:p w14:paraId="5A06D8DD" w14:textId="77777777"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The Bristol hotel’s introduction of self-service coffee stations and smart water dispensers corresponds with this trend, offering convenience and perceived modernity. However, Melián-González et al. (2020) warn that insufficient digital infrastructure or training can frustrate both guests and employees, undermining the intended guest experience improvement and staff productivity. Marriott’s response involved layered induction training and role realignment, yet operational inconsistencies remained during the transition, as evidenced by internal staff commentary and performance reviews (Indeed, 2024).</w:t>
      </w:r>
    </w:p>
    <w:p w14:paraId="53BA700D" w14:textId="6DDB46F6" w:rsidR="003D246E" w:rsidRPr="00FD2FA7" w:rsidRDefault="003D246E"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3269846E" w14:textId="77777777" w:rsidR="003D246E" w:rsidRPr="00E125E2" w:rsidRDefault="003D246E" w:rsidP="006E421E">
      <w:pPr>
        <w:pStyle w:val="Heading2"/>
        <w:jc w:val="both"/>
        <w:rPr>
          <w:rFonts w:eastAsia="Times New Roman"/>
          <w:lang w:eastAsia="en-GB"/>
        </w:rPr>
      </w:pPr>
      <w:bookmarkStart w:id="14" w:name="_Toc200637198"/>
      <w:r w:rsidRPr="00E125E2">
        <w:rPr>
          <w:rFonts w:eastAsia="Times New Roman"/>
          <w:lang w:eastAsia="en-GB"/>
        </w:rPr>
        <w:lastRenderedPageBreak/>
        <w:t>2.6 Resistance to Change and Employee Resilience</w:t>
      </w:r>
      <w:bookmarkEnd w:id="14"/>
    </w:p>
    <w:p w14:paraId="150A4468" w14:textId="00337F78"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Resistance remains a key challenge in organisational change (Bovey and Hede, 2001). Resistance may be overt</w:t>
      </w:r>
      <w:r w:rsidR="00F30A6E" w:rsidRPr="00FD2FA7">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through objection</w:t>
      </w:r>
      <w:r w:rsidR="00765D67" w:rsidRPr="00FD2FA7">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or covert</w:t>
      </w:r>
      <w:r w:rsidR="00765D67" w:rsidRPr="00FD2FA7">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through passive compliance without buy-in (Diefenbach, 2007). Low resilience or support during turbulent periods can result in operational breakdowns and lowered service standards.</w:t>
      </w:r>
    </w:p>
    <w:p w14:paraId="45EF1875" w14:textId="0CDAE76E"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Marriott’s use of resilience-building techniques</w:t>
      </w:r>
      <w:r w:rsidR="00F30A6E" w:rsidRPr="00FD2FA7">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regular staff check-ins, feedback sessions, and adaptive role definitions</w:t>
      </w:r>
      <w:r w:rsidR="00765D67" w:rsidRPr="00FD2FA7">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 xml:space="preserve">signals an effort to encourage change-readiness and mitigate resistance (Armenakis and Harris, 2009; Marriott International, 2024). These actions align with </w:t>
      </w:r>
      <w:r w:rsidR="00F30A6E" w:rsidRPr="00FD2FA7">
        <w:rPr>
          <w:rFonts w:ascii="Times New Roman" w:eastAsia="Times New Roman" w:hAnsi="Times New Roman" w:cs="Times New Roman"/>
          <w:kern w:val="0"/>
          <w:sz w:val="24"/>
          <w:szCs w:val="24"/>
          <w:lang w:eastAsia="en-GB"/>
          <w14:ligatures w14:val="none"/>
        </w:rPr>
        <w:t xml:space="preserve">the </w:t>
      </w:r>
      <w:r w:rsidRPr="00FD2FA7">
        <w:rPr>
          <w:rFonts w:ascii="Times New Roman" w:eastAsia="Times New Roman" w:hAnsi="Times New Roman" w:cs="Times New Roman"/>
          <w:kern w:val="0"/>
          <w:sz w:val="24"/>
          <w:szCs w:val="24"/>
          <w:lang w:eastAsia="en-GB"/>
          <w14:ligatures w14:val="none"/>
        </w:rPr>
        <w:t>wider academic consensus that proactive resilience frameworks support smoother transitions.</w:t>
      </w:r>
    </w:p>
    <w:p w14:paraId="008A0FB5" w14:textId="2E26523C"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Cottrell (2014) emphasises the role of critical reflection during rebranding, noting that staff who engage in structured reflective practice</w:t>
      </w:r>
      <w:r w:rsidR="005B7236">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individually or through facilitated discussion</w:t>
      </w:r>
      <w:r w:rsidR="00BB1AAE">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are more likely to embrace new organisational values and adapt constructively.</w:t>
      </w:r>
    </w:p>
    <w:p w14:paraId="4B894601" w14:textId="41B673D3" w:rsidR="003D246E" w:rsidRPr="00FD2FA7" w:rsidRDefault="003D246E"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6C4F777E" w14:textId="77777777" w:rsidR="003D246E" w:rsidRPr="00E125E2" w:rsidRDefault="003D246E" w:rsidP="006E421E">
      <w:pPr>
        <w:pStyle w:val="Heading2"/>
        <w:jc w:val="both"/>
        <w:rPr>
          <w:rFonts w:eastAsia="Times New Roman"/>
          <w:lang w:eastAsia="en-GB"/>
        </w:rPr>
      </w:pPr>
      <w:bookmarkStart w:id="15" w:name="_Toc200637199"/>
      <w:r w:rsidRPr="00E125E2">
        <w:rPr>
          <w:rFonts w:eastAsia="Times New Roman"/>
          <w:lang w:eastAsia="en-GB"/>
        </w:rPr>
        <w:t>2.7 Gaps in the Literature and Project Contribution</w:t>
      </w:r>
      <w:bookmarkEnd w:id="15"/>
    </w:p>
    <w:p w14:paraId="3FA80DFE" w14:textId="77777777"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A review of existing research reveals gaps in two key areas: internal effects of rebranding and longitudinal studies capturing lived employee and operational experience during multi-year hotel transitions. Most studies centre on marketing outcomes, guest satisfaction, or brand visibility (Merrilees and Miller, 2008; Muzellec and Lambkin, 2006).</w:t>
      </w:r>
    </w:p>
    <w:p w14:paraId="2D2D8E6F" w14:textId="77777777"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This research addresses these gaps by focusing on internal stakeholder experience and operational transformation within a hotel undergoing phased rebranding. By tying academic models to observations from branded-stage placements, the project highlights the practical nuances often overlooked in theoretical discussions and offers contextually grounded, evidence-based insights.</w:t>
      </w:r>
    </w:p>
    <w:p w14:paraId="47BE04E7" w14:textId="6662B3B0" w:rsidR="003D246E" w:rsidRPr="00FD2FA7" w:rsidRDefault="003D246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 xml:space="preserve">Denscombe (2010) suggests that longitudinal and ethnographic approaches, such as the one adopted here, are essential in capturing the real-time experiences of change. This supports the use of </w:t>
      </w:r>
      <w:r w:rsidR="006B6C2F" w:rsidRPr="00FD2FA7">
        <w:rPr>
          <w:rFonts w:ascii="Times New Roman" w:eastAsia="Times New Roman" w:hAnsi="Times New Roman" w:cs="Times New Roman"/>
          <w:kern w:val="0"/>
          <w:sz w:val="24"/>
          <w:szCs w:val="24"/>
          <w:lang w:eastAsia="en-GB"/>
          <w14:ligatures w14:val="none"/>
        </w:rPr>
        <w:t>netnographic</w:t>
      </w:r>
      <w:r w:rsidRPr="00FD2FA7">
        <w:rPr>
          <w:rFonts w:ascii="Times New Roman" w:eastAsia="Times New Roman" w:hAnsi="Times New Roman" w:cs="Times New Roman"/>
          <w:kern w:val="0"/>
          <w:sz w:val="24"/>
          <w:szCs w:val="24"/>
          <w:lang w:eastAsia="en-GB"/>
          <w14:ligatures w14:val="none"/>
        </w:rPr>
        <w:t xml:space="preserve"> (Kozinets, 2020) and reflective practitioner frameworks (Schön, 1983) to enrich the study’s qualitative validity.</w:t>
      </w:r>
    </w:p>
    <w:p w14:paraId="7E4129C6" w14:textId="77777777" w:rsidR="00925AA9" w:rsidRDefault="00925AA9" w:rsidP="006E421E">
      <w:pPr>
        <w:pStyle w:val="Heading1"/>
        <w:jc w:val="both"/>
        <w:rPr>
          <w:rFonts w:eastAsia="Times New Roman"/>
          <w:b/>
          <w:bCs/>
          <w:lang w:eastAsia="en-GB"/>
        </w:rPr>
      </w:pPr>
    </w:p>
    <w:p w14:paraId="3CC0EE08" w14:textId="77777777" w:rsidR="00925AA9" w:rsidRPr="00925AA9" w:rsidRDefault="00925AA9" w:rsidP="006E421E">
      <w:pPr>
        <w:jc w:val="both"/>
        <w:rPr>
          <w:lang w:eastAsia="en-GB"/>
        </w:rPr>
      </w:pPr>
    </w:p>
    <w:p w14:paraId="3B3C099A" w14:textId="450C2701" w:rsidR="004D7238" w:rsidRPr="00725FDC" w:rsidRDefault="004D7238" w:rsidP="006E421E">
      <w:pPr>
        <w:pStyle w:val="Heading1"/>
        <w:jc w:val="both"/>
        <w:rPr>
          <w:rFonts w:eastAsia="Times New Roman"/>
          <w:b/>
          <w:bCs/>
          <w:lang w:eastAsia="en-GB"/>
        </w:rPr>
      </w:pPr>
      <w:bookmarkStart w:id="16" w:name="_Toc200637200"/>
      <w:r w:rsidRPr="00725FDC">
        <w:rPr>
          <w:rFonts w:eastAsia="Times New Roman"/>
          <w:b/>
          <w:bCs/>
          <w:lang w:eastAsia="en-GB"/>
        </w:rPr>
        <w:lastRenderedPageBreak/>
        <w:t>Chapter 3: Methodology</w:t>
      </w:r>
      <w:bookmarkEnd w:id="16"/>
    </w:p>
    <w:p w14:paraId="0949369C" w14:textId="77777777" w:rsidR="004D7238" w:rsidRPr="00FD2FA7" w:rsidRDefault="004D7238"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To explore the impact of organisational rebranding on employee experience and operational performance at Delta Hotels by Marriott, this research adopts a qualitative case study methodology, enhanced with netnographic data analysis. This approach allows for in-depth contextual analysis of real-time hotel operations during brand transition while grounding the findings in employee perceptions and academic literature.</w:t>
      </w:r>
    </w:p>
    <w:p w14:paraId="58C0B418" w14:textId="72BBF7B2" w:rsidR="004D7238" w:rsidRPr="00FD2FA7" w:rsidRDefault="004D7238"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73C9EA1C" w14:textId="77777777" w:rsidR="004D7238" w:rsidRPr="00E125E2" w:rsidRDefault="004D7238" w:rsidP="006E421E">
      <w:pPr>
        <w:pStyle w:val="Heading2"/>
        <w:jc w:val="both"/>
        <w:rPr>
          <w:rFonts w:eastAsia="Times New Roman"/>
          <w:lang w:eastAsia="en-GB"/>
        </w:rPr>
      </w:pPr>
      <w:bookmarkStart w:id="17" w:name="_Toc200637201"/>
      <w:r w:rsidRPr="00E125E2">
        <w:rPr>
          <w:rFonts w:eastAsia="Times New Roman"/>
          <w:lang w:eastAsia="en-GB"/>
        </w:rPr>
        <w:t>3.1 Case Study Approach</w:t>
      </w:r>
      <w:bookmarkEnd w:id="17"/>
    </w:p>
    <w:p w14:paraId="24273BDE" w14:textId="77777777" w:rsidR="004D7238" w:rsidRPr="00FD2FA7" w:rsidRDefault="004D7238"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A case study methodology is particularly suited to research questions that seek to understand complex, real-life phenomena in depth and within context (Yin, 2018; Flyvbjerg, 2011). The rebranding of Marriott Bristol City Centre to Delta Hotels by Marriott offers a relevant and timely case for detailed exploration, spanning visible guest-facing changes and deeper organisational shifts. The researcher’s dual 10-week placements in 2023 and 2025 support a longitudinal view of transitional phases, offering first-hand insight into the before-and-after dynamics of rebranding.</w:t>
      </w:r>
    </w:p>
    <w:p w14:paraId="10308BB1" w14:textId="71C1B15E" w:rsidR="004D7238" w:rsidRPr="00FD2FA7" w:rsidRDefault="004D7238"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According to Yin (2003), case study research allows the use of multiple sources of data</w:t>
      </w:r>
      <w:r w:rsidR="00FD2C34">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interviews, observation, documentation, and digital commentary</w:t>
      </w:r>
      <w:r w:rsidR="00FD2C34">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which supports triangulation and strengthens validity. Stake (1995) and Veal (2006) highlight that instrumental case studies can provide rich insight into broader processes and behaviours, even when focused on a single site. This flexibility is particularly useful in hospitality, where organisational identity, service delivery, and employee culture intersect in complex ways (Pizam, 2020).</w:t>
      </w:r>
    </w:p>
    <w:p w14:paraId="316BC930" w14:textId="77777777" w:rsidR="004D7238" w:rsidRPr="00FD2FA7" w:rsidRDefault="004D7238"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Despite its strengths, the case study approach faces limitations regarding generalisability (Collis and Hussey, 2014). To address this, the current research contextualises its findings within existing literature and triangulates data with digital employee feedback, ESG documentation (Marriott International, 2024), and cross-referencing with broader trends (Accor Group, 2021; Indeed, 2024). This supports analytical generalisation rather than statistical, consistent with qualitative research conventions (Silverman, 2011).</w:t>
      </w:r>
    </w:p>
    <w:p w14:paraId="0F11FFA5" w14:textId="7C60CA83" w:rsidR="004D7238" w:rsidRDefault="004D7238" w:rsidP="006E421E">
      <w:pPr>
        <w:spacing w:after="0" w:line="276" w:lineRule="auto"/>
        <w:jc w:val="both"/>
        <w:rPr>
          <w:rFonts w:ascii="Times New Roman" w:eastAsia="Times New Roman" w:hAnsi="Times New Roman" w:cs="Times New Roman"/>
          <w:kern w:val="0"/>
          <w:sz w:val="28"/>
          <w:szCs w:val="28"/>
          <w:lang w:eastAsia="en-GB"/>
          <w14:ligatures w14:val="none"/>
        </w:rPr>
      </w:pPr>
    </w:p>
    <w:p w14:paraId="24AC1221" w14:textId="77777777" w:rsidR="00E125E2" w:rsidRDefault="00E125E2" w:rsidP="006E421E">
      <w:pPr>
        <w:spacing w:after="0" w:line="276" w:lineRule="auto"/>
        <w:jc w:val="both"/>
        <w:rPr>
          <w:rFonts w:ascii="Times New Roman" w:eastAsia="Times New Roman" w:hAnsi="Times New Roman" w:cs="Times New Roman"/>
          <w:kern w:val="0"/>
          <w:sz w:val="28"/>
          <w:szCs w:val="28"/>
          <w:lang w:eastAsia="en-GB"/>
          <w14:ligatures w14:val="none"/>
        </w:rPr>
      </w:pPr>
    </w:p>
    <w:p w14:paraId="5260EEC8" w14:textId="77777777" w:rsidR="00E125E2" w:rsidRDefault="00E125E2" w:rsidP="006E421E">
      <w:pPr>
        <w:spacing w:after="0" w:line="276" w:lineRule="auto"/>
        <w:jc w:val="both"/>
        <w:rPr>
          <w:rFonts w:ascii="Times New Roman" w:eastAsia="Times New Roman" w:hAnsi="Times New Roman" w:cs="Times New Roman"/>
          <w:kern w:val="0"/>
          <w:sz w:val="28"/>
          <w:szCs w:val="28"/>
          <w:lang w:eastAsia="en-GB"/>
          <w14:ligatures w14:val="none"/>
        </w:rPr>
      </w:pPr>
    </w:p>
    <w:p w14:paraId="233B125D" w14:textId="77777777" w:rsidR="00E125E2" w:rsidRDefault="00E125E2" w:rsidP="006E421E">
      <w:pPr>
        <w:spacing w:after="0" w:line="276" w:lineRule="auto"/>
        <w:jc w:val="both"/>
        <w:rPr>
          <w:rFonts w:ascii="Times New Roman" w:eastAsia="Times New Roman" w:hAnsi="Times New Roman" w:cs="Times New Roman"/>
          <w:kern w:val="0"/>
          <w:sz w:val="28"/>
          <w:szCs w:val="28"/>
          <w:lang w:eastAsia="en-GB"/>
          <w14:ligatures w14:val="none"/>
        </w:rPr>
      </w:pPr>
    </w:p>
    <w:p w14:paraId="1FE583DF" w14:textId="77777777" w:rsidR="00E125E2" w:rsidRDefault="00E125E2" w:rsidP="006E421E">
      <w:pPr>
        <w:spacing w:after="0" w:line="276" w:lineRule="auto"/>
        <w:jc w:val="both"/>
        <w:rPr>
          <w:rFonts w:ascii="Times New Roman" w:eastAsia="Times New Roman" w:hAnsi="Times New Roman" w:cs="Times New Roman"/>
          <w:kern w:val="0"/>
          <w:sz w:val="28"/>
          <w:szCs w:val="28"/>
          <w:lang w:eastAsia="en-GB"/>
          <w14:ligatures w14:val="none"/>
        </w:rPr>
      </w:pPr>
    </w:p>
    <w:p w14:paraId="0E3682F7" w14:textId="77777777" w:rsidR="00E125E2" w:rsidRDefault="00E125E2" w:rsidP="006E421E">
      <w:pPr>
        <w:spacing w:after="0" w:line="276" w:lineRule="auto"/>
        <w:jc w:val="both"/>
        <w:rPr>
          <w:rFonts w:ascii="Times New Roman" w:eastAsia="Times New Roman" w:hAnsi="Times New Roman" w:cs="Times New Roman"/>
          <w:kern w:val="0"/>
          <w:sz w:val="28"/>
          <w:szCs w:val="28"/>
          <w:lang w:eastAsia="en-GB"/>
          <w14:ligatures w14:val="none"/>
        </w:rPr>
      </w:pPr>
    </w:p>
    <w:p w14:paraId="40A4607B" w14:textId="77777777" w:rsidR="00E125E2" w:rsidRPr="00E125E2" w:rsidRDefault="00E125E2" w:rsidP="006E421E">
      <w:pPr>
        <w:spacing w:after="0" w:line="276" w:lineRule="auto"/>
        <w:jc w:val="both"/>
        <w:rPr>
          <w:rFonts w:ascii="Times New Roman" w:eastAsia="Times New Roman" w:hAnsi="Times New Roman" w:cs="Times New Roman"/>
          <w:kern w:val="0"/>
          <w:sz w:val="28"/>
          <w:szCs w:val="28"/>
          <w:lang w:eastAsia="en-GB"/>
          <w14:ligatures w14:val="none"/>
        </w:rPr>
      </w:pPr>
    </w:p>
    <w:p w14:paraId="4089222D" w14:textId="77777777" w:rsidR="004D7238" w:rsidRPr="00E125E2" w:rsidRDefault="004D7238" w:rsidP="006E421E">
      <w:pPr>
        <w:pStyle w:val="Heading2"/>
        <w:jc w:val="both"/>
        <w:rPr>
          <w:rFonts w:eastAsia="Times New Roman"/>
          <w:lang w:eastAsia="en-GB"/>
        </w:rPr>
      </w:pPr>
      <w:bookmarkStart w:id="18" w:name="_Toc200637202"/>
      <w:r w:rsidRPr="00E125E2">
        <w:rPr>
          <w:rFonts w:eastAsia="Times New Roman"/>
          <w:lang w:eastAsia="en-GB"/>
        </w:rPr>
        <w:lastRenderedPageBreak/>
        <w:t>3.2 Netnography as a Complementary Method</w:t>
      </w:r>
      <w:bookmarkEnd w:id="18"/>
    </w:p>
    <w:p w14:paraId="67F0EBE4" w14:textId="72A76D18" w:rsidR="004D7238" w:rsidRPr="00FD2FA7" w:rsidRDefault="004D7238"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 xml:space="preserve">To supplement primary placement insights, this study incorporates </w:t>
      </w:r>
      <w:r w:rsidR="006B6C2F" w:rsidRPr="00FD2FA7">
        <w:rPr>
          <w:rFonts w:ascii="Times New Roman" w:eastAsia="Times New Roman" w:hAnsi="Times New Roman" w:cs="Times New Roman"/>
          <w:kern w:val="0"/>
          <w:sz w:val="24"/>
          <w:szCs w:val="24"/>
          <w:lang w:eastAsia="en-GB"/>
          <w14:ligatures w14:val="none"/>
        </w:rPr>
        <w:t>the netnographic</w:t>
      </w:r>
      <w:r w:rsidRPr="00FD2FA7">
        <w:rPr>
          <w:rFonts w:ascii="Times New Roman" w:eastAsia="Times New Roman" w:hAnsi="Times New Roman" w:cs="Times New Roman"/>
          <w:kern w:val="0"/>
          <w:sz w:val="24"/>
          <w:szCs w:val="24"/>
          <w:lang w:eastAsia="en-GB"/>
          <w14:ligatures w14:val="none"/>
        </w:rPr>
        <w:t xml:space="preserve"> digital ethnographic method for understanding online narratives and sentiment (Kozinets, 2020). By analysing publicly available employee reviews from platforms such as Indeed.com, this method provides access to unfiltered commentary on work culture, operational transitions, and managerial practice during and after the rebrand.</w:t>
      </w:r>
    </w:p>
    <w:p w14:paraId="209677FA" w14:textId="6A42991F" w:rsidR="004D7238" w:rsidRPr="00FD2FA7" w:rsidRDefault="004D7238"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 xml:space="preserve">Netnographic research is particularly effective in the hospitality sector, where service experience is deeply personal and often discussed online (Mkono, 2012). These sources offer insight into organisational climate and role adaptation, especially when face-to-face interviews are not feasible. Following guidance from Silverman (2011) and Marshall (2015), data </w:t>
      </w:r>
      <w:r w:rsidR="00FD2C34">
        <w:rPr>
          <w:rFonts w:ascii="Times New Roman" w:eastAsia="Times New Roman" w:hAnsi="Times New Roman" w:cs="Times New Roman"/>
          <w:kern w:val="0"/>
          <w:sz w:val="24"/>
          <w:szCs w:val="24"/>
          <w:lang w:eastAsia="en-GB"/>
          <w14:ligatures w14:val="none"/>
        </w:rPr>
        <w:t>were</w:t>
      </w:r>
      <w:r w:rsidRPr="00FD2FA7">
        <w:rPr>
          <w:rFonts w:ascii="Times New Roman" w:eastAsia="Times New Roman" w:hAnsi="Times New Roman" w:cs="Times New Roman"/>
          <w:kern w:val="0"/>
          <w:sz w:val="24"/>
          <w:szCs w:val="24"/>
          <w:lang w:eastAsia="en-GB"/>
          <w14:ligatures w14:val="none"/>
        </w:rPr>
        <w:t xml:space="preserve"> thematically coded to identify recurring themes: leadership communication, digital integration, staff empowerment, and workload management.</w:t>
      </w:r>
    </w:p>
    <w:p w14:paraId="478565BF" w14:textId="77777777" w:rsidR="004D7238" w:rsidRPr="00FD2FA7" w:rsidRDefault="004D7238"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Netnography has limitations, particularly regarding representation and data authenticity. However, when triangulated with field notes and internal documentation, it forms a valuable interpretive layer to the findings (Saunders, Lewis and Thornhill, 2012). Ethical protocols were upheld by limiting analysis to publicly accessible content without names or identifiers.</w:t>
      </w:r>
    </w:p>
    <w:p w14:paraId="639D2581" w14:textId="77DAFC9A" w:rsidR="004D7238" w:rsidRDefault="004D7238"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3B1B7D17" w14:textId="77777777" w:rsidR="004377A8" w:rsidRDefault="004377A8"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5245AF6A" w14:textId="77777777" w:rsidR="004377A8" w:rsidRPr="00FD2FA7" w:rsidRDefault="004377A8"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1EB4ACE4" w14:textId="77777777" w:rsidR="004D7238" w:rsidRPr="00E125E2" w:rsidRDefault="004D7238" w:rsidP="006E421E">
      <w:pPr>
        <w:pStyle w:val="Heading2"/>
        <w:jc w:val="both"/>
        <w:rPr>
          <w:rFonts w:eastAsia="Times New Roman"/>
          <w:lang w:eastAsia="en-GB"/>
        </w:rPr>
      </w:pPr>
      <w:bookmarkStart w:id="19" w:name="_Toc200637203"/>
      <w:r w:rsidRPr="00E125E2">
        <w:rPr>
          <w:rFonts w:eastAsia="Times New Roman"/>
          <w:lang w:eastAsia="en-GB"/>
        </w:rPr>
        <w:t>3.3 Integration of Observational Learning</w:t>
      </w:r>
      <w:bookmarkEnd w:id="19"/>
    </w:p>
    <w:p w14:paraId="13B5F682" w14:textId="61DC4093" w:rsidR="0049230C" w:rsidRPr="00FD2FA7" w:rsidRDefault="00D64677"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 xml:space="preserve">The researcher maintained detailed weekly observations during both placement periods. As Schön (1983) argues, reflective practitioners gain unique insight by integrating lived experience into theory development. Kolb’s (1984) experiential learning model supports the notion that hands-on immersion allows for deeper understanding of organisational dynamics during rebranding, as learners engage in a cyclical process of concrete experience, reflection, conceptualisation, and experimentation. </w:t>
      </w:r>
      <w:r w:rsidR="008674D0" w:rsidRPr="00FD2FA7">
        <w:rPr>
          <w:rFonts w:ascii="Times New Roman" w:eastAsia="Times New Roman" w:hAnsi="Times New Roman" w:cs="Times New Roman"/>
          <w:kern w:val="0"/>
          <w:sz w:val="24"/>
          <w:szCs w:val="24"/>
          <w:lang w:eastAsia="en-GB"/>
          <w14:ligatures w14:val="none"/>
        </w:rPr>
        <w:t>In addition, the reflective cycle by Gibbs (1988) was employed to systematically assess evolving service roles and guest interactions over time, encouraging a structured process of description, evaluation, analysis, and action planning.</w:t>
      </w:r>
    </w:p>
    <w:p w14:paraId="4742A1F5" w14:textId="7F38872E" w:rsidR="004D7238" w:rsidRPr="00FD2FA7" w:rsidRDefault="00D64677"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Direct observation of day-to-day operations</w:t>
      </w:r>
      <w:r w:rsidR="00FD2C34">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including digital transformation, cultural transitions, and sustainability initiatives</w:t>
      </w:r>
      <w:r w:rsidR="00FD2C34">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allowed the researcher to critically evaluate internal brand alignment and employee responses in real time.</w:t>
      </w:r>
      <w:r w:rsidR="0049230C" w:rsidRPr="00FD2FA7">
        <w:rPr>
          <w:rFonts w:ascii="Times New Roman" w:eastAsia="Times New Roman" w:hAnsi="Times New Roman" w:cs="Times New Roman"/>
          <w:kern w:val="0"/>
          <w:sz w:val="24"/>
          <w:szCs w:val="24"/>
          <w:lang w:eastAsia="en-GB"/>
          <w14:ligatures w14:val="none"/>
        </w:rPr>
        <w:t xml:space="preserve"> </w:t>
      </w:r>
      <w:r w:rsidR="004D7238" w:rsidRPr="00FD2FA7">
        <w:rPr>
          <w:rFonts w:ascii="Times New Roman" w:eastAsia="Times New Roman" w:hAnsi="Times New Roman" w:cs="Times New Roman"/>
          <w:kern w:val="0"/>
          <w:sz w:val="24"/>
          <w:szCs w:val="24"/>
          <w:lang w:eastAsia="en-GB"/>
          <w14:ligatures w14:val="none"/>
        </w:rPr>
        <w:t>Such an approach captures contextual nuances often missed by traditional surveys or interviews (Greetham, 2014). Observations were not only anecdotal but also corroborated through secondary sources and netnographic content. According to Cottrell (2014), the structuring of such experiential learning into academically rigorous frameworks enhances both reflection and analytical credibility.</w:t>
      </w:r>
    </w:p>
    <w:p w14:paraId="624C1DCD" w14:textId="1AFE39EF" w:rsidR="004D7238" w:rsidRPr="00FD2FA7" w:rsidRDefault="004D7238"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lastRenderedPageBreak/>
        <w:t>In this context, the researcher’s position as an insider–outsider</w:t>
      </w:r>
      <w:r w:rsidR="00FD2C34">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immersed within the placement hotel but also acting as a critical observer</w:t>
      </w:r>
      <w:r w:rsidR="00FD2C34">
        <w:rPr>
          <w:rFonts w:ascii="Times New Roman" w:eastAsia="Times New Roman" w:hAnsi="Times New Roman" w:cs="Times New Roman"/>
          <w:kern w:val="0"/>
          <w:sz w:val="24"/>
          <w:szCs w:val="24"/>
          <w:lang w:eastAsia="en-GB"/>
          <w14:ligatures w14:val="none"/>
        </w:rPr>
        <w:t xml:space="preserve"> </w:t>
      </w:r>
      <w:r w:rsidRPr="00FD2FA7">
        <w:rPr>
          <w:rFonts w:ascii="Times New Roman" w:eastAsia="Times New Roman" w:hAnsi="Times New Roman" w:cs="Times New Roman"/>
          <w:kern w:val="0"/>
          <w:sz w:val="24"/>
          <w:szCs w:val="24"/>
          <w:lang w:eastAsia="en-GB"/>
          <w14:ligatures w14:val="none"/>
        </w:rPr>
        <w:t>aligns with Denscombe’s (2010) reflections on research roles in professional settings. This dynamic enriched the depth of the data while maintaining professional objectivity and academic detachment.</w:t>
      </w:r>
    </w:p>
    <w:p w14:paraId="1D202D99" w14:textId="72278112" w:rsidR="004D7238" w:rsidRPr="00FD2FA7" w:rsidRDefault="004D7238" w:rsidP="006E421E">
      <w:pPr>
        <w:spacing w:after="0" w:line="276" w:lineRule="auto"/>
        <w:jc w:val="both"/>
        <w:rPr>
          <w:rFonts w:ascii="Times New Roman" w:eastAsia="Times New Roman" w:hAnsi="Times New Roman" w:cs="Times New Roman"/>
          <w:kern w:val="0"/>
          <w:sz w:val="24"/>
          <w:szCs w:val="24"/>
          <w:lang w:eastAsia="en-GB"/>
          <w14:ligatures w14:val="none"/>
        </w:rPr>
      </w:pPr>
    </w:p>
    <w:p w14:paraId="7681FE2D" w14:textId="77777777" w:rsidR="004D7238" w:rsidRPr="00E125E2" w:rsidRDefault="004D7238" w:rsidP="006E421E">
      <w:pPr>
        <w:pStyle w:val="Heading2"/>
        <w:jc w:val="both"/>
        <w:rPr>
          <w:rFonts w:eastAsia="Times New Roman"/>
          <w:lang w:eastAsia="en-GB"/>
        </w:rPr>
      </w:pPr>
      <w:bookmarkStart w:id="20" w:name="_Toc200637204"/>
      <w:r w:rsidRPr="00E125E2">
        <w:rPr>
          <w:rFonts w:eastAsia="Times New Roman"/>
          <w:lang w:eastAsia="en-GB"/>
        </w:rPr>
        <w:t>3.4 Ethical Considerations</w:t>
      </w:r>
      <w:bookmarkEnd w:id="20"/>
    </w:p>
    <w:p w14:paraId="7400FC01" w14:textId="77777777" w:rsidR="004D7238" w:rsidRPr="00FD2FA7" w:rsidRDefault="004D7238"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 xml:space="preserve">Ethical rigour was central to this study’s design. The research followed the </w:t>
      </w:r>
      <w:r w:rsidRPr="00FD2FA7">
        <w:rPr>
          <w:rFonts w:ascii="Times New Roman" w:eastAsia="Times New Roman" w:hAnsi="Times New Roman" w:cs="Times New Roman"/>
          <w:i/>
          <w:iCs/>
          <w:kern w:val="0"/>
          <w:sz w:val="24"/>
          <w:szCs w:val="24"/>
          <w:lang w:eastAsia="en-GB"/>
          <w14:ligatures w14:val="none"/>
        </w:rPr>
        <w:t>British Educational Research Association (BERA, 2018)</w:t>
      </w:r>
      <w:r w:rsidRPr="00FD2FA7">
        <w:rPr>
          <w:rFonts w:ascii="Times New Roman" w:eastAsia="Times New Roman" w:hAnsi="Times New Roman" w:cs="Times New Roman"/>
          <w:kern w:val="0"/>
          <w:sz w:val="24"/>
          <w:szCs w:val="24"/>
          <w:lang w:eastAsia="en-GB"/>
          <w14:ligatures w14:val="none"/>
        </w:rPr>
        <w:t xml:space="preserve"> ethical guidelines, particularly those relevant to observational data, data consent, and confidentiality. Placement-based data was gathered with institutional approval, ensuring that no personal or private staff information was disclosed.</w:t>
      </w:r>
    </w:p>
    <w:p w14:paraId="64D0B5B6" w14:textId="77777777" w:rsidR="004D7238" w:rsidRPr="00FD2FA7" w:rsidRDefault="004D7238"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FD2FA7">
        <w:rPr>
          <w:rFonts w:ascii="Times New Roman" w:eastAsia="Times New Roman" w:hAnsi="Times New Roman" w:cs="Times New Roman"/>
          <w:kern w:val="0"/>
          <w:sz w:val="24"/>
          <w:szCs w:val="24"/>
          <w:lang w:eastAsia="en-GB"/>
          <w14:ligatures w14:val="none"/>
        </w:rPr>
        <w:t>All netnographic data was derived from publicly available online platforms, with usernames anonymised and no contact made with contributors. The research conformed to the standards of insider research described by McGiven (2006), ensuring ethical mindfulness in professional environments. The dual roles of researcher and participant were carefully managed to minimise bias and preserve integrity (Silverman, 2011; Denscombe, 2010).</w:t>
      </w:r>
    </w:p>
    <w:p w14:paraId="047885E8" w14:textId="77777777" w:rsidR="0008271E" w:rsidRPr="00FD2FA7" w:rsidRDefault="0008271E" w:rsidP="006E421E">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p>
    <w:p w14:paraId="64C9882B" w14:textId="77777777" w:rsidR="00F72196" w:rsidRDefault="00F72196" w:rsidP="006E421E">
      <w:pPr>
        <w:spacing w:line="276" w:lineRule="auto"/>
        <w:jc w:val="both"/>
        <w:rPr>
          <w:rFonts w:ascii="Times New Roman" w:hAnsi="Times New Roman" w:cs="Times New Roman"/>
          <w:b/>
          <w:bCs/>
          <w:sz w:val="24"/>
          <w:szCs w:val="24"/>
        </w:rPr>
      </w:pPr>
    </w:p>
    <w:p w14:paraId="2005AE3D" w14:textId="77777777" w:rsidR="00ED6D95" w:rsidRDefault="00ED6D95" w:rsidP="006E421E">
      <w:pPr>
        <w:spacing w:line="276" w:lineRule="auto"/>
        <w:jc w:val="both"/>
        <w:rPr>
          <w:rFonts w:ascii="Times New Roman" w:hAnsi="Times New Roman" w:cs="Times New Roman"/>
          <w:b/>
          <w:bCs/>
          <w:sz w:val="24"/>
          <w:szCs w:val="24"/>
        </w:rPr>
      </w:pPr>
    </w:p>
    <w:p w14:paraId="5B736F26" w14:textId="77777777" w:rsidR="00ED6D95" w:rsidRDefault="00ED6D95" w:rsidP="006E421E">
      <w:pPr>
        <w:spacing w:line="276" w:lineRule="auto"/>
        <w:jc w:val="both"/>
        <w:rPr>
          <w:rFonts w:ascii="Times New Roman" w:hAnsi="Times New Roman" w:cs="Times New Roman"/>
          <w:b/>
          <w:bCs/>
          <w:sz w:val="24"/>
          <w:szCs w:val="24"/>
        </w:rPr>
      </w:pPr>
    </w:p>
    <w:p w14:paraId="09F687A9" w14:textId="77777777" w:rsidR="00ED6D95" w:rsidRDefault="00ED6D95" w:rsidP="006E421E">
      <w:pPr>
        <w:spacing w:line="276" w:lineRule="auto"/>
        <w:jc w:val="both"/>
        <w:rPr>
          <w:rFonts w:ascii="Times New Roman" w:hAnsi="Times New Roman" w:cs="Times New Roman"/>
          <w:b/>
          <w:bCs/>
          <w:sz w:val="24"/>
          <w:szCs w:val="24"/>
        </w:rPr>
      </w:pPr>
    </w:p>
    <w:p w14:paraId="287F7C4F" w14:textId="77777777" w:rsidR="00ED6D95" w:rsidRDefault="00ED6D95" w:rsidP="006E421E">
      <w:pPr>
        <w:spacing w:line="276" w:lineRule="auto"/>
        <w:jc w:val="both"/>
        <w:rPr>
          <w:rFonts w:ascii="Times New Roman" w:hAnsi="Times New Roman" w:cs="Times New Roman"/>
          <w:b/>
          <w:bCs/>
          <w:sz w:val="24"/>
          <w:szCs w:val="24"/>
        </w:rPr>
      </w:pPr>
    </w:p>
    <w:p w14:paraId="08BEAFC3" w14:textId="77777777" w:rsidR="00ED6D95" w:rsidRDefault="00ED6D95" w:rsidP="006E421E">
      <w:pPr>
        <w:spacing w:line="276" w:lineRule="auto"/>
        <w:jc w:val="both"/>
        <w:rPr>
          <w:rFonts w:ascii="Times New Roman" w:hAnsi="Times New Roman" w:cs="Times New Roman"/>
          <w:b/>
          <w:bCs/>
          <w:sz w:val="24"/>
          <w:szCs w:val="24"/>
        </w:rPr>
      </w:pPr>
    </w:p>
    <w:p w14:paraId="676BA1ED" w14:textId="77777777" w:rsidR="00ED6D95" w:rsidRDefault="00ED6D95" w:rsidP="006E421E">
      <w:pPr>
        <w:spacing w:line="276" w:lineRule="auto"/>
        <w:jc w:val="both"/>
        <w:rPr>
          <w:rFonts w:ascii="Times New Roman" w:hAnsi="Times New Roman" w:cs="Times New Roman"/>
          <w:b/>
          <w:bCs/>
          <w:sz w:val="24"/>
          <w:szCs w:val="24"/>
        </w:rPr>
      </w:pPr>
    </w:p>
    <w:p w14:paraId="72CF30C5" w14:textId="77777777" w:rsidR="00ED6D95" w:rsidRDefault="00ED6D95" w:rsidP="006E421E">
      <w:pPr>
        <w:spacing w:line="276" w:lineRule="auto"/>
        <w:jc w:val="both"/>
        <w:rPr>
          <w:rFonts w:ascii="Times New Roman" w:hAnsi="Times New Roman" w:cs="Times New Roman"/>
          <w:b/>
          <w:bCs/>
          <w:sz w:val="24"/>
          <w:szCs w:val="24"/>
        </w:rPr>
      </w:pPr>
    </w:p>
    <w:p w14:paraId="3238722E" w14:textId="77777777" w:rsidR="00ED6D95" w:rsidRDefault="00ED6D95" w:rsidP="006E421E">
      <w:pPr>
        <w:spacing w:line="276" w:lineRule="auto"/>
        <w:jc w:val="both"/>
        <w:rPr>
          <w:rFonts w:ascii="Times New Roman" w:hAnsi="Times New Roman" w:cs="Times New Roman"/>
          <w:b/>
          <w:bCs/>
          <w:sz w:val="24"/>
          <w:szCs w:val="24"/>
        </w:rPr>
      </w:pPr>
    </w:p>
    <w:p w14:paraId="0600B1CA" w14:textId="77777777" w:rsidR="00ED6D95" w:rsidRDefault="00ED6D95" w:rsidP="006E421E">
      <w:pPr>
        <w:spacing w:line="276" w:lineRule="auto"/>
        <w:jc w:val="both"/>
        <w:rPr>
          <w:rFonts w:ascii="Times New Roman" w:hAnsi="Times New Roman" w:cs="Times New Roman"/>
          <w:b/>
          <w:bCs/>
          <w:sz w:val="24"/>
          <w:szCs w:val="24"/>
        </w:rPr>
      </w:pPr>
    </w:p>
    <w:p w14:paraId="22D4BA77" w14:textId="77777777" w:rsidR="00ED6D95" w:rsidRDefault="00ED6D95" w:rsidP="006E421E">
      <w:pPr>
        <w:spacing w:line="276" w:lineRule="auto"/>
        <w:jc w:val="both"/>
        <w:rPr>
          <w:rFonts w:ascii="Times New Roman" w:hAnsi="Times New Roman" w:cs="Times New Roman"/>
          <w:b/>
          <w:bCs/>
          <w:sz w:val="24"/>
          <w:szCs w:val="24"/>
        </w:rPr>
      </w:pPr>
    </w:p>
    <w:p w14:paraId="2ED7C91A" w14:textId="77777777" w:rsidR="00ED6D95" w:rsidRDefault="00ED6D95" w:rsidP="006E421E">
      <w:pPr>
        <w:spacing w:line="276" w:lineRule="auto"/>
        <w:jc w:val="both"/>
        <w:rPr>
          <w:rFonts w:ascii="Times New Roman" w:hAnsi="Times New Roman" w:cs="Times New Roman"/>
          <w:b/>
          <w:bCs/>
          <w:sz w:val="24"/>
          <w:szCs w:val="24"/>
        </w:rPr>
      </w:pPr>
    </w:p>
    <w:p w14:paraId="77B57494" w14:textId="77777777" w:rsidR="00ED6D95" w:rsidRDefault="00ED6D95" w:rsidP="006E421E">
      <w:pPr>
        <w:spacing w:line="276" w:lineRule="auto"/>
        <w:jc w:val="both"/>
        <w:rPr>
          <w:rFonts w:ascii="Times New Roman" w:hAnsi="Times New Roman" w:cs="Times New Roman"/>
          <w:b/>
          <w:bCs/>
          <w:sz w:val="24"/>
          <w:szCs w:val="24"/>
        </w:rPr>
      </w:pPr>
    </w:p>
    <w:p w14:paraId="7F04B15A" w14:textId="77777777" w:rsidR="00ED6D95" w:rsidRDefault="00ED6D95" w:rsidP="006E421E">
      <w:pPr>
        <w:spacing w:line="276" w:lineRule="auto"/>
        <w:jc w:val="both"/>
        <w:rPr>
          <w:rFonts w:ascii="Times New Roman" w:hAnsi="Times New Roman" w:cs="Times New Roman"/>
          <w:b/>
          <w:bCs/>
          <w:sz w:val="24"/>
          <w:szCs w:val="24"/>
        </w:rPr>
      </w:pPr>
    </w:p>
    <w:p w14:paraId="6BE8B6CF" w14:textId="77777777" w:rsidR="00773C6E" w:rsidRPr="00725FDC" w:rsidRDefault="00773C6E" w:rsidP="006E421E">
      <w:pPr>
        <w:pStyle w:val="Heading1"/>
        <w:jc w:val="both"/>
        <w:rPr>
          <w:b/>
          <w:bCs/>
        </w:rPr>
      </w:pPr>
      <w:bookmarkStart w:id="21" w:name="_Toc200637205"/>
      <w:r w:rsidRPr="00725FDC">
        <w:rPr>
          <w:b/>
          <w:bCs/>
        </w:rPr>
        <w:lastRenderedPageBreak/>
        <w:t>Chapter 4: Findings</w:t>
      </w:r>
      <w:bookmarkEnd w:id="21"/>
    </w:p>
    <w:p w14:paraId="636264A4" w14:textId="77777777" w:rsidR="00A76114" w:rsidRPr="00FD28C6" w:rsidRDefault="00773C6E" w:rsidP="006E421E">
      <w:pPr>
        <w:pStyle w:val="Heading2"/>
        <w:jc w:val="both"/>
      </w:pPr>
      <w:bookmarkStart w:id="22" w:name="_Toc200637206"/>
      <w:r w:rsidRPr="00FD28C6">
        <w:t>4.1 Findings</w:t>
      </w:r>
      <w:bookmarkEnd w:id="22"/>
      <w:r w:rsidRPr="00FD28C6">
        <w:t xml:space="preserve"> </w:t>
      </w:r>
    </w:p>
    <w:p w14:paraId="512CE35C" w14:textId="626A1D36" w:rsidR="00773C6E" w:rsidRPr="00FD2FA7" w:rsidRDefault="00773C6E"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This section presents the objective findings of the research based on data collected during</w:t>
      </w:r>
      <w:r w:rsidR="00B530D7" w:rsidRPr="00FD2FA7">
        <w:rPr>
          <w:rFonts w:ascii="Times New Roman" w:hAnsi="Times New Roman" w:cs="Times New Roman"/>
          <w:sz w:val="24"/>
          <w:szCs w:val="24"/>
        </w:rPr>
        <w:t xml:space="preserve"> </w:t>
      </w:r>
      <w:r w:rsidR="00725EE4" w:rsidRPr="00FD2FA7">
        <w:rPr>
          <w:rFonts w:ascii="Times New Roman" w:hAnsi="Times New Roman" w:cs="Times New Roman"/>
          <w:sz w:val="24"/>
          <w:szCs w:val="24"/>
        </w:rPr>
        <w:t xml:space="preserve">the </w:t>
      </w:r>
      <w:r w:rsidRPr="00FD2FA7">
        <w:rPr>
          <w:rFonts w:ascii="Times New Roman" w:hAnsi="Times New Roman" w:cs="Times New Roman"/>
          <w:sz w:val="24"/>
          <w:szCs w:val="24"/>
        </w:rPr>
        <w:t>two 10-week placements at the Delta Hotels by Marriott Bristol City Centre (April–July 2023 and January–March 2025), supplemented by a netnographic analysis of online employee reviews (Indeed, 2024). The findings are structured around six core themes aligned with the study’s research objectives, tracing the transition from Marriott to Delta by Marriott.</w:t>
      </w:r>
    </w:p>
    <w:p w14:paraId="721EE270" w14:textId="77777777" w:rsidR="00386257" w:rsidRPr="00FD2FA7" w:rsidRDefault="00386257" w:rsidP="006E421E">
      <w:pPr>
        <w:spacing w:line="276" w:lineRule="auto"/>
        <w:jc w:val="both"/>
        <w:rPr>
          <w:rFonts w:ascii="Times New Roman" w:hAnsi="Times New Roman" w:cs="Times New Roman"/>
          <w:b/>
          <w:bCs/>
          <w:sz w:val="24"/>
          <w:szCs w:val="24"/>
        </w:rPr>
      </w:pPr>
    </w:p>
    <w:p w14:paraId="78CB83A1" w14:textId="7CF13A2C" w:rsidR="00C42DB0" w:rsidRPr="00725FDC" w:rsidRDefault="00773C6E" w:rsidP="006E421E">
      <w:pPr>
        <w:pStyle w:val="Heading3"/>
        <w:jc w:val="both"/>
      </w:pPr>
      <w:bookmarkStart w:id="23" w:name="_Toc200637207"/>
      <w:r w:rsidRPr="00725FDC">
        <w:t>Theme 1: Renovation and Operational Modernisation</w:t>
      </w:r>
      <w:bookmarkEnd w:id="23"/>
    </w:p>
    <w:p w14:paraId="456314CC" w14:textId="77777777" w:rsidR="00652575" w:rsidRPr="00FD2FA7" w:rsidRDefault="00652575"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During the 2023 placement, the most visible effects of the rebranding were predominantly physical. Renovations focused on guest room balconies and the installation of modern air conditioning systems, with particular attention given to the top-floor suites. These premium rooms, offering expansive views of Bristol city centre, were repositioned to reflect a more contemporary, upscale identity. Such improvements demonstrated Delta’s strategic aim to realign itself as a brand offering both operational efficiency and refined guest comfort.</w:t>
      </w:r>
    </w:p>
    <w:p w14:paraId="0521B951" w14:textId="77777777" w:rsidR="00652575" w:rsidRPr="00FD2FA7" w:rsidRDefault="00652575" w:rsidP="006E421E">
      <w:pPr>
        <w:spacing w:line="276" w:lineRule="auto"/>
        <w:jc w:val="both"/>
        <w:rPr>
          <w:rFonts w:ascii="Times New Roman" w:hAnsi="Times New Roman" w:cs="Times New Roman"/>
          <w:sz w:val="24"/>
          <w:szCs w:val="24"/>
        </w:rPr>
      </w:pPr>
    </w:p>
    <w:p w14:paraId="79CF1EC8" w14:textId="0E119AC6" w:rsidR="00652575" w:rsidRPr="00FD2FA7" w:rsidRDefault="00652575"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By 2025, the hotel had undergone a full interior transformation. Guest rooms featured minimalist décor with neutral colour schemes, ergonomic furnishings, and integrated smart technologies such as voice-activated lighting and interactive media systems. Public areas</w:t>
      </w:r>
      <w:r w:rsidR="009502D0">
        <w:rPr>
          <w:rFonts w:ascii="Times New Roman" w:hAnsi="Times New Roman" w:cs="Times New Roman"/>
          <w:sz w:val="24"/>
          <w:szCs w:val="24"/>
        </w:rPr>
        <w:t xml:space="preserve">, </w:t>
      </w:r>
      <w:r w:rsidRPr="00FD2FA7">
        <w:rPr>
          <w:rFonts w:ascii="Times New Roman" w:hAnsi="Times New Roman" w:cs="Times New Roman"/>
          <w:sz w:val="24"/>
          <w:szCs w:val="24"/>
        </w:rPr>
        <w:t>including the reception and lounge</w:t>
      </w:r>
      <w:r w:rsidR="009502D0">
        <w:rPr>
          <w:rFonts w:ascii="Times New Roman" w:hAnsi="Times New Roman" w:cs="Times New Roman"/>
          <w:sz w:val="24"/>
          <w:szCs w:val="24"/>
        </w:rPr>
        <w:t xml:space="preserve">, </w:t>
      </w:r>
      <w:r w:rsidRPr="00FD2FA7">
        <w:rPr>
          <w:rFonts w:ascii="Times New Roman" w:hAnsi="Times New Roman" w:cs="Times New Roman"/>
          <w:sz w:val="24"/>
          <w:szCs w:val="24"/>
        </w:rPr>
        <w:t>were reconfigured with modular seating, energy-efficient lighting, and digital QR-code directories. One symbolic yet functional change was the replacement of staff-served water jars with a sleek dual-temperature water fountain, representing a broader shift toward self-service and guest autonomy. This aligns with the concept of guest empowerment through smart design, as discussed by Wirtz, Zeithaml and Gistri (2020).</w:t>
      </w:r>
    </w:p>
    <w:p w14:paraId="19DCCE01" w14:textId="77777777" w:rsidR="00652575" w:rsidRPr="00FD2FA7" w:rsidRDefault="00652575" w:rsidP="006E421E">
      <w:pPr>
        <w:spacing w:line="276" w:lineRule="auto"/>
        <w:jc w:val="both"/>
        <w:rPr>
          <w:rFonts w:ascii="Times New Roman" w:hAnsi="Times New Roman" w:cs="Times New Roman"/>
          <w:sz w:val="24"/>
          <w:szCs w:val="24"/>
        </w:rPr>
      </w:pPr>
    </w:p>
    <w:p w14:paraId="3082A8F5" w14:textId="1EA39B84" w:rsidR="00F5236B" w:rsidRPr="00FD2FA7" w:rsidRDefault="00652575"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Further changes occurred within the F&amp;B department. The introduction of advanced self-service coffee and beverage stations reduced the need for traditional server roles, allowing a leaner staffing model. A restaurant supervisor explained, “We used to assign two people just for tea and coffee during breakfast. Now, guests help themselves, and our role is more about ambience and availability.”</w:t>
      </w:r>
    </w:p>
    <w:p w14:paraId="21EB368B" w14:textId="7DA776E3" w:rsidR="00773C6E" w:rsidRPr="00C42DB0" w:rsidRDefault="00652575"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From an operational performance perspective, these changes enhanced efficiency and freed staff to focus on back-of-house duties and guest experience management. The improvements closely reflect Dube and Renaghan’s (2000) framework of visible customer value, reinforcing Delta’s brand proposition of accessible luxury paired with functional innovation.</w:t>
      </w:r>
    </w:p>
    <w:p w14:paraId="61EEA114" w14:textId="77777777" w:rsidR="00C42DB0" w:rsidRDefault="00C42DB0" w:rsidP="006E421E">
      <w:pPr>
        <w:spacing w:line="276" w:lineRule="auto"/>
        <w:jc w:val="both"/>
        <w:rPr>
          <w:rFonts w:ascii="Times New Roman" w:hAnsi="Times New Roman" w:cs="Times New Roman"/>
          <w:b/>
          <w:bCs/>
          <w:sz w:val="24"/>
          <w:szCs w:val="24"/>
        </w:rPr>
      </w:pPr>
    </w:p>
    <w:p w14:paraId="5798352E" w14:textId="6B5CCB42" w:rsidR="00773C6E" w:rsidRPr="00725FDC" w:rsidRDefault="00773C6E" w:rsidP="006E421E">
      <w:pPr>
        <w:pStyle w:val="Heading3"/>
        <w:jc w:val="both"/>
      </w:pPr>
      <w:bookmarkStart w:id="24" w:name="_Toc200637208"/>
      <w:r w:rsidRPr="00725FDC">
        <w:lastRenderedPageBreak/>
        <w:t>Theme 2: Redefinition of Staff Roles and Service Culture</w:t>
      </w:r>
      <w:bookmarkEnd w:id="24"/>
    </w:p>
    <w:p w14:paraId="2EB6F451" w14:textId="5DBE02B3" w:rsidR="00AA7C97" w:rsidRPr="00010EE7" w:rsidRDefault="00AA7C97"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 xml:space="preserve">The role of employees evolved notably during the rebranding of Delta Hotels by Marriott. In 2023, job functions remained traditional and task-specific, with staff assigned to well-defined roles such as beverage service, front desk operations, and luggage assistance. These roles were inherently </w:t>
      </w:r>
      <w:r w:rsidRPr="00010EE7">
        <w:rPr>
          <w:rFonts w:ascii="Times New Roman" w:hAnsi="Times New Roman" w:cs="Times New Roman"/>
          <w:sz w:val="24"/>
          <w:szCs w:val="24"/>
        </w:rPr>
        <w:t xml:space="preserve">personal, aligning with the legacy Marriott ethos of </w:t>
      </w:r>
      <w:r w:rsidR="001D7BB9" w:rsidRPr="00010EE7">
        <w:rPr>
          <w:rFonts w:ascii="Times New Roman" w:hAnsi="Times New Roman" w:cs="Times New Roman"/>
          <w:sz w:val="24"/>
          <w:szCs w:val="24"/>
        </w:rPr>
        <w:t>high touch</w:t>
      </w:r>
      <w:r w:rsidRPr="00010EE7">
        <w:rPr>
          <w:rFonts w:ascii="Times New Roman" w:hAnsi="Times New Roman" w:cs="Times New Roman"/>
          <w:sz w:val="24"/>
          <w:szCs w:val="24"/>
        </w:rPr>
        <w:t>, emotionally connected service delivery.</w:t>
      </w:r>
    </w:p>
    <w:p w14:paraId="3BC79C2C" w14:textId="4E29E5BB" w:rsidR="00AA7C97" w:rsidRPr="00FD2FA7" w:rsidRDefault="00AA7C97"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 xml:space="preserve">By 2025, roles had become more flexible and </w:t>
      </w:r>
      <w:r w:rsidR="001D7BB9" w:rsidRPr="00FD2FA7">
        <w:rPr>
          <w:rFonts w:ascii="Times New Roman" w:hAnsi="Times New Roman" w:cs="Times New Roman"/>
          <w:sz w:val="24"/>
          <w:szCs w:val="24"/>
        </w:rPr>
        <w:t>technology oriented</w:t>
      </w:r>
      <w:r w:rsidRPr="00FD2FA7">
        <w:rPr>
          <w:rFonts w:ascii="Times New Roman" w:hAnsi="Times New Roman" w:cs="Times New Roman"/>
          <w:sz w:val="24"/>
          <w:szCs w:val="24"/>
        </w:rPr>
        <w:t>. For example, bar staff were tasked with maintaining self-service beverage stations, while receptionists guided guests through automated check-in kiosks and digital feedback systems. A front office associate remarked, “We’ve gone from being the face of the hotel to guides for machines. Sometimes that’s less fun, but we get fewer complaints and things move faster.”</w:t>
      </w:r>
    </w:p>
    <w:p w14:paraId="75DFED46" w14:textId="492EABAA" w:rsidR="00162348" w:rsidRPr="00C42DB0" w:rsidRDefault="00AA7C97"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 xml:space="preserve">This evolution in role scope yielded mixed responses. New employees appeared to adapt well, often describing the new structure as “refreshing” and “easier to manage.” In contrast, long-tenured staff expressed a sense of </w:t>
      </w:r>
      <w:r w:rsidRPr="00C42DB0">
        <w:rPr>
          <w:rFonts w:ascii="Times New Roman" w:hAnsi="Times New Roman" w:cs="Times New Roman"/>
          <w:sz w:val="24"/>
          <w:szCs w:val="24"/>
        </w:rPr>
        <w:t>disconnection from guests</w:t>
      </w:r>
      <w:r w:rsidRPr="00FD2FA7">
        <w:rPr>
          <w:rFonts w:ascii="Times New Roman" w:hAnsi="Times New Roman" w:cs="Times New Roman"/>
          <w:sz w:val="24"/>
          <w:szCs w:val="24"/>
        </w:rPr>
        <w:t xml:space="preserve">, citing fewer opportunities to build rapport. </w:t>
      </w:r>
      <w:r w:rsidR="00426B4E" w:rsidRPr="00FD2FA7">
        <w:rPr>
          <w:rFonts w:ascii="Times New Roman" w:hAnsi="Times New Roman" w:cs="Times New Roman"/>
          <w:sz w:val="24"/>
          <w:szCs w:val="24"/>
        </w:rPr>
        <w:t>These experiences echo Lashley’s (20</w:t>
      </w:r>
      <w:r w:rsidR="009C5894">
        <w:rPr>
          <w:rFonts w:ascii="Times New Roman" w:hAnsi="Times New Roman" w:cs="Times New Roman"/>
          <w:sz w:val="24"/>
          <w:szCs w:val="24"/>
        </w:rPr>
        <w:t>09</w:t>
      </w:r>
      <w:r w:rsidR="00426B4E" w:rsidRPr="00FD2FA7">
        <w:rPr>
          <w:rFonts w:ascii="Times New Roman" w:hAnsi="Times New Roman" w:cs="Times New Roman"/>
          <w:sz w:val="24"/>
          <w:szCs w:val="24"/>
        </w:rPr>
        <w:t>) argument that emotional labour is a defining component of hospitality work, and its reduction can lead to diminished staff engagement and identity strain.</w:t>
      </w:r>
      <w:r w:rsidR="00426B4E" w:rsidRPr="00FD2FA7">
        <w:rPr>
          <w:rFonts w:ascii="Times New Roman" w:hAnsi="Times New Roman" w:cs="Times New Roman"/>
          <w:sz w:val="24"/>
          <w:szCs w:val="24"/>
        </w:rPr>
        <w:br/>
      </w:r>
      <w:r w:rsidR="00426B4E" w:rsidRPr="00C42DB0">
        <w:rPr>
          <w:rFonts w:ascii="Times New Roman" w:hAnsi="Times New Roman" w:cs="Times New Roman"/>
          <w:sz w:val="24"/>
          <w:szCs w:val="24"/>
        </w:rPr>
        <w:t>Robbins and Judge (2019) further assert that behavioural resistance during organisational change is often rooted in role ambiguity and insecurity, particularly when job expectations shift faster than support systems or identity frameworks.</w:t>
      </w:r>
    </w:p>
    <w:p w14:paraId="70A44F06" w14:textId="036FDF8E" w:rsidR="007221F7" w:rsidRPr="00C42DB0" w:rsidRDefault="00A850F2" w:rsidP="006E421E">
      <w:pPr>
        <w:spacing w:line="276" w:lineRule="auto"/>
        <w:jc w:val="both"/>
        <w:rPr>
          <w:rFonts w:ascii="Times New Roman" w:hAnsi="Times New Roman" w:cs="Times New Roman"/>
          <w:sz w:val="24"/>
          <w:szCs w:val="24"/>
        </w:rPr>
      </w:pPr>
      <w:r w:rsidRPr="00C42DB0">
        <w:rPr>
          <w:rFonts w:ascii="Times New Roman" w:hAnsi="Times New Roman" w:cs="Times New Roman"/>
          <w:sz w:val="24"/>
          <w:szCs w:val="24"/>
        </w:rPr>
        <w:t>Robbins and Judge (2019) assert that behavioural resistance during organisational change is frequently linked to perceived role uncertainty. This was evident among Delta’s legacy staff, many of whom were required to embrace new technologies and responsibilities without sufficient time to adapt. As job functions blurred and traditional guest interactions diminished, some employees reported a loss of clarity around their service purpose, contributing to stress and declining morale.</w:t>
      </w:r>
    </w:p>
    <w:p w14:paraId="02A93EB4" w14:textId="7D0722D3" w:rsidR="00AA7C97" w:rsidRPr="00C42DB0" w:rsidRDefault="00AA7C97" w:rsidP="006E421E">
      <w:pPr>
        <w:spacing w:line="276" w:lineRule="auto"/>
        <w:jc w:val="both"/>
        <w:rPr>
          <w:rFonts w:ascii="Times New Roman" w:hAnsi="Times New Roman" w:cs="Times New Roman"/>
          <w:sz w:val="24"/>
          <w:szCs w:val="24"/>
        </w:rPr>
      </w:pPr>
      <w:r w:rsidRPr="00C42DB0">
        <w:rPr>
          <w:rFonts w:ascii="Times New Roman" w:hAnsi="Times New Roman" w:cs="Times New Roman"/>
          <w:sz w:val="24"/>
          <w:szCs w:val="24"/>
        </w:rPr>
        <w:t xml:space="preserve">Additionally, the internal branding process underwent substantial redefinition. Employees were increasingly expected to </w:t>
      </w:r>
      <w:r w:rsidR="00C42DB0" w:rsidRPr="00C42DB0">
        <w:rPr>
          <w:rFonts w:ascii="Times New Roman" w:hAnsi="Times New Roman" w:cs="Times New Roman"/>
          <w:sz w:val="24"/>
          <w:szCs w:val="24"/>
        </w:rPr>
        <w:t>function as</w:t>
      </w:r>
      <w:r w:rsidRPr="00C42DB0">
        <w:rPr>
          <w:rFonts w:ascii="Times New Roman" w:hAnsi="Times New Roman" w:cs="Times New Roman"/>
          <w:sz w:val="24"/>
          <w:szCs w:val="24"/>
        </w:rPr>
        <w:t xml:space="preserve"> brand ambassadors within a tech-driven environment, a shift requiring not just behavioural change but deeper ideological alignment. According to King and Grace (2008), internal branding depends on employees not only understanding but also internalising and reflecting brand values in their service delivery. Indeed, where staff were unable to reconcile their professional identity with Delta’s modernised, less personalised service model, dissatisfaction increased</w:t>
      </w:r>
      <w:r w:rsidR="00C42DB0">
        <w:rPr>
          <w:rFonts w:ascii="Times New Roman" w:hAnsi="Times New Roman" w:cs="Times New Roman"/>
          <w:sz w:val="24"/>
          <w:szCs w:val="24"/>
        </w:rPr>
        <w:t xml:space="preserve"> </w:t>
      </w:r>
      <w:r w:rsidRPr="00C42DB0">
        <w:rPr>
          <w:rFonts w:ascii="Times New Roman" w:hAnsi="Times New Roman" w:cs="Times New Roman"/>
          <w:sz w:val="24"/>
          <w:szCs w:val="24"/>
        </w:rPr>
        <w:t>a trend also evident in employee reviews on Indeed (2024), which revealed concerns about reduced interpersonal engagement and role ambiguity.</w:t>
      </w:r>
    </w:p>
    <w:p w14:paraId="226F06AF" w14:textId="1F983F09" w:rsidR="00773C6E" w:rsidRDefault="00773C6E" w:rsidP="006E421E">
      <w:pPr>
        <w:spacing w:line="276" w:lineRule="auto"/>
        <w:jc w:val="both"/>
        <w:rPr>
          <w:rFonts w:ascii="Times New Roman" w:hAnsi="Times New Roman" w:cs="Times New Roman"/>
          <w:sz w:val="24"/>
          <w:szCs w:val="24"/>
        </w:rPr>
      </w:pPr>
    </w:p>
    <w:p w14:paraId="4BD0FBD5" w14:textId="77777777" w:rsidR="00C42DB0" w:rsidRDefault="00C42DB0" w:rsidP="006E421E">
      <w:pPr>
        <w:spacing w:line="276" w:lineRule="auto"/>
        <w:jc w:val="both"/>
        <w:rPr>
          <w:rFonts w:ascii="Times New Roman" w:hAnsi="Times New Roman" w:cs="Times New Roman"/>
          <w:sz w:val="24"/>
          <w:szCs w:val="24"/>
        </w:rPr>
      </w:pPr>
    </w:p>
    <w:p w14:paraId="26C0AFF0" w14:textId="77777777" w:rsidR="00E125E2" w:rsidRPr="00FD2FA7" w:rsidRDefault="00E125E2" w:rsidP="006E421E">
      <w:pPr>
        <w:spacing w:line="276" w:lineRule="auto"/>
        <w:jc w:val="both"/>
        <w:rPr>
          <w:rFonts w:ascii="Times New Roman" w:hAnsi="Times New Roman" w:cs="Times New Roman"/>
          <w:sz w:val="24"/>
          <w:szCs w:val="24"/>
        </w:rPr>
      </w:pPr>
    </w:p>
    <w:p w14:paraId="18602CA9" w14:textId="77777777" w:rsidR="00773C6E" w:rsidRPr="00725FDC" w:rsidRDefault="00773C6E" w:rsidP="006E421E">
      <w:pPr>
        <w:pStyle w:val="Heading2"/>
        <w:jc w:val="both"/>
        <w:rPr>
          <w:sz w:val="28"/>
          <w:szCs w:val="28"/>
        </w:rPr>
      </w:pPr>
      <w:bookmarkStart w:id="25" w:name="_Toc200637209"/>
      <w:r w:rsidRPr="00725FDC">
        <w:rPr>
          <w:sz w:val="28"/>
          <w:szCs w:val="28"/>
        </w:rPr>
        <w:lastRenderedPageBreak/>
        <w:t>Theme 3: Communication and Employee Engagement in Change</w:t>
      </w:r>
      <w:bookmarkEnd w:id="25"/>
    </w:p>
    <w:p w14:paraId="6BE5843D" w14:textId="3A9BFC9C" w:rsidR="00BF3DC4" w:rsidRPr="00FD2FA7" w:rsidRDefault="00BF3DC4"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Communication practices underwent a significant transformation between the two placement periods, reflecting the broader organisational shift in leadership and strategic alignment. In 2023, the rebranding process was characterised by a lack of structured internal communication. Although staff observed physical changes</w:t>
      </w:r>
      <w:r w:rsidR="00C42DB0">
        <w:rPr>
          <w:rFonts w:ascii="Times New Roman" w:hAnsi="Times New Roman" w:cs="Times New Roman"/>
          <w:sz w:val="24"/>
          <w:szCs w:val="24"/>
        </w:rPr>
        <w:t xml:space="preserve"> </w:t>
      </w:r>
      <w:r w:rsidRPr="00FD2FA7">
        <w:rPr>
          <w:rFonts w:ascii="Times New Roman" w:hAnsi="Times New Roman" w:cs="Times New Roman"/>
          <w:sz w:val="24"/>
          <w:szCs w:val="24"/>
        </w:rPr>
        <w:t>such as construction work, new branding elements, and signage updates</w:t>
      </w:r>
      <w:r w:rsidR="00C42DB0">
        <w:rPr>
          <w:rFonts w:ascii="Times New Roman" w:hAnsi="Times New Roman" w:cs="Times New Roman"/>
          <w:sz w:val="24"/>
          <w:szCs w:val="24"/>
        </w:rPr>
        <w:t xml:space="preserve">, </w:t>
      </w:r>
      <w:r w:rsidRPr="00FD2FA7">
        <w:rPr>
          <w:rFonts w:ascii="Times New Roman" w:hAnsi="Times New Roman" w:cs="Times New Roman"/>
          <w:sz w:val="24"/>
          <w:szCs w:val="24"/>
        </w:rPr>
        <w:t>there were few, if any, formal announcements, team briefings, or opportunities for open dialogue. This absence of clarity led to uncertainty and disengagement among employees, as several staff members reported feeling “kept in the dark” about the implications of the transition.</w:t>
      </w:r>
    </w:p>
    <w:p w14:paraId="5F0EF7C4" w14:textId="77777777" w:rsidR="00BF3DC4" w:rsidRPr="00FD2FA7" w:rsidRDefault="00BF3DC4"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By 2025, a more transparent and inclusive communication culture had been established. Management introduced routine team meetings, anonymous employee feedback surveys, and open forums where staff could raise concerns and share suggestions. One housekeeping team leader reflected, “In 2023, we were guessing. In 2025, we’re contributing.” These participatory mechanisms encouraged staff to become more actively involved in shaping the post-rebranding workplace culture, and their implementation contributed to greater organisational stability during the final stages of transformation.</w:t>
      </w:r>
    </w:p>
    <w:p w14:paraId="5C4411B6" w14:textId="18308F26" w:rsidR="00BF3DC4" w:rsidRPr="00C42DB0" w:rsidRDefault="00BF3DC4" w:rsidP="006E421E">
      <w:pPr>
        <w:spacing w:line="276" w:lineRule="auto"/>
        <w:jc w:val="both"/>
        <w:rPr>
          <w:rFonts w:ascii="Times New Roman" w:hAnsi="Times New Roman" w:cs="Times New Roman"/>
          <w:sz w:val="24"/>
          <w:szCs w:val="24"/>
        </w:rPr>
      </w:pPr>
      <w:r w:rsidRPr="00C42DB0">
        <w:rPr>
          <w:rFonts w:ascii="Times New Roman" w:hAnsi="Times New Roman" w:cs="Times New Roman"/>
          <w:sz w:val="24"/>
          <w:szCs w:val="24"/>
        </w:rPr>
        <w:t>This progression closely mirrors the model proposed by Armenakis and Harris (2009), who emphasise that successful organisational change is underpinned by persuasive communication, employee involvement, and consistent reinforcement. When communication is proactive and participatory, it enhances employee commitment and reduces resistance to change</w:t>
      </w:r>
      <w:r w:rsidR="001D7BB9" w:rsidRPr="00C42DB0">
        <w:rPr>
          <w:rFonts w:ascii="Times New Roman" w:hAnsi="Times New Roman" w:cs="Times New Roman"/>
          <w:sz w:val="24"/>
          <w:szCs w:val="24"/>
        </w:rPr>
        <w:t xml:space="preserve">, </w:t>
      </w:r>
      <w:r w:rsidRPr="00C42DB0">
        <w:rPr>
          <w:rFonts w:ascii="Times New Roman" w:hAnsi="Times New Roman" w:cs="Times New Roman"/>
          <w:sz w:val="24"/>
          <w:szCs w:val="24"/>
        </w:rPr>
        <w:t>key factors in achieving a smooth cultural transition.</w:t>
      </w:r>
    </w:p>
    <w:p w14:paraId="3A686875" w14:textId="7C478D56" w:rsidR="00BF3DC4" w:rsidRPr="00C42DB0" w:rsidRDefault="00BF3DC4" w:rsidP="006E421E">
      <w:pPr>
        <w:spacing w:line="276" w:lineRule="auto"/>
        <w:jc w:val="both"/>
        <w:rPr>
          <w:rFonts w:ascii="Times New Roman" w:hAnsi="Times New Roman" w:cs="Times New Roman"/>
          <w:sz w:val="24"/>
          <w:szCs w:val="24"/>
        </w:rPr>
      </w:pPr>
      <w:r w:rsidRPr="00C42DB0">
        <w:rPr>
          <w:rFonts w:ascii="Times New Roman" w:hAnsi="Times New Roman" w:cs="Times New Roman"/>
          <w:sz w:val="24"/>
          <w:szCs w:val="24"/>
        </w:rPr>
        <w:t>However, the improved communication was not uniformly distributed across departments. While front-of-house teams appeared well-informed, staff working in support roles such as maintenance and laundry reported that they often received important updates only after decisions had been finalised. This points to a persistent hierarchical gap in internal messaging, reinforcing Brower, Abolafia and Carr’s (2000) argument that effective communication must flow both vertically and horizontally within an organisation to ensure all employees</w:t>
      </w:r>
      <w:r w:rsidR="001D7BB9" w:rsidRPr="00C42DB0">
        <w:rPr>
          <w:rFonts w:ascii="Times New Roman" w:hAnsi="Times New Roman" w:cs="Times New Roman"/>
          <w:sz w:val="24"/>
          <w:szCs w:val="24"/>
        </w:rPr>
        <w:t xml:space="preserve">, </w:t>
      </w:r>
      <w:r w:rsidRPr="00C42DB0">
        <w:rPr>
          <w:rFonts w:ascii="Times New Roman" w:hAnsi="Times New Roman" w:cs="Times New Roman"/>
          <w:sz w:val="24"/>
          <w:szCs w:val="24"/>
        </w:rPr>
        <w:t>regardless of department</w:t>
      </w:r>
      <w:r w:rsidR="001D7BB9" w:rsidRPr="00C42DB0">
        <w:rPr>
          <w:rFonts w:ascii="Times New Roman" w:hAnsi="Times New Roman" w:cs="Times New Roman"/>
          <w:sz w:val="24"/>
          <w:szCs w:val="24"/>
        </w:rPr>
        <w:t xml:space="preserve">, </w:t>
      </w:r>
      <w:r w:rsidRPr="00C42DB0">
        <w:rPr>
          <w:rFonts w:ascii="Times New Roman" w:hAnsi="Times New Roman" w:cs="Times New Roman"/>
          <w:sz w:val="24"/>
          <w:szCs w:val="24"/>
        </w:rPr>
        <w:t>feel equally valued and included in the change process.</w:t>
      </w:r>
    </w:p>
    <w:p w14:paraId="24A5D9E3" w14:textId="77777777" w:rsidR="00F5236B" w:rsidRPr="00FD28C6" w:rsidRDefault="00F5236B" w:rsidP="006E421E">
      <w:pPr>
        <w:spacing w:line="276" w:lineRule="auto"/>
        <w:jc w:val="both"/>
        <w:rPr>
          <w:rFonts w:ascii="Times New Roman" w:hAnsi="Times New Roman" w:cs="Times New Roman"/>
          <w:sz w:val="24"/>
          <w:szCs w:val="24"/>
        </w:rPr>
      </w:pPr>
    </w:p>
    <w:p w14:paraId="08FDA0D1" w14:textId="77777777" w:rsidR="00773C6E" w:rsidRPr="00725FDC" w:rsidRDefault="00773C6E" w:rsidP="006E421E">
      <w:pPr>
        <w:pStyle w:val="Heading2"/>
        <w:jc w:val="both"/>
        <w:rPr>
          <w:sz w:val="28"/>
          <w:szCs w:val="28"/>
        </w:rPr>
      </w:pPr>
      <w:bookmarkStart w:id="26" w:name="_Toc200637210"/>
      <w:r w:rsidRPr="00725FDC">
        <w:rPr>
          <w:sz w:val="28"/>
          <w:szCs w:val="28"/>
        </w:rPr>
        <w:t>Theme 4: Organisational Culture and Emotional Adjustment</w:t>
      </w:r>
      <w:bookmarkEnd w:id="26"/>
    </w:p>
    <w:p w14:paraId="1209C770" w14:textId="77777777" w:rsidR="00153C24" w:rsidRDefault="00153C24"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Cultural realignment emerged as one of the most challenging and protracted dimensions of the rebranding process. During the 2023 placement, many staff exhibited limited understanding of the Delta brand’s ethos and how it contrasted with Marriott’s long-standing organisational culture. Informal conversations among employees often revealed a mixture of confusion, scepticism, and passive resistance. The lack of early communication and brand education contributed to uncertainty, with staff referring to the changes as “cosmetic” rather than strategic.</w:t>
      </w:r>
    </w:p>
    <w:p w14:paraId="533F47CE" w14:textId="77777777" w:rsidR="004377A8" w:rsidRPr="00FD2FA7" w:rsidRDefault="004377A8" w:rsidP="006E421E">
      <w:pPr>
        <w:spacing w:line="276" w:lineRule="auto"/>
        <w:jc w:val="both"/>
        <w:rPr>
          <w:rFonts w:ascii="Times New Roman" w:hAnsi="Times New Roman" w:cs="Times New Roman"/>
          <w:sz w:val="24"/>
          <w:szCs w:val="24"/>
        </w:rPr>
      </w:pPr>
    </w:p>
    <w:p w14:paraId="1C34DBD9" w14:textId="4A07352A" w:rsidR="00153C24" w:rsidRPr="00FD2FA7" w:rsidRDefault="00153C24"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lastRenderedPageBreak/>
        <w:t>By 2025, efforts to embed the new cultural identity had become more structured. Weekly newsletters, rebranding workshops, and revised induction programmes were introduced to convey Delta’s core values of autonomy, simplicity, and operational efficiency. These initiatives aimed to instil a shared sense of purpose and align staff behaviours with the brand’s evolving service philosophy. While some progress was evident</w:t>
      </w:r>
      <w:r w:rsidR="001D7BB9" w:rsidRPr="00FD2FA7">
        <w:rPr>
          <w:rFonts w:ascii="Times New Roman" w:hAnsi="Times New Roman" w:cs="Times New Roman"/>
          <w:sz w:val="24"/>
          <w:szCs w:val="24"/>
        </w:rPr>
        <w:t xml:space="preserve">, </w:t>
      </w:r>
      <w:r w:rsidRPr="00FD2FA7">
        <w:rPr>
          <w:rFonts w:ascii="Times New Roman" w:hAnsi="Times New Roman" w:cs="Times New Roman"/>
          <w:sz w:val="24"/>
          <w:szCs w:val="24"/>
        </w:rPr>
        <w:t>particularly among front-of-house staff who regularly interacted with guests</w:t>
      </w:r>
      <w:r w:rsidR="001D7BB9" w:rsidRPr="00FD2FA7">
        <w:rPr>
          <w:rFonts w:ascii="Times New Roman" w:hAnsi="Times New Roman" w:cs="Times New Roman"/>
          <w:sz w:val="24"/>
          <w:szCs w:val="24"/>
        </w:rPr>
        <w:t xml:space="preserve">, </w:t>
      </w:r>
      <w:r w:rsidRPr="00FD2FA7">
        <w:rPr>
          <w:rFonts w:ascii="Times New Roman" w:hAnsi="Times New Roman" w:cs="Times New Roman"/>
          <w:sz w:val="24"/>
          <w:szCs w:val="24"/>
        </w:rPr>
        <w:t>other departments, such as F&amp;B and housekeeping, displayed lingering detachment. Several long-serving employees expressed that the rebrand felt “top-down” and lacked relevance to their daily work routines.</w:t>
      </w:r>
    </w:p>
    <w:p w14:paraId="32E2C43D" w14:textId="77777777" w:rsidR="00153C24" w:rsidRPr="00345296" w:rsidRDefault="00153C24" w:rsidP="006E421E">
      <w:pPr>
        <w:spacing w:line="276" w:lineRule="auto"/>
        <w:jc w:val="both"/>
        <w:rPr>
          <w:rFonts w:ascii="Times New Roman" w:hAnsi="Times New Roman" w:cs="Times New Roman"/>
          <w:sz w:val="24"/>
          <w:szCs w:val="24"/>
        </w:rPr>
      </w:pPr>
      <w:r w:rsidRPr="00345296">
        <w:rPr>
          <w:rFonts w:ascii="Times New Roman" w:hAnsi="Times New Roman" w:cs="Times New Roman"/>
          <w:sz w:val="24"/>
          <w:szCs w:val="24"/>
        </w:rPr>
        <w:t>This uneven adaptation reflects the cultural dissonance described by Harris and Ogbonna (2002), who note that organisational change efforts can produce unintended consequences when employees' existing work identities are not fully acknowledged or integrated into the transformation process. When staff perceive that their previous roles and values are being overwritten rather than evolved, resistance and disengagement may ensue.</w:t>
      </w:r>
    </w:p>
    <w:p w14:paraId="7DC5068D" w14:textId="3594679B" w:rsidR="00CA29F2" w:rsidRPr="00345296" w:rsidRDefault="00153C24" w:rsidP="006E421E">
      <w:pPr>
        <w:spacing w:line="276" w:lineRule="auto"/>
        <w:jc w:val="both"/>
        <w:rPr>
          <w:rFonts w:ascii="Times New Roman" w:hAnsi="Times New Roman" w:cs="Times New Roman"/>
          <w:sz w:val="24"/>
          <w:szCs w:val="24"/>
        </w:rPr>
      </w:pPr>
      <w:r w:rsidRPr="00345296">
        <w:rPr>
          <w:rFonts w:ascii="Times New Roman" w:hAnsi="Times New Roman" w:cs="Times New Roman"/>
          <w:sz w:val="24"/>
          <w:szCs w:val="24"/>
        </w:rPr>
        <w:t>Moreover, the situation aligns with the framework proposed by Hatch and Schultz (2003), which emphasises that effective cultural change requires an iterative alignment between corporate identity, organisational culture, and external image. In this case, while visible brand elements and external messaging had been updated, the internal culture remained only partially aligned. The fragmented response across departments suggests that the rebranding was more successful at the level of physical transformation than cultural assimilation</w:t>
      </w:r>
      <w:r w:rsidR="00345296">
        <w:rPr>
          <w:rFonts w:ascii="Times New Roman" w:hAnsi="Times New Roman" w:cs="Times New Roman"/>
          <w:sz w:val="24"/>
          <w:szCs w:val="24"/>
        </w:rPr>
        <w:t xml:space="preserve"> </w:t>
      </w:r>
      <w:r w:rsidRPr="00345296">
        <w:rPr>
          <w:rFonts w:ascii="Times New Roman" w:hAnsi="Times New Roman" w:cs="Times New Roman"/>
          <w:sz w:val="24"/>
          <w:szCs w:val="24"/>
        </w:rPr>
        <w:t>a gap that may undermine the long-term sustainability of the change if not addressed through deeper, inclusive engagement.</w:t>
      </w:r>
    </w:p>
    <w:p w14:paraId="32F3BBDD" w14:textId="77777777" w:rsidR="00F5236B" w:rsidRPr="00FD2FA7" w:rsidRDefault="00F5236B" w:rsidP="006E421E">
      <w:pPr>
        <w:spacing w:line="276" w:lineRule="auto"/>
        <w:jc w:val="both"/>
        <w:rPr>
          <w:rFonts w:ascii="Times New Roman" w:hAnsi="Times New Roman" w:cs="Times New Roman"/>
          <w:sz w:val="24"/>
          <w:szCs w:val="24"/>
        </w:rPr>
      </w:pPr>
    </w:p>
    <w:p w14:paraId="621E48C9" w14:textId="77777777" w:rsidR="00773C6E" w:rsidRPr="00725FDC" w:rsidRDefault="00773C6E" w:rsidP="006E421E">
      <w:pPr>
        <w:pStyle w:val="Heading2"/>
        <w:jc w:val="both"/>
        <w:rPr>
          <w:sz w:val="28"/>
          <w:szCs w:val="28"/>
        </w:rPr>
      </w:pPr>
      <w:bookmarkStart w:id="27" w:name="_Toc200637211"/>
      <w:r w:rsidRPr="00725FDC">
        <w:rPr>
          <w:sz w:val="28"/>
          <w:szCs w:val="28"/>
        </w:rPr>
        <w:t>Theme 5: Guest Perception, Value, and Brand Loyalty</w:t>
      </w:r>
      <w:bookmarkEnd w:id="27"/>
    </w:p>
    <w:p w14:paraId="4C96D0AC" w14:textId="19577B1B" w:rsidR="003442A1" w:rsidRPr="00FD2FA7" w:rsidRDefault="003442A1"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 xml:space="preserve">Guest perceptions of the rebranded Delta Hotels by Marriott were generally favourable, particularly regarding the hotel’s modernised appearance and improved operational efficiency. Online and in-person feedback frequently praised the upgraded room décor, clean and bright public spaces, and seamless check-in procedures. Reviews on platforms such as Indeed (2024) highlighted satisfaction with the speed of service, digital enhancements, and overall ambience. One guest noted, “Everything looks amazing, but I kind of missed being personally welcomed,” while another commented, “It’s all touchscreen and machines </w:t>
      </w:r>
      <w:r w:rsidR="001D7BB9" w:rsidRPr="00FD2FA7">
        <w:rPr>
          <w:rFonts w:ascii="Times New Roman" w:hAnsi="Times New Roman" w:cs="Times New Roman"/>
          <w:sz w:val="24"/>
          <w:szCs w:val="24"/>
        </w:rPr>
        <w:t>now</w:t>
      </w:r>
      <w:r w:rsidR="00345296">
        <w:rPr>
          <w:rFonts w:ascii="Times New Roman" w:hAnsi="Times New Roman" w:cs="Times New Roman"/>
          <w:sz w:val="24"/>
          <w:szCs w:val="24"/>
        </w:rPr>
        <w:t>,</w:t>
      </w:r>
      <w:r w:rsidR="001D7BB9" w:rsidRPr="00FD2FA7">
        <w:rPr>
          <w:rFonts w:ascii="Times New Roman" w:hAnsi="Times New Roman" w:cs="Times New Roman"/>
          <w:sz w:val="24"/>
          <w:szCs w:val="24"/>
        </w:rPr>
        <w:t xml:space="preserve"> great</w:t>
      </w:r>
      <w:r w:rsidRPr="00FD2FA7">
        <w:rPr>
          <w:rFonts w:ascii="Times New Roman" w:hAnsi="Times New Roman" w:cs="Times New Roman"/>
          <w:sz w:val="24"/>
          <w:szCs w:val="24"/>
        </w:rPr>
        <w:t xml:space="preserve"> for business travel, but not very homely.”</w:t>
      </w:r>
    </w:p>
    <w:p w14:paraId="50D03545" w14:textId="420B6E22" w:rsidR="003442A1" w:rsidRPr="00345296" w:rsidRDefault="003442A1" w:rsidP="006E421E">
      <w:pPr>
        <w:spacing w:line="276" w:lineRule="auto"/>
        <w:jc w:val="both"/>
        <w:rPr>
          <w:rFonts w:ascii="Times New Roman" w:hAnsi="Times New Roman" w:cs="Times New Roman"/>
          <w:sz w:val="24"/>
          <w:szCs w:val="24"/>
        </w:rPr>
      </w:pPr>
      <w:r w:rsidRPr="00345296">
        <w:rPr>
          <w:rFonts w:ascii="Times New Roman" w:hAnsi="Times New Roman" w:cs="Times New Roman"/>
          <w:sz w:val="24"/>
          <w:szCs w:val="24"/>
        </w:rPr>
        <w:t>These responses underscore a critical distinction in hospitality experience: while functional satisfaction</w:t>
      </w:r>
      <w:r w:rsidR="001D7BB9" w:rsidRPr="00345296">
        <w:rPr>
          <w:rFonts w:ascii="Times New Roman" w:hAnsi="Times New Roman" w:cs="Times New Roman"/>
          <w:sz w:val="24"/>
          <w:szCs w:val="24"/>
        </w:rPr>
        <w:t xml:space="preserve">, </w:t>
      </w:r>
      <w:r w:rsidRPr="00345296">
        <w:rPr>
          <w:rFonts w:ascii="Times New Roman" w:hAnsi="Times New Roman" w:cs="Times New Roman"/>
          <w:sz w:val="24"/>
          <w:szCs w:val="24"/>
        </w:rPr>
        <w:t>based on tangible elements like cleanliness, speed, and room quality</w:t>
      </w:r>
      <w:r w:rsidR="001D7BB9" w:rsidRPr="00345296">
        <w:rPr>
          <w:rFonts w:ascii="Times New Roman" w:hAnsi="Times New Roman" w:cs="Times New Roman"/>
          <w:sz w:val="24"/>
          <w:szCs w:val="24"/>
        </w:rPr>
        <w:t xml:space="preserve">, </w:t>
      </w:r>
      <w:r w:rsidRPr="00345296">
        <w:rPr>
          <w:rFonts w:ascii="Times New Roman" w:hAnsi="Times New Roman" w:cs="Times New Roman"/>
          <w:sz w:val="24"/>
          <w:szCs w:val="24"/>
        </w:rPr>
        <w:t>was achieved, the emotional engagement aspect appeared diminished. This reflects the model proposed by Kandampully and Suhartanto (2000), who argue that guest loyalty in the hotel industry is driven not only by operational performance but also by affective connections fostered through interpersonal service.</w:t>
      </w:r>
      <w:r w:rsidR="00345296">
        <w:rPr>
          <w:rFonts w:ascii="Times New Roman" w:hAnsi="Times New Roman" w:cs="Times New Roman"/>
          <w:sz w:val="24"/>
          <w:szCs w:val="24"/>
        </w:rPr>
        <w:t xml:space="preserve"> </w:t>
      </w:r>
      <w:r w:rsidR="0084582A" w:rsidRPr="00345296">
        <w:rPr>
          <w:rFonts w:ascii="Times New Roman" w:hAnsi="Times New Roman" w:cs="Times New Roman"/>
          <w:sz w:val="24"/>
          <w:szCs w:val="24"/>
        </w:rPr>
        <w:t>More recently, Kandampully, Zhang and Bilgihan (2018) stress that modern hospitality branding must deliver consistent experiences across both emotional and functional touchpoints, requiring that technological innovations be complemented by service authenticity and warmth.</w:t>
      </w:r>
    </w:p>
    <w:p w14:paraId="5E98694A" w14:textId="77777777" w:rsidR="003442A1" w:rsidRPr="00FD2FA7" w:rsidRDefault="003442A1"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lastRenderedPageBreak/>
        <w:t>Although Delta’s rebranding successfully delivered physical transformation and technological convenience, the shift toward automation inadvertently reduced opportunities for personalised interaction. Guests accustomed to Marriott’s traditional, high-touch service style may perceive this transition as a loss of warmth and attentiveness, even if efficiency has improved.</w:t>
      </w:r>
    </w:p>
    <w:p w14:paraId="180C11D4" w14:textId="11C660FF" w:rsidR="003442A1" w:rsidRPr="00FD2FA7" w:rsidRDefault="003442A1"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 xml:space="preserve">These findings also align with the argument presented by </w:t>
      </w:r>
      <w:r w:rsidRPr="00345296">
        <w:rPr>
          <w:rFonts w:ascii="Times New Roman" w:hAnsi="Times New Roman" w:cs="Times New Roman"/>
          <w:sz w:val="24"/>
          <w:szCs w:val="24"/>
        </w:rPr>
        <w:t>Merrilees and Miller (2008),</w:t>
      </w:r>
      <w:r w:rsidRPr="00FD2FA7">
        <w:rPr>
          <w:rFonts w:ascii="Times New Roman" w:hAnsi="Times New Roman" w:cs="Times New Roman"/>
          <w:sz w:val="24"/>
          <w:szCs w:val="24"/>
        </w:rPr>
        <w:t xml:space="preserve"> who caution that corporate rebranding must transcend visual and structural changes to address emotional and experiential dimensions of the brand. For Delta to sustain guest loyalty post-rebrand, it must balance its emphasis on operational simplicity with subtle but meaningful opportunities for human interaction</w:t>
      </w:r>
      <w:r w:rsidR="001D7BB9" w:rsidRPr="00FD2FA7">
        <w:rPr>
          <w:rFonts w:ascii="Times New Roman" w:hAnsi="Times New Roman" w:cs="Times New Roman"/>
          <w:sz w:val="24"/>
          <w:szCs w:val="24"/>
        </w:rPr>
        <w:t xml:space="preserve">, </w:t>
      </w:r>
      <w:r w:rsidRPr="00FD2FA7">
        <w:rPr>
          <w:rFonts w:ascii="Times New Roman" w:hAnsi="Times New Roman" w:cs="Times New Roman"/>
          <w:sz w:val="24"/>
          <w:szCs w:val="24"/>
        </w:rPr>
        <w:t>such as proactive staff greetings or tailored guest preferences</w:t>
      </w:r>
      <w:r w:rsidR="001D7BB9" w:rsidRPr="00FD2FA7">
        <w:rPr>
          <w:rFonts w:ascii="Times New Roman" w:hAnsi="Times New Roman" w:cs="Times New Roman"/>
          <w:sz w:val="24"/>
          <w:szCs w:val="24"/>
        </w:rPr>
        <w:t xml:space="preserve">, </w:t>
      </w:r>
      <w:r w:rsidR="00345296" w:rsidRPr="00FD2FA7">
        <w:rPr>
          <w:rFonts w:ascii="Times New Roman" w:hAnsi="Times New Roman" w:cs="Times New Roman"/>
          <w:sz w:val="24"/>
          <w:szCs w:val="24"/>
        </w:rPr>
        <w:t>which</w:t>
      </w:r>
      <w:r w:rsidRPr="00FD2FA7">
        <w:rPr>
          <w:rFonts w:ascii="Times New Roman" w:hAnsi="Times New Roman" w:cs="Times New Roman"/>
          <w:sz w:val="24"/>
          <w:szCs w:val="24"/>
        </w:rPr>
        <w:t xml:space="preserve"> reinforce the emotional touchpoints valued by repeat customers.</w:t>
      </w:r>
    </w:p>
    <w:p w14:paraId="43097735" w14:textId="76F4ECFB" w:rsidR="00773C6E" w:rsidRPr="00FD2FA7" w:rsidRDefault="00773C6E" w:rsidP="006E421E">
      <w:pPr>
        <w:spacing w:line="276" w:lineRule="auto"/>
        <w:jc w:val="both"/>
        <w:rPr>
          <w:rFonts w:ascii="Times New Roman" w:hAnsi="Times New Roman" w:cs="Times New Roman"/>
          <w:sz w:val="24"/>
          <w:szCs w:val="24"/>
        </w:rPr>
      </w:pPr>
    </w:p>
    <w:p w14:paraId="5D2F13E1" w14:textId="77777777" w:rsidR="00773C6E" w:rsidRPr="00725FDC" w:rsidRDefault="00773C6E" w:rsidP="006E421E">
      <w:pPr>
        <w:pStyle w:val="Heading2"/>
        <w:jc w:val="both"/>
        <w:rPr>
          <w:sz w:val="28"/>
          <w:szCs w:val="28"/>
        </w:rPr>
      </w:pPr>
      <w:bookmarkStart w:id="28" w:name="_Toc200637212"/>
      <w:r w:rsidRPr="00725FDC">
        <w:rPr>
          <w:sz w:val="28"/>
          <w:szCs w:val="28"/>
        </w:rPr>
        <w:t>Theme 6: Sustainability and ESG Perceptions</w:t>
      </w:r>
      <w:bookmarkEnd w:id="28"/>
    </w:p>
    <w:p w14:paraId="06BF2CE3" w14:textId="77777777" w:rsidR="00574B1F" w:rsidRPr="00345296" w:rsidRDefault="00574B1F" w:rsidP="006E421E">
      <w:pPr>
        <w:spacing w:line="276" w:lineRule="auto"/>
        <w:jc w:val="both"/>
        <w:rPr>
          <w:rFonts w:ascii="Times New Roman" w:hAnsi="Times New Roman" w:cs="Times New Roman"/>
          <w:sz w:val="24"/>
          <w:szCs w:val="24"/>
        </w:rPr>
      </w:pPr>
      <w:r w:rsidRPr="00345296">
        <w:rPr>
          <w:rFonts w:ascii="Times New Roman" w:hAnsi="Times New Roman" w:cs="Times New Roman"/>
          <w:sz w:val="24"/>
          <w:szCs w:val="24"/>
        </w:rPr>
        <w:t>By 2025, a significant development in the rebranding of Delta Hotels by Marriott was the explicit integration of environmental and social responsibility measures. This strategic shift aligned with broader sustainability goals outlined in Marriott International’s Serve 360 ESG platform (2024), aiming to embed sustainable practices into everyday operations. New initiatives included the installation of colour-coded waste segregation bins on guest floors, water-saving fixtures in en-suite bathrooms, and the removal of single-use plastic amenities. Informational signage encouraged guests to reuse towels and conserve energy by switching off lights and air conditioning when not in use.</w:t>
      </w:r>
    </w:p>
    <w:p w14:paraId="6F29AC25" w14:textId="77777777" w:rsidR="00574B1F" w:rsidRPr="00345296" w:rsidRDefault="00574B1F" w:rsidP="006E421E">
      <w:pPr>
        <w:spacing w:line="276" w:lineRule="auto"/>
        <w:jc w:val="both"/>
        <w:rPr>
          <w:rFonts w:ascii="Times New Roman" w:hAnsi="Times New Roman" w:cs="Times New Roman"/>
          <w:sz w:val="24"/>
          <w:szCs w:val="24"/>
        </w:rPr>
      </w:pPr>
      <w:r w:rsidRPr="00345296">
        <w:rPr>
          <w:rFonts w:ascii="Times New Roman" w:hAnsi="Times New Roman" w:cs="Times New Roman"/>
          <w:sz w:val="24"/>
          <w:szCs w:val="24"/>
        </w:rPr>
        <w:t>These measures were complemented by internal staff training sessions, which aimed to familiarise employees with Marriott’s sustainability principles and empower them to advocate for eco-conscious behaviours among guests. Feedback from staff was largely positive. One front office team member noted, “It’s nice to feel like we’re helping the planet, not just checking people in.” This reflects a growing sense of employee purpose linked to environmental stewardship, which can enhance engagement and job satisfaction when values align with operational practice.</w:t>
      </w:r>
    </w:p>
    <w:p w14:paraId="2CBE03AD" w14:textId="77777777" w:rsidR="00574B1F" w:rsidRPr="00345296" w:rsidRDefault="00574B1F" w:rsidP="006E421E">
      <w:pPr>
        <w:spacing w:line="276" w:lineRule="auto"/>
        <w:jc w:val="both"/>
        <w:rPr>
          <w:rFonts w:ascii="Times New Roman" w:hAnsi="Times New Roman" w:cs="Times New Roman"/>
          <w:sz w:val="24"/>
          <w:szCs w:val="24"/>
        </w:rPr>
      </w:pPr>
      <w:r w:rsidRPr="00345296">
        <w:rPr>
          <w:rFonts w:ascii="Times New Roman" w:hAnsi="Times New Roman" w:cs="Times New Roman"/>
          <w:sz w:val="24"/>
          <w:szCs w:val="24"/>
        </w:rPr>
        <w:t>However, implementation challenges persisted. Several staff reported that guests often ignored sustainability prompts, particularly in relation to towel reuse and energy conservation. Technical inconsistencies, such as malfunctioning motion-sensor lighting and vague waste signage, also limited the practical impact of some initiatives.</w:t>
      </w:r>
    </w:p>
    <w:p w14:paraId="109FBD9F" w14:textId="77777777" w:rsidR="00574B1F" w:rsidRPr="00345296" w:rsidRDefault="00574B1F" w:rsidP="006E421E">
      <w:pPr>
        <w:spacing w:line="276" w:lineRule="auto"/>
        <w:jc w:val="both"/>
        <w:rPr>
          <w:rFonts w:ascii="Times New Roman" w:hAnsi="Times New Roman" w:cs="Times New Roman"/>
          <w:sz w:val="24"/>
          <w:szCs w:val="24"/>
        </w:rPr>
      </w:pPr>
      <w:r w:rsidRPr="00345296">
        <w:rPr>
          <w:rFonts w:ascii="Times New Roman" w:hAnsi="Times New Roman" w:cs="Times New Roman"/>
          <w:sz w:val="24"/>
          <w:szCs w:val="24"/>
        </w:rPr>
        <w:t>The strategic move toward sustainability aligns with the post-COVID shift in consumer expectations, wherein guests increasingly favour brands that demonstrate social and environmental responsibility (Sartori et al., 2018). Furthermore, Wirtz, Zeithaml and Gistri (2020) argue that sustainability has evolved into a critical component of brand differentiation in hospitality, influencing both corporate reputation and guest loyalty. By incorporating ESG practices into the rebranding process, Delta not only responded to market trends but also positioned itself as a future-forward brand with broader societal awareness.</w:t>
      </w:r>
    </w:p>
    <w:p w14:paraId="6E4BC14D" w14:textId="7C208187" w:rsidR="00EA3516" w:rsidRPr="00ED6D95" w:rsidRDefault="00574B1F"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 xml:space="preserve">Despite some operational limitations, these efforts mark a positive trajectory. To maximise their impact, the hotel may benefit from clearer communication of its sustainability goals to guests, </w:t>
      </w:r>
      <w:r w:rsidRPr="00FD2FA7">
        <w:rPr>
          <w:rFonts w:ascii="Times New Roman" w:hAnsi="Times New Roman" w:cs="Times New Roman"/>
          <w:sz w:val="24"/>
          <w:szCs w:val="24"/>
        </w:rPr>
        <w:lastRenderedPageBreak/>
        <w:t>alongside more robust data collection to evaluate behavioural change. The continued alignment of environmental responsibility with brand identity could enhance both organisational performance and stakeholder perception in the long term.</w:t>
      </w:r>
    </w:p>
    <w:p w14:paraId="196389DC" w14:textId="77777777" w:rsidR="00EA3516" w:rsidRDefault="00EA3516" w:rsidP="006E421E">
      <w:pPr>
        <w:spacing w:line="276" w:lineRule="auto"/>
        <w:jc w:val="both"/>
        <w:rPr>
          <w:rFonts w:ascii="Times New Roman" w:hAnsi="Times New Roman" w:cs="Times New Roman"/>
          <w:b/>
          <w:bCs/>
          <w:sz w:val="24"/>
          <w:szCs w:val="24"/>
        </w:rPr>
      </w:pPr>
    </w:p>
    <w:p w14:paraId="06305396" w14:textId="77777777" w:rsidR="004967EC" w:rsidRDefault="004967EC" w:rsidP="006E421E">
      <w:pPr>
        <w:spacing w:line="276" w:lineRule="auto"/>
        <w:jc w:val="both"/>
        <w:rPr>
          <w:rFonts w:ascii="Times New Roman" w:hAnsi="Times New Roman" w:cs="Times New Roman"/>
          <w:b/>
          <w:bCs/>
          <w:sz w:val="24"/>
          <w:szCs w:val="24"/>
        </w:rPr>
      </w:pPr>
    </w:p>
    <w:p w14:paraId="247B0FCE" w14:textId="77777777" w:rsidR="004967EC" w:rsidRDefault="004967EC" w:rsidP="006E421E">
      <w:pPr>
        <w:spacing w:line="276" w:lineRule="auto"/>
        <w:jc w:val="both"/>
        <w:rPr>
          <w:rFonts w:ascii="Times New Roman" w:hAnsi="Times New Roman" w:cs="Times New Roman"/>
          <w:b/>
          <w:bCs/>
          <w:sz w:val="24"/>
          <w:szCs w:val="24"/>
        </w:rPr>
      </w:pPr>
    </w:p>
    <w:p w14:paraId="2310CB4E" w14:textId="77777777" w:rsidR="004967EC" w:rsidRDefault="004967EC" w:rsidP="006E421E">
      <w:pPr>
        <w:spacing w:line="276" w:lineRule="auto"/>
        <w:jc w:val="both"/>
        <w:rPr>
          <w:rFonts w:ascii="Times New Roman" w:hAnsi="Times New Roman" w:cs="Times New Roman"/>
          <w:b/>
          <w:bCs/>
          <w:sz w:val="24"/>
          <w:szCs w:val="24"/>
        </w:rPr>
      </w:pPr>
    </w:p>
    <w:p w14:paraId="74DF5632" w14:textId="77777777" w:rsidR="004967EC" w:rsidRDefault="004967EC" w:rsidP="006E421E">
      <w:pPr>
        <w:spacing w:line="276" w:lineRule="auto"/>
        <w:jc w:val="both"/>
        <w:rPr>
          <w:rFonts w:ascii="Times New Roman" w:hAnsi="Times New Roman" w:cs="Times New Roman"/>
          <w:b/>
          <w:bCs/>
          <w:sz w:val="24"/>
          <w:szCs w:val="24"/>
        </w:rPr>
      </w:pPr>
    </w:p>
    <w:p w14:paraId="4CD6EB5C" w14:textId="77777777" w:rsidR="004967EC" w:rsidRDefault="004967EC" w:rsidP="006E421E">
      <w:pPr>
        <w:spacing w:line="276" w:lineRule="auto"/>
        <w:jc w:val="both"/>
        <w:rPr>
          <w:rFonts w:ascii="Times New Roman" w:hAnsi="Times New Roman" w:cs="Times New Roman"/>
          <w:b/>
          <w:bCs/>
          <w:sz w:val="24"/>
          <w:szCs w:val="24"/>
        </w:rPr>
      </w:pPr>
    </w:p>
    <w:p w14:paraId="3DA970B6" w14:textId="77777777" w:rsidR="004967EC" w:rsidRDefault="004967EC" w:rsidP="006E421E">
      <w:pPr>
        <w:spacing w:line="276" w:lineRule="auto"/>
        <w:jc w:val="both"/>
        <w:rPr>
          <w:rFonts w:ascii="Times New Roman" w:hAnsi="Times New Roman" w:cs="Times New Roman"/>
          <w:b/>
          <w:bCs/>
          <w:sz w:val="24"/>
          <w:szCs w:val="24"/>
        </w:rPr>
      </w:pPr>
    </w:p>
    <w:p w14:paraId="7CB65717" w14:textId="77777777" w:rsidR="004967EC" w:rsidRDefault="004967EC" w:rsidP="006E421E">
      <w:pPr>
        <w:spacing w:line="276" w:lineRule="auto"/>
        <w:jc w:val="both"/>
        <w:rPr>
          <w:rFonts w:ascii="Times New Roman" w:hAnsi="Times New Roman" w:cs="Times New Roman"/>
          <w:b/>
          <w:bCs/>
          <w:sz w:val="24"/>
          <w:szCs w:val="24"/>
        </w:rPr>
      </w:pPr>
    </w:p>
    <w:p w14:paraId="520E4879" w14:textId="77777777" w:rsidR="004967EC" w:rsidRDefault="004967EC" w:rsidP="006E421E">
      <w:pPr>
        <w:spacing w:line="276" w:lineRule="auto"/>
        <w:jc w:val="both"/>
        <w:rPr>
          <w:rFonts w:ascii="Times New Roman" w:hAnsi="Times New Roman" w:cs="Times New Roman"/>
          <w:b/>
          <w:bCs/>
          <w:sz w:val="24"/>
          <w:szCs w:val="24"/>
        </w:rPr>
      </w:pPr>
    </w:p>
    <w:p w14:paraId="40A5486B" w14:textId="77777777" w:rsidR="004967EC" w:rsidRDefault="004967EC" w:rsidP="006E421E">
      <w:pPr>
        <w:spacing w:line="276" w:lineRule="auto"/>
        <w:jc w:val="both"/>
        <w:rPr>
          <w:rFonts w:ascii="Times New Roman" w:hAnsi="Times New Roman" w:cs="Times New Roman"/>
          <w:b/>
          <w:bCs/>
          <w:sz w:val="24"/>
          <w:szCs w:val="24"/>
        </w:rPr>
      </w:pPr>
    </w:p>
    <w:p w14:paraId="3C98CB61" w14:textId="77777777" w:rsidR="004967EC" w:rsidRDefault="004967EC" w:rsidP="006E421E">
      <w:pPr>
        <w:spacing w:line="276" w:lineRule="auto"/>
        <w:jc w:val="both"/>
        <w:rPr>
          <w:rFonts w:ascii="Times New Roman" w:hAnsi="Times New Roman" w:cs="Times New Roman"/>
          <w:b/>
          <w:bCs/>
          <w:sz w:val="24"/>
          <w:szCs w:val="24"/>
        </w:rPr>
      </w:pPr>
    </w:p>
    <w:p w14:paraId="593B0594" w14:textId="77777777" w:rsidR="004967EC" w:rsidRDefault="004967EC" w:rsidP="006E421E">
      <w:pPr>
        <w:spacing w:line="276" w:lineRule="auto"/>
        <w:jc w:val="both"/>
        <w:rPr>
          <w:rFonts w:ascii="Times New Roman" w:hAnsi="Times New Roman" w:cs="Times New Roman"/>
          <w:b/>
          <w:bCs/>
          <w:sz w:val="24"/>
          <w:szCs w:val="24"/>
        </w:rPr>
      </w:pPr>
    </w:p>
    <w:p w14:paraId="079BFC3A" w14:textId="77777777" w:rsidR="004967EC" w:rsidRDefault="004967EC" w:rsidP="006E421E">
      <w:pPr>
        <w:spacing w:line="276" w:lineRule="auto"/>
        <w:jc w:val="both"/>
        <w:rPr>
          <w:rFonts w:ascii="Times New Roman" w:hAnsi="Times New Roman" w:cs="Times New Roman"/>
          <w:b/>
          <w:bCs/>
          <w:sz w:val="24"/>
          <w:szCs w:val="24"/>
        </w:rPr>
      </w:pPr>
    </w:p>
    <w:p w14:paraId="42A35ACB" w14:textId="77777777" w:rsidR="004967EC" w:rsidRDefault="004967EC" w:rsidP="006E421E">
      <w:pPr>
        <w:spacing w:line="276" w:lineRule="auto"/>
        <w:jc w:val="both"/>
        <w:rPr>
          <w:rFonts w:ascii="Times New Roman" w:hAnsi="Times New Roman" w:cs="Times New Roman"/>
          <w:b/>
          <w:bCs/>
          <w:sz w:val="24"/>
          <w:szCs w:val="24"/>
        </w:rPr>
      </w:pPr>
    </w:p>
    <w:p w14:paraId="7884FEE2" w14:textId="77777777" w:rsidR="004967EC" w:rsidRDefault="004967EC" w:rsidP="006E421E">
      <w:pPr>
        <w:spacing w:line="276" w:lineRule="auto"/>
        <w:jc w:val="both"/>
        <w:rPr>
          <w:rFonts w:ascii="Times New Roman" w:hAnsi="Times New Roman" w:cs="Times New Roman"/>
          <w:b/>
          <w:bCs/>
          <w:sz w:val="24"/>
          <w:szCs w:val="24"/>
        </w:rPr>
      </w:pPr>
    </w:p>
    <w:p w14:paraId="42AB4E95" w14:textId="77777777" w:rsidR="004967EC" w:rsidRDefault="004967EC" w:rsidP="006E421E">
      <w:pPr>
        <w:spacing w:line="276" w:lineRule="auto"/>
        <w:jc w:val="both"/>
        <w:rPr>
          <w:rFonts w:ascii="Times New Roman" w:hAnsi="Times New Roman" w:cs="Times New Roman"/>
          <w:b/>
          <w:bCs/>
          <w:sz w:val="24"/>
          <w:szCs w:val="24"/>
        </w:rPr>
      </w:pPr>
    </w:p>
    <w:p w14:paraId="326476C7" w14:textId="77777777" w:rsidR="004967EC" w:rsidRDefault="004967EC" w:rsidP="006E421E">
      <w:pPr>
        <w:spacing w:line="276" w:lineRule="auto"/>
        <w:jc w:val="both"/>
        <w:rPr>
          <w:rFonts w:ascii="Times New Roman" w:hAnsi="Times New Roman" w:cs="Times New Roman"/>
          <w:b/>
          <w:bCs/>
          <w:sz w:val="24"/>
          <w:szCs w:val="24"/>
        </w:rPr>
      </w:pPr>
    </w:p>
    <w:p w14:paraId="112DD929" w14:textId="77777777" w:rsidR="004967EC" w:rsidRDefault="004967EC" w:rsidP="006E421E">
      <w:pPr>
        <w:spacing w:line="276" w:lineRule="auto"/>
        <w:jc w:val="both"/>
        <w:rPr>
          <w:rFonts w:ascii="Times New Roman" w:hAnsi="Times New Roman" w:cs="Times New Roman"/>
          <w:b/>
          <w:bCs/>
          <w:sz w:val="24"/>
          <w:szCs w:val="24"/>
        </w:rPr>
      </w:pPr>
    </w:p>
    <w:p w14:paraId="7CF8277F" w14:textId="77777777" w:rsidR="004967EC" w:rsidRDefault="004967EC" w:rsidP="006E421E">
      <w:pPr>
        <w:spacing w:line="276" w:lineRule="auto"/>
        <w:jc w:val="both"/>
        <w:rPr>
          <w:rFonts w:ascii="Times New Roman" w:hAnsi="Times New Roman" w:cs="Times New Roman"/>
          <w:b/>
          <w:bCs/>
          <w:sz w:val="24"/>
          <w:szCs w:val="24"/>
        </w:rPr>
      </w:pPr>
    </w:p>
    <w:p w14:paraId="21A89849" w14:textId="77777777" w:rsidR="004967EC" w:rsidRDefault="004967EC" w:rsidP="006E421E">
      <w:pPr>
        <w:spacing w:line="276" w:lineRule="auto"/>
        <w:jc w:val="both"/>
        <w:rPr>
          <w:rFonts w:ascii="Times New Roman" w:hAnsi="Times New Roman" w:cs="Times New Roman"/>
          <w:b/>
          <w:bCs/>
          <w:sz w:val="24"/>
          <w:szCs w:val="24"/>
        </w:rPr>
      </w:pPr>
    </w:p>
    <w:p w14:paraId="457B15D0" w14:textId="77777777" w:rsidR="004967EC" w:rsidRDefault="004967EC" w:rsidP="006E421E">
      <w:pPr>
        <w:spacing w:line="276" w:lineRule="auto"/>
        <w:jc w:val="both"/>
        <w:rPr>
          <w:rFonts w:ascii="Times New Roman" w:hAnsi="Times New Roman" w:cs="Times New Roman"/>
          <w:b/>
          <w:bCs/>
          <w:sz w:val="24"/>
          <w:szCs w:val="24"/>
        </w:rPr>
      </w:pPr>
    </w:p>
    <w:p w14:paraId="1AF0E41A" w14:textId="77777777" w:rsidR="004967EC" w:rsidRDefault="004967EC" w:rsidP="006E421E">
      <w:pPr>
        <w:spacing w:line="276" w:lineRule="auto"/>
        <w:jc w:val="both"/>
        <w:rPr>
          <w:rFonts w:ascii="Times New Roman" w:hAnsi="Times New Roman" w:cs="Times New Roman"/>
          <w:b/>
          <w:bCs/>
          <w:sz w:val="24"/>
          <w:szCs w:val="24"/>
        </w:rPr>
      </w:pPr>
    </w:p>
    <w:p w14:paraId="016C94DA" w14:textId="77777777" w:rsidR="004967EC" w:rsidRDefault="004967EC" w:rsidP="006E421E">
      <w:pPr>
        <w:spacing w:line="276" w:lineRule="auto"/>
        <w:jc w:val="both"/>
        <w:rPr>
          <w:rFonts w:ascii="Times New Roman" w:hAnsi="Times New Roman" w:cs="Times New Roman"/>
          <w:b/>
          <w:bCs/>
          <w:sz w:val="24"/>
          <w:szCs w:val="24"/>
        </w:rPr>
      </w:pPr>
    </w:p>
    <w:p w14:paraId="691FDD68" w14:textId="77777777" w:rsidR="004967EC" w:rsidRDefault="004967EC" w:rsidP="006E421E">
      <w:pPr>
        <w:spacing w:line="276" w:lineRule="auto"/>
        <w:jc w:val="both"/>
        <w:rPr>
          <w:rFonts w:ascii="Times New Roman" w:hAnsi="Times New Roman" w:cs="Times New Roman"/>
          <w:b/>
          <w:bCs/>
          <w:sz w:val="24"/>
          <w:szCs w:val="24"/>
        </w:rPr>
      </w:pPr>
    </w:p>
    <w:p w14:paraId="23C3D389" w14:textId="77777777" w:rsidR="004967EC" w:rsidRPr="00FD2FA7" w:rsidRDefault="004967EC" w:rsidP="006E421E">
      <w:pPr>
        <w:spacing w:line="276" w:lineRule="auto"/>
        <w:jc w:val="both"/>
        <w:rPr>
          <w:rFonts w:ascii="Times New Roman" w:hAnsi="Times New Roman" w:cs="Times New Roman"/>
          <w:b/>
          <w:bCs/>
          <w:sz w:val="24"/>
          <w:szCs w:val="24"/>
        </w:rPr>
      </w:pPr>
    </w:p>
    <w:p w14:paraId="7653C336" w14:textId="6B438C20" w:rsidR="00F32E03" w:rsidRPr="00925AA9" w:rsidRDefault="00F32E03" w:rsidP="006E421E">
      <w:pPr>
        <w:pStyle w:val="Heading2"/>
        <w:jc w:val="both"/>
      </w:pPr>
      <w:bookmarkStart w:id="29" w:name="_Toc200637213"/>
      <w:r w:rsidRPr="00925AA9">
        <w:lastRenderedPageBreak/>
        <w:t>4.2 Discussion</w:t>
      </w:r>
      <w:bookmarkEnd w:id="29"/>
    </w:p>
    <w:p w14:paraId="0674F5A4" w14:textId="4BFFE8DE" w:rsidR="00F32E03" w:rsidRPr="00FD2FA7" w:rsidRDefault="00CA29F2"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This study aimed</w:t>
      </w:r>
      <w:r w:rsidR="00F32E03" w:rsidRPr="00FD2FA7">
        <w:rPr>
          <w:rFonts w:ascii="Times New Roman" w:hAnsi="Times New Roman" w:cs="Times New Roman"/>
          <w:sz w:val="24"/>
          <w:szCs w:val="24"/>
        </w:rPr>
        <w:t xml:space="preserve"> to critically investigate how organisational rebranding affects employee experience and operational performance, using Delta Hotels by Marriott Bristol City Centre as a case study. The findings revealed a multifaceted transformation</w:t>
      </w:r>
      <w:r w:rsidR="004967EC">
        <w:rPr>
          <w:rFonts w:ascii="Times New Roman" w:hAnsi="Times New Roman" w:cs="Times New Roman"/>
          <w:sz w:val="24"/>
          <w:szCs w:val="24"/>
        </w:rPr>
        <w:t xml:space="preserve"> </w:t>
      </w:r>
      <w:r w:rsidR="00F32E03" w:rsidRPr="00FD2FA7">
        <w:rPr>
          <w:rFonts w:ascii="Times New Roman" w:hAnsi="Times New Roman" w:cs="Times New Roman"/>
          <w:sz w:val="24"/>
          <w:szCs w:val="24"/>
        </w:rPr>
        <w:t xml:space="preserve">visible in infrastructure, technology, role dynamics, communication, culture, guest perceptions, and sustainability practices. This section discusses these results </w:t>
      </w:r>
      <w:r w:rsidR="00B530D7" w:rsidRPr="00FD2FA7">
        <w:rPr>
          <w:rFonts w:ascii="Times New Roman" w:hAnsi="Times New Roman" w:cs="Times New Roman"/>
          <w:sz w:val="24"/>
          <w:szCs w:val="24"/>
        </w:rPr>
        <w:t>with</w:t>
      </w:r>
      <w:r w:rsidR="00F32E03" w:rsidRPr="00FD2FA7">
        <w:rPr>
          <w:rFonts w:ascii="Times New Roman" w:hAnsi="Times New Roman" w:cs="Times New Roman"/>
          <w:sz w:val="24"/>
          <w:szCs w:val="24"/>
        </w:rPr>
        <w:t xml:space="preserve"> the three core research objectives and the broader literature, highlighting key implications and practical considerations.</w:t>
      </w:r>
    </w:p>
    <w:p w14:paraId="50005457" w14:textId="3F902715" w:rsidR="00F32E03" w:rsidRPr="00FD2FA7" w:rsidRDefault="00F32E03" w:rsidP="006E421E">
      <w:pPr>
        <w:spacing w:line="276" w:lineRule="auto"/>
        <w:jc w:val="both"/>
        <w:rPr>
          <w:rFonts w:ascii="Times New Roman" w:hAnsi="Times New Roman" w:cs="Times New Roman"/>
          <w:sz w:val="24"/>
          <w:szCs w:val="24"/>
        </w:rPr>
      </w:pPr>
    </w:p>
    <w:p w14:paraId="37B07D8D" w14:textId="77777777" w:rsidR="00F32E03" w:rsidRPr="00725FDC" w:rsidRDefault="00F32E03" w:rsidP="006E421E">
      <w:pPr>
        <w:pStyle w:val="Heading3"/>
        <w:jc w:val="both"/>
      </w:pPr>
      <w:bookmarkStart w:id="30" w:name="_Toc200637214"/>
      <w:r w:rsidRPr="00725FDC">
        <w:t>Objective 1: To examine how the rebranding has influenced employee roles, satisfaction, and engagement</w:t>
      </w:r>
      <w:bookmarkEnd w:id="30"/>
    </w:p>
    <w:p w14:paraId="08CD4BF0" w14:textId="569F3613" w:rsidR="00F32E03" w:rsidRPr="004967EC" w:rsidRDefault="00F32E03" w:rsidP="006E421E">
      <w:pPr>
        <w:spacing w:line="276" w:lineRule="auto"/>
        <w:jc w:val="both"/>
        <w:rPr>
          <w:rFonts w:ascii="Times New Roman" w:hAnsi="Times New Roman" w:cs="Times New Roman"/>
          <w:sz w:val="24"/>
          <w:szCs w:val="24"/>
        </w:rPr>
      </w:pPr>
      <w:r w:rsidRPr="004967EC">
        <w:rPr>
          <w:rFonts w:ascii="Times New Roman" w:hAnsi="Times New Roman" w:cs="Times New Roman"/>
          <w:sz w:val="24"/>
          <w:szCs w:val="24"/>
        </w:rPr>
        <w:t xml:space="preserve">The rebranding led to a significant redefinition of employee roles, particularly within front-of-house and F&amp;B departments. The shift from traditional service delivery to more tech-enabled and self-service models brought increased operational </w:t>
      </w:r>
      <w:r w:rsidR="00D25453" w:rsidRPr="004967EC">
        <w:rPr>
          <w:rFonts w:ascii="Times New Roman" w:hAnsi="Times New Roman" w:cs="Times New Roman"/>
          <w:sz w:val="24"/>
          <w:szCs w:val="24"/>
        </w:rPr>
        <w:t>efficiency but</w:t>
      </w:r>
      <w:r w:rsidRPr="004967EC">
        <w:rPr>
          <w:rFonts w:ascii="Times New Roman" w:hAnsi="Times New Roman" w:cs="Times New Roman"/>
          <w:sz w:val="24"/>
          <w:szCs w:val="24"/>
        </w:rPr>
        <w:t xml:space="preserve"> also created identity tension for long-serving staff. As noted by Lashley (20</w:t>
      </w:r>
      <w:r w:rsidR="00314CD6" w:rsidRPr="004967EC">
        <w:rPr>
          <w:rFonts w:ascii="Times New Roman" w:hAnsi="Times New Roman" w:cs="Times New Roman"/>
          <w:sz w:val="24"/>
          <w:szCs w:val="24"/>
        </w:rPr>
        <w:t>09</w:t>
      </w:r>
      <w:r w:rsidRPr="004967EC">
        <w:rPr>
          <w:rFonts w:ascii="Times New Roman" w:hAnsi="Times New Roman" w:cs="Times New Roman"/>
          <w:sz w:val="24"/>
          <w:szCs w:val="24"/>
        </w:rPr>
        <w:t>), emotional labour is a core component of hospitality work; when reduced or displaced by automation, employees may feel a loss of purpose, leading to lower engagement.</w:t>
      </w:r>
    </w:p>
    <w:p w14:paraId="46E6F521" w14:textId="77777777" w:rsidR="00F32E03" w:rsidRPr="004967EC" w:rsidRDefault="00F32E03" w:rsidP="006E421E">
      <w:pPr>
        <w:spacing w:line="276" w:lineRule="auto"/>
        <w:jc w:val="both"/>
        <w:rPr>
          <w:rFonts w:ascii="Times New Roman" w:hAnsi="Times New Roman" w:cs="Times New Roman"/>
          <w:sz w:val="24"/>
          <w:szCs w:val="24"/>
        </w:rPr>
      </w:pPr>
      <w:r w:rsidRPr="004967EC">
        <w:rPr>
          <w:rFonts w:ascii="Times New Roman" w:hAnsi="Times New Roman" w:cs="Times New Roman"/>
          <w:sz w:val="24"/>
          <w:szCs w:val="24"/>
        </w:rPr>
        <w:t>This shift in job scope aligns with Grönroos’s (2007) service management theory, which acknowledges that role ambiguity can surface when service models evolve without comprehensive retraining. In this case, new hires appeared to adapt quickly, viewing hybrid roles as more manageable. However, tenured staff struggled with the loss of face-to-face interaction, a key emotional anchor in hospitality service (King and Grace, 2008).</w:t>
      </w:r>
    </w:p>
    <w:p w14:paraId="2556BCA5" w14:textId="77777777" w:rsidR="00F32E03" w:rsidRPr="004967EC" w:rsidRDefault="00F32E03" w:rsidP="006E421E">
      <w:pPr>
        <w:spacing w:line="276" w:lineRule="auto"/>
        <w:jc w:val="both"/>
        <w:rPr>
          <w:rFonts w:ascii="Times New Roman" w:hAnsi="Times New Roman" w:cs="Times New Roman"/>
          <w:sz w:val="24"/>
          <w:szCs w:val="24"/>
        </w:rPr>
      </w:pPr>
      <w:r w:rsidRPr="004967EC">
        <w:rPr>
          <w:rFonts w:ascii="Times New Roman" w:hAnsi="Times New Roman" w:cs="Times New Roman"/>
          <w:sz w:val="24"/>
          <w:szCs w:val="24"/>
        </w:rPr>
        <w:t>Moreover, the findings resonate with Bitner et al.’s (1994) service blueprinting concept, which suggests that any change to frontstage service must be matched by backstage support and training. The hotel’s delay in delivering tailored internal branding efforts early in the rebranding process may have amplified this disconnect.</w:t>
      </w:r>
    </w:p>
    <w:p w14:paraId="0B8FCEA0" w14:textId="06C72327" w:rsidR="00F32E03" w:rsidRPr="004967EC" w:rsidRDefault="00F32E03" w:rsidP="006E421E">
      <w:pPr>
        <w:spacing w:line="276" w:lineRule="auto"/>
        <w:jc w:val="both"/>
        <w:rPr>
          <w:rFonts w:ascii="Times New Roman" w:hAnsi="Times New Roman" w:cs="Times New Roman"/>
          <w:sz w:val="24"/>
          <w:szCs w:val="24"/>
        </w:rPr>
      </w:pPr>
      <w:r w:rsidRPr="004967EC">
        <w:rPr>
          <w:rFonts w:ascii="Times New Roman" w:hAnsi="Times New Roman" w:cs="Times New Roman"/>
          <w:sz w:val="24"/>
          <w:szCs w:val="24"/>
        </w:rPr>
        <w:t>While the 2025 placement demonstrated progress</w:t>
      </w:r>
      <w:r w:rsidR="00D25453" w:rsidRPr="004967EC">
        <w:rPr>
          <w:rFonts w:ascii="Times New Roman" w:hAnsi="Times New Roman" w:cs="Times New Roman"/>
          <w:sz w:val="24"/>
          <w:szCs w:val="24"/>
        </w:rPr>
        <w:t xml:space="preserve">, </w:t>
      </w:r>
      <w:r w:rsidRPr="004967EC">
        <w:rPr>
          <w:rFonts w:ascii="Times New Roman" w:hAnsi="Times New Roman" w:cs="Times New Roman"/>
          <w:sz w:val="24"/>
          <w:szCs w:val="24"/>
        </w:rPr>
        <w:t>with the introduction of feedback loops and more inclusive training</w:t>
      </w:r>
      <w:r w:rsidR="00D25453" w:rsidRPr="004967EC">
        <w:rPr>
          <w:rFonts w:ascii="Times New Roman" w:hAnsi="Times New Roman" w:cs="Times New Roman"/>
          <w:sz w:val="24"/>
          <w:szCs w:val="24"/>
        </w:rPr>
        <w:t xml:space="preserve">, </w:t>
      </w:r>
      <w:r w:rsidRPr="004967EC">
        <w:rPr>
          <w:rFonts w:ascii="Times New Roman" w:hAnsi="Times New Roman" w:cs="Times New Roman"/>
          <w:sz w:val="24"/>
          <w:szCs w:val="24"/>
        </w:rPr>
        <w:t>it was evident that sustained engagement requires a longer cultural onboarding period. As Deery and Jago (2015) argue, in high-turnover industries like hospitality, emotional commitment is built over time through recognition, purpose, and adaptability. The Delta case suggests that without clear role clarity and acknowledgement of legacy identities, engagement risks remain.</w:t>
      </w:r>
    </w:p>
    <w:p w14:paraId="4F066784" w14:textId="77777777" w:rsidR="00FD28C6" w:rsidRPr="00FD2FA7" w:rsidRDefault="00FD28C6" w:rsidP="006E421E">
      <w:pPr>
        <w:spacing w:line="276" w:lineRule="auto"/>
        <w:jc w:val="both"/>
        <w:rPr>
          <w:rFonts w:ascii="Times New Roman" w:hAnsi="Times New Roman" w:cs="Times New Roman"/>
          <w:sz w:val="24"/>
          <w:szCs w:val="24"/>
        </w:rPr>
      </w:pPr>
    </w:p>
    <w:p w14:paraId="26F68AF2" w14:textId="5CDFCCAC" w:rsidR="00F32E03" w:rsidRDefault="00F32E03" w:rsidP="006E421E">
      <w:pPr>
        <w:spacing w:line="276" w:lineRule="auto"/>
        <w:jc w:val="both"/>
        <w:rPr>
          <w:rFonts w:ascii="Times New Roman" w:hAnsi="Times New Roman" w:cs="Times New Roman"/>
          <w:sz w:val="24"/>
          <w:szCs w:val="24"/>
        </w:rPr>
      </w:pPr>
    </w:p>
    <w:p w14:paraId="7A809066" w14:textId="77777777" w:rsidR="004967EC" w:rsidRDefault="004967EC" w:rsidP="006E421E">
      <w:pPr>
        <w:spacing w:line="276" w:lineRule="auto"/>
        <w:jc w:val="both"/>
        <w:rPr>
          <w:rFonts w:ascii="Times New Roman" w:hAnsi="Times New Roman" w:cs="Times New Roman"/>
          <w:sz w:val="24"/>
          <w:szCs w:val="24"/>
        </w:rPr>
      </w:pPr>
    </w:p>
    <w:p w14:paraId="2FD351F8" w14:textId="77777777" w:rsidR="004967EC" w:rsidRDefault="004967EC" w:rsidP="006E421E">
      <w:pPr>
        <w:spacing w:line="276" w:lineRule="auto"/>
        <w:jc w:val="both"/>
        <w:rPr>
          <w:rFonts w:ascii="Times New Roman" w:hAnsi="Times New Roman" w:cs="Times New Roman"/>
          <w:sz w:val="24"/>
          <w:szCs w:val="24"/>
        </w:rPr>
      </w:pPr>
    </w:p>
    <w:p w14:paraId="62D6A86C" w14:textId="77777777" w:rsidR="004967EC" w:rsidRPr="00FD2FA7" w:rsidRDefault="004967EC" w:rsidP="006E421E">
      <w:pPr>
        <w:spacing w:line="276" w:lineRule="auto"/>
        <w:jc w:val="both"/>
        <w:rPr>
          <w:rFonts w:ascii="Times New Roman" w:hAnsi="Times New Roman" w:cs="Times New Roman"/>
          <w:sz w:val="24"/>
          <w:szCs w:val="24"/>
        </w:rPr>
      </w:pPr>
    </w:p>
    <w:p w14:paraId="5B3D2FF1" w14:textId="77777777" w:rsidR="00F32E03" w:rsidRPr="00725FDC" w:rsidRDefault="00F32E03" w:rsidP="006E421E">
      <w:pPr>
        <w:pStyle w:val="Heading3"/>
        <w:jc w:val="both"/>
      </w:pPr>
      <w:bookmarkStart w:id="31" w:name="_Toc200637215"/>
      <w:r w:rsidRPr="00725FDC">
        <w:lastRenderedPageBreak/>
        <w:t>Objective 2: To evaluate the impact of the rebrand on internal communication, collaboration, and culture</w:t>
      </w:r>
      <w:bookmarkEnd w:id="31"/>
    </w:p>
    <w:p w14:paraId="55651C12" w14:textId="51F20C62" w:rsidR="00F32E03" w:rsidRPr="00983C2B" w:rsidRDefault="00F32E03" w:rsidP="006E421E">
      <w:pPr>
        <w:spacing w:line="276" w:lineRule="auto"/>
        <w:jc w:val="both"/>
        <w:rPr>
          <w:rFonts w:ascii="Times New Roman" w:hAnsi="Times New Roman" w:cs="Times New Roman"/>
          <w:sz w:val="24"/>
          <w:szCs w:val="24"/>
        </w:rPr>
      </w:pPr>
      <w:r w:rsidRPr="00983C2B">
        <w:rPr>
          <w:rFonts w:ascii="Times New Roman" w:hAnsi="Times New Roman" w:cs="Times New Roman"/>
          <w:sz w:val="24"/>
          <w:szCs w:val="24"/>
        </w:rPr>
        <w:t xml:space="preserve">Cultural transformation often </w:t>
      </w:r>
      <w:r w:rsidR="00D25453" w:rsidRPr="00983C2B">
        <w:rPr>
          <w:rFonts w:ascii="Times New Roman" w:hAnsi="Times New Roman" w:cs="Times New Roman"/>
          <w:sz w:val="24"/>
          <w:szCs w:val="24"/>
        </w:rPr>
        <w:t>lags</w:t>
      </w:r>
      <w:r w:rsidRPr="00983C2B">
        <w:rPr>
          <w:rFonts w:ascii="Times New Roman" w:hAnsi="Times New Roman" w:cs="Times New Roman"/>
          <w:sz w:val="24"/>
          <w:szCs w:val="24"/>
        </w:rPr>
        <w:t xml:space="preserve"> visible branding efforts, and this case reinforces that challenge. In 2023, limited communication about the Delta brand left staff confused about its core values. By 2025, communication had improved, but its distribution remained uneven across departments. This situation reflects the challenges outlined in Harris and Ogbonna’s (2002) study, where insufficient internal alignment during brand transition created cultural fragmentation.</w:t>
      </w:r>
    </w:p>
    <w:p w14:paraId="22F2D17B" w14:textId="77777777" w:rsidR="00F32E03" w:rsidRPr="00983C2B" w:rsidRDefault="00F32E03" w:rsidP="006E421E">
      <w:pPr>
        <w:spacing w:line="276" w:lineRule="auto"/>
        <w:jc w:val="both"/>
        <w:rPr>
          <w:rFonts w:ascii="Times New Roman" w:hAnsi="Times New Roman" w:cs="Times New Roman"/>
          <w:sz w:val="24"/>
          <w:szCs w:val="24"/>
        </w:rPr>
      </w:pPr>
      <w:r w:rsidRPr="00983C2B">
        <w:rPr>
          <w:rFonts w:ascii="Times New Roman" w:hAnsi="Times New Roman" w:cs="Times New Roman"/>
          <w:sz w:val="24"/>
          <w:szCs w:val="24"/>
        </w:rPr>
        <w:t>Through the lens of Hatch and Schultz’s (2003) organisational identity framework, it becomes clear that a disconnect existed between corporate identity (the Delta brand values), culture (the lived employee experience), and image (guest perception). Front-of-house staff were more likely to engage with the new culture due to direct exposure to guest feedback and formal training, while departments such as maintenance and kitchen services remained on the periphery of the communication network.</w:t>
      </w:r>
    </w:p>
    <w:p w14:paraId="585B2796" w14:textId="77777777" w:rsidR="00F32E03" w:rsidRPr="00983C2B" w:rsidRDefault="00F32E03" w:rsidP="006E421E">
      <w:pPr>
        <w:spacing w:line="276" w:lineRule="auto"/>
        <w:jc w:val="both"/>
        <w:rPr>
          <w:rFonts w:ascii="Times New Roman" w:hAnsi="Times New Roman" w:cs="Times New Roman"/>
          <w:sz w:val="24"/>
          <w:szCs w:val="24"/>
        </w:rPr>
      </w:pPr>
      <w:r w:rsidRPr="00983C2B">
        <w:rPr>
          <w:rFonts w:ascii="Times New Roman" w:hAnsi="Times New Roman" w:cs="Times New Roman"/>
          <w:sz w:val="24"/>
          <w:szCs w:val="24"/>
        </w:rPr>
        <w:t>This finding highlights a gap in internal marketing, as described by Ahmed and Rafiq (2003), which argues that employees must be treated as internal customers. Only when all staff members are equally informed and involved can a consistent service culture be achieved. The lack of targeted support for non-customer-facing roles limited their buy-in to the rebranding.</w:t>
      </w:r>
    </w:p>
    <w:p w14:paraId="3C0A7F68" w14:textId="77777777" w:rsidR="00F32E03" w:rsidRPr="00983C2B" w:rsidRDefault="00F32E03" w:rsidP="006E421E">
      <w:pPr>
        <w:spacing w:line="276" w:lineRule="auto"/>
        <w:jc w:val="both"/>
        <w:rPr>
          <w:rFonts w:ascii="Times New Roman" w:hAnsi="Times New Roman" w:cs="Times New Roman"/>
          <w:sz w:val="24"/>
          <w:szCs w:val="24"/>
        </w:rPr>
      </w:pPr>
      <w:r w:rsidRPr="00983C2B">
        <w:rPr>
          <w:rFonts w:ascii="Times New Roman" w:hAnsi="Times New Roman" w:cs="Times New Roman"/>
          <w:sz w:val="24"/>
          <w:szCs w:val="24"/>
        </w:rPr>
        <w:t>Furthermore, the study aligns with Armenakis and Harris’s (2009) five key change messages: discrepancy, efficacy, principal support, appropriateness, and personal valence. Although the hotel improved in communicating support and appropriateness by 2025, earlier shortcomings in conveying discrepancy (why the change was needed) and personal valence (how it benefits each employee) may have left lasting emotional resistance among some staff.</w:t>
      </w:r>
    </w:p>
    <w:p w14:paraId="6AB04581" w14:textId="29F2ED19" w:rsidR="00D25453" w:rsidRPr="00983C2B" w:rsidRDefault="00F32E03" w:rsidP="006E421E">
      <w:pPr>
        <w:spacing w:line="276" w:lineRule="auto"/>
        <w:jc w:val="both"/>
        <w:rPr>
          <w:rFonts w:ascii="Times New Roman" w:hAnsi="Times New Roman" w:cs="Times New Roman"/>
          <w:sz w:val="24"/>
          <w:szCs w:val="24"/>
        </w:rPr>
      </w:pPr>
      <w:r w:rsidRPr="00983C2B">
        <w:rPr>
          <w:rFonts w:ascii="Times New Roman" w:hAnsi="Times New Roman" w:cs="Times New Roman"/>
          <w:sz w:val="24"/>
          <w:szCs w:val="24"/>
        </w:rPr>
        <w:t>From a practical perspective, the hotel could benefit from applying Kotter’s (1996) change model more consistently. For example, by establishing cross-functional rebranding champions or "cultural ambassadors," the brand values could be better cascaded across all employee levels, reinforcing collaboration and reducing division.</w:t>
      </w:r>
    </w:p>
    <w:p w14:paraId="23F75508" w14:textId="77777777" w:rsidR="00D25453" w:rsidRPr="00FD2FA7" w:rsidRDefault="00D25453" w:rsidP="006E421E">
      <w:pPr>
        <w:spacing w:line="276" w:lineRule="auto"/>
        <w:jc w:val="both"/>
        <w:rPr>
          <w:rFonts w:ascii="Times New Roman" w:hAnsi="Times New Roman" w:cs="Times New Roman"/>
          <w:sz w:val="24"/>
          <w:szCs w:val="24"/>
        </w:rPr>
      </w:pPr>
    </w:p>
    <w:p w14:paraId="2837709D" w14:textId="77777777" w:rsidR="00F32E03" w:rsidRPr="00725FDC" w:rsidRDefault="00F32E03" w:rsidP="006E421E">
      <w:pPr>
        <w:pStyle w:val="Heading3"/>
        <w:jc w:val="both"/>
      </w:pPr>
      <w:bookmarkStart w:id="32" w:name="_Toc200637216"/>
      <w:r w:rsidRPr="00725FDC">
        <w:t>Objective 3: To explore how guests and stakeholders perceive the rebrand and its implications for brand loyalty and performance</w:t>
      </w:r>
      <w:bookmarkEnd w:id="32"/>
    </w:p>
    <w:p w14:paraId="71E80D33" w14:textId="77777777" w:rsidR="00F32E03" w:rsidRPr="00983C2B" w:rsidRDefault="00F32E03" w:rsidP="006E421E">
      <w:pPr>
        <w:spacing w:line="276" w:lineRule="auto"/>
        <w:jc w:val="both"/>
        <w:rPr>
          <w:rFonts w:ascii="Times New Roman" w:hAnsi="Times New Roman" w:cs="Times New Roman"/>
          <w:sz w:val="24"/>
          <w:szCs w:val="24"/>
        </w:rPr>
      </w:pPr>
      <w:r w:rsidRPr="00983C2B">
        <w:rPr>
          <w:rFonts w:ascii="Times New Roman" w:hAnsi="Times New Roman" w:cs="Times New Roman"/>
          <w:sz w:val="24"/>
          <w:szCs w:val="24"/>
        </w:rPr>
        <w:t>Guests responded positively to the rebranding in terms of physical appearance, digital amenities, and operational speed. However, a recurring concern was the diminished warmth and personal connection once associated with the Marriott brand. This duality highlights the distinction made by Kandampully and Suhartanto (2000) between functional service quality (tangible benefits) and emotional service quality (relationship building). A strong rebrand must deliver both to achieve sustained guest loyalty.</w:t>
      </w:r>
    </w:p>
    <w:p w14:paraId="6E4F5962" w14:textId="1B78CA33" w:rsidR="00F32E03" w:rsidRPr="00983C2B" w:rsidRDefault="00F32E03" w:rsidP="006E421E">
      <w:pPr>
        <w:spacing w:line="276" w:lineRule="auto"/>
        <w:jc w:val="both"/>
        <w:rPr>
          <w:rFonts w:ascii="Times New Roman" w:hAnsi="Times New Roman" w:cs="Times New Roman"/>
          <w:sz w:val="24"/>
          <w:szCs w:val="24"/>
        </w:rPr>
      </w:pPr>
      <w:r w:rsidRPr="00983C2B">
        <w:rPr>
          <w:rFonts w:ascii="Times New Roman" w:hAnsi="Times New Roman" w:cs="Times New Roman"/>
          <w:sz w:val="24"/>
          <w:szCs w:val="24"/>
        </w:rPr>
        <w:t xml:space="preserve">This issue is particularly relevant in post-COVID hospitality, where self-service and contactless options are increasingly expected (Wirtz, Zeithaml and Gistri, 2020), yet human interaction remains a competitive differentiator in emotional guest satisfaction (Pizam, 2020). Delta’s </w:t>
      </w:r>
      <w:r w:rsidRPr="00983C2B">
        <w:rPr>
          <w:rFonts w:ascii="Times New Roman" w:hAnsi="Times New Roman" w:cs="Times New Roman"/>
          <w:sz w:val="24"/>
          <w:szCs w:val="24"/>
        </w:rPr>
        <w:lastRenderedPageBreak/>
        <w:t>efficiency-first model achieved functional objectives but arguably sacrificed aspects of personalised service</w:t>
      </w:r>
      <w:r w:rsidR="00983C2B">
        <w:rPr>
          <w:rFonts w:ascii="Times New Roman" w:hAnsi="Times New Roman" w:cs="Times New Roman"/>
          <w:sz w:val="24"/>
          <w:szCs w:val="24"/>
        </w:rPr>
        <w:t>,</w:t>
      </w:r>
      <w:r w:rsidR="00983C2B" w:rsidRPr="00983C2B">
        <w:rPr>
          <w:rFonts w:ascii="Times New Roman" w:hAnsi="Times New Roman" w:cs="Times New Roman"/>
          <w:sz w:val="24"/>
          <w:szCs w:val="24"/>
        </w:rPr>
        <w:t xml:space="preserve"> </w:t>
      </w:r>
      <w:r w:rsidRPr="00983C2B">
        <w:rPr>
          <w:rFonts w:ascii="Times New Roman" w:hAnsi="Times New Roman" w:cs="Times New Roman"/>
          <w:sz w:val="24"/>
          <w:szCs w:val="24"/>
        </w:rPr>
        <w:t>an element that Gilmore and Pine (2007) describe as essential to the "experience economy."</w:t>
      </w:r>
    </w:p>
    <w:p w14:paraId="7524E82E" w14:textId="419CA4BD" w:rsidR="00F32E03" w:rsidRPr="00983C2B" w:rsidRDefault="00F32E03" w:rsidP="006E421E">
      <w:pPr>
        <w:spacing w:line="276" w:lineRule="auto"/>
        <w:jc w:val="both"/>
        <w:rPr>
          <w:rFonts w:ascii="Times New Roman" w:hAnsi="Times New Roman" w:cs="Times New Roman"/>
          <w:sz w:val="24"/>
          <w:szCs w:val="24"/>
        </w:rPr>
      </w:pPr>
      <w:r w:rsidRPr="00983C2B">
        <w:rPr>
          <w:rFonts w:ascii="Times New Roman" w:hAnsi="Times New Roman" w:cs="Times New Roman"/>
          <w:sz w:val="24"/>
          <w:szCs w:val="24"/>
        </w:rPr>
        <w:t>The netnographic review of online guest feedback further underscores the risk of brand incongruity, where visual and operational updates are not matched by consistent service experiences. As Merrilees and Miller (2008) suggest, rebranding is not merely a change of signage or layout</w:t>
      </w:r>
      <w:r w:rsidR="00983C2B">
        <w:rPr>
          <w:rFonts w:ascii="Times New Roman" w:hAnsi="Times New Roman" w:cs="Times New Roman"/>
          <w:sz w:val="24"/>
          <w:szCs w:val="24"/>
        </w:rPr>
        <w:t xml:space="preserve"> </w:t>
      </w:r>
      <w:r w:rsidRPr="00983C2B">
        <w:rPr>
          <w:rFonts w:ascii="Times New Roman" w:hAnsi="Times New Roman" w:cs="Times New Roman"/>
          <w:sz w:val="24"/>
          <w:szCs w:val="24"/>
        </w:rPr>
        <w:t>it must realign all stakeholder expectations, including those of returning guests accustomed to the previous Marriott style.</w:t>
      </w:r>
    </w:p>
    <w:p w14:paraId="23EC15FD" w14:textId="77777777" w:rsidR="00F32E03" w:rsidRPr="00983C2B" w:rsidRDefault="00F32E03" w:rsidP="006E421E">
      <w:pPr>
        <w:spacing w:line="276" w:lineRule="auto"/>
        <w:jc w:val="both"/>
        <w:rPr>
          <w:rFonts w:ascii="Times New Roman" w:hAnsi="Times New Roman" w:cs="Times New Roman"/>
          <w:sz w:val="24"/>
          <w:szCs w:val="24"/>
        </w:rPr>
      </w:pPr>
      <w:r w:rsidRPr="00983C2B">
        <w:rPr>
          <w:rFonts w:ascii="Times New Roman" w:hAnsi="Times New Roman" w:cs="Times New Roman"/>
          <w:sz w:val="24"/>
          <w:szCs w:val="24"/>
        </w:rPr>
        <w:t>The findings also resonate with Kimpakorn and Tocquer’s (2010) study on internal branding, which stresses that staff behaviour is integral to external brand perceptions. If employees do not embody brand values consistently, even well-designed rebrands may falter. For Delta, this implies that restoring emotional engagement must be part of the next strategic phase, especially for guest segments that prioritise hospitality over automation.</w:t>
      </w:r>
    </w:p>
    <w:p w14:paraId="33144654" w14:textId="7FC8A003" w:rsidR="00F32E03" w:rsidRPr="00FD2FA7" w:rsidRDefault="00F32E03" w:rsidP="006E421E">
      <w:pPr>
        <w:pStyle w:val="Heading3"/>
        <w:jc w:val="both"/>
      </w:pPr>
    </w:p>
    <w:p w14:paraId="2BDADFEE" w14:textId="77777777" w:rsidR="00F32E03" w:rsidRPr="00725FDC" w:rsidRDefault="00F32E03" w:rsidP="006E421E">
      <w:pPr>
        <w:pStyle w:val="Heading3"/>
        <w:jc w:val="both"/>
      </w:pPr>
      <w:bookmarkStart w:id="33" w:name="_Toc200637217"/>
      <w:r w:rsidRPr="00725FDC">
        <w:t>Cross-Cutting Theme: ESG Integration and Organisational Credibility</w:t>
      </w:r>
      <w:bookmarkEnd w:id="33"/>
    </w:p>
    <w:p w14:paraId="06CD7805" w14:textId="77777777" w:rsidR="00F32E03" w:rsidRPr="001B5AC3" w:rsidRDefault="00F32E03" w:rsidP="006E421E">
      <w:pPr>
        <w:spacing w:line="276" w:lineRule="auto"/>
        <w:jc w:val="both"/>
        <w:rPr>
          <w:rFonts w:ascii="Times New Roman" w:hAnsi="Times New Roman" w:cs="Times New Roman"/>
          <w:sz w:val="24"/>
          <w:szCs w:val="24"/>
        </w:rPr>
      </w:pPr>
      <w:r w:rsidRPr="001B5AC3">
        <w:rPr>
          <w:rFonts w:ascii="Times New Roman" w:hAnsi="Times New Roman" w:cs="Times New Roman"/>
          <w:sz w:val="24"/>
          <w:szCs w:val="24"/>
        </w:rPr>
        <w:t>The inclusion of sustainability practices was one of the more successful aspects of the rebranding. Aligned with Marriott’s global Serve 360 ESG strategy (Marriott International, 2024), the hotel’s eco-friendly upgrades enhanced its credibility and demonstrated commitment to social responsibility. From a stakeholder perspective, this addressed a growing demand for environmental awareness in hospitality, particularly among younger travellers and corporate clients (Sartori et al., 2018).</w:t>
      </w:r>
    </w:p>
    <w:p w14:paraId="13820108" w14:textId="77777777" w:rsidR="00F32E03" w:rsidRPr="001B5AC3" w:rsidRDefault="00F32E03" w:rsidP="006E421E">
      <w:pPr>
        <w:spacing w:line="276" w:lineRule="auto"/>
        <w:jc w:val="both"/>
        <w:rPr>
          <w:rFonts w:ascii="Times New Roman" w:hAnsi="Times New Roman" w:cs="Times New Roman"/>
          <w:sz w:val="24"/>
          <w:szCs w:val="24"/>
        </w:rPr>
      </w:pPr>
      <w:r w:rsidRPr="001B5AC3">
        <w:rPr>
          <w:rFonts w:ascii="Times New Roman" w:hAnsi="Times New Roman" w:cs="Times New Roman"/>
          <w:sz w:val="24"/>
          <w:szCs w:val="24"/>
        </w:rPr>
        <w:t>Yet the implementation was not without flaws. Motion-sensor lighting malfunctions and guest apathy toward towel reuse highlighted the operational challenges of integrating sustainability meaningfully. As Font and Lynes (2018) note, greenwashing becomes a risk when symbolic efforts are not backed by measurable outcomes or genuine behavioural change.</w:t>
      </w:r>
    </w:p>
    <w:p w14:paraId="7D6E3FA2" w14:textId="7F56E666" w:rsidR="00F32E03" w:rsidRPr="001B5AC3" w:rsidRDefault="00F32E03" w:rsidP="006E421E">
      <w:pPr>
        <w:spacing w:line="276" w:lineRule="auto"/>
        <w:jc w:val="both"/>
        <w:rPr>
          <w:rFonts w:ascii="Times New Roman" w:hAnsi="Times New Roman" w:cs="Times New Roman"/>
          <w:sz w:val="24"/>
          <w:szCs w:val="24"/>
        </w:rPr>
      </w:pPr>
      <w:r w:rsidRPr="001B5AC3">
        <w:rPr>
          <w:rFonts w:ascii="Times New Roman" w:hAnsi="Times New Roman" w:cs="Times New Roman"/>
          <w:sz w:val="24"/>
          <w:szCs w:val="24"/>
        </w:rPr>
        <w:t>Still, the move toward sustainability had a positive impact on employee morale. When staff feel aligned with broader ethical missions, they are more likely to experience job satisfaction and organisational pride (Baum, 2007). For Delta, this presents an opportunity to build a unique brand identity that fuses efficiency with ethical purpose</w:t>
      </w:r>
      <w:r w:rsidR="001B5AC3">
        <w:rPr>
          <w:rFonts w:ascii="Times New Roman" w:hAnsi="Times New Roman" w:cs="Times New Roman"/>
          <w:sz w:val="24"/>
          <w:szCs w:val="24"/>
        </w:rPr>
        <w:t xml:space="preserve">, </w:t>
      </w:r>
      <w:r w:rsidRPr="001B5AC3">
        <w:rPr>
          <w:rFonts w:ascii="Times New Roman" w:hAnsi="Times New Roman" w:cs="Times New Roman"/>
          <w:sz w:val="24"/>
          <w:szCs w:val="24"/>
        </w:rPr>
        <w:t>a combination increasingly valued in today’s competitive landscape.</w:t>
      </w:r>
    </w:p>
    <w:p w14:paraId="1834AD90" w14:textId="77777777" w:rsidR="008D2D3D" w:rsidRDefault="008D2D3D" w:rsidP="006E421E">
      <w:pPr>
        <w:pStyle w:val="Heading3"/>
        <w:jc w:val="both"/>
      </w:pPr>
    </w:p>
    <w:p w14:paraId="5317BCCD" w14:textId="77777777" w:rsidR="00204CF2" w:rsidRDefault="00204CF2" w:rsidP="006E421E">
      <w:pPr>
        <w:jc w:val="both"/>
      </w:pPr>
    </w:p>
    <w:p w14:paraId="7B2F5BE7" w14:textId="77777777" w:rsidR="00204CF2" w:rsidRDefault="00204CF2" w:rsidP="006E421E">
      <w:pPr>
        <w:jc w:val="both"/>
      </w:pPr>
    </w:p>
    <w:p w14:paraId="1C863A2C" w14:textId="77777777" w:rsidR="00204CF2" w:rsidRDefault="00204CF2" w:rsidP="006E421E">
      <w:pPr>
        <w:jc w:val="both"/>
      </w:pPr>
    </w:p>
    <w:p w14:paraId="138F1CFF" w14:textId="77777777" w:rsidR="00204CF2" w:rsidRPr="00204CF2" w:rsidRDefault="00204CF2" w:rsidP="006E421E">
      <w:pPr>
        <w:jc w:val="both"/>
      </w:pPr>
    </w:p>
    <w:p w14:paraId="5F842049" w14:textId="77777777" w:rsidR="00F32E03" w:rsidRPr="00725FDC" w:rsidRDefault="00F32E03" w:rsidP="006E421E">
      <w:pPr>
        <w:pStyle w:val="Heading3"/>
        <w:jc w:val="both"/>
      </w:pPr>
      <w:bookmarkStart w:id="34" w:name="_Toc200637218"/>
      <w:r w:rsidRPr="00725FDC">
        <w:lastRenderedPageBreak/>
        <w:t>Implications for the Hotel and the Hospitality Industry</w:t>
      </w:r>
      <w:bookmarkEnd w:id="34"/>
    </w:p>
    <w:p w14:paraId="6AD77260" w14:textId="7BFC1E90" w:rsidR="00F32E03" w:rsidRPr="00EB0B6E" w:rsidRDefault="00F32E03" w:rsidP="006E421E">
      <w:pPr>
        <w:spacing w:line="276" w:lineRule="auto"/>
        <w:jc w:val="both"/>
        <w:rPr>
          <w:rFonts w:ascii="Times New Roman" w:hAnsi="Times New Roman" w:cs="Times New Roman"/>
          <w:sz w:val="24"/>
          <w:szCs w:val="24"/>
        </w:rPr>
      </w:pPr>
      <w:r w:rsidRPr="00EB0B6E">
        <w:rPr>
          <w:rFonts w:ascii="Times New Roman" w:hAnsi="Times New Roman" w:cs="Times New Roman"/>
          <w:sz w:val="24"/>
          <w:szCs w:val="24"/>
        </w:rPr>
        <w:t xml:space="preserve">The findings from this research provide </w:t>
      </w:r>
      <w:r w:rsidR="00D25453" w:rsidRPr="00EB0B6E">
        <w:rPr>
          <w:rFonts w:ascii="Times New Roman" w:hAnsi="Times New Roman" w:cs="Times New Roman"/>
          <w:sz w:val="24"/>
          <w:szCs w:val="24"/>
        </w:rPr>
        <w:t>a few</w:t>
      </w:r>
      <w:r w:rsidRPr="00EB0B6E">
        <w:rPr>
          <w:rFonts w:ascii="Times New Roman" w:hAnsi="Times New Roman" w:cs="Times New Roman"/>
          <w:sz w:val="24"/>
          <w:szCs w:val="24"/>
        </w:rPr>
        <w:t xml:space="preserve"> strategic and theoretical implications. Firstly, they demonstrate that aesthetic and digital transformation alone </w:t>
      </w:r>
      <w:r w:rsidR="00F32589" w:rsidRPr="00EB0B6E">
        <w:rPr>
          <w:rFonts w:ascii="Times New Roman" w:hAnsi="Times New Roman" w:cs="Times New Roman"/>
          <w:sz w:val="24"/>
          <w:szCs w:val="24"/>
        </w:rPr>
        <w:t>are</w:t>
      </w:r>
      <w:r w:rsidRPr="00EB0B6E">
        <w:rPr>
          <w:rFonts w:ascii="Times New Roman" w:hAnsi="Times New Roman" w:cs="Times New Roman"/>
          <w:sz w:val="24"/>
          <w:szCs w:val="24"/>
        </w:rPr>
        <w:t xml:space="preserve"> insufficient for a successful rebrand. Without simultaneous cultural integration and staff emotional alignment, a rebranding may result in operational disconnection or employee disengagement. As shown by Balmer and Greyser (2006), organisational identity and strategic vision must move in tandem, particularly in industries rooted in human experience.</w:t>
      </w:r>
    </w:p>
    <w:p w14:paraId="664BAF41" w14:textId="77777777" w:rsidR="00F32E03" w:rsidRPr="00EB0B6E" w:rsidRDefault="00F32E03" w:rsidP="006E421E">
      <w:pPr>
        <w:spacing w:line="276" w:lineRule="auto"/>
        <w:jc w:val="both"/>
        <w:rPr>
          <w:rFonts w:ascii="Times New Roman" w:hAnsi="Times New Roman" w:cs="Times New Roman"/>
          <w:sz w:val="24"/>
          <w:szCs w:val="24"/>
        </w:rPr>
      </w:pPr>
      <w:r w:rsidRPr="00EB0B6E">
        <w:rPr>
          <w:rFonts w:ascii="Times New Roman" w:hAnsi="Times New Roman" w:cs="Times New Roman"/>
          <w:sz w:val="24"/>
          <w:szCs w:val="24"/>
        </w:rPr>
        <w:t>Secondly, the study reaffirms the critical role of communication and inclusive change management. Staff engagement cannot be retrofitted after changes have been made; it must be embedded from the outset. The hotel’s use of staff forums and feedback loops in 2025 was a step forward, but earlier efforts would have reduced the resistance observed in 2023.</w:t>
      </w:r>
    </w:p>
    <w:p w14:paraId="008F3D7D" w14:textId="1177470D" w:rsidR="00F32E03" w:rsidRPr="00EB0B6E" w:rsidRDefault="00F32E03" w:rsidP="006E421E">
      <w:pPr>
        <w:spacing w:line="276" w:lineRule="auto"/>
        <w:jc w:val="both"/>
        <w:rPr>
          <w:rFonts w:ascii="Times New Roman" w:hAnsi="Times New Roman" w:cs="Times New Roman"/>
          <w:sz w:val="24"/>
          <w:szCs w:val="24"/>
        </w:rPr>
      </w:pPr>
      <w:r w:rsidRPr="00EB0B6E">
        <w:rPr>
          <w:rFonts w:ascii="Times New Roman" w:hAnsi="Times New Roman" w:cs="Times New Roman"/>
          <w:sz w:val="24"/>
          <w:szCs w:val="24"/>
        </w:rPr>
        <w:t xml:space="preserve">Thirdly, the research highlights that brand loyalty is holistic, encompassing aesthetics, functionality, and emotional resonance. If even one dimension is </w:t>
      </w:r>
      <w:r w:rsidR="00EB0B6E" w:rsidRPr="00EB0B6E">
        <w:rPr>
          <w:rFonts w:ascii="Times New Roman" w:hAnsi="Times New Roman" w:cs="Times New Roman"/>
          <w:sz w:val="24"/>
          <w:szCs w:val="24"/>
        </w:rPr>
        <w:t>uncoordinated</w:t>
      </w:r>
      <w:r w:rsidRPr="00EB0B6E">
        <w:rPr>
          <w:rFonts w:ascii="Times New Roman" w:hAnsi="Times New Roman" w:cs="Times New Roman"/>
          <w:sz w:val="24"/>
          <w:szCs w:val="24"/>
        </w:rPr>
        <w:t>, guests may experience cognitive dissonance and reduce repeat visits. This reinforces the importance of maintaining a balance between technological innovation and genuine human service.</w:t>
      </w:r>
    </w:p>
    <w:p w14:paraId="123694F8" w14:textId="77777777" w:rsidR="00F32E03" w:rsidRPr="00EB0B6E" w:rsidRDefault="00F32E03" w:rsidP="006E421E">
      <w:pPr>
        <w:spacing w:line="276" w:lineRule="auto"/>
        <w:jc w:val="both"/>
        <w:rPr>
          <w:rFonts w:ascii="Times New Roman" w:hAnsi="Times New Roman" w:cs="Times New Roman"/>
          <w:sz w:val="24"/>
          <w:szCs w:val="24"/>
        </w:rPr>
      </w:pPr>
      <w:r w:rsidRPr="00EB0B6E">
        <w:rPr>
          <w:rFonts w:ascii="Times New Roman" w:hAnsi="Times New Roman" w:cs="Times New Roman"/>
          <w:sz w:val="24"/>
          <w:szCs w:val="24"/>
        </w:rPr>
        <w:t>Lastly, integrating ESG initiatives into the brand identity can provide long-term reputational and operational benefits. However, these initiatives must be more than symbolic; they must be measurable, authentic, and supported by both guests and staff. The findings suggest that when executed thoughtfully, ESG integration can foster both external credibility and internal commitment.</w:t>
      </w:r>
    </w:p>
    <w:p w14:paraId="3A69186F" w14:textId="77777777" w:rsidR="00574B1F" w:rsidRPr="00EB0B6E" w:rsidRDefault="00574B1F" w:rsidP="006E421E">
      <w:pPr>
        <w:spacing w:line="276" w:lineRule="auto"/>
        <w:jc w:val="both"/>
        <w:rPr>
          <w:rFonts w:ascii="Times New Roman" w:hAnsi="Times New Roman" w:cs="Times New Roman"/>
          <w:sz w:val="24"/>
          <w:szCs w:val="24"/>
        </w:rPr>
      </w:pPr>
    </w:p>
    <w:p w14:paraId="153CEF81" w14:textId="77777777" w:rsidR="00D25453" w:rsidRPr="00FD2FA7" w:rsidRDefault="00D25453" w:rsidP="006E421E">
      <w:pPr>
        <w:spacing w:line="276" w:lineRule="auto"/>
        <w:jc w:val="both"/>
        <w:rPr>
          <w:rFonts w:ascii="Times New Roman" w:hAnsi="Times New Roman" w:cs="Times New Roman"/>
          <w:sz w:val="24"/>
          <w:szCs w:val="24"/>
        </w:rPr>
      </w:pPr>
    </w:p>
    <w:p w14:paraId="30B61019" w14:textId="77777777" w:rsidR="00D25453" w:rsidRPr="00FD2FA7" w:rsidRDefault="00D25453" w:rsidP="006E421E">
      <w:pPr>
        <w:spacing w:line="276" w:lineRule="auto"/>
        <w:jc w:val="both"/>
        <w:rPr>
          <w:rFonts w:ascii="Times New Roman" w:hAnsi="Times New Roman" w:cs="Times New Roman"/>
          <w:sz w:val="24"/>
          <w:szCs w:val="24"/>
        </w:rPr>
      </w:pPr>
    </w:p>
    <w:p w14:paraId="7E84632C" w14:textId="77777777" w:rsidR="00D25453" w:rsidRPr="00FD2FA7" w:rsidRDefault="00D25453" w:rsidP="006E421E">
      <w:pPr>
        <w:spacing w:line="276" w:lineRule="auto"/>
        <w:jc w:val="both"/>
        <w:rPr>
          <w:rFonts w:ascii="Times New Roman" w:hAnsi="Times New Roman" w:cs="Times New Roman"/>
          <w:sz w:val="24"/>
          <w:szCs w:val="24"/>
        </w:rPr>
      </w:pPr>
    </w:p>
    <w:p w14:paraId="486F25E8" w14:textId="77777777" w:rsidR="00D25453" w:rsidRPr="00FD2FA7" w:rsidRDefault="00D25453" w:rsidP="006E421E">
      <w:pPr>
        <w:spacing w:line="276" w:lineRule="auto"/>
        <w:jc w:val="both"/>
        <w:rPr>
          <w:rFonts w:ascii="Times New Roman" w:hAnsi="Times New Roman" w:cs="Times New Roman"/>
          <w:sz w:val="24"/>
          <w:szCs w:val="24"/>
        </w:rPr>
      </w:pPr>
    </w:p>
    <w:p w14:paraId="176972C9" w14:textId="77777777" w:rsidR="00D25453" w:rsidRPr="00FD2FA7" w:rsidRDefault="00D25453" w:rsidP="006E421E">
      <w:pPr>
        <w:spacing w:line="276" w:lineRule="auto"/>
        <w:jc w:val="both"/>
        <w:rPr>
          <w:rFonts w:ascii="Times New Roman" w:hAnsi="Times New Roman" w:cs="Times New Roman"/>
          <w:sz w:val="24"/>
          <w:szCs w:val="24"/>
        </w:rPr>
      </w:pPr>
    </w:p>
    <w:p w14:paraId="222FB360" w14:textId="77777777" w:rsidR="00D25453" w:rsidRPr="00FD2FA7" w:rsidRDefault="00D25453" w:rsidP="006E421E">
      <w:pPr>
        <w:spacing w:line="276" w:lineRule="auto"/>
        <w:jc w:val="both"/>
        <w:rPr>
          <w:rFonts w:ascii="Times New Roman" w:hAnsi="Times New Roman" w:cs="Times New Roman"/>
          <w:sz w:val="24"/>
          <w:szCs w:val="24"/>
        </w:rPr>
      </w:pPr>
    </w:p>
    <w:p w14:paraId="1559D12A" w14:textId="77777777" w:rsidR="00D25453" w:rsidRPr="00FD2FA7" w:rsidRDefault="00D25453" w:rsidP="006E421E">
      <w:pPr>
        <w:spacing w:line="276" w:lineRule="auto"/>
        <w:jc w:val="both"/>
        <w:rPr>
          <w:rFonts w:ascii="Times New Roman" w:hAnsi="Times New Roman" w:cs="Times New Roman"/>
          <w:sz w:val="24"/>
          <w:szCs w:val="24"/>
        </w:rPr>
      </w:pPr>
    </w:p>
    <w:p w14:paraId="439E2817" w14:textId="77777777" w:rsidR="00D25453" w:rsidRPr="00FD2FA7" w:rsidRDefault="00D25453" w:rsidP="006E421E">
      <w:pPr>
        <w:spacing w:line="276" w:lineRule="auto"/>
        <w:jc w:val="both"/>
        <w:rPr>
          <w:rFonts w:ascii="Times New Roman" w:hAnsi="Times New Roman" w:cs="Times New Roman"/>
          <w:sz w:val="24"/>
          <w:szCs w:val="24"/>
        </w:rPr>
      </w:pPr>
    </w:p>
    <w:p w14:paraId="0F4AC4D6" w14:textId="77777777" w:rsidR="00D25453" w:rsidRPr="00FD2FA7" w:rsidRDefault="00D25453" w:rsidP="006E421E">
      <w:pPr>
        <w:spacing w:line="276" w:lineRule="auto"/>
        <w:jc w:val="both"/>
        <w:rPr>
          <w:rFonts w:ascii="Times New Roman" w:hAnsi="Times New Roman" w:cs="Times New Roman"/>
          <w:sz w:val="24"/>
          <w:szCs w:val="24"/>
        </w:rPr>
      </w:pPr>
    </w:p>
    <w:p w14:paraId="32F8A91E" w14:textId="77777777" w:rsidR="00A702CE" w:rsidRPr="00FD2FA7" w:rsidRDefault="00A702CE" w:rsidP="006E421E">
      <w:pPr>
        <w:spacing w:line="276" w:lineRule="auto"/>
        <w:jc w:val="both"/>
        <w:rPr>
          <w:rFonts w:ascii="Times New Roman" w:hAnsi="Times New Roman" w:cs="Times New Roman"/>
          <w:sz w:val="24"/>
          <w:szCs w:val="24"/>
        </w:rPr>
      </w:pPr>
    </w:p>
    <w:p w14:paraId="31407319" w14:textId="77777777" w:rsidR="00A702CE" w:rsidRPr="00FD2FA7" w:rsidRDefault="00A702CE" w:rsidP="006E421E">
      <w:pPr>
        <w:spacing w:line="276" w:lineRule="auto"/>
        <w:jc w:val="both"/>
        <w:rPr>
          <w:rFonts w:ascii="Times New Roman" w:hAnsi="Times New Roman" w:cs="Times New Roman"/>
          <w:sz w:val="24"/>
          <w:szCs w:val="24"/>
        </w:rPr>
      </w:pPr>
    </w:p>
    <w:p w14:paraId="70941D15" w14:textId="77777777" w:rsidR="00A702CE" w:rsidRPr="00FD2FA7" w:rsidRDefault="00A702CE" w:rsidP="006E421E">
      <w:pPr>
        <w:spacing w:line="276" w:lineRule="auto"/>
        <w:jc w:val="both"/>
        <w:rPr>
          <w:rFonts w:ascii="Times New Roman" w:hAnsi="Times New Roman" w:cs="Times New Roman"/>
          <w:sz w:val="24"/>
          <w:szCs w:val="24"/>
        </w:rPr>
      </w:pPr>
    </w:p>
    <w:p w14:paraId="4DAC7088" w14:textId="77777777" w:rsidR="00B73AF5" w:rsidRPr="00204CF2" w:rsidRDefault="00B73AF5" w:rsidP="006E421E">
      <w:pPr>
        <w:pStyle w:val="Heading1"/>
        <w:jc w:val="both"/>
        <w:rPr>
          <w:b/>
          <w:bCs/>
        </w:rPr>
      </w:pPr>
      <w:bookmarkStart w:id="35" w:name="_Toc200637219"/>
      <w:r w:rsidRPr="00204CF2">
        <w:rPr>
          <w:b/>
          <w:bCs/>
        </w:rPr>
        <w:lastRenderedPageBreak/>
        <w:t>Chapter 5: Conclusion</w:t>
      </w:r>
      <w:bookmarkEnd w:id="35"/>
    </w:p>
    <w:p w14:paraId="6B65FE80" w14:textId="4E3AC128" w:rsidR="00B73AF5" w:rsidRPr="00FD2FA7" w:rsidRDefault="00B73AF5"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 xml:space="preserve">This research project investigated the impact of organisational rebranding on employee experience and operational performance, using Delta Hotels by Marriott Bristol City Centre as a case study. Through a qualitative analysis of two distinct 10-week placement periods (April–July 2023 and January–March 2025), supported by netnographic review and academic literature, the study examined how the transition from Marriott to Delta by Marriott influenced the internal and external dynamics of hotel operations. The research addressed three core objectives: understanding how employee roles and satisfaction were affected, evaluating the effectiveness of internal communication and cultural integration, and assessing how </w:t>
      </w:r>
      <w:r w:rsidR="00EB0B6E" w:rsidRPr="00FD2FA7">
        <w:rPr>
          <w:rFonts w:ascii="Times New Roman" w:hAnsi="Times New Roman" w:cs="Times New Roman"/>
          <w:sz w:val="24"/>
          <w:szCs w:val="24"/>
        </w:rPr>
        <w:t>guests and stakeholders perceived the rebranding</w:t>
      </w:r>
      <w:r w:rsidRPr="00FD2FA7">
        <w:rPr>
          <w:rFonts w:ascii="Times New Roman" w:hAnsi="Times New Roman" w:cs="Times New Roman"/>
          <w:sz w:val="24"/>
          <w:szCs w:val="24"/>
        </w:rPr>
        <w:t>.</w:t>
      </w:r>
    </w:p>
    <w:p w14:paraId="42E16052" w14:textId="371C75C9" w:rsidR="00B73AF5" w:rsidRPr="00FD2FA7" w:rsidRDefault="00B73AF5"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One of the most observable aspects of the rebrand was the physical and technological transformation of the hotel. From 2023 to 2025, the hotel underwent extensive renovations, introducing smart systems, modular furnishings, and sustainability measures aligned with Marriott’s Serve 360 ESG agenda (Marriott International, 2024). These changes were not merely cosmetic</w:t>
      </w:r>
      <w:r w:rsidR="00AC1D4F">
        <w:rPr>
          <w:rFonts w:ascii="Times New Roman" w:hAnsi="Times New Roman" w:cs="Times New Roman"/>
          <w:sz w:val="24"/>
          <w:szCs w:val="24"/>
        </w:rPr>
        <w:t xml:space="preserve">; </w:t>
      </w:r>
      <w:r w:rsidRPr="00FD2FA7">
        <w:rPr>
          <w:rFonts w:ascii="Times New Roman" w:hAnsi="Times New Roman" w:cs="Times New Roman"/>
          <w:sz w:val="24"/>
          <w:szCs w:val="24"/>
        </w:rPr>
        <w:t>they signified a deeper shift towards operational efficiency and guest autonomy, in line with industry-wide trends in automation and self-service (Wirtz, Zeithaml and Gistri, 2020). The upgrades improved operational flow, reduced reliance on labour-intensive tasks, and created a visually modern environment that appealed to business and leisure travellers alike.</w:t>
      </w:r>
    </w:p>
    <w:p w14:paraId="5B391250" w14:textId="50222CA5" w:rsidR="00B73AF5" w:rsidRPr="00FD2FA7" w:rsidRDefault="00B73AF5"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However, the technological and aesthetic transformation also redefined the roles and experiences of employees. Traditional hospitality roles</w:t>
      </w:r>
      <w:r w:rsidR="00AC1D4F">
        <w:rPr>
          <w:rFonts w:ascii="Times New Roman" w:hAnsi="Times New Roman" w:cs="Times New Roman"/>
          <w:sz w:val="24"/>
          <w:szCs w:val="24"/>
        </w:rPr>
        <w:t xml:space="preserve"> </w:t>
      </w:r>
      <w:r w:rsidRPr="00FD2FA7">
        <w:rPr>
          <w:rFonts w:ascii="Times New Roman" w:hAnsi="Times New Roman" w:cs="Times New Roman"/>
          <w:sz w:val="24"/>
          <w:szCs w:val="24"/>
        </w:rPr>
        <w:t>centred around high-touch, emotionally engaging service</w:t>
      </w:r>
      <w:r w:rsidR="00AC1D4F">
        <w:rPr>
          <w:rFonts w:ascii="Times New Roman" w:hAnsi="Times New Roman" w:cs="Times New Roman"/>
          <w:sz w:val="24"/>
          <w:szCs w:val="24"/>
        </w:rPr>
        <w:t xml:space="preserve"> </w:t>
      </w:r>
      <w:r w:rsidRPr="00FD2FA7">
        <w:rPr>
          <w:rFonts w:ascii="Times New Roman" w:hAnsi="Times New Roman" w:cs="Times New Roman"/>
          <w:sz w:val="24"/>
          <w:szCs w:val="24"/>
        </w:rPr>
        <w:t>gave way to hybridised, multi-functional positions that prioritised system navigation and operational efficiency. While newer staff appeared to embrace these changes, long-serving employees expressed feelings of detachment and role dilution. This tension aligns with Lashley’s (20</w:t>
      </w:r>
      <w:r w:rsidR="00314CD6">
        <w:rPr>
          <w:rFonts w:ascii="Times New Roman" w:hAnsi="Times New Roman" w:cs="Times New Roman"/>
          <w:sz w:val="24"/>
          <w:szCs w:val="24"/>
        </w:rPr>
        <w:t>09</w:t>
      </w:r>
      <w:r w:rsidRPr="00FD2FA7">
        <w:rPr>
          <w:rFonts w:ascii="Times New Roman" w:hAnsi="Times New Roman" w:cs="Times New Roman"/>
          <w:sz w:val="24"/>
          <w:szCs w:val="24"/>
        </w:rPr>
        <w:t>) assertion that emotional labour is central to employee identity and satisfaction in hospitality work. The transition revealed a cultural mismatch between the brand’s new operational focus and the legacy expectations of its staff.</w:t>
      </w:r>
    </w:p>
    <w:p w14:paraId="37806FD0" w14:textId="36B011C4" w:rsidR="00B73AF5" w:rsidRPr="00FD2FA7" w:rsidRDefault="00B73AF5"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Internal communication played a pivotal role in shaping how these changes were perceived and adopted. In 2023, the lack of structured communication contributed to confusion, speculation, and resistance. By 2025, the introduction of team meetings, feedback surveys, and brand training helped to improve transparency and staff engagement. Yet, disparities remained</w:t>
      </w:r>
      <w:r w:rsidR="00AC1D4F">
        <w:rPr>
          <w:rFonts w:ascii="Times New Roman" w:hAnsi="Times New Roman" w:cs="Times New Roman"/>
          <w:sz w:val="24"/>
          <w:szCs w:val="24"/>
        </w:rPr>
        <w:t xml:space="preserve"> </w:t>
      </w:r>
      <w:r w:rsidRPr="00FD2FA7">
        <w:rPr>
          <w:rFonts w:ascii="Times New Roman" w:hAnsi="Times New Roman" w:cs="Times New Roman"/>
          <w:sz w:val="24"/>
          <w:szCs w:val="24"/>
        </w:rPr>
        <w:t>particularly between front-of-house and support teams</w:t>
      </w:r>
      <w:r w:rsidR="00AC1D4F">
        <w:rPr>
          <w:rFonts w:ascii="Times New Roman" w:hAnsi="Times New Roman" w:cs="Times New Roman"/>
          <w:sz w:val="24"/>
          <w:szCs w:val="24"/>
        </w:rPr>
        <w:t xml:space="preserve">, </w:t>
      </w:r>
      <w:r w:rsidRPr="00FD2FA7">
        <w:rPr>
          <w:rFonts w:ascii="Times New Roman" w:hAnsi="Times New Roman" w:cs="Times New Roman"/>
          <w:sz w:val="24"/>
          <w:szCs w:val="24"/>
        </w:rPr>
        <w:t>highlighting that effective communication must be multidirectional to foster true inclusivity (Brower, Abolafia and Carr, 2000). The research confirmed Armenakis and Harris’s (2009) view that successful change management depends not only on top-down directives but also on participatory processes that validate employee contributions.</w:t>
      </w:r>
    </w:p>
    <w:p w14:paraId="554E55DA" w14:textId="77777777" w:rsidR="00B73AF5" w:rsidRPr="00FD2FA7" w:rsidRDefault="00B73AF5"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 xml:space="preserve">The study also examined how guests responded to the rebranding. Feedback suggested that while most guests appreciated the modern facilities and smoother service delivery, many missed the emotional warmth and personalised touch that characterised the Marriott brand. This outcome echoes Kandampully and Suhartanto’s (2000) dual-component model of customer loyalty, which identifies both functional satisfaction and emotional engagement as </w:t>
      </w:r>
      <w:r w:rsidRPr="00FD2FA7">
        <w:rPr>
          <w:rFonts w:ascii="Times New Roman" w:hAnsi="Times New Roman" w:cs="Times New Roman"/>
          <w:sz w:val="24"/>
          <w:szCs w:val="24"/>
        </w:rPr>
        <w:lastRenderedPageBreak/>
        <w:t>essential to long-term loyalty. Although Delta’s rebranding succeeded in delivering convenience and consistency, it risked alienating guests who valued relational service.</w:t>
      </w:r>
    </w:p>
    <w:p w14:paraId="39407D7D" w14:textId="5499730D" w:rsidR="00B73AF5" w:rsidRPr="00FD2FA7" w:rsidRDefault="00B73AF5"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 xml:space="preserve">Another important development was the integration of sustainability and ESG initiatives. The hotel adopted several environmentally conscious practices, such as waste segregation and water-saving fixtures, alongside training to align staff with Marriott’s Serve 360 ESG values. These measures were generally </w:t>
      </w:r>
      <w:r w:rsidR="00672FB6" w:rsidRPr="00FD2FA7">
        <w:rPr>
          <w:rFonts w:ascii="Times New Roman" w:hAnsi="Times New Roman" w:cs="Times New Roman"/>
          <w:sz w:val="24"/>
          <w:szCs w:val="24"/>
        </w:rPr>
        <w:t>well-received by employees and added a sense of purpose to their roles; however, operational inconsistencies and limited guest compliance highlighted</w:t>
      </w:r>
      <w:r w:rsidRPr="00FD2FA7">
        <w:rPr>
          <w:rFonts w:ascii="Times New Roman" w:hAnsi="Times New Roman" w:cs="Times New Roman"/>
          <w:sz w:val="24"/>
          <w:szCs w:val="24"/>
        </w:rPr>
        <w:t xml:space="preserve"> the challenges of implementing sustainability in practice (Font and Lynes, 2018). Nonetheless, the move towards green hospitality positioned Delta as a forward-thinking brand attuned to evolving consumer expectations post-COVID (Sartori et al., 2018).</w:t>
      </w:r>
    </w:p>
    <w:p w14:paraId="7A1AF076" w14:textId="5A0EBDDE" w:rsidR="00B73AF5" w:rsidRPr="00FD2FA7" w:rsidRDefault="00B73AF5"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From an academic standpoint, this study reinforces the complexity of organisational rebranding, particularly in service-based industries like hospitality</w:t>
      </w:r>
      <w:r w:rsidR="00F32589" w:rsidRPr="00FD2FA7">
        <w:rPr>
          <w:rFonts w:ascii="Times New Roman" w:hAnsi="Times New Roman" w:cs="Times New Roman"/>
          <w:sz w:val="24"/>
          <w:szCs w:val="24"/>
        </w:rPr>
        <w:t>,</w:t>
      </w:r>
      <w:r w:rsidRPr="00FD2FA7">
        <w:rPr>
          <w:rFonts w:ascii="Times New Roman" w:hAnsi="Times New Roman" w:cs="Times New Roman"/>
          <w:sz w:val="24"/>
          <w:szCs w:val="24"/>
        </w:rPr>
        <w:t xml:space="preserve"> where both employee and guest perceptions are integral to success. The findings highlight the interconnected nature of brand identity, culture, communication, and performance. While the physical transformation of Delta Hotels by Marriott Bristol City Centre was largely effective, the internal cultural shift </w:t>
      </w:r>
      <w:r w:rsidR="00F32589" w:rsidRPr="00FD2FA7">
        <w:rPr>
          <w:rFonts w:ascii="Times New Roman" w:hAnsi="Times New Roman" w:cs="Times New Roman"/>
          <w:sz w:val="24"/>
          <w:szCs w:val="24"/>
        </w:rPr>
        <w:t>lagged</w:t>
      </w:r>
      <w:r w:rsidRPr="00FD2FA7">
        <w:rPr>
          <w:rFonts w:ascii="Times New Roman" w:hAnsi="Times New Roman" w:cs="Times New Roman"/>
          <w:sz w:val="24"/>
          <w:szCs w:val="24"/>
        </w:rPr>
        <w:t>, revealing a gap between visual rebranding and deeper organisational change.</w:t>
      </w:r>
    </w:p>
    <w:p w14:paraId="7687C6B7" w14:textId="179EC3BE" w:rsidR="00B73AF5" w:rsidRPr="00FD2FA7" w:rsidRDefault="00B73AF5"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In summary, the research has provided valuable insights into the dual impacts of rebranding</w:t>
      </w:r>
      <w:r w:rsidR="00F34FC3">
        <w:rPr>
          <w:rFonts w:ascii="Times New Roman" w:hAnsi="Times New Roman" w:cs="Times New Roman"/>
          <w:sz w:val="24"/>
          <w:szCs w:val="24"/>
        </w:rPr>
        <w:t xml:space="preserve"> </w:t>
      </w:r>
      <w:r w:rsidRPr="00FD2FA7">
        <w:rPr>
          <w:rFonts w:ascii="Times New Roman" w:hAnsi="Times New Roman" w:cs="Times New Roman"/>
          <w:sz w:val="24"/>
          <w:szCs w:val="24"/>
        </w:rPr>
        <w:t xml:space="preserve">external (guest satisfaction and brand perception) and internal (employee roles and engagement). It has </w:t>
      </w:r>
      <w:r w:rsidR="00F32589" w:rsidRPr="00FD2FA7">
        <w:rPr>
          <w:rFonts w:ascii="Times New Roman" w:hAnsi="Times New Roman" w:cs="Times New Roman"/>
          <w:sz w:val="24"/>
          <w:szCs w:val="24"/>
        </w:rPr>
        <w:t xml:space="preserve">been </w:t>
      </w:r>
      <w:r w:rsidRPr="00FD2FA7">
        <w:rPr>
          <w:rFonts w:ascii="Times New Roman" w:hAnsi="Times New Roman" w:cs="Times New Roman"/>
          <w:sz w:val="24"/>
          <w:szCs w:val="24"/>
        </w:rPr>
        <w:t>shown that while visible upgrades and operational improvements are essential for market repositioning, the human element must not be overlooked. Emotional labour, cultural integration, and transparent communication remain vital to ensuring staff engagement and guest loyalty in the long term. The Delta case demonstrates that a rebranding strategy must be holistic, embedding values and vision into every layer of the organisation</w:t>
      </w:r>
      <w:r w:rsidR="00F32589" w:rsidRPr="00FD2FA7">
        <w:rPr>
          <w:rFonts w:ascii="Times New Roman" w:hAnsi="Times New Roman" w:cs="Times New Roman"/>
          <w:sz w:val="24"/>
          <w:szCs w:val="24"/>
        </w:rPr>
        <w:t xml:space="preserve">, </w:t>
      </w:r>
      <w:r w:rsidRPr="00FD2FA7">
        <w:rPr>
          <w:rFonts w:ascii="Times New Roman" w:hAnsi="Times New Roman" w:cs="Times New Roman"/>
          <w:sz w:val="24"/>
          <w:szCs w:val="24"/>
        </w:rPr>
        <w:t>from the lobby to the laundry room.</w:t>
      </w:r>
    </w:p>
    <w:p w14:paraId="51DF5164" w14:textId="5C2E7918" w:rsidR="00B73AF5" w:rsidRPr="00FD2FA7" w:rsidRDefault="00B73AF5"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The conclusion affirms that rebranding is not a one-time project but an ongoing process that requires continuous alignment between identity, behaviour, and perception. It offers a cautionary reminder that in the pursuit of modernisation and efficiency, hospitality brands must also invest in their people</w:t>
      </w:r>
      <w:r w:rsidR="00F32589" w:rsidRPr="00FD2FA7">
        <w:rPr>
          <w:rFonts w:ascii="Times New Roman" w:hAnsi="Times New Roman" w:cs="Times New Roman"/>
          <w:sz w:val="24"/>
          <w:szCs w:val="24"/>
        </w:rPr>
        <w:t xml:space="preserve">, </w:t>
      </w:r>
      <w:r w:rsidRPr="00FD2FA7">
        <w:rPr>
          <w:rFonts w:ascii="Times New Roman" w:hAnsi="Times New Roman" w:cs="Times New Roman"/>
          <w:sz w:val="24"/>
          <w:szCs w:val="24"/>
        </w:rPr>
        <w:t>ensuring that staff feel valued, empowered, and aligned with the brand ethos. Only then can a rebrand deliver sustained performance improvements, operational coherence, and meaningful guest experiences.</w:t>
      </w:r>
    </w:p>
    <w:p w14:paraId="7FD55CEA" w14:textId="77777777" w:rsidR="00B20E1F" w:rsidRDefault="00B20E1F" w:rsidP="006E421E">
      <w:pPr>
        <w:spacing w:line="276" w:lineRule="auto"/>
        <w:jc w:val="both"/>
        <w:rPr>
          <w:rFonts w:ascii="Times New Roman" w:hAnsi="Times New Roman" w:cs="Times New Roman"/>
          <w:sz w:val="28"/>
          <w:szCs w:val="28"/>
        </w:rPr>
      </w:pPr>
    </w:p>
    <w:p w14:paraId="1B1077C9" w14:textId="77777777" w:rsidR="00D24FA7" w:rsidRDefault="00D24FA7" w:rsidP="006E421E">
      <w:pPr>
        <w:spacing w:line="276" w:lineRule="auto"/>
        <w:jc w:val="both"/>
        <w:rPr>
          <w:rFonts w:ascii="Times New Roman" w:hAnsi="Times New Roman" w:cs="Times New Roman"/>
          <w:sz w:val="28"/>
          <w:szCs w:val="28"/>
        </w:rPr>
      </w:pPr>
    </w:p>
    <w:p w14:paraId="07F877EA" w14:textId="77777777" w:rsidR="00D24FA7" w:rsidRDefault="00D24FA7" w:rsidP="006E421E">
      <w:pPr>
        <w:spacing w:line="276" w:lineRule="auto"/>
        <w:jc w:val="both"/>
        <w:rPr>
          <w:rFonts w:ascii="Times New Roman" w:hAnsi="Times New Roman" w:cs="Times New Roman"/>
          <w:sz w:val="28"/>
          <w:szCs w:val="28"/>
        </w:rPr>
      </w:pPr>
    </w:p>
    <w:p w14:paraId="0B76E142" w14:textId="77777777" w:rsidR="00D24FA7" w:rsidRDefault="00D24FA7" w:rsidP="006E421E">
      <w:pPr>
        <w:spacing w:line="276" w:lineRule="auto"/>
        <w:jc w:val="both"/>
        <w:rPr>
          <w:rFonts w:ascii="Times New Roman" w:hAnsi="Times New Roman" w:cs="Times New Roman"/>
          <w:sz w:val="28"/>
          <w:szCs w:val="28"/>
        </w:rPr>
      </w:pPr>
    </w:p>
    <w:p w14:paraId="734A141E" w14:textId="77777777" w:rsidR="00D24FA7" w:rsidRDefault="00D24FA7" w:rsidP="006E421E">
      <w:pPr>
        <w:spacing w:line="276" w:lineRule="auto"/>
        <w:jc w:val="both"/>
        <w:rPr>
          <w:rFonts w:ascii="Times New Roman" w:hAnsi="Times New Roman" w:cs="Times New Roman"/>
          <w:sz w:val="28"/>
          <w:szCs w:val="28"/>
        </w:rPr>
      </w:pPr>
    </w:p>
    <w:p w14:paraId="2767F9E8" w14:textId="77777777" w:rsidR="00D24FA7" w:rsidRDefault="00D24FA7" w:rsidP="006E421E">
      <w:pPr>
        <w:spacing w:line="276" w:lineRule="auto"/>
        <w:jc w:val="both"/>
        <w:rPr>
          <w:rFonts w:ascii="Times New Roman" w:hAnsi="Times New Roman" w:cs="Times New Roman"/>
          <w:sz w:val="28"/>
          <w:szCs w:val="28"/>
        </w:rPr>
      </w:pPr>
    </w:p>
    <w:p w14:paraId="044CC057" w14:textId="77777777" w:rsidR="00D24FA7" w:rsidRPr="00D24FA7" w:rsidRDefault="00D24FA7" w:rsidP="006E421E">
      <w:pPr>
        <w:spacing w:line="276" w:lineRule="auto"/>
        <w:jc w:val="both"/>
        <w:rPr>
          <w:rFonts w:ascii="Times New Roman" w:hAnsi="Times New Roman" w:cs="Times New Roman"/>
          <w:sz w:val="28"/>
          <w:szCs w:val="28"/>
        </w:rPr>
      </w:pPr>
    </w:p>
    <w:p w14:paraId="373BE7FB" w14:textId="720886AE" w:rsidR="00B670F1" w:rsidRPr="00725FDC" w:rsidRDefault="00F97D37" w:rsidP="006E421E">
      <w:pPr>
        <w:pStyle w:val="Heading2"/>
        <w:jc w:val="both"/>
      </w:pPr>
      <w:bookmarkStart w:id="36" w:name="_Toc200637220"/>
      <w:r w:rsidRPr="00725FDC">
        <w:lastRenderedPageBreak/>
        <w:t>5.1</w:t>
      </w:r>
      <w:r w:rsidR="007E1C6B" w:rsidRPr="00725FDC">
        <w:t xml:space="preserve"> </w:t>
      </w:r>
      <w:r w:rsidR="00B670F1" w:rsidRPr="00725FDC">
        <w:t>Recommendations and Practical Strategies</w:t>
      </w:r>
      <w:bookmarkEnd w:id="36"/>
    </w:p>
    <w:p w14:paraId="103F4E2B" w14:textId="77777777" w:rsidR="00B670F1" w:rsidRPr="00FD2FA7" w:rsidRDefault="00B670F1"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Following the in-depth analysis of Delta Hotels by Marriott Bristol City Centre’s rebranding journey, several practical recommendations are proposed to address the observed challenges and optimise future performance. These are structured around the three research objectives: enhancing employee experience, strengthening internal communication and culture, and improving guest engagement and loyalty.</w:t>
      </w:r>
    </w:p>
    <w:p w14:paraId="3E997E50" w14:textId="77777777" w:rsidR="00D24FA7" w:rsidRPr="00FD2FA7" w:rsidRDefault="00D24FA7" w:rsidP="006E421E">
      <w:pPr>
        <w:spacing w:line="276" w:lineRule="auto"/>
        <w:jc w:val="both"/>
        <w:rPr>
          <w:rFonts w:ascii="Times New Roman" w:hAnsi="Times New Roman" w:cs="Times New Roman"/>
          <w:sz w:val="24"/>
          <w:szCs w:val="24"/>
        </w:rPr>
      </w:pPr>
    </w:p>
    <w:p w14:paraId="7C8D548E" w14:textId="77777777" w:rsidR="00B670F1" w:rsidRPr="00725FDC" w:rsidRDefault="00B670F1" w:rsidP="006E421E">
      <w:pPr>
        <w:pStyle w:val="Heading3"/>
        <w:jc w:val="both"/>
      </w:pPr>
      <w:bookmarkStart w:id="37" w:name="_Toc200637221"/>
      <w:r w:rsidRPr="00725FDC">
        <w:t>1. Strengthen Employee Engagement and Role Clarity through Tailored Training</w:t>
      </w:r>
      <w:bookmarkEnd w:id="37"/>
    </w:p>
    <w:p w14:paraId="54F1CFFC" w14:textId="77777777" w:rsidR="00B670F1" w:rsidRPr="00BB287D" w:rsidRDefault="00B670F1" w:rsidP="006E421E">
      <w:p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The findings revealed a disconnect between evolving job roles and staff readiness, particularly among long-serving employees. To address this, Delta should introduce a more targeted and phased training programme that accounts for differing experience levels and departmental needs.</w:t>
      </w:r>
    </w:p>
    <w:p w14:paraId="5BC4CEE3" w14:textId="3D868148" w:rsidR="00B670F1" w:rsidRPr="00FD2FA7" w:rsidRDefault="00B670F1" w:rsidP="006E421E">
      <w:pPr>
        <w:numPr>
          <w:ilvl w:val="0"/>
          <w:numId w:val="15"/>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Custom induction tracks</w:t>
      </w:r>
      <w:r w:rsidRPr="00FD2FA7">
        <w:rPr>
          <w:rFonts w:ascii="Times New Roman" w:hAnsi="Times New Roman" w:cs="Times New Roman"/>
          <w:sz w:val="24"/>
          <w:szCs w:val="24"/>
        </w:rPr>
        <w:t xml:space="preserve"> should be created for legacy staff versus new hires, recognising that emotional labour and identity anchoring are more prominent among long-tenured employees (Lashley, 20</w:t>
      </w:r>
      <w:r w:rsidR="00373754">
        <w:rPr>
          <w:rFonts w:ascii="Times New Roman" w:hAnsi="Times New Roman" w:cs="Times New Roman"/>
          <w:sz w:val="24"/>
          <w:szCs w:val="24"/>
        </w:rPr>
        <w:t>09</w:t>
      </w:r>
      <w:r w:rsidRPr="00FD2FA7">
        <w:rPr>
          <w:rFonts w:ascii="Times New Roman" w:hAnsi="Times New Roman" w:cs="Times New Roman"/>
          <w:sz w:val="24"/>
          <w:szCs w:val="24"/>
        </w:rPr>
        <w:t>).</w:t>
      </w:r>
    </w:p>
    <w:p w14:paraId="2841BA3A" w14:textId="3747EA75" w:rsidR="00B670F1" w:rsidRPr="00FD2FA7" w:rsidRDefault="00B670F1" w:rsidP="006E421E">
      <w:pPr>
        <w:numPr>
          <w:ilvl w:val="0"/>
          <w:numId w:val="15"/>
        </w:num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 xml:space="preserve">Emphasis should be placed on </w:t>
      </w:r>
      <w:r w:rsidRPr="00BB287D">
        <w:rPr>
          <w:rFonts w:ascii="Times New Roman" w:hAnsi="Times New Roman" w:cs="Times New Roman"/>
          <w:sz w:val="24"/>
          <w:szCs w:val="24"/>
        </w:rPr>
        <w:t>soft skills in a digital environment</w:t>
      </w:r>
      <w:r w:rsidR="00D46F8D">
        <w:rPr>
          <w:rFonts w:ascii="Times New Roman" w:hAnsi="Times New Roman" w:cs="Times New Roman"/>
          <w:sz w:val="24"/>
          <w:szCs w:val="24"/>
        </w:rPr>
        <w:t xml:space="preserve">, </w:t>
      </w:r>
      <w:r w:rsidRPr="00FD2FA7">
        <w:rPr>
          <w:rFonts w:ascii="Times New Roman" w:hAnsi="Times New Roman" w:cs="Times New Roman"/>
          <w:sz w:val="24"/>
          <w:szCs w:val="24"/>
        </w:rPr>
        <w:t>for instance, how to maintain personal warmth while guiding guests through automated systems.</w:t>
      </w:r>
    </w:p>
    <w:p w14:paraId="7C91FBCA" w14:textId="77777777" w:rsidR="00B670F1" w:rsidRPr="00FD2FA7" w:rsidRDefault="00B670F1" w:rsidP="006E421E">
      <w:pPr>
        <w:numPr>
          <w:ilvl w:val="0"/>
          <w:numId w:val="15"/>
        </w:num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 xml:space="preserve">Cross-training staff in </w:t>
      </w:r>
      <w:r w:rsidRPr="00BB287D">
        <w:rPr>
          <w:rFonts w:ascii="Times New Roman" w:hAnsi="Times New Roman" w:cs="Times New Roman"/>
          <w:sz w:val="24"/>
          <w:szCs w:val="24"/>
        </w:rPr>
        <w:t>hybrid roles</w:t>
      </w:r>
      <w:r w:rsidRPr="00FD2FA7">
        <w:rPr>
          <w:rFonts w:ascii="Times New Roman" w:hAnsi="Times New Roman" w:cs="Times New Roman"/>
          <w:sz w:val="24"/>
          <w:szCs w:val="24"/>
        </w:rPr>
        <w:t xml:space="preserve"> can improve flexibility while reducing the stress of being replaced by machines (Grönroos, 2007).</w:t>
      </w:r>
    </w:p>
    <w:p w14:paraId="0775617B" w14:textId="77777777" w:rsidR="00B670F1" w:rsidRPr="00FD2FA7" w:rsidRDefault="00B670F1"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 xml:space="preserve">In addition to formal training, Delta should establish a </w:t>
      </w:r>
      <w:r w:rsidRPr="00BB287D">
        <w:rPr>
          <w:rFonts w:ascii="Times New Roman" w:hAnsi="Times New Roman" w:cs="Times New Roman"/>
          <w:sz w:val="24"/>
          <w:szCs w:val="24"/>
        </w:rPr>
        <w:t>peer mentorship scheme</w:t>
      </w:r>
      <w:r w:rsidRPr="00FD2FA7">
        <w:rPr>
          <w:rFonts w:ascii="Times New Roman" w:hAnsi="Times New Roman" w:cs="Times New Roman"/>
          <w:sz w:val="24"/>
          <w:szCs w:val="24"/>
        </w:rPr>
        <w:t xml:space="preserve"> where staff who have successfully adapted to new roles can support those still adjusting. This creates a shared learning culture and reinforces commitment to the rebrand.</w:t>
      </w:r>
    </w:p>
    <w:p w14:paraId="3D297125" w14:textId="05C64807" w:rsidR="00B670F1" w:rsidRPr="00FD2FA7" w:rsidRDefault="00B670F1" w:rsidP="006E421E">
      <w:pPr>
        <w:spacing w:line="276" w:lineRule="auto"/>
        <w:jc w:val="both"/>
        <w:rPr>
          <w:rFonts w:ascii="Times New Roman" w:hAnsi="Times New Roman" w:cs="Times New Roman"/>
          <w:sz w:val="24"/>
          <w:szCs w:val="24"/>
        </w:rPr>
      </w:pPr>
    </w:p>
    <w:p w14:paraId="79E65A86" w14:textId="77777777" w:rsidR="00B670F1" w:rsidRPr="00725FDC" w:rsidRDefault="00B670F1" w:rsidP="006E421E">
      <w:pPr>
        <w:pStyle w:val="Heading3"/>
        <w:jc w:val="both"/>
      </w:pPr>
      <w:bookmarkStart w:id="38" w:name="_Toc200637222"/>
      <w:r w:rsidRPr="00725FDC">
        <w:t>2. Implement Departmental Change Ambassadors</w:t>
      </w:r>
      <w:bookmarkEnd w:id="38"/>
    </w:p>
    <w:p w14:paraId="152BCED4" w14:textId="77777777" w:rsidR="00B670F1" w:rsidRPr="00BB287D" w:rsidRDefault="00B670F1" w:rsidP="006E421E">
      <w:p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Although general communication improved by 2025, inconsistencies remained between customer-facing and support teams. To bridge this divide, Delta should appoint “change ambassadors” or “brand champions” in each department, responsible for:</w:t>
      </w:r>
    </w:p>
    <w:p w14:paraId="4CAA5024" w14:textId="1B8145B1" w:rsidR="00B670F1" w:rsidRPr="00BB287D" w:rsidRDefault="00B670F1" w:rsidP="006E421E">
      <w:pPr>
        <w:numPr>
          <w:ilvl w:val="0"/>
          <w:numId w:val="16"/>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 xml:space="preserve">Communicating changes in </w:t>
      </w:r>
      <w:r w:rsidR="00672FB6" w:rsidRPr="00BB287D">
        <w:rPr>
          <w:rFonts w:ascii="Times New Roman" w:hAnsi="Times New Roman" w:cs="Times New Roman"/>
          <w:sz w:val="24"/>
          <w:szCs w:val="24"/>
        </w:rPr>
        <w:t>real-time.</w:t>
      </w:r>
    </w:p>
    <w:p w14:paraId="3CD1469A" w14:textId="15229A4D" w:rsidR="00B670F1" w:rsidRPr="00BB287D" w:rsidRDefault="00B670F1" w:rsidP="006E421E">
      <w:pPr>
        <w:numPr>
          <w:ilvl w:val="0"/>
          <w:numId w:val="16"/>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 xml:space="preserve">Facilitating feedback loops within </w:t>
      </w:r>
      <w:r w:rsidR="00672FB6" w:rsidRPr="00BB287D">
        <w:rPr>
          <w:rFonts w:ascii="Times New Roman" w:hAnsi="Times New Roman" w:cs="Times New Roman"/>
          <w:sz w:val="24"/>
          <w:szCs w:val="24"/>
        </w:rPr>
        <w:t>teams.</w:t>
      </w:r>
    </w:p>
    <w:p w14:paraId="438E4D66" w14:textId="77777777" w:rsidR="00B670F1" w:rsidRPr="00BB287D" w:rsidRDefault="00B670F1" w:rsidP="006E421E">
      <w:pPr>
        <w:numPr>
          <w:ilvl w:val="0"/>
          <w:numId w:val="16"/>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Relaying departmental concerns to senior leadership.</w:t>
      </w:r>
    </w:p>
    <w:p w14:paraId="453C1886" w14:textId="77777777" w:rsidR="00B670F1" w:rsidRPr="00BB287D" w:rsidRDefault="00B670F1" w:rsidP="006E421E">
      <w:p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These ambassadors can help cascade the brand vision, ensuring every staff member feels included in the rebranding journey. This aligns with Kotter’s (1996) concept of forming a “guiding coalition” to champion change at every level.</w:t>
      </w:r>
    </w:p>
    <w:p w14:paraId="447AA3FB" w14:textId="77777777" w:rsidR="00D635F5" w:rsidRPr="00FD2FA7" w:rsidRDefault="00D635F5" w:rsidP="006E421E">
      <w:pPr>
        <w:spacing w:line="276" w:lineRule="auto"/>
        <w:jc w:val="both"/>
        <w:rPr>
          <w:rFonts w:ascii="Times New Roman" w:hAnsi="Times New Roman" w:cs="Times New Roman"/>
          <w:sz w:val="24"/>
          <w:szCs w:val="24"/>
        </w:rPr>
      </w:pPr>
    </w:p>
    <w:p w14:paraId="7918E797" w14:textId="77777777" w:rsidR="00B670F1" w:rsidRPr="00725FDC" w:rsidRDefault="00B670F1" w:rsidP="006E421E">
      <w:pPr>
        <w:pStyle w:val="Heading3"/>
        <w:jc w:val="both"/>
      </w:pPr>
      <w:bookmarkStart w:id="39" w:name="_Toc200637223"/>
      <w:r w:rsidRPr="00725FDC">
        <w:lastRenderedPageBreak/>
        <w:t>3. Establish a Continuous Feedback and Recognition System</w:t>
      </w:r>
      <w:bookmarkEnd w:id="39"/>
    </w:p>
    <w:p w14:paraId="4B7995F3" w14:textId="77777777" w:rsidR="00B670F1" w:rsidRPr="00BB287D" w:rsidRDefault="00B670F1" w:rsidP="006E421E">
      <w:p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To maintain staff engagement, especially in a more automated setting, a transparent recognition programme should be introduced. This might include:</w:t>
      </w:r>
    </w:p>
    <w:p w14:paraId="127A5C21" w14:textId="431F2B70" w:rsidR="00B670F1" w:rsidRPr="00BB287D" w:rsidRDefault="00B670F1" w:rsidP="006E421E">
      <w:pPr>
        <w:numPr>
          <w:ilvl w:val="0"/>
          <w:numId w:val="17"/>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 xml:space="preserve">Monthly “Values in Action” awards based on brand-aligned </w:t>
      </w:r>
      <w:r w:rsidR="00672FB6" w:rsidRPr="00BB287D">
        <w:rPr>
          <w:rFonts w:ascii="Times New Roman" w:hAnsi="Times New Roman" w:cs="Times New Roman"/>
          <w:sz w:val="24"/>
          <w:szCs w:val="24"/>
        </w:rPr>
        <w:t>behaviours.</w:t>
      </w:r>
    </w:p>
    <w:p w14:paraId="7B2D1116" w14:textId="62D2D668" w:rsidR="00B670F1" w:rsidRPr="00BB287D" w:rsidRDefault="00B670F1" w:rsidP="006E421E">
      <w:pPr>
        <w:numPr>
          <w:ilvl w:val="0"/>
          <w:numId w:val="17"/>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 xml:space="preserve">Regular “Pulse Surveys” to track morale and identify pain </w:t>
      </w:r>
      <w:r w:rsidR="00672FB6" w:rsidRPr="00BB287D">
        <w:rPr>
          <w:rFonts w:ascii="Times New Roman" w:hAnsi="Times New Roman" w:cs="Times New Roman"/>
          <w:sz w:val="24"/>
          <w:szCs w:val="24"/>
        </w:rPr>
        <w:t>points.</w:t>
      </w:r>
    </w:p>
    <w:p w14:paraId="0AF5748D" w14:textId="77777777" w:rsidR="00B670F1" w:rsidRPr="00BB287D" w:rsidRDefault="00B670F1" w:rsidP="006E421E">
      <w:pPr>
        <w:numPr>
          <w:ilvl w:val="0"/>
          <w:numId w:val="17"/>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A digital feedback dashboard allowing two-way communication between staff and management.</w:t>
      </w:r>
    </w:p>
    <w:p w14:paraId="05850CEF" w14:textId="04E1EE3D" w:rsidR="00B670F1" w:rsidRPr="00BB287D" w:rsidRDefault="00B670F1" w:rsidP="006E421E">
      <w:p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 xml:space="preserve">Such systems not only support ongoing cultural integration but </w:t>
      </w:r>
      <w:r w:rsidR="00672FB6" w:rsidRPr="00BB287D">
        <w:rPr>
          <w:rFonts w:ascii="Times New Roman" w:hAnsi="Times New Roman" w:cs="Times New Roman"/>
          <w:sz w:val="24"/>
          <w:szCs w:val="24"/>
        </w:rPr>
        <w:t xml:space="preserve">also </w:t>
      </w:r>
      <w:r w:rsidRPr="00BB287D">
        <w:rPr>
          <w:rFonts w:ascii="Times New Roman" w:hAnsi="Times New Roman" w:cs="Times New Roman"/>
          <w:sz w:val="24"/>
          <w:szCs w:val="24"/>
        </w:rPr>
        <w:t>align with internal branding principles (King and Grace, 2008), reinforcing that employees are vital carriers of the brand identity.</w:t>
      </w:r>
    </w:p>
    <w:p w14:paraId="5C4DD9C8" w14:textId="5007762E" w:rsidR="00B670F1" w:rsidRPr="00FD2FA7" w:rsidRDefault="00B670F1" w:rsidP="006E421E">
      <w:pPr>
        <w:spacing w:line="276" w:lineRule="auto"/>
        <w:jc w:val="both"/>
        <w:rPr>
          <w:rFonts w:ascii="Times New Roman" w:hAnsi="Times New Roman" w:cs="Times New Roman"/>
          <w:sz w:val="24"/>
          <w:szCs w:val="24"/>
        </w:rPr>
      </w:pPr>
    </w:p>
    <w:p w14:paraId="31A8A6E6" w14:textId="77777777" w:rsidR="00B670F1" w:rsidRPr="00725FDC" w:rsidRDefault="00B670F1" w:rsidP="006E421E">
      <w:pPr>
        <w:pStyle w:val="Heading3"/>
        <w:jc w:val="both"/>
      </w:pPr>
      <w:bookmarkStart w:id="40" w:name="_Toc200637224"/>
      <w:r w:rsidRPr="00725FDC">
        <w:t>4. Rebalance Technology and Human Interaction for Guest Experience</w:t>
      </w:r>
      <w:bookmarkEnd w:id="40"/>
    </w:p>
    <w:p w14:paraId="2E1785D8" w14:textId="77777777" w:rsidR="00B670F1" w:rsidRPr="00BB287D" w:rsidRDefault="00B670F1" w:rsidP="006E421E">
      <w:p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The findings highlighted that while guests appreciated efficiency, many missed the human touch. To restore emotional engagement without compromising automation:</w:t>
      </w:r>
    </w:p>
    <w:p w14:paraId="57768376" w14:textId="77777777" w:rsidR="00B670F1" w:rsidRPr="00BB287D" w:rsidRDefault="00B670F1" w:rsidP="006E421E">
      <w:pPr>
        <w:numPr>
          <w:ilvl w:val="0"/>
          <w:numId w:val="18"/>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Staff should be trained to identify “guest emotional moments”, such as arrivals, birthdays, or complaints, where personalised interaction is most valued.</w:t>
      </w:r>
    </w:p>
    <w:p w14:paraId="789E3775" w14:textId="77777777" w:rsidR="00B670F1" w:rsidRPr="00BB287D" w:rsidRDefault="00B670F1" w:rsidP="006E421E">
      <w:pPr>
        <w:numPr>
          <w:ilvl w:val="0"/>
          <w:numId w:val="18"/>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Introduce rotating “Guest Concierge” shifts among front-of-house staff, focused specifically on creating memorable experiences beyond system-based service.</w:t>
      </w:r>
    </w:p>
    <w:p w14:paraId="68C26B6D" w14:textId="53149EDE" w:rsidR="00B670F1" w:rsidRPr="00BB287D" w:rsidRDefault="00B670F1" w:rsidP="006E421E">
      <w:pPr>
        <w:numPr>
          <w:ilvl w:val="0"/>
          <w:numId w:val="18"/>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Encourage proactive personalisation through CRM software</w:t>
      </w:r>
      <w:r w:rsidR="00BB287D">
        <w:rPr>
          <w:rFonts w:ascii="Times New Roman" w:hAnsi="Times New Roman" w:cs="Times New Roman"/>
          <w:sz w:val="24"/>
          <w:szCs w:val="24"/>
        </w:rPr>
        <w:t xml:space="preserve"> </w:t>
      </w:r>
      <w:r w:rsidRPr="00BB287D">
        <w:rPr>
          <w:rFonts w:ascii="Times New Roman" w:hAnsi="Times New Roman" w:cs="Times New Roman"/>
          <w:sz w:val="24"/>
          <w:szCs w:val="24"/>
        </w:rPr>
        <w:t>e.g., remembering guest preferences or offering tailored recommendations during check-in.</w:t>
      </w:r>
    </w:p>
    <w:p w14:paraId="05A03268" w14:textId="77777777" w:rsidR="00B670F1" w:rsidRPr="00BB287D" w:rsidRDefault="00B670F1" w:rsidP="006E421E">
      <w:p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This strategy is supported by Kandampully and Suhartanto (2000), who argue that lasting loyalty stems from both operational and emotional satisfaction.</w:t>
      </w:r>
    </w:p>
    <w:p w14:paraId="6DBA7248" w14:textId="26C74890" w:rsidR="00B670F1" w:rsidRPr="00FD2FA7" w:rsidRDefault="00B670F1" w:rsidP="006E421E">
      <w:pPr>
        <w:spacing w:line="276" w:lineRule="auto"/>
        <w:jc w:val="both"/>
        <w:rPr>
          <w:rFonts w:ascii="Times New Roman" w:hAnsi="Times New Roman" w:cs="Times New Roman"/>
          <w:sz w:val="24"/>
          <w:szCs w:val="24"/>
        </w:rPr>
      </w:pPr>
    </w:p>
    <w:p w14:paraId="24BF1E55" w14:textId="77777777" w:rsidR="00B670F1" w:rsidRPr="00725FDC" w:rsidRDefault="00B670F1" w:rsidP="006E421E">
      <w:pPr>
        <w:pStyle w:val="Heading3"/>
        <w:jc w:val="both"/>
      </w:pPr>
      <w:bookmarkStart w:id="41" w:name="_Toc200637225"/>
      <w:r w:rsidRPr="00725FDC">
        <w:t>5. Expand Sustainability Training and Visibility</w:t>
      </w:r>
      <w:bookmarkEnd w:id="41"/>
    </w:p>
    <w:p w14:paraId="52FB6531" w14:textId="77777777" w:rsidR="00B670F1" w:rsidRPr="00BB287D" w:rsidRDefault="00B670F1" w:rsidP="006E421E">
      <w:p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The integration of Marriott’s Serve 360 ESG practices was a positive development, but awareness and impact were inconsistent. To enhance effectiveness:</w:t>
      </w:r>
    </w:p>
    <w:p w14:paraId="1165D921" w14:textId="77777777" w:rsidR="00B670F1" w:rsidRPr="00BB287D" w:rsidRDefault="00B670F1" w:rsidP="006E421E">
      <w:pPr>
        <w:numPr>
          <w:ilvl w:val="0"/>
          <w:numId w:val="19"/>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Develop interactive training modules on sustainability, explaining not just what to do, but why it matters.</w:t>
      </w:r>
    </w:p>
    <w:p w14:paraId="0B476FAE" w14:textId="77777777" w:rsidR="00B670F1" w:rsidRPr="00BB287D" w:rsidRDefault="00B670F1" w:rsidP="006E421E">
      <w:pPr>
        <w:numPr>
          <w:ilvl w:val="0"/>
          <w:numId w:val="19"/>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Assign “Sustainability Leads” in each department to promote best practices and monitor adoption.</w:t>
      </w:r>
    </w:p>
    <w:p w14:paraId="4E940B86" w14:textId="3C0957A0" w:rsidR="00B670F1" w:rsidRPr="00BB287D" w:rsidRDefault="00B670F1" w:rsidP="006E421E">
      <w:pPr>
        <w:numPr>
          <w:ilvl w:val="0"/>
          <w:numId w:val="19"/>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Increase guest-facing communication about green initiatives through digital screens, room signage, and the booking process</w:t>
      </w:r>
      <w:r w:rsidR="00F62D2B">
        <w:rPr>
          <w:rFonts w:ascii="Times New Roman" w:hAnsi="Times New Roman" w:cs="Times New Roman"/>
          <w:sz w:val="24"/>
          <w:szCs w:val="24"/>
        </w:rPr>
        <w:t>,</w:t>
      </w:r>
      <w:r w:rsidR="00BB287D">
        <w:rPr>
          <w:rFonts w:ascii="Times New Roman" w:hAnsi="Times New Roman" w:cs="Times New Roman"/>
          <w:sz w:val="24"/>
          <w:szCs w:val="24"/>
        </w:rPr>
        <w:t xml:space="preserve"> </w:t>
      </w:r>
      <w:r w:rsidRPr="00BB287D">
        <w:rPr>
          <w:rFonts w:ascii="Times New Roman" w:hAnsi="Times New Roman" w:cs="Times New Roman"/>
          <w:sz w:val="24"/>
          <w:szCs w:val="24"/>
        </w:rPr>
        <w:t>turning ESG compliance into a competitive brand narrative (Sartori et al., 2018).</w:t>
      </w:r>
    </w:p>
    <w:p w14:paraId="208AFF0E" w14:textId="77777777" w:rsidR="00B670F1" w:rsidRPr="00FD2FA7" w:rsidRDefault="00B670F1"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lastRenderedPageBreak/>
        <w:t>Staff involvement in sustainability decisions (e.g. choosing local suppliers or improving recycling protocols) can also boost morale and foster a sense of collective purpose (Baum, 2007).</w:t>
      </w:r>
    </w:p>
    <w:p w14:paraId="0F677ABB" w14:textId="502051CA" w:rsidR="00B670F1" w:rsidRPr="00FD2FA7" w:rsidRDefault="00B670F1" w:rsidP="006E421E">
      <w:pPr>
        <w:pStyle w:val="Heading3"/>
        <w:jc w:val="both"/>
      </w:pPr>
    </w:p>
    <w:p w14:paraId="0FDC05B8" w14:textId="77777777" w:rsidR="00B670F1" w:rsidRPr="00725FDC" w:rsidRDefault="00B670F1" w:rsidP="006E421E">
      <w:pPr>
        <w:pStyle w:val="Heading3"/>
        <w:jc w:val="both"/>
      </w:pPr>
      <w:bookmarkStart w:id="42" w:name="_Toc200637226"/>
      <w:r w:rsidRPr="00725FDC">
        <w:t>6. Formalise Guest Feedback as a Strategic Insight Tool</w:t>
      </w:r>
      <w:bookmarkEnd w:id="42"/>
    </w:p>
    <w:p w14:paraId="06D416A6" w14:textId="77777777" w:rsidR="00B670F1" w:rsidRPr="00BB287D" w:rsidRDefault="00B670F1" w:rsidP="006E421E">
      <w:p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While online reviews and surveys were referenced in the rebranding journey, there is scope to transform feedback into actionable service innovation:</w:t>
      </w:r>
    </w:p>
    <w:p w14:paraId="117597A1" w14:textId="77777777" w:rsidR="00B670F1" w:rsidRPr="00BB287D" w:rsidRDefault="00B670F1" w:rsidP="006E421E">
      <w:pPr>
        <w:numPr>
          <w:ilvl w:val="0"/>
          <w:numId w:val="20"/>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Install an AI-powered guest sentiment tracker to analyse reviews across platforms and generate monthly insight reports.</w:t>
      </w:r>
    </w:p>
    <w:p w14:paraId="6746AD3D" w14:textId="77777777" w:rsidR="00B670F1" w:rsidRPr="00BB287D" w:rsidRDefault="00B670F1" w:rsidP="006E421E">
      <w:pPr>
        <w:numPr>
          <w:ilvl w:val="0"/>
          <w:numId w:val="20"/>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Host bi-monthly “Voice of the Guest” meetings, where staff teams review feedback together and co-create service enhancements.</w:t>
      </w:r>
    </w:p>
    <w:p w14:paraId="1D70EE61" w14:textId="712D6C74" w:rsidR="00B670F1" w:rsidRPr="00BB287D" w:rsidRDefault="00B670F1" w:rsidP="006E421E">
      <w:pPr>
        <w:numPr>
          <w:ilvl w:val="0"/>
          <w:numId w:val="20"/>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Develop guest journey maps highlighting both high-efficiency and high-emotion touchpoints</w:t>
      </w:r>
      <w:r w:rsidR="00672FB6" w:rsidRPr="00BB287D">
        <w:rPr>
          <w:rFonts w:ascii="Times New Roman" w:hAnsi="Times New Roman" w:cs="Times New Roman"/>
          <w:sz w:val="24"/>
          <w:szCs w:val="24"/>
        </w:rPr>
        <w:t xml:space="preserve">, </w:t>
      </w:r>
      <w:r w:rsidRPr="00BB287D">
        <w:rPr>
          <w:rFonts w:ascii="Times New Roman" w:hAnsi="Times New Roman" w:cs="Times New Roman"/>
          <w:sz w:val="24"/>
          <w:szCs w:val="24"/>
        </w:rPr>
        <w:t>ensuring consistency in brand delivery.</w:t>
      </w:r>
    </w:p>
    <w:p w14:paraId="1075C453" w14:textId="77777777" w:rsidR="00B670F1" w:rsidRPr="00FD2FA7" w:rsidRDefault="00B670F1" w:rsidP="006E421E">
      <w:p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This aligns with Merrilees and Miller’s (2008) advice that rebranding</w:t>
      </w:r>
      <w:r w:rsidRPr="00FD2FA7">
        <w:rPr>
          <w:rFonts w:ascii="Times New Roman" w:hAnsi="Times New Roman" w:cs="Times New Roman"/>
          <w:sz w:val="24"/>
          <w:szCs w:val="24"/>
        </w:rPr>
        <w:t xml:space="preserve"> must be experiential, not just structural.</w:t>
      </w:r>
    </w:p>
    <w:p w14:paraId="10F969C4" w14:textId="0F2F808C" w:rsidR="00B670F1" w:rsidRPr="00204CF2" w:rsidRDefault="00B670F1" w:rsidP="006E421E">
      <w:pPr>
        <w:spacing w:line="276" w:lineRule="auto"/>
        <w:jc w:val="both"/>
        <w:rPr>
          <w:rFonts w:ascii="Times New Roman" w:hAnsi="Times New Roman" w:cs="Times New Roman"/>
          <w:b/>
          <w:bCs/>
          <w:sz w:val="24"/>
          <w:szCs w:val="24"/>
        </w:rPr>
      </w:pPr>
    </w:p>
    <w:p w14:paraId="4B5B2DDD" w14:textId="77777777" w:rsidR="00B670F1" w:rsidRPr="00725FDC" w:rsidRDefault="00B670F1" w:rsidP="006E421E">
      <w:pPr>
        <w:pStyle w:val="Heading3"/>
        <w:jc w:val="both"/>
      </w:pPr>
      <w:bookmarkStart w:id="43" w:name="_Toc200637227"/>
      <w:r w:rsidRPr="00725FDC">
        <w:t>7. Introduce Post-Rebranding Evaluation Metrics</w:t>
      </w:r>
      <w:bookmarkEnd w:id="43"/>
    </w:p>
    <w:p w14:paraId="03FB50D4" w14:textId="77777777" w:rsidR="00B670F1" w:rsidRPr="00BB287D" w:rsidRDefault="00B670F1" w:rsidP="006E421E">
      <w:p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Finally, to ensure continued alignment with brand goals, Delta should implement a structured post-rebranding audit process, covering:</w:t>
      </w:r>
    </w:p>
    <w:p w14:paraId="5B588AD0" w14:textId="25B76517" w:rsidR="00B670F1" w:rsidRPr="00BB287D" w:rsidRDefault="00B670F1" w:rsidP="006E421E">
      <w:pPr>
        <w:numPr>
          <w:ilvl w:val="0"/>
          <w:numId w:val="21"/>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Staff satisfaction (via turnover rates, internal surveys, and exit interviews</w:t>
      </w:r>
      <w:r w:rsidR="00D803CC" w:rsidRPr="00BB287D">
        <w:rPr>
          <w:rFonts w:ascii="Times New Roman" w:hAnsi="Times New Roman" w:cs="Times New Roman"/>
          <w:sz w:val="24"/>
          <w:szCs w:val="24"/>
        </w:rPr>
        <w:t>).</w:t>
      </w:r>
    </w:p>
    <w:p w14:paraId="6ED2376F" w14:textId="73907D16" w:rsidR="00B670F1" w:rsidRPr="00BB287D" w:rsidRDefault="00B670F1" w:rsidP="006E421E">
      <w:pPr>
        <w:numPr>
          <w:ilvl w:val="0"/>
          <w:numId w:val="21"/>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Guest satisfaction (via Net Promoter Score and review sentiment</w:t>
      </w:r>
      <w:r w:rsidR="00672FB6" w:rsidRPr="00BB287D">
        <w:rPr>
          <w:rFonts w:ascii="Times New Roman" w:hAnsi="Times New Roman" w:cs="Times New Roman"/>
          <w:sz w:val="24"/>
          <w:szCs w:val="24"/>
        </w:rPr>
        <w:t>).</w:t>
      </w:r>
    </w:p>
    <w:p w14:paraId="11A5906B" w14:textId="6518933A" w:rsidR="00B670F1" w:rsidRPr="00BB287D" w:rsidRDefault="00B670F1" w:rsidP="006E421E">
      <w:pPr>
        <w:numPr>
          <w:ilvl w:val="0"/>
          <w:numId w:val="21"/>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Operational KPIs (e.g., check-in time, complaint resolution speed</w:t>
      </w:r>
      <w:r w:rsidR="00672FB6" w:rsidRPr="00BB287D">
        <w:rPr>
          <w:rFonts w:ascii="Times New Roman" w:hAnsi="Times New Roman" w:cs="Times New Roman"/>
          <w:sz w:val="24"/>
          <w:szCs w:val="24"/>
        </w:rPr>
        <w:t>).</w:t>
      </w:r>
    </w:p>
    <w:p w14:paraId="17A20C5A" w14:textId="77777777" w:rsidR="00B670F1" w:rsidRPr="00BB287D" w:rsidRDefault="00B670F1" w:rsidP="006E421E">
      <w:pPr>
        <w:numPr>
          <w:ilvl w:val="0"/>
          <w:numId w:val="21"/>
        </w:num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Cultural alignment (via periodic brand value assessments).</w:t>
      </w:r>
    </w:p>
    <w:p w14:paraId="49D8A28A" w14:textId="508C6CD4" w:rsidR="00D00BFF" w:rsidRPr="004377A8" w:rsidRDefault="00B670F1" w:rsidP="006E421E">
      <w:pPr>
        <w:spacing w:line="276" w:lineRule="auto"/>
        <w:jc w:val="both"/>
        <w:rPr>
          <w:rFonts w:ascii="Times New Roman" w:hAnsi="Times New Roman" w:cs="Times New Roman"/>
          <w:sz w:val="24"/>
          <w:szCs w:val="24"/>
        </w:rPr>
      </w:pPr>
      <w:r w:rsidRPr="00BB287D">
        <w:rPr>
          <w:rFonts w:ascii="Times New Roman" w:hAnsi="Times New Roman" w:cs="Times New Roman"/>
          <w:sz w:val="24"/>
          <w:szCs w:val="24"/>
        </w:rPr>
        <w:t>Annual evaluations could be benchmarked against other Delta properties or competing hotels in the region to identify strengths and areas for improvement (Pizam, 2020).</w:t>
      </w:r>
    </w:p>
    <w:p w14:paraId="172A3CDD" w14:textId="77777777" w:rsidR="004377A8" w:rsidRDefault="004377A8" w:rsidP="006E421E">
      <w:pPr>
        <w:pStyle w:val="Heading2"/>
        <w:jc w:val="both"/>
        <w:rPr>
          <w:b/>
          <w:bCs/>
        </w:rPr>
      </w:pPr>
    </w:p>
    <w:p w14:paraId="6C2A1DE9" w14:textId="77777777" w:rsidR="004377A8" w:rsidRDefault="004377A8" w:rsidP="006E421E">
      <w:pPr>
        <w:pStyle w:val="Heading2"/>
        <w:jc w:val="both"/>
        <w:rPr>
          <w:b/>
          <w:bCs/>
        </w:rPr>
      </w:pPr>
    </w:p>
    <w:p w14:paraId="4012FA45" w14:textId="77777777" w:rsidR="004377A8" w:rsidRDefault="004377A8" w:rsidP="006E421E">
      <w:pPr>
        <w:pStyle w:val="Heading2"/>
        <w:jc w:val="both"/>
        <w:rPr>
          <w:b/>
          <w:bCs/>
        </w:rPr>
      </w:pPr>
    </w:p>
    <w:p w14:paraId="024BB586" w14:textId="77777777" w:rsidR="004377A8" w:rsidRDefault="004377A8" w:rsidP="006E421E">
      <w:pPr>
        <w:pStyle w:val="Heading2"/>
        <w:jc w:val="both"/>
        <w:rPr>
          <w:b/>
          <w:bCs/>
        </w:rPr>
      </w:pPr>
    </w:p>
    <w:p w14:paraId="5CE56B5B" w14:textId="77777777" w:rsidR="004377A8" w:rsidRPr="004377A8" w:rsidRDefault="004377A8" w:rsidP="006E421E">
      <w:pPr>
        <w:jc w:val="both"/>
      </w:pPr>
    </w:p>
    <w:p w14:paraId="3F580157" w14:textId="13A028D8" w:rsidR="00B670F1" w:rsidRPr="00725FDC" w:rsidRDefault="00EF7E09" w:rsidP="006E421E">
      <w:pPr>
        <w:pStyle w:val="Heading2"/>
        <w:jc w:val="both"/>
      </w:pPr>
      <w:bookmarkStart w:id="44" w:name="_Toc200637228"/>
      <w:r w:rsidRPr="00725FDC">
        <w:lastRenderedPageBreak/>
        <w:t xml:space="preserve">5.2 </w:t>
      </w:r>
      <w:r w:rsidR="00B670F1" w:rsidRPr="00725FDC">
        <w:t>Conclusion of Recommendations</w:t>
      </w:r>
      <w:bookmarkEnd w:id="44"/>
    </w:p>
    <w:p w14:paraId="3C54063E" w14:textId="77777777" w:rsidR="006F479B" w:rsidRPr="00FD2FA7" w:rsidRDefault="006F479B" w:rsidP="006E421E">
      <w:pPr>
        <w:spacing w:line="276" w:lineRule="auto"/>
        <w:jc w:val="both"/>
        <w:rPr>
          <w:rFonts w:ascii="Times New Roman" w:hAnsi="Times New Roman" w:cs="Times New Roman"/>
          <w:sz w:val="24"/>
          <w:szCs w:val="24"/>
        </w:rPr>
      </w:pPr>
    </w:p>
    <w:p w14:paraId="1D5D1A85" w14:textId="58BA3FF4" w:rsidR="006F479B" w:rsidRPr="00FD2FA7" w:rsidRDefault="00431569" w:rsidP="006E421E">
      <w:pPr>
        <w:spacing w:line="276" w:lineRule="auto"/>
        <w:jc w:val="both"/>
        <w:rPr>
          <w:rFonts w:ascii="Times New Roman" w:hAnsi="Times New Roman" w:cs="Times New Roman"/>
          <w:sz w:val="24"/>
          <w:szCs w:val="24"/>
        </w:rPr>
      </w:pPr>
      <w:r w:rsidRPr="00FD2FA7">
        <w:rPr>
          <w:rFonts w:ascii="Times New Roman" w:hAnsi="Times New Roman" w:cs="Times New Roman"/>
          <w:sz w:val="24"/>
          <w:szCs w:val="24"/>
        </w:rPr>
        <w:t>Delta Hotels by Marriott Bristol City Centre has made substantial progress in transforming its infrastructure, brand perception, and service delivery model. However, long-term success depends on deepening internal alignment, restoring human connection, and embedding sustainability and feedback systems as strategic priorities. As Mullins and Christy (2021) argue, aligning organisational change with human behaviour is critical to ensuring that strategic reforms are embedded into day-to-day operations. By implementing the above recommendations, the hotel can create a more resilient, emotionally resonant, and future-ready operation that lives up to both the Delta brand and its legacy as part of Marriott International.</w:t>
      </w:r>
    </w:p>
    <w:p w14:paraId="7DBE69D9" w14:textId="77777777" w:rsidR="006F479B" w:rsidRDefault="006F479B" w:rsidP="006E421E">
      <w:pPr>
        <w:jc w:val="both"/>
      </w:pPr>
    </w:p>
    <w:p w14:paraId="11B4FD89" w14:textId="77777777" w:rsidR="00D635F5" w:rsidRDefault="00D635F5" w:rsidP="006E421E">
      <w:pPr>
        <w:jc w:val="both"/>
      </w:pPr>
    </w:p>
    <w:p w14:paraId="2E94ADA3" w14:textId="77777777" w:rsidR="00D635F5" w:rsidRDefault="00D635F5" w:rsidP="006E421E">
      <w:pPr>
        <w:jc w:val="both"/>
      </w:pPr>
    </w:p>
    <w:p w14:paraId="6728C6D2" w14:textId="77777777" w:rsidR="00D635F5" w:rsidRDefault="00D635F5" w:rsidP="006E421E">
      <w:pPr>
        <w:jc w:val="both"/>
      </w:pPr>
    </w:p>
    <w:p w14:paraId="6340CFDF" w14:textId="77777777" w:rsidR="00D635F5" w:rsidRDefault="00D635F5" w:rsidP="006E421E">
      <w:pPr>
        <w:jc w:val="both"/>
      </w:pPr>
    </w:p>
    <w:p w14:paraId="13F73345" w14:textId="77777777" w:rsidR="00D635F5" w:rsidRDefault="00D635F5" w:rsidP="006E421E">
      <w:pPr>
        <w:jc w:val="both"/>
      </w:pPr>
    </w:p>
    <w:p w14:paraId="1C1B8C3E" w14:textId="77777777" w:rsidR="00D635F5" w:rsidRDefault="00D635F5" w:rsidP="00B670F1"/>
    <w:p w14:paraId="157DF85A" w14:textId="77777777" w:rsidR="00D635F5" w:rsidRDefault="00D635F5" w:rsidP="00B670F1"/>
    <w:p w14:paraId="3EB97187" w14:textId="77777777" w:rsidR="00D635F5" w:rsidRDefault="00D635F5" w:rsidP="00B670F1"/>
    <w:p w14:paraId="558254A9" w14:textId="77777777" w:rsidR="00D635F5" w:rsidRDefault="00D635F5" w:rsidP="00B670F1"/>
    <w:p w14:paraId="2D193885" w14:textId="77777777" w:rsidR="00D635F5" w:rsidRDefault="00D635F5" w:rsidP="00B670F1"/>
    <w:p w14:paraId="1DC8AA25" w14:textId="77777777" w:rsidR="00D635F5" w:rsidRDefault="00D635F5" w:rsidP="00B670F1"/>
    <w:p w14:paraId="04BAC18C" w14:textId="77777777" w:rsidR="00D635F5" w:rsidRDefault="00D635F5" w:rsidP="00B670F1"/>
    <w:p w14:paraId="0AE403F4" w14:textId="77777777" w:rsidR="00D635F5" w:rsidRDefault="00D635F5" w:rsidP="00B670F1"/>
    <w:p w14:paraId="6E128B22" w14:textId="77777777" w:rsidR="00D635F5" w:rsidRDefault="00D635F5" w:rsidP="00B670F1"/>
    <w:p w14:paraId="7289F34C" w14:textId="77777777" w:rsidR="00D635F5" w:rsidRDefault="00D635F5" w:rsidP="00B670F1"/>
    <w:p w14:paraId="217A0D0A" w14:textId="77777777" w:rsidR="00D635F5" w:rsidRDefault="00D635F5" w:rsidP="00B670F1"/>
    <w:p w14:paraId="5E7B0E1F" w14:textId="77777777" w:rsidR="006F479B" w:rsidRDefault="006F479B" w:rsidP="00B670F1"/>
    <w:p w14:paraId="0713CBC3" w14:textId="77777777" w:rsidR="006F479B" w:rsidRDefault="006F479B" w:rsidP="00B670F1"/>
    <w:p w14:paraId="5396EAA8" w14:textId="77777777" w:rsidR="006F479B" w:rsidRDefault="006F479B" w:rsidP="00B670F1"/>
    <w:p w14:paraId="3FF9BAFC" w14:textId="77777777" w:rsidR="006F479B" w:rsidRDefault="006F479B" w:rsidP="00B670F1"/>
    <w:p w14:paraId="2E4CDA4F" w14:textId="77777777" w:rsidR="00BD629F" w:rsidRPr="00B670F1" w:rsidRDefault="00BD629F" w:rsidP="00B670F1"/>
    <w:p w14:paraId="4898CCBD" w14:textId="36E6540D" w:rsidR="00D90E36" w:rsidRPr="00725FDC" w:rsidRDefault="006F479B" w:rsidP="00CB63A8">
      <w:pPr>
        <w:pStyle w:val="Heading1"/>
        <w:rPr>
          <w:b/>
          <w:bCs/>
        </w:rPr>
      </w:pPr>
      <w:bookmarkStart w:id="45" w:name="_Toc200637229"/>
      <w:r w:rsidRPr="00725FDC">
        <w:rPr>
          <w:b/>
          <w:bCs/>
        </w:rPr>
        <w:lastRenderedPageBreak/>
        <w:t>Reference list</w:t>
      </w:r>
      <w:bookmarkEnd w:id="45"/>
    </w:p>
    <w:p w14:paraId="3D48BD35"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Accor Group (2021) </w:t>
      </w:r>
      <w:r w:rsidRPr="007906A9">
        <w:rPr>
          <w:rFonts w:ascii="Times New Roman" w:eastAsiaTheme="majorEastAsia" w:hAnsi="Times New Roman" w:cs="Times New Roman"/>
          <w:i/>
          <w:iCs/>
          <w:kern w:val="0"/>
          <w:sz w:val="24"/>
          <w:szCs w:val="24"/>
          <w:lang w:eastAsia="en-GB"/>
          <w14:ligatures w14:val="none"/>
        </w:rPr>
        <w:t>Sustainability-Linked Bond Framework</w:t>
      </w:r>
      <w:r w:rsidRPr="007906A9">
        <w:rPr>
          <w:rFonts w:ascii="Times New Roman" w:eastAsia="Times New Roman" w:hAnsi="Times New Roman" w:cs="Times New Roman"/>
          <w:kern w:val="0"/>
          <w:sz w:val="24"/>
          <w:szCs w:val="24"/>
          <w:lang w:eastAsia="en-GB"/>
          <w14:ligatures w14:val="none"/>
        </w:rPr>
        <w:t xml:space="preserve">. Available at: </w:t>
      </w:r>
      <w:hyperlink r:id="rId8" w:tgtFrame="_new" w:history="1">
        <w:r w:rsidRPr="007906A9">
          <w:rPr>
            <w:rFonts w:ascii="Times New Roman" w:eastAsiaTheme="majorEastAsia" w:hAnsi="Times New Roman" w:cs="Times New Roman"/>
            <w:color w:val="0000FF"/>
            <w:kern w:val="0"/>
            <w:sz w:val="24"/>
            <w:szCs w:val="24"/>
            <w:u w:val="single"/>
            <w:lang w:eastAsia="en-GB"/>
            <w14:ligatures w14:val="none"/>
          </w:rPr>
          <w:t>https://group.accor.com/en/investors/financing/sustainable-finance</w:t>
        </w:r>
      </w:hyperlink>
      <w:r w:rsidRPr="007906A9">
        <w:rPr>
          <w:rFonts w:ascii="Times New Roman" w:eastAsia="Times New Roman" w:hAnsi="Times New Roman" w:cs="Times New Roman"/>
          <w:kern w:val="0"/>
          <w:sz w:val="24"/>
          <w:szCs w:val="24"/>
          <w:lang w:eastAsia="en-GB"/>
          <w14:ligatures w14:val="none"/>
        </w:rPr>
        <w:t xml:space="preserve"> (Accessed: 3 May 2025).</w:t>
      </w:r>
    </w:p>
    <w:p w14:paraId="2A8F7119"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Ahmed, P.K. and Rafiq, M. (2003) ‘Internal marketing issues and challenges’, </w:t>
      </w:r>
      <w:r w:rsidRPr="007906A9">
        <w:rPr>
          <w:rFonts w:ascii="Times New Roman" w:eastAsiaTheme="majorEastAsia" w:hAnsi="Times New Roman" w:cs="Times New Roman"/>
          <w:i/>
          <w:iCs/>
          <w:kern w:val="0"/>
          <w:sz w:val="24"/>
          <w:szCs w:val="24"/>
          <w:lang w:eastAsia="en-GB"/>
          <w14:ligatures w14:val="none"/>
        </w:rPr>
        <w:t>European Journal of Marketing</w:t>
      </w:r>
      <w:r w:rsidRPr="007906A9">
        <w:rPr>
          <w:rFonts w:ascii="Times New Roman" w:eastAsia="Times New Roman" w:hAnsi="Times New Roman" w:cs="Times New Roman"/>
          <w:kern w:val="0"/>
          <w:sz w:val="24"/>
          <w:szCs w:val="24"/>
          <w:lang w:eastAsia="en-GB"/>
          <w14:ligatures w14:val="none"/>
        </w:rPr>
        <w:t>, 37(9), pp. 1177–1186.</w:t>
      </w:r>
    </w:p>
    <w:p w14:paraId="5BF29390" w14:textId="77777777" w:rsid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Armenakis, A.A. and Harris, S.G. (2009) ‘Reflections: Our Journey in Organisational Change Research and Practice’, </w:t>
      </w:r>
      <w:r w:rsidRPr="007906A9">
        <w:rPr>
          <w:rFonts w:ascii="Times New Roman" w:eastAsiaTheme="majorEastAsia" w:hAnsi="Times New Roman" w:cs="Times New Roman"/>
          <w:i/>
          <w:iCs/>
          <w:kern w:val="0"/>
          <w:sz w:val="24"/>
          <w:szCs w:val="24"/>
          <w:lang w:eastAsia="en-GB"/>
          <w14:ligatures w14:val="none"/>
        </w:rPr>
        <w:t>Journal of Change Management</w:t>
      </w:r>
      <w:r w:rsidRPr="007906A9">
        <w:rPr>
          <w:rFonts w:ascii="Times New Roman" w:eastAsia="Times New Roman" w:hAnsi="Times New Roman" w:cs="Times New Roman"/>
          <w:kern w:val="0"/>
          <w:sz w:val="24"/>
          <w:szCs w:val="24"/>
          <w:lang w:eastAsia="en-GB"/>
          <w14:ligatures w14:val="none"/>
        </w:rPr>
        <w:t>, 9(2), pp. 127–142.</w:t>
      </w:r>
    </w:p>
    <w:p w14:paraId="48AB0F55" w14:textId="235C7FA4" w:rsidR="006E769B" w:rsidRPr="00FD2FA7" w:rsidRDefault="006E769B" w:rsidP="00FD2FA7">
      <w:pPr>
        <w:pStyle w:val="NormalWeb"/>
        <w:numPr>
          <w:ilvl w:val="0"/>
          <w:numId w:val="22"/>
        </w:numPr>
        <w:spacing w:line="360" w:lineRule="auto"/>
      </w:pPr>
      <w:r w:rsidRPr="006E769B">
        <w:rPr>
          <w:rStyle w:val="Strong"/>
          <w:rFonts w:eastAsiaTheme="majorEastAsia"/>
          <w:b w:val="0"/>
          <w:bCs w:val="0"/>
        </w:rPr>
        <w:t>Armstrong, M. (2021</w:t>
      </w:r>
      <w:r>
        <w:rPr>
          <w:rStyle w:val="Strong"/>
          <w:rFonts w:eastAsiaTheme="majorEastAsia"/>
        </w:rPr>
        <w:t>).</w:t>
      </w:r>
      <w:r>
        <w:t xml:space="preserve"> </w:t>
      </w:r>
      <w:r>
        <w:rPr>
          <w:rStyle w:val="Emphasis"/>
          <w:rFonts w:eastAsiaTheme="majorEastAsia"/>
        </w:rPr>
        <w:t>Armstrong’s Handbook of Human Resource Management Practice</w:t>
      </w:r>
      <w:r>
        <w:t>. 15th ed. London: Kogan Page.</w:t>
      </w:r>
    </w:p>
    <w:p w14:paraId="0413E018"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Balmer, J.M.T. and Grey, E.R. (2003) ‘Corporate brands: what are they? What of them? </w:t>
      </w:r>
      <w:r w:rsidRPr="007906A9">
        <w:rPr>
          <w:rFonts w:ascii="Times New Roman" w:eastAsiaTheme="majorEastAsia" w:hAnsi="Times New Roman" w:cs="Times New Roman"/>
          <w:i/>
          <w:iCs/>
          <w:kern w:val="0"/>
          <w:sz w:val="24"/>
          <w:szCs w:val="24"/>
          <w:lang w:eastAsia="en-GB"/>
          <w14:ligatures w14:val="none"/>
        </w:rPr>
        <w:t>European Journal of Marketing</w:t>
      </w:r>
      <w:r w:rsidRPr="007906A9">
        <w:rPr>
          <w:rFonts w:ascii="Times New Roman" w:eastAsia="Times New Roman" w:hAnsi="Times New Roman" w:cs="Times New Roman"/>
          <w:kern w:val="0"/>
          <w:sz w:val="24"/>
          <w:szCs w:val="24"/>
          <w:lang w:eastAsia="en-GB"/>
          <w14:ligatures w14:val="none"/>
        </w:rPr>
        <w:t>, 37(7/8), pp. 972–997.</w:t>
      </w:r>
    </w:p>
    <w:p w14:paraId="0988B7F6"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Balmer, J.M.T. and Greyser, S.A. (2006) ‘Corporate marketing: Integrating corporate identity, corporate branding, corporate communications, corporate image and corporate reputation’, </w:t>
      </w:r>
      <w:r w:rsidRPr="007906A9">
        <w:rPr>
          <w:rFonts w:ascii="Times New Roman" w:eastAsiaTheme="majorEastAsia" w:hAnsi="Times New Roman" w:cs="Times New Roman"/>
          <w:i/>
          <w:iCs/>
          <w:kern w:val="0"/>
          <w:sz w:val="24"/>
          <w:szCs w:val="24"/>
          <w:lang w:eastAsia="en-GB"/>
          <w14:ligatures w14:val="none"/>
        </w:rPr>
        <w:t>European Journal of Marketing</w:t>
      </w:r>
      <w:r w:rsidRPr="007906A9">
        <w:rPr>
          <w:rFonts w:ascii="Times New Roman" w:eastAsia="Times New Roman" w:hAnsi="Times New Roman" w:cs="Times New Roman"/>
          <w:kern w:val="0"/>
          <w:sz w:val="24"/>
          <w:szCs w:val="24"/>
          <w:lang w:eastAsia="en-GB"/>
          <w14:ligatures w14:val="none"/>
        </w:rPr>
        <w:t>, 40(7/8), pp. 730–741.</w:t>
      </w:r>
    </w:p>
    <w:p w14:paraId="5D061788"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Baum, T. (2007) ‘Human resources in tourism: Still waiting for change?’, </w:t>
      </w:r>
      <w:r w:rsidRPr="007906A9">
        <w:rPr>
          <w:rFonts w:ascii="Times New Roman" w:eastAsiaTheme="majorEastAsia" w:hAnsi="Times New Roman" w:cs="Times New Roman"/>
          <w:i/>
          <w:iCs/>
          <w:kern w:val="0"/>
          <w:sz w:val="24"/>
          <w:szCs w:val="24"/>
          <w:lang w:eastAsia="en-GB"/>
          <w14:ligatures w14:val="none"/>
        </w:rPr>
        <w:t>Tourism Management</w:t>
      </w:r>
      <w:r w:rsidRPr="007906A9">
        <w:rPr>
          <w:rFonts w:ascii="Times New Roman" w:eastAsia="Times New Roman" w:hAnsi="Times New Roman" w:cs="Times New Roman"/>
          <w:kern w:val="0"/>
          <w:sz w:val="24"/>
          <w:szCs w:val="24"/>
          <w:lang w:eastAsia="en-GB"/>
          <w14:ligatures w14:val="none"/>
        </w:rPr>
        <w:t>, 28(6), pp. 1383–1399.</w:t>
      </w:r>
    </w:p>
    <w:p w14:paraId="4DC19AF7"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Baum, T. (2007) </w:t>
      </w:r>
      <w:r w:rsidRPr="007906A9">
        <w:rPr>
          <w:rFonts w:ascii="Times New Roman" w:eastAsiaTheme="majorEastAsia" w:hAnsi="Times New Roman" w:cs="Times New Roman"/>
          <w:i/>
          <w:iCs/>
          <w:kern w:val="0"/>
          <w:sz w:val="24"/>
          <w:szCs w:val="24"/>
          <w:lang w:eastAsia="en-GB"/>
          <w14:ligatures w14:val="none"/>
        </w:rPr>
        <w:t>Human Resource Management for Tourism, Hospitality and Leisure: An International Perspective</w:t>
      </w:r>
      <w:r w:rsidRPr="007906A9">
        <w:rPr>
          <w:rFonts w:ascii="Times New Roman" w:eastAsia="Times New Roman" w:hAnsi="Times New Roman" w:cs="Times New Roman"/>
          <w:kern w:val="0"/>
          <w:sz w:val="24"/>
          <w:szCs w:val="24"/>
          <w:lang w:eastAsia="en-GB"/>
          <w14:ligatures w14:val="none"/>
        </w:rPr>
        <w:t>. London: Thomson Learning.</w:t>
      </w:r>
    </w:p>
    <w:p w14:paraId="1762D86A"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BERA (2018) </w:t>
      </w:r>
      <w:r w:rsidRPr="007906A9">
        <w:rPr>
          <w:rFonts w:ascii="Times New Roman" w:eastAsiaTheme="majorEastAsia" w:hAnsi="Times New Roman" w:cs="Times New Roman"/>
          <w:i/>
          <w:iCs/>
          <w:kern w:val="0"/>
          <w:sz w:val="24"/>
          <w:szCs w:val="24"/>
          <w:lang w:eastAsia="en-GB"/>
          <w14:ligatures w14:val="none"/>
        </w:rPr>
        <w:t>Ethical Guidelines for Educational Research</w:t>
      </w:r>
      <w:r w:rsidRPr="007906A9">
        <w:rPr>
          <w:rFonts w:ascii="Times New Roman" w:eastAsia="Times New Roman" w:hAnsi="Times New Roman" w:cs="Times New Roman"/>
          <w:kern w:val="0"/>
          <w:sz w:val="24"/>
          <w:szCs w:val="24"/>
          <w:lang w:eastAsia="en-GB"/>
          <w14:ligatures w14:val="none"/>
        </w:rPr>
        <w:t xml:space="preserve">. Available at: </w:t>
      </w:r>
      <w:hyperlink r:id="rId9" w:tgtFrame="_new" w:history="1">
        <w:r w:rsidRPr="007906A9">
          <w:rPr>
            <w:rFonts w:ascii="Times New Roman" w:eastAsiaTheme="majorEastAsia" w:hAnsi="Times New Roman" w:cs="Times New Roman"/>
            <w:color w:val="0000FF"/>
            <w:kern w:val="0"/>
            <w:sz w:val="24"/>
            <w:szCs w:val="24"/>
            <w:u w:val="single"/>
            <w:lang w:eastAsia="en-GB"/>
            <w14:ligatures w14:val="none"/>
          </w:rPr>
          <w:t>https://www.bera.ac.uk/publication/ethical-guidelines-for-educational-research-2018</w:t>
        </w:r>
      </w:hyperlink>
      <w:r w:rsidRPr="007906A9">
        <w:rPr>
          <w:rFonts w:ascii="Times New Roman" w:eastAsia="Times New Roman" w:hAnsi="Times New Roman" w:cs="Times New Roman"/>
          <w:kern w:val="0"/>
          <w:sz w:val="24"/>
          <w:szCs w:val="24"/>
          <w:lang w:eastAsia="en-GB"/>
          <w14:ligatures w14:val="none"/>
        </w:rPr>
        <w:t xml:space="preserve"> (Accessed: 3 May 2025).</w:t>
      </w:r>
    </w:p>
    <w:p w14:paraId="46151673"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Bitner, M.J., Ostrom, A.L. and Morgan, F.N. (2008) ‘Service Blueprinting: A Practical Technique for Service Innovation’, </w:t>
      </w:r>
      <w:r w:rsidRPr="007906A9">
        <w:rPr>
          <w:rFonts w:ascii="Times New Roman" w:eastAsiaTheme="majorEastAsia" w:hAnsi="Times New Roman" w:cs="Times New Roman"/>
          <w:i/>
          <w:iCs/>
          <w:kern w:val="0"/>
          <w:sz w:val="24"/>
          <w:szCs w:val="24"/>
          <w:lang w:eastAsia="en-GB"/>
          <w14:ligatures w14:val="none"/>
        </w:rPr>
        <w:t>California Management Review</w:t>
      </w:r>
      <w:r w:rsidRPr="007906A9">
        <w:rPr>
          <w:rFonts w:ascii="Times New Roman" w:eastAsia="Times New Roman" w:hAnsi="Times New Roman" w:cs="Times New Roman"/>
          <w:kern w:val="0"/>
          <w:sz w:val="24"/>
          <w:szCs w:val="24"/>
          <w:lang w:eastAsia="en-GB"/>
          <w14:ligatures w14:val="none"/>
        </w:rPr>
        <w:t>, 50(3), pp. 66–94.</w:t>
      </w:r>
    </w:p>
    <w:p w14:paraId="320B1F9B"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Bovey, W.H. and Hede, A. (2001) ‘Resistance to organisational change: The role of cognitive and affective processes’, </w:t>
      </w:r>
      <w:r w:rsidRPr="007906A9">
        <w:rPr>
          <w:rFonts w:ascii="Times New Roman" w:eastAsiaTheme="majorEastAsia" w:hAnsi="Times New Roman" w:cs="Times New Roman"/>
          <w:i/>
          <w:iCs/>
          <w:kern w:val="0"/>
          <w:sz w:val="24"/>
          <w:szCs w:val="24"/>
          <w:lang w:eastAsia="en-GB"/>
          <w14:ligatures w14:val="none"/>
        </w:rPr>
        <w:t>Leadership &amp; Organization Development Journal</w:t>
      </w:r>
      <w:r w:rsidRPr="007906A9">
        <w:rPr>
          <w:rFonts w:ascii="Times New Roman" w:eastAsia="Times New Roman" w:hAnsi="Times New Roman" w:cs="Times New Roman"/>
          <w:kern w:val="0"/>
          <w:sz w:val="24"/>
          <w:szCs w:val="24"/>
          <w:lang w:eastAsia="en-GB"/>
          <w14:ligatures w14:val="none"/>
        </w:rPr>
        <w:t>, 22(8), pp. 372–382.</w:t>
      </w:r>
    </w:p>
    <w:p w14:paraId="6FC85160"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Brower, R.S., Abolafia, M.Y. and Carr, J.B. (2000) ‘On Improving Qualitative Methods in Public Administration Research’, </w:t>
      </w:r>
      <w:r w:rsidRPr="007906A9">
        <w:rPr>
          <w:rFonts w:ascii="Times New Roman" w:eastAsiaTheme="majorEastAsia" w:hAnsi="Times New Roman" w:cs="Times New Roman"/>
          <w:i/>
          <w:iCs/>
          <w:kern w:val="0"/>
          <w:sz w:val="24"/>
          <w:szCs w:val="24"/>
          <w:lang w:eastAsia="en-GB"/>
          <w14:ligatures w14:val="none"/>
        </w:rPr>
        <w:t>Administration &amp; Society</w:t>
      </w:r>
      <w:r w:rsidRPr="007906A9">
        <w:rPr>
          <w:rFonts w:ascii="Times New Roman" w:eastAsia="Times New Roman" w:hAnsi="Times New Roman" w:cs="Times New Roman"/>
          <w:kern w:val="0"/>
          <w:sz w:val="24"/>
          <w:szCs w:val="24"/>
          <w:lang w:eastAsia="en-GB"/>
          <w14:ligatures w14:val="none"/>
        </w:rPr>
        <w:t>, 32(4), pp. 363–397.</w:t>
      </w:r>
    </w:p>
    <w:p w14:paraId="72E6C86F"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Bryman, A. (2008). </w:t>
      </w:r>
      <w:r w:rsidRPr="007906A9">
        <w:rPr>
          <w:rFonts w:ascii="Times New Roman" w:eastAsiaTheme="majorEastAsia" w:hAnsi="Times New Roman" w:cs="Times New Roman"/>
          <w:i/>
          <w:iCs/>
          <w:kern w:val="0"/>
          <w:sz w:val="24"/>
          <w:szCs w:val="24"/>
          <w:lang w:eastAsia="en-GB"/>
          <w14:ligatures w14:val="none"/>
        </w:rPr>
        <w:t>Social Research Methods</w:t>
      </w:r>
      <w:r w:rsidRPr="007906A9">
        <w:rPr>
          <w:rFonts w:ascii="Times New Roman" w:eastAsia="Times New Roman" w:hAnsi="Times New Roman" w:cs="Times New Roman"/>
          <w:kern w:val="0"/>
          <w:sz w:val="24"/>
          <w:szCs w:val="24"/>
          <w:lang w:eastAsia="en-GB"/>
          <w14:ligatures w14:val="none"/>
        </w:rPr>
        <w:t>. 2nd edn. Oxford: Oxford University Press.</w:t>
      </w:r>
    </w:p>
    <w:p w14:paraId="1AA42E35" w14:textId="7188AC5D"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lastRenderedPageBreak/>
        <w:t>Buhalis, D. and Leung, R. (2018) ‘Smart hospitality</w:t>
      </w:r>
      <w:r w:rsidR="00D803CC">
        <w:rPr>
          <w:rFonts w:ascii="Times New Roman" w:eastAsia="Times New Roman" w:hAnsi="Times New Roman" w:cs="Times New Roman"/>
          <w:kern w:val="0"/>
          <w:sz w:val="24"/>
          <w:szCs w:val="24"/>
          <w:lang w:eastAsia="en-GB"/>
          <w14:ligatures w14:val="none"/>
        </w:rPr>
        <w:t xml:space="preserve"> </w:t>
      </w:r>
      <w:r w:rsidRPr="007906A9">
        <w:rPr>
          <w:rFonts w:ascii="Times New Roman" w:eastAsia="Times New Roman" w:hAnsi="Times New Roman" w:cs="Times New Roman"/>
          <w:kern w:val="0"/>
          <w:sz w:val="24"/>
          <w:szCs w:val="24"/>
          <w:lang w:eastAsia="en-GB"/>
          <w14:ligatures w14:val="none"/>
        </w:rPr>
        <w:t xml:space="preserve">interconnectivity and interoperability towards an ecosystem’, </w:t>
      </w:r>
      <w:r w:rsidRPr="007906A9">
        <w:rPr>
          <w:rFonts w:ascii="Times New Roman" w:eastAsiaTheme="majorEastAsia" w:hAnsi="Times New Roman" w:cs="Times New Roman"/>
          <w:i/>
          <w:iCs/>
          <w:kern w:val="0"/>
          <w:sz w:val="24"/>
          <w:szCs w:val="24"/>
          <w:lang w:eastAsia="en-GB"/>
          <w14:ligatures w14:val="none"/>
        </w:rPr>
        <w:t>International Journal of Hospitality Management</w:t>
      </w:r>
      <w:r w:rsidRPr="007906A9">
        <w:rPr>
          <w:rFonts w:ascii="Times New Roman" w:eastAsia="Times New Roman" w:hAnsi="Times New Roman" w:cs="Times New Roman"/>
          <w:kern w:val="0"/>
          <w:sz w:val="24"/>
          <w:szCs w:val="24"/>
          <w:lang w:eastAsia="en-GB"/>
          <w14:ligatures w14:val="none"/>
        </w:rPr>
        <w:t>, 71, pp. 41–50.</w:t>
      </w:r>
    </w:p>
    <w:p w14:paraId="278D5FAD"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Collis, J. and Hussey, R. (2014) </w:t>
      </w:r>
      <w:r w:rsidRPr="007906A9">
        <w:rPr>
          <w:rFonts w:ascii="Times New Roman" w:eastAsiaTheme="majorEastAsia" w:hAnsi="Times New Roman" w:cs="Times New Roman"/>
          <w:i/>
          <w:iCs/>
          <w:kern w:val="0"/>
          <w:sz w:val="24"/>
          <w:szCs w:val="24"/>
          <w:lang w:eastAsia="en-GB"/>
          <w14:ligatures w14:val="none"/>
        </w:rPr>
        <w:t>Business Research: A Practical Guide for Undergraduate and Postgraduate Students</w:t>
      </w:r>
      <w:r w:rsidRPr="007906A9">
        <w:rPr>
          <w:rFonts w:ascii="Times New Roman" w:eastAsia="Times New Roman" w:hAnsi="Times New Roman" w:cs="Times New Roman"/>
          <w:kern w:val="0"/>
          <w:sz w:val="24"/>
          <w:szCs w:val="24"/>
          <w:lang w:eastAsia="en-GB"/>
          <w14:ligatures w14:val="none"/>
        </w:rPr>
        <w:t>. 4th edn. London: Palgrave Macmillan.</w:t>
      </w:r>
    </w:p>
    <w:p w14:paraId="759C4111"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Cottrell, S. (2011). </w:t>
      </w:r>
      <w:r w:rsidRPr="007906A9">
        <w:rPr>
          <w:rFonts w:ascii="Times New Roman" w:eastAsiaTheme="majorEastAsia" w:hAnsi="Times New Roman" w:cs="Times New Roman"/>
          <w:i/>
          <w:iCs/>
          <w:kern w:val="0"/>
          <w:sz w:val="24"/>
          <w:szCs w:val="24"/>
          <w:lang w:eastAsia="en-GB"/>
          <w14:ligatures w14:val="none"/>
        </w:rPr>
        <w:t>Critical Thinking Skills: Developing Effective Analysis and Argument</w:t>
      </w:r>
      <w:r w:rsidRPr="007906A9">
        <w:rPr>
          <w:rFonts w:ascii="Times New Roman" w:eastAsia="Times New Roman" w:hAnsi="Times New Roman" w:cs="Times New Roman"/>
          <w:kern w:val="0"/>
          <w:sz w:val="24"/>
          <w:szCs w:val="24"/>
          <w:lang w:eastAsia="en-GB"/>
          <w14:ligatures w14:val="none"/>
        </w:rPr>
        <w:t>. 2nd edn. Basingstoke: Palgrave Macmillan.</w:t>
      </w:r>
    </w:p>
    <w:p w14:paraId="0679257C"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Cottrell, S. (2014). </w:t>
      </w:r>
      <w:r w:rsidRPr="007906A9">
        <w:rPr>
          <w:rFonts w:ascii="Times New Roman" w:eastAsiaTheme="majorEastAsia" w:hAnsi="Times New Roman" w:cs="Times New Roman"/>
          <w:i/>
          <w:iCs/>
          <w:kern w:val="0"/>
          <w:sz w:val="24"/>
          <w:szCs w:val="24"/>
          <w:lang w:eastAsia="en-GB"/>
          <w14:ligatures w14:val="none"/>
        </w:rPr>
        <w:t>Dissertations and Project Reports: A Step-by-Step Guide</w:t>
      </w:r>
      <w:r w:rsidRPr="007906A9">
        <w:rPr>
          <w:rFonts w:ascii="Times New Roman" w:eastAsia="Times New Roman" w:hAnsi="Times New Roman" w:cs="Times New Roman"/>
          <w:kern w:val="0"/>
          <w:sz w:val="24"/>
          <w:szCs w:val="24"/>
          <w:lang w:eastAsia="en-GB"/>
          <w14:ligatures w14:val="none"/>
        </w:rPr>
        <w:t>. Basingstoke: Palgrave Macmillan.</w:t>
      </w:r>
    </w:p>
    <w:p w14:paraId="709FC6B5"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de Chernatony, L. and Harris, F. (2001) ‘Corporate branding and corporate brand performance’, </w:t>
      </w:r>
      <w:r w:rsidRPr="007906A9">
        <w:rPr>
          <w:rFonts w:ascii="Times New Roman" w:eastAsiaTheme="majorEastAsia" w:hAnsi="Times New Roman" w:cs="Times New Roman"/>
          <w:i/>
          <w:iCs/>
          <w:kern w:val="0"/>
          <w:sz w:val="24"/>
          <w:szCs w:val="24"/>
          <w:lang w:eastAsia="en-GB"/>
          <w14:ligatures w14:val="none"/>
        </w:rPr>
        <w:t>European Journal of Marketing</w:t>
      </w:r>
      <w:r w:rsidRPr="007906A9">
        <w:rPr>
          <w:rFonts w:ascii="Times New Roman" w:eastAsia="Times New Roman" w:hAnsi="Times New Roman" w:cs="Times New Roman"/>
          <w:kern w:val="0"/>
          <w:sz w:val="24"/>
          <w:szCs w:val="24"/>
          <w:lang w:eastAsia="en-GB"/>
          <w14:ligatures w14:val="none"/>
        </w:rPr>
        <w:t>, 35(3/4), pp. 441–456.</w:t>
      </w:r>
    </w:p>
    <w:p w14:paraId="3C970497"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Deery, M. and Jago, L. (2015) ‘Revisiting Talent Management, Work-Life Balance and Retention Strategies’, </w:t>
      </w:r>
      <w:r w:rsidRPr="007906A9">
        <w:rPr>
          <w:rFonts w:ascii="Times New Roman" w:eastAsiaTheme="majorEastAsia" w:hAnsi="Times New Roman" w:cs="Times New Roman"/>
          <w:i/>
          <w:iCs/>
          <w:kern w:val="0"/>
          <w:sz w:val="24"/>
          <w:szCs w:val="24"/>
          <w:lang w:eastAsia="en-GB"/>
          <w14:ligatures w14:val="none"/>
        </w:rPr>
        <w:t>International Journal of Contemporary Hospitality Management</w:t>
      </w:r>
      <w:r w:rsidRPr="007906A9">
        <w:rPr>
          <w:rFonts w:ascii="Times New Roman" w:eastAsia="Times New Roman" w:hAnsi="Times New Roman" w:cs="Times New Roman"/>
          <w:kern w:val="0"/>
          <w:sz w:val="24"/>
          <w:szCs w:val="24"/>
          <w:lang w:eastAsia="en-GB"/>
          <w14:ligatures w14:val="none"/>
        </w:rPr>
        <w:t>, 27(3), pp. 453–472.</w:t>
      </w:r>
    </w:p>
    <w:p w14:paraId="0897F1FF"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Delta Hotels by Marriott (2025) </w:t>
      </w:r>
      <w:r w:rsidRPr="007906A9">
        <w:rPr>
          <w:rFonts w:ascii="Times New Roman" w:eastAsiaTheme="majorEastAsia" w:hAnsi="Times New Roman" w:cs="Times New Roman"/>
          <w:i/>
          <w:iCs/>
          <w:kern w:val="0"/>
          <w:sz w:val="24"/>
          <w:szCs w:val="24"/>
          <w:lang w:eastAsia="en-GB"/>
          <w14:ligatures w14:val="none"/>
        </w:rPr>
        <w:t>Property Refurbishment Documentation and Guest Service Overview</w:t>
      </w:r>
      <w:r w:rsidRPr="007906A9">
        <w:rPr>
          <w:rFonts w:ascii="Times New Roman" w:eastAsia="Times New Roman" w:hAnsi="Times New Roman" w:cs="Times New Roman"/>
          <w:kern w:val="0"/>
          <w:sz w:val="24"/>
          <w:szCs w:val="24"/>
          <w:lang w:eastAsia="en-GB"/>
          <w14:ligatures w14:val="none"/>
        </w:rPr>
        <w:t>. Marriott Internal Resource (accessed during placement).</w:t>
      </w:r>
    </w:p>
    <w:p w14:paraId="482B6EA5"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Delta Hotels by Marriott Bristol City Centre (2025) </w:t>
      </w:r>
      <w:r w:rsidRPr="007906A9">
        <w:rPr>
          <w:rFonts w:ascii="Times New Roman" w:eastAsiaTheme="majorEastAsia" w:hAnsi="Times New Roman" w:cs="Times New Roman"/>
          <w:i/>
          <w:iCs/>
          <w:kern w:val="0"/>
          <w:sz w:val="24"/>
          <w:szCs w:val="24"/>
          <w:lang w:eastAsia="en-GB"/>
          <w14:ligatures w14:val="none"/>
        </w:rPr>
        <w:t>Newly Renovated Hotel in the Heart of Bristol</w:t>
      </w:r>
      <w:r w:rsidRPr="007906A9">
        <w:rPr>
          <w:rFonts w:ascii="Times New Roman" w:eastAsia="Times New Roman" w:hAnsi="Times New Roman" w:cs="Times New Roman"/>
          <w:kern w:val="0"/>
          <w:sz w:val="24"/>
          <w:szCs w:val="24"/>
          <w:lang w:eastAsia="en-GB"/>
          <w14:ligatures w14:val="none"/>
        </w:rPr>
        <w:t xml:space="preserve">. Available at: </w:t>
      </w:r>
      <w:hyperlink r:id="rId10" w:tgtFrame="_new" w:history="1">
        <w:r w:rsidRPr="007906A9">
          <w:rPr>
            <w:rFonts w:ascii="Times New Roman" w:eastAsiaTheme="majorEastAsia" w:hAnsi="Times New Roman" w:cs="Times New Roman"/>
            <w:color w:val="0000FF"/>
            <w:kern w:val="0"/>
            <w:sz w:val="24"/>
            <w:szCs w:val="24"/>
            <w:u w:val="single"/>
            <w:lang w:eastAsia="en-GB"/>
            <w14:ligatures w14:val="none"/>
          </w:rPr>
          <w:t>https://www.marriott.com/en-us/hotels/brsdh-delta-hotels-bristol-city-centre</w:t>
        </w:r>
      </w:hyperlink>
      <w:r w:rsidRPr="007906A9">
        <w:rPr>
          <w:rFonts w:ascii="Times New Roman" w:eastAsia="Times New Roman" w:hAnsi="Times New Roman" w:cs="Times New Roman"/>
          <w:kern w:val="0"/>
          <w:sz w:val="24"/>
          <w:szCs w:val="24"/>
          <w:lang w:eastAsia="en-GB"/>
          <w14:ligatures w14:val="none"/>
        </w:rPr>
        <w:t xml:space="preserve"> (Accessed: 3 May 2025).</w:t>
      </w:r>
    </w:p>
    <w:p w14:paraId="454093D2"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Denscombe, M. (2010). </w:t>
      </w:r>
      <w:r w:rsidRPr="007906A9">
        <w:rPr>
          <w:rFonts w:ascii="Times New Roman" w:eastAsiaTheme="majorEastAsia" w:hAnsi="Times New Roman" w:cs="Times New Roman"/>
          <w:i/>
          <w:iCs/>
          <w:kern w:val="0"/>
          <w:sz w:val="24"/>
          <w:szCs w:val="24"/>
          <w:lang w:eastAsia="en-GB"/>
          <w14:ligatures w14:val="none"/>
        </w:rPr>
        <w:t>The Good Research Guide: For Small-Scale Social Research Projects</w:t>
      </w:r>
      <w:r w:rsidRPr="007906A9">
        <w:rPr>
          <w:rFonts w:ascii="Times New Roman" w:eastAsia="Times New Roman" w:hAnsi="Times New Roman" w:cs="Times New Roman"/>
          <w:kern w:val="0"/>
          <w:sz w:val="24"/>
          <w:szCs w:val="24"/>
          <w:lang w:eastAsia="en-GB"/>
          <w14:ligatures w14:val="none"/>
        </w:rPr>
        <w:t>. 4th edn. Maidenhead: Open University Press.</w:t>
      </w:r>
    </w:p>
    <w:p w14:paraId="5973BDFF"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Denzin, N.K. and Lincoln, Y.S. (2011). </w:t>
      </w:r>
      <w:r w:rsidRPr="007906A9">
        <w:rPr>
          <w:rFonts w:ascii="Times New Roman" w:eastAsiaTheme="majorEastAsia" w:hAnsi="Times New Roman" w:cs="Times New Roman"/>
          <w:i/>
          <w:iCs/>
          <w:kern w:val="0"/>
          <w:sz w:val="24"/>
          <w:szCs w:val="24"/>
          <w:lang w:eastAsia="en-GB"/>
          <w14:ligatures w14:val="none"/>
        </w:rPr>
        <w:t>The SAGE Handbook of Qualitative Research</w:t>
      </w:r>
      <w:r w:rsidRPr="007906A9">
        <w:rPr>
          <w:rFonts w:ascii="Times New Roman" w:eastAsia="Times New Roman" w:hAnsi="Times New Roman" w:cs="Times New Roman"/>
          <w:kern w:val="0"/>
          <w:sz w:val="24"/>
          <w:szCs w:val="24"/>
          <w:lang w:eastAsia="en-GB"/>
          <w14:ligatures w14:val="none"/>
        </w:rPr>
        <w:t>. 4th edn. Thousand Oaks, CA: Sage Publications.</w:t>
      </w:r>
    </w:p>
    <w:p w14:paraId="484CD041"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Diamantopoulos, A. and Schlegelmilch, B.B. (2002) </w:t>
      </w:r>
      <w:r w:rsidRPr="007906A9">
        <w:rPr>
          <w:rFonts w:ascii="Times New Roman" w:eastAsiaTheme="majorEastAsia" w:hAnsi="Times New Roman" w:cs="Times New Roman"/>
          <w:i/>
          <w:iCs/>
          <w:kern w:val="0"/>
          <w:sz w:val="24"/>
          <w:szCs w:val="24"/>
          <w:lang w:eastAsia="en-GB"/>
          <w14:ligatures w14:val="none"/>
        </w:rPr>
        <w:t>Taking the Fear Out of Data Analysis: A Step-by-Step Approach</w:t>
      </w:r>
      <w:r w:rsidRPr="007906A9">
        <w:rPr>
          <w:rFonts w:ascii="Times New Roman" w:eastAsia="Times New Roman" w:hAnsi="Times New Roman" w:cs="Times New Roman"/>
          <w:kern w:val="0"/>
          <w:sz w:val="24"/>
          <w:szCs w:val="24"/>
          <w:lang w:eastAsia="en-GB"/>
          <w14:ligatures w14:val="none"/>
        </w:rPr>
        <w:t>. London: Thomson Learning.</w:t>
      </w:r>
    </w:p>
    <w:p w14:paraId="45DE27AD"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Diefenbach, T. (2007) ‘The managerialistic ideology of organisational change management’, </w:t>
      </w:r>
      <w:r w:rsidRPr="007906A9">
        <w:rPr>
          <w:rFonts w:ascii="Times New Roman" w:eastAsiaTheme="majorEastAsia" w:hAnsi="Times New Roman" w:cs="Times New Roman"/>
          <w:i/>
          <w:iCs/>
          <w:kern w:val="0"/>
          <w:sz w:val="24"/>
          <w:szCs w:val="24"/>
          <w:lang w:eastAsia="en-GB"/>
          <w14:ligatures w14:val="none"/>
        </w:rPr>
        <w:t>Journal of Organizational Change Management</w:t>
      </w:r>
      <w:r w:rsidRPr="007906A9">
        <w:rPr>
          <w:rFonts w:ascii="Times New Roman" w:eastAsia="Times New Roman" w:hAnsi="Times New Roman" w:cs="Times New Roman"/>
          <w:kern w:val="0"/>
          <w:sz w:val="24"/>
          <w:szCs w:val="24"/>
          <w:lang w:eastAsia="en-GB"/>
          <w14:ligatures w14:val="none"/>
        </w:rPr>
        <w:t>, 20(1), pp. 126–144.</w:t>
      </w:r>
    </w:p>
    <w:p w14:paraId="76A4FE6C"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Dube, L. and Renaghan, L.M. (2000) ‘Creating visible customer value: How customers view best-practice champions’, </w:t>
      </w:r>
      <w:r w:rsidRPr="007906A9">
        <w:rPr>
          <w:rFonts w:ascii="Times New Roman" w:eastAsiaTheme="majorEastAsia" w:hAnsi="Times New Roman" w:cs="Times New Roman"/>
          <w:i/>
          <w:iCs/>
          <w:kern w:val="0"/>
          <w:sz w:val="24"/>
          <w:szCs w:val="24"/>
          <w:lang w:eastAsia="en-GB"/>
          <w14:ligatures w14:val="none"/>
        </w:rPr>
        <w:t>Cornell Hotel and Restaurant Administration Quarterly</w:t>
      </w:r>
      <w:r w:rsidRPr="007906A9">
        <w:rPr>
          <w:rFonts w:ascii="Times New Roman" w:eastAsia="Times New Roman" w:hAnsi="Times New Roman" w:cs="Times New Roman"/>
          <w:kern w:val="0"/>
          <w:sz w:val="24"/>
          <w:szCs w:val="24"/>
          <w:lang w:eastAsia="en-GB"/>
          <w14:ligatures w14:val="none"/>
        </w:rPr>
        <w:t>, 41(1), pp. 62–72.</w:t>
      </w:r>
    </w:p>
    <w:p w14:paraId="32C168A0"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Flyvbjerg, B. (2011) ‘Case study’, in Denzin, N.K. and Lincoln, Y.S. (eds.) </w:t>
      </w:r>
      <w:r w:rsidRPr="007906A9">
        <w:rPr>
          <w:rFonts w:ascii="Times New Roman" w:eastAsiaTheme="majorEastAsia" w:hAnsi="Times New Roman" w:cs="Times New Roman"/>
          <w:i/>
          <w:iCs/>
          <w:kern w:val="0"/>
          <w:sz w:val="24"/>
          <w:szCs w:val="24"/>
          <w:lang w:eastAsia="en-GB"/>
          <w14:ligatures w14:val="none"/>
        </w:rPr>
        <w:t>The Sage Handbook of Qualitative Research</w:t>
      </w:r>
      <w:r w:rsidRPr="007906A9">
        <w:rPr>
          <w:rFonts w:ascii="Times New Roman" w:eastAsia="Times New Roman" w:hAnsi="Times New Roman" w:cs="Times New Roman"/>
          <w:kern w:val="0"/>
          <w:sz w:val="24"/>
          <w:szCs w:val="24"/>
          <w:lang w:eastAsia="en-GB"/>
          <w14:ligatures w14:val="none"/>
        </w:rPr>
        <w:t>. 4th edn. Thousand Oaks, CA: Sage, pp. 301–316.</w:t>
      </w:r>
    </w:p>
    <w:p w14:paraId="40D79179"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Font, X. and Lynes, J. (2018) ‘Corporate Social Responsibility in Tourism and Hospitality’, </w:t>
      </w:r>
      <w:r w:rsidRPr="007906A9">
        <w:rPr>
          <w:rFonts w:ascii="Times New Roman" w:eastAsiaTheme="majorEastAsia" w:hAnsi="Times New Roman" w:cs="Times New Roman"/>
          <w:i/>
          <w:iCs/>
          <w:kern w:val="0"/>
          <w:sz w:val="24"/>
          <w:szCs w:val="24"/>
          <w:lang w:eastAsia="en-GB"/>
          <w14:ligatures w14:val="none"/>
        </w:rPr>
        <w:t>Journal of Sustainable Tourism</w:t>
      </w:r>
      <w:r w:rsidRPr="007906A9">
        <w:rPr>
          <w:rFonts w:ascii="Times New Roman" w:eastAsia="Times New Roman" w:hAnsi="Times New Roman" w:cs="Times New Roman"/>
          <w:kern w:val="0"/>
          <w:sz w:val="24"/>
          <w:szCs w:val="24"/>
          <w:lang w:eastAsia="en-GB"/>
          <w14:ligatures w14:val="none"/>
        </w:rPr>
        <w:t>, 26(7), pp. 1027–1042.</w:t>
      </w:r>
    </w:p>
    <w:p w14:paraId="28F4B682"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lastRenderedPageBreak/>
        <w:t xml:space="preserve">Font, X. and Lynes, J. (2018) ‘Sustainable tourism marketing’, in </w:t>
      </w:r>
      <w:r w:rsidRPr="007906A9">
        <w:rPr>
          <w:rFonts w:ascii="Times New Roman" w:eastAsiaTheme="majorEastAsia" w:hAnsi="Times New Roman" w:cs="Times New Roman"/>
          <w:i/>
          <w:iCs/>
          <w:kern w:val="0"/>
          <w:sz w:val="24"/>
          <w:szCs w:val="24"/>
          <w:lang w:eastAsia="en-GB"/>
          <w14:ligatures w14:val="none"/>
        </w:rPr>
        <w:t>The Routledge Handbook of Tourism Marketing</w:t>
      </w:r>
      <w:r w:rsidRPr="007906A9">
        <w:rPr>
          <w:rFonts w:ascii="Times New Roman" w:eastAsia="Times New Roman" w:hAnsi="Times New Roman" w:cs="Times New Roman"/>
          <w:kern w:val="0"/>
          <w:sz w:val="24"/>
          <w:szCs w:val="24"/>
          <w:lang w:eastAsia="en-GB"/>
          <w14:ligatures w14:val="none"/>
        </w:rPr>
        <w:t>. Abingdon: Routledge, pp. 205–217.</w:t>
      </w:r>
    </w:p>
    <w:p w14:paraId="4F0A741D" w14:textId="77777777" w:rsid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Gill, R. (2002) ‘Change management – or change leadership?’, </w:t>
      </w:r>
      <w:r w:rsidRPr="007906A9">
        <w:rPr>
          <w:rFonts w:ascii="Times New Roman" w:eastAsiaTheme="majorEastAsia" w:hAnsi="Times New Roman" w:cs="Times New Roman"/>
          <w:i/>
          <w:iCs/>
          <w:kern w:val="0"/>
          <w:sz w:val="24"/>
          <w:szCs w:val="24"/>
          <w:lang w:eastAsia="en-GB"/>
          <w14:ligatures w14:val="none"/>
        </w:rPr>
        <w:t>Journal of Change Management</w:t>
      </w:r>
      <w:r w:rsidRPr="007906A9">
        <w:rPr>
          <w:rFonts w:ascii="Times New Roman" w:eastAsia="Times New Roman" w:hAnsi="Times New Roman" w:cs="Times New Roman"/>
          <w:kern w:val="0"/>
          <w:sz w:val="24"/>
          <w:szCs w:val="24"/>
          <w:lang w:eastAsia="en-GB"/>
          <w14:ligatures w14:val="none"/>
        </w:rPr>
        <w:t>, 3(4), pp. 307–318.</w:t>
      </w:r>
    </w:p>
    <w:p w14:paraId="00B57157" w14:textId="1E35817A" w:rsidR="00C540FC" w:rsidRPr="007906A9" w:rsidRDefault="00C540FC"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C540FC">
        <w:rPr>
          <w:rFonts w:ascii="Times New Roman" w:eastAsia="Times New Roman" w:hAnsi="Times New Roman" w:cs="Times New Roman"/>
          <w:kern w:val="0"/>
          <w:sz w:val="24"/>
          <w:szCs w:val="24"/>
          <w:lang w:eastAsia="en-GB"/>
          <w14:ligatures w14:val="none"/>
        </w:rPr>
        <w:t xml:space="preserve">Gibbs, G. (1988) </w:t>
      </w:r>
      <w:r w:rsidRPr="00C540FC">
        <w:rPr>
          <w:rFonts w:ascii="Times New Roman" w:eastAsia="Times New Roman" w:hAnsi="Times New Roman" w:cs="Times New Roman"/>
          <w:i/>
          <w:iCs/>
          <w:kern w:val="0"/>
          <w:sz w:val="24"/>
          <w:szCs w:val="24"/>
          <w:lang w:eastAsia="en-GB"/>
          <w14:ligatures w14:val="none"/>
        </w:rPr>
        <w:t>Learning by Doing: A Guide to Teaching and Learning Methods</w:t>
      </w:r>
      <w:r w:rsidRPr="00C540FC">
        <w:rPr>
          <w:rFonts w:ascii="Times New Roman" w:eastAsia="Times New Roman" w:hAnsi="Times New Roman" w:cs="Times New Roman"/>
          <w:kern w:val="0"/>
          <w:sz w:val="24"/>
          <w:szCs w:val="24"/>
          <w:lang w:eastAsia="en-GB"/>
          <w14:ligatures w14:val="none"/>
        </w:rPr>
        <w:t>. Oxford: Oxford Further Education Unit.</w:t>
      </w:r>
    </w:p>
    <w:p w14:paraId="5F156309"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Gilmore, J.H. and Pine, B.J. (2007) </w:t>
      </w:r>
      <w:r w:rsidRPr="007906A9">
        <w:rPr>
          <w:rFonts w:ascii="Times New Roman" w:eastAsiaTheme="majorEastAsia" w:hAnsi="Times New Roman" w:cs="Times New Roman"/>
          <w:i/>
          <w:iCs/>
          <w:kern w:val="0"/>
          <w:sz w:val="24"/>
          <w:szCs w:val="24"/>
          <w:lang w:eastAsia="en-GB"/>
          <w14:ligatures w14:val="none"/>
        </w:rPr>
        <w:t>Authenticity: What Consumers Really Want</w:t>
      </w:r>
      <w:r w:rsidRPr="007906A9">
        <w:rPr>
          <w:rFonts w:ascii="Times New Roman" w:eastAsia="Times New Roman" w:hAnsi="Times New Roman" w:cs="Times New Roman"/>
          <w:kern w:val="0"/>
          <w:sz w:val="24"/>
          <w:szCs w:val="24"/>
          <w:lang w:eastAsia="en-GB"/>
          <w14:ligatures w14:val="none"/>
        </w:rPr>
        <w:t>. Boston: Harvard Business Review Press.</w:t>
      </w:r>
    </w:p>
    <w:p w14:paraId="52853CB1"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Grbich, C. (2006). </w:t>
      </w:r>
      <w:r w:rsidRPr="007906A9">
        <w:rPr>
          <w:rFonts w:ascii="Times New Roman" w:eastAsiaTheme="majorEastAsia" w:hAnsi="Times New Roman" w:cs="Times New Roman"/>
          <w:i/>
          <w:iCs/>
          <w:kern w:val="0"/>
          <w:sz w:val="24"/>
          <w:szCs w:val="24"/>
          <w:lang w:eastAsia="en-GB"/>
          <w14:ligatures w14:val="none"/>
        </w:rPr>
        <w:t>Qualitative Data Analysis: An Introduction</w:t>
      </w:r>
      <w:r w:rsidRPr="007906A9">
        <w:rPr>
          <w:rFonts w:ascii="Times New Roman" w:eastAsia="Times New Roman" w:hAnsi="Times New Roman" w:cs="Times New Roman"/>
          <w:kern w:val="0"/>
          <w:sz w:val="24"/>
          <w:szCs w:val="24"/>
          <w:lang w:eastAsia="en-GB"/>
          <w14:ligatures w14:val="none"/>
        </w:rPr>
        <w:t>. London: SAGE Publications.</w:t>
      </w:r>
    </w:p>
    <w:p w14:paraId="5C7625C5" w14:textId="0C69DC59"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Greetham, B. (2014)</w:t>
      </w:r>
      <w:r w:rsidR="00E965A6">
        <w:rPr>
          <w:rFonts w:ascii="Times New Roman" w:eastAsia="Times New Roman" w:hAnsi="Times New Roman" w:cs="Times New Roman"/>
          <w:kern w:val="0"/>
          <w:sz w:val="24"/>
          <w:szCs w:val="24"/>
          <w:lang w:eastAsia="en-GB"/>
          <w14:ligatures w14:val="none"/>
        </w:rPr>
        <w:t>.</w:t>
      </w:r>
      <w:r w:rsidRPr="007906A9">
        <w:rPr>
          <w:rFonts w:ascii="Times New Roman" w:eastAsia="Times New Roman" w:hAnsi="Times New Roman" w:cs="Times New Roman"/>
          <w:kern w:val="0"/>
          <w:sz w:val="24"/>
          <w:szCs w:val="24"/>
          <w:lang w:eastAsia="en-GB"/>
          <w14:ligatures w14:val="none"/>
        </w:rPr>
        <w:t xml:space="preserve"> </w:t>
      </w:r>
      <w:r w:rsidRPr="007906A9">
        <w:rPr>
          <w:rFonts w:ascii="Times New Roman" w:eastAsiaTheme="majorEastAsia" w:hAnsi="Times New Roman" w:cs="Times New Roman"/>
          <w:i/>
          <w:iCs/>
          <w:kern w:val="0"/>
          <w:sz w:val="24"/>
          <w:szCs w:val="24"/>
          <w:lang w:eastAsia="en-GB"/>
          <w14:ligatures w14:val="none"/>
        </w:rPr>
        <w:t>How to Write Your Undergraduate Dissertation</w:t>
      </w:r>
      <w:r w:rsidRPr="007906A9">
        <w:rPr>
          <w:rFonts w:ascii="Times New Roman" w:eastAsia="Times New Roman" w:hAnsi="Times New Roman" w:cs="Times New Roman"/>
          <w:kern w:val="0"/>
          <w:sz w:val="24"/>
          <w:szCs w:val="24"/>
          <w:lang w:eastAsia="en-GB"/>
          <w14:ligatures w14:val="none"/>
        </w:rPr>
        <w:t>. Basingstoke: Palgrave Macmillan.</w:t>
      </w:r>
    </w:p>
    <w:p w14:paraId="3B93DDBE" w14:textId="5966531A"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Grönroos, C. (2007)</w:t>
      </w:r>
      <w:r w:rsidR="00E965A6">
        <w:rPr>
          <w:rFonts w:ascii="Times New Roman" w:eastAsia="Times New Roman" w:hAnsi="Times New Roman" w:cs="Times New Roman"/>
          <w:kern w:val="0"/>
          <w:sz w:val="24"/>
          <w:szCs w:val="24"/>
          <w:lang w:eastAsia="en-GB"/>
          <w14:ligatures w14:val="none"/>
        </w:rPr>
        <w:t>.</w:t>
      </w:r>
      <w:r w:rsidRPr="007906A9">
        <w:rPr>
          <w:rFonts w:ascii="Times New Roman" w:eastAsia="Times New Roman" w:hAnsi="Times New Roman" w:cs="Times New Roman"/>
          <w:kern w:val="0"/>
          <w:sz w:val="24"/>
          <w:szCs w:val="24"/>
          <w:lang w:eastAsia="en-GB"/>
          <w14:ligatures w14:val="none"/>
        </w:rPr>
        <w:t xml:space="preserve"> </w:t>
      </w:r>
      <w:r w:rsidRPr="007906A9">
        <w:rPr>
          <w:rFonts w:ascii="Times New Roman" w:eastAsiaTheme="majorEastAsia" w:hAnsi="Times New Roman" w:cs="Times New Roman"/>
          <w:i/>
          <w:iCs/>
          <w:kern w:val="0"/>
          <w:sz w:val="24"/>
          <w:szCs w:val="24"/>
          <w:lang w:eastAsia="en-GB"/>
          <w14:ligatures w14:val="none"/>
        </w:rPr>
        <w:t>Service Management and Marketing: Customer Management in Service Competition</w:t>
      </w:r>
      <w:r w:rsidRPr="007906A9">
        <w:rPr>
          <w:rFonts w:ascii="Times New Roman" w:eastAsia="Times New Roman" w:hAnsi="Times New Roman" w:cs="Times New Roman"/>
          <w:kern w:val="0"/>
          <w:sz w:val="24"/>
          <w:szCs w:val="24"/>
          <w:lang w:eastAsia="en-GB"/>
          <w14:ligatures w14:val="none"/>
        </w:rPr>
        <w:t>. 3rd edn. Chichester: Wiley.</w:t>
      </w:r>
    </w:p>
    <w:p w14:paraId="32AEA06F"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Harris, L.C. and Ogbonna, E. (2002) ‘The Unintended Consequences of Culture Interventions: A Study of Unexpected Outcomes’, </w:t>
      </w:r>
      <w:r w:rsidRPr="007906A9">
        <w:rPr>
          <w:rFonts w:ascii="Times New Roman" w:eastAsiaTheme="majorEastAsia" w:hAnsi="Times New Roman" w:cs="Times New Roman"/>
          <w:i/>
          <w:iCs/>
          <w:kern w:val="0"/>
          <w:sz w:val="24"/>
          <w:szCs w:val="24"/>
          <w:lang w:eastAsia="en-GB"/>
          <w14:ligatures w14:val="none"/>
        </w:rPr>
        <w:t>British Journal of Management</w:t>
      </w:r>
      <w:r w:rsidRPr="007906A9">
        <w:rPr>
          <w:rFonts w:ascii="Times New Roman" w:eastAsia="Times New Roman" w:hAnsi="Times New Roman" w:cs="Times New Roman"/>
          <w:kern w:val="0"/>
          <w:sz w:val="24"/>
          <w:szCs w:val="24"/>
          <w:lang w:eastAsia="en-GB"/>
          <w14:ligatures w14:val="none"/>
        </w:rPr>
        <w:t>, 13(1), pp. 31–49.</w:t>
      </w:r>
    </w:p>
    <w:p w14:paraId="704D9711"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Hatch, M.J. and Schultz, M. (2003) ‘Bringing the corporation into corporate branding’, </w:t>
      </w:r>
      <w:r w:rsidRPr="007906A9">
        <w:rPr>
          <w:rFonts w:ascii="Times New Roman" w:eastAsiaTheme="majorEastAsia" w:hAnsi="Times New Roman" w:cs="Times New Roman"/>
          <w:i/>
          <w:iCs/>
          <w:kern w:val="0"/>
          <w:sz w:val="24"/>
          <w:szCs w:val="24"/>
          <w:lang w:eastAsia="en-GB"/>
          <w14:ligatures w14:val="none"/>
        </w:rPr>
        <w:t>European Journal of Marketing</w:t>
      </w:r>
      <w:r w:rsidRPr="007906A9">
        <w:rPr>
          <w:rFonts w:ascii="Times New Roman" w:eastAsia="Times New Roman" w:hAnsi="Times New Roman" w:cs="Times New Roman"/>
          <w:kern w:val="0"/>
          <w:sz w:val="24"/>
          <w:szCs w:val="24"/>
          <w:lang w:eastAsia="en-GB"/>
          <w14:ligatures w14:val="none"/>
        </w:rPr>
        <w:t>, 37(7/8), pp. 1041–1064.</w:t>
      </w:r>
    </w:p>
    <w:p w14:paraId="6BA951B9"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Indeed (2024) </w:t>
      </w:r>
      <w:r w:rsidRPr="007906A9">
        <w:rPr>
          <w:rFonts w:ascii="Times New Roman" w:eastAsiaTheme="majorEastAsia" w:hAnsi="Times New Roman" w:cs="Times New Roman"/>
          <w:i/>
          <w:iCs/>
          <w:kern w:val="0"/>
          <w:sz w:val="24"/>
          <w:szCs w:val="24"/>
          <w:lang w:eastAsia="en-GB"/>
          <w14:ligatures w14:val="none"/>
        </w:rPr>
        <w:t>Delta Hotels by Marriott Employee Reviews in Bristol</w:t>
      </w:r>
      <w:r w:rsidRPr="007906A9">
        <w:rPr>
          <w:rFonts w:ascii="Times New Roman" w:eastAsia="Times New Roman" w:hAnsi="Times New Roman" w:cs="Times New Roman"/>
          <w:kern w:val="0"/>
          <w:sz w:val="24"/>
          <w:szCs w:val="24"/>
          <w:lang w:eastAsia="en-GB"/>
          <w14:ligatures w14:val="none"/>
        </w:rPr>
        <w:t xml:space="preserve">. Available at: </w:t>
      </w:r>
      <w:hyperlink r:id="rId11" w:tgtFrame="_new" w:history="1">
        <w:r w:rsidRPr="007906A9">
          <w:rPr>
            <w:rFonts w:ascii="Times New Roman" w:eastAsiaTheme="majorEastAsia" w:hAnsi="Times New Roman" w:cs="Times New Roman"/>
            <w:color w:val="0000FF"/>
            <w:kern w:val="0"/>
            <w:sz w:val="24"/>
            <w:szCs w:val="24"/>
            <w:u w:val="single"/>
            <w:lang w:eastAsia="en-GB"/>
            <w14:ligatures w14:val="none"/>
          </w:rPr>
          <w:t>https://uk.indeed.com/cmp/Delta-Hotels-by-Marriott/reviews</w:t>
        </w:r>
      </w:hyperlink>
      <w:r w:rsidRPr="007906A9">
        <w:rPr>
          <w:rFonts w:ascii="Times New Roman" w:eastAsia="Times New Roman" w:hAnsi="Times New Roman" w:cs="Times New Roman"/>
          <w:kern w:val="0"/>
          <w:sz w:val="24"/>
          <w:szCs w:val="24"/>
          <w:lang w:eastAsia="en-GB"/>
          <w14:ligatures w14:val="none"/>
        </w:rPr>
        <w:t xml:space="preserve"> (Accessed: 3 May 2025).</w:t>
      </w:r>
    </w:p>
    <w:p w14:paraId="59B10B6F" w14:textId="77777777" w:rsid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Kandampully, J. and Suhartanto, D. (2000) ‘Customer Loyalty in the Hotel Industry: The Role of Customer Satisfaction and Image’, </w:t>
      </w:r>
      <w:r w:rsidRPr="007906A9">
        <w:rPr>
          <w:rFonts w:ascii="Times New Roman" w:eastAsiaTheme="majorEastAsia" w:hAnsi="Times New Roman" w:cs="Times New Roman"/>
          <w:i/>
          <w:iCs/>
          <w:kern w:val="0"/>
          <w:sz w:val="24"/>
          <w:szCs w:val="24"/>
          <w:lang w:eastAsia="en-GB"/>
          <w14:ligatures w14:val="none"/>
        </w:rPr>
        <w:t>International Journal of Contemporary Hospitality Management</w:t>
      </w:r>
      <w:r w:rsidRPr="007906A9">
        <w:rPr>
          <w:rFonts w:ascii="Times New Roman" w:eastAsia="Times New Roman" w:hAnsi="Times New Roman" w:cs="Times New Roman"/>
          <w:kern w:val="0"/>
          <w:sz w:val="24"/>
          <w:szCs w:val="24"/>
          <w:lang w:eastAsia="en-GB"/>
          <w14:ligatures w14:val="none"/>
        </w:rPr>
        <w:t>, 12(6), pp. 346–351.</w:t>
      </w:r>
    </w:p>
    <w:p w14:paraId="57B8240B" w14:textId="5AE43042" w:rsidR="00754968" w:rsidRPr="007906A9" w:rsidRDefault="00754968"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54968">
        <w:rPr>
          <w:rFonts w:ascii="Times New Roman" w:eastAsia="Times New Roman" w:hAnsi="Times New Roman" w:cs="Times New Roman"/>
          <w:kern w:val="0"/>
          <w:sz w:val="24"/>
          <w:szCs w:val="24"/>
          <w:lang w:eastAsia="en-GB"/>
          <w14:ligatures w14:val="none"/>
        </w:rPr>
        <w:t xml:space="preserve">Kandampully, J., Zhang, T. and Bilgihan, A. (2018) ‘Customer experience management in hospitality’, </w:t>
      </w:r>
      <w:r w:rsidRPr="00754968">
        <w:rPr>
          <w:rFonts w:ascii="Times New Roman" w:eastAsia="Times New Roman" w:hAnsi="Times New Roman" w:cs="Times New Roman"/>
          <w:i/>
          <w:iCs/>
          <w:kern w:val="0"/>
          <w:sz w:val="24"/>
          <w:szCs w:val="24"/>
          <w:lang w:eastAsia="en-GB"/>
          <w14:ligatures w14:val="none"/>
        </w:rPr>
        <w:t>International Journal of Contemporary Hospitality Management</w:t>
      </w:r>
      <w:r w:rsidRPr="00754968">
        <w:rPr>
          <w:rFonts w:ascii="Times New Roman" w:eastAsia="Times New Roman" w:hAnsi="Times New Roman" w:cs="Times New Roman"/>
          <w:kern w:val="0"/>
          <w:sz w:val="24"/>
          <w:szCs w:val="24"/>
          <w:lang w:eastAsia="en-GB"/>
          <w14:ligatures w14:val="none"/>
        </w:rPr>
        <w:t>, 30(1), pp. 21–56.</w:t>
      </w:r>
    </w:p>
    <w:p w14:paraId="78108A72"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Kimpakorn, N. and Tocquer, G. (2010) ‘Service Brand Equity and Employee Brand Commitment’, </w:t>
      </w:r>
      <w:r w:rsidRPr="007906A9">
        <w:rPr>
          <w:rFonts w:ascii="Times New Roman" w:eastAsiaTheme="majorEastAsia" w:hAnsi="Times New Roman" w:cs="Times New Roman"/>
          <w:i/>
          <w:iCs/>
          <w:kern w:val="0"/>
          <w:sz w:val="24"/>
          <w:szCs w:val="24"/>
          <w:lang w:eastAsia="en-GB"/>
          <w14:ligatures w14:val="none"/>
        </w:rPr>
        <w:t>Journal of Services Marketing</w:t>
      </w:r>
      <w:r w:rsidRPr="007906A9">
        <w:rPr>
          <w:rFonts w:ascii="Times New Roman" w:eastAsia="Times New Roman" w:hAnsi="Times New Roman" w:cs="Times New Roman"/>
          <w:kern w:val="0"/>
          <w:sz w:val="24"/>
          <w:szCs w:val="24"/>
          <w:lang w:eastAsia="en-GB"/>
          <w14:ligatures w14:val="none"/>
        </w:rPr>
        <w:t>, 24(5), pp. 378–388.</w:t>
      </w:r>
    </w:p>
    <w:p w14:paraId="2D9C318C" w14:textId="77777777" w:rsid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King, C. and Grace, D. (2008) ‘Internal branding: Exploring the employee’s perspective’, </w:t>
      </w:r>
      <w:r w:rsidRPr="007906A9">
        <w:rPr>
          <w:rFonts w:ascii="Times New Roman" w:eastAsiaTheme="majorEastAsia" w:hAnsi="Times New Roman" w:cs="Times New Roman"/>
          <w:i/>
          <w:iCs/>
          <w:kern w:val="0"/>
          <w:sz w:val="24"/>
          <w:szCs w:val="24"/>
          <w:lang w:eastAsia="en-GB"/>
          <w14:ligatures w14:val="none"/>
        </w:rPr>
        <w:t>Journal of Brand Management</w:t>
      </w:r>
      <w:r w:rsidRPr="007906A9">
        <w:rPr>
          <w:rFonts w:ascii="Times New Roman" w:eastAsia="Times New Roman" w:hAnsi="Times New Roman" w:cs="Times New Roman"/>
          <w:kern w:val="0"/>
          <w:sz w:val="24"/>
          <w:szCs w:val="24"/>
          <w:lang w:eastAsia="en-GB"/>
          <w14:ligatures w14:val="none"/>
        </w:rPr>
        <w:t>, 15(5), pp. 358–372.</w:t>
      </w:r>
    </w:p>
    <w:p w14:paraId="0DEDF215" w14:textId="6554D4C1" w:rsidR="0032631D" w:rsidRPr="007906A9" w:rsidRDefault="0032631D"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2631D">
        <w:rPr>
          <w:rFonts w:ascii="Times New Roman" w:eastAsia="Times New Roman" w:hAnsi="Times New Roman" w:cs="Times New Roman"/>
          <w:kern w:val="0"/>
          <w:sz w:val="24"/>
          <w:szCs w:val="24"/>
          <w:lang w:eastAsia="en-GB"/>
          <w14:ligatures w14:val="none"/>
        </w:rPr>
        <w:t>Kolb, D.A., 2014. </w:t>
      </w:r>
      <w:r w:rsidRPr="0032631D">
        <w:rPr>
          <w:rFonts w:ascii="Times New Roman" w:eastAsia="Times New Roman" w:hAnsi="Times New Roman" w:cs="Times New Roman"/>
          <w:i/>
          <w:iCs/>
          <w:kern w:val="0"/>
          <w:sz w:val="24"/>
          <w:szCs w:val="24"/>
          <w:lang w:eastAsia="en-GB"/>
          <w14:ligatures w14:val="none"/>
        </w:rPr>
        <w:t>Experiential learning: Experience as the source of learning and development</w:t>
      </w:r>
      <w:r w:rsidRPr="0032631D">
        <w:rPr>
          <w:rFonts w:ascii="Times New Roman" w:eastAsia="Times New Roman" w:hAnsi="Times New Roman" w:cs="Times New Roman"/>
          <w:kern w:val="0"/>
          <w:sz w:val="24"/>
          <w:szCs w:val="24"/>
          <w:lang w:eastAsia="en-GB"/>
          <w14:ligatures w14:val="none"/>
        </w:rPr>
        <w:t xml:space="preserve">. FT </w:t>
      </w:r>
      <w:r>
        <w:rPr>
          <w:rFonts w:ascii="Times New Roman" w:eastAsia="Times New Roman" w:hAnsi="Times New Roman" w:cs="Times New Roman"/>
          <w:kern w:val="0"/>
          <w:sz w:val="24"/>
          <w:szCs w:val="24"/>
          <w:lang w:eastAsia="en-GB"/>
          <w14:ligatures w14:val="none"/>
        </w:rPr>
        <w:t>Press</w:t>
      </w:r>
      <w:r w:rsidRPr="0032631D">
        <w:rPr>
          <w:rFonts w:ascii="Times New Roman" w:eastAsia="Times New Roman" w:hAnsi="Times New Roman" w:cs="Times New Roman"/>
          <w:kern w:val="0"/>
          <w:sz w:val="24"/>
          <w:szCs w:val="24"/>
          <w:lang w:eastAsia="en-GB"/>
          <w14:ligatures w14:val="none"/>
        </w:rPr>
        <w:t>.</w:t>
      </w:r>
    </w:p>
    <w:p w14:paraId="5C25A4B2" w14:textId="79349F13"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lastRenderedPageBreak/>
        <w:t>Kotter, J.P. (1996)</w:t>
      </w:r>
      <w:r w:rsidR="0032631D">
        <w:rPr>
          <w:rFonts w:ascii="Times New Roman" w:eastAsia="Times New Roman" w:hAnsi="Times New Roman" w:cs="Times New Roman"/>
          <w:kern w:val="0"/>
          <w:sz w:val="24"/>
          <w:szCs w:val="24"/>
          <w:lang w:eastAsia="en-GB"/>
          <w14:ligatures w14:val="none"/>
        </w:rPr>
        <w:t>.</w:t>
      </w:r>
      <w:r w:rsidRPr="007906A9">
        <w:rPr>
          <w:rFonts w:ascii="Times New Roman" w:eastAsia="Times New Roman" w:hAnsi="Times New Roman" w:cs="Times New Roman"/>
          <w:kern w:val="0"/>
          <w:sz w:val="24"/>
          <w:szCs w:val="24"/>
          <w:lang w:eastAsia="en-GB"/>
          <w14:ligatures w14:val="none"/>
        </w:rPr>
        <w:t xml:space="preserve"> </w:t>
      </w:r>
      <w:r w:rsidRPr="007906A9">
        <w:rPr>
          <w:rFonts w:ascii="Times New Roman" w:eastAsiaTheme="majorEastAsia" w:hAnsi="Times New Roman" w:cs="Times New Roman"/>
          <w:i/>
          <w:iCs/>
          <w:kern w:val="0"/>
          <w:sz w:val="24"/>
          <w:szCs w:val="24"/>
          <w:lang w:eastAsia="en-GB"/>
          <w14:ligatures w14:val="none"/>
        </w:rPr>
        <w:t>Leading Change</w:t>
      </w:r>
      <w:r w:rsidRPr="007906A9">
        <w:rPr>
          <w:rFonts w:ascii="Times New Roman" w:eastAsia="Times New Roman" w:hAnsi="Times New Roman" w:cs="Times New Roman"/>
          <w:kern w:val="0"/>
          <w:sz w:val="24"/>
          <w:szCs w:val="24"/>
          <w:lang w:eastAsia="en-GB"/>
          <w14:ligatures w14:val="none"/>
        </w:rPr>
        <w:t>. Boston: Harvard Business School Press.</w:t>
      </w:r>
    </w:p>
    <w:p w14:paraId="2B2C1C87"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Kozinets, R.V. (2020) </w:t>
      </w:r>
      <w:r w:rsidRPr="007906A9">
        <w:rPr>
          <w:rFonts w:ascii="Times New Roman" w:eastAsiaTheme="majorEastAsia" w:hAnsi="Times New Roman" w:cs="Times New Roman"/>
          <w:i/>
          <w:iCs/>
          <w:kern w:val="0"/>
          <w:sz w:val="24"/>
          <w:szCs w:val="24"/>
          <w:lang w:eastAsia="en-GB"/>
          <w14:ligatures w14:val="none"/>
        </w:rPr>
        <w:t>Netnography: The Essential Guide to Qualitative Social Media Research</w:t>
      </w:r>
      <w:r w:rsidRPr="007906A9">
        <w:rPr>
          <w:rFonts w:ascii="Times New Roman" w:eastAsia="Times New Roman" w:hAnsi="Times New Roman" w:cs="Times New Roman"/>
          <w:kern w:val="0"/>
          <w:sz w:val="24"/>
          <w:szCs w:val="24"/>
          <w:lang w:eastAsia="en-GB"/>
          <w14:ligatures w14:val="none"/>
        </w:rPr>
        <w:t>. 3rd edn. London: Sage.</w:t>
      </w:r>
    </w:p>
    <w:p w14:paraId="564F350B" w14:textId="7069A20B" w:rsid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Lashley, C. (20</w:t>
      </w:r>
      <w:r w:rsidR="00541E02">
        <w:rPr>
          <w:rFonts w:ascii="Times New Roman" w:eastAsia="Times New Roman" w:hAnsi="Times New Roman" w:cs="Times New Roman"/>
          <w:kern w:val="0"/>
          <w:sz w:val="24"/>
          <w:szCs w:val="24"/>
          <w:lang w:eastAsia="en-GB"/>
          <w14:ligatures w14:val="none"/>
        </w:rPr>
        <w:t>09</w:t>
      </w:r>
      <w:r w:rsidRPr="007906A9">
        <w:rPr>
          <w:rFonts w:ascii="Times New Roman" w:eastAsia="Times New Roman" w:hAnsi="Times New Roman" w:cs="Times New Roman"/>
          <w:kern w:val="0"/>
          <w:sz w:val="24"/>
          <w:szCs w:val="24"/>
          <w:lang w:eastAsia="en-GB"/>
          <w14:ligatures w14:val="none"/>
        </w:rPr>
        <w:t xml:space="preserve">) </w:t>
      </w:r>
      <w:r w:rsidRPr="007906A9">
        <w:rPr>
          <w:rFonts w:ascii="Times New Roman" w:eastAsiaTheme="majorEastAsia" w:hAnsi="Times New Roman" w:cs="Times New Roman"/>
          <w:i/>
          <w:iCs/>
          <w:kern w:val="0"/>
          <w:sz w:val="24"/>
          <w:szCs w:val="24"/>
          <w:lang w:eastAsia="en-GB"/>
          <w14:ligatures w14:val="none"/>
        </w:rPr>
        <w:t>Hospitality Management: An Introduction</w:t>
      </w:r>
      <w:r w:rsidRPr="007906A9">
        <w:rPr>
          <w:rFonts w:ascii="Times New Roman" w:eastAsia="Times New Roman" w:hAnsi="Times New Roman" w:cs="Times New Roman"/>
          <w:kern w:val="0"/>
          <w:sz w:val="24"/>
          <w:szCs w:val="24"/>
          <w:lang w:eastAsia="en-GB"/>
          <w14:ligatures w14:val="none"/>
        </w:rPr>
        <w:t>. 2nd edn. London: Routledge.</w:t>
      </w:r>
    </w:p>
    <w:p w14:paraId="3C9EC250" w14:textId="38059E20" w:rsidR="00A61283" w:rsidRPr="007906A9" w:rsidRDefault="00A61283"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41E02">
        <w:rPr>
          <w:rFonts w:ascii="Times New Roman" w:eastAsia="Times New Roman" w:hAnsi="Times New Roman" w:cs="Times New Roman"/>
          <w:kern w:val="0"/>
          <w:sz w:val="24"/>
          <w:szCs w:val="24"/>
          <w:lang w:eastAsia="en-GB"/>
          <w14:ligatures w14:val="none"/>
        </w:rPr>
        <w:t>Madera, J.M., Dawson, M. and Neal, J.A. (2022)</w:t>
      </w:r>
      <w:r w:rsidR="00E965A6">
        <w:rPr>
          <w:rFonts w:ascii="Times New Roman" w:eastAsia="Times New Roman" w:hAnsi="Times New Roman" w:cs="Times New Roman"/>
          <w:kern w:val="0"/>
          <w:sz w:val="24"/>
          <w:szCs w:val="24"/>
          <w:lang w:eastAsia="en-GB"/>
          <w14:ligatures w14:val="none"/>
        </w:rPr>
        <w:t>.</w:t>
      </w:r>
      <w:r w:rsidRPr="00A61283">
        <w:rPr>
          <w:rFonts w:ascii="Times New Roman" w:eastAsia="Times New Roman" w:hAnsi="Times New Roman" w:cs="Times New Roman"/>
          <w:i/>
          <w:iCs/>
          <w:kern w:val="0"/>
          <w:sz w:val="24"/>
          <w:szCs w:val="24"/>
          <w:lang w:eastAsia="en-GB"/>
          <w14:ligatures w14:val="none"/>
        </w:rPr>
        <w:t>Managing People in the Hospitality Industry</w:t>
      </w:r>
      <w:r w:rsidRPr="00A61283">
        <w:rPr>
          <w:rFonts w:ascii="Times New Roman" w:eastAsia="Times New Roman" w:hAnsi="Times New Roman" w:cs="Times New Roman"/>
          <w:kern w:val="0"/>
          <w:sz w:val="24"/>
          <w:szCs w:val="24"/>
          <w:lang w:eastAsia="en-GB"/>
          <w14:ligatures w14:val="none"/>
        </w:rPr>
        <w:t>. 2nd edn. London: Routledge.</w:t>
      </w:r>
    </w:p>
    <w:p w14:paraId="37B2C435"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Marriott International (2024) </w:t>
      </w:r>
      <w:r w:rsidRPr="007906A9">
        <w:rPr>
          <w:rFonts w:ascii="Times New Roman" w:eastAsiaTheme="majorEastAsia" w:hAnsi="Times New Roman" w:cs="Times New Roman"/>
          <w:i/>
          <w:iCs/>
          <w:kern w:val="0"/>
          <w:sz w:val="24"/>
          <w:szCs w:val="24"/>
          <w:lang w:eastAsia="en-GB"/>
          <w14:ligatures w14:val="none"/>
        </w:rPr>
        <w:t>Serve 360: 2024 Environmental, Social and Governance (ESG) Report</w:t>
      </w:r>
      <w:r w:rsidRPr="007906A9">
        <w:rPr>
          <w:rFonts w:ascii="Times New Roman" w:eastAsia="Times New Roman" w:hAnsi="Times New Roman" w:cs="Times New Roman"/>
          <w:kern w:val="0"/>
          <w:sz w:val="24"/>
          <w:szCs w:val="24"/>
          <w:lang w:eastAsia="en-GB"/>
          <w14:ligatures w14:val="none"/>
        </w:rPr>
        <w:t xml:space="preserve">. Available at: </w:t>
      </w:r>
      <w:hyperlink r:id="rId12" w:tgtFrame="_new" w:history="1">
        <w:r w:rsidRPr="007906A9">
          <w:rPr>
            <w:rFonts w:ascii="Times New Roman" w:eastAsiaTheme="majorEastAsia" w:hAnsi="Times New Roman" w:cs="Times New Roman"/>
            <w:color w:val="0000FF"/>
            <w:kern w:val="0"/>
            <w:sz w:val="24"/>
            <w:szCs w:val="24"/>
            <w:u w:val="single"/>
            <w:lang w:eastAsia="en-GB"/>
            <w14:ligatures w14:val="none"/>
          </w:rPr>
          <w:t>https://serve360.marriott.com</w:t>
        </w:r>
      </w:hyperlink>
      <w:r w:rsidRPr="007906A9">
        <w:rPr>
          <w:rFonts w:ascii="Times New Roman" w:eastAsia="Times New Roman" w:hAnsi="Times New Roman" w:cs="Times New Roman"/>
          <w:kern w:val="0"/>
          <w:sz w:val="24"/>
          <w:szCs w:val="24"/>
          <w:lang w:eastAsia="en-GB"/>
          <w14:ligatures w14:val="none"/>
        </w:rPr>
        <w:t xml:space="preserve"> (Accessed: 3 May 2025).</w:t>
      </w:r>
    </w:p>
    <w:p w14:paraId="601DFD98"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Marshall, C. and Rossman, G.B. (2015). </w:t>
      </w:r>
      <w:r w:rsidRPr="007906A9">
        <w:rPr>
          <w:rFonts w:ascii="Times New Roman" w:eastAsiaTheme="majorEastAsia" w:hAnsi="Times New Roman" w:cs="Times New Roman"/>
          <w:i/>
          <w:iCs/>
          <w:kern w:val="0"/>
          <w:sz w:val="24"/>
          <w:szCs w:val="24"/>
          <w:lang w:eastAsia="en-GB"/>
          <w14:ligatures w14:val="none"/>
        </w:rPr>
        <w:t>Designing Qualitative Research</w:t>
      </w:r>
      <w:r w:rsidRPr="007906A9">
        <w:rPr>
          <w:rFonts w:ascii="Times New Roman" w:eastAsia="Times New Roman" w:hAnsi="Times New Roman" w:cs="Times New Roman"/>
          <w:kern w:val="0"/>
          <w:sz w:val="24"/>
          <w:szCs w:val="24"/>
          <w:lang w:eastAsia="en-GB"/>
          <w14:ligatures w14:val="none"/>
        </w:rPr>
        <w:t>. 6th edn. London: SAGE Publications.</w:t>
      </w:r>
    </w:p>
    <w:p w14:paraId="79968FF9"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McGivern, Y. (2006). </w:t>
      </w:r>
      <w:r w:rsidRPr="007906A9">
        <w:rPr>
          <w:rFonts w:ascii="Times New Roman" w:eastAsiaTheme="majorEastAsia" w:hAnsi="Times New Roman" w:cs="Times New Roman"/>
          <w:i/>
          <w:iCs/>
          <w:kern w:val="0"/>
          <w:sz w:val="24"/>
          <w:szCs w:val="24"/>
          <w:lang w:eastAsia="en-GB"/>
          <w14:ligatures w14:val="none"/>
        </w:rPr>
        <w:t>The Practice of Market and Social Research: An Introduction</w:t>
      </w:r>
      <w:r w:rsidRPr="007906A9">
        <w:rPr>
          <w:rFonts w:ascii="Times New Roman" w:eastAsia="Times New Roman" w:hAnsi="Times New Roman" w:cs="Times New Roman"/>
          <w:kern w:val="0"/>
          <w:sz w:val="24"/>
          <w:szCs w:val="24"/>
          <w:lang w:eastAsia="en-GB"/>
          <w14:ligatures w14:val="none"/>
        </w:rPr>
        <w:t>. 2nd edn. Harlow: Prentice Hall.</w:t>
      </w:r>
    </w:p>
    <w:p w14:paraId="201E48E8"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Melián-González, S., Bulchand-Gidumal, J. and López-Valcárcel, B.G. (2020) ‘New opportunities for the tourism industry post COVID-19: The case of digital transformation’, </w:t>
      </w:r>
      <w:r w:rsidRPr="007906A9">
        <w:rPr>
          <w:rFonts w:ascii="Times New Roman" w:eastAsiaTheme="majorEastAsia" w:hAnsi="Times New Roman" w:cs="Times New Roman"/>
          <w:i/>
          <w:iCs/>
          <w:kern w:val="0"/>
          <w:sz w:val="24"/>
          <w:szCs w:val="24"/>
          <w:lang w:eastAsia="en-GB"/>
          <w14:ligatures w14:val="none"/>
        </w:rPr>
        <w:t>Tourism Review</w:t>
      </w:r>
      <w:r w:rsidRPr="007906A9">
        <w:rPr>
          <w:rFonts w:ascii="Times New Roman" w:eastAsia="Times New Roman" w:hAnsi="Times New Roman" w:cs="Times New Roman"/>
          <w:kern w:val="0"/>
          <w:sz w:val="24"/>
          <w:szCs w:val="24"/>
          <w:lang w:eastAsia="en-GB"/>
          <w14:ligatures w14:val="none"/>
        </w:rPr>
        <w:t>, 76(4), pp. 1041–1050.</w:t>
      </w:r>
    </w:p>
    <w:p w14:paraId="44DFB317"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Merrilees, B. and Miller, D. (2008) ‘Principles of corporate rebranding’, </w:t>
      </w:r>
      <w:r w:rsidRPr="007906A9">
        <w:rPr>
          <w:rFonts w:ascii="Times New Roman" w:eastAsiaTheme="majorEastAsia" w:hAnsi="Times New Roman" w:cs="Times New Roman"/>
          <w:i/>
          <w:iCs/>
          <w:kern w:val="0"/>
          <w:sz w:val="24"/>
          <w:szCs w:val="24"/>
          <w:lang w:eastAsia="en-GB"/>
          <w14:ligatures w14:val="none"/>
        </w:rPr>
        <w:t>European Journal of Marketing</w:t>
      </w:r>
      <w:r w:rsidRPr="007906A9">
        <w:rPr>
          <w:rFonts w:ascii="Times New Roman" w:eastAsia="Times New Roman" w:hAnsi="Times New Roman" w:cs="Times New Roman"/>
          <w:kern w:val="0"/>
          <w:sz w:val="24"/>
          <w:szCs w:val="24"/>
          <w:lang w:eastAsia="en-GB"/>
          <w14:ligatures w14:val="none"/>
        </w:rPr>
        <w:t>, 42(5/6), pp. 537–552.</w:t>
      </w:r>
    </w:p>
    <w:p w14:paraId="54E645C8" w14:textId="77777777" w:rsid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Mkono, M. (2012) ‘Netnographic tourist research: The internet as a virtual fieldwork site’, </w:t>
      </w:r>
      <w:r w:rsidRPr="007906A9">
        <w:rPr>
          <w:rFonts w:ascii="Times New Roman" w:eastAsiaTheme="majorEastAsia" w:hAnsi="Times New Roman" w:cs="Times New Roman"/>
          <w:i/>
          <w:iCs/>
          <w:kern w:val="0"/>
          <w:sz w:val="24"/>
          <w:szCs w:val="24"/>
          <w:lang w:eastAsia="en-GB"/>
          <w14:ligatures w14:val="none"/>
        </w:rPr>
        <w:t>Tourism Analysis</w:t>
      </w:r>
      <w:r w:rsidRPr="007906A9">
        <w:rPr>
          <w:rFonts w:ascii="Times New Roman" w:eastAsia="Times New Roman" w:hAnsi="Times New Roman" w:cs="Times New Roman"/>
          <w:kern w:val="0"/>
          <w:sz w:val="24"/>
          <w:szCs w:val="24"/>
          <w:lang w:eastAsia="en-GB"/>
          <w14:ligatures w14:val="none"/>
        </w:rPr>
        <w:t>, 17(4), pp. 553–555.</w:t>
      </w:r>
    </w:p>
    <w:p w14:paraId="530C2AEB" w14:textId="7BB759A1" w:rsidR="00653E58" w:rsidRPr="007906A9" w:rsidRDefault="00653E58"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53E58">
        <w:rPr>
          <w:rFonts w:ascii="Times New Roman" w:eastAsia="Times New Roman" w:hAnsi="Times New Roman" w:cs="Times New Roman"/>
          <w:kern w:val="0"/>
          <w:sz w:val="24"/>
          <w:szCs w:val="24"/>
          <w:lang w:eastAsia="en-GB"/>
          <w14:ligatures w14:val="none"/>
        </w:rPr>
        <w:t xml:space="preserve">Mullins, L.J. and Christy, G. (2021) </w:t>
      </w:r>
      <w:r w:rsidRPr="00653E58">
        <w:rPr>
          <w:rFonts w:ascii="Times New Roman" w:eastAsia="Times New Roman" w:hAnsi="Times New Roman" w:cs="Times New Roman"/>
          <w:i/>
          <w:iCs/>
          <w:kern w:val="0"/>
          <w:sz w:val="24"/>
          <w:szCs w:val="24"/>
          <w:lang w:eastAsia="en-GB"/>
          <w14:ligatures w14:val="none"/>
        </w:rPr>
        <w:t>Management and Organisational Behaviour</w:t>
      </w:r>
      <w:r w:rsidRPr="00653E58">
        <w:rPr>
          <w:rFonts w:ascii="Times New Roman" w:eastAsia="Times New Roman" w:hAnsi="Times New Roman" w:cs="Times New Roman"/>
          <w:kern w:val="0"/>
          <w:sz w:val="24"/>
          <w:szCs w:val="24"/>
          <w:lang w:eastAsia="en-GB"/>
          <w14:ligatures w14:val="none"/>
        </w:rPr>
        <w:t>. 12th edn. Harlow: Pearson Education.</w:t>
      </w:r>
    </w:p>
    <w:p w14:paraId="210FEDFD"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Muzellec, L. and Lambkin, M. (2006) ‘Corporate rebranding: destroying, transferring or creating brand equity?’, </w:t>
      </w:r>
      <w:r w:rsidRPr="007906A9">
        <w:rPr>
          <w:rFonts w:ascii="Times New Roman" w:eastAsiaTheme="majorEastAsia" w:hAnsi="Times New Roman" w:cs="Times New Roman"/>
          <w:i/>
          <w:iCs/>
          <w:kern w:val="0"/>
          <w:sz w:val="24"/>
          <w:szCs w:val="24"/>
          <w:lang w:eastAsia="en-GB"/>
          <w14:ligatures w14:val="none"/>
        </w:rPr>
        <w:t>European Journal of Marketing</w:t>
      </w:r>
      <w:r w:rsidRPr="007906A9">
        <w:rPr>
          <w:rFonts w:ascii="Times New Roman" w:eastAsia="Times New Roman" w:hAnsi="Times New Roman" w:cs="Times New Roman"/>
          <w:kern w:val="0"/>
          <w:sz w:val="24"/>
          <w:szCs w:val="24"/>
          <w:lang w:eastAsia="en-GB"/>
          <w14:ligatures w14:val="none"/>
        </w:rPr>
        <w:t>, 40(7/8), pp. 803–824.</w:t>
      </w:r>
    </w:p>
    <w:p w14:paraId="7B29BEB3"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O’Neill, J.W. and Mattila, A.S. (2010) ‘Hotel brand strategy’, </w:t>
      </w:r>
      <w:r w:rsidRPr="007906A9">
        <w:rPr>
          <w:rFonts w:ascii="Times New Roman" w:eastAsiaTheme="majorEastAsia" w:hAnsi="Times New Roman" w:cs="Times New Roman"/>
          <w:i/>
          <w:iCs/>
          <w:kern w:val="0"/>
          <w:sz w:val="24"/>
          <w:szCs w:val="24"/>
          <w:lang w:eastAsia="en-GB"/>
          <w14:ligatures w14:val="none"/>
        </w:rPr>
        <w:t>Cornell Hospitality Quarterly</w:t>
      </w:r>
      <w:r w:rsidRPr="007906A9">
        <w:rPr>
          <w:rFonts w:ascii="Times New Roman" w:eastAsia="Times New Roman" w:hAnsi="Times New Roman" w:cs="Times New Roman"/>
          <w:kern w:val="0"/>
          <w:sz w:val="24"/>
          <w:szCs w:val="24"/>
          <w:lang w:eastAsia="en-GB"/>
          <w14:ligatures w14:val="none"/>
        </w:rPr>
        <w:t>, 51(1), pp. 27–34.</w:t>
      </w:r>
    </w:p>
    <w:p w14:paraId="0B85D749"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 Pallant, J. (2010) </w:t>
      </w:r>
      <w:r w:rsidRPr="007906A9">
        <w:rPr>
          <w:rFonts w:ascii="Times New Roman" w:eastAsiaTheme="majorEastAsia" w:hAnsi="Times New Roman" w:cs="Times New Roman"/>
          <w:i/>
          <w:iCs/>
          <w:kern w:val="0"/>
          <w:sz w:val="24"/>
          <w:szCs w:val="24"/>
          <w:lang w:eastAsia="en-GB"/>
          <w14:ligatures w14:val="none"/>
        </w:rPr>
        <w:t>SPSS Survival Manual: A Step-by-Step Guide to Data Analysis using SPSS</w:t>
      </w:r>
      <w:r w:rsidRPr="007906A9">
        <w:rPr>
          <w:rFonts w:ascii="Times New Roman" w:eastAsia="Times New Roman" w:hAnsi="Times New Roman" w:cs="Times New Roman"/>
          <w:kern w:val="0"/>
          <w:sz w:val="24"/>
          <w:szCs w:val="24"/>
          <w:lang w:eastAsia="en-GB"/>
          <w14:ligatures w14:val="none"/>
        </w:rPr>
        <w:t>. 4th edn. Maidenhead: McGraw-Hill Education.</w:t>
      </w:r>
    </w:p>
    <w:p w14:paraId="28A0C18B"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Pine, B.J. and Gilmore, J.H. (2011) </w:t>
      </w:r>
      <w:r w:rsidRPr="007906A9">
        <w:rPr>
          <w:rFonts w:ascii="Times New Roman" w:eastAsiaTheme="majorEastAsia" w:hAnsi="Times New Roman" w:cs="Times New Roman"/>
          <w:i/>
          <w:iCs/>
          <w:kern w:val="0"/>
          <w:sz w:val="24"/>
          <w:szCs w:val="24"/>
          <w:lang w:eastAsia="en-GB"/>
          <w14:ligatures w14:val="none"/>
        </w:rPr>
        <w:t>The Experience Economy</w:t>
      </w:r>
      <w:r w:rsidRPr="007906A9">
        <w:rPr>
          <w:rFonts w:ascii="Times New Roman" w:eastAsia="Times New Roman" w:hAnsi="Times New Roman" w:cs="Times New Roman"/>
          <w:kern w:val="0"/>
          <w:sz w:val="24"/>
          <w:szCs w:val="24"/>
          <w:lang w:eastAsia="en-GB"/>
          <w14:ligatures w14:val="none"/>
        </w:rPr>
        <w:t>. Boston: Harvard Business Review Press.</w:t>
      </w:r>
    </w:p>
    <w:p w14:paraId="3A2DC9EA" w14:textId="77777777" w:rsid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Pizam, A. (2020). </w:t>
      </w:r>
      <w:r w:rsidRPr="007906A9">
        <w:rPr>
          <w:rFonts w:ascii="Times New Roman" w:eastAsiaTheme="majorEastAsia" w:hAnsi="Times New Roman" w:cs="Times New Roman"/>
          <w:i/>
          <w:iCs/>
          <w:kern w:val="0"/>
          <w:sz w:val="24"/>
          <w:szCs w:val="24"/>
          <w:lang w:eastAsia="en-GB"/>
          <w14:ligatures w14:val="none"/>
        </w:rPr>
        <w:t>International Encyclopedia of Hospitality Management</w:t>
      </w:r>
      <w:r w:rsidRPr="007906A9">
        <w:rPr>
          <w:rFonts w:ascii="Times New Roman" w:eastAsia="Times New Roman" w:hAnsi="Times New Roman" w:cs="Times New Roman"/>
          <w:kern w:val="0"/>
          <w:sz w:val="24"/>
          <w:szCs w:val="24"/>
          <w:lang w:eastAsia="en-GB"/>
          <w14:ligatures w14:val="none"/>
        </w:rPr>
        <w:t>. 2nd edn. Oxford: Elsevier.</w:t>
      </w:r>
    </w:p>
    <w:p w14:paraId="3AFF30E0" w14:textId="0A3F9025" w:rsidR="00066A52" w:rsidRPr="007906A9" w:rsidRDefault="00066A52"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066A52">
        <w:rPr>
          <w:rFonts w:ascii="Times New Roman" w:eastAsia="Times New Roman" w:hAnsi="Times New Roman" w:cs="Times New Roman"/>
          <w:kern w:val="0"/>
          <w:sz w:val="24"/>
          <w:szCs w:val="24"/>
          <w:lang w:eastAsia="en-GB"/>
          <w14:ligatures w14:val="none"/>
        </w:rPr>
        <w:t xml:space="preserve">Robbins, S.P. and Judge, T.A. (2019) </w:t>
      </w:r>
      <w:r>
        <w:rPr>
          <w:rFonts w:ascii="Times New Roman" w:eastAsia="Times New Roman" w:hAnsi="Times New Roman" w:cs="Times New Roman"/>
          <w:i/>
          <w:iCs/>
          <w:kern w:val="0"/>
          <w:sz w:val="24"/>
          <w:szCs w:val="24"/>
          <w:lang w:eastAsia="en-GB"/>
          <w14:ligatures w14:val="none"/>
        </w:rPr>
        <w:t>Organisational Behaviour</w:t>
      </w:r>
      <w:r w:rsidRPr="00066A52">
        <w:rPr>
          <w:rFonts w:ascii="Times New Roman" w:eastAsia="Times New Roman" w:hAnsi="Times New Roman" w:cs="Times New Roman"/>
          <w:kern w:val="0"/>
          <w:sz w:val="24"/>
          <w:szCs w:val="24"/>
          <w:lang w:eastAsia="en-GB"/>
          <w14:ligatures w14:val="none"/>
        </w:rPr>
        <w:t>. 18th edn. New Jersey: Pearson Education.</w:t>
      </w:r>
    </w:p>
    <w:p w14:paraId="09A7D660"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lastRenderedPageBreak/>
        <w:t xml:space="preserve"> Robson, C. (2016) </w:t>
      </w:r>
      <w:r w:rsidRPr="007906A9">
        <w:rPr>
          <w:rFonts w:ascii="Times New Roman" w:eastAsiaTheme="majorEastAsia" w:hAnsi="Times New Roman" w:cs="Times New Roman"/>
          <w:i/>
          <w:iCs/>
          <w:kern w:val="0"/>
          <w:sz w:val="24"/>
          <w:szCs w:val="24"/>
          <w:lang w:eastAsia="en-GB"/>
          <w14:ligatures w14:val="none"/>
        </w:rPr>
        <w:t>Real World Research: A Resource for Users of Social Research Methods in Applied Settings</w:t>
      </w:r>
      <w:r w:rsidRPr="007906A9">
        <w:rPr>
          <w:rFonts w:ascii="Times New Roman" w:eastAsia="Times New Roman" w:hAnsi="Times New Roman" w:cs="Times New Roman"/>
          <w:kern w:val="0"/>
          <w:sz w:val="24"/>
          <w:szCs w:val="24"/>
          <w:lang w:eastAsia="en-GB"/>
          <w14:ligatures w14:val="none"/>
        </w:rPr>
        <w:t>. 3rd edn. Oxford: Wiley.</w:t>
      </w:r>
    </w:p>
    <w:p w14:paraId="06D7D57A"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Sartori, M., Landi, S., Maccarrone, P. and Ceschi, A. (2018) ‘Green practices and corporate performance: A review of evidence’, </w:t>
      </w:r>
      <w:r w:rsidRPr="007906A9">
        <w:rPr>
          <w:rFonts w:ascii="Times New Roman" w:eastAsiaTheme="majorEastAsia" w:hAnsi="Times New Roman" w:cs="Times New Roman"/>
          <w:i/>
          <w:iCs/>
          <w:kern w:val="0"/>
          <w:sz w:val="24"/>
          <w:szCs w:val="24"/>
          <w:lang w:eastAsia="en-GB"/>
          <w14:ligatures w14:val="none"/>
        </w:rPr>
        <w:t>Business Strategy and the Environment</w:t>
      </w:r>
      <w:r w:rsidRPr="007906A9">
        <w:rPr>
          <w:rFonts w:ascii="Times New Roman" w:eastAsia="Times New Roman" w:hAnsi="Times New Roman" w:cs="Times New Roman"/>
          <w:kern w:val="0"/>
          <w:sz w:val="24"/>
          <w:szCs w:val="24"/>
          <w:lang w:eastAsia="en-GB"/>
          <w14:ligatures w14:val="none"/>
        </w:rPr>
        <w:t>, 27(3), pp. 347–365.</w:t>
      </w:r>
    </w:p>
    <w:p w14:paraId="2125706E"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Sartori, R., Ceschi, A., Costantini, A. and Scalco, A. (2018) ‘Sustainability in hospitality: A systematic review’, </w:t>
      </w:r>
      <w:r w:rsidRPr="007906A9">
        <w:rPr>
          <w:rFonts w:ascii="Times New Roman" w:eastAsiaTheme="majorEastAsia" w:hAnsi="Times New Roman" w:cs="Times New Roman"/>
          <w:i/>
          <w:iCs/>
          <w:kern w:val="0"/>
          <w:sz w:val="24"/>
          <w:szCs w:val="24"/>
          <w:lang w:eastAsia="en-GB"/>
          <w14:ligatures w14:val="none"/>
        </w:rPr>
        <w:t>Sustainability</w:t>
      </w:r>
      <w:r w:rsidRPr="007906A9">
        <w:rPr>
          <w:rFonts w:ascii="Times New Roman" w:eastAsia="Times New Roman" w:hAnsi="Times New Roman" w:cs="Times New Roman"/>
          <w:kern w:val="0"/>
          <w:sz w:val="24"/>
          <w:szCs w:val="24"/>
          <w:lang w:eastAsia="en-GB"/>
          <w14:ligatures w14:val="none"/>
        </w:rPr>
        <w:t>, 10(5), pp. 1–20.</w:t>
      </w:r>
    </w:p>
    <w:p w14:paraId="3456EDE6"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Sartori, S., Latrônico, F. and Campos, L.M.S. (2018) ‘Sustainability and ESG Reporting in the Hospitality Industry’, </w:t>
      </w:r>
      <w:r w:rsidRPr="007906A9">
        <w:rPr>
          <w:rFonts w:ascii="Times New Roman" w:eastAsiaTheme="majorEastAsia" w:hAnsi="Times New Roman" w:cs="Times New Roman"/>
          <w:i/>
          <w:iCs/>
          <w:kern w:val="0"/>
          <w:sz w:val="24"/>
          <w:szCs w:val="24"/>
          <w:lang w:eastAsia="en-GB"/>
          <w14:ligatures w14:val="none"/>
        </w:rPr>
        <w:t>Journal of Cleaner Production</w:t>
      </w:r>
      <w:r w:rsidRPr="007906A9">
        <w:rPr>
          <w:rFonts w:ascii="Times New Roman" w:eastAsia="Times New Roman" w:hAnsi="Times New Roman" w:cs="Times New Roman"/>
          <w:kern w:val="0"/>
          <w:sz w:val="24"/>
          <w:szCs w:val="24"/>
          <w:lang w:eastAsia="en-GB"/>
          <w14:ligatures w14:val="none"/>
        </w:rPr>
        <w:t>, 181, pp. 570–582.</w:t>
      </w:r>
    </w:p>
    <w:p w14:paraId="05F16467"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 Saunders, M., Lewis, P. and Thornhill, A. (2012) </w:t>
      </w:r>
      <w:r w:rsidRPr="007906A9">
        <w:rPr>
          <w:rFonts w:ascii="Times New Roman" w:eastAsiaTheme="majorEastAsia" w:hAnsi="Times New Roman" w:cs="Times New Roman"/>
          <w:i/>
          <w:iCs/>
          <w:kern w:val="0"/>
          <w:sz w:val="24"/>
          <w:szCs w:val="24"/>
          <w:lang w:eastAsia="en-GB"/>
          <w14:ligatures w14:val="none"/>
        </w:rPr>
        <w:t>Research Methods for Business Students</w:t>
      </w:r>
      <w:r w:rsidRPr="007906A9">
        <w:rPr>
          <w:rFonts w:ascii="Times New Roman" w:eastAsia="Times New Roman" w:hAnsi="Times New Roman" w:cs="Times New Roman"/>
          <w:kern w:val="0"/>
          <w:sz w:val="24"/>
          <w:szCs w:val="24"/>
          <w:lang w:eastAsia="en-GB"/>
          <w14:ligatures w14:val="none"/>
        </w:rPr>
        <w:t>. 6th edn. Harlow: Pearson Education.</w:t>
      </w:r>
    </w:p>
    <w:p w14:paraId="18A580B6"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Schön, D.A. (1983). </w:t>
      </w:r>
      <w:r w:rsidRPr="007906A9">
        <w:rPr>
          <w:rFonts w:ascii="Times New Roman" w:eastAsiaTheme="majorEastAsia" w:hAnsi="Times New Roman" w:cs="Times New Roman"/>
          <w:i/>
          <w:iCs/>
          <w:kern w:val="0"/>
          <w:sz w:val="24"/>
          <w:szCs w:val="24"/>
          <w:lang w:eastAsia="en-GB"/>
          <w14:ligatures w14:val="none"/>
        </w:rPr>
        <w:t>The Reflective Practitioner: How Professionals Think in Action</w:t>
      </w:r>
      <w:r w:rsidRPr="007906A9">
        <w:rPr>
          <w:rFonts w:ascii="Times New Roman" w:eastAsia="Times New Roman" w:hAnsi="Times New Roman" w:cs="Times New Roman"/>
          <w:kern w:val="0"/>
          <w:sz w:val="24"/>
          <w:szCs w:val="24"/>
          <w:lang w:eastAsia="en-GB"/>
          <w14:ligatures w14:val="none"/>
        </w:rPr>
        <w:t>. New York: Basic Books.</w:t>
      </w:r>
    </w:p>
    <w:p w14:paraId="20478FEC"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Silverman, D. (2011). </w:t>
      </w:r>
      <w:r w:rsidRPr="007906A9">
        <w:rPr>
          <w:rFonts w:ascii="Times New Roman" w:eastAsiaTheme="majorEastAsia" w:hAnsi="Times New Roman" w:cs="Times New Roman"/>
          <w:i/>
          <w:iCs/>
          <w:kern w:val="0"/>
          <w:sz w:val="24"/>
          <w:szCs w:val="24"/>
          <w:lang w:eastAsia="en-GB"/>
          <w14:ligatures w14:val="none"/>
        </w:rPr>
        <w:t>Qualitative Research Methods</w:t>
      </w:r>
      <w:r w:rsidRPr="007906A9">
        <w:rPr>
          <w:rFonts w:ascii="Times New Roman" w:eastAsia="Times New Roman" w:hAnsi="Times New Roman" w:cs="Times New Roman"/>
          <w:kern w:val="0"/>
          <w:sz w:val="24"/>
          <w:szCs w:val="24"/>
          <w:lang w:eastAsia="en-GB"/>
          <w14:ligatures w14:val="none"/>
        </w:rPr>
        <w:t>. 3rd edn. London: SAGE Publications.</w:t>
      </w:r>
    </w:p>
    <w:p w14:paraId="74692759"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Stake, R.E. (1995). </w:t>
      </w:r>
      <w:r w:rsidRPr="007906A9">
        <w:rPr>
          <w:rFonts w:ascii="Times New Roman" w:eastAsiaTheme="majorEastAsia" w:hAnsi="Times New Roman" w:cs="Times New Roman"/>
          <w:i/>
          <w:iCs/>
          <w:kern w:val="0"/>
          <w:sz w:val="24"/>
          <w:szCs w:val="24"/>
          <w:lang w:eastAsia="en-GB"/>
          <w14:ligatures w14:val="none"/>
        </w:rPr>
        <w:t>The Art of Case Study Research</w:t>
      </w:r>
      <w:r w:rsidRPr="007906A9">
        <w:rPr>
          <w:rFonts w:ascii="Times New Roman" w:eastAsia="Times New Roman" w:hAnsi="Times New Roman" w:cs="Times New Roman"/>
          <w:kern w:val="0"/>
          <w:sz w:val="24"/>
          <w:szCs w:val="24"/>
          <w:lang w:eastAsia="en-GB"/>
          <w14:ligatures w14:val="none"/>
        </w:rPr>
        <w:t>. Thousand Oaks, CA: Sage.</w:t>
      </w:r>
    </w:p>
    <w:p w14:paraId="011780A4"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Stuart, H. and Muzellec, L. (2004) ‘Corporate makeovers: Can a hyena be rebranded?’, </w:t>
      </w:r>
      <w:r w:rsidRPr="007906A9">
        <w:rPr>
          <w:rFonts w:ascii="Times New Roman" w:eastAsiaTheme="majorEastAsia" w:hAnsi="Times New Roman" w:cs="Times New Roman"/>
          <w:i/>
          <w:iCs/>
          <w:kern w:val="0"/>
          <w:sz w:val="24"/>
          <w:szCs w:val="24"/>
          <w:lang w:eastAsia="en-GB"/>
          <w14:ligatures w14:val="none"/>
        </w:rPr>
        <w:t>Journal of Brand Management</w:t>
      </w:r>
      <w:r w:rsidRPr="007906A9">
        <w:rPr>
          <w:rFonts w:ascii="Times New Roman" w:eastAsia="Times New Roman" w:hAnsi="Times New Roman" w:cs="Times New Roman"/>
          <w:kern w:val="0"/>
          <w:sz w:val="24"/>
          <w:szCs w:val="24"/>
          <w:lang w:eastAsia="en-GB"/>
          <w14:ligatures w14:val="none"/>
        </w:rPr>
        <w:t>, 11(6), pp. 472–482.</w:t>
      </w:r>
    </w:p>
    <w:p w14:paraId="7DAEB811" w14:textId="3EE4D53C"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Veal, A.J. (2006)</w:t>
      </w:r>
      <w:r w:rsidR="009C7ECE">
        <w:rPr>
          <w:rFonts w:ascii="Times New Roman" w:eastAsia="Times New Roman" w:hAnsi="Times New Roman" w:cs="Times New Roman"/>
          <w:kern w:val="0"/>
          <w:sz w:val="24"/>
          <w:szCs w:val="24"/>
          <w:lang w:eastAsia="en-GB"/>
          <w14:ligatures w14:val="none"/>
        </w:rPr>
        <w:t>.</w:t>
      </w:r>
      <w:r w:rsidRPr="007906A9">
        <w:rPr>
          <w:rFonts w:ascii="Times New Roman" w:eastAsia="Times New Roman" w:hAnsi="Times New Roman" w:cs="Times New Roman"/>
          <w:kern w:val="0"/>
          <w:sz w:val="24"/>
          <w:szCs w:val="24"/>
          <w:lang w:eastAsia="en-GB"/>
          <w14:ligatures w14:val="none"/>
        </w:rPr>
        <w:t xml:space="preserve"> </w:t>
      </w:r>
      <w:r w:rsidRPr="007906A9">
        <w:rPr>
          <w:rFonts w:ascii="Times New Roman" w:eastAsiaTheme="majorEastAsia" w:hAnsi="Times New Roman" w:cs="Times New Roman"/>
          <w:i/>
          <w:iCs/>
          <w:kern w:val="0"/>
          <w:sz w:val="24"/>
          <w:szCs w:val="24"/>
          <w:lang w:eastAsia="en-GB"/>
          <w14:ligatures w14:val="none"/>
        </w:rPr>
        <w:t>Research Methods for Leisure and Tourism: A Practical Guide</w:t>
      </w:r>
      <w:r w:rsidRPr="007906A9">
        <w:rPr>
          <w:rFonts w:ascii="Times New Roman" w:eastAsia="Times New Roman" w:hAnsi="Times New Roman" w:cs="Times New Roman"/>
          <w:kern w:val="0"/>
          <w:sz w:val="24"/>
          <w:szCs w:val="24"/>
          <w:lang w:eastAsia="en-GB"/>
          <w14:ligatures w14:val="none"/>
        </w:rPr>
        <w:t>. 3rd edn. Harlow: Financial Times/Prentice Hall.</w:t>
      </w:r>
    </w:p>
    <w:p w14:paraId="32D84FA0" w14:textId="77777777" w:rsid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Veal, A.J. (2017). </w:t>
      </w:r>
      <w:r w:rsidRPr="007906A9">
        <w:rPr>
          <w:rFonts w:ascii="Times New Roman" w:eastAsiaTheme="majorEastAsia" w:hAnsi="Times New Roman" w:cs="Times New Roman"/>
          <w:i/>
          <w:iCs/>
          <w:kern w:val="0"/>
          <w:sz w:val="24"/>
          <w:szCs w:val="24"/>
          <w:lang w:eastAsia="en-GB"/>
          <w14:ligatures w14:val="none"/>
        </w:rPr>
        <w:t>Research Methods for Leisure and Tourism: A Practical Guide</w:t>
      </w:r>
      <w:r w:rsidRPr="007906A9">
        <w:rPr>
          <w:rFonts w:ascii="Times New Roman" w:eastAsia="Times New Roman" w:hAnsi="Times New Roman" w:cs="Times New Roman"/>
          <w:kern w:val="0"/>
          <w:sz w:val="24"/>
          <w:szCs w:val="24"/>
          <w:lang w:eastAsia="en-GB"/>
          <w14:ligatures w14:val="none"/>
        </w:rPr>
        <w:t>. 5th edn. Harlow: Pearson Education.</w:t>
      </w:r>
    </w:p>
    <w:p w14:paraId="30F189A9" w14:textId="19581493" w:rsidR="000E3716" w:rsidRPr="007906A9" w:rsidRDefault="009C7ECE"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t xml:space="preserve">Walker, J.R. (2021). </w:t>
      </w:r>
      <w:r>
        <w:rPr>
          <w:rStyle w:val="Emphasis"/>
        </w:rPr>
        <w:t>Introduction to Hospitality Management</w:t>
      </w:r>
      <w:r>
        <w:t>. 6th edn. Harlow: Pearson Education.</w:t>
      </w:r>
    </w:p>
    <w:p w14:paraId="2F737E46"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Wirtz, J., Zeithaml, V.A. and Gistri, G. (2020) </w:t>
      </w:r>
      <w:r w:rsidRPr="007906A9">
        <w:rPr>
          <w:rFonts w:ascii="Times New Roman" w:eastAsiaTheme="majorEastAsia" w:hAnsi="Times New Roman" w:cs="Times New Roman"/>
          <w:i/>
          <w:iCs/>
          <w:kern w:val="0"/>
          <w:sz w:val="24"/>
          <w:szCs w:val="24"/>
          <w:lang w:eastAsia="en-GB"/>
          <w14:ligatures w14:val="none"/>
        </w:rPr>
        <w:t>Essentials of Services Marketing</w:t>
      </w:r>
      <w:r w:rsidRPr="007906A9">
        <w:rPr>
          <w:rFonts w:ascii="Times New Roman" w:eastAsia="Times New Roman" w:hAnsi="Times New Roman" w:cs="Times New Roman"/>
          <w:kern w:val="0"/>
          <w:sz w:val="24"/>
          <w:szCs w:val="24"/>
          <w:lang w:eastAsia="en-GB"/>
          <w14:ligatures w14:val="none"/>
        </w:rPr>
        <w:t>. 3rd edn. Harlow: Pearson Education.</w:t>
      </w:r>
    </w:p>
    <w:p w14:paraId="7CC01267"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Wirtz, J., Zeithaml, V.A. and Gistri, G. (2020) </w:t>
      </w:r>
      <w:r w:rsidRPr="007906A9">
        <w:rPr>
          <w:rFonts w:ascii="Times New Roman" w:eastAsiaTheme="majorEastAsia" w:hAnsi="Times New Roman" w:cs="Times New Roman"/>
          <w:i/>
          <w:iCs/>
          <w:kern w:val="0"/>
          <w:sz w:val="24"/>
          <w:szCs w:val="24"/>
          <w:lang w:eastAsia="en-GB"/>
          <w14:ligatures w14:val="none"/>
        </w:rPr>
        <w:t>Services Marketing: People, Technology, Strategy</w:t>
      </w:r>
      <w:r w:rsidRPr="007906A9">
        <w:rPr>
          <w:rFonts w:ascii="Times New Roman" w:eastAsia="Times New Roman" w:hAnsi="Times New Roman" w:cs="Times New Roman"/>
          <w:kern w:val="0"/>
          <w:sz w:val="24"/>
          <w:szCs w:val="24"/>
          <w:lang w:eastAsia="en-GB"/>
          <w14:ligatures w14:val="none"/>
        </w:rPr>
        <w:t>. 9th edn. Singapore: World Scientific Publishing.</w:t>
      </w:r>
    </w:p>
    <w:p w14:paraId="6F8EE47D" w14:textId="77777777" w:rsidR="007906A9" w:rsidRP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Yin, R.K. (2003). </w:t>
      </w:r>
      <w:r w:rsidRPr="007906A9">
        <w:rPr>
          <w:rFonts w:ascii="Times New Roman" w:eastAsiaTheme="majorEastAsia" w:hAnsi="Times New Roman" w:cs="Times New Roman"/>
          <w:i/>
          <w:iCs/>
          <w:kern w:val="0"/>
          <w:sz w:val="24"/>
          <w:szCs w:val="24"/>
          <w:lang w:eastAsia="en-GB"/>
          <w14:ligatures w14:val="none"/>
        </w:rPr>
        <w:t>Case Study Research: Design and Methods</w:t>
      </w:r>
      <w:r w:rsidRPr="007906A9">
        <w:rPr>
          <w:rFonts w:ascii="Times New Roman" w:eastAsia="Times New Roman" w:hAnsi="Times New Roman" w:cs="Times New Roman"/>
          <w:kern w:val="0"/>
          <w:sz w:val="24"/>
          <w:szCs w:val="24"/>
          <w:lang w:eastAsia="en-GB"/>
          <w14:ligatures w14:val="none"/>
        </w:rPr>
        <w:t>. 3rd edn. London: SAGE Publications.</w:t>
      </w:r>
    </w:p>
    <w:p w14:paraId="57E07EFA" w14:textId="77777777" w:rsidR="007906A9" w:rsidRDefault="007906A9"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06A9">
        <w:rPr>
          <w:rFonts w:ascii="Times New Roman" w:eastAsia="Times New Roman" w:hAnsi="Times New Roman" w:cs="Times New Roman"/>
          <w:kern w:val="0"/>
          <w:sz w:val="24"/>
          <w:szCs w:val="24"/>
          <w:lang w:eastAsia="en-GB"/>
          <w14:ligatures w14:val="none"/>
        </w:rPr>
        <w:t xml:space="preserve">Yin, R.K. (2018). </w:t>
      </w:r>
      <w:r w:rsidRPr="007906A9">
        <w:rPr>
          <w:rFonts w:ascii="Times New Roman" w:eastAsiaTheme="majorEastAsia" w:hAnsi="Times New Roman" w:cs="Times New Roman"/>
          <w:i/>
          <w:iCs/>
          <w:kern w:val="0"/>
          <w:sz w:val="24"/>
          <w:szCs w:val="24"/>
          <w:lang w:eastAsia="en-GB"/>
          <w14:ligatures w14:val="none"/>
        </w:rPr>
        <w:t>Case Study Research and Applications: Design and Methods</w:t>
      </w:r>
      <w:r w:rsidRPr="007906A9">
        <w:rPr>
          <w:rFonts w:ascii="Times New Roman" w:eastAsia="Times New Roman" w:hAnsi="Times New Roman" w:cs="Times New Roman"/>
          <w:kern w:val="0"/>
          <w:sz w:val="24"/>
          <w:szCs w:val="24"/>
          <w:lang w:eastAsia="en-GB"/>
          <w14:ligatures w14:val="none"/>
        </w:rPr>
        <w:t>. 6th edn. Los Angeles: Sage.</w:t>
      </w:r>
    </w:p>
    <w:p w14:paraId="1915FEF4" w14:textId="370E6AF1" w:rsidR="00765D67" w:rsidRPr="007906A9" w:rsidRDefault="00765D67" w:rsidP="00FD2FA7">
      <w:pPr>
        <w:numPr>
          <w:ilvl w:val="0"/>
          <w:numId w:val="2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65D67">
        <w:rPr>
          <w:rFonts w:ascii="Times New Roman" w:eastAsia="Times New Roman" w:hAnsi="Times New Roman" w:cs="Times New Roman"/>
          <w:kern w:val="0"/>
          <w:sz w:val="24"/>
          <w:szCs w:val="24"/>
          <w:lang w:eastAsia="en-GB"/>
          <w14:ligatures w14:val="none"/>
        </w:rPr>
        <w:lastRenderedPageBreak/>
        <w:t>Zeithaml, V.A., Bitner, M.J. and Gremler, D.D., 2018. </w:t>
      </w:r>
      <w:r w:rsidRPr="00765D67">
        <w:rPr>
          <w:rFonts w:ascii="Times New Roman" w:eastAsia="Times New Roman" w:hAnsi="Times New Roman" w:cs="Times New Roman"/>
          <w:i/>
          <w:iCs/>
          <w:kern w:val="0"/>
          <w:sz w:val="24"/>
          <w:szCs w:val="24"/>
          <w:lang w:eastAsia="en-GB"/>
          <w14:ligatures w14:val="none"/>
        </w:rPr>
        <w:t>Services marketing: Integrating customer focus across the firm</w:t>
      </w:r>
      <w:r w:rsidRPr="00765D67">
        <w:rPr>
          <w:rFonts w:ascii="Times New Roman" w:eastAsia="Times New Roman" w:hAnsi="Times New Roman" w:cs="Times New Roman"/>
          <w:kern w:val="0"/>
          <w:sz w:val="24"/>
          <w:szCs w:val="24"/>
          <w:lang w:eastAsia="en-GB"/>
          <w14:ligatures w14:val="none"/>
        </w:rPr>
        <w:t>. McGraw-Hill.</w:t>
      </w:r>
    </w:p>
    <w:p w14:paraId="7C89DF16" w14:textId="77777777" w:rsidR="007906A9" w:rsidRPr="006F479B" w:rsidRDefault="007906A9" w:rsidP="00F72196">
      <w:pPr>
        <w:rPr>
          <w:b/>
          <w:bCs/>
          <w:sz w:val="32"/>
          <w:szCs w:val="32"/>
        </w:rPr>
      </w:pPr>
    </w:p>
    <w:sectPr w:rsidR="007906A9" w:rsidRPr="006F479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6329F" w14:textId="77777777" w:rsidR="0099455D" w:rsidRDefault="0099455D" w:rsidP="002C18B2">
      <w:pPr>
        <w:spacing w:after="0" w:line="240" w:lineRule="auto"/>
      </w:pPr>
      <w:r>
        <w:separator/>
      </w:r>
    </w:p>
  </w:endnote>
  <w:endnote w:type="continuationSeparator" w:id="0">
    <w:p w14:paraId="66278A80" w14:textId="77777777" w:rsidR="0099455D" w:rsidRDefault="0099455D" w:rsidP="002C1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602383"/>
      <w:docPartObj>
        <w:docPartGallery w:val="Page Numbers (Bottom of Page)"/>
        <w:docPartUnique/>
      </w:docPartObj>
    </w:sdtPr>
    <w:sdtEndPr>
      <w:rPr>
        <w:noProof/>
      </w:rPr>
    </w:sdtEndPr>
    <w:sdtContent>
      <w:p w14:paraId="69511B7B" w14:textId="2380BA60" w:rsidR="002C18B2" w:rsidRDefault="002C18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BE9F7C" w14:textId="77777777" w:rsidR="002C18B2" w:rsidRDefault="002C18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29AA0" w14:textId="77777777" w:rsidR="0099455D" w:rsidRDefault="0099455D" w:rsidP="002C18B2">
      <w:pPr>
        <w:spacing w:after="0" w:line="240" w:lineRule="auto"/>
      </w:pPr>
      <w:r>
        <w:separator/>
      </w:r>
    </w:p>
  </w:footnote>
  <w:footnote w:type="continuationSeparator" w:id="0">
    <w:p w14:paraId="77BF8FD7" w14:textId="77777777" w:rsidR="0099455D" w:rsidRDefault="0099455D" w:rsidP="002C18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66563"/>
    <w:multiLevelType w:val="hybridMultilevel"/>
    <w:tmpl w:val="8D60146E"/>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4C1F6A"/>
    <w:multiLevelType w:val="multilevel"/>
    <w:tmpl w:val="97343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9628D3"/>
    <w:multiLevelType w:val="multilevel"/>
    <w:tmpl w:val="9FA04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213F33"/>
    <w:multiLevelType w:val="hybridMultilevel"/>
    <w:tmpl w:val="8B420B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602F34"/>
    <w:multiLevelType w:val="multilevel"/>
    <w:tmpl w:val="4604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726324"/>
    <w:multiLevelType w:val="hybridMultilevel"/>
    <w:tmpl w:val="B3FEC876"/>
    <w:lvl w:ilvl="0" w:tplc="E97494D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52099D"/>
    <w:multiLevelType w:val="multilevel"/>
    <w:tmpl w:val="D4487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BE20B1"/>
    <w:multiLevelType w:val="hybridMultilevel"/>
    <w:tmpl w:val="7054AD64"/>
    <w:lvl w:ilvl="0" w:tplc="5E9C1E3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40162A"/>
    <w:multiLevelType w:val="multilevel"/>
    <w:tmpl w:val="F40E4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CA2BBB"/>
    <w:multiLevelType w:val="hybridMultilevel"/>
    <w:tmpl w:val="DC08D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663999"/>
    <w:multiLevelType w:val="multilevel"/>
    <w:tmpl w:val="B8DC4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EA40F7"/>
    <w:multiLevelType w:val="multilevel"/>
    <w:tmpl w:val="1396E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C33EBD"/>
    <w:multiLevelType w:val="multilevel"/>
    <w:tmpl w:val="29421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615C9F"/>
    <w:multiLevelType w:val="multilevel"/>
    <w:tmpl w:val="72D2845C"/>
    <w:lvl w:ilvl="0">
      <w:start w:val="1"/>
      <w:numFmt w:val="decimal"/>
      <w:lvlText w:val="%1."/>
      <w:lvlJc w:val="left"/>
      <w:pPr>
        <w:tabs>
          <w:tab w:val="num" w:pos="720"/>
        </w:tabs>
        <w:ind w:left="720" w:hanging="360"/>
      </w:pPr>
    </w:lvl>
    <w:lvl w:ilvl="1">
      <w:numFmt w:val="bullet"/>
      <w:lvlText w:val=""/>
      <w:lvlJc w:val="left"/>
      <w:pPr>
        <w:ind w:left="1440" w:hanging="360"/>
      </w:pPr>
      <w:rPr>
        <w:rFonts w:ascii="Aptos" w:eastAsiaTheme="minorHAnsi" w:hAnsi="Aptos" w:cstheme="minorBid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B725F8E"/>
    <w:multiLevelType w:val="multilevel"/>
    <w:tmpl w:val="38A6C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C7781D"/>
    <w:multiLevelType w:val="multilevel"/>
    <w:tmpl w:val="76A0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A13927"/>
    <w:multiLevelType w:val="multilevel"/>
    <w:tmpl w:val="97A6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1212AA"/>
    <w:multiLevelType w:val="multilevel"/>
    <w:tmpl w:val="5ED0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C1D72C8"/>
    <w:multiLevelType w:val="multilevel"/>
    <w:tmpl w:val="5FFC9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5756CA"/>
    <w:multiLevelType w:val="multilevel"/>
    <w:tmpl w:val="83EE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E93993"/>
    <w:multiLevelType w:val="multilevel"/>
    <w:tmpl w:val="D8E8F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51315C"/>
    <w:multiLevelType w:val="hybridMultilevel"/>
    <w:tmpl w:val="81400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8D2364"/>
    <w:multiLevelType w:val="multilevel"/>
    <w:tmpl w:val="FDE01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8854716">
    <w:abstractNumId w:val="20"/>
  </w:num>
  <w:num w:numId="2" w16cid:durableId="676348441">
    <w:abstractNumId w:val="13"/>
  </w:num>
  <w:num w:numId="3" w16cid:durableId="2061130378">
    <w:abstractNumId w:val="3"/>
  </w:num>
  <w:num w:numId="4" w16cid:durableId="1513910224">
    <w:abstractNumId w:val="0"/>
  </w:num>
  <w:num w:numId="5" w16cid:durableId="1905601009">
    <w:abstractNumId w:val="9"/>
  </w:num>
  <w:num w:numId="6" w16cid:durableId="1313631346">
    <w:abstractNumId w:val="7"/>
  </w:num>
  <w:num w:numId="7" w16cid:durableId="777912669">
    <w:abstractNumId w:val="21"/>
  </w:num>
  <w:num w:numId="8" w16cid:durableId="1950434077">
    <w:abstractNumId w:val="5"/>
  </w:num>
  <w:num w:numId="9" w16cid:durableId="448008368">
    <w:abstractNumId w:val="1"/>
  </w:num>
  <w:num w:numId="10" w16cid:durableId="1669139718">
    <w:abstractNumId w:val="14"/>
  </w:num>
  <w:num w:numId="11" w16cid:durableId="1201091438">
    <w:abstractNumId w:val="6"/>
  </w:num>
  <w:num w:numId="12" w16cid:durableId="446584381">
    <w:abstractNumId w:val="8"/>
  </w:num>
  <w:num w:numId="13" w16cid:durableId="995912779">
    <w:abstractNumId w:val="17"/>
  </w:num>
  <w:num w:numId="14" w16cid:durableId="348988680">
    <w:abstractNumId w:val="12"/>
  </w:num>
  <w:num w:numId="15" w16cid:durableId="1161890465">
    <w:abstractNumId w:val="19"/>
  </w:num>
  <w:num w:numId="16" w16cid:durableId="1128671067">
    <w:abstractNumId w:val="22"/>
  </w:num>
  <w:num w:numId="17" w16cid:durableId="1193150997">
    <w:abstractNumId w:val="2"/>
  </w:num>
  <w:num w:numId="18" w16cid:durableId="209584556">
    <w:abstractNumId w:val="18"/>
  </w:num>
  <w:num w:numId="19" w16cid:durableId="1191260612">
    <w:abstractNumId w:val="10"/>
  </w:num>
  <w:num w:numId="20" w16cid:durableId="122618767">
    <w:abstractNumId w:val="15"/>
  </w:num>
  <w:num w:numId="21" w16cid:durableId="1479112094">
    <w:abstractNumId w:val="4"/>
  </w:num>
  <w:num w:numId="22" w16cid:durableId="1779836123">
    <w:abstractNumId w:val="11"/>
  </w:num>
  <w:num w:numId="23" w16cid:durableId="1029651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92B"/>
    <w:rsid w:val="00010EE7"/>
    <w:rsid w:val="00045698"/>
    <w:rsid w:val="00066A52"/>
    <w:rsid w:val="00073CBB"/>
    <w:rsid w:val="0008271E"/>
    <w:rsid w:val="00082B80"/>
    <w:rsid w:val="000C520C"/>
    <w:rsid w:val="000D4B9C"/>
    <w:rsid w:val="000E3716"/>
    <w:rsid w:val="000E4D16"/>
    <w:rsid w:val="00103D28"/>
    <w:rsid w:val="00107202"/>
    <w:rsid w:val="00123434"/>
    <w:rsid w:val="00153C24"/>
    <w:rsid w:val="00162348"/>
    <w:rsid w:val="00167F61"/>
    <w:rsid w:val="00192A95"/>
    <w:rsid w:val="001B5AC3"/>
    <w:rsid w:val="001C1BB2"/>
    <w:rsid w:val="001D3CCF"/>
    <w:rsid w:val="001D7BB9"/>
    <w:rsid w:val="00203B23"/>
    <w:rsid w:val="00204CF2"/>
    <w:rsid w:val="002334FD"/>
    <w:rsid w:val="00240135"/>
    <w:rsid w:val="00253106"/>
    <w:rsid w:val="0028729E"/>
    <w:rsid w:val="002B44B0"/>
    <w:rsid w:val="002C18B2"/>
    <w:rsid w:val="002E40E2"/>
    <w:rsid w:val="00314CD6"/>
    <w:rsid w:val="0032631D"/>
    <w:rsid w:val="003442A1"/>
    <w:rsid w:val="00345296"/>
    <w:rsid w:val="00355384"/>
    <w:rsid w:val="00373754"/>
    <w:rsid w:val="00386257"/>
    <w:rsid w:val="00386B30"/>
    <w:rsid w:val="003D246E"/>
    <w:rsid w:val="00424983"/>
    <w:rsid w:val="00426B4E"/>
    <w:rsid w:val="00431569"/>
    <w:rsid w:val="004357E1"/>
    <w:rsid w:val="004377A8"/>
    <w:rsid w:val="0049230C"/>
    <w:rsid w:val="00494555"/>
    <w:rsid w:val="004967EC"/>
    <w:rsid w:val="004B7A19"/>
    <w:rsid w:val="004D7238"/>
    <w:rsid w:val="004D7ABC"/>
    <w:rsid w:val="005247AB"/>
    <w:rsid w:val="00533B9E"/>
    <w:rsid w:val="00541E02"/>
    <w:rsid w:val="00570BC9"/>
    <w:rsid w:val="00574B1F"/>
    <w:rsid w:val="00582ABC"/>
    <w:rsid w:val="005B7236"/>
    <w:rsid w:val="005E1054"/>
    <w:rsid w:val="005F3C92"/>
    <w:rsid w:val="00637BD2"/>
    <w:rsid w:val="00640ED0"/>
    <w:rsid w:val="00652575"/>
    <w:rsid w:val="00653E58"/>
    <w:rsid w:val="00664198"/>
    <w:rsid w:val="00672FB6"/>
    <w:rsid w:val="00683404"/>
    <w:rsid w:val="006B6C2F"/>
    <w:rsid w:val="006D5C0A"/>
    <w:rsid w:val="006E421E"/>
    <w:rsid w:val="006E769B"/>
    <w:rsid w:val="006F479B"/>
    <w:rsid w:val="007221F7"/>
    <w:rsid w:val="007241F0"/>
    <w:rsid w:val="00725EE4"/>
    <w:rsid w:val="00725FDC"/>
    <w:rsid w:val="00733578"/>
    <w:rsid w:val="00733F49"/>
    <w:rsid w:val="00741282"/>
    <w:rsid w:val="00753453"/>
    <w:rsid w:val="00754968"/>
    <w:rsid w:val="00765D67"/>
    <w:rsid w:val="00773C6E"/>
    <w:rsid w:val="0078564B"/>
    <w:rsid w:val="007906A9"/>
    <w:rsid w:val="007E1C6B"/>
    <w:rsid w:val="00813F53"/>
    <w:rsid w:val="008205A7"/>
    <w:rsid w:val="00835B9C"/>
    <w:rsid w:val="00837742"/>
    <w:rsid w:val="008428DB"/>
    <w:rsid w:val="0084492B"/>
    <w:rsid w:val="0084582A"/>
    <w:rsid w:val="00853BEF"/>
    <w:rsid w:val="00866AEC"/>
    <w:rsid w:val="008674D0"/>
    <w:rsid w:val="00881C15"/>
    <w:rsid w:val="008D2D3D"/>
    <w:rsid w:val="008D51CC"/>
    <w:rsid w:val="00925AA9"/>
    <w:rsid w:val="00930ADD"/>
    <w:rsid w:val="009479A7"/>
    <w:rsid w:val="009502D0"/>
    <w:rsid w:val="00957638"/>
    <w:rsid w:val="00981C73"/>
    <w:rsid w:val="00981D51"/>
    <w:rsid w:val="00983C2B"/>
    <w:rsid w:val="00990613"/>
    <w:rsid w:val="0099455D"/>
    <w:rsid w:val="009A3026"/>
    <w:rsid w:val="009C5894"/>
    <w:rsid w:val="009C7ECE"/>
    <w:rsid w:val="009D478D"/>
    <w:rsid w:val="009E212A"/>
    <w:rsid w:val="00A05143"/>
    <w:rsid w:val="00A07A84"/>
    <w:rsid w:val="00A163E4"/>
    <w:rsid w:val="00A16E12"/>
    <w:rsid w:val="00A16F8D"/>
    <w:rsid w:val="00A61283"/>
    <w:rsid w:val="00A702CE"/>
    <w:rsid w:val="00A76114"/>
    <w:rsid w:val="00A850F2"/>
    <w:rsid w:val="00A87A85"/>
    <w:rsid w:val="00A92374"/>
    <w:rsid w:val="00A97E50"/>
    <w:rsid w:val="00AA7C97"/>
    <w:rsid w:val="00AC1D4F"/>
    <w:rsid w:val="00AD1E5A"/>
    <w:rsid w:val="00B02E63"/>
    <w:rsid w:val="00B04636"/>
    <w:rsid w:val="00B0578C"/>
    <w:rsid w:val="00B1738A"/>
    <w:rsid w:val="00B20E1F"/>
    <w:rsid w:val="00B44A74"/>
    <w:rsid w:val="00B530D7"/>
    <w:rsid w:val="00B670F1"/>
    <w:rsid w:val="00B73AF5"/>
    <w:rsid w:val="00B9046C"/>
    <w:rsid w:val="00B90EE0"/>
    <w:rsid w:val="00B930AC"/>
    <w:rsid w:val="00B94E57"/>
    <w:rsid w:val="00BB1AAE"/>
    <w:rsid w:val="00BB287D"/>
    <w:rsid w:val="00BB68E2"/>
    <w:rsid w:val="00BB6D81"/>
    <w:rsid w:val="00BD5968"/>
    <w:rsid w:val="00BD629F"/>
    <w:rsid w:val="00BF1291"/>
    <w:rsid w:val="00BF3DC4"/>
    <w:rsid w:val="00C11376"/>
    <w:rsid w:val="00C136C3"/>
    <w:rsid w:val="00C2209C"/>
    <w:rsid w:val="00C305F1"/>
    <w:rsid w:val="00C33E0C"/>
    <w:rsid w:val="00C42DB0"/>
    <w:rsid w:val="00C52ABE"/>
    <w:rsid w:val="00C540FC"/>
    <w:rsid w:val="00C60BE4"/>
    <w:rsid w:val="00CA29F2"/>
    <w:rsid w:val="00CB63A8"/>
    <w:rsid w:val="00CF3813"/>
    <w:rsid w:val="00D00BFF"/>
    <w:rsid w:val="00D24FA7"/>
    <w:rsid w:val="00D25453"/>
    <w:rsid w:val="00D451B6"/>
    <w:rsid w:val="00D46F8D"/>
    <w:rsid w:val="00D635F5"/>
    <w:rsid w:val="00D64677"/>
    <w:rsid w:val="00D803CC"/>
    <w:rsid w:val="00D83E77"/>
    <w:rsid w:val="00D90E36"/>
    <w:rsid w:val="00D9103D"/>
    <w:rsid w:val="00E125E2"/>
    <w:rsid w:val="00E2351F"/>
    <w:rsid w:val="00E3100D"/>
    <w:rsid w:val="00E5558D"/>
    <w:rsid w:val="00E965A6"/>
    <w:rsid w:val="00EA3516"/>
    <w:rsid w:val="00EB0B6E"/>
    <w:rsid w:val="00ED6D95"/>
    <w:rsid w:val="00EF7E09"/>
    <w:rsid w:val="00F017A4"/>
    <w:rsid w:val="00F30A6E"/>
    <w:rsid w:val="00F32589"/>
    <w:rsid w:val="00F32E03"/>
    <w:rsid w:val="00F34FC3"/>
    <w:rsid w:val="00F5236B"/>
    <w:rsid w:val="00F57F57"/>
    <w:rsid w:val="00F62D2B"/>
    <w:rsid w:val="00F72196"/>
    <w:rsid w:val="00F735D8"/>
    <w:rsid w:val="00F757BE"/>
    <w:rsid w:val="00F90C59"/>
    <w:rsid w:val="00F97D37"/>
    <w:rsid w:val="00FA185D"/>
    <w:rsid w:val="00FD28C6"/>
    <w:rsid w:val="00FD2C34"/>
    <w:rsid w:val="00FD2FA7"/>
    <w:rsid w:val="00FD3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3E4B60"/>
  <w15:chartTrackingRefBased/>
  <w15:docId w15:val="{2C4BBFC5-705C-44E0-A96F-5F40CAEBC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49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49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49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49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49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49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49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49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49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9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49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49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49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49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49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49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49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492B"/>
    <w:rPr>
      <w:rFonts w:eastAsiaTheme="majorEastAsia" w:cstheme="majorBidi"/>
      <w:color w:val="272727" w:themeColor="text1" w:themeTint="D8"/>
    </w:rPr>
  </w:style>
  <w:style w:type="paragraph" w:styleId="Title">
    <w:name w:val="Title"/>
    <w:basedOn w:val="Normal"/>
    <w:next w:val="Normal"/>
    <w:link w:val="TitleChar"/>
    <w:uiPriority w:val="10"/>
    <w:qFormat/>
    <w:rsid w:val="008449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49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49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49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492B"/>
    <w:pPr>
      <w:spacing w:before="160"/>
      <w:jc w:val="center"/>
    </w:pPr>
    <w:rPr>
      <w:i/>
      <w:iCs/>
      <w:color w:val="404040" w:themeColor="text1" w:themeTint="BF"/>
    </w:rPr>
  </w:style>
  <w:style w:type="character" w:customStyle="1" w:styleId="QuoteChar">
    <w:name w:val="Quote Char"/>
    <w:basedOn w:val="DefaultParagraphFont"/>
    <w:link w:val="Quote"/>
    <w:uiPriority w:val="29"/>
    <w:rsid w:val="0084492B"/>
    <w:rPr>
      <w:i/>
      <w:iCs/>
      <w:color w:val="404040" w:themeColor="text1" w:themeTint="BF"/>
    </w:rPr>
  </w:style>
  <w:style w:type="paragraph" w:styleId="ListParagraph">
    <w:name w:val="List Paragraph"/>
    <w:basedOn w:val="Normal"/>
    <w:uiPriority w:val="34"/>
    <w:qFormat/>
    <w:rsid w:val="0084492B"/>
    <w:pPr>
      <w:ind w:left="720"/>
      <w:contextualSpacing/>
    </w:pPr>
  </w:style>
  <w:style w:type="character" w:styleId="IntenseEmphasis">
    <w:name w:val="Intense Emphasis"/>
    <w:basedOn w:val="DefaultParagraphFont"/>
    <w:uiPriority w:val="21"/>
    <w:qFormat/>
    <w:rsid w:val="0084492B"/>
    <w:rPr>
      <w:i/>
      <w:iCs/>
      <w:color w:val="0F4761" w:themeColor="accent1" w:themeShade="BF"/>
    </w:rPr>
  </w:style>
  <w:style w:type="paragraph" w:styleId="IntenseQuote">
    <w:name w:val="Intense Quote"/>
    <w:basedOn w:val="Normal"/>
    <w:next w:val="Normal"/>
    <w:link w:val="IntenseQuoteChar"/>
    <w:uiPriority w:val="30"/>
    <w:qFormat/>
    <w:rsid w:val="008449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492B"/>
    <w:rPr>
      <w:i/>
      <w:iCs/>
      <w:color w:val="0F4761" w:themeColor="accent1" w:themeShade="BF"/>
    </w:rPr>
  </w:style>
  <w:style w:type="character" w:styleId="IntenseReference">
    <w:name w:val="Intense Reference"/>
    <w:basedOn w:val="DefaultParagraphFont"/>
    <w:uiPriority w:val="32"/>
    <w:qFormat/>
    <w:rsid w:val="0084492B"/>
    <w:rPr>
      <w:b/>
      <w:bCs/>
      <w:smallCaps/>
      <w:color w:val="0F4761" w:themeColor="accent1" w:themeShade="BF"/>
      <w:spacing w:val="5"/>
    </w:rPr>
  </w:style>
  <w:style w:type="character" w:styleId="Hyperlink">
    <w:name w:val="Hyperlink"/>
    <w:basedOn w:val="DefaultParagraphFont"/>
    <w:uiPriority w:val="99"/>
    <w:unhideWhenUsed/>
    <w:rsid w:val="00B1738A"/>
    <w:rPr>
      <w:color w:val="467886" w:themeColor="hyperlink"/>
      <w:u w:val="single"/>
    </w:rPr>
  </w:style>
  <w:style w:type="character" w:styleId="UnresolvedMention">
    <w:name w:val="Unresolved Mention"/>
    <w:basedOn w:val="DefaultParagraphFont"/>
    <w:uiPriority w:val="99"/>
    <w:semiHidden/>
    <w:unhideWhenUsed/>
    <w:rsid w:val="00B1738A"/>
    <w:rPr>
      <w:color w:val="605E5C"/>
      <w:shd w:val="clear" w:color="auto" w:fill="E1DFDD"/>
    </w:rPr>
  </w:style>
  <w:style w:type="paragraph" w:styleId="Header">
    <w:name w:val="header"/>
    <w:basedOn w:val="Normal"/>
    <w:link w:val="HeaderChar"/>
    <w:uiPriority w:val="99"/>
    <w:unhideWhenUsed/>
    <w:rsid w:val="002C18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8B2"/>
  </w:style>
  <w:style w:type="paragraph" w:styleId="Footer">
    <w:name w:val="footer"/>
    <w:basedOn w:val="Normal"/>
    <w:link w:val="FooterChar"/>
    <w:uiPriority w:val="99"/>
    <w:unhideWhenUsed/>
    <w:rsid w:val="002C18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8B2"/>
  </w:style>
  <w:style w:type="paragraph" w:styleId="NormalWeb">
    <w:name w:val="Normal (Web)"/>
    <w:basedOn w:val="Normal"/>
    <w:uiPriority w:val="99"/>
    <w:unhideWhenUsed/>
    <w:rsid w:val="00C136C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136C3"/>
    <w:rPr>
      <w:b/>
      <w:bCs/>
    </w:rPr>
  </w:style>
  <w:style w:type="character" w:styleId="Emphasis">
    <w:name w:val="Emphasis"/>
    <w:basedOn w:val="DefaultParagraphFont"/>
    <w:uiPriority w:val="20"/>
    <w:qFormat/>
    <w:rsid w:val="00570BC9"/>
    <w:rPr>
      <w:i/>
      <w:iCs/>
    </w:rPr>
  </w:style>
  <w:style w:type="paragraph" w:styleId="TOCHeading">
    <w:name w:val="TOC Heading"/>
    <w:basedOn w:val="Heading1"/>
    <w:next w:val="Normal"/>
    <w:uiPriority w:val="39"/>
    <w:unhideWhenUsed/>
    <w:qFormat/>
    <w:rsid w:val="0066419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64198"/>
    <w:pPr>
      <w:spacing w:after="100"/>
    </w:pPr>
  </w:style>
  <w:style w:type="paragraph" w:styleId="TOC2">
    <w:name w:val="toc 2"/>
    <w:basedOn w:val="Normal"/>
    <w:next w:val="Normal"/>
    <w:autoRedefine/>
    <w:uiPriority w:val="39"/>
    <w:unhideWhenUsed/>
    <w:rsid w:val="00664198"/>
    <w:pPr>
      <w:spacing w:after="100"/>
      <w:ind w:left="220"/>
    </w:pPr>
  </w:style>
  <w:style w:type="paragraph" w:styleId="TOC3">
    <w:name w:val="toc 3"/>
    <w:basedOn w:val="Normal"/>
    <w:next w:val="Normal"/>
    <w:autoRedefine/>
    <w:uiPriority w:val="39"/>
    <w:unhideWhenUsed/>
    <w:rsid w:val="0066419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29682">
      <w:bodyDiv w:val="1"/>
      <w:marLeft w:val="0"/>
      <w:marRight w:val="0"/>
      <w:marTop w:val="0"/>
      <w:marBottom w:val="0"/>
      <w:divBdr>
        <w:top w:val="none" w:sz="0" w:space="0" w:color="auto"/>
        <w:left w:val="none" w:sz="0" w:space="0" w:color="auto"/>
        <w:bottom w:val="none" w:sz="0" w:space="0" w:color="auto"/>
        <w:right w:val="none" w:sz="0" w:space="0" w:color="auto"/>
      </w:divBdr>
    </w:div>
    <w:div w:id="97531651">
      <w:bodyDiv w:val="1"/>
      <w:marLeft w:val="0"/>
      <w:marRight w:val="0"/>
      <w:marTop w:val="0"/>
      <w:marBottom w:val="0"/>
      <w:divBdr>
        <w:top w:val="none" w:sz="0" w:space="0" w:color="auto"/>
        <w:left w:val="none" w:sz="0" w:space="0" w:color="auto"/>
        <w:bottom w:val="none" w:sz="0" w:space="0" w:color="auto"/>
        <w:right w:val="none" w:sz="0" w:space="0" w:color="auto"/>
      </w:divBdr>
    </w:div>
    <w:div w:id="106698084">
      <w:bodyDiv w:val="1"/>
      <w:marLeft w:val="0"/>
      <w:marRight w:val="0"/>
      <w:marTop w:val="0"/>
      <w:marBottom w:val="0"/>
      <w:divBdr>
        <w:top w:val="none" w:sz="0" w:space="0" w:color="auto"/>
        <w:left w:val="none" w:sz="0" w:space="0" w:color="auto"/>
        <w:bottom w:val="none" w:sz="0" w:space="0" w:color="auto"/>
        <w:right w:val="none" w:sz="0" w:space="0" w:color="auto"/>
      </w:divBdr>
      <w:divsChild>
        <w:div w:id="552696183">
          <w:marLeft w:val="0"/>
          <w:marRight w:val="0"/>
          <w:marTop w:val="0"/>
          <w:marBottom w:val="0"/>
          <w:divBdr>
            <w:top w:val="none" w:sz="0" w:space="0" w:color="auto"/>
            <w:left w:val="none" w:sz="0" w:space="0" w:color="auto"/>
            <w:bottom w:val="none" w:sz="0" w:space="0" w:color="auto"/>
            <w:right w:val="none" w:sz="0" w:space="0" w:color="auto"/>
          </w:divBdr>
          <w:divsChild>
            <w:div w:id="1771122555">
              <w:marLeft w:val="0"/>
              <w:marRight w:val="0"/>
              <w:marTop w:val="0"/>
              <w:marBottom w:val="0"/>
              <w:divBdr>
                <w:top w:val="none" w:sz="0" w:space="0" w:color="auto"/>
                <w:left w:val="none" w:sz="0" w:space="0" w:color="auto"/>
                <w:bottom w:val="none" w:sz="0" w:space="0" w:color="auto"/>
                <w:right w:val="none" w:sz="0" w:space="0" w:color="auto"/>
              </w:divBdr>
              <w:divsChild>
                <w:div w:id="1467746074">
                  <w:marLeft w:val="0"/>
                  <w:marRight w:val="0"/>
                  <w:marTop w:val="0"/>
                  <w:marBottom w:val="0"/>
                  <w:divBdr>
                    <w:top w:val="none" w:sz="0" w:space="0" w:color="auto"/>
                    <w:left w:val="none" w:sz="0" w:space="0" w:color="auto"/>
                    <w:bottom w:val="none" w:sz="0" w:space="0" w:color="auto"/>
                    <w:right w:val="none" w:sz="0" w:space="0" w:color="auto"/>
                  </w:divBdr>
                  <w:divsChild>
                    <w:div w:id="1595243367">
                      <w:marLeft w:val="0"/>
                      <w:marRight w:val="0"/>
                      <w:marTop w:val="0"/>
                      <w:marBottom w:val="0"/>
                      <w:divBdr>
                        <w:top w:val="none" w:sz="0" w:space="0" w:color="auto"/>
                        <w:left w:val="none" w:sz="0" w:space="0" w:color="auto"/>
                        <w:bottom w:val="none" w:sz="0" w:space="0" w:color="auto"/>
                        <w:right w:val="none" w:sz="0" w:space="0" w:color="auto"/>
                      </w:divBdr>
                      <w:divsChild>
                        <w:div w:id="1038358128">
                          <w:marLeft w:val="0"/>
                          <w:marRight w:val="0"/>
                          <w:marTop w:val="0"/>
                          <w:marBottom w:val="0"/>
                          <w:divBdr>
                            <w:top w:val="none" w:sz="0" w:space="0" w:color="auto"/>
                            <w:left w:val="none" w:sz="0" w:space="0" w:color="auto"/>
                            <w:bottom w:val="none" w:sz="0" w:space="0" w:color="auto"/>
                            <w:right w:val="none" w:sz="0" w:space="0" w:color="auto"/>
                          </w:divBdr>
                          <w:divsChild>
                            <w:div w:id="1910115107">
                              <w:marLeft w:val="0"/>
                              <w:marRight w:val="0"/>
                              <w:marTop w:val="0"/>
                              <w:marBottom w:val="0"/>
                              <w:divBdr>
                                <w:top w:val="none" w:sz="0" w:space="0" w:color="auto"/>
                                <w:left w:val="none" w:sz="0" w:space="0" w:color="auto"/>
                                <w:bottom w:val="none" w:sz="0" w:space="0" w:color="auto"/>
                                <w:right w:val="none" w:sz="0" w:space="0" w:color="auto"/>
                              </w:divBdr>
                              <w:divsChild>
                                <w:div w:id="1511262755">
                                  <w:marLeft w:val="0"/>
                                  <w:marRight w:val="0"/>
                                  <w:marTop w:val="0"/>
                                  <w:marBottom w:val="0"/>
                                  <w:divBdr>
                                    <w:top w:val="none" w:sz="0" w:space="0" w:color="auto"/>
                                    <w:left w:val="none" w:sz="0" w:space="0" w:color="auto"/>
                                    <w:bottom w:val="none" w:sz="0" w:space="0" w:color="auto"/>
                                    <w:right w:val="none" w:sz="0" w:space="0" w:color="auto"/>
                                  </w:divBdr>
                                  <w:divsChild>
                                    <w:div w:id="1507592819">
                                      <w:marLeft w:val="0"/>
                                      <w:marRight w:val="0"/>
                                      <w:marTop w:val="0"/>
                                      <w:marBottom w:val="0"/>
                                      <w:divBdr>
                                        <w:top w:val="none" w:sz="0" w:space="0" w:color="auto"/>
                                        <w:left w:val="none" w:sz="0" w:space="0" w:color="auto"/>
                                        <w:bottom w:val="none" w:sz="0" w:space="0" w:color="auto"/>
                                        <w:right w:val="none" w:sz="0" w:space="0" w:color="auto"/>
                                      </w:divBdr>
                                      <w:divsChild>
                                        <w:div w:id="17765583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194772">
      <w:bodyDiv w:val="1"/>
      <w:marLeft w:val="0"/>
      <w:marRight w:val="0"/>
      <w:marTop w:val="0"/>
      <w:marBottom w:val="0"/>
      <w:divBdr>
        <w:top w:val="none" w:sz="0" w:space="0" w:color="auto"/>
        <w:left w:val="none" w:sz="0" w:space="0" w:color="auto"/>
        <w:bottom w:val="none" w:sz="0" w:space="0" w:color="auto"/>
        <w:right w:val="none" w:sz="0" w:space="0" w:color="auto"/>
      </w:divBdr>
    </w:div>
    <w:div w:id="202330481">
      <w:bodyDiv w:val="1"/>
      <w:marLeft w:val="0"/>
      <w:marRight w:val="0"/>
      <w:marTop w:val="0"/>
      <w:marBottom w:val="0"/>
      <w:divBdr>
        <w:top w:val="none" w:sz="0" w:space="0" w:color="auto"/>
        <w:left w:val="none" w:sz="0" w:space="0" w:color="auto"/>
        <w:bottom w:val="none" w:sz="0" w:space="0" w:color="auto"/>
        <w:right w:val="none" w:sz="0" w:space="0" w:color="auto"/>
      </w:divBdr>
    </w:div>
    <w:div w:id="389353410">
      <w:bodyDiv w:val="1"/>
      <w:marLeft w:val="0"/>
      <w:marRight w:val="0"/>
      <w:marTop w:val="0"/>
      <w:marBottom w:val="0"/>
      <w:divBdr>
        <w:top w:val="none" w:sz="0" w:space="0" w:color="auto"/>
        <w:left w:val="none" w:sz="0" w:space="0" w:color="auto"/>
        <w:bottom w:val="none" w:sz="0" w:space="0" w:color="auto"/>
        <w:right w:val="none" w:sz="0" w:space="0" w:color="auto"/>
      </w:divBdr>
    </w:div>
    <w:div w:id="407852352">
      <w:bodyDiv w:val="1"/>
      <w:marLeft w:val="0"/>
      <w:marRight w:val="0"/>
      <w:marTop w:val="0"/>
      <w:marBottom w:val="0"/>
      <w:divBdr>
        <w:top w:val="none" w:sz="0" w:space="0" w:color="auto"/>
        <w:left w:val="none" w:sz="0" w:space="0" w:color="auto"/>
        <w:bottom w:val="none" w:sz="0" w:space="0" w:color="auto"/>
        <w:right w:val="none" w:sz="0" w:space="0" w:color="auto"/>
      </w:divBdr>
    </w:div>
    <w:div w:id="445200928">
      <w:bodyDiv w:val="1"/>
      <w:marLeft w:val="0"/>
      <w:marRight w:val="0"/>
      <w:marTop w:val="0"/>
      <w:marBottom w:val="0"/>
      <w:divBdr>
        <w:top w:val="none" w:sz="0" w:space="0" w:color="auto"/>
        <w:left w:val="none" w:sz="0" w:space="0" w:color="auto"/>
        <w:bottom w:val="none" w:sz="0" w:space="0" w:color="auto"/>
        <w:right w:val="none" w:sz="0" w:space="0" w:color="auto"/>
      </w:divBdr>
    </w:div>
    <w:div w:id="515192160">
      <w:bodyDiv w:val="1"/>
      <w:marLeft w:val="0"/>
      <w:marRight w:val="0"/>
      <w:marTop w:val="0"/>
      <w:marBottom w:val="0"/>
      <w:divBdr>
        <w:top w:val="none" w:sz="0" w:space="0" w:color="auto"/>
        <w:left w:val="none" w:sz="0" w:space="0" w:color="auto"/>
        <w:bottom w:val="none" w:sz="0" w:space="0" w:color="auto"/>
        <w:right w:val="none" w:sz="0" w:space="0" w:color="auto"/>
      </w:divBdr>
    </w:div>
    <w:div w:id="545289766">
      <w:bodyDiv w:val="1"/>
      <w:marLeft w:val="0"/>
      <w:marRight w:val="0"/>
      <w:marTop w:val="0"/>
      <w:marBottom w:val="0"/>
      <w:divBdr>
        <w:top w:val="none" w:sz="0" w:space="0" w:color="auto"/>
        <w:left w:val="none" w:sz="0" w:space="0" w:color="auto"/>
        <w:bottom w:val="none" w:sz="0" w:space="0" w:color="auto"/>
        <w:right w:val="none" w:sz="0" w:space="0" w:color="auto"/>
      </w:divBdr>
    </w:div>
    <w:div w:id="682361779">
      <w:bodyDiv w:val="1"/>
      <w:marLeft w:val="0"/>
      <w:marRight w:val="0"/>
      <w:marTop w:val="0"/>
      <w:marBottom w:val="0"/>
      <w:divBdr>
        <w:top w:val="none" w:sz="0" w:space="0" w:color="auto"/>
        <w:left w:val="none" w:sz="0" w:space="0" w:color="auto"/>
        <w:bottom w:val="none" w:sz="0" w:space="0" w:color="auto"/>
        <w:right w:val="none" w:sz="0" w:space="0" w:color="auto"/>
      </w:divBdr>
    </w:div>
    <w:div w:id="682516651">
      <w:bodyDiv w:val="1"/>
      <w:marLeft w:val="0"/>
      <w:marRight w:val="0"/>
      <w:marTop w:val="0"/>
      <w:marBottom w:val="0"/>
      <w:divBdr>
        <w:top w:val="none" w:sz="0" w:space="0" w:color="auto"/>
        <w:left w:val="none" w:sz="0" w:space="0" w:color="auto"/>
        <w:bottom w:val="none" w:sz="0" w:space="0" w:color="auto"/>
        <w:right w:val="none" w:sz="0" w:space="0" w:color="auto"/>
      </w:divBdr>
    </w:div>
    <w:div w:id="924415285">
      <w:bodyDiv w:val="1"/>
      <w:marLeft w:val="0"/>
      <w:marRight w:val="0"/>
      <w:marTop w:val="0"/>
      <w:marBottom w:val="0"/>
      <w:divBdr>
        <w:top w:val="none" w:sz="0" w:space="0" w:color="auto"/>
        <w:left w:val="none" w:sz="0" w:space="0" w:color="auto"/>
        <w:bottom w:val="none" w:sz="0" w:space="0" w:color="auto"/>
        <w:right w:val="none" w:sz="0" w:space="0" w:color="auto"/>
      </w:divBdr>
    </w:div>
    <w:div w:id="954753134">
      <w:bodyDiv w:val="1"/>
      <w:marLeft w:val="0"/>
      <w:marRight w:val="0"/>
      <w:marTop w:val="0"/>
      <w:marBottom w:val="0"/>
      <w:divBdr>
        <w:top w:val="none" w:sz="0" w:space="0" w:color="auto"/>
        <w:left w:val="none" w:sz="0" w:space="0" w:color="auto"/>
        <w:bottom w:val="none" w:sz="0" w:space="0" w:color="auto"/>
        <w:right w:val="none" w:sz="0" w:space="0" w:color="auto"/>
      </w:divBdr>
    </w:div>
    <w:div w:id="1023242477">
      <w:bodyDiv w:val="1"/>
      <w:marLeft w:val="0"/>
      <w:marRight w:val="0"/>
      <w:marTop w:val="0"/>
      <w:marBottom w:val="0"/>
      <w:divBdr>
        <w:top w:val="none" w:sz="0" w:space="0" w:color="auto"/>
        <w:left w:val="none" w:sz="0" w:space="0" w:color="auto"/>
        <w:bottom w:val="none" w:sz="0" w:space="0" w:color="auto"/>
        <w:right w:val="none" w:sz="0" w:space="0" w:color="auto"/>
      </w:divBdr>
    </w:div>
    <w:div w:id="1161195355">
      <w:bodyDiv w:val="1"/>
      <w:marLeft w:val="0"/>
      <w:marRight w:val="0"/>
      <w:marTop w:val="0"/>
      <w:marBottom w:val="0"/>
      <w:divBdr>
        <w:top w:val="none" w:sz="0" w:space="0" w:color="auto"/>
        <w:left w:val="none" w:sz="0" w:space="0" w:color="auto"/>
        <w:bottom w:val="none" w:sz="0" w:space="0" w:color="auto"/>
        <w:right w:val="none" w:sz="0" w:space="0" w:color="auto"/>
      </w:divBdr>
    </w:div>
    <w:div w:id="1352336405">
      <w:bodyDiv w:val="1"/>
      <w:marLeft w:val="0"/>
      <w:marRight w:val="0"/>
      <w:marTop w:val="0"/>
      <w:marBottom w:val="0"/>
      <w:divBdr>
        <w:top w:val="none" w:sz="0" w:space="0" w:color="auto"/>
        <w:left w:val="none" w:sz="0" w:space="0" w:color="auto"/>
        <w:bottom w:val="none" w:sz="0" w:space="0" w:color="auto"/>
        <w:right w:val="none" w:sz="0" w:space="0" w:color="auto"/>
      </w:divBdr>
    </w:div>
    <w:div w:id="1423182226">
      <w:bodyDiv w:val="1"/>
      <w:marLeft w:val="0"/>
      <w:marRight w:val="0"/>
      <w:marTop w:val="0"/>
      <w:marBottom w:val="0"/>
      <w:divBdr>
        <w:top w:val="none" w:sz="0" w:space="0" w:color="auto"/>
        <w:left w:val="none" w:sz="0" w:space="0" w:color="auto"/>
        <w:bottom w:val="none" w:sz="0" w:space="0" w:color="auto"/>
        <w:right w:val="none" w:sz="0" w:space="0" w:color="auto"/>
      </w:divBdr>
    </w:div>
    <w:div w:id="1449666158">
      <w:bodyDiv w:val="1"/>
      <w:marLeft w:val="0"/>
      <w:marRight w:val="0"/>
      <w:marTop w:val="0"/>
      <w:marBottom w:val="0"/>
      <w:divBdr>
        <w:top w:val="none" w:sz="0" w:space="0" w:color="auto"/>
        <w:left w:val="none" w:sz="0" w:space="0" w:color="auto"/>
        <w:bottom w:val="none" w:sz="0" w:space="0" w:color="auto"/>
        <w:right w:val="none" w:sz="0" w:space="0" w:color="auto"/>
      </w:divBdr>
    </w:div>
    <w:div w:id="1685552864">
      <w:bodyDiv w:val="1"/>
      <w:marLeft w:val="0"/>
      <w:marRight w:val="0"/>
      <w:marTop w:val="0"/>
      <w:marBottom w:val="0"/>
      <w:divBdr>
        <w:top w:val="none" w:sz="0" w:space="0" w:color="auto"/>
        <w:left w:val="none" w:sz="0" w:space="0" w:color="auto"/>
        <w:bottom w:val="none" w:sz="0" w:space="0" w:color="auto"/>
        <w:right w:val="none" w:sz="0" w:space="0" w:color="auto"/>
      </w:divBdr>
    </w:div>
    <w:div w:id="1755586056">
      <w:bodyDiv w:val="1"/>
      <w:marLeft w:val="0"/>
      <w:marRight w:val="0"/>
      <w:marTop w:val="0"/>
      <w:marBottom w:val="0"/>
      <w:divBdr>
        <w:top w:val="none" w:sz="0" w:space="0" w:color="auto"/>
        <w:left w:val="none" w:sz="0" w:space="0" w:color="auto"/>
        <w:bottom w:val="none" w:sz="0" w:space="0" w:color="auto"/>
        <w:right w:val="none" w:sz="0" w:space="0" w:color="auto"/>
      </w:divBdr>
    </w:div>
    <w:div w:id="1759712992">
      <w:bodyDiv w:val="1"/>
      <w:marLeft w:val="0"/>
      <w:marRight w:val="0"/>
      <w:marTop w:val="0"/>
      <w:marBottom w:val="0"/>
      <w:divBdr>
        <w:top w:val="none" w:sz="0" w:space="0" w:color="auto"/>
        <w:left w:val="none" w:sz="0" w:space="0" w:color="auto"/>
        <w:bottom w:val="none" w:sz="0" w:space="0" w:color="auto"/>
        <w:right w:val="none" w:sz="0" w:space="0" w:color="auto"/>
      </w:divBdr>
    </w:div>
    <w:div w:id="1785075676">
      <w:bodyDiv w:val="1"/>
      <w:marLeft w:val="0"/>
      <w:marRight w:val="0"/>
      <w:marTop w:val="0"/>
      <w:marBottom w:val="0"/>
      <w:divBdr>
        <w:top w:val="none" w:sz="0" w:space="0" w:color="auto"/>
        <w:left w:val="none" w:sz="0" w:space="0" w:color="auto"/>
        <w:bottom w:val="none" w:sz="0" w:space="0" w:color="auto"/>
        <w:right w:val="none" w:sz="0" w:space="0" w:color="auto"/>
      </w:divBdr>
    </w:div>
    <w:div w:id="1812014915">
      <w:bodyDiv w:val="1"/>
      <w:marLeft w:val="0"/>
      <w:marRight w:val="0"/>
      <w:marTop w:val="0"/>
      <w:marBottom w:val="0"/>
      <w:divBdr>
        <w:top w:val="none" w:sz="0" w:space="0" w:color="auto"/>
        <w:left w:val="none" w:sz="0" w:space="0" w:color="auto"/>
        <w:bottom w:val="none" w:sz="0" w:space="0" w:color="auto"/>
        <w:right w:val="none" w:sz="0" w:space="0" w:color="auto"/>
      </w:divBdr>
    </w:div>
    <w:div w:id="1839618723">
      <w:bodyDiv w:val="1"/>
      <w:marLeft w:val="0"/>
      <w:marRight w:val="0"/>
      <w:marTop w:val="0"/>
      <w:marBottom w:val="0"/>
      <w:divBdr>
        <w:top w:val="none" w:sz="0" w:space="0" w:color="auto"/>
        <w:left w:val="none" w:sz="0" w:space="0" w:color="auto"/>
        <w:bottom w:val="none" w:sz="0" w:space="0" w:color="auto"/>
        <w:right w:val="none" w:sz="0" w:space="0" w:color="auto"/>
      </w:divBdr>
    </w:div>
    <w:div w:id="2049068699">
      <w:bodyDiv w:val="1"/>
      <w:marLeft w:val="0"/>
      <w:marRight w:val="0"/>
      <w:marTop w:val="0"/>
      <w:marBottom w:val="0"/>
      <w:divBdr>
        <w:top w:val="none" w:sz="0" w:space="0" w:color="auto"/>
        <w:left w:val="none" w:sz="0" w:space="0" w:color="auto"/>
        <w:bottom w:val="none" w:sz="0" w:space="0" w:color="auto"/>
        <w:right w:val="none" w:sz="0" w:space="0" w:color="auto"/>
      </w:divBdr>
    </w:div>
    <w:div w:id="2075006189">
      <w:bodyDiv w:val="1"/>
      <w:marLeft w:val="0"/>
      <w:marRight w:val="0"/>
      <w:marTop w:val="0"/>
      <w:marBottom w:val="0"/>
      <w:divBdr>
        <w:top w:val="none" w:sz="0" w:space="0" w:color="auto"/>
        <w:left w:val="none" w:sz="0" w:space="0" w:color="auto"/>
        <w:bottom w:val="none" w:sz="0" w:space="0" w:color="auto"/>
        <w:right w:val="none" w:sz="0" w:space="0" w:color="auto"/>
      </w:divBdr>
    </w:div>
    <w:div w:id="211432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en/investors/financing/sustainable-financ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rve360.marriot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indeed.com/cmp/Delta-Hotels-by-Marriott/review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arriott.com/en-us/hotels/brsdh-delta-hotels-bristol-city-centre" TargetMode="External"/><Relationship Id="rId4" Type="http://schemas.openxmlformats.org/officeDocument/2006/relationships/settings" Target="settings.xml"/><Relationship Id="rId9" Type="http://schemas.openxmlformats.org/officeDocument/2006/relationships/hyperlink" Target="https://www.bera.ac.uk/publication/ethical-guidelines-for-educational-research-201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795B5-9CDF-4317-983A-387851E70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39</Pages>
  <Words>10925</Words>
  <Characters>70360</Characters>
  <Application>Microsoft Office Word</Application>
  <DocSecurity>0</DocSecurity>
  <Lines>1353</Lines>
  <Paragraphs>396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Codruta Bogatean</dc:creator>
  <cp:keywords/>
  <dc:description/>
  <cp:lastModifiedBy>Codruta Bogatean</cp:lastModifiedBy>
  <cp:revision>115</cp:revision>
  <dcterms:created xsi:type="dcterms:W3CDTF">2025-06-12T11:43:00Z</dcterms:created>
  <dcterms:modified xsi:type="dcterms:W3CDTF">2025-06-12T17:32:00Z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dcf8aa04-0bce-4834-a5eb-a3268325fa73</vt:lpwstr>
  </property>
</Properties>
</file>