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C2549" w14:textId="77777777" w:rsidR="00901A81" w:rsidRPr="00172A85" w:rsidRDefault="00901A81" w:rsidP="00172A85">
      <w:pPr>
        <w:spacing w:before="200" w:line="360" w:lineRule="auto"/>
        <w:jc w:val="both"/>
        <w:rPr>
          <w:rFonts w:ascii="Times New Roman" w:eastAsia="Times New Roman" w:hAnsi="Times New Roman" w:cs="Times New Roman"/>
          <w:color w:val="000000" w:themeColor="text1"/>
          <w:sz w:val="24"/>
          <w:szCs w:val="24"/>
        </w:rPr>
      </w:pPr>
    </w:p>
    <w:p w14:paraId="6FDF2840" w14:textId="77777777" w:rsidR="00F0666D" w:rsidRPr="00172A85" w:rsidRDefault="00F0666D" w:rsidP="00172A85">
      <w:pPr>
        <w:spacing w:before="200" w:line="360" w:lineRule="auto"/>
        <w:jc w:val="both"/>
        <w:rPr>
          <w:rFonts w:ascii="Times New Roman" w:eastAsia="Times New Roman" w:hAnsi="Times New Roman" w:cs="Times New Roman"/>
          <w:color w:val="000000" w:themeColor="text1"/>
          <w:sz w:val="24"/>
          <w:szCs w:val="24"/>
        </w:rPr>
      </w:pPr>
    </w:p>
    <w:p w14:paraId="5F180B12" w14:textId="77777777" w:rsidR="00F0666D" w:rsidRPr="00172A85" w:rsidRDefault="00F0666D" w:rsidP="00172A85">
      <w:pPr>
        <w:spacing w:before="200" w:line="360" w:lineRule="auto"/>
        <w:jc w:val="both"/>
        <w:rPr>
          <w:rFonts w:ascii="Times New Roman" w:eastAsia="Times New Roman" w:hAnsi="Times New Roman" w:cs="Times New Roman"/>
          <w:color w:val="000000" w:themeColor="text1"/>
          <w:sz w:val="24"/>
          <w:szCs w:val="24"/>
        </w:rPr>
      </w:pPr>
    </w:p>
    <w:p w14:paraId="3DA9ED9D" w14:textId="77777777" w:rsidR="005C7198" w:rsidRPr="00984ECB" w:rsidRDefault="005C7198" w:rsidP="005C7198">
      <w:pPr>
        <w:spacing w:before="200" w:line="360" w:lineRule="auto"/>
        <w:jc w:val="both"/>
        <w:rPr>
          <w:rFonts w:ascii="Times New Roman" w:eastAsia="Times New Roman" w:hAnsi="Times New Roman" w:cs="Times New Roman"/>
          <w:color w:val="000000" w:themeColor="text1"/>
          <w:sz w:val="24"/>
          <w:szCs w:val="24"/>
        </w:rPr>
      </w:pPr>
      <w:r w:rsidRPr="00E50339">
        <w:rPr>
          <w:rFonts w:ascii="Times New Roman" w:eastAsia="Times New Roman" w:hAnsi="Times New Roman" w:cs="Times New Roman"/>
          <w:color w:val="000000" w:themeColor="text1"/>
          <w:sz w:val="24"/>
          <w:szCs w:val="24"/>
          <w:lang w:val="en-US"/>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3B0D75FB" w14:textId="77777777" w:rsidR="005C7198" w:rsidRPr="00984ECB" w:rsidRDefault="005C7198" w:rsidP="005C7198">
      <w:pPr>
        <w:spacing w:before="200" w:line="360" w:lineRule="auto"/>
        <w:jc w:val="both"/>
        <w:rPr>
          <w:rFonts w:ascii="Times New Roman" w:eastAsia="Times New Roman" w:hAnsi="Times New Roman" w:cs="Times New Roman"/>
          <w:color w:val="000000" w:themeColor="text1"/>
          <w:sz w:val="24"/>
          <w:szCs w:val="24"/>
        </w:rPr>
      </w:pPr>
    </w:p>
    <w:p w14:paraId="0E73DEC6" w14:textId="77777777" w:rsidR="005C7198" w:rsidRPr="00984ECB" w:rsidRDefault="005C7198" w:rsidP="005C7198">
      <w:pPr>
        <w:spacing w:before="200" w:line="360" w:lineRule="auto"/>
        <w:jc w:val="both"/>
        <w:rPr>
          <w:rFonts w:ascii="Times New Roman" w:eastAsia="Times New Roman" w:hAnsi="Times New Roman" w:cs="Times New Roman"/>
          <w:color w:val="000000" w:themeColor="text1"/>
          <w:sz w:val="24"/>
          <w:szCs w:val="24"/>
        </w:rPr>
      </w:pPr>
    </w:p>
    <w:p w14:paraId="0E361B70" w14:textId="77777777" w:rsidR="005C7198" w:rsidRPr="00984ECB" w:rsidRDefault="005C7198" w:rsidP="005C7198">
      <w:pPr>
        <w:spacing w:before="200" w:line="360" w:lineRule="auto"/>
        <w:jc w:val="center"/>
        <w:rPr>
          <w:rFonts w:ascii="Times New Roman" w:eastAsia="Times New Roman" w:hAnsi="Times New Roman" w:cs="Times New Roman"/>
          <w:color w:val="000000" w:themeColor="text1"/>
          <w:sz w:val="28"/>
          <w:szCs w:val="28"/>
        </w:rPr>
      </w:pPr>
      <w:r>
        <w:rPr>
          <w:rFonts w:ascii="Times New Roman" w:eastAsia="Times New Roman" w:hAnsi="Times New Roman" w:cs="Times New Roman"/>
          <w:b/>
          <w:color w:val="000000" w:themeColor="text1"/>
          <w:sz w:val="28"/>
          <w:szCs w:val="28"/>
        </w:rPr>
        <w:t xml:space="preserve">Student </w:t>
      </w:r>
      <w:r w:rsidRPr="00984ECB">
        <w:rPr>
          <w:rFonts w:ascii="Times New Roman" w:eastAsia="Times New Roman" w:hAnsi="Times New Roman" w:cs="Times New Roman"/>
          <w:b/>
          <w:color w:val="000000" w:themeColor="text1"/>
          <w:sz w:val="28"/>
          <w:szCs w:val="28"/>
        </w:rPr>
        <w:t>Name</w:t>
      </w:r>
      <w:r w:rsidRPr="00984ECB">
        <w:rPr>
          <w:rFonts w:ascii="Times New Roman" w:eastAsia="Times New Roman" w:hAnsi="Times New Roman" w:cs="Times New Roman"/>
          <w:color w:val="000000" w:themeColor="text1"/>
          <w:sz w:val="28"/>
          <w:szCs w:val="28"/>
        </w:rPr>
        <w:t>:</w:t>
      </w:r>
      <w:r>
        <w:rPr>
          <w:rFonts w:ascii="Times New Roman" w:eastAsia="Times New Roman" w:hAnsi="Times New Roman" w:cs="Times New Roman"/>
          <w:color w:val="000000" w:themeColor="text1"/>
          <w:sz w:val="28"/>
          <w:szCs w:val="28"/>
        </w:rPr>
        <w:t xml:space="preserve"> LOREDANA TURNER</w:t>
      </w:r>
    </w:p>
    <w:p w14:paraId="4CC7526E" w14:textId="77777777" w:rsidR="005C7198" w:rsidRPr="00984ECB" w:rsidRDefault="005C7198" w:rsidP="005C7198">
      <w:pPr>
        <w:spacing w:before="200" w:line="360" w:lineRule="auto"/>
        <w:jc w:val="center"/>
        <w:rPr>
          <w:rFonts w:ascii="Times New Roman" w:eastAsia="Times New Roman" w:hAnsi="Times New Roman" w:cs="Times New Roman"/>
          <w:color w:val="000000" w:themeColor="text1"/>
          <w:sz w:val="28"/>
          <w:szCs w:val="28"/>
        </w:rPr>
      </w:pPr>
      <w:r w:rsidRPr="00984ECB">
        <w:rPr>
          <w:rFonts w:ascii="Times New Roman" w:eastAsia="Times New Roman" w:hAnsi="Times New Roman" w:cs="Times New Roman"/>
          <w:b/>
          <w:color w:val="000000" w:themeColor="text1"/>
          <w:sz w:val="28"/>
          <w:szCs w:val="28"/>
        </w:rPr>
        <w:t>Student number</w:t>
      </w:r>
      <w:r w:rsidRPr="00984ECB">
        <w:rPr>
          <w:rFonts w:ascii="Times New Roman" w:eastAsia="Times New Roman" w:hAnsi="Times New Roman" w:cs="Times New Roman"/>
          <w:color w:val="000000" w:themeColor="text1"/>
          <w:sz w:val="28"/>
          <w:szCs w:val="28"/>
        </w:rPr>
        <w:t xml:space="preserve">: </w:t>
      </w:r>
      <w:r>
        <w:rPr>
          <w:rFonts w:ascii="Times New Roman" w:eastAsia="Times New Roman" w:hAnsi="Times New Roman" w:cs="Times New Roman"/>
          <w:color w:val="000000" w:themeColor="text1"/>
          <w:sz w:val="28"/>
          <w:szCs w:val="28"/>
        </w:rPr>
        <w:t>2242724</w:t>
      </w:r>
    </w:p>
    <w:p w14:paraId="15B22F63" w14:textId="77777777" w:rsidR="005C7198" w:rsidRPr="00984ECB" w:rsidRDefault="005C7198" w:rsidP="005C7198">
      <w:pPr>
        <w:spacing w:before="200" w:line="360" w:lineRule="auto"/>
        <w:jc w:val="center"/>
        <w:rPr>
          <w:rFonts w:ascii="Times New Roman" w:eastAsia="Times New Roman" w:hAnsi="Times New Roman" w:cs="Times New Roman"/>
          <w:color w:val="000000" w:themeColor="text1"/>
          <w:sz w:val="28"/>
          <w:szCs w:val="28"/>
        </w:rPr>
      </w:pPr>
      <w:r w:rsidRPr="00984ECB">
        <w:rPr>
          <w:rFonts w:ascii="Times New Roman" w:eastAsia="Times New Roman" w:hAnsi="Times New Roman" w:cs="Times New Roman"/>
          <w:b/>
          <w:color w:val="000000" w:themeColor="text1"/>
          <w:sz w:val="28"/>
          <w:szCs w:val="28"/>
        </w:rPr>
        <w:t xml:space="preserve">Assignment </w:t>
      </w:r>
      <w:r>
        <w:rPr>
          <w:rFonts w:ascii="Times New Roman" w:eastAsia="Times New Roman" w:hAnsi="Times New Roman" w:cs="Times New Roman"/>
          <w:b/>
          <w:color w:val="000000" w:themeColor="text1"/>
          <w:sz w:val="28"/>
          <w:szCs w:val="28"/>
        </w:rPr>
        <w:t xml:space="preserve">2: Event Strategic - </w:t>
      </w:r>
      <w:r w:rsidRPr="00984ECB">
        <w:rPr>
          <w:rFonts w:ascii="Times New Roman" w:eastAsia="Times New Roman" w:hAnsi="Times New Roman" w:cs="Times New Roman"/>
          <w:color w:val="000000" w:themeColor="text1"/>
          <w:sz w:val="28"/>
          <w:szCs w:val="28"/>
        </w:rPr>
        <w:t xml:space="preserve">Planning and Delivering </w:t>
      </w:r>
      <w:r>
        <w:rPr>
          <w:rFonts w:ascii="Times New Roman" w:eastAsia="Times New Roman" w:hAnsi="Times New Roman" w:cs="Times New Roman"/>
          <w:color w:val="000000" w:themeColor="text1"/>
          <w:sz w:val="28"/>
          <w:szCs w:val="28"/>
        </w:rPr>
        <w:t xml:space="preserve">Consideration for </w:t>
      </w:r>
      <w:r w:rsidRPr="00984ECB">
        <w:rPr>
          <w:rFonts w:ascii="Times New Roman" w:eastAsia="Times New Roman" w:hAnsi="Times New Roman" w:cs="Times New Roman"/>
          <w:color w:val="000000" w:themeColor="text1"/>
          <w:sz w:val="28"/>
          <w:szCs w:val="28"/>
        </w:rPr>
        <w:t xml:space="preserve">an International Meeting/Event </w:t>
      </w:r>
    </w:p>
    <w:p w14:paraId="6FD0B23E" w14:textId="77777777" w:rsidR="005C7198" w:rsidRDefault="005C7198" w:rsidP="005C7198">
      <w:pPr>
        <w:spacing w:before="200" w:line="360" w:lineRule="auto"/>
        <w:jc w:val="center"/>
        <w:rPr>
          <w:rFonts w:ascii="Times New Roman" w:eastAsia="Times New Roman" w:hAnsi="Times New Roman" w:cs="Times New Roman"/>
          <w:color w:val="000000" w:themeColor="text1"/>
          <w:sz w:val="28"/>
          <w:szCs w:val="28"/>
        </w:rPr>
      </w:pPr>
      <w:r>
        <w:rPr>
          <w:rFonts w:ascii="Times New Roman" w:eastAsia="Times New Roman" w:hAnsi="Times New Roman" w:cs="Times New Roman"/>
          <w:b/>
          <w:color w:val="000000" w:themeColor="text1"/>
          <w:sz w:val="28"/>
          <w:szCs w:val="28"/>
        </w:rPr>
        <w:t>M</w:t>
      </w:r>
      <w:r w:rsidRPr="00984ECB">
        <w:rPr>
          <w:rFonts w:ascii="Times New Roman" w:eastAsia="Times New Roman" w:hAnsi="Times New Roman" w:cs="Times New Roman"/>
          <w:b/>
          <w:color w:val="000000" w:themeColor="text1"/>
          <w:sz w:val="28"/>
          <w:szCs w:val="28"/>
        </w:rPr>
        <w:t>odule title</w:t>
      </w:r>
      <w:r w:rsidRPr="00984ECB">
        <w:rPr>
          <w:rFonts w:ascii="Times New Roman" w:eastAsia="Times New Roman" w:hAnsi="Times New Roman" w:cs="Times New Roman"/>
          <w:color w:val="000000" w:themeColor="text1"/>
          <w:sz w:val="28"/>
          <w:szCs w:val="28"/>
        </w:rPr>
        <w:t xml:space="preserve">: International Meetings Management </w:t>
      </w:r>
      <w:r>
        <w:rPr>
          <w:rFonts w:ascii="Times New Roman" w:eastAsia="Times New Roman" w:hAnsi="Times New Roman" w:cs="Times New Roman"/>
          <w:color w:val="000000" w:themeColor="text1"/>
          <w:sz w:val="28"/>
          <w:szCs w:val="28"/>
        </w:rPr>
        <w:t>for the Hotel Industry</w:t>
      </w:r>
    </w:p>
    <w:p w14:paraId="3452E717" w14:textId="77777777" w:rsidR="005C7198" w:rsidRPr="00984ECB" w:rsidRDefault="005C7198" w:rsidP="005C7198">
      <w:pPr>
        <w:spacing w:before="200" w:line="360" w:lineRule="auto"/>
        <w:jc w:val="center"/>
        <w:rPr>
          <w:rFonts w:ascii="Times New Roman" w:eastAsia="Times New Roman" w:hAnsi="Times New Roman" w:cs="Times New Roman"/>
          <w:color w:val="000000" w:themeColor="text1"/>
          <w:sz w:val="28"/>
          <w:szCs w:val="28"/>
        </w:rPr>
      </w:pPr>
      <w:r w:rsidRPr="00984ECB">
        <w:rPr>
          <w:rFonts w:ascii="Times New Roman" w:eastAsia="Times New Roman" w:hAnsi="Times New Roman" w:cs="Times New Roman"/>
          <w:color w:val="000000" w:themeColor="text1"/>
          <w:sz w:val="28"/>
          <w:szCs w:val="28"/>
        </w:rPr>
        <w:t xml:space="preserve">BMIH6007 </w:t>
      </w:r>
    </w:p>
    <w:p w14:paraId="585A738B" w14:textId="77777777" w:rsidR="00901A81" w:rsidRPr="00172A85" w:rsidRDefault="00901A81" w:rsidP="00172A85">
      <w:pPr>
        <w:spacing w:before="200" w:line="360" w:lineRule="auto"/>
        <w:jc w:val="both"/>
        <w:rPr>
          <w:rFonts w:ascii="Times New Roman" w:eastAsia="Times New Roman" w:hAnsi="Times New Roman" w:cs="Times New Roman"/>
          <w:color w:val="000000" w:themeColor="text1"/>
          <w:sz w:val="24"/>
          <w:szCs w:val="24"/>
        </w:rPr>
      </w:pPr>
    </w:p>
    <w:p w14:paraId="210F72DD"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br w:type="page"/>
      </w:r>
    </w:p>
    <w:bookmarkStart w:id="0" w:name="_v7823p6mm5zr" w:colFirst="0" w:colLast="0" w:displacedByCustomXml="next"/>
    <w:bookmarkEnd w:id="0" w:displacedByCustomXml="next"/>
    <w:sdt>
      <w:sdtPr>
        <w:rPr>
          <w:rFonts w:ascii="Times New Roman" w:eastAsia="Arial" w:hAnsi="Times New Roman" w:cs="Times New Roman"/>
          <w:color w:val="000000" w:themeColor="text1"/>
          <w:sz w:val="24"/>
          <w:szCs w:val="24"/>
          <w:lang w:val=""/>
        </w:rPr>
        <w:id w:val="-337003821"/>
        <w:docPartObj>
          <w:docPartGallery w:val="Table of Contents"/>
          <w:docPartUnique/>
        </w:docPartObj>
      </w:sdtPr>
      <w:sdtEndPr>
        <w:rPr>
          <w:b/>
          <w:bCs/>
          <w:noProof/>
        </w:rPr>
      </w:sdtEndPr>
      <w:sdtContent>
        <w:p w14:paraId="68B65A2E" w14:textId="77777777" w:rsidR="00F0666D" w:rsidRPr="00A5298E" w:rsidRDefault="003A6482" w:rsidP="00A5298E">
          <w:pPr>
            <w:pStyle w:val="TOCHeading"/>
            <w:spacing w:line="360" w:lineRule="auto"/>
            <w:jc w:val="center"/>
            <w:rPr>
              <w:rFonts w:ascii="Times New Roman" w:hAnsi="Times New Roman" w:cs="Times New Roman"/>
              <w:b/>
              <w:bCs/>
              <w:color w:val="000000" w:themeColor="text1"/>
              <w:sz w:val="24"/>
              <w:szCs w:val="24"/>
            </w:rPr>
          </w:pPr>
          <w:r w:rsidRPr="00A5298E">
            <w:rPr>
              <w:rFonts w:ascii="Times New Roman" w:hAnsi="Times New Roman" w:cs="Times New Roman"/>
              <w:b/>
              <w:bCs/>
              <w:color w:val="000000" w:themeColor="text1"/>
              <w:sz w:val="24"/>
              <w:szCs w:val="24"/>
            </w:rPr>
            <w:t>Table of Contents</w:t>
          </w:r>
        </w:p>
        <w:p w14:paraId="762D078A" w14:textId="0E9C30DD" w:rsidR="00A5298E" w:rsidRPr="00A5298E" w:rsidRDefault="003A6482"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A5298E">
            <w:rPr>
              <w:rFonts w:ascii="Times New Roman" w:hAnsi="Times New Roman" w:cs="Times New Roman"/>
              <w:color w:val="000000" w:themeColor="text1"/>
              <w:sz w:val="24"/>
              <w:szCs w:val="24"/>
            </w:rPr>
            <w:fldChar w:fldCharType="begin"/>
          </w:r>
          <w:r w:rsidRPr="00A5298E">
            <w:rPr>
              <w:rFonts w:ascii="Times New Roman" w:hAnsi="Times New Roman" w:cs="Times New Roman"/>
              <w:color w:val="000000" w:themeColor="text1"/>
              <w:sz w:val="24"/>
              <w:szCs w:val="24"/>
            </w:rPr>
            <w:instrText xml:space="preserve"> TOC \o "1-3" \h \z \u </w:instrText>
          </w:r>
          <w:r w:rsidRPr="00A5298E">
            <w:rPr>
              <w:rFonts w:ascii="Times New Roman" w:hAnsi="Times New Roman" w:cs="Times New Roman"/>
              <w:color w:val="000000" w:themeColor="text1"/>
              <w:sz w:val="24"/>
              <w:szCs w:val="24"/>
            </w:rPr>
            <w:fldChar w:fldCharType="separate"/>
          </w:r>
          <w:hyperlink w:anchor="_Toc200744173" w:history="1">
            <w:r w:rsidR="00A5298E" w:rsidRPr="00A5298E">
              <w:rPr>
                <w:rStyle w:val="Hyperlink"/>
                <w:rFonts w:ascii="Times New Roman" w:hAnsi="Times New Roman" w:cs="Times New Roman"/>
                <w:noProof/>
                <w:sz w:val="24"/>
                <w:szCs w:val="24"/>
              </w:rPr>
              <w:t>1. Introduction</w:t>
            </w:r>
            <w:r w:rsidR="00A5298E" w:rsidRPr="00A5298E">
              <w:rPr>
                <w:rFonts w:ascii="Times New Roman" w:hAnsi="Times New Roman" w:cs="Times New Roman"/>
                <w:noProof/>
                <w:webHidden/>
                <w:sz w:val="24"/>
                <w:szCs w:val="24"/>
              </w:rPr>
              <w:tab/>
            </w:r>
            <w:r w:rsidR="00A5298E" w:rsidRPr="00A5298E">
              <w:rPr>
                <w:rFonts w:ascii="Times New Roman" w:hAnsi="Times New Roman" w:cs="Times New Roman"/>
                <w:noProof/>
                <w:webHidden/>
                <w:sz w:val="24"/>
                <w:szCs w:val="24"/>
              </w:rPr>
              <w:fldChar w:fldCharType="begin"/>
            </w:r>
            <w:r w:rsidR="00A5298E" w:rsidRPr="00A5298E">
              <w:rPr>
                <w:rFonts w:ascii="Times New Roman" w:hAnsi="Times New Roman" w:cs="Times New Roman"/>
                <w:noProof/>
                <w:webHidden/>
                <w:sz w:val="24"/>
                <w:szCs w:val="24"/>
              </w:rPr>
              <w:instrText xml:space="preserve"> PAGEREF _Toc200744173 \h </w:instrText>
            </w:r>
            <w:r w:rsidR="00A5298E" w:rsidRPr="00A5298E">
              <w:rPr>
                <w:rFonts w:ascii="Times New Roman" w:hAnsi="Times New Roman" w:cs="Times New Roman"/>
                <w:noProof/>
                <w:webHidden/>
                <w:sz w:val="24"/>
                <w:szCs w:val="24"/>
              </w:rPr>
            </w:r>
            <w:r w:rsidR="00A5298E" w:rsidRPr="00A5298E">
              <w:rPr>
                <w:rFonts w:ascii="Times New Roman" w:hAnsi="Times New Roman" w:cs="Times New Roman"/>
                <w:noProof/>
                <w:webHidden/>
                <w:sz w:val="24"/>
                <w:szCs w:val="24"/>
              </w:rPr>
              <w:fldChar w:fldCharType="separate"/>
            </w:r>
            <w:r w:rsidR="00A5298E" w:rsidRPr="00A5298E">
              <w:rPr>
                <w:rFonts w:ascii="Times New Roman" w:hAnsi="Times New Roman" w:cs="Times New Roman"/>
                <w:noProof/>
                <w:webHidden/>
                <w:sz w:val="24"/>
                <w:szCs w:val="24"/>
              </w:rPr>
              <w:t>3</w:t>
            </w:r>
            <w:r w:rsidR="00A5298E" w:rsidRPr="00A5298E">
              <w:rPr>
                <w:rFonts w:ascii="Times New Roman" w:hAnsi="Times New Roman" w:cs="Times New Roman"/>
                <w:noProof/>
                <w:webHidden/>
                <w:sz w:val="24"/>
                <w:szCs w:val="24"/>
              </w:rPr>
              <w:fldChar w:fldCharType="end"/>
            </w:r>
          </w:hyperlink>
        </w:p>
        <w:p w14:paraId="38871E70" w14:textId="7C4B3F4C"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74" w:history="1">
            <w:r w:rsidRPr="00A5298E">
              <w:rPr>
                <w:rStyle w:val="Hyperlink"/>
                <w:rFonts w:ascii="Times New Roman" w:hAnsi="Times New Roman" w:cs="Times New Roman"/>
                <w:noProof/>
                <w:sz w:val="24"/>
                <w:szCs w:val="24"/>
              </w:rPr>
              <w:t>2. The Event Cycle</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_Toc200744174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3</w:t>
            </w:r>
            <w:r w:rsidRPr="00A5298E">
              <w:rPr>
                <w:rFonts w:ascii="Times New Roman" w:hAnsi="Times New Roman" w:cs="Times New Roman"/>
                <w:noProof/>
                <w:webHidden/>
                <w:sz w:val="24"/>
                <w:szCs w:val="24"/>
              </w:rPr>
              <w:fldChar w:fldCharType="end"/>
            </w:r>
          </w:hyperlink>
        </w:p>
        <w:p w14:paraId="32A77858" w14:textId="365CF682"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75" w:history="1">
            <w:r w:rsidRPr="00A5298E">
              <w:rPr>
                <w:rStyle w:val="Hyperlink"/>
                <w:rFonts w:ascii="Times New Roman" w:hAnsi="Times New Roman" w:cs="Times New Roman"/>
                <w:noProof/>
                <w:sz w:val="24"/>
                <w:szCs w:val="24"/>
              </w:rPr>
              <w:t>3. Event Concept</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_Toc200744175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5</w:t>
            </w:r>
            <w:r w:rsidRPr="00A5298E">
              <w:rPr>
                <w:rFonts w:ascii="Times New Roman" w:hAnsi="Times New Roman" w:cs="Times New Roman"/>
                <w:noProof/>
                <w:webHidden/>
                <w:sz w:val="24"/>
                <w:szCs w:val="24"/>
              </w:rPr>
              <w:fldChar w:fldCharType="end"/>
            </w:r>
          </w:hyperlink>
        </w:p>
        <w:p w14:paraId="5DC090A6" w14:textId="2EF189F1"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76" w:history="1">
            <w:r w:rsidRPr="00A5298E">
              <w:rPr>
                <w:rStyle w:val="Hyperlink"/>
                <w:rFonts w:ascii="Times New Roman" w:hAnsi="Times New Roman" w:cs="Times New Roman"/>
                <w:noProof/>
                <w:sz w:val="24"/>
                <w:szCs w:val="24"/>
              </w:rPr>
              <w:t>4. Aim and Objectives of the Meeting / Event</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_Toc200744176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6</w:t>
            </w:r>
            <w:r w:rsidRPr="00A5298E">
              <w:rPr>
                <w:rFonts w:ascii="Times New Roman" w:hAnsi="Times New Roman" w:cs="Times New Roman"/>
                <w:noProof/>
                <w:webHidden/>
                <w:sz w:val="24"/>
                <w:szCs w:val="24"/>
              </w:rPr>
              <w:fldChar w:fldCharType="end"/>
            </w:r>
          </w:hyperlink>
        </w:p>
        <w:p w14:paraId="3F7A117D" w14:textId="3AB966F2"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77" w:history="1">
            <w:r w:rsidRPr="00A5298E">
              <w:rPr>
                <w:rStyle w:val="Hyperlink"/>
                <w:rFonts w:ascii="Times New Roman" w:hAnsi="Times New Roman" w:cs="Times New Roman"/>
                <w:noProof/>
                <w:sz w:val="24"/>
                <w:szCs w:val="24"/>
              </w:rPr>
              <w:t>5. Event Management</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_Toc200744177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8</w:t>
            </w:r>
            <w:r w:rsidRPr="00A5298E">
              <w:rPr>
                <w:rFonts w:ascii="Times New Roman" w:hAnsi="Times New Roman" w:cs="Times New Roman"/>
                <w:noProof/>
                <w:webHidden/>
                <w:sz w:val="24"/>
                <w:szCs w:val="24"/>
              </w:rPr>
              <w:fldChar w:fldCharType="end"/>
            </w:r>
          </w:hyperlink>
        </w:p>
        <w:p w14:paraId="48FDB270" w14:textId="662BF7F3"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78" w:history="1">
            <w:r w:rsidRPr="00A5298E">
              <w:rPr>
                <w:rStyle w:val="Hyperlink"/>
                <w:rFonts w:ascii="Times New Roman" w:hAnsi="Times New Roman" w:cs="Times New Roman"/>
                <w:noProof/>
                <w:sz w:val="24"/>
                <w:szCs w:val="24"/>
              </w:rPr>
              <w:t>6. Event Budget</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_Toc200744178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12</w:t>
            </w:r>
            <w:r w:rsidRPr="00A5298E">
              <w:rPr>
                <w:rFonts w:ascii="Times New Roman" w:hAnsi="Times New Roman" w:cs="Times New Roman"/>
                <w:noProof/>
                <w:webHidden/>
                <w:sz w:val="24"/>
                <w:szCs w:val="24"/>
              </w:rPr>
              <w:fldChar w:fldCharType="end"/>
            </w:r>
          </w:hyperlink>
        </w:p>
        <w:p w14:paraId="47B35E36" w14:textId="25886B5E"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79" w:history="1">
            <w:r w:rsidRPr="00A5298E">
              <w:rPr>
                <w:rStyle w:val="Hyperlink"/>
                <w:rFonts w:ascii="Times New Roman" w:hAnsi="Times New Roman" w:cs="Times New Roman"/>
                <w:noProof/>
                <w:sz w:val="24"/>
                <w:szCs w:val="24"/>
              </w:rPr>
              <w:t>7. Industry Trends / Issues / Impacts</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_Toc200744179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13</w:t>
            </w:r>
            <w:r w:rsidRPr="00A5298E">
              <w:rPr>
                <w:rFonts w:ascii="Times New Roman" w:hAnsi="Times New Roman" w:cs="Times New Roman"/>
                <w:noProof/>
                <w:webHidden/>
                <w:sz w:val="24"/>
                <w:szCs w:val="24"/>
              </w:rPr>
              <w:fldChar w:fldCharType="end"/>
            </w:r>
          </w:hyperlink>
        </w:p>
        <w:p w14:paraId="47320A32" w14:textId="2ECAC5AB"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80" w:history="1">
            <w:r w:rsidRPr="00A5298E">
              <w:rPr>
                <w:rStyle w:val="Hyperlink"/>
                <w:rFonts w:ascii="Times New Roman" w:hAnsi="Times New Roman" w:cs="Times New Roman"/>
                <w:noProof/>
                <w:sz w:val="24"/>
                <w:szCs w:val="24"/>
              </w:rPr>
              <w:t>8. Situational and Cultural Considerations</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_Toc200744180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15</w:t>
            </w:r>
            <w:r w:rsidRPr="00A5298E">
              <w:rPr>
                <w:rFonts w:ascii="Times New Roman" w:hAnsi="Times New Roman" w:cs="Times New Roman"/>
                <w:noProof/>
                <w:webHidden/>
                <w:sz w:val="24"/>
                <w:szCs w:val="24"/>
              </w:rPr>
              <w:fldChar w:fldCharType="end"/>
            </w:r>
          </w:hyperlink>
        </w:p>
        <w:p w14:paraId="65BDEC10" w14:textId="5D549371"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81" w:history="1">
            <w:r w:rsidRPr="00A5298E">
              <w:rPr>
                <w:rStyle w:val="Hyperlink"/>
                <w:rFonts w:ascii="Times New Roman" w:hAnsi="Times New Roman" w:cs="Times New Roman"/>
                <w:noProof/>
                <w:sz w:val="24"/>
                <w:szCs w:val="24"/>
              </w:rPr>
              <w:t>References</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_Toc200744181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17</w:t>
            </w:r>
            <w:r w:rsidRPr="00A5298E">
              <w:rPr>
                <w:rFonts w:ascii="Times New Roman" w:hAnsi="Times New Roman" w:cs="Times New Roman"/>
                <w:noProof/>
                <w:webHidden/>
                <w:sz w:val="24"/>
                <w:szCs w:val="24"/>
              </w:rPr>
              <w:fldChar w:fldCharType="end"/>
            </w:r>
          </w:hyperlink>
        </w:p>
        <w:p w14:paraId="42162217" w14:textId="631254E8" w:rsidR="00A5298E" w:rsidRPr="00A5298E" w:rsidRDefault="00A5298E" w:rsidP="00A5298E">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200744182" w:history="1">
            <w:r w:rsidRPr="00A5298E">
              <w:rPr>
                <w:rStyle w:val="Hyperlink"/>
                <w:rFonts w:ascii="Times New Roman" w:hAnsi="Times New Roman" w:cs="Times New Roman"/>
                <w:noProof/>
                <w:sz w:val="24"/>
                <w:szCs w:val="24"/>
              </w:rPr>
              <w:t>Appendix</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_Toc200744182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21</w:t>
            </w:r>
            <w:r w:rsidRPr="00A5298E">
              <w:rPr>
                <w:rFonts w:ascii="Times New Roman" w:hAnsi="Times New Roman" w:cs="Times New Roman"/>
                <w:noProof/>
                <w:webHidden/>
                <w:sz w:val="24"/>
                <w:szCs w:val="24"/>
              </w:rPr>
              <w:fldChar w:fldCharType="end"/>
            </w:r>
          </w:hyperlink>
        </w:p>
        <w:p w14:paraId="6626A4FE" w14:textId="694A7F1A" w:rsidR="00A5298E" w:rsidRPr="00A5298E" w:rsidRDefault="00A5298E" w:rsidP="00A5298E">
          <w:pPr>
            <w:pStyle w:val="TOC2"/>
            <w:tabs>
              <w:tab w:val="right" w:leader="dot" w:pos="9350"/>
            </w:tabs>
            <w:spacing w:line="360" w:lineRule="auto"/>
            <w:jc w:val="both"/>
            <w:rPr>
              <w:rFonts w:ascii="Times New Roman" w:hAnsi="Times New Roman" w:cs="Times New Roman"/>
              <w:noProof/>
              <w:sz w:val="24"/>
              <w:szCs w:val="24"/>
            </w:rPr>
          </w:pPr>
          <w:hyperlink w:anchor="_Toc200744183" w:history="1">
            <w:r w:rsidRPr="00A5298E">
              <w:rPr>
                <w:rStyle w:val="Hyperlink"/>
                <w:rFonts w:ascii="Times New Roman" w:hAnsi="Times New Roman" w:cs="Times New Roman"/>
                <w:noProof/>
                <w:sz w:val="24"/>
                <w:szCs w:val="24"/>
              </w:rPr>
              <w:t>Appendix 1: SWOT analysis</w:t>
            </w:r>
            <w:r w:rsidRPr="00A5298E">
              <w:rPr>
                <w:rFonts w:ascii="Times New Roman" w:hAnsi="Times New Roman" w:cs="Times New Roman"/>
                <w:noProof/>
                <w:webHidden/>
                <w:sz w:val="24"/>
                <w:szCs w:val="24"/>
              </w:rPr>
              <w:tab/>
            </w:r>
            <w:r w:rsidRPr="00A5298E">
              <w:rPr>
                <w:rFonts w:ascii="Times New Roman" w:hAnsi="Times New Roman" w:cs="Times New Roman"/>
                <w:noProof/>
                <w:webHidden/>
                <w:sz w:val="24"/>
                <w:szCs w:val="24"/>
              </w:rPr>
              <w:fldChar w:fldCharType="begin"/>
            </w:r>
            <w:r w:rsidRPr="00A5298E">
              <w:rPr>
                <w:rFonts w:ascii="Times New Roman" w:hAnsi="Times New Roman" w:cs="Times New Roman"/>
                <w:noProof/>
                <w:webHidden/>
                <w:sz w:val="24"/>
                <w:szCs w:val="24"/>
              </w:rPr>
              <w:instrText xml:space="preserve"> PAGEREF _Toc200744183 \h </w:instrText>
            </w:r>
            <w:r w:rsidRPr="00A5298E">
              <w:rPr>
                <w:rFonts w:ascii="Times New Roman" w:hAnsi="Times New Roman" w:cs="Times New Roman"/>
                <w:noProof/>
                <w:webHidden/>
                <w:sz w:val="24"/>
                <w:szCs w:val="24"/>
              </w:rPr>
            </w:r>
            <w:r w:rsidRPr="00A5298E">
              <w:rPr>
                <w:rFonts w:ascii="Times New Roman" w:hAnsi="Times New Roman" w:cs="Times New Roman"/>
                <w:noProof/>
                <w:webHidden/>
                <w:sz w:val="24"/>
                <w:szCs w:val="24"/>
              </w:rPr>
              <w:fldChar w:fldCharType="separate"/>
            </w:r>
            <w:r w:rsidRPr="00A5298E">
              <w:rPr>
                <w:rFonts w:ascii="Times New Roman" w:hAnsi="Times New Roman" w:cs="Times New Roman"/>
                <w:noProof/>
                <w:webHidden/>
                <w:sz w:val="24"/>
                <w:szCs w:val="24"/>
              </w:rPr>
              <w:t>21</w:t>
            </w:r>
            <w:r w:rsidRPr="00A5298E">
              <w:rPr>
                <w:rFonts w:ascii="Times New Roman" w:hAnsi="Times New Roman" w:cs="Times New Roman"/>
                <w:noProof/>
                <w:webHidden/>
                <w:sz w:val="24"/>
                <w:szCs w:val="24"/>
              </w:rPr>
              <w:fldChar w:fldCharType="end"/>
            </w:r>
          </w:hyperlink>
        </w:p>
        <w:p w14:paraId="56530F4F" w14:textId="73949FE7" w:rsidR="00F0666D" w:rsidRPr="00172A85" w:rsidRDefault="003A6482" w:rsidP="00A5298E">
          <w:pPr>
            <w:spacing w:line="360" w:lineRule="auto"/>
            <w:jc w:val="both"/>
            <w:rPr>
              <w:rFonts w:ascii="Times New Roman" w:hAnsi="Times New Roman" w:cs="Times New Roman"/>
              <w:color w:val="000000" w:themeColor="text1"/>
              <w:sz w:val="24"/>
              <w:szCs w:val="24"/>
            </w:rPr>
          </w:pPr>
          <w:r w:rsidRPr="00A5298E">
            <w:rPr>
              <w:rFonts w:ascii="Times New Roman" w:hAnsi="Times New Roman" w:cs="Times New Roman"/>
              <w:b/>
              <w:bCs/>
              <w:noProof/>
              <w:color w:val="000000" w:themeColor="text1"/>
              <w:sz w:val="24"/>
              <w:szCs w:val="24"/>
            </w:rPr>
            <w:fldChar w:fldCharType="end"/>
          </w:r>
        </w:p>
      </w:sdtContent>
    </w:sdt>
    <w:p w14:paraId="4B7F3658" w14:textId="77777777" w:rsidR="00F0666D" w:rsidRPr="00172A85" w:rsidRDefault="003A6482" w:rsidP="00172A85">
      <w:pPr>
        <w:spacing w:line="360" w:lineRule="auto"/>
        <w:rPr>
          <w:rFonts w:ascii="Times New Roman" w:eastAsia="Times New Roman" w:hAnsi="Times New Roman" w:cs="Times New Roman"/>
          <w:b/>
          <w:color w:val="000000" w:themeColor="text1"/>
          <w:sz w:val="24"/>
          <w:szCs w:val="24"/>
        </w:rPr>
      </w:pPr>
      <w:r w:rsidRPr="00172A85">
        <w:rPr>
          <w:rFonts w:ascii="Times New Roman" w:hAnsi="Times New Roman" w:cs="Times New Roman"/>
          <w:color w:val="000000" w:themeColor="text1"/>
          <w:sz w:val="24"/>
          <w:szCs w:val="24"/>
        </w:rPr>
        <w:br w:type="page"/>
      </w:r>
    </w:p>
    <w:p w14:paraId="6A54B657" w14:textId="77777777" w:rsidR="00901A81" w:rsidRPr="00172A85" w:rsidRDefault="003A6482" w:rsidP="00172A85">
      <w:pPr>
        <w:pStyle w:val="Heading1"/>
        <w:rPr>
          <w:color w:val="000000" w:themeColor="text1"/>
        </w:rPr>
      </w:pPr>
      <w:bookmarkStart w:id="1" w:name="_Toc200744173"/>
      <w:r w:rsidRPr="00172A85">
        <w:rPr>
          <w:color w:val="000000" w:themeColor="text1"/>
        </w:rPr>
        <w:lastRenderedPageBreak/>
        <w:t>1. Introduction</w:t>
      </w:r>
      <w:bookmarkEnd w:id="1"/>
      <w:r w:rsidRPr="00172A85">
        <w:rPr>
          <w:color w:val="000000" w:themeColor="text1"/>
        </w:rPr>
        <w:t xml:space="preserve"> </w:t>
      </w:r>
    </w:p>
    <w:p w14:paraId="4EE428C8"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The proposed event is based on “</w:t>
      </w:r>
      <w:r w:rsidRPr="00172A85">
        <w:rPr>
          <w:rFonts w:ascii="Times New Roman" w:eastAsia="Times New Roman" w:hAnsi="Times New Roman" w:cs="Times New Roman"/>
          <w:i/>
          <w:color w:val="000000" w:themeColor="text1"/>
          <w:sz w:val="24"/>
          <w:szCs w:val="24"/>
        </w:rPr>
        <w:t>Welsh Legends &amp; Landscapes: Interactive Heritage Festival</w:t>
      </w:r>
      <w:r w:rsidRPr="00172A85">
        <w:rPr>
          <w:rFonts w:ascii="Times New Roman" w:eastAsia="Times New Roman" w:hAnsi="Times New Roman" w:cs="Times New Roman"/>
          <w:color w:val="000000" w:themeColor="text1"/>
          <w:sz w:val="24"/>
          <w:szCs w:val="24"/>
        </w:rPr>
        <w:t xml:space="preserve">” whose Venue is going to be at the </w:t>
      </w:r>
      <w:r w:rsidRPr="00172A85">
        <w:rPr>
          <w:rFonts w:ascii="Times New Roman" w:eastAsia="Times New Roman" w:hAnsi="Times New Roman" w:cs="Times New Roman"/>
          <w:i/>
          <w:color w:val="000000" w:themeColor="text1"/>
          <w:sz w:val="24"/>
          <w:szCs w:val="24"/>
        </w:rPr>
        <w:t>Snowdonia National Park</w:t>
      </w:r>
      <w:r w:rsidRPr="00172A85">
        <w:rPr>
          <w:rFonts w:ascii="Times New Roman" w:eastAsia="Times New Roman" w:hAnsi="Times New Roman" w:cs="Times New Roman"/>
          <w:color w:val="000000" w:themeColor="text1"/>
          <w:sz w:val="24"/>
          <w:szCs w:val="24"/>
        </w:rPr>
        <w:t xml:space="preserve"> in Wales. The main aim of the event is to make a unique cultural gathering at the international level. The event is based on the theme called '</w:t>
      </w:r>
      <w:r w:rsidRPr="00172A85">
        <w:rPr>
          <w:rFonts w:ascii="Times New Roman" w:eastAsia="Times New Roman" w:hAnsi="Times New Roman" w:cs="Times New Roman"/>
          <w:i/>
          <w:color w:val="000000" w:themeColor="text1"/>
          <w:sz w:val="24"/>
          <w:szCs w:val="24"/>
        </w:rPr>
        <w:t>Visit Wales’-“Year Of Croeso 2025</w:t>
      </w:r>
      <w:r w:rsidRPr="00172A85">
        <w:rPr>
          <w:rFonts w:ascii="Times New Roman" w:eastAsia="Times New Roman" w:hAnsi="Times New Roman" w:cs="Times New Roman"/>
          <w:color w:val="000000" w:themeColor="text1"/>
          <w:sz w:val="24"/>
          <w:szCs w:val="24"/>
        </w:rPr>
        <w:t xml:space="preserve">” that aims to promote and celebrate the hospitality, culture, folklore, and warmth of Wales by providing an immersive experience to international delegates (National Trust, 2025). As a result, it will connect them to the natural landscape, local culture and tradition, and Wales mythology.      </w:t>
      </w:r>
    </w:p>
    <w:p w14:paraId="21FD6031"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The event has been selected as it has the potential to uplift the cultural tourism of Wales by connecting them with interactive arts, traditional cuisine, heritage storytelling and interactive arts of Wales. It will create a memorable festival or event for the international tourist and boost their cultural experience. Thereafter, Snowdonia National Park is a popular place in Wales that is well admired for its mythological association, dramatic scenery, and cultural aspects. Snowdonia provides an authentic experience and aligns with the objectives of the event aims to promote cultural authenticity and an overall sense of the selected place. The essence of Wales is promoted to the international visitors by celebrating hospitality, and culture, highlighting heritage, and scenery of Wales (National Trust, 2025).  </w:t>
      </w:r>
    </w:p>
    <w:p w14:paraId="106001FC"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The project is going to cater to the taste of international tourists by providing experiential, mythological, and cultural events. The event in Wales is going to be more welcoming and will contribute to strengthening the global image, cultural preservation, and economic growth of Wales. The 'Welsh Legends &amp; Landscapes' event is going to unite community, education, arts, and tourism to become a remarkable international event in Wales (Visit Wales, 2025). It will support cultural promotion, sustainable tourism, and the traditional cuisine of Wales. Moreover, it will provide experiential travel opportunities to international tourists and ensure cultural preservation in Wales.               </w:t>
      </w:r>
    </w:p>
    <w:p w14:paraId="4E38CD47" w14:textId="77777777" w:rsidR="00901A81" w:rsidRPr="00172A85" w:rsidRDefault="003A6482" w:rsidP="00172A85">
      <w:pPr>
        <w:pStyle w:val="Heading1"/>
        <w:rPr>
          <w:color w:val="000000" w:themeColor="text1"/>
        </w:rPr>
      </w:pPr>
      <w:bookmarkStart w:id="2" w:name="_11tt3sg4tv8" w:colFirst="0" w:colLast="0"/>
      <w:bookmarkStart w:id="3" w:name="_Toc200744174"/>
      <w:bookmarkEnd w:id="2"/>
      <w:r w:rsidRPr="00172A85">
        <w:rPr>
          <w:color w:val="000000" w:themeColor="text1"/>
        </w:rPr>
        <w:t>2. The Event Cycle</w:t>
      </w:r>
      <w:bookmarkEnd w:id="3"/>
      <w:r w:rsidRPr="00172A85">
        <w:rPr>
          <w:color w:val="000000" w:themeColor="text1"/>
        </w:rPr>
        <w:t xml:space="preserve"> </w:t>
      </w:r>
    </w:p>
    <w:p w14:paraId="7428077D"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As illustrated by Bowdin </w:t>
      </w:r>
      <w:r w:rsidRPr="00172A85">
        <w:rPr>
          <w:rFonts w:ascii="Times New Roman" w:eastAsia="Times New Roman" w:hAnsi="Times New Roman" w:cs="Times New Roman"/>
          <w:i/>
          <w:color w:val="000000" w:themeColor="text1"/>
          <w:sz w:val="24"/>
          <w:szCs w:val="24"/>
        </w:rPr>
        <w:t xml:space="preserve">et al. </w:t>
      </w:r>
      <w:r w:rsidRPr="00172A85">
        <w:rPr>
          <w:rFonts w:ascii="Times New Roman" w:eastAsia="Times New Roman" w:hAnsi="Times New Roman" w:cs="Times New Roman"/>
          <w:color w:val="000000" w:themeColor="text1"/>
          <w:sz w:val="24"/>
          <w:szCs w:val="24"/>
        </w:rPr>
        <w:t xml:space="preserve">(2023), the event cycle indicates the key phases through which the event will be planned, resources will be collected, and executed, and the overall outcome will be evaluated. Key stages of the event cycle include doing research, developing design, event planning, </w:t>
      </w:r>
      <w:r w:rsidRPr="00172A85">
        <w:rPr>
          <w:rFonts w:ascii="Times New Roman" w:eastAsia="Times New Roman" w:hAnsi="Times New Roman" w:cs="Times New Roman"/>
          <w:color w:val="000000" w:themeColor="text1"/>
          <w:sz w:val="24"/>
          <w:szCs w:val="24"/>
        </w:rPr>
        <w:lastRenderedPageBreak/>
        <w:t>executing, coordination, evaluation, and post-event impact analysis. The '</w:t>
      </w:r>
      <w:r w:rsidRPr="00172A85">
        <w:rPr>
          <w:rFonts w:ascii="Times New Roman" w:eastAsia="Times New Roman" w:hAnsi="Times New Roman" w:cs="Times New Roman"/>
          <w:i/>
          <w:color w:val="000000" w:themeColor="text1"/>
          <w:sz w:val="24"/>
          <w:szCs w:val="24"/>
        </w:rPr>
        <w:t>Welsh Legends &amp; Landscapes</w:t>
      </w:r>
      <w:r w:rsidRPr="00172A85">
        <w:rPr>
          <w:rFonts w:ascii="Times New Roman" w:eastAsia="Times New Roman" w:hAnsi="Times New Roman" w:cs="Times New Roman"/>
          <w:color w:val="000000" w:themeColor="text1"/>
          <w:sz w:val="24"/>
          <w:szCs w:val="24"/>
        </w:rPr>
        <w:t>’ event will include stages like:</w:t>
      </w:r>
    </w:p>
    <w:p w14:paraId="3EB4396D" w14:textId="77777777" w:rsidR="005E249E"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noProof/>
          <w:color w:val="000000" w:themeColor="text1"/>
          <w:sz w:val="24"/>
          <w:szCs w:val="24"/>
        </w:rPr>
        <w:drawing>
          <wp:inline distT="0" distB="0" distL="0" distR="0" wp14:anchorId="3A79FBAF" wp14:editId="74B92C28">
            <wp:extent cx="5486400" cy="3200400"/>
            <wp:effectExtent l="0" t="50800" r="0" b="76200"/>
            <wp:docPr id="189719218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30BDD8C" w14:textId="77777777" w:rsidR="005E249E"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Figure 1: Stages of the event cycle</w:t>
      </w:r>
    </w:p>
    <w:p w14:paraId="193EFA43" w14:textId="77777777" w:rsidR="005E249E"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(Source: Self-created)</w:t>
      </w:r>
    </w:p>
    <w:p w14:paraId="20138ADF"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Research</w:t>
      </w:r>
      <w:r w:rsidRPr="00172A85">
        <w:rPr>
          <w:rFonts w:ascii="Times New Roman" w:eastAsia="Times New Roman" w:hAnsi="Times New Roman" w:cs="Times New Roman"/>
          <w:color w:val="000000" w:themeColor="text1"/>
          <w:sz w:val="24"/>
          <w:szCs w:val="24"/>
        </w:rPr>
        <w:t xml:space="preserve">: Conducting primary research will help to collect information directly from the sources that will help to understand market demand and future market trends (Kale </w:t>
      </w:r>
      <w:r w:rsidRPr="00172A85">
        <w:rPr>
          <w:rFonts w:ascii="Times New Roman" w:eastAsia="Times New Roman" w:hAnsi="Times New Roman" w:cs="Times New Roman"/>
          <w:i/>
          <w:color w:val="000000" w:themeColor="text1"/>
          <w:sz w:val="24"/>
          <w:szCs w:val="24"/>
        </w:rPr>
        <w:t>et al.</w:t>
      </w:r>
      <w:r w:rsidRPr="00172A85">
        <w:rPr>
          <w:rFonts w:ascii="Times New Roman" w:eastAsia="Times New Roman" w:hAnsi="Times New Roman" w:cs="Times New Roman"/>
          <w:color w:val="000000" w:themeColor="text1"/>
          <w:sz w:val="24"/>
          <w:szCs w:val="24"/>
        </w:rPr>
        <w:t xml:space="preserve"> 2024). It will help to understand the suitability of the venue, demographics of visitors, trends of cultural tourism, and the importance of authentic cultural experiences. </w:t>
      </w:r>
    </w:p>
    <w:p w14:paraId="28C35F23"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Design</w:t>
      </w:r>
      <w:r w:rsidRPr="00172A85">
        <w:rPr>
          <w:rFonts w:ascii="Times New Roman" w:eastAsia="Times New Roman" w:hAnsi="Times New Roman" w:cs="Times New Roman"/>
          <w:color w:val="000000" w:themeColor="text1"/>
          <w:sz w:val="24"/>
          <w:szCs w:val="24"/>
        </w:rPr>
        <w:t xml:space="preserve">: Through integrating live performances, storytelling, local cuisine, crafting workshops, and nature exploration facilities the design of the event was created.  </w:t>
      </w:r>
    </w:p>
    <w:p w14:paraId="6A25782F"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Planning</w:t>
      </w:r>
      <w:r w:rsidRPr="00172A85">
        <w:rPr>
          <w:rFonts w:ascii="Times New Roman" w:eastAsia="Times New Roman" w:hAnsi="Times New Roman" w:cs="Times New Roman"/>
          <w:color w:val="000000" w:themeColor="text1"/>
          <w:sz w:val="24"/>
          <w:szCs w:val="24"/>
        </w:rPr>
        <w:t xml:space="preserve">: Strategic planning to manage operations has been created such as budget allocation, resource management, ensuring security at Snowdonia National Park, managing schedules, and staff management planning (Travel Trade, 2025).   </w:t>
      </w:r>
    </w:p>
    <w:p w14:paraId="3A80A54D"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Executing</w:t>
      </w:r>
      <w:r w:rsidRPr="00172A85">
        <w:rPr>
          <w:rFonts w:ascii="Times New Roman" w:eastAsia="Times New Roman" w:hAnsi="Times New Roman" w:cs="Times New Roman"/>
          <w:color w:val="000000" w:themeColor="text1"/>
          <w:sz w:val="24"/>
          <w:szCs w:val="24"/>
        </w:rPr>
        <w:t xml:space="preserve">: Through execution of such planning was done through highlighting attractions, language, and culture of Wales and gaining feedback from people (Travel Trade, 2025). </w:t>
      </w:r>
    </w:p>
    <w:p w14:paraId="745248F8"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lastRenderedPageBreak/>
        <w:t>Coordinating</w:t>
      </w:r>
      <w:r w:rsidRPr="00172A85">
        <w:rPr>
          <w:rFonts w:ascii="Times New Roman" w:eastAsia="Times New Roman" w:hAnsi="Times New Roman" w:cs="Times New Roman"/>
          <w:color w:val="000000" w:themeColor="text1"/>
          <w:sz w:val="24"/>
          <w:szCs w:val="24"/>
        </w:rPr>
        <w:t xml:space="preserve">: Ensuring day-to-day logistics management through proper support system, technical setups, guest coordination, performance management, and ensuring emergency assistance is required.  </w:t>
      </w:r>
    </w:p>
    <w:p w14:paraId="13C655AC"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Evaluating</w:t>
      </w:r>
      <w:r w:rsidRPr="00172A85">
        <w:rPr>
          <w:rFonts w:ascii="Times New Roman" w:eastAsia="Times New Roman" w:hAnsi="Times New Roman" w:cs="Times New Roman"/>
          <w:color w:val="000000" w:themeColor="text1"/>
          <w:sz w:val="24"/>
          <w:szCs w:val="24"/>
        </w:rPr>
        <w:t xml:space="preserve">: After completion of the entire event a feedback form will be used and surveys will be done to understand the economic impact and satisfaction level of attendees.  </w:t>
      </w:r>
    </w:p>
    <w:p w14:paraId="3AD15976"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Post-event impact analysis</w:t>
      </w:r>
      <w:r w:rsidRPr="00172A85">
        <w:rPr>
          <w:rFonts w:ascii="Times New Roman" w:eastAsia="Times New Roman" w:hAnsi="Times New Roman" w:cs="Times New Roman"/>
          <w:color w:val="000000" w:themeColor="text1"/>
          <w:sz w:val="24"/>
          <w:szCs w:val="24"/>
        </w:rPr>
        <w:t xml:space="preserve">: Analysing the economic and cultural impact of the event on global tourism and measuring Wales's image in the global market. </w:t>
      </w:r>
    </w:p>
    <w:p w14:paraId="0C61E3A1" w14:textId="77777777" w:rsidR="00901A81" w:rsidRPr="00172A85" w:rsidRDefault="003A6482" w:rsidP="00172A85">
      <w:pPr>
        <w:pStyle w:val="Heading1"/>
        <w:rPr>
          <w:color w:val="000000" w:themeColor="text1"/>
        </w:rPr>
      </w:pPr>
      <w:bookmarkStart w:id="4" w:name="_g9ad0qoyo7bp" w:colFirst="0" w:colLast="0"/>
      <w:bookmarkStart w:id="5" w:name="_Toc200744175"/>
      <w:bookmarkEnd w:id="4"/>
      <w:r w:rsidRPr="00172A85">
        <w:rPr>
          <w:color w:val="000000" w:themeColor="text1"/>
        </w:rPr>
        <w:t>3. Event Concept</w:t>
      </w:r>
      <w:bookmarkEnd w:id="5"/>
      <w:r w:rsidRPr="00172A85">
        <w:rPr>
          <w:color w:val="000000" w:themeColor="text1"/>
        </w:rPr>
        <w:t xml:space="preserve"> </w:t>
      </w:r>
    </w:p>
    <w:p w14:paraId="22665036"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The event will provide a wider cultural outlook, and scenic beauty, and create an interactive journey for international travellers. It is full of natural beauty, tradition, and folklore of Wales (Welsh </w:t>
      </w:r>
      <w:r w:rsidRPr="005C7198">
        <w:rPr>
          <w:rFonts w:ascii="Times New Roman" w:eastAsia="Times New Roman" w:hAnsi="Times New Roman" w:cs="Times New Roman"/>
          <w:color w:val="000000" w:themeColor="text1"/>
          <w:sz w:val="24"/>
          <w:szCs w:val="24"/>
        </w:rPr>
        <w:t>Government News, 2025).</w:t>
      </w:r>
      <w:r w:rsidR="002D4BCB" w:rsidRPr="005C7198">
        <w:rPr>
          <w:rFonts w:ascii="Times New Roman" w:eastAsia="Times New Roman" w:hAnsi="Times New Roman" w:cs="Times New Roman"/>
          <w:color w:val="000000" w:themeColor="text1"/>
          <w:sz w:val="24"/>
          <w:szCs w:val="24"/>
        </w:rPr>
        <w:t xml:space="preserve"> It Combines Welsh legends with Snowdonia’s landscapes and includes storytelling, arts, nature walks, and local food that will be Suitable for families and culture lovers (Getz and Page, 2019). Unique festivals related to events will meet the strong interest of visitors (O’Toole, 2011).</w:t>
      </w:r>
      <w:r w:rsidRPr="005C7198">
        <w:rPr>
          <w:rFonts w:ascii="Times New Roman" w:eastAsia="Times New Roman" w:hAnsi="Times New Roman" w:cs="Times New Roman"/>
          <w:color w:val="000000" w:themeColor="text1"/>
          <w:sz w:val="24"/>
          <w:szCs w:val="24"/>
        </w:rPr>
        <w:t xml:space="preserve"> </w:t>
      </w:r>
      <w:r w:rsidRPr="00172A85">
        <w:rPr>
          <w:rFonts w:ascii="Times New Roman" w:eastAsia="Times New Roman" w:hAnsi="Times New Roman" w:cs="Times New Roman"/>
          <w:color w:val="000000" w:themeColor="text1"/>
          <w:sz w:val="24"/>
          <w:szCs w:val="24"/>
        </w:rPr>
        <w:t>The full itinerary is as follows:</w:t>
      </w:r>
    </w:p>
    <w:tbl>
      <w:tblPr>
        <w:tblStyle w:val="Table1"/>
        <w:tblW w:w="96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1665"/>
        <w:gridCol w:w="5190"/>
      </w:tblGrid>
      <w:tr w:rsidR="00F0786C" w14:paraId="305BC72E" w14:textId="77777777">
        <w:trPr>
          <w:jc w:val="center"/>
        </w:trPr>
        <w:tc>
          <w:tcPr>
            <w:tcW w:w="2805" w:type="dxa"/>
            <w:shd w:val="clear" w:color="auto" w:fill="E6B8AF"/>
            <w:tcMar>
              <w:top w:w="100" w:type="dxa"/>
              <w:left w:w="100" w:type="dxa"/>
              <w:bottom w:w="100" w:type="dxa"/>
              <w:right w:w="100" w:type="dxa"/>
            </w:tcMar>
          </w:tcPr>
          <w:p w14:paraId="4A1FEE59"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Activities </w:t>
            </w:r>
          </w:p>
        </w:tc>
        <w:tc>
          <w:tcPr>
            <w:tcW w:w="1665" w:type="dxa"/>
            <w:shd w:val="clear" w:color="auto" w:fill="E6B8AF"/>
            <w:tcMar>
              <w:top w:w="100" w:type="dxa"/>
              <w:left w:w="100" w:type="dxa"/>
              <w:bottom w:w="100" w:type="dxa"/>
              <w:right w:w="100" w:type="dxa"/>
            </w:tcMar>
          </w:tcPr>
          <w:p w14:paraId="4607B827"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Time </w:t>
            </w:r>
          </w:p>
        </w:tc>
        <w:tc>
          <w:tcPr>
            <w:tcW w:w="5190" w:type="dxa"/>
            <w:shd w:val="clear" w:color="auto" w:fill="E6B8AF"/>
            <w:tcMar>
              <w:top w:w="100" w:type="dxa"/>
              <w:left w:w="100" w:type="dxa"/>
              <w:bottom w:w="100" w:type="dxa"/>
              <w:right w:w="100" w:type="dxa"/>
            </w:tcMar>
          </w:tcPr>
          <w:p w14:paraId="3130989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Details</w:t>
            </w:r>
          </w:p>
        </w:tc>
      </w:tr>
      <w:tr w:rsidR="00F0786C" w14:paraId="01E6279E" w14:textId="77777777">
        <w:trPr>
          <w:jc w:val="center"/>
        </w:trPr>
        <w:tc>
          <w:tcPr>
            <w:tcW w:w="2805" w:type="dxa"/>
            <w:shd w:val="clear" w:color="auto" w:fill="F3F3F3"/>
            <w:tcMar>
              <w:top w:w="100" w:type="dxa"/>
              <w:left w:w="100" w:type="dxa"/>
              <w:bottom w:w="100" w:type="dxa"/>
              <w:right w:w="100" w:type="dxa"/>
            </w:tcMar>
          </w:tcPr>
          <w:p w14:paraId="4BF50B20"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Guest arriving, registration, and Welcome snacks  </w:t>
            </w:r>
          </w:p>
        </w:tc>
        <w:tc>
          <w:tcPr>
            <w:tcW w:w="1665" w:type="dxa"/>
            <w:shd w:val="clear" w:color="auto" w:fill="F3F3F3"/>
            <w:tcMar>
              <w:top w:w="100" w:type="dxa"/>
              <w:left w:w="100" w:type="dxa"/>
              <w:bottom w:w="100" w:type="dxa"/>
              <w:right w:w="100" w:type="dxa"/>
            </w:tcMar>
          </w:tcPr>
          <w:p w14:paraId="12B8952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8 to 9:30</w:t>
            </w:r>
          </w:p>
        </w:tc>
        <w:tc>
          <w:tcPr>
            <w:tcW w:w="5190" w:type="dxa"/>
            <w:shd w:val="clear" w:color="auto" w:fill="F3F3F3"/>
            <w:tcMar>
              <w:top w:w="100" w:type="dxa"/>
              <w:left w:w="100" w:type="dxa"/>
              <w:bottom w:w="100" w:type="dxa"/>
              <w:right w:w="100" w:type="dxa"/>
            </w:tcMar>
          </w:tcPr>
          <w:p w14:paraId="4E3FD549"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A guest arrives at the place, completes registration and check-in, and receives complimentary snacks or breakfast </w:t>
            </w:r>
          </w:p>
        </w:tc>
      </w:tr>
      <w:tr w:rsidR="00F0786C" w14:paraId="3A3820A8" w14:textId="77777777">
        <w:trPr>
          <w:jc w:val="center"/>
        </w:trPr>
        <w:tc>
          <w:tcPr>
            <w:tcW w:w="2805" w:type="dxa"/>
            <w:shd w:val="clear" w:color="auto" w:fill="F3F3F3"/>
            <w:tcMar>
              <w:top w:w="100" w:type="dxa"/>
              <w:left w:w="100" w:type="dxa"/>
              <w:bottom w:w="100" w:type="dxa"/>
              <w:right w:w="100" w:type="dxa"/>
            </w:tcMar>
          </w:tcPr>
          <w:p w14:paraId="758A808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Opening activities  </w:t>
            </w:r>
          </w:p>
        </w:tc>
        <w:tc>
          <w:tcPr>
            <w:tcW w:w="1665" w:type="dxa"/>
            <w:shd w:val="clear" w:color="auto" w:fill="F3F3F3"/>
            <w:tcMar>
              <w:top w:w="100" w:type="dxa"/>
              <w:left w:w="100" w:type="dxa"/>
              <w:bottom w:w="100" w:type="dxa"/>
              <w:right w:w="100" w:type="dxa"/>
            </w:tcMar>
          </w:tcPr>
          <w:p w14:paraId="5D72D593"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10 to 10:30</w:t>
            </w:r>
          </w:p>
        </w:tc>
        <w:tc>
          <w:tcPr>
            <w:tcW w:w="5190" w:type="dxa"/>
            <w:shd w:val="clear" w:color="auto" w:fill="F3F3F3"/>
            <w:tcMar>
              <w:top w:w="100" w:type="dxa"/>
              <w:left w:w="100" w:type="dxa"/>
              <w:bottom w:w="100" w:type="dxa"/>
              <w:right w:w="100" w:type="dxa"/>
            </w:tcMar>
          </w:tcPr>
          <w:p w14:paraId="19786144"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Playing the national instrument, the Welsh Harp and making opening remarks (Wales, 2022) </w:t>
            </w:r>
          </w:p>
        </w:tc>
      </w:tr>
      <w:tr w:rsidR="00F0786C" w14:paraId="1BDB03AC" w14:textId="77777777">
        <w:trPr>
          <w:jc w:val="center"/>
        </w:trPr>
        <w:tc>
          <w:tcPr>
            <w:tcW w:w="2805" w:type="dxa"/>
            <w:shd w:val="clear" w:color="auto" w:fill="F3F3F3"/>
            <w:tcMar>
              <w:top w:w="100" w:type="dxa"/>
              <w:left w:w="100" w:type="dxa"/>
              <w:bottom w:w="100" w:type="dxa"/>
              <w:right w:w="100" w:type="dxa"/>
            </w:tcMar>
          </w:tcPr>
          <w:p w14:paraId="1649944A"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A walk towards nature at 'The Land of the Dragons'</w:t>
            </w:r>
          </w:p>
        </w:tc>
        <w:tc>
          <w:tcPr>
            <w:tcW w:w="1665" w:type="dxa"/>
            <w:shd w:val="clear" w:color="auto" w:fill="F3F3F3"/>
            <w:tcMar>
              <w:top w:w="100" w:type="dxa"/>
              <w:left w:w="100" w:type="dxa"/>
              <w:bottom w:w="100" w:type="dxa"/>
              <w:right w:w="100" w:type="dxa"/>
            </w:tcMar>
          </w:tcPr>
          <w:p w14:paraId="1FCAAAC2"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10:30 to 11:30</w:t>
            </w:r>
          </w:p>
        </w:tc>
        <w:tc>
          <w:tcPr>
            <w:tcW w:w="5190" w:type="dxa"/>
            <w:shd w:val="clear" w:color="auto" w:fill="F3F3F3"/>
            <w:tcMar>
              <w:top w:w="100" w:type="dxa"/>
              <w:left w:w="100" w:type="dxa"/>
              <w:bottom w:w="100" w:type="dxa"/>
              <w:right w:w="100" w:type="dxa"/>
            </w:tcMar>
          </w:tcPr>
          <w:p w14:paraId="3D05A014"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It will link scenic beauty with Welsh folklore with the guidance of locals </w:t>
            </w:r>
          </w:p>
        </w:tc>
      </w:tr>
      <w:tr w:rsidR="00F0786C" w14:paraId="57CA29D8" w14:textId="77777777">
        <w:trPr>
          <w:jc w:val="center"/>
        </w:trPr>
        <w:tc>
          <w:tcPr>
            <w:tcW w:w="2805" w:type="dxa"/>
            <w:shd w:val="clear" w:color="auto" w:fill="F3F3F3"/>
            <w:tcMar>
              <w:top w:w="100" w:type="dxa"/>
              <w:left w:w="100" w:type="dxa"/>
              <w:bottom w:w="100" w:type="dxa"/>
              <w:right w:w="100" w:type="dxa"/>
            </w:tcMar>
          </w:tcPr>
          <w:p w14:paraId="3C28A03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Mythological activities </w:t>
            </w:r>
          </w:p>
        </w:tc>
        <w:tc>
          <w:tcPr>
            <w:tcW w:w="1665" w:type="dxa"/>
            <w:shd w:val="clear" w:color="auto" w:fill="F3F3F3"/>
            <w:tcMar>
              <w:top w:w="100" w:type="dxa"/>
              <w:left w:w="100" w:type="dxa"/>
              <w:bottom w:w="100" w:type="dxa"/>
              <w:right w:w="100" w:type="dxa"/>
            </w:tcMar>
          </w:tcPr>
          <w:p w14:paraId="7D9864A7"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11:30 to 12:30</w:t>
            </w:r>
          </w:p>
        </w:tc>
        <w:tc>
          <w:tcPr>
            <w:tcW w:w="5190" w:type="dxa"/>
            <w:shd w:val="clear" w:color="auto" w:fill="F3F3F3"/>
            <w:tcMar>
              <w:top w:w="100" w:type="dxa"/>
              <w:left w:w="100" w:type="dxa"/>
              <w:bottom w:w="100" w:type="dxa"/>
              <w:right w:w="100" w:type="dxa"/>
            </w:tcMar>
          </w:tcPr>
          <w:p w14:paraId="5A5A5DB7"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Live mythological performances by the local actors and legends of Welsh</w:t>
            </w:r>
          </w:p>
        </w:tc>
      </w:tr>
      <w:tr w:rsidR="00F0786C" w14:paraId="061EB659" w14:textId="77777777">
        <w:trPr>
          <w:jc w:val="center"/>
        </w:trPr>
        <w:tc>
          <w:tcPr>
            <w:tcW w:w="2805" w:type="dxa"/>
            <w:shd w:val="clear" w:color="auto" w:fill="F3F3F3"/>
            <w:tcMar>
              <w:top w:w="100" w:type="dxa"/>
              <w:left w:w="100" w:type="dxa"/>
              <w:bottom w:w="100" w:type="dxa"/>
              <w:right w:w="100" w:type="dxa"/>
            </w:tcMar>
          </w:tcPr>
          <w:p w14:paraId="01B420A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Live folk music and traditional lunch </w:t>
            </w:r>
          </w:p>
        </w:tc>
        <w:tc>
          <w:tcPr>
            <w:tcW w:w="1665" w:type="dxa"/>
            <w:shd w:val="clear" w:color="auto" w:fill="F3F3F3"/>
            <w:tcMar>
              <w:top w:w="100" w:type="dxa"/>
              <w:left w:w="100" w:type="dxa"/>
              <w:bottom w:w="100" w:type="dxa"/>
              <w:right w:w="100" w:type="dxa"/>
            </w:tcMar>
          </w:tcPr>
          <w:p w14:paraId="76568B8C"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 to 2</w:t>
            </w:r>
          </w:p>
        </w:tc>
        <w:tc>
          <w:tcPr>
            <w:tcW w:w="5190" w:type="dxa"/>
            <w:shd w:val="clear" w:color="auto" w:fill="F3F3F3"/>
            <w:tcMar>
              <w:top w:w="100" w:type="dxa"/>
              <w:left w:w="100" w:type="dxa"/>
              <w:bottom w:w="100" w:type="dxa"/>
              <w:right w:w="100" w:type="dxa"/>
            </w:tcMar>
          </w:tcPr>
          <w:p w14:paraId="71347FFB"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Local artists will play traditional music and local cuisine of Welsh will be served  </w:t>
            </w:r>
          </w:p>
        </w:tc>
      </w:tr>
      <w:tr w:rsidR="00F0786C" w14:paraId="0FD2C948" w14:textId="77777777">
        <w:trPr>
          <w:jc w:val="center"/>
        </w:trPr>
        <w:tc>
          <w:tcPr>
            <w:tcW w:w="2805" w:type="dxa"/>
            <w:shd w:val="clear" w:color="auto" w:fill="F3F3F3"/>
            <w:tcMar>
              <w:top w:w="100" w:type="dxa"/>
              <w:left w:w="100" w:type="dxa"/>
              <w:bottom w:w="100" w:type="dxa"/>
              <w:right w:w="100" w:type="dxa"/>
            </w:tcMar>
          </w:tcPr>
          <w:p w14:paraId="6346390A"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lastRenderedPageBreak/>
              <w:t>Craft workshop</w:t>
            </w:r>
          </w:p>
        </w:tc>
        <w:tc>
          <w:tcPr>
            <w:tcW w:w="1665" w:type="dxa"/>
            <w:shd w:val="clear" w:color="auto" w:fill="F3F3F3"/>
            <w:tcMar>
              <w:top w:w="100" w:type="dxa"/>
              <w:left w:w="100" w:type="dxa"/>
              <w:bottom w:w="100" w:type="dxa"/>
              <w:right w:w="100" w:type="dxa"/>
            </w:tcMar>
          </w:tcPr>
          <w:p w14:paraId="18072421"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2 to 3</w:t>
            </w:r>
          </w:p>
        </w:tc>
        <w:tc>
          <w:tcPr>
            <w:tcW w:w="5190" w:type="dxa"/>
            <w:shd w:val="clear" w:color="auto" w:fill="F3F3F3"/>
            <w:tcMar>
              <w:top w:w="100" w:type="dxa"/>
              <w:left w:w="100" w:type="dxa"/>
              <w:bottom w:w="100" w:type="dxa"/>
              <w:right w:w="100" w:type="dxa"/>
            </w:tcMar>
          </w:tcPr>
          <w:p w14:paraId="6501C440"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Making of Celtic &amp; Welsh Jewellery</w:t>
            </w:r>
          </w:p>
        </w:tc>
      </w:tr>
      <w:tr w:rsidR="00F0786C" w14:paraId="238FAEC7" w14:textId="77777777">
        <w:trPr>
          <w:jc w:val="center"/>
        </w:trPr>
        <w:tc>
          <w:tcPr>
            <w:tcW w:w="2805" w:type="dxa"/>
            <w:shd w:val="clear" w:color="auto" w:fill="F3F3F3"/>
            <w:tcMar>
              <w:top w:w="100" w:type="dxa"/>
              <w:left w:w="100" w:type="dxa"/>
              <w:bottom w:w="100" w:type="dxa"/>
              <w:right w:w="100" w:type="dxa"/>
            </w:tcMar>
          </w:tcPr>
          <w:p w14:paraId="24809691"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Panel walk </w:t>
            </w:r>
          </w:p>
        </w:tc>
        <w:tc>
          <w:tcPr>
            <w:tcW w:w="1665" w:type="dxa"/>
            <w:shd w:val="clear" w:color="auto" w:fill="F3F3F3"/>
            <w:tcMar>
              <w:top w:w="100" w:type="dxa"/>
              <w:left w:w="100" w:type="dxa"/>
              <w:bottom w:w="100" w:type="dxa"/>
              <w:right w:w="100" w:type="dxa"/>
            </w:tcMar>
          </w:tcPr>
          <w:p w14:paraId="741CF01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3 to 4</w:t>
            </w:r>
          </w:p>
        </w:tc>
        <w:tc>
          <w:tcPr>
            <w:tcW w:w="5190" w:type="dxa"/>
            <w:shd w:val="clear" w:color="auto" w:fill="F3F3F3"/>
            <w:tcMar>
              <w:top w:w="100" w:type="dxa"/>
              <w:left w:w="100" w:type="dxa"/>
              <w:bottom w:w="100" w:type="dxa"/>
              <w:right w:w="100" w:type="dxa"/>
            </w:tcMar>
          </w:tcPr>
          <w:p w14:paraId="1534BEFD"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Connecting with experts and taking Welsh culture and heritage to the global world  </w:t>
            </w:r>
          </w:p>
        </w:tc>
      </w:tr>
      <w:tr w:rsidR="00F0786C" w14:paraId="48B5679C" w14:textId="77777777">
        <w:trPr>
          <w:jc w:val="center"/>
        </w:trPr>
        <w:tc>
          <w:tcPr>
            <w:tcW w:w="2805" w:type="dxa"/>
            <w:shd w:val="clear" w:color="auto" w:fill="F3F3F3"/>
            <w:tcMar>
              <w:top w:w="100" w:type="dxa"/>
              <w:left w:w="100" w:type="dxa"/>
              <w:bottom w:w="100" w:type="dxa"/>
              <w:right w:w="100" w:type="dxa"/>
            </w:tcMar>
          </w:tcPr>
          <w:p w14:paraId="5A30CAFA"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Participating in Welsh dance programs </w:t>
            </w:r>
          </w:p>
        </w:tc>
        <w:tc>
          <w:tcPr>
            <w:tcW w:w="1665" w:type="dxa"/>
            <w:shd w:val="clear" w:color="auto" w:fill="F3F3F3"/>
            <w:tcMar>
              <w:top w:w="100" w:type="dxa"/>
              <w:left w:w="100" w:type="dxa"/>
              <w:bottom w:w="100" w:type="dxa"/>
              <w:right w:w="100" w:type="dxa"/>
            </w:tcMar>
          </w:tcPr>
          <w:p w14:paraId="1CE7CBFD"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4 to 5 </w:t>
            </w:r>
          </w:p>
        </w:tc>
        <w:tc>
          <w:tcPr>
            <w:tcW w:w="5190" w:type="dxa"/>
            <w:shd w:val="clear" w:color="auto" w:fill="F3F3F3"/>
            <w:tcMar>
              <w:top w:w="100" w:type="dxa"/>
              <w:left w:w="100" w:type="dxa"/>
              <w:bottom w:w="100" w:type="dxa"/>
              <w:right w:w="100" w:type="dxa"/>
            </w:tcMar>
          </w:tcPr>
          <w:p w14:paraId="0389635C"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Learning basic steps from the traditional dance form of the Welsh</w:t>
            </w:r>
          </w:p>
        </w:tc>
      </w:tr>
      <w:tr w:rsidR="00F0786C" w14:paraId="3ED25ED4" w14:textId="77777777">
        <w:trPr>
          <w:jc w:val="center"/>
        </w:trPr>
        <w:tc>
          <w:tcPr>
            <w:tcW w:w="2805" w:type="dxa"/>
            <w:shd w:val="clear" w:color="auto" w:fill="F3F3F3"/>
            <w:tcMar>
              <w:top w:w="100" w:type="dxa"/>
              <w:left w:w="100" w:type="dxa"/>
              <w:bottom w:w="100" w:type="dxa"/>
              <w:right w:w="100" w:type="dxa"/>
            </w:tcMar>
          </w:tcPr>
          <w:p w14:paraId="7254A56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Relaxation </w:t>
            </w:r>
          </w:p>
        </w:tc>
        <w:tc>
          <w:tcPr>
            <w:tcW w:w="1665" w:type="dxa"/>
            <w:shd w:val="clear" w:color="auto" w:fill="F3F3F3"/>
            <w:tcMar>
              <w:top w:w="100" w:type="dxa"/>
              <w:left w:w="100" w:type="dxa"/>
              <w:bottom w:w="100" w:type="dxa"/>
              <w:right w:w="100" w:type="dxa"/>
            </w:tcMar>
          </w:tcPr>
          <w:p w14:paraId="345B8464"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5 to 5:30</w:t>
            </w:r>
          </w:p>
        </w:tc>
        <w:tc>
          <w:tcPr>
            <w:tcW w:w="5190" w:type="dxa"/>
            <w:shd w:val="clear" w:color="auto" w:fill="F3F3F3"/>
            <w:tcMar>
              <w:top w:w="100" w:type="dxa"/>
              <w:left w:w="100" w:type="dxa"/>
              <w:bottom w:w="100" w:type="dxa"/>
              <w:right w:w="100" w:type="dxa"/>
            </w:tcMar>
          </w:tcPr>
          <w:p w14:paraId="35F2CDEA"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Having evening snacks, reading books, and enjoying the environment </w:t>
            </w:r>
          </w:p>
        </w:tc>
      </w:tr>
      <w:tr w:rsidR="00F0786C" w14:paraId="13CBC423" w14:textId="77777777">
        <w:trPr>
          <w:jc w:val="center"/>
        </w:trPr>
        <w:tc>
          <w:tcPr>
            <w:tcW w:w="2805" w:type="dxa"/>
            <w:shd w:val="clear" w:color="auto" w:fill="F3F3F3"/>
            <w:tcMar>
              <w:top w:w="100" w:type="dxa"/>
              <w:left w:w="100" w:type="dxa"/>
              <w:bottom w:w="100" w:type="dxa"/>
              <w:right w:w="100" w:type="dxa"/>
            </w:tcMar>
          </w:tcPr>
          <w:p w14:paraId="278CB62C"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Certification and closing ceremony </w:t>
            </w:r>
          </w:p>
        </w:tc>
        <w:tc>
          <w:tcPr>
            <w:tcW w:w="1665" w:type="dxa"/>
            <w:shd w:val="clear" w:color="auto" w:fill="F3F3F3"/>
            <w:tcMar>
              <w:top w:w="100" w:type="dxa"/>
              <w:left w:w="100" w:type="dxa"/>
              <w:bottom w:w="100" w:type="dxa"/>
              <w:right w:w="100" w:type="dxa"/>
            </w:tcMar>
          </w:tcPr>
          <w:p w14:paraId="5C357094"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6 to 7 </w:t>
            </w:r>
          </w:p>
        </w:tc>
        <w:tc>
          <w:tcPr>
            <w:tcW w:w="5190" w:type="dxa"/>
            <w:shd w:val="clear" w:color="auto" w:fill="F3F3F3"/>
            <w:tcMar>
              <w:top w:w="100" w:type="dxa"/>
              <w:left w:w="100" w:type="dxa"/>
              <w:bottom w:w="100" w:type="dxa"/>
              <w:right w:w="100" w:type="dxa"/>
            </w:tcMar>
          </w:tcPr>
          <w:p w14:paraId="092CB942"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Thank you remarks, distribution of participating certifications, delivering souvenirs of Welsh, and announcing the closing of the event  </w:t>
            </w:r>
          </w:p>
        </w:tc>
      </w:tr>
    </w:tbl>
    <w:p w14:paraId="0B303E2C"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Table 1: Itinerary of the event</w:t>
      </w:r>
    </w:p>
    <w:p w14:paraId="54CDCE16"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(Source: Self-created)  </w:t>
      </w:r>
    </w:p>
    <w:p w14:paraId="7668135B" w14:textId="77777777" w:rsidR="00901A81" w:rsidRPr="00172A85" w:rsidRDefault="003A6482" w:rsidP="00172A85">
      <w:pPr>
        <w:pStyle w:val="Heading1"/>
        <w:rPr>
          <w:color w:val="000000" w:themeColor="text1"/>
        </w:rPr>
      </w:pPr>
      <w:bookmarkStart w:id="6" w:name="_5y0dtksdt9h5" w:colFirst="0" w:colLast="0"/>
      <w:bookmarkStart w:id="7" w:name="_Toc200744176"/>
      <w:bookmarkEnd w:id="6"/>
      <w:r w:rsidRPr="00172A85">
        <w:rPr>
          <w:color w:val="000000" w:themeColor="text1"/>
        </w:rPr>
        <w:t>4. Aim and Objectives of the Meeting / Event</w:t>
      </w:r>
      <w:bookmarkEnd w:id="7"/>
      <w:r w:rsidRPr="00172A85">
        <w:rPr>
          <w:color w:val="000000" w:themeColor="text1"/>
        </w:rPr>
        <w:t xml:space="preserve"> </w:t>
      </w:r>
    </w:p>
    <w:p w14:paraId="11BB8372" w14:textId="77777777" w:rsidR="00901A81" w:rsidRPr="00172A85" w:rsidRDefault="003A6482" w:rsidP="00172A85">
      <w:pPr>
        <w:spacing w:before="200" w:line="360" w:lineRule="auto"/>
        <w:jc w:val="both"/>
        <w:rPr>
          <w:rFonts w:ascii="Times New Roman" w:eastAsia="Times New Roman" w:hAnsi="Times New Roman" w:cs="Times New Roman"/>
          <w:b/>
          <w:color w:val="000000" w:themeColor="text1"/>
          <w:sz w:val="24"/>
          <w:szCs w:val="24"/>
          <w:u w:val="single"/>
        </w:rPr>
      </w:pPr>
      <w:r w:rsidRPr="00172A85">
        <w:rPr>
          <w:rFonts w:ascii="Times New Roman" w:eastAsia="Times New Roman" w:hAnsi="Times New Roman" w:cs="Times New Roman"/>
          <w:b/>
          <w:color w:val="000000" w:themeColor="text1"/>
          <w:sz w:val="24"/>
          <w:szCs w:val="24"/>
          <w:u w:val="single"/>
        </w:rPr>
        <w:t>Aim</w:t>
      </w:r>
    </w:p>
    <w:p w14:paraId="61AE69C7"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The event "</w:t>
      </w:r>
      <w:r w:rsidRPr="00172A85">
        <w:rPr>
          <w:rFonts w:ascii="Times New Roman" w:eastAsia="Times New Roman" w:hAnsi="Times New Roman" w:cs="Times New Roman"/>
          <w:i/>
          <w:color w:val="000000" w:themeColor="text1"/>
          <w:sz w:val="24"/>
          <w:szCs w:val="24"/>
        </w:rPr>
        <w:t>Welsh Legends &amp; Landscapes: Interactive Heritage Festival</w:t>
      </w:r>
      <w:r w:rsidRPr="00172A85">
        <w:rPr>
          <w:rFonts w:ascii="Times New Roman" w:eastAsia="Times New Roman" w:hAnsi="Times New Roman" w:cs="Times New Roman"/>
          <w:color w:val="000000" w:themeColor="text1"/>
          <w:sz w:val="24"/>
          <w:szCs w:val="24"/>
        </w:rPr>
        <w:t>" aims to promote the culture, natural beauty, heritage, and language of Welsh to the international level by creating an interactive and welcoming environment based on the theme of  '</w:t>
      </w:r>
      <w:r w:rsidRPr="00172A85">
        <w:rPr>
          <w:rFonts w:ascii="Times New Roman" w:eastAsia="Times New Roman" w:hAnsi="Times New Roman" w:cs="Times New Roman"/>
          <w:i/>
          <w:color w:val="000000" w:themeColor="text1"/>
          <w:sz w:val="24"/>
          <w:szCs w:val="24"/>
        </w:rPr>
        <w:t>Visit Wales’-“Year Of Croeso 2025”</w:t>
      </w:r>
      <w:r w:rsidRPr="00172A85">
        <w:rPr>
          <w:rFonts w:ascii="Times New Roman" w:eastAsia="Times New Roman" w:hAnsi="Times New Roman" w:cs="Times New Roman"/>
          <w:color w:val="000000" w:themeColor="text1"/>
          <w:sz w:val="24"/>
          <w:szCs w:val="24"/>
        </w:rPr>
        <w:t xml:space="preserve">.  </w:t>
      </w:r>
    </w:p>
    <w:p w14:paraId="7B1CEE6D" w14:textId="77777777" w:rsidR="00901A81" w:rsidRPr="00172A85" w:rsidRDefault="003A6482" w:rsidP="00172A85">
      <w:pPr>
        <w:spacing w:before="200" w:line="360" w:lineRule="auto"/>
        <w:jc w:val="both"/>
        <w:rPr>
          <w:rFonts w:ascii="Times New Roman" w:eastAsia="Times New Roman" w:hAnsi="Times New Roman" w:cs="Times New Roman"/>
          <w:b/>
          <w:color w:val="000000" w:themeColor="text1"/>
          <w:sz w:val="24"/>
          <w:szCs w:val="24"/>
          <w:u w:val="single"/>
        </w:rPr>
      </w:pPr>
      <w:r w:rsidRPr="00172A85">
        <w:rPr>
          <w:rFonts w:ascii="Times New Roman" w:eastAsia="Times New Roman" w:hAnsi="Times New Roman" w:cs="Times New Roman"/>
          <w:b/>
          <w:color w:val="000000" w:themeColor="text1"/>
          <w:sz w:val="24"/>
          <w:szCs w:val="24"/>
          <w:u w:val="single"/>
        </w:rPr>
        <w:t>Objectives</w:t>
      </w:r>
    </w:p>
    <w:p w14:paraId="1FF3C476"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Key objectives of the events are listed below through SMART objective analysis that contains Specific, attainable, measurable, time-bound and relevant goals (Mohammadi-Ghayeghchi </w:t>
      </w:r>
      <w:r w:rsidRPr="00172A85">
        <w:rPr>
          <w:rFonts w:ascii="Times New Roman" w:eastAsia="Times New Roman" w:hAnsi="Times New Roman" w:cs="Times New Roman"/>
          <w:i/>
          <w:color w:val="000000" w:themeColor="text1"/>
          <w:sz w:val="24"/>
          <w:szCs w:val="24"/>
        </w:rPr>
        <w:t>et al.</w:t>
      </w:r>
      <w:r w:rsidRPr="00172A85">
        <w:rPr>
          <w:rFonts w:ascii="Times New Roman" w:eastAsia="Times New Roman" w:hAnsi="Times New Roman" w:cs="Times New Roman"/>
          <w:color w:val="000000" w:themeColor="text1"/>
          <w:sz w:val="24"/>
          <w:szCs w:val="24"/>
        </w:rPr>
        <w:t xml:space="preserve"> 2024).  </w:t>
      </w:r>
    </w:p>
    <w:tbl>
      <w:tblPr>
        <w:tblStyle w:val="Table2"/>
        <w:tblW w:w="93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2085"/>
        <w:gridCol w:w="1860"/>
        <w:gridCol w:w="2145"/>
        <w:gridCol w:w="1575"/>
      </w:tblGrid>
      <w:tr w:rsidR="00F0786C" w14:paraId="482E3309" w14:textId="77777777">
        <w:trPr>
          <w:jc w:val="center"/>
        </w:trPr>
        <w:tc>
          <w:tcPr>
            <w:tcW w:w="1635" w:type="dxa"/>
            <w:shd w:val="clear" w:color="auto" w:fill="D9D2E9"/>
            <w:tcMar>
              <w:top w:w="100" w:type="dxa"/>
              <w:left w:w="100" w:type="dxa"/>
              <w:bottom w:w="100" w:type="dxa"/>
              <w:right w:w="100" w:type="dxa"/>
            </w:tcMar>
          </w:tcPr>
          <w:p w14:paraId="65C495E4"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Specific </w:t>
            </w:r>
          </w:p>
        </w:tc>
        <w:tc>
          <w:tcPr>
            <w:tcW w:w="2085" w:type="dxa"/>
            <w:shd w:val="clear" w:color="auto" w:fill="D9D2E9"/>
            <w:tcMar>
              <w:top w:w="100" w:type="dxa"/>
              <w:left w:w="100" w:type="dxa"/>
              <w:bottom w:w="100" w:type="dxa"/>
              <w:right w:w="100" w:type="dxa"/>
            </w:tcMar>
          </w:tcPr>
          <w:p w14:paraId="41B7406B"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Measurable </w:t>
            </w:r>
          </w:p>
        </w:tc>
        <w:tc>
          <w:tcPr>
            <w:tcW w:w="1860" w:type="dxa"/>
            <w:shd w:val="clear" w:color="auto" w:fill="D9D2E9"/>
            <w:tcMar>
              <w:top w:w="100" w:type="dxa"/>
              <w:left w:w="100" w:type="dxa"/>
              <w:bottom w:w="100" w:type="dxa"/>
              <w:right w:w="100" w:type="dxa"/>
            </w:tcMar>
          </w:tcPr>
          <w:p w14:paraId="2E2F14A0"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Attainable </w:t>
            </w:r>
          </w:p>
        </w:tc>
        <w:tc>
          <w:tcPr>
            <w:tcW w:w="2145" w:type="dxa"/>
            <w:shd w:val="clear" w:color="auto" w:fill="D9D2E9"/>
            <w:tcMar>
              <w:top w:w="100" w:type="dxa"/>
              <w:left w:w="100" w:type="dxa"/>
              <w:bottom w:w="100" w:type="dxa"/>
              <w:right w:w="100" w:type="dxa"/>
            </w:tcMar>
          </w:tcPr>
          <w:p w14:paraId="5F370A1A"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Relevant </w:t>
            </w:r>
          </w:p>
        </w:tc>
        <w:tc>
          <w:tcPr>
            <w:tcW w:w="1575" w:type="dxa"/>
            <w:shd w:val="clear" w:color="auto" w:fill="D9D2E9"/>
            <w:tcMar>
              <w:top w:w="100" w:type="dxa"/>
              <w:left w:w="100" w:type="dxa"/>
              <w:bottom w:w="100" w:type="dxa"/>
              <w:right w:w="100" w:type="dxa"/>
            </w:tcMar>
          </w:tcPr>
          <w:p w14:paraId="5D8B6853"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Time-bound</w:t>
            </w:r>
          </w:p>
        </w:tc>
      </w:tr>
      <w:tr w:rsidR="00F0786C" w14:paraId="6EA62E2A" w14:textId="77777777">
        <w:trPr>
          <w:jc w:val="center"/>
        </w:trPr>
        <w:tc>
          <w:tcPr>
            <w:tcW w:w="1635" w:type="dxa"/>
            <w:shd w:val="clear" w:color="auto" w:fill="F3F3F3"/>
            <w:tcMar>
              <w:top w:w="100" w:type="dxa"/>
              <w:left w:w="100" w:type="dxa"/>
              <w:bottom w:w="100" w:type="dxa"/>
              <w:right w:w="100" w:type="dxa"/>
            </w:tcMar>
          </w:tcPr>
          <w:p w14:paraId="2F68B5EA"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lastRenderedPageBreak/>
              <w:t xml:space="preserve">To attract at least 300 international tourists within the middle age group </w:t>
            </w:r>
          </w:p>
        </w:tc>
        <w:tc>
          <w:tcPr>
            <w:tcW w:w="2085" w:type="dxa"/>
            <w:shd w:val="clear" w:color="auto" w:fill="F3F3F3"/>
            <w:tcMar>
              <w:top w:w="100" w:type="dxa"/>
              <w:left w:w="100" w:type="dxa"/>
              <w:bottom w:w="100" w:type="dxa"/>
              <w:right w:w="100" w:type="dxa"/>
            </w:tcMar>
          </w:tcPr>
          <w:p w14:paraId="5F179D16"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Measuring the presence of tourists within the age group of 25 to 55 at Snowdonia National Park</w:t>
            </w:r>
          </w:p>
        </w:tc>
        <w:tc>
          <w:tcPr>
            <w:tcW w:w="1860" w:type="dxa"/>
            <w:shd w:val="clear" w:color="auto" w:fill="F3F3F3"/>
            <w:tcMar>
              <w:top w:w="100" w:type="dxa"/>
              <w:left w:w="100" w:type="dxa"/>
              <w:bottom w:w="100" w:type="dxa"/>
              <w:right w:w="100" w:type="dxa"/>
            </w:tcMar>
          </w:tcPr>
          <w:p w14:paraId="27F22EFC"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Tracking attendance and analysing registration data of international delegates  </w:t>
            </w:r>
          </w:p>
        </w:tc>
        <w:tc>
          <w:tcPr>
            <w:tcW w:w="2145" w:type="dxa"/>
            <w:shd w:val="clear" w:color="auto" w:fill="F3F3F3"/>
            <w:tcMar>
              <w:top w:w="100" w:type="dxa"/>
              <w:left w:w="100" w:type="dxa"/>
              <w:bottom w:w="100" w:type="dxa"/>
              <w:right w:w="100" w:type="dxa"/>
            </w:tcMar>
          </w:tcPr>
          <w:p w14:paraId="110132CC"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Relevant to promoting the culture and heritage of Welsh to the international level and generating global awareness</w:t>
            </w:r>
          </w:p>
        </w:tc>
        <w:tc>
          <w:tcPr>
            <w:tcW w:w="1575" w:type="dxa"/>
            <w:shd w:val="clear" w:color="auto" w:fill="F3F3F3"/>
            <w:tcMar>
              <w:top w:w="100" w:type="dxa"/>
              <w:left w:w="100" w:type="dxa"/>
              <w:bottom w:w="100" w:type="dxa"/>
              <w:right w:w="100" w:type="dxa"/>
            </w:tcMar>
          </w:tcPr>
          <w:p w14:paraId="760666E4"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Within the next 2 months </w:t>
            </w:r>
          </w:p>
        </w:tc>
      </w:tr>
    </w:tbl>
    <w:p w14:paraId="7845EC7A"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Table 2: Objective 1</w:t>
      </w:r>
    </w:p>
    <w:p w14:paraId="2D8E01D4"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(Source: Self-created)</w:t>
      </w:r>
    </w:p>
    <w:tbl>
      <w:tblPr>
        <w:tblStyle w:val="Table3"/>
        <w:tblW w:w="93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60"/>
        <w:gridCol w:w="1860"/>
        <w:gridCol w:w="2220"/>
        <w:gridCol w:w="1500"/>
      </w:tblGrid>
      <w:tr w:rsidR="00F0786C" w14:paraId="0BBE0092" w14:textId="77777777">
        <w:trPr>
          <w:jc w:val="center"/>
        </w:trPr>
        <w:tc>
          <w:tcPr>
            <w:tcW w:w="1860" w:type="dxa"/>
            <w:shd w:val="clear" w:color="auto" w:fill="D9D2E9"/>
            <w:tcMar>
              <w:top w:w="100" w:type="dxa"/>
              <w:left w:w="100" w:type="dxa"/>
              <w:bottom w:w="100" w:type="dxa"/>
              <w:right w:w="100" w:type="dxa"/>
            </w:tcMar>
          </w:tcPr>
          <w:p w14:paraId="3BE8DF15"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Specific </w:t>
            </w:r>
          </w:p>
        </w:tc>
        <w:tc>
          <w:tcPr>
            <w:tcW w:w="1860" w:type="dxa"/>
            <w:shd w:val="clear" w:color="auto" w:fill="D9D2E9"/>
            <w:tcMar>
              <w:top w:w="100" w:type="dxa"/>
              <w:left w:w="100" w:type="dxa"/>
              <w:bottom w:w="100" w:type="dxa"/>
              <w:right w:w="100" w:type="dxa"/>
            </w:tcMar>
          </w:tcPr>
          <w:p w14:paraId="6FC303E4"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Measurable </w:t>
            </w:r>
          </w:p>
        </w:tc>
        <w:tc>
          <w:tcPr>
            <w:tcW w:w="1860" w:type="dxa"/>
            <w:shd w:val="clear" w:color="auto" w:fill="D9D2E9"/>
            <w:tcMar>
              <w:top w:w="100" w:type="dxa"/>
              <w:left w:w="100" w:type="dxa"/>
              <w:bottom w:w="100" w:type="dxa"/>
              <w:right w:w="100" w:type="dxa"/>
            </w:tcMar>
          </w:tcPr>
          <w:p w14:paraId="277924CF"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Attainable </w:t>
            </w:r>
          </w:p>
        </w:tc>
        <w:tc>
          <w:tcPr>
            <w:tcW w:w="2220" w:type="dxa"/>
            <w:shd w:val="clear" w:color="auto" w:fill="D9D2E9"/>
            <w:tcMar>
              <w:top w:w="100" w:type="dxa"/>
              <w:left w:w="100" w:type="dxa"/>
              <w:bottom w:w="100" w:type="dxa"/>
              <w:right w:w="100" w:type="dxa"/>
            </w:tcMar>
          </w:tcPr>
          <w:p w14:paraId="6D85F116"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Relevant </w:t>
            </w:r>
          </w:p>
        </w:tc>
        <w:tc>
          <w:tcPr>
            <w:tcW w:w="1500" w:type="dxa"/>
            <w:shd w:val="clear" w:color="auto" w:fill="D9D2E9"/>
            <w:tcMar>
              <w:top w:w="100" w:type="dxa"/>
              <w:left w:w="100" w:type="dxa"/>
              <w:bottom w:w="100" w:type="dxa"/>
              <w:right w:w="100" w:type="dxa"/>
            </w:tcMar>
          </w:tcPr>
          <w:p w14:paraId="467EDBAB"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Time-bound</w:t>
            </w:r>
          </w:p>
        </w:tc>
      </w:tr>
      <w:tr w:rsidR="00F0786C" w14:paraId="0F63C283" w14:textId="77777777">
        <w:trPr>
          <w:jc w:val="center"/>
        </w:trPr>
        <w:tc>
          <w:tcPr>
            <w:tcW w:w="1860" w:type="dxa"/>
            <w:shd w:val="clear" w:color="auto" w:fill="F3F3F3"/>
            <w:tcMar>
              <w:top w:w="100" w:type="dxa"/>
              <w:left w:w="100" w:type="dxa"/>
              <w:bottom w:w="100" w:type="dxa"/>
              <w:right w:w="100" w:type="dxa"/>
            </w:tcMar>
          </w:tcPr>
          <w:p w14:paraId="1328A587"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To ensure a 90% satisfaction rate among the international delegates after completing the event.</w:t>
            </w:r>
          </w:p>
        </w:tc>
        <w:tc>
          <w:tcPr>
            <w:tcW w:w="1860" w:type="dxa"/>
            <w:shd w:val="clear" w:color="auto" w:fill="F3F3F3"/>
            <w:tcMar>
              <w:top w:w="100" w:type="dxa"/>
              <w:left w:w="100" w:type="dxa"/>
              <w:bottom w:w="100" w:type="dxa"/>
              <w:right w:w="100" w:type="dxa"/>
            </w:tcMar>
          </w:tcPr>
          <w:p w14:paraId="1962E045"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Measuring satisfaction rate, engagement rate, cultural knowledge, and enjoyment with local heritage  </w:t>
            </w:r>
          </w:p>
        </w:tc>
        <w:tc>
          <w:tcPr>
            <w:tcW w:w="1860" w:type="dxa"/>
            <w:shd w:val="clear" w:color="auto" w:fill="F3F3F3"/>
            <w:tcMar>
              <w:top w:w="100" w:type="dxa"/>
              <w:left w:w="100" w:type="dxa"/>
              <w:bottom w:w="100" w:type="dxa"/>
              <w:right w:w="100" w:type="dxa"/>
            </w:tcMar>
          </w:tcPr>
          <w:p w14:paraId="014281B3"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Conducting a survey among the international delegates and using feedback from them to collect their feedback</w:t>
            </w:r>
          </w:p>
        </w:tc>
        <w:tc>
          <w:tcPr>
            <w:tcW w:w="2220" w:type="dxa"/>
            <w:shd w:val="clear" w:color="auto" w:fill="F3F3F3"/>
            <w:tcMar>
              <w:top w:w="100" w:type="dxa"/>
              <w:left w:w="100" w:type="dxa"/>
              <w:bottom w:w="100" w:type="dxa"/>
              <w:right w:w="100" w:type="dxa"/>
            </w:tcMar>
          </w:tcPr>
          <w:p w14:paraId="6F766034"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It is relevant to ensure a higher satisfaction rate among visitors and promote Welsh culture successfully in global tourism. </w:t>
            </w:r>
          </w:p>
        </w:tc>
        <w:tc>
          <w:tcPr>
            <w:tcW w:w="1500" w:type="dxa"/>
            <w:shd w:val="clear" w:color="auto" w:fill="F3F3F3"/>
            <w:tcMar>
              <w:top w:w="100" w:type="dxa"/>
              <w:left w:w="100" w:type="dxa"/>
              <w:bottom w:w="100" w:type="dxa"/>
              <w:right w:w="100" w:type="dxa"/>
            </w:tcMar>
          </w:tcPr>
          <w:p w14:paraId="2B55A33A"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Within 1 week after the competition of the event </w:t>
            </w:r>
          </w:p>
        </w:tc>
      </w:tr>
    </w:tbl>
    <w:p w14:paraId="0129D849"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Table 3: Objective 2</w:t>
      </w:r>
    </w:p>
    <w:p w14:paraId="3D5B20F1"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(Source: Self-created)</w:t>
      </w:r>
    </w:p>
    <w:tbl>
      <w:tblPr>
        <w:tblStyle w:val="Table4"/>
        <w:tblW w:w="93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5"/>
        <w:gridCol w:w="2265"/>
        <w:gridCol w:w="2415"/>
        <w:gridCol w:w="1680"/>
        <w:gridCol w:w="1485"/>
      </w:tblGrid>
      <w:tr w:rsidR="00F0786C" w14:paraId="216D35CD" w14:textId="77777777">
        <w:trPr>
          <w:jc w:val="center"/>
        </w:trPr>
        <w:tc>
          <w:tcPr>
            <w:tcW w:w="1455" w:type="dxa"/>
            <w:shd w:val="clear" w:color="auto" w:fill="D9D2E9"/>
            <w:tcMar>
              <w:top w:w="100" w:type="dxa"/>
              <w:left w:w="100" w:type="dxa"/>
              <w:bottom w:w="100" w:type="dxa"/>
              <w:right w:w="100" w:type="dxa"/>
            </w:tcMar>
          </w:tcPr>
          <w:p w14:paraId="6C0B8EC6"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Specific </w:t>
            </w:r>
          </w:p>
        </w:tc>
        <w:tc>
          <w:tcPr>
            <w:tcW w:w="2265" w:type="dxa"/>
            <w:shd w:val="clear" w:color="auto" w:fill="D9D2E9"/>
            <w:tcMar>
              <w:top w:w="100" w:type="dxa"/>
              <w:left w:w="100" w:type="dxa"/>
              <w:bottom w:w="100" w:type="dxa"/>
              <w:right w:w="100" w:type="dxa"/>
            </w:tcMar>
          </w:tcPr>
          <w:p w14:paraId="12712357"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Measurable </w:t>
            </w:r>
          </w:p>
        </w:tc>
        <w:tc>
          <w:tcPr>
            <w:tcW w:w="2415" w:type="dxa"/>
            <w:shd w:val="clear" w:color="auto" w:fill="D9D2E9"/>
            <w:tcMar>
              <w:top w:w="100" w:type="dxa"/>
              <w:left w:w="100" w:type="dxa"/>
              <w:bottom w:w="100" w:type="dxa"/>
              <w:right w:w="100" w:type="dxa"/>
            </w:tcMar>
          </w:tcPr>
          <w:p w14:paraId="1965792E"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Attainable </w:t>
            </w:r>
          </w:p>
        </w:tc>
        <w:tc>
          <w:tcPr>
            <w:tcW w:w="1680" w:type="dxa"/>
            <w:shd w:val="clear" w:color="auto" w:fill="D9D2E9"/>
            <w:tcMar>
              <w:top w:w="100" w:type="dxa"/>
              <w:left w:w="100" w:type="dxa"/>
              <w:bottom w:w="100" w:type="dxa"/>
              <w:right w:w="100" w:type="dxa"/>
            </w:tcMar>
          </w:tcPr>
          <w:p w14:paraId="64E69281"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Relevant </w:t>
            </w:r>
          </w:p>
        </w:tc>
        <w:tc>
          <w:tcPr>
            <w:tcW w:w="1485" w:type="dxa"/>
            <w:shd w:val="clear" w:color="auto" w:fill="D9D2E9"/>
            <w:tcMar>
              <w:top w:w="100" w:type="dxa"/>
              <w:left w:w="100" w:type="dxa"/>
              <w:bottom w:w="100" w:type="dxa"/>
              <w:right w:w="100" w:type="dxa"/>
            </w:tcMar>
          </w:tcPr>
          <w:p w14:paraId="7C8F52ED" w14:textId="77777777" w:rsidR="00901A81" w:rsidRPr="00172A85" w:rsidRDefault="003A6482" w:rsidP="00172A85">
            <w:pPr>
              <w:widowControl w:val="0"/>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Time-bound</w:t>
            </w:r>
          </w:p>
        </w:tc>
      </w:tr>
      <w:tr w:rsidR="00F0786C" w14:paraId="18366BAA" w14:textId="77777777">
        <w:trPr>
          <w:jc w:val="center"/>
        </w:trPr>
        <w:tc>
          <w:tcPr>
            <w:tcW w:w="1455" w:type="dxa"/>
            <w:shd w:val="clear" w:color="auto" w:fill="F3F3F3"/>
            <w:tcMar>
              <w:top w:w="100" w:type="dxa"/>
              <w:left w:w="100" w:type="dxa"/>
              <w:bottom w:w="100" w:type="dxa"/>
              <w:right w:w="100" w:type="dxa"/>
            </w:tcMar>
          </w:tcPr>
          <w:p w14:paraId="75B5BBEE"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To ensure at least a 10% profit </w:t>
            </w:r>
            <w:r w:rsidRPr="00172A85">
              <w:rPr>
                <w:rFonts w:ascii="Times New Roman" w:eastAsia="Times New Roman" w:hAnsi="Times New Roman" w:cs="Times New Roman"/>
                <w:color w:val="000000" w:themeColor="text1"/>
                <w:sz w:val="24"/>
                <w:szCs w:val="24"/>
              </w:rPr>
              <w:lastRenderedPageBreak/>
              <w:t xml:space="preserve">margin from the total investment on the event   </w:t>
            </w:r>
          </w:p>
        </w:tc>
        <w:tc>
          <w:tcPr>
            <w:tcW w:w="2265" w:type="dxa"/>
            <w:shd w:val="clear" w:color="auto" w:fill="F3F3F3"/>
            <w:tcMar>
              <w:top w:w="100" w:type="dxa"/>
              <w:left w:w="100" w:type="dxa"/>
              <w:bottom w:w="100" w:type="dxa"/>
              <w:right w:w="100" w:type="dxa"/>
            </w:tcMar>
          </w:tcPr>
          <w:p w14:paraId="57F79E15"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lastRenderedPageBreak/>
              <w:t xml:space="preserve">Measuring revenue and profit percentage by comparing with </w:t>
            </w:r>
            <w:r w:rsidRPr="00172A85">
              <w:rPr>
                <w:rFonts w:ascii="Times New Roman" w:eastAsia="Times New Roman" w:hAnsi="Times New Roman" w:cs="Times New Roman"/>
                <w:color w:val="000000" w:themeColor="text1"/>
                <w:sz w:val="24"/>
                <w:szCs w:val="24"/>
              </w:rPr>
              <w:lastRenderedPageBreak/>
              <w:t>the investment through ensuring a transparent financial performance visibility</w:t>
            </w:r>
          </w:p>
        </w:tc>
        <w:tc>
          <w:tcPr>
            <w:tcW w:w="2415" w:type="dxa"/>
            <w:shd w:val="clear" w:color="auto" w:fill="F3F3F3"/>
            <w:tcMar>
              <w:top w:w="100" w:type="dxa"/>
              <w:left w:w="100" w:type="dxa"/>
              <w:bottom w:w="100" w:type="dxa"/>
              <w:right w:w="100" w:type="dxa"/>
            </w:tcMar>
          </w:tcPr>
          <w:p w14:paraId="517878F3"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lastRenderedPageBreak/>
              <w:t xml:space="preserve">It will be attained through seeking government funding, </w:t>
            </w:r>
            <w:r w:rsidRPr="00172A85">
              <w:rPr>
                <w:rFonts w:ascii="Times New Roman" w:eastAsia="Times New Roman" w:hAnsi="Times New Roman" w:cs="Times New Roman"/>
                <w:color w:val="000000" w:themeColor="text1"/>
                <w:sz w:val="24"/>
                <w:szCs w:val="24"/>
              </w:rPr>
              <w:lastRenderedPageBreak/>
              <w:t xml:space="preserve">strategic partnerships, connecting with on-site vendors, and generating revenue through selling tickets </w:t>
            </w:r>
          </w:p>
        </w:tc>
        <w:tc>
          <w:tcPr>
            <w:tcW w:w="1680" w:type="dxa"/>
            <w:shd w:val="clear" w:color="auto" w:fill="F3F3F3"/>
            <w:tcMar>
              <w:top w:w="100" w:type="dxa"/>
              <w:left w:w="100" w:type="dxa"/>
              <w:bottom w:w="100" w:type="dxa"/>
              <w:right w:w="100" w:type="dxa"/>
            </w:tcMar>
          </w:tcPr>
          <w:p w14:paraId="15C4DCA5"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lastRenderedPageBreak/>
              <w:t xml:space="preserve">It is relevant to bring financial stability and </w:t>
            </w:r>
            <w:r w:rsidRPr="00172A85">
              <w:rPr>
                <w:rFonts w:ascii="Times New Roman" w:eastAsia="Times New Roman" w:hAnsi="Times New Roman" w:cs="Times New Roman"/>
                <w:color w:val="000000" w:themeColor="text1"/>
                <w:sz w:val="24"/>
                <w:szCs w:val="24"/>
              </w:rPr>
              <w:lastRenderedPageBreak/>
              <w:t xml:space="preserve">ensure economic development within the country </w:t>
            </w:r>
          </w:p>
        </w:tc>
        <w:tc>
          <w:tcPr>
            <w:tcW w:w="1485" w:type="dxa"/>
            <w:shd w:val="clear" w:color="auto" w:fill="F3F3F3"/>
            <w:tcMar>
              <w:top w:w="100" w:type="dxa"/>
              <w:left w:w="100" w:type="dxa"/>
              <w:bottom w:w="100" w:type="dxa"/>
              <w:right w:w="100" w:type="dxa"/>
            </w:tcMar>
          </w:tcPr>
          <w:p w14:paraId="3C515BAA" w14:textId="77777777" w:rsidR="00901A81" w:rsidRPr="00172A85" w:rsidRDefault="003A6482" w:rsidP="00172A85">
            <w:pPr>
              <w:widowControl w:val="0"/>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lastRenderedPageBreak/>
              <w:t xml:space="preserve">Within 1 month after the </w:t>
            </w:r>
            <w:r w:rsidRPr="00172A85">
              <w:rPr>
                <w:rFonts w:ascii="Times New Roman" w:eastAsia="Times New Roman" w:hAnsi="Times New Roman" w:cs="Times New Roman"/>
                <w:color w:val="000000" w:themeColor="text1"/>
                <w:sz w:val="24"/>
                <w:szCs w:val="24"/>
              </w:rPr>
              <w:lastRenderedPageBreak/>
              <w:t xml:space="preserve">completion of the event </w:t>
            </w:r>
          </w:p>
        </w:tc>
      </w:tr>
    </w:tbl>
    <w:p w14:paraId="7ACD299A"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lastRenderedPageBreak/>
        <w:t>Table 4: Objective 3</w:t>
      </w:r>
    </w:p>
    <w:p w14:paraId="2BC1F8C6"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color w:val="000000" w:themeColor="text1"/>
          <w:sz w:val="24"/>
          <w:szCs w:val="24"/>
        </w:rPr>
        <w:t>(Source: Self-created)</w:t>
      </w:r>
    </w:p>
    <w:p w14:paraId="4B719946" w14:textId="77777777" w:rsidR="00901A81" w:rsidRPr="00172A85" w:rsidRDefault="003A6482" w:rsidP="00172A85">
      <w:pPr>
        <w:pStyle w:val="Heading1"/>
        <w:rPr>
          <w:color w:val="000000" w:themeColor="text1"/>
        </w:rPr>
      </w:pPr>
      <w:bookmarkStart w:id="8" w:name="_thvewbgaf2d7" w:colFirst="0" w:colLast="0"/>
      <w:bookmarkStart w:id="9" w:name="_Toc200744177"/>
      <w:bookmarkEnd w:id="8"/>
      <w:r w:rsidRPr="00172A85">
        <w:rPr>
          <w:color w:val="000000" w:themeColor="text1"/>
        </w:rPr>
        <w:t>5. Event Management</w:t>
      </w:r>
      <w:bookmarkEnd w:id="9"/>
      <w:r w:rsidRPr="00172A85">
        <w:rPr>
          <w:color w:val="000000" w:themeColor="text1"/>
        </w:rPr>
        <w:t xml:space="preserve"> </w:t>
      </w:r>
    </w:p>
    <w:p w14:paraId="6011E7FF" w14:textId="77777777" w:rsidR="005035E6" w:rsidRPr="005C7198" w:rsidRDefault="003A6482" w:rsidP="00172A85">
      <w:pPr>
        <w:spacing w:before="200" w:line="360" w:lineRule="auto"/>
        <w:jc w:val="both"/>
        <w:rPr>
          <w:rFonts w:ascii="Times New Roman" w:eastAsia="Times New Roman" w:hAnsi="Times New Roman" w:cs="Times New Roman"/>
          <w:b/>
          <w:bCs/>
          <w:color w:val="000000" w:themeColor="text1"/>
          <w:sz w:val="24"/>
          <w:szCs w:val="24"/>
          <w:u w:val="single"/>
        </w:rPr>
      </w:pPr>
      <w:r w:rsidRPr="005C7198">
        <w:rPr>
          <w:rFonts w:ascii="Times New Roman" w:eastAsia="Times New Roman" w:hAnsi="Times New Roman" w:cs="Times New Roman"/>
          <w:color w:val="000000" w:themeColor="text1"/>
          <w:sz w:val="24"/>
          <w:szCs w:val="24"/>
        </w:rPr>
        <w:t xml:space="preserve">The event management process will require diverse skills and resources to deliver all its planning successfully and achieve its objectives. Using the EMBOK Model such skills can be determined.  </w:t>
      </w:r>
    </w:p>
    <w:p w14:paraId="29FE0C1D" w14:textId="77777777" w:rsidR="005035E6" w:rsidRPr="005C7198" w:rsidRDefault="003A6482" w:rsidP="00172A85">
      <w:pPr>
        <w:spacing w:before="200" w:line="360" w:lineRule="auto"/>
        <w:jc w:val="both"/>
        <w:rPr>
          <w:rFonts w:ascii="Times New Roman" w:eastAsia="Times New Roman" w:hAnsi="Times New Roman" w:cs="Times New Roman"/>
          <w:b/>
          <w:bCs/>
          <w:color w:val="000000" w:themeColor="text1"/>
          <w:sz w:val="24"/>
          <w:szCs w:val="24"/>
          <w:u w:val="single"/>
        </w:rPr>
      </w:pPr>
      <w:r w:rsidRPr="005C7198">
        <w:rPr>
          <w:rFonts w:ascii="Times New Roman" w:eastAsia="Times New Roman" w:hAnsi="Times New Roman" w:cs="Times New Roman"/>
          <w:b/>
          <w:bCs/>
          <w:color w:val="000000" w:themeColor="text1"/>
          <w:sz w:val="24"/>
          <w:szCs w:val="24"/>
          <w:u w:val="single"/>
        </w:rPr>
        <w:t>Application of EMBOK Model</w:t>
      </w:r>
    </w:p>
    <w:p w14:paraId="12236C49" w14:textId="77777777" w:rsidR="005035E6" w:rsidRPr="00172A85" w:rsidRDefault="003A6482" w:rsidP="00172A85">
      <w:pPr>
        <w:spacing w:before="200" w:line="360" w:lineRule="auto"/>
        <w:jc w:val="center"/>
        <w:rPr>
          <w:rFonts w:ascii="Times New Roman" w:eastAsia="Times New Roman" w:hAnsi="Times New Roman" w:cs="Times New Roman"/>
          <w:color w:val="EE0000"/>
          <w:sz w:val="24"/>
          <w:szCs w:val="24"/>
        </w:rPr>
      </w:pPr>
      <w:r w:rsidRPr="00172A85">
        <w:rPr>
          <w:rFonts w:ascii="Times New Roman" w:eastAsia="Times New Roman" w:hAnsi="Times New Roman" w:cs="Times New Roman"/>
          <w:noProof/>
          <w:color w:val="EE0000"/>
          <w:sz w:val="24"/>
          <w:szCs w:val="24"/>
          <w:bdr w:val="single" w:sz="24" w:space="0" w:color="auto"/>
        </w:rPr>
        <w:drawing>
          <wp:inline distT="0" distB="0" distL="0" distR="0" wp14:anchorId="7EDFF496" wp14:editId="70B71AA5">
            <wp:extent cx="4975860" cy="4318011"/>
            <wp:effectExtent l="0" t="0" r="0" b="6350"/>
            <wp:docPr id="1241242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242199" name=""/>
                    <pic:cNvPicPr/>
                  </pic:nvPicPr>
                  <pic:blipFill>
                    <a:blip r:embed="rId13"/>
                    <a:stretch>
                      <a:fillRect/>
                    </a:stretch>
                  </pic:blipFill>
                  <pic:spPr>
                    <a:xfrm>
                      <a:off x="0" y="0"/>
                      <a:ext cx="4980309" cy="4321872"/>
                    </a:xfrm>
                    <a:prstGeom prst="rect">
                      <a:avLst/>
                    </a:prstGeom>
                  </pic:spPr>
                </pic:pic>
              </a:graphicData>
            </a:graphic>
          </wp:inline>
        </w:drawing>
      </w:r>
    </w:p>
    <w:p w14:paraId="73FDE563" w14:textId="77777777" w:rsidR="005035E6"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lastRenderedPageBreak/>
        <w:t>Figure 2: Staes of EMBOK Model</w:t>
      </w:r>
    </w:p>
    <w:p w14:paraId="6E5601FF" w14:textId="77777777" w:rsidR="005035E6"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(Source: </w:t>
      </w:r>
      <w:r w:rsidRPr="005C7198">
        <w:rPr>
          <w:rFonts w:ascii="Times New Roman" w:hAnsi="Times New Roman" w:cs="Times New Roman"/>
          <w:color w:val="000000" w:themeColor="text1"/>
          <w:sz w:val="24"/>
          <w:szCs w:val="24"/>
        </w:rPr>
        <w:t>Thomas and Stephens, 2022</w:t>
      </w:r>
      <w:r w:rsidRPr="005C7198">
        <w:rPr>
          <w:rFonts w:ascii="Times New Roman" w:eastAsia="Times New Roman" w:hAnsi="Times New Roman" w:cs="Times New Roman"/>
          <w:color w:val="000000" w:themeColor="text1"/>
          <w:sz w:val="24"/>
          <w:szCs w:val="24"/>
        </w:rPr>
        <w:t>)</w:t>
      </w:r>
    </w:p>
    <w:p w14:paraId="7497775D" w14:textId="77777777" w:rsidR="005035E6" w:rsidRPr="005C7198"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As per the above-mentioned figure, the model contains five key stages that classify the skills and knowledge that are required for project management such as Design, Administration, Operations, Marketing, and Risk (</w:t>
      </w:r>
      <w:r w:rsidRPr="005C7198">
        <w:rPr>
          <w:rFonts w:ascii="Times New Roman" w:hAnsi="Times New Roman" w:cs="Times New Roman"/>
          <w:color w:val="000000" w:themeColor="text1"/>
          <w:sz w:val="24"/>
          <w:szCs w:val="24"/>
        </w:rPr>
        <w:t>Thomas and Stephens, 2022</w:t>
      </w:r>
      <w:r w:rsidRPr="005C7198">
        <w:rPr>
          <w:rFonts w:ascii="Times New Roman" w:eastAsia="Times New Roman" w:hAnsi="Times New Roman" w:cs="Times New Roman"/>
          <w:color w:val="000000" w:themeColor="text1"/>
          <w:sz w:val="24"/>
          <w:szCs w:val="24"/>
        </w:rPr>
        <w:t>).</w:t>
      </w:r>
      <w:r w:rsidR="00A86222" w:rsidRPr="005C7198">
        <w:rPr>
          <w:rFonts w:ascii="Times New Roman" w:eastAsia="Times New Roman" w:hAnsi="Times New Roman" w:cs="Times New Roman"/>
          <w:color w:val="000000" w:themeColor="text1"/>
          <w:sz w:val="24"/>
          <w:szCs w:val="24"/>
        </w:rPr>
        <w:t xml:space="preserve"> Based on the model, the factors are illustrated below. </w:t>
      </w:r>
    </w:p>
    <w:p w14:paraId="71CB21FE" w14:textId="77777777" w:rsidR="00901A81" w:rsidRPr="00172A85" w:rsidRDefault="003A6482" w:rsidP="00172A85">
      <w:pPr>
        <w:spacing w:before="200" w:line="360" w:lineRule="auto"/>
        <w:jc w:val="both"/>
        <w:rPr>
          <w:rFonts w:ascii="Times New Roman" w:eastAsia="Times New Roman" w:hAnsi="Times New Roman" w:cs="Times New Roman"/>
          <w:b/>
          <w:color w:val="000000" w:themeColor="text1"/>
          <w:sz w:val="24"/>
          <w:szCs w:val="24"/>
          <w:u w:val="single"/>
        </w:rPr>
      </w:pPr>
      <w:r w:rsidRPr="00172A85">
        <w:rPr>
          <w:rFonts w:ascii="Times New Roman" w:eastAsia="Times New Roman" w:hAnsi="Times New Roman" w:cs="Times New Roman"/>
          <w:b/>
          <w:color w:val="000000" w:themeColor="text1"/>
          <w:sz w:val="24"/>
          <w:szCs w:val="24"/>
          <w:u w:val="single"/>
        </w:rPr>
        <w:t>Marketing Activities</w:t>
      </w:r>
    </w:p>
    <w:p w14:paraId="18E40D2E"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Having proper skills in digital marketing is essential to promote services, experiences, and tourism attractiveness of Welsh to the international market. As stated by Kuchkovskiy </w:t>
      </w:r>
      <w:r w:rsidRPr="00172A85">
        <w:rPr>
          <w:rFonts w:ascii="Times New Roman" w:eastAsia="Times New Roman" w:hAnsi="Times New Roman" w:cs="Times New Roman"/>
          <w:i/>
          <w:color w:val="000000" w:themeColor="text1"/>
          <w:sz w:val="24"/>
          <w:szCs w:val="24"/>
        </w:rPr>
        <w:t xml:space="preserve">et al. </w:t>
      </w:r>
      <w:r w:rsidRPr="00172A85">
        <w:rPr>
          <w:rFonts w:ascii="Times New Roman" w:eastAsia="Times New Roman" w:hAnsi="Times New Roman" w:cs="Times New Roman"/>
          <w:color w:val="000000" w:themeColor="text1"/>
          <w:sz w:val="24"/>
          <w:szCs w:val="24"/>
        </w:rPr>
        <w:t xml:space="preserve">(2021), in digital marketing international promotion can be done through email marketing, SEM, SEO, and video content. Then, the skill of branding and designing must be there to create a visual identity for the event and local festivals by generating signage, posters, and logos. Hence, graphic designing skills, knowledge of editing software and multilingual brochure-making skills are also essential. As opined by Okonkwo and Namkoisse (2023), social media marketing skills are also crucial for partnerships with influencers and attracting a wider customer base. Then, the ability to manage press releases, and media outreach through creating blogs, and active storytelling content is crucial. Partnership ability to collaborate with Welsh tourist boards, service providers, cultural organisations, and accommodation providers is essential to ensure better stakeholder engagement and visitor satisfaction.       </w:t>
      </w:r>
    </w:p>
    <w:p w14:paraId="7FDA5395" w14:textId="77777777" w:rsidR="00901A81" w:rsidRPr="005C7198" w:rsidRDefault="003A6482" w:rsidP="00172A85">
      <w:pPr>
        <w:spacing w:before="200" w:line="360" w:lineRule="auto"/>
        <w:jc w:val="both"/>
        <w:rPr>
          <w:rFonts w:ascii="Times New Roman" w:eastAsia="Times New Roman" w:hAnsi="Times New Roman" w:cs="Times New Roman"/>
          <w:b/>
          <w:color w:val="000000" w:themeColor="text1"/>
          <w:sz w:val="24"/>
          <w:szCs w:val="24"/>
          <w:u w:val="single"/>
        </w:rPr>
      </w:pPr>
      <w:r w:rsidRPr="005C7198">
        <w:rPr>
          <w:rFonts w:ascii="Times New Roman" w:eastAsia="Times New Roman" w:hAnsi="Times New Roman" w:cs="Times New Roman"/>
          <w:b/>
          <w:color w:val="000000" w:themeColor="text1"/>
          <w:sz w:val="24"/>
          <w:szCs w:val="24"/>
          <w:u w:val="single"/>
        </w:rPr>
        <w:t>Event planning</w:t>
      </w:r>
      <w:r w:rsidR="005035E6" w:rsidRPr="005C7198">
        <w:rPr>
          <w:rFonts w:ascii="Times New Roman" w:eastAsia="Times New Roman" w:hAnsi="Times New Roman" w:cs="Times New Roman"/>
          <w:b/>
          <w:color w:val="000000" w:themeColor="text1"/>
          <w:sz w:val="24"/>
          <w:szCs w:val="24"/>
          <w:u w:val="single"/>
        </w:rPr>
        <w:t xml:space="preserve"> or </w:t>
      </w:r>
      <w:r w:rsidR="00A86222" w:rsidRPr="005C7198">
        <w:rPr>
          <w:rFonts w:ascii="Times New Roman" w:eastAsia="Times New Roman" w:hAnsi="Times New Roman" w:cs="Times New Roman"/>
          <w:b/>
          <w:color w:val="000000" w:themeColor="text1"/>
          <w:sz w:val="24"/>
          <w:szCs w:val="24"/>
          <w:u w:val="single"/>
        </w:rPr>
        <w:t>Designing</w:t>
      </w:r>
    </w:p>
    <w:p w14:paraId="75C56BF8"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Resources related to event planning are crucial to ensure the successful presentation of the event. Hence, scheduling event performances, designing complete itineraries, and managing event-based workshops are crucial. According to the opinion of Stephenson </w:t>
      </w:r>
      <w:r w:rsidRPr="00172A85">
        <w:rPr>
          <w:rFonts w:ascii="Times New Roman" w:eastAsia="Times New Roman" w:hAnsi="Times New Roman" w:cs="Times New Roman"/>
          <w:i/>
          <w:color w:val="000000" w:themeColor="text1"/>
          <w:sz w:val="24"/>
          <w:szCs w:val="24"/>
        </w:rPr>
        <w:t xml:space="preserve">et al. </w:t>
      </w:r>
      <w:r w:rsidRPr="00172A85">
        <w:rPr>
          <w:rFonts w:ascii="Times New Roman" w:eastAsia="Times New Roman" w:hAnsi="Times New Roman" w:cs="Times New Roman"/>
          <w:color w:val="000000" w:themeColor="text1"/>
          <w:sz w:val="24"/>
          <w:szCs w:val="24"/>
        </w:rPr>
        <w:t xml:space="preserve">(2025), project management skills and knowledge of project management software or methodologies are essential for managing an event. Besides that, knowledge of cultural sensitivity and time management is essential for valuing others' cultures and managing the schedule of the event. Then, budgeting skills are required for proper budget distribution, negotiation, and ensuring economic benefit from the event (Thanh, 2024). After that procurement skills are also essential for materials sourcing and crafting ideas. A </w:t>
      </w:r>
      <w:r w:rsidRPr="00172A85">
        <w:rPr>
          <w:rFonts w:ascii="Times New Roman" w:eastAsia="Times New Roman" w:hAnsi="Times New Roman" w:cs="Times New Roman"/>
          <w:color w:val="000000" w:themeColor="text1"/>
          <w:sz w:val="24"/>
          <w:szCs w:val="24"/>
        </w:rPr>
        <w:lastRenderedPageBreak/>
        <w:t xml:space="preserve">clear legal knowledge of the rules and regulations of the hospitality industry is also required to ensure visitors' safety, food safety, entertainment license, and public liability, and ensure ethical or sustainable performance. As highlighted by Abdellatif </w:t>
      </w:r>
      <w:r w:rsidRPr="00172A85">
        <w:rPr>
          <w:rFonts w:ascii="Times New Roman" w:eastAsia="Times New Roman" w:hAnsi="Times New Roman" w:cs="Times New Roman"/>
          <w:i/>
          <w:color w:val="000000" w:themeColor="text1"/>
          <w:sz w:val="24"/>
          <w:szCs w:val="24"/>
        </w:rPr>
        <w:t xml:space="preserve">et al. </w:t>
      </w:r>
      <w:r w:rsidRPr="00172A85">
        <w:rPr>
          <w:rFonts w:ascii="Times New Roman" w:eastAsia="Times New Roman" w:hAnsi="Times New Roman" w:cs="Times New Roman"/>
          <w:color w:val="000000" w:themeColor="text1"/>
          <w:sz w:val="24"/>
          <w:szCs w:val="24"/>
        </w:rPr>
        <w:t xml:space="preserve">(2024), having sustainability knowledge, adopting eco-friendly practices, using green waste management systems, and using reusable materials are essential to maintaining sustainable tourism practices.       </w:t>
      </w:r>
    </w:p>
    <w:p w14:paraId="31CBF837" w14:textId="77777777" w:rsidR="00901A81" w:rsidRPr="00172A85" w:rsidRDefault="003A6482" w:rsidP="00172A85">
      <w:pPr>
        <w:spacing w:before="200" w:line="360" w:lineRule="auto"/>
        <w:jc w:val="both"/>
        <w:rPr>
          <w:rFonts w:ascii="Times New Roman" w:eastAsia="Times New Roman" w:hAnsi="Times New Roman" w:cs="Times New Roman"/>
          <w:b/>
          <w:color w:val="000000" w:themeColor="text1"/>
          <w:sz w:val="24"/>
          <w:szCs w:val="24"/>
          <w:u w:val="single"/>
        </w:rPr>
      </w:pPr>
      <w:r w:rsidRPr="00172A85">
        <w:rPr>
          <w:rFonts w:ascii="Times New Roman" w:eastAsia="Times New Roman" w:hAnsi="Times New Roman" w:cs="Times New Roman"/>
          <w:b/>
          <w:color w:val="000000" w:themeColor="text1"/>
          <w:sz w:val="24"/>
          <w:szCs w:val="24"/>
          <w:u w:val="single"/>
        </w:rPr>
        <w:t xml:space="preserve">Operational  </w:t>
      </w:r>
    </w:p>
    <w:p w14:paraId="78FE17D7"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During the event diverse operational management skills are required such as stakeholder communication skills to connect Saepudin and Putra (2023), health and safety management skills are essential in tourism to ensure visitors' care, first aid facilities, and maintain emergency preparedness. Risk assessment skills will be required for analysing potential risk factors, and their impact, and generating risk management strategies (Blundo </w:t>
      </w:r>
      <w:r w:rsidRPr="00172A85">
        <w:rPr>
          <w:rFonts w:ascii="Times New Roman" w:eastAsia="Times New Roman" w:hAnsi="Times New Roman" w:cs="Times New Roman"/>
          <w:i/>
          <w:color w:val="000000" w:themeColor="text1"/>
          <w:sz w:val="24"/>
          <w:szCs w:val="24"/>
        </w:rPr>
        <w:t>et al.</w:t>
      </w:r>
      <w:r w:rsidRPr="00172A85">
        <w:rPr>
          <w:rFonts w:ascii="Times New Roman" w:eastAsia="Times New Roman" w:hAnsi="Times New Roman" w:cs="Times New Roman"/>
          <w:color w:val="000000" w:themeColor="text1"/>
          <w:sz w:val="24"/>
          <w:szCs w:val="24"/>
        </w:rPr>
        <w:t xml:space="preserve"> 2021). Proper technical setup, electrical supply, hygiene-certified employees, waste disposal facilities, craft instructors, water supply, and multilingual communication facilities must be there to ensure the successful outcome of the event.       </w:t>
      </w:r>
    </w:p>
    <w:p w14:paraId="46E58658" w14:textId="77777777" w:rsidR="008C39AC" w:rsidRPr="005C7198" w:rsidRDefault="003A6482" w:rsidP="00172A85">
      <w:pPr>
        <w:spacing w:before="200" w:line="360" w:lineRule="auto"/>
        <w:jc w:val="both"/>
        <w:rPr>
          <w:rFonts w:ascii="Times New Roman" w:eastAsia="Times New Roman" w:hAnsi="Times New Roman" w:cs="Times New Roman"/>
          <w:b/>
          <w:bCs/>
          <w:color w:val="000000" w:themeColor="text1"/>
          <w:sz w:val="24"/>
          <w:szCs w:val="24"/>
          <w:u w:val="single"/>
        </w:rPr>
      </w:pPr>
      <w:r w:rsidRPr="005C7198">
        <w:rPr>
          <w:rFonts w:ascii="Times New Roman" w:eastAsia="Times New Roman" w:hAnsi="Times New Roman" w:cs="Times New Roman"/>
          <w:b/>
          <w:bCs/>
          <w:color w:val="000000" w:themeColor="text1"/>
          <w:sz w:val="24"/>
          <w:szCs w:val="24"/>
          <w:u w:val="single"/>
        </w:rPr>
        <w:t>Risk</w:t>
      </w:r>
    </w:p>
    <w:tbl>
      <w:tblPr>
        <w:tblStyle w:val="TableGrid"/>
        <w:tblW w:w="0" w:type="auto"/>
        <w:tblInd w:w="-95" w:type="dxa"/>
        <w:tblLook w:val="04A0" w:firstRow="1" w:lastRow="0" w:firstColumn="1" w:lastColumn="0" w:noHBand="0" w:noVBand="1"/>
      </w:tblPr>
      <w:tblGrid>
        <w:gridCol w:w="2016"/>
        <w:gridCol w:w="2020"/>
        <w:gridCol w:w="1344"/>
        <w:gridCol w:w="1444"/>
        <w:gridCol w:w="2621"/>
      </w:tblGrid>
      <w:tr w:rsidR="005C7198" w:rsidRPr="005C7198" w14:paraId="749F5058" w14:textId="77777777" w:rsidTr="00A86222">
        <w:tc>
          <w:tcPr>
            <w:tcW w:w="2016" w:type="dxa"/>
            <w:shd w:val="clear" w:color="auto" w:fill="92CDDC" w:themeFill="accent5" w:themeFillTint="99"/>
          </w:tcPr>
          <w:p w14:paraId="6E5FC5E4"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Risk factors </w:t>
            </w:r>
          </w:p>
        </w:tc>
        <w:tc>
          <w:tcPr>
            <w:tcW w:w="2020" w:type="dxa"/>
            <w:shd w:val="clear" w:color="auto" w:fill="92CDDC" w:themeFill="accent5" w:themeFillTint="99"/>
          </w:tcPr>
          <w:p w14:paraId="6B37B98E"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Impact </w:t>
            </w:r>
          </w:p>
        </w:tc>
        <w:tc>
          <w:tcPr>
            <w:tcW w:w="1344" w:type="dxa"/>
            <w:shd w:val="clear" w:color="auto" w:fill="92CDDC" w:themeFill="accent5" w:themeFillTint="99"/>
          </w:tcPr>
          <w:p w14:paraId="53D674FF"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Likelihood</w:t>
            </w:r>
          </w:p>
        </w:tc>
        <w:tc>
          <w:tcPr>
            <w:tcW w:w="1444" w:type="dxa"/>
            <w:shd w:val="clear" w:color="auto" w:fill="92CDDC" w:themeFill="accent5" w:themeFillTint="99"/>
          </w:tcPr>
          <w:p w14:paraId="65533094"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Level of risk</w:t>
            </w:r>
          </w:p>
        </w:tc>
        <w:tc>
          <w:tcPr>
            <w:tcW w:w="2621" w:type="dxa"/>
            <w:shd w:val="clear" w:color="auto" w:fill="92CDDC" w:themeFill="accent5" w:themeFillTint="99"/>
          </w:tcPr>
          <w:p w14:paraId="437B84B8"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Mitigation strategy </w:t>
            </w:r>
          </w:p>
        </w:tc>
      </w:tr>
      <w:tr w:rsidR="005C7198" w:rsidRPr="005C7198" w14:paraId="6D3107A9" w14:textId="77777777" w:rsidTr="00A86222">
        <w:tc>
          <w:tcPr>
            <w:tcW w:w="2016" w:type="dxa"/>
            <w:shd w:val="clear" w:color="auto" w:fill="F2F2F2" w:themeFill="background1" w:themeFillShade="F2"/>
          </w:tcPr>
          <w:p w14:paraId="1EDA4771"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Failure of technical equipment</w:t>
            </w:r>
          </w:p>
        </w:tc>
        <w:tc>
          <w:tcPr>
            <w:tcW w:w="2020" w:type="dxa"/>
            <w:shd w:val="clear" w:color="auto" w:fill="F2F2F2" w:themeFill="background1" w:themeFillShade="F2"/>
          </w:tcPr>
          <w:p w14:paraId="36F37D1D"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Massive interruption in performances including light and sound system</w:t>
            </w:r>
          </w:p>
        </w:tc>
        <w:tc>
          <w:tcPr>
            <w:tcW w:w="1344" w:type="dxa"/>
            <w:shd w:val="clear" w:color="auto" w:fill="F2F2F2" w:themeFill="background1" w:themeFillShade="F2"/>
          </w:tcPr>
          <w:p w14:paraId="36138AD1"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Moderate</w:t>
            </w:r>
          </w:p>
        </w:tc>
        <w:tc>
          <w:tcPr>
            <w:tcW w:w="1444" w:type="dxa"/>
            <w:shd w:val="clear" w:color="auto" w:fill="F2F2F2" w:themeFill="background1" w:themeFillShade="F2"/>
          </w:tcPr>
          <w:p w14:paraId="26C14021"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Moderate</w:t>
            </w:r>
          </w:p>
        </w:tc>
        <w:tc>
          <w:tcPr>
            <w:tcW w:w="2621" w:type="dxa"/>
            <w:shd w:val="clear" w:color="auto" w:fill="F2F2F2" w:themeFill="background1" w:themeFillShade="F2"/>
          </w:tcPr>
          <w:p w14:paraId="5EC60169"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Testing all AV technologies before the event, maintaining the technical support team, and keeping backup generators  </w:t>
            </w:r>
          </w:p>
        </w:tc>
      </w:tr>
      <w:tr w:rsidR="005C7198" w:rsidRPr="005C7198" w14:paraId="67945C39" w14:textId="77777777" w:rsidTr="00A86222">
        <w:tc>
          <w:tcPr>
            <w:tcW w:w="2016" w:type="dxa"/>
            <w:shd w:val="clear" w:color="auto" w:fill="F2F2F2" w:themeFill="background1" w:themeFillShade="F2"/>
          </w:tcPr>
          <w:p w14:paraId="0CFFDB87"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Adverse conditions of weather </w:t>
            </w:r>
          </w:p>
        </w:tc>
        <w:tc>
          <w:tcPr>
            <w:tcW w:w="2020" w:type="dxa"/>
            <w:shd w:val="clear" w:color="auto" w:fill="F2F2F2" w:themeFill="background1" w:themeFillShade="F2"/>
          </w:tcPr>
          <w:p w14:paraId="4E958AB5"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May integrate outdoor performances and activities </w:t>
            </w:r>
          </w:p>
        </w:tc>
        <w:tc>
          <w:tcPr>
            <w:tcW w:w="1344" w:type="dxa"/>
            <w:shd w:val="clear" w:color="auto" w:fill="F2F2F2" w:themeFill="background1" w:themeFillShade="F2"/>
          </w:tcPr>
          <w:p w14:paraId="59F7123A"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Moderate </w:t>
            </w:r>
          </w:p>
        </w:tc>
        <w:tc>
          <w:tcPr>
            <w:tcW w:w="1444" w:type="dxa"/>
            <w:shd w:val="clear" w:color="auto" w:fill="F2F2F2" w:themeFill="background1" w:themeFillShade="F2"/>
          </w:tcPr>
          <w:p w14:paraId="7683180E"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Higher </w:t>
            </w:r>
          </w:p>
        </w:tc>
        <w:tc>
          <w:tcPr>
            <w:tcW w:w="2621" w:type="dxa"/>
            <w:shd w:val="clear" w:color="auto" w:fill="F2F2F2" w:themeFill="background1" w:themeFillShade="F2"/>
          </w:tcPr>
          <w:p w14:paraId="1E3EBAE3"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Keeping a backup plan for indoor activities, arranging waterproof tents, and managing shelters.  </w:t>
            </w:r>
          </w:p>
        </w:tc>
      </w:tr>
      <w:tr w:rsidR="00F0786C" w14:paraId="0B5E369F" w14:textId="77777777" w:rsidTr="00A86222">
        <w:tc>
          <w:tcPr>
            <w:tcW w:w="2016" w:type="dxa"/>
            <w:shd w:val="clear" w:color="auto" w:fill="F2F2F2" w:themeFill="background1" w:themeFillShade="F2"/>
          </w:tcPr>
          <w:p w14:paraId="41A2D4AB"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lastRenderedPageBreak/>
              <w:t xml:space="preserve">Injury or Medical emergency </w:t>
            </w:r>
          </w:p>
        </w:tc>
        <w:tc>
          <w:tcPr>
            <w:tcW w:w="2020" w:type="dxa"/>
            <w:shd w:val="clear" w:color="auto" w:fill="F2F2F2" w:themeFill="background1" w:themeFillShade="F2"/>
          </w:tcPr>
          <w:p w14:paraId="1EC5756C"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Concerns related to liability and health risk</w:t>
            </w:r>
          </w:p>
        </w:tc>
        <w:tc>
          <w:tcPr>
            <w:tcW w:w="1344" w:type="dxa"/>
            <w:shd w:val="clear" w:color="auto" w:fill="F2F2F2" w:themeFill="background1" w:themeFillShade="F2"/>
          </w:tcPr>
          <w:p w14:paraId="183666C9"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Lower </w:t>
            </w:r>
          </w:p>
        </w:tc>
        <w:tc>
          <w:tcPr>
            <w:tcW w:w="1444" w:type="dxa"/>
            <w:shd w:val="clear" w:color="auto" w:fill="F2F2F2" w:themeFill="background1" w:themeFillShade="F2"/>
          </w:tcPr>
          <w:p w14:paraId="7A11E97C"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Higher </w:t>
            </w:r>
          </w:p>
        </w:tc>
        <w:tc>
          <w:tcPr>
            <w:tcW w:w="2621" w:type="dxa"/>
            <w:shd w:val="clear" w:color="auto" w:fill="F2F2F2" w:themeFill="background1" w:themeFillShade="F2"/>
          </w:tcPr>
          <w:p w14:paraId="1C372A4B"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Implementing first-aid stations in different venues and employing an experienced first-aid expert</w:t>
            </w:r>
          </w:p>
        </w:tc>
      </w:tr>
      <w:tr w:rsidR="00F0786C" w14:paraId="17905459" w14:textId="77777777" w:rsidTr="00A86222">
        <w:tc>
          <w:tcPr>
            <w:tcW w:w="2016" w:type="dxa"/>
            <w:shd w:val="clear" w:color="auto" w:fill="F2F2F2" w:themeFill="background1" w:themeFillShade="F2"/>
          </w:tcPr>
          <w:p w14:paraId="38622E28"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Lower sales of ticket </w:t>
            </w:r>
          </w:p>
        </w:tc>
        <w:tc>
          <w:tcPr>
            <w:tcW w:w="2020" w:type="dxa"/>
            <w:shd w:val="clear" w:color="auto" w:fill="F2F2F2" w:themeFill="background1" w:themeFillShade="F2"/>
          </w:tcPr>
          <w:p w14:paraId="29917772"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Loewer engagement, lack of motivation, and financial loss</w:t>
            </w:r>
          </w:p>
        </w:tc>
        <w:tc>
          <w:tcPr>
            <w:tcW w:w="1344" w:type="dxa"/>
            <w:shd w:val="clear" w:color="auto" w:fill="F2F2F2" w:themeFill="background1" w:themeFillShade="F2"/>
          </w:tcPr>
          <w:p w14:paraId="4CA00BC2"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Moderate </w:t>
            </w:r>
          </w:p>
        </w:tc>
        <w:tc>
          <w:tcPr>
            <w:tcW w:w="1444" w:type="dxa"/>
            <w:shd w:val="clear" w:color="auto" w:fill="F2F2F2" w:themeFill="background1" w:themeFillShade="F2"/>
          </w:tcPr>
          <w:p w14:paraId="32EFE5EC"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Moderate </w:t>
            </w:r>
          </w:p>
        </w:tc>
        <w:tc>
          <w:tcPr>
            <w:tcW w:w="2621" w:type="dxa"/>
            <w:shd w:val="clear" w:color="auto" w:fill="F2F2F2" w:themeFill="background1" w:themeFillShade="F2"/>
          </w:tcPr>
          <w:p w14:paraId="38545D69"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Launching targeted digital advertisements, influencer campaigns, and creating engaging content</w:t>
            </w:r>
          </w:p>
        </w:tc>
      </w:tr>
      <w:tr w:rsidR="00F0786C" w14:paraId="298278EC" w14:textId="77777777" w:rsidTr="00A86222">
        <w:tc>
          <w:tcPr>
            <w:tcW w:w="2016" w:type="dxa"/>
            <w:shd w:val="clear" w:color="auto" w:fill="F2F2F2" w:themeFill="background1" w:themeFillShade="F2"/>
          </w:tcPr>
          <w:p w14:paraId="17008D96" w14:textId="77777777" w:rsidR="00551C5C"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Cultural misinterpretation</w:t>
            </w:r>
          </w:p>
        </w:tc>
        <w:tc>
          <w:tcPr>
            <w:tcW w:w="2020" w:type="dxa"/>
            <w:shd w:val="clear" w:color="auto" w:fill="F2F2F2" w:themeFill="background1" w:themeFillShade="F2"/>
          </w:tcPr>
          <w:p w14:paraId="0B447043"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Reputational damage and offence </w:t>
            </w:r>
          </w:p>
        </w:tc>
        <w:tc>
          <w:tcPr>
            <w:tcW w:w="1344" w:type="dxa"/>
            <w:shd w:val="clear" w:color="auto" w:fill="F2F2F2" w:themeFill="background1" w:themeFillShade="F2"/>
          </w:tcPr>
          <w:p w14:paraId="5B9379BA"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Lower </w:t>
            </w:r>
          </w:p>
        </w:tc>
        <w:tc>
          <w:tcPr>
            <w:tcW w:w="1444" w:type="dxa"/>
            <w:shd w:val="clear" w:color="auto" w:fill="F2F2F2" w:themeFill="background1" w:themeFillShade="F2"/>
          </w:tcPr>
          <w:p w14:paraId="43B1C809"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Higher </w:t>
            </w:r>
          </w:p>
        </w:tc>
        <w:tc>
          <w:tcPr>
            <w:tcW w:w="2621" w:type="dxa"/>
            <w:shd w:val="clear" w:color="auto" w:fill="F2F2F2" w:themeFill="background1" w:themeFillShade="F2"/>
          </w:tcPr>
          <w:p w14:paraId="1653D797" w14:textId="77777777" w:rsidR="00551C5C"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Ensuring accurate presentation and hiring cultural experts </w:t>
            </w:r>
          </w:p>
        </w:tc>
      </w:tr>
      <w:tr w:rsidR="00F0786C" w14:paraId="5190EB30" w14:textId="77777777" w:rsidTr="00A86222">
        <w:tc>
          <w:tcPr>
            <w:tcW w:w="2016" w:type="dxa"/>
            <w:shd w:val="clear" w:color="auto" w:fill="F2F2F2" w:themeFill="background1" w:themeFillShade="F2"/>
          </w:tcPr>
          <w:p w14:paraId="0D65D100" w14:textId="77777777" w:rsidR="00A86222"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Staff shortage </w:t>
            </w:r>
          </w:p>
        </w:tc>
        <w:tc>
          <w:tcPr>
            <w:tcW w:w="2020" w:type="dxa"/>
            <w:shd w:val="clear" w:color="auto" w:fill="F2F2F2" w:themeFill="background1" w:themeFillShade="F2"/>
          </w:tcPr>
          <w:p w14:paraId="160FA99F"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Lower service efficiency and compromised experience of travellers </w:t>
            </w:r>
          </w:p>
        </w:tc>
        <w:tc>
          <w:tcPr>
            <w:tcW w:w="1344" w:type="dxa"/>
            <w:shd w:val="clear" w:color="auto" w:fill="F2F2F2" w:themeFill="background1" w:themeFillShade="F2"/>
          </w:tcPr>
          <w:p w14:paraId="71EAEA36"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Moderate </w:t>
            </w:r>
          </w:p>
        </w:tc>
        <w:tc>
          <w:tcPr>
            <w:tcW w:w="1444" w:type="dxa"/>
            <w:shd w:val="clear" w:color="auto" w:fill="F2F2F2" w:themeFill="background1" w:themeFillShade="F2"/>
          </w:tcPr>
          <w:p w14:paraId="5C281553"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Moderate </w:t>
            </w:r>
          </w:p>
        </w:tc>
        <w:tc>
          <w:tcPr>
            <w:tcW w:w="2621" w:type="dxa"/>
            <w:shd w:val="clear" w:color="auto" w:fill="F2F2F2" w:themeFill="background1" w:themeFillShade="F2"/>
          </w:tcPr>
          <w:p w14:paraId="08C6E6CD"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Providing training and hiring experienced people </w:t>
            </w:r>
          </w:p>
        </w:tc>
      </w:tr>
      <w:tr w:rsidR="00F0786C" w14:paraId="365802A0" w14:textId="77777777" w:rsidTr="00A86222">
        <w:tc>
          <w:tcPr>
            <w:tcW w:w="2016" w:type="dxa"/>
            <w:shd w:val="clear" w:color="auto" w:fill="F2F2F2" w:themeFill="background1" w:themeFillShade="F2"/>
          </w:tcPr>
          <w:p w14:paraId="3F9B6A6D" w14:textId="77777777" w:rsidR="00A86222"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Environmental damage </w:t>
            </w:r>
          </w:p>
        </w:tc>
        <w:tc>
          <w:tcPr>
            <w:tcW w:w="2020" w:type="dxa"/>
            <w:shd w:val="clear" w:color="auto" w:fill="F2F2F2" w:themeFill="background1" w:themeFillShade="F2"/>
          </w:tcPr>
          <w:p w14:paraId="484EB735"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Dmage of parks, natural landscapes, and legal penalties </w:t>
            </w:r>
          </w:p>
        </w:tc>
        <w:tc>
          <w:tcPr>
            <w:tcW w:w="1344" w:type="dxa"/>
            <w:shd w:val="clear" w:color="auto" w:fill="F2F2F2" w:themeFill="background1" w:themeFillShade="F2"/>
          </w:tcPr>
          <w:p w14:paraId="0ED73D68"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Lower </w:t>
            </w:r>
          </w:p>
        </w:tc>
        <w:tc>
          <w:tcPr>
            <w:tcW w:w="1444" w:type="dxa"/>
            <w:shd w:val="clear" w:color="auto" w:fill="F2F2F2" w:themeFill="background1" w:themeFillShade="F2"/>
          </w:tcPr>
          <w:p w14:paraId="725B6764"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Higher </w:t>
            </w:r>
          </w:p>
        </w:tc>
        <w:tc>
          <w:tcPr>
            <w:tcW w:w="2621" w:type="dxa"/>
            <w:shd w:val="clear" w:color="auto" w:fill="F2F2F2" w:themeFill="background1" w:themeFillShade="F2"/>
          </w:tcPr>
          <w:p w14:paraId="379A5267" w14:textId="77777777" w:rsidR="00A86222" w:rsidRPr="005C7198"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Guiding the adoption of green initiatives, fulfilling guidelines, and spreading awareness among people</w:t>
            </w:r>
          </w:p>
        </w:tc>
      </w:tr>
    </w:tbl>
    <w:p w14:paraId="6969795B" w14:textId="77777777" w:rsidR="00551C5C" w:rsidRPr="005C7198"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5C7198">
        <w:rPr>
          <w:rFonts w:ascii="Times New Roman" w:eastAsia="Times New Roman" w:hAnsi="Times New Roman" w:cs="Times New Roman"/>
          <w:b/>
          <w:color w:val="000000" w:themeColor="text1"/>
          <w:sz w:val="24"/>
          <w:szCs w:val="24"/>
        </w:rPr>
        <w:t xml:space="preserve">Table 5: Risk analysis </w:t>
      </w:r>
    </w:p>
    <w:p w14:paraId="0E6191F8" w14:textId="77777777" w:rsidR="008C39AC"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(Sorce: Self-created)</w:t>
      </w:r>
    </w:p>
    <w:p w14:paraId="5AAFFEEE" w14:textId="77777777" w:rsidR="005C7198" w:rsidRDefault="005C7198" w:rsidP="00172A85">
      <w:pPr>
        <w:spacing w:before="200" w:line="360" w:lineRule="auto"/>
        <w:jc w:val="center"/>
        <w:rPr>
          <w:rFonts w:ascii="Times New Roman" w:eastAsia="Times New Roman" w:hAnsi="Times New Roman" w:cs="Times New Roman"/>
          <w:color w:val="000000" w:themeColor="text1"/>
          <w:sz w:val="24"/>
          <w:szCs w:val="24"/>
        </w:rPr>
      </w:pPr>
    </w:p>
    <w:p w14:paraId="57015B3E" w14:textId="77777777" w:rsidR="005C7198" w:rsidRPr="005C7198" w:rsidRDefault="005C7198" w:rsidP="00172A85">
      <w:pPr>
        <w:spacing w:before="200" w:line="360" w:lineRule="auto"/>
        <w:jc w:val="center"/>
        <w:rPr>
          <w:rFonts w:ascii="Times New Roman" w:eastAsia="Times New Roman" w:hAnsi="Times New Roman" w:cs="Times New Roman"/>
          <w:color w:val="000000" w:themeColor="text1"/>
          <w:sz w:val="24"/>
          <w:szCs w:val="24"/>
        </w:rPr>
      </w:pPr>
    </w:p>
    <w:p w14:paraId="50299EE0" w14:textId="77777777" w:rsidR="00A86222" w:rsidRDefault="003A6482" w:rsidP="00172A85">
      <w:pPr>
        <w:spacing w:before="200" w:line="360" w:lineRule="auto"/>
        <w:jc w:val="both"/>
        <w:rPr>
          <w:rFonts w:ascii="Times New Roman" w:eastAsia="Times New Roman" w:hAnsi="Times New Roman" w:cs="Times New Roman"/>
          <w:b/>
          <w:bCs/>
          <w:color w:val="000000" w:themeColor="text1"/>
          <w:sz w:val="24"/>
          <w:szCs w:val="24"/>
          <w:u w:val="single"/>
        </w:rPr>
      </w:pPr>
      <w:r w:rsidRPr="005C7198">
        <w:rPr>
          <w:rFonts w:ascii="Times New Roman" w:eastAsia="Times New Roman" w:hAnsi="Times New Roman" w:cs="Times New Roman"/>
          <w:b/>
          <w:bCs/>
          <w:color w:val="000000" w:themeColor="text1"/>
          <w:sz w:val="24"/>
          <w:szCs w:val="24"/>
          <w:u w:val="single"/>
        </w:rPr>
        <w:lastRenderedPageBreak/>
        <w:t>Administration</w:t>
      </w:r>
    </w:p>
    <w:p w14:paraId="6CACF49C" w14:textId="77777777" w:rsidR="005C7198" w:rsidRPr="005C7198" w:rsidRDefault="005C7198" w:rsidP="00172A85">
      <w:pPr>
        <w:spacing w:before="200" w:line="360" w:lineRule="auto"/>
        <w:jc w:val="both"/>
        <w:rPr>
          <w:rFonts w:ascii="Times New Roman" w:eastAsia="Times New Roman" w:hAnsi="Times New Roman" w:cs="Times New Roman"/>
          <w:b/>
          <w:bCs/>
          <w:color w:val="000000" w:themeColor="text1"/>
          <w:sz w:val="24"/>
          <w:szCs w:val="24"/>
          <w:u w:val="single"/>
        </w:rPr>
      </w:pPr>
    </w:p>
    <w:p w14:paraId="67C0D1A9" w14:textId="77777777" w:rsidR="00A86222" w:rsidRPr="005C7198"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As per the PMBOK model, the administration domain will focus on human resource management, budget management, systems administration, legal compliance, and information management systems. Here, the human resource administration will include managing local artists, volunteers, technical staff, and other related professionals. Through a digital registration system and centralised event management process information and communication will be managed. Ensuring a permit from Snowdonia National Park will help to manage legal compliance. Then, all the project documentation will be managed as a part of administration by creating budget reports, and contracts, and storing other data on cloud platforms.  </w:t>
      </w:r>
    </w:p>
    <w:p w14:paraId="6B383BE0" w14:textId="77777777" w:rsidR="00901A81" w:rsidRPr="00172A85" w:rsidRDefault="003A6482" w:rsidP="00172A85">
      <w:pPr>
        <w:pStyle w:val="Heading1"/>
        <w:rPr>
          <w:color w:val="000000" w:themeColor="text1"/>
        </w:rPr>
      </w:pPr>
      <w:bookmarkStart w:id="10" w:name="_cqjfpet7gy40" w:colFirst="0" w:colLast="0"/>
      <w:bookmarkStart w:id="11" w:name="_Toc200744178"/>
      <w:bookmarkEnd w:id="10"/>
      <w:r w:rsidRPr="00172A85">
        <w:rPr>
          <w:color w:val="000000" w:themeColor="text1"/>
        </w:rPr>
        <w:t>6. Event Budget</w:t>
      </w:r>
      <w:bookmarkEnd w:id="11"/>
    </w:p>
    <w:p w14:paraId="675DE766"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Breakdown of expected Income and Expenditure</w:t>
      </w:r>
    </w:p>
    <w:tbl>
      <w:tblPr>
        <w:tblStyle w:val="Table5"/>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86C" w14:paraId="4F900440" w14:textId="77777777">
        <w:trPr>
          <w:jc w:val="center"/>
        </w:trPr>
        <w:tc>
          <w:tcPr>
            <w:tcW w:w="4680" w:type="dxa"/>
            <w:shd w:val="clear" w:color="auto" w:fill="D9EAD3"/>
            <w:tcMar>
              <w:top w:w="100" w:type="dxa"/>
              <w:left w:w="100" w:type="dxa"/>
              <w:bottom w:w="100" w:type="dxa"/>
              <w:right w:w="100" w:type="dxa"/>
            </w:tcMar>
          </w:tcPr>
          <w:p w14:paraId="18832AF8"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Cost Item</w:t>
            </w:r>
          </w:p>
        </w:tc>
        <w:tc>
          <w:tcPr>
            <w:tcW w:w="4680" w:type="dxa"/>
            <w:shd w:val="clear" w:color="auto" w:fill="D9EAD3"/>
            <w:tcMar>
              <w:top w:w="100" w:type="dxa"/>
              <w:left w:w="100" w:type="dxa"/>
              <w:bottom w:w="100" w:type="dxa"/>
              <w:right w:w="100" w:type="dxa"/>
            </w:tcMar>
          </w:tcPr>
          <w:p w14:paraId="7B1429AE"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Estimated Amount (£)</w:t>
            </w:r>
          </w:p>
        </w:tc>
      </w:tr>
      <w:tr w:rsidR="00F0786C" w14:paraId="0CCDCF9A" w14:textId="77777777">
        <w:trPr>
          <w:jc w:val="center"/>
        </w:trPr>
        <w:tc>
          <w:tcPr>
            <w:tcW w:w="4680" w:type="dxa"/>
            <w:shd w:val="clear" w:color="auto" w:fill="F3F3F3"/>
            <w:tcMar>
              <w:top w:w="100" w:type="dxa"/>
              <w:left w:w="100" w:type="dxa"/>
              <w:bottom w:w="100" w:type="dxa"/>
              <w:right w:w="100" w:type="dxa"/>
            </w:tcMar>
          </w:tcPr>
          <w:p w14:paraId="62FFF7D2"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Venue Rental and Permits</w:t>
            </w:r>
          </w:p>
        </w:tc>
        <w:tc>
          <w:tcPr>
            <w:tcW w:w="4680" w:type="dxa"/>
            <w:shd w:val="clear" w:color="auto" w:fill="F3F3F3"/>
            <w:tcMar>
              <w:top w:w="100" w:type="dxa"/>
              <w:left w:w="100" w:type="dxa"/>
              <w:bottom w:w="100" w:type="dxa"/>
              <w:right w:w="100" w:type="dxa"/>
            </w:tcMar>
          </w:tcPr>
          <w:p w14:paraId="10D314B3"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12,000</w:t>
            </w:r>
          </w:p>
        </w:tc>
      </w:tr>
      <w:tr w:rsidR="00F0786C" w14:paraId="30FF45E9" w14:textId="77777777">
        <w:trPr>
          <w:jc w:val="center"/>
        </w:trPr>
        <w:tc>
          <w:tcPr>
            <w:tcW w:w="4680" w:type="dxa"/>
            <w:shd w:val="clear" w:color="auto" w:fill="F3F3F3"/>
            <w:tcMar>
              <w:top w:w="100" w:type="dxa"/>
              <w:left w:w="100" w:type="dxa"/>
              <w:bottom w:w="100" w:type="dxa"/>
              <w:right w:w="100" w:type="dxa"/>
            </w:tcMar>
          </w:tcPr>
          <w:p w14:paraId="4EA1FFBE"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Marketing and Advertising</w:t>
            </w:r>
          </w:p>
        </w:tc>
        <w:tc>
          <w:tcPr>
            <w:tcW w:w="4680" w:type="dxa"/>
            <w:shd w:val="clear" w:color="auto" w:fill="F3F3F3"/>
            <w:tcMar>
              <w:top w:w="100" w:type="dxa"/>
              <w:left w:w="100" w:type="dxa"/>
              <w:bottom w:w="100" w:type="dxa"/>
              <w:right w:w="100" w:type="dxa"/>
            </w:tcMar>
          </w:tcPr>
          <w:p w14:paraId="37DCE9BA"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15,000</w:t>
            </w:r>
          </w:p>
        </w:tc>
      </w:tr>
      <w:tr w:rsidR="00F0786C" w14:paraId="52FCA958" w14:textId="77777777">
        <w:trPr>
          <w:jc w:val="center"/>
        </w:trPr>
        <w:tc>
          <w:tcPr>
            <w:tcW w:w="4680" w:type="dxa"/>
            <w:shd w:val="clear" w:color="auto" w:fill="F3F3F3"/>
            <w:tcMar>
              <w:top w:w="100" w:type="dxa"/>
              <w:left w:w="100" w:type="dxa"/>
              <w:bottom w:w="100" w:type="dxa"/>
              <w:right w:w="100" w:type="dxa"/>
            </w:tcMar>
          </w:tcPr>
          <w:p w14:paraId="4C29BE1B"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Staff Wages and Performer Fees</w:t>
            </w:r>
          </w:p>
        </w:tc>
        <w:tc>
          <w:tcPr>
            <w:tcW w:w="4680" w:type="dxa"/>
            <w:shd w:val="clear" w:color="auto" w:fill="F3F3F3"/>
            <w:tcMar>
              <w:top w:w="100" w:type="dxa"/>
              <w:left w:w="100" w:type="dxa"/>
              <w:bottom w:w="100" w:type="dxa"/>
              <w:right w:w="100" w:type="dxa"/>
            </w:tcMar>
          </w:tcPr>
          <w:p w14:paraId="786EF011"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20,000</w:t>
            </w:r>
          </w:p>
        </w:tc>
      </w:tr>
      <w:tr w:rsidR="00F0786C" w14:paraId="60CA87E2" w14:textId="77777777">
        <w:trPr>
          <w:jc w:val="center"/>
        </w:trPr>
        <w:tc>
          <w:tcPr>
            <w:tcW w:w="4680" w:type="dxa"/>
            <w:shd w:val="clear" w:color="auto" w:fill="F3F3F3"/>
            <w:tcMar>
              <w:top w:w="100" w:type="dxa"/>
              <w:left w:w="100" w:type="dxa"/>
              <w:bottom w:w="100" w:type="dxa"/>
              <w:right w:w="100" w:type="dxa"/>
            </w:tcMar>
          </w:tcPr>
          <w:p w14:paraId="41F987D6"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Catering and Supplies</w:t>
            </w:r>
          </w:p>
        </w:tc>
        <w:tc>
          <w:tcPr>
            <w:tcW w:w="4680" w:type="dxa"/>
            <w:shd w:val="clear" w:color="auto" w:fill="F3F3F3"/>
            <w:tcMar>
              <w:top w:w="100" w:type="dxa"/>
              <w:left w:w="100" w:type="dxa"/>
              <w:bottom w:w="100" w:type="dxa"/>
              <w:right w:w="100" w:type="dxa"/>
            </w:tcMar>
          </w:tcPr>
          <w:p w14:paraId="1CDCE1AE"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10,000</w:t>
            </w:r>
          </w:p>
        </w:tc>
      </w:tr>
      <w:tr w:rsidR="00F0786C" w14:paraId="73C4D964" w14:textId="77777777">
        <w:trPr>
          <w:jc w:val="center"/>
        </w:trPr>
        <w:tc>
          <w:tcPr>
            <w:tcW w:w="4680" w:type="dxa"/>
            <w:shd w:val="clear" w:color="auto" w:fill="F3F3F3"/>
            <w:tcMar>
              <w:top w:w="100" w:type="dxa"/>
              <w:left w:w="100" w:type="dxa"/>
              <w:bottom w:w="100" w:type="dxa"/>
              <w:right w:w="100" w:type="dxa"/>
            </w:tcMar>
          </w:tcPr>
          <w:p w14:paraId="54CBC15E"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Equipment Rental ( lighting, stage, sound)</w:t>
            </w:r>
          </w:p>
        </w:tc>
        <w:tc>
          <w:tcPr>
            <w:tcW w:w="4680" w:type="dxa"/>
            <w:shd w:val="clear" w:color="auto" w:fill="F3F3F3"/>
            <w:tcMar>
              <w:top w:w="100" w:type="dxa"/>
              <w:left w:w="100" w:type="dxa"/>
              <w:bottom w:w="100" w:type="dxa"/>
              <w:right w:w="100" w:type="dxa"/>
            </w:tcMar>
          </w:tcPr>
          <w:p w14:paraId="27C60BF1"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18,000</w:t>
            </w:r>
          </w:p>
        </w:tc>
      </w:tr>
      <w:tr w:rsidR="00F0786C" w14:paraId="4195CCF4" w14:textId="77777777">
        <w:trPr>
          <w:jc w:val="center"/>
        </w:trPr>
        <w:tc>
          <w:tcPr>
            <w:tcW w:w="4680" w:type="dxa"/>
            <w:shd w:val="clear" w:color="auto" w:fill="F3F3F3"/>
            <w:tcMar>
              <w:top w:w="100" w:type="dxa"/>
              <w:left w:w="100" w:type="dxa"/>
              <w:bottom w:w="100" w:type="dxa"/>
              <w:right w:w="100" w:type="dxa"/>
            </w:tcMar>
          </w:tcPr>
          <w:p w14:paraId="61D4BE0C"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Logistics (transport, parking)</w:t>
            </w:r>
          </w:p>
        </w:tc>
        <w:tc>
          <w:tcPr>
            <w:tcW w:w="4680" w:type="dxa"/>
            <w:shd w:val="clear" w:color="auto" w:fill="F3F3F3"/>
            <w:tcMar>
              <w:top w:w="100" w:type="dxa"/>
              <w:left w:w="100" w:type="dxa"/>
              <w:bottom w:w="100" w:type="dxa"/>
              <w:right w:w="100" w:type="dxa"/>
            </w:tcMar>
          </w:tcPr>
          <w:p w14:paraId="398BC1C7"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7,000</w:t>
            </w:r>
          </w:p>
        </w:tc>
      </w:tr>
      <w:tr w:rsidR="00F0786C" w14:paraId="2A76B39B" w14:textId="77777777">
        <w:trPr>
          <w:jc w:val="center"/>
        </w:trPr>
        <w:tc>
          <w:tcPr>
            <w:tcW w:w="4680" w:type="dxa"/>
            <w:shd w:val="clear" w:color="auto" w:fill="F3F3F3"/>
            <w:tcMar>
              <w:top w:w="100" w:type="dxa"/>
              <w:left w:w="100" w:type="dxa"/>
              <w:bottom w:w="100" w:type="dxa"/>
              <w:right w:w="100" w:type="dxa"/>
            </w:tcMar>
          </w:tcPr>
          <w:p w14:paraId="2AE4886E"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Insurance and Security</w:t>
            </w:r>
          </w:p>
        </w:tc>
        <w:tc>
          <w:tcPr>
            <w:tcW w:w="4680" w:type="dxa"/>
            <w:shd w:val="clear" w:color="auto" w:fill="F3F3F3"/>
            <w:tcMar>
              <w:top w:w="100" w:type="dxa"/>
              <w:left w:w="100" w:type="dxa"/>
              <w:bottom w:w="100" w:type="dxa"/>
              <w:right w:w="100" w:type="dxa"/>
            </w:tcMar>
          </w:tcPr>
          <w:p w14:paraId="1C52AAFF"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8,000</w:t>
            </w:r>
          </w:p>
        </w:tc>
      </w:tr>
      <w:tr w:rsidR="00F0786C" w14:paraId="62AB9471" w14:textId="77777777">
        <w:trPr>
          <w:jc w:val="center"/>
        </w:trPr>
        <w:tc>
          <w:tcPr>
            <w:tcW w:w="4680" w:type="dxa"/>
            <w:shd w:val="clear" w:color="auto" w:fill="F3F3F3"/>
            <w:tcMar>
              <w:top w:w="100" w:type="dxa"/>
              <w:left w:w="100" w:type="dxa"/>
              <w:bottom w:w="100" w:type="dxa"/>
              <w:right w:w="100" w:type="dxa"/>
            </w:tcMar>
          </w:tcPr>
          <w:p w14:paraId="26D51947"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Total Estimated Costs</w:t>
            </w:r>
          </w:p>
        </w:tc>
        <w:tc>
          <w:tcPr>
            <w:tcW w:w="4680" w:type="dxa"/>
            <w:shd w:val="clear" w:color="auto" w:fill="F3F3F3"/>
            <w:tcMar>
              <w:top w:w="100" w:type="dxa"/>
              <w:left w:w="100" w:type="dxa"/>
              <w:bottom w:w="100" w:type="dxa"/>
              <w:right w:w="100" w:type="dxa"/>
            </w:tcMar>
          </w:tcPr>
          <w:p w14:paraId="583775B5" w14:textId="77777777" w:rsidR="00901A81" w:rsidRPr="00172A85" w:rsidRDefault="003A6482" w:rsidP="00172A8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90,000</w:t>
            </w:r>
          </w:p>
        </w:tc>
      </w:tr>
    </w:tbl>
    <w:p w14:paraId="6B6A9E45"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Table </w:t>
      </w:r>
      <w:r w:rsidR="00551C5C" w:rsidRPr="00172A85">
        <w:rPr>
          <w:rFonts w:ascii="Times New Roman" w:eastAsia="Times New Roman" w:hAnsi="Times New Roman" w:cs="Times New Roman"/>
          <w:b/>
          <w:color w:val="000000" w:themeColor="text1"/>
          <w:sz w:val="24"/>
          <w:szCs w:val="24"/>
        </w:rPr>
        <w:t>6</w:t>
      </w:r>
      <w:r w:rsidRPr="00172A85">
        <w:rPr>
          <w:rFonts w:ascii="Times New Roman" w:eastAsia="Times New Roman" w:hAnsi="Times New Roman" w:cs="Times New Roman"/>
          <w:b/>
          <w:color w:val="000000" w:themeColor="text1"/>
          <w:sz w:val="24"/>
          <w:szCs w:val="24"/>
        </w:rPr>
        <w:t>: Expected expenditure</w:t>
      </w:r>
    </w:p>
    <w:p w14:paraId="7446BA7E"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(Sorce: Self-created)</w:t>
      </w:r>
    </w:p>
    <w:tbl>
      <w:tblPr>
        <w:tblStyle w:val="Table6"/>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86C" w14:paraId="7DD3F218" w14:textId="77777777">
        <w:trPr>
          <w:jc w:val="center"/>
        </w:trPr>
        <w:tc>
          <w:tcPr>
            <w:tcW w:w="4680" w:type="dxa"/>
            <w:shd w:val="clear" w:color="auto" w:fill="FCE5CD"/>
            <w:tcMar>
              <w:top w:w="100" w:type="dxa"/>
              <w:left w:w="100" w:type="dxa"/>
              <w:bottom w:w="100" w:type="dxa"/>
              <w:right w:w="100" w:type="dxa"/>
            </w:tcMar>
          </w:tcPr>
          <w:p w14:paraId="586D76AC" w14:textId="77777777" w:rsidR="00901A81" w:rsidRPr="00172A85" w:rsidRDefault="003A6482" w:rsidP="00172A85">
            <w:pPr>
              <w:widowControl w:val="0"/>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lastRenderedPageBreak/>
              <w:t>Income areas</w:t>
            </w:r>
          </w:p>
        </w:tc>
        <w:tc>
          <w:tcPr>
            <w:tcW w:w="4680" w:type="dxa"/>
            <w:shd w:val="clear" w:color="auto" w:fill="FCE5CD"/>
            <w:tcMar>
              <w:top w:w="100" w:type="dxa"/>
              <w:left w:w="100" w:type="dxa"/>
              <w:bottom w:w="100" w:type="dxa"/>
              <w:right w:w="100" w:type="dxa"/>
            </w:tcMar>
          </w:tcPr>
          <w:p w14:paraId="7A6E8AE8" w14:textId="77777777" w:rsidR="00901A81" w:rsidRPr="00172A85" w:rsidRDefault="003A6482" w:rsidP="00172A85">
            <w:pPr>
              <w:widowControl w:val="0"/>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Estimated Amount (£)</w:t>
            </w:r>
          </w:p>
        </w:tc>
      </w:tr>
      <w:tr w:rsidR="00F0786C" w14:paraId="7B59DF19" w14:textId="77777777">
        <w:trPr>
          <w:jc w:val="center"/>
        </w:trPr>
        <w:tc>
          <w:tcPr>
            <w:tcW w:w="4680" w:type="dxa"/>
            <w:shd w:val="clear" w:color="auto" w:fill="F3F3F3"/>
            <w:tcMar>
              <w:top w:w="100" w:type="dxa"/>
              <w:left w:w="100" w:type="dxa"/>
              <w:bottom w:w="100" w:type="dxa"/>
              <w:right w:w="100" w:type="dxa"/>
            </w:tcMar>
          </w:tcPr>
          <w:p w14:paraId="46FB80D3"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Ticket Sales (general, family, group)</w:t>
            </w:r>
          </w:p>
        </w:tc>
        <w:tc>
          <w:tcPr>
            <w:tcW w:w="4680" w:type="dxa"/>
            <w:shd w:val="clear" w:color="auto" w:fill="F3F3F3"/>
            <w:tcMar>
              <w:top w:w="100" w:type="dxa"/>
              <w:left w:w="100" w:type="dxa"/>
              <w:bottom w:w="100" w:type="dxa"/>
              <w:right w:w="100" w:type="dxa"/>
            </w:tcMar>
          </w:tcPr>
          <w:p w14:paraId="3989ED1A"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40,000</w:t>
            </w:r>
          </w:p>
        </w:tc>
      </w:tr>
      <w:tr w:rsidR="00F0786C" w14:paraId="4C35DF59" w14:textId="77777777">
        <w:trPr>
          <w:jc w:val="center"/>
        </w:trPr>
        <w:tc>
          <w:tcPr>
            <w:tcW w:w="4680" w:type="dxa"/>
            <w:shd w:val="clear" w:color="auto" w:fill="F3F3F3"/>
            <w:tcMar>
              <w:top w:w="100" w:type="dxa"/>
              <w:left w:w="100" w:type="dxa"/>
              <w:bottom w:w="100" w:type="dxa"/>
              <w:right w:w="100" w:type="dxa"/>
            </w:tcMar>
          </w:tcPr>
          <w:p w14:paraId="41D0CE6C"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Vendor Fees (food and craft stalls)</w:t>
            </w:r>
          </w:p>
        </w:tc>
        <w:tc>
          <w:tcPr>
            <w:tcW w:w="4680" w:type="dxa"/>
            <w:shd w:val="clear" w:color="auto" w:fill="F3F3F3"/>
            <w:tcMar>
              <w:top w:w="100" w:type="dxa"/>
              <w:left w:w="100" w:type="dxa"/>
              <w:bottom w:w="100" w:type="dxa"/>
              <w:right w:w="100" w:type="dxa"/>
            </w:tcMar>
          </w:tcPr>
          <w:p w14:paraId="028BE752"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10,000</w:t>
            </w:r>
          </w:p>
        </w:tc>
      </w:tr>
      <w:tr w:rsidR="00F0786C" w14:paraId="0BB51519" w14:textId="77777777">
        <w:trPr>
          <w:jc w:val="center"/>
        </w:trPr>
        <w:tc>
          <w:tcPr>
            <w:tcW w:w="4680" w:type="dxa"/>
            <w:shd w:val="clear" w:color="auto" w:fill="F3F3F3"/>
            <w:tcMar>
              <w:top w:w="100" w:type="dxa"/>
              <w:left w:w="100" w:type="dxa"/>
              <w:bottom w:w="100" w:type="dxa"/>
              <w:right w:w="100" w:type="dxa"/>
            </w:tcMar>
          </w:tcPr>
          <w:p w14:paraId="49C639C4"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Sponsorships (Welsh Tourism Board, local businesses)</w:t>
            </w:r>
          </w:p>
        </w:tc>
        <w:tc>
          <w:tcPr>
            <w:tcW w:w="4680" w:type="dxa"/>
            <w:shd w:val="clear" w:color="auto" w:fill="F3F3F3"/>
            <w:tcMar>
              <w:top w:w="100" w:type="dxa"/>
              <w:left w:w="100" w:type="dxa"/>
              <w:bottom w:w="100" w:type="dxa"/>
              <w:right w:w="100" w:type="dxa"/>
            </w:tcMar>
          </w:tcPr>
          <w:p w14:paraId="54A2FC47"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25,000</w:t>
            </w:r>
          </w:p>
        </w:tc>
      </w:tr>
      <w:tr w:rsidR="00F0786C" w14:paraId="015EEACB" w14:textId="77777777">
        <w:trPr>
          <w:jc w:val="center"/>
        </w:trPr>
        <w:tc>
          <w:tcPr>
            <w:tcW w:w="4680" w:type="dxa"/>
            <w:shd w:val="clear" w:color="auto" w:fill="F3F3F3"/>
            <w:tcMar>
              <w:top w:w="100" w:type="dxa"/>
              <w:left w:w="100" w:type="dxa"/>
              <w:bottom w:w="100" w:type="dxa"/>
              <w:right w:w="100" w:type="dxa"/>
            </w:tcMar>
          </w:tcPr>
          <w:p w14:paraId="3CF729BD"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Merchandise Sales (souvenirs, crafts)</w:t>
            </w:r>
          </w:p>
        </w:tc>
        <w:tc>
          <w:tcPr>
            <w:tcW w:w="4680" w:type="dxa"/>
            <w:shd w:val="clear" w:color="auto" w:fill="F3F3F3"/>
            <w:tcMar>
              <w:top w:w="100" w:type="dxa"/>
              <w:left w:w="100" w:type="dxa"/>
              <w:bottom w:w="100" w:type="dxa"/>
              <w:right w:w="100" w:type="dxa"/>
            </w:tcMar>
          </w:tcPr>
          <w:p w14:paraId="71090057"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8,000</w:t>
            </w:r>
          </w:p>
        </w:tc>
      </w:tr>
      <w:tr w:rsidR="00F0786C" w14:paraId="7F2BE616" w14:textId="77777777">
        <w:trPr>
          <w:jc w:val="center"/>
        </w:trPr>
        <w:tc>
          <w:tcPr>
            <w:tcW w:w="4680" w:type="dxa"/>
            <w:shd w:val="clear" w:color="auto" w:fill="F3F3F3"/>
            <w:tcMar>
              <w:top w:w="100" w:type="dxa"/>
              <w:left w:w="100" w:type="dxa"/>
              <w:bottom w:w="100" w:type="dxa"/>
              <w:right w:w="100" w:type="dxa"/>
            </w:tcMar>
          </w:tcPr>
          <w:p w14:paraId="3162117D"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Grants (cultural and heritage promotion)</w:t>
            </w:r>
          </w:p>
        </w:tc>
        <w:tc>
          <w:tcPr>
            <w:tcW w:w="4680" w:type="dxa"/>
            <w:shd w:val="clear" w:color="auto" w:fill="F3F3F3"/>
            <w:tcMar>
              <w:top w:w="100" w:type="dxa"/>
              <w:left w:w="100" w:type="dxa"/>
              <w:bottom w:w="100" w:type="dxa"/>
              <w:right w:w="100" w:type="dxa"/>
            </w:tcMar>
          </w:tcPr>
          <w:p w14:paraId="1A45B48B" w14:textId="77777777" w:rsidR="00901A81" w:rsidRPr="00172A85" w:rsidRDefault="003A6482" w:rsidP="00172A85">
            <w:pPr>
              <w:widowControl w:val="0"/>
              <w:spacing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15,000</w:t>
            </w:r>
          </w:p>
        </w:tc>
      </w:tr>
      <w:tr w:rsidR="00F0786C" w14:paraId="09B9377C" w14:textId="77777777">
        <w:trPr>
          <w:jc w:val="center"/>
        </w:trPr>
        <w:tc>
          <w:tcPr>
            <w:tcW w:w="4680" w:type="dxa"/>
            <w:shd w:val="clear" w:color="auto" w:fill="F3F3F3"/>
            <w:tcMar>
              <w:top w:w="100" w:type="dxa"/>
              <w:left w:w="100" w:type="dxa"/>
              <w:bottom w:w="100" w:type="dxa"/>
              <w:right w:w="100" w:type="dxa"/>
            </w:tcMar>
          </w:tcPr>
          <w:p w14:paraId="5226DB48" w14:textId="77777777" w:rsidR="00901A81" w:rsidRPr="00172A85" w:rsidRDefault="003A6482" w:rsidP="00172A85">
            <w:pPr>
              <w:widowControl w:val="0"/>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Total Estimated Income</w:t>
            </w:r>
          </w:p>
        </w:tc>
        <w:tc>
          <w:tcPr>
            <w:tcW w:w="4680" w:type="dxa"/>
            <w:shd w:val="clear" w:color="auto" w:fill="F3F3F3"/>
            <w:tcMar>
              <w:top w:w="100" w:type="dxa"/>
              <w:left w:w="100" w:type="dxa"/>
              <w:bottom w:w="100" w:type="dxa"/>
              <w:right w:w="100" w:type="dxa"/>
            </w:tcMar>
          </w:tcPr>
          <w:p w14:paraId="37B73000" w14:textId="77777777" w:rsidR="00901A81" w:rsidRPr="00172A85" w:rsidRDefault="003A6482" w:rsidP="00172A85">
            <w:pPr>
              <w:widowControl w:val="0"/>
              <w:spacing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98,000</w:t>
            </w:r>
          </w:p>
        </w:tc>
      </w:tr>
    </w:tbl>
    <w:p w14:paraId="21924E77"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Table </w:t>
      </w:r>
      <w:r w:rsidR="00551C5C" w:rsidRPr="00172A85">
        <w:rPr>
          <w:rFonts w:ascii="Times New Roman" w:eastAsia="Times New Roman" w:hAnsi="Times New Roman" w:cs="Times New Roman"/>
          <w:b/>
          <w:color w:val="000000" w:themeColor="text1"/>
          <w:sz w:val="24"/>
          <w:szCs w:val="24"/>
        </w:rPr>
        <w:t>7</w:t>
      </w:r>
      <w:r w:rsidRPr="00172A85">
        <w:rPr>
          <w:rFonts w:ascii="Times New Roman" w:eastAsia="Times New Roman" w:hAnsi="Times New Roman" w:cs="Times New Roman"/>
          <w:b/>
          <w:color w:val="000000" w:themeColor="text1"/>
          <w:sz w:val="24"/>
          <w:szCs w:val="24"/>
        </w:rPr>
        <w:t>: Expected Income</w:t>
      </w:r>
    </w:p>
    <w:p w14:paraId="04D8EA79"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(Sorce: Self-created)</w:t>
      </w:r>
    </w:p>
    <w:p w14:paraId="10A7E320"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Analysis of costs</w:t>
      </w:r>
      <w:r w:rsidRPr="00172A85">
        <w:rPr>
          <w:rFonts w:ascii="Times New Roman" w:eastAsia="Times New Roman" w:hAnsi="Times New Roman" w:cs="Times New Roman"/>
          <w:color w:val="000000" w:themeColor="text1"/>
          <w:sz w:val="24"/>
          <w:szCs w:val="24"/>
        </w:rPr>
        <w:t xml:space="preserve">: The cost of the vent contains seeking permits for the venue of Snowdonia National Park. Investment is also required in marketing and advertising for the event which will increase the visibility of the event. Cost is also required for providing traditional beverages and meals of Welsh based on the needs of visitors. A contingency fund must be created to deal with unforeseen costs related to the event (Brunet </w:t>
      </w:r>
      <w:r w:rsidRPr="00172A85">
        <w:rPr>
          <w:rFonts w:ascii="Times New Roman" w:eastAsia="Times New Roman" w:hAnsi="Times New Roman" w:cs="Times New Roman"/>
          <w:i/>
          <w:color w:val="000000" w:themeColor="text1"/>
          <w:sz w:val="24"/>
          <w:szCs w:val="24"/>
        </w:rPr>
        <w:t>et al.</w:t>
      </w:r>
      <w:r w:rsidRPr="00172A85">
        <w:rPr>
          <w:rFonts w:ascii="Times New Roman" w:eastAsia="Times New Roman" w:hAnsi="Times New Roman" w:cs="Times New Roman"/>
          <w:color w:val="000000" w:themeColor="text1"/>
          <w:sz w:val="24"/>
          <w:szCs w:val="24"/>
        </w:rPr>
        <w:t xml:space="preserve"> 2021).      </w:t>
      </w:r>
    </w:p>
    <w:p w14:paraId="13C0FAD3"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Funding sources</w:t>
      </w:r>
      <w:r w:rsidRPr="00172A85">
        <w:rPr>
          <w:rFonts w:ascii="Times New Roman" w:eastAsia="Times New Roman" w:hAnsi="Times New Roman" w:cs="Times New Roman"/>
          <w:color w:val="000000" w:themeColor="text1"/>
          <w:sz w:val="24"/>
          <w:szCs w:val="24"/>
        </w:rPr>
        <w:t xml:space="preserve">: Government of the UK or Wales providing assistance to promote cultural heritage and achieve national tourism plans. The 'Year of Croeso' is experiencing small-scale capital grants in 2025-2026 to adopt weather-proofing measures and support tourism attractions (Gov. Wales, 2025). Partnering with regional food producers, cultural associations, and hotels is required to collect promotional funds.    </w:t>
      </w:r>
    </w:p>
    <w:p w14:paraId="6D632CF8"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Income generation related to the meeting/event</w:t>
      </w:r>
      <w:r w:rsidRPr="00172A85">
        <w:rPr>
          <w:rFonts w:ascii="Times New Roman" w:eastAsia="Times New Roman" w:hAnsi="Times New Roman" w:cs="Times New Roman"/>
          <w:color w:val="000000" w:themeColor="text1"/>
          <w:sz w:val="24"/>
          <w:szCs w:val="24"/>
        </w:rPr>
        <w:t xml:space="preserve">: The income will be generated from the event through offering ticket sales, selling premium passes, and selling gift items. Through on-site product selling like local craft and souvenirs revenue can be generated. Partnering with hotels and selling packages will be beneficial to generate income.    </w:t>
      </w:r>
    </w:p>
    <w:p w14:paraId="10C10867" w14:textId="77777777" w:rsidR="00901A81" w:rsidRPr="00172A85" w:rsidRDefault="003A6482" w:rsidP="00172A85">
      <w:pPr>
        <w:pStyle w:val="Heading1"/>
        <w:rPr>
          <w:color w:val="000000" w:themeColor="text1"/>
        </w:rPr>
      </w:pPr>
      <w:bookmarkStart w:id="12" w:name="_4czfuhrxbrma" w:colFirst="0" w:colLast="0"/>
      <w:bookmarkStart w:id="13" w:name="_Toc200744179"/>
      <w:bookmarkEnd w:id="12"/>
      <w:r w:rsidRPr="00172A85">
        <w:rPr>
          <w:color w:val="000000" w:themeColor="text1"/>
        </w:rPr>
        <w:lastRenderedPageBreak/>
        <w:t>7. Industry Trends / Issues / Impacts</w:t>
      </w:r>
      <w:bookmarkEnd w:id="13"/>
      <w:r w:rsidRPr="00172A85">
        <w:rPr>
          <w:color w:val="000000" w:themeColor="text1"/>
        </w:rPr>
        <w:t xml:space="preserve"> </w:t>
      </w:r>
    </w:p>
    <w:p w14:paraId="586C16E2"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The event of “</w:t>
      </w:r>
      <w:r w:rsidRPr="00172A85">
        <w:rPr>
          <w:rFonts w:ascii="Times New Roman" w:eastAsia="Times New Roman" w:hAnsi="Times New Roman" w:cs="Times New Roman"/>
          <w:i/>
          <w:color w:val="000000" w:themeColor="text1"/>
          <w:sz w:val="24"/>
          <w:szCs w:val="24"/>
        </w:rPr>
        <w:t>Welsh Legends &amp; Landscapes”</w:t>
      </w:r>
      <w:r w:rsidRPr="00172A85">
        <w:rPr>
          <w:rFonts w:ascii="Times New Roman" w:eastAsia="Times New Roman" w:hAnsi="Times New Roman" w:cs="Times New Roman"/>
          <w:color w:val="000000" w:themeColor="text1"/>
          <w:sz w:val="24"/>
          <w:szCs w:val="24"/>
        </w:rPr>
        <w:t xml:space="preserve"> was affected by diverse issues and trends in the industry that impacted its overall performance. </w:t>
      </w:r>
    </w:p>
    <w:tbl>
      <w:tblPr>
        <w:tblStyle w:val="Table7"/>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2895"/>
        <w:gridCol w:w="4755"/>
      </w:tblGrid>
      <w:tr w:rsidR="00F0786C" w14:paraId="3491F1B2" w14:textId="77777777">
        <w:trPr>
          <w:jc w:val="center"/>
        </w:trPr>
        <w:tc>
          <w:tcPr>
            <w:tcW w:w="1710" w:type="dxa"/>
            <w:shd w:val="clear" w:color="auto" w:fill="EAD1DC"/>
            <w:tcMar>
              <w:top w:w="100" w:type="dxa"/>
              <w:left w:w="100" w:type="dxa"/>
              <w:bottom w:w="100" w:type="dxa"/>
              <w:right w:w="100" w:type="dxa"/>
            </w:tcMar>
          </w:tcPr>
          <w:p w14:paraId="45B6B02C"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Issues/Trends</w:t>
            </w:r>
          </w:p>
        </w:tc>
        <w:tc>
          <w:tcPr>
            <w:tcW w:w="2895" w:type="dxa"/>
            <w:shd w:val="clear" w:color="auto" w:fill="EAD1DC"/>
            <w:tcMar>
              <w:top w:w="100" w:type="dxa"/>
              <w:left w:w="100" w:type="dxa"/>
              <w:bottom w:w="100" w:type="dxa"/>
              <w:right w:w="100" w:type="dxa"/>
            </w:tcMar>
          </w:tcPr>
          <w:p w14:paraId="0C915A2F"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Illustration </w:t>
            </w:r>
          </w:p>
        </w:tc>
        <w:tc>
          <w:tcPr>
            <w:tcW w:w="4755" w:type="dxa"/>
            <w:shd w:val="clear" w:color="auto" w:fill="EAD1DC"/>
            <w:tcMar>
              <w:top w:w="100" w:type="dxa"/>
              <w:left w:w="100" w:type="dxa"/>
              <w:bottom w:w="100" w:type="dxa"/>
              <w:right w:w="100" w:type="dxa"/>
            </w:tcMar>
          </w:tcPr>
          <w:p w14:paraId="3F3D7A84"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Impact on the Welsh project</w:t>
            </w:r>
          </w:p>
        </w:tc>
      </w:tr>
      <w:tr w:rsidR="00F0786C" w14:paraId="71DB7618" w14:textId="77777777">
        <w:trPr>
          <w:jc w:val="center"/>
        </w:trPr>
        <w:tc>
          <w:tcPr>
            <w:tcW w:w="1710" w:type="dxa"/>
            <w:shd w:val="clear" w:color="auto" w:fill="F3F3F3"/>
            <w:tcMar>
              <w:top w:w="100" w:type="dxa"/>
              <w:left w:w="100" w:type="dxa"/>
              <w:bottom w:w="100" w:type="dxa"/>
              <w:right w:w="100" w:type="dxa"/>
            </w:tcMar>
          </w:tcPr>
          <w:p w14:paraId="5DF2080A"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Demand for sustainable tourism </w:t>
            </w:r>
          </w:p>
        </w:tc>
        <w:tc>
          <w:tcPr>
            <w:tcW w:w="2895" w:type="dxa"/>
            <w:shd w:val="clear" w:color="auto" w:fill="F3F3F3"/>
            <w:tcMar>
              <w:top w:w="100" w:type="dxa"/>
              <w:left w:w="100" w:type="dxa"/>
              <w:bottom w:w="100" w:type="dxa"/>
              <w:right w:w="100" w:type="dxa"/>
            </w:tcMar>
          </w:tcPr>
          <w:p w14:paraId="292B4153"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People are preferring ethical, eco-friendly, and sustainable tourism services. </w:t>
            </w:r>
          </w:p>
        </w:tc>
        <w:tc>
          <w:tcPr>
            <w:tcW w:w="4755" w:type="dxa"/>
            <w:shd w:val="clear" w:color="auto" w:fill="F3F3F3"/>
            <w:tcMar>
              <w:top w:w="100" w:type="dxa"/>
              <w:left w:w="100" w:type="dxa"/>
              <w:bottom w:w="100" w:type="dxa"/>
              <w:right w:w="100" w:type="dxa"/>
            </w:tcMar>
          </w:tcPr>
          <w:p w14:paraId="7B75D0E2"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Using reusable material, ensuring local sourcing, incorporating a waste management system, and launching a digital ticketing system will help to achieve sustainability objectives (Salesa </w:t>
            </w:r>
            <w:r w:rsidRPr="00172A85">
              <w:rPr>
                <w:rFonts w:ascii="Times New Roman" w:eastAsia="Times New Roman" w:hAnsi="Times New Roman" w:cs="Times New Roman"/>
                <w:i/>
                <w:color w:val="000000" w:themeColor="text1"/>
                <w:sz w:val="24"/>
                <w:szCs w:val="24"/>
              </w:rPr>
              <w:t>et al.</w:t>
            </w:r>
            <w:r w:rsidRPr="00172A85">
              <w:rPr>
                <w:rFonts w:ascii="Times New Roman" w:eastAsia="Times New Roman" w:hAnsi="Times New Roman" w:cs="Times New Roman"/>
                <w:color w:val="000000" w:themeColor="text1"/>
                <w:sz w:val="24"/>
                <w:szCs w:val="24"/>
              </w:rPr>
              <w:t xml:space="preserve"> 2022) </w:t>
            </w:r>
          </w:p>
        </w:tc>
      </w:tr>
      <w:tr w:rsidR="00F0786C" w14:paraId="4184F6D9" w14:textId="77777777">
        <w:trPr>
          <w:jc w:val="center"/>
        </w:trPr>
        <w:tc>
          <w:tcPr>
            <w:tcW w:w="1710" w:type="dxa"/>
            <w:shd w:val="clear" w:color="auto" w:fill="F3F3F3"/>
            <w:tcMar>
              <w:top w:w="100" w:type="dxa"/>
              <w:left w:w="100" w:type="dxa"/>
              <w:bottom w:w="100" w:type="dxa"/>
              <w:right w:w="100" w:type="dxa"/>
            </w:tcMar>
          </w:tcPr>
          <w:p w14:paraId="0B4E6AA3"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Cultural and experiential tourism  </w:t>
            </w:r>
          </w:p>
        </w:tc>
        <w:tc>
          <w:tcPr>
            <w:tcW w:w="2895" w:type="dxa"/>
            <w:shd w:val="clear" w:color="auto" w:fill="F3F3F3"/>
            <w:tcMar>
              <w:top w:w="100" w:type="dxa"/>
              <w:left w:w="100" w:type="dxa"/>
              <w:bottom w:w="100" w:type="dxa"/>
              <w:right w:w="100" w:type="dxa"/>
            </w:tcMar>
          </w:tcPr>
          <w:p w14:paraId="5A5DA2B0"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International travellers prefer authentic cultural experience </w:t>
            </w:r>
          </w:p>
        </w:tc>
        <w:tc>
          <w:tcPr>
            <w:tcW w:w="4755" w:type="dxa"/>
            <w:shd w:val="clear" w:color="auto" w:fill="F3F3F3"/>
            <w:tcMar>
              <w:top w:w="100" w:type="dxa"/>
              <w:left w:w="100" w:type="dxa"/>
              <w:bottom w:w="100" w:type="dxa"/>
              <w:right w:w="100" w:type="dxa"/>
            </w:tcMar>
          </w:tcPr>
          <w:p w14:paraId="553731F9"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The Welsh project is influenced by them and aims to offer language sessions, deliver local foods, folklore, music, arts and crafts, and storytelling facilities </w:t>
            </w:r>
          </w:p>
        </w:tc>
      </w:tr>
      <w:tr w:rsidR="00F0786C" w14:paraId="251CBB88" w14:textId="77777777">
        <w:trPr>
          <w:jc w:val="center"/>
        </w:trPr>
        <w:tc>
          <w:tcPr>
            <w:tcW w:w="1710" w:type="dxa"/>
            <w:shd w:val="clear" w:color="auto" w:fill="F3F3F3"/>
            <w:tcMar>
              <w:top w:w="100" w:type="dxa"/>
              <w:left w:w="100" w:type="dxa"/>
              <w:bottom w:w="100" w:type="dxa"/>
              <w:right w:w="100" w:type="dxa"/>
            </w:tcMar>
          </w:tcPr>
          <w:p w14:paraId="24FEB10F"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Marketing and digital technology integration issues </w:t>
            </w:r>
          </w:p>
        </w:tc>
        <w:tc>
          <w:tcPr>
            <w:tcW w:w="2895" w:type="dxa"/>
            <w:shd w:val="clear" w:color="auto" w:fill="F3F3F3"/>
            <w:tcMar>
              <w:top w:w="100" w:type="dxa"/>
              <w:left w:w="100" w:type="dxa"/>
              <w:bottom w:w="100" w:type="dxa"/>
              <w:right w:w="100" w:type="dxa"/>
            </w:tcMar>
          </w:tcPr>
          <w:p w14:paraId="59DB5833"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Managing a strong online presence through diverse digital platforms becomes challenging </w:t>
            </w:r>
          </w:p>
        </w:tc>
        <w:tc>
          <w:tcPr>
            <w:tcW w:w="4755" w:type="dxa"/>
            <w:shd w:val="clear" w:color="auto" w:fill="F3F3F3"/>
            <w:tcMar>
              <w:top w:w="100" w:type="dxa"/>
              <w:left w:w="100" w:type="dxa"/>
              <w:bottom w:w="100" w:type="dxa"/>
              <w:right w:w="100" w:type="dxa"/>
            </w:tcMar>
          </w:tcPr>
          <w:p w14:paraId="4ED38EDE"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It influences the event and it adopts influencer marketing, social media marketing, content marketing, and feedback collection mechanisms through digital platforms (Lopes and Casais, 2022)</w:t>
            </w:r>
          </w:p>
        </w:tc>
      </w:tr>
      <w:tr w:rsidR="00F0786C" w14:paraId="6E91086F" w14:textId="77777777">
        <w:trPr>
          <w:jc w:val="center"/>
        </w:trPr>
        <w:tc>
          <w:tcPr>
            <w:tcW w:w="1710" w:type="dxa"/>
            <w:shd w:val="clear" w:color="auto" w:fill="F3F3F3"/>
            <w:tcMar>
              <w:top w:w="100" w:type="dxa"/>
              <w:left w:w="100" w:type="dxa"/>
              <w:bottom w:w="100" w:type="dxa"/>
              <w:right w:w="100" w:type="dxa"/>
            </w:tcMar>
          </w:tcPr>
          <w:p w14:paraId="5A5324ED"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Safety and wellness trends after COVID-19 </w:t>
            </w:r>
          </w:p>
        </w:tc>
        <w:tc>
          <w:tcPr>
            <w:tcW w:w="2895" w:type="dxa"/>
            <w:shd w:val="clear" w:color="auto" w:fill="F3F3F3"/>
            <w:tcMar>
              <w:top w:w="100" w:type="dxa"/>
              <w:left w:w="100" w:type="dxa"/>
              <w:bottom w:w="100" w:type="dxa"/>
              <w:right w:w="100" w:type="dxa"/>
            </w:tcMar>
          </w:tcPr>
          <w:p w14:paraId="42BC6DBE"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After the pandemic situation, the demand for safe, hygienic, and healthy tourism has increased. </w:t>
            </w:r>
          </w:p>
        </w:tc>
        <w:tc>
          <w:tcPr>
            <w:tcW w:w="4755" w:type="dxa"/>
            <w:shd w:val="clear" w:color="auto" w:fill="F3F3F3"/>
            <w:tcMar>
              <w:top w:w="100" w:type="dxa"/>
              <w:left w:w="100" w:type="dxa"/>
              <w:bottom w:w="100" w:type="dxa"/>
              <w:right w:w="100" w:type="dxa"/>
            </w:tcMar>
          </w:tcPr>
          <w:p w14:paraId="51CADD1A"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It influenced the event to install hygiene stations, select the outdoor venue, ensure medical readiness and incorporate open-air dining.   </w:t>
            </w:r>
          </w:p>
        </w:tc>
      </w:tr>
      <w:tr w:rsidR="00F0786C" w14:paraId="51F32008" w14:textId="77777777">
        <w:trPr>
          <w:jc w:val="center"/>
        </w:trPr>
        <w:tc>
          <w:tcPr>
            <w:tcW w:w="1710" w:type="dxa"/>
            <w:shd w:val="clear" w:color="auto" w:fill="F3F3F3"/>
            <w:tcMar>
              <w:top w:w="100" w:type="dxa"/>
              <w:left w:w="100" w:type="dxa"/>
              <w:bottom w:w="100" w:type="dxa"/>
              <w:right w:w="100" w:type="dxa"/>
            </w:tcMar>
          </w:tcPr>
          <w:p w14:paraId="4CFD69EF"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Diversity and inclusion </w:t>
            </w:r>
          </w:p>
        </w:tc>
        <w:tc>
          <w:tcPr>
            <w:tcW w:w="2895" w:type="dxa"/>
            <w:shd w:val="clear" w:color="auto" w:fill="F3F3F3"/>
            <w:tcMar>
              <w:top w:w="100" w:type="dxa"/>
              <w:left w:w="100" w:type="dxa"/>
              <w:bottom w:w="100" w:type="dxa"/>
              <w:right w:w="100" w:type="dxa"/>
            </w:tcMar>
          </w:tcPr>
          <w:p w14:paraId="30D5C6F9"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Global tourism events prefer inclusive and </w:t>
            </w:r>
            <w:r w:rsidRPr="00172A85">
              <w:rPr>
                <w:rFonts w:ascii="Times New Roman" w:eastAsia="Times New Roman" w:hAnsi="Times New Roman" w:cs="Times New Roman"/>
                <w:color w:val="000000" w:themeColor="text1"/>
                <w:sz w:val="24"/>
                <w:szCs w:val="24"/>
              </w:rPr>
              <w:lastRenderedPageBreak/>
              <w:t xml:space="preserve">culturally diverse events to value people from diverse backgrounds (Quinn </w:t>
            </w:r>
            <w:r w:rsidRPr="00172A85">
              <w:rPr>
                <w:rFonts w:ascii="Times New Roman" w:eastAsia="Times New Roman" w:hAnsi="Times New Roman" w:cs="Times New Roman"/>
                <w:i/>
                <w:color w:val="000000" w:themeColor="text1"/>
                <w:sz w:val="24"/>
                <w:szCs w:val="24"/>
              </w:rPr>
              <w:t>et al.</w:t>
            </w:r>
            <w:r w:rsidRPr="00172A85">
              <w:rPr>
                <w:rFonts w:ascii="Times New Roman" w:eastAsia="Times New Roman" w:hAnsi="Times New Roman" w:cs="Times New Roman"/>
                <w:color w:val="000000" w:themeColor="text1"/>
                <w:sz w:val="24"/>
                <w:szCs w:val="24"/>
              </w:rPr>
              <w:t xml:space="preserve"> 2021)</w:t>
            </w:r>
          </w:p>
        </w:tc>
        <w:tc>
          <w:tcPr>
            <w:tcW w:w="4755" w:type="dxa"/>
            <w:shd w:val="clear" w:color="auto" w:fill="F3F3F3"/>
            <w:tcMar>
              <w:top w:w="100" w:type="dxa"/>
              <w:left w:w="100" w:type="dxa"/>
              <w:bottom w:w="100" w:type="dxa"/>
              <w:right w:w="100" w:type="dxa"/>
            </w:tcMar>
          </w:tcPr>
          <w:p w14:paraId="143F0D6F"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lastRenderedPageBreak/>
              <w:t xml:space="preserve">Such trend influences Welsh events as they manage accessible venues, offer bilingual </w:t>
            </w:r>
            <w:r w:rsidRPr="00172A85">
              <w:rPr>
                <w:rFonts w:ascii="Times New Roman" w:eastAsia="Times New Roman" w:hAnsi="Times New Roman" w:cs="Times New Roman"/>
                <w:color w:val="000000" w:themeColor="text1"/>
                <w:sz w:val="24"/>
                <w:szCs w:val="24"/>
              </w:rPr>
              <w:lastRenderedPageBreak/>
              <w:t xml:space="preserve">services, launch inclusive programs, and value people from all backgrounds.  </w:t>
            </w:r>
          </w:p>
        </w:tc>
      </w:tr>
      <w:tr w:rsidR="00F0786C" w14:paraId="3F5C3DCD" w14:textId="77777777">
        <w:trPr>
          <w:jc w:val="center"/>
        </w:trPr>
        <w:tc>
          <w:tcPr>
            <w:tcW w:w="1710" w:type="dxa"/>
            <w:shd w:val="clear" w:color="auto" w:fill="F3F3F3"/>
            <w:tcMar>
              <w:top w:w="100" w:type="dxa"/>
              <w:left w:w="100" w:type="dxa"/>
              <w:bottom w:w="100" w:type="dxa"/>
              <w:right w:w="100" w:type="dxa"/>
            </w:tcMar>
          </w:tcPr>
          <w:p w14:paraId="7720C266"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lastRenderedPageBreak/>
              <w:t xml:space="preserve">Inflation or economic pressure </w:t>
            </w:r>
          </w:p>
        </w:tc>
        <w:tc>
          <w:tcPr>
            <w:tcW w:w="2895" w:type="dxa"/>
            <w:shd w:val="clear" w:color="auto" w:fill="F3F3F3"/>
            <w:tcMar>
              <w:top w:w="100" w:type="dxa"/>
              <w:left w:w="100" w:type="dxa"/>
              <w:bottom w:w="100" w:type="dxa"/>
              <w:right w:w="100" w:type="dxa"/>
            </w:tcMar>
          </w:tcPr>
          <w:p w14:paraId="3ECEA7AF"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Higher inflation rate impacts resource collection and affordability of travel packages </w:t>
            </w:r>
          </w:p>
        </w:tc>
        <w:tc>
          <w:tcPr>
            <w:tcW w:w="4755" w:type="dxa"/>
            <w:shd w:val="clear" w:color="auto" w:fill="F3F3F3"/>
            <w:tcMar>
              <w:top w:w="100" w:type="dxa"/>
              <w:left w:w="100" w:type="dxa"/>
              <w:bottom w:w="100" w:type="dxa"/>
              <w:right w:w="100" w:type="dxa"/>
            </w:tcMar>
          </w:tcPr>
          <w:p w14:paraId="1903BC51" w14:textId="77777777" w:rsidR="00901A81" w:rsidRPr="00172A85" w:rsidRDefault="003A6482" w:rsidP="00172A85">
            <w:pPr>
              <w:widowControl w:val="0"/>
              <w:pBdr>
                <w:top w:val="nil"/>
                <w:left w:val="nil"/>
                <w:bottom w:val="nil"/>
                <w:right w:val="nil"/>
                <w:between w:val="nil"/>
              </w:pBd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It influences the event to create a contingency plan to deal with unforeseen costs and reduce overreliance on international suppliers by collecting resources from locals </w:t>
            </w:r>
          </w:p>
        </w:tc>
      </w:tr>
    </w:tbl>
    <w:p w14:paraId="50BBBB29"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Table </w:t>
      </w:r>
      <w:r w:rsidR="00551C5C" w:rsidRPr="00172A85">
        <w:rPr>
          <w:rFonts w:ascii="Times New Roman" w:eastAsia="Times New Roman" w:hAnsi="Times New Roman" w:cs="Times New Roman"/>
          <w:b/>
          <w:color w:val="000000" w:themeColor="text1"/>
          <w:sz w:val="24"/>
          <w:szCs w:val="24"/>
        </w:rPr>
        <w:t>8</w:t>
      </w:r>
      <w:r w:rsidRPr="00172A85">
        <w:rPr>
          <w:rFonts w:ascii="Times New Roman" w:eastAsia="Times New Roman" w:hAnsi="Times New Roman" w:cs="Times New Roman"/>
          <w:b/>
          <w:color w:val="000000" w:themeColor="text1"/>
          <w:sz w:val="24"/>
          <w:szCs w:val="24"/>
        </w:rPr>
        <w:t>: Trends / Issues / Impacts</w:t>
      </w:r>
    </w:p>
    <w:p w14:paraId="4D07FDFE"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(Sorce: Self-created)</w:t>
      </w:r>
    </w:p>
    <w:p w14:paraId="46A7DAE8" w14:textId="77777777" w:rsidR="00901A81" w:rsidRPr="00172A85" w:rsidRDefault="003A6482" w:rsidP="00172A85">
      <w:pPr>
        <w:pStyle w:val="Heading1"/>
        <w:rPr>
          <w:color w:val="000000" w:themeColor="text1"/>
        </w:rPr>
      </w:pPr>
      <w:bookmarkStart w:id="14" w:name="_keec5b8varmi" w:colFirst="0" w:colLast="0"/>
      <w:bookmarkStart w:id="15" w:name="_Toc200744180"/>
      <w:bookmarkEnd w:id="14"/>
      <w:r w:rsidRPr="00172A85">
        <w:rPr>
          <w:color w:val="000000" w:themeColor="text1"/>
        </w:rPr>
        <w:t>8. Situational and Cultural Considerations</w:t>
      </w:r>
      <w:bookmarkEnd w:id="15"/>
      <w:r w:rsidRPr="00172A85">
        <w:rPr>
          <w:color w:val="000000" w:themeColor="text1"/>
        </w:rPr>
        <w:t xml:space="preserve"> </w:t>
      </w:r>
    </w:p>
    <w:p w14:paraId="3085C3C2"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 xml:space="preserve">The cultural or situational considerations that are connected to the meeting/event are analysed using PESTLE. </w:t>
      </w:r>
    </w:p>
    <w:p w14:paraId="16B3BC46"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Political</w:t>
      </w:r>
      <w:r w:rsidRPr="00172A85">
        <w:rPr>
          <w:rFonts w:ascii="Times New Roman" w:eastAsia="Times New Roman" w:hAnsi="Times New Roman" w:cs="Times New Roman"/>
          <w:color w:val="000000" w:themeColor="text1"/>
          <w:sz w:val="24"/>
          <w:szCs w:val="24"/>
        </w:rPr>
        <w:t xml:space="preserve">: The Wales Government or Wales Tourism Investment Fund (WTIF) aims to provide £100,000 and £5,000,000 to tourism projects and they can repay it within 10-15 years which ensures flexibility of the payment (Visit Wales, 2024). It brings funding opportunities for the "Welsh Legends &amp; Landscapes' project through which they can align their tourism goals with international tourists.     </w:t>
      </w:r>
    </w:p>
    <w:p w14:paraId="084A9842"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noProof/>
          <w:color w:val="000000" w:themeColor="text1"/>
          <w:sz w:val="24"/>
          <w:szCs w:val="24"/>
        </w:rPr>
        <w:lastRenderedPageBreak/>
        <w:drawing>
          <wp:inline distT="114300" distB="114300" distL="114300" distR="114300" wp14:anchorId="3B862B65" wp14:editId="253B9A7C">
            <wp:extent cx="4384593" cy="275442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4"/>
                    <a:stretch>
                      <a:fillRect/>
                    </a:stretch>
                  </pic:blipFill>
                  <pic:spPr>
                    <a:xfrm>
                      <a:off x="0" y="0"/>
                      <a:ext cx="4384593" cy="2754424"/>
                    </a:xfrm>
                    <a:prstGeom prst="rect">
                      <a:avLst/>
                    </a:prstGeom>
                    <a:ln w="25400">
                      <a:solidFill>
                        <a:srgbClr val="000000"/>
                      </a:solidFill>
                      <a:prstDash val="solid"/>
                    </a:ln>
                  </pic:spPr>
                </pic:pic>
              </a:graphicData>
            </a:graphic>
          </wp:inline>
        </w:drawing>
      </w:r>
    </w:p>
    <w:p w14:paraId="30BFD2C0" w14:textId="77777777" w:rsidR="00901A81" w:rsidRPr="00172A85" w:rsidRDefault="003A6482" w:rsidP="00172A85">
      <w:pPr>
        <w:spacing w:before="200" w:line="360" w:lineRule="auto"/>
        <w:jc w:val="center"/>
        <w:rPr>
          <w:rFonts w:ascii="Times New Roman" w:eastAsia="Times New Roman" w:hAnsi="Times New Roman" w:cs="Times New Roman"/>
          <w:b/>
          <w:color w:val="000000" w:themeColor="text1"/>
          <w:sz w:val="24"/>
          <w:szCs w:val="24"/>
        </w:rPr>
      </w:pPr>
      <w:r w:rsidRPr="00172A85">
        <w:rPr>
          <w:rFonts w:ascii="Times New Roman" w:eastAsia="Times New Roman" w:hAnsi="Times New Roman" w:cs="Times New Roman"/>
          <w:b/>
          <w:color w:val="000000" w:themeColor="text1"/>
          <w:sz w:val="24"/>
          <w:szCs w:val="24"/>
        </w:rPr>
        <w:t xml:space="preserve">Figure </w:t>
      </w:r>
      <w:r w:rsidR="00551C5C" w:rsidRPr="00172A85">
        <w:rPr>
          <w:rFonts w:ascii="Times New Roman" w:eastAsia="Times New Roman" w:hAnsi="Times New Roman" w:cs="Times New Roman"/>
          <w:b/>
          <w:color w:val="000000" w:themeColor="text1"/>
          <w:sz w:val="24"/>
          <w:szCs w:val="24"/>
        </w:rPr>
        <w:t>3</w:t>
      </w:r>
      <w:r w:rsidRPr="00172A85">
        <w:rPr>
          <w:rFonts w:ascii="Times New Roman" w:eastAsia="Times New Roman" w:hAnsi="Times New Roman" w:cs="Times New Roman"/>
          <w:b/>
          <w:color w:val="000000" w:themeColor="text1"/>
          <w:sz w:val="24"/>
          <w:szCs w:val="24"/>
        </w:rPr>
        <w:t>: Inflation of the UK</w:t>
      </w:r>
    </w:p>
    <w:p w14:paraId="4A04E11F" w14:textId="77777777" w:rsidR="00901A81" w:rsidRPr="00172A85" w:rsidRDefault="003A6482" w:rsidP="00172A85">
      <w:pPr>
        <w:spacing w:before="200" w:line="360" w:lineRule="auto"/>
        <w:jc w:val="center"/>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t>(Source: Clark, 2025)</w:t>
      </w:r>
    </w:p>
    <w:p w14:paraId="383D4624"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Economical</w:t>
      </w:r>
      <w:r w:rsidRPr="00172A85">
        <w:rPr>
          <w:rFonts w:ascii="Times New Roman" w:eastAsia="Times New Roman" w:hAnsi="Times New Roman" w:cs="Times New Roman"/>
          <w:color w:val="000000" w:themeColor="text1"/>
          <w:sz w:val="24"/>
          <w:szCs w:val="24"/>
        </w:rPr>
        <w:t xml:space="preserve">: Hike in global inflation impacts on cost management strategies of tourism. For example, the inflation rate of the UK remained at 3.5% in April 2025 which was 2.8% in the previous month (Clark, 2025). Hence, such an increasing level of inflation rate impacts on cost control measures of the interactive Heritage Festival event.  </w:t>
      </w:r>
    </w:p>
    <w:p w14:paraId="21B8B1CA"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Social</w:t>
      </w:r>
      <w:r w:rsidRPr="00172A85">
        <w:rPr>
          <w:rFonts w:ascii="Times New Roman" w:eastAsia="Times New Roman" w:hAnsi="Times New Roman" w:cs="Times New Roman"/>
          <w:color w:val="000000" w:themeColor="text1"/>
          <w:sz w:val="24"/>
          <w:szCs w:val="24"/>
        </w:rPr>
        <w:t xml:space="preserve">: Higher demand for cultural tourism, local heritage, local crafts, foods, and language is noted among international tourism. It impacts the current event and is influenced to promote local culture, folklore, and myths, and generate meaningful experiences for international travellers. </w:t>
      </w:r>
    </w:p>
    <w:p w14:paraId="45895CA3"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Technological</w:t>
      </w:r>
      <w:r w:rsidRPr="00172A85">
        <w:rPr>
          <w:rFonts w:ascii="Times New Roman" w:eastAsia="Times New Roman" w:hAnsi="Times New Roman" w:cs="Times New Roman"/>
          <w:color w:val="000000" w:themeColor="text1"/>
          <w:sz w:val="24"/>
          <w:szCs w:val="24"/>
        </w:rPr>
        <w:t xml:space="preserve">: The demand for digital marketing, contactless ticketing, data analytics, real-time performance tracking, and user-friendly applications has increased in the tourism industry (Islam </w:t>
      </w:r>
      <w:r w:rsidRPr="00172A85">
        <w:rPr>
          <w:rFonts w:ascii="Times New Roman" w:eastAsia="Times New Roman" w:hAnsi="Times New Roman" w:cs="Times New Roman"/>
          <w:i/>
          <w:color w:val="000000" w:themeColor="text1"/>
          <w:sz w:val="24"/>
          <w:szCs w:val="24"/>
        </w:rPr>
        <w:t>et al.</w:t>
      </w:r>
      <w:r w:rsidRPr="00172A85">
        <w:rPr>
          <w:rFonts w:ascii="Times New Roman" w:eastAsia="Times New Roman" w:hAnsi="Times New Roman" w:cs="Times New Roman"/>
          <w:color w:val="000000" w:themeColor="text1"/>
          <w:sz w:val="24"/>
          <w:szCs w:val="24"/>
        </w:rPr>
        <w:t xml:space="preserve"> 2024). As a result, it influences current events to increase their online engagement, contribute to social media promotion, and collaborate with digital influencers to promote local cultures and heritage.  </w:t>
      </w:r>
    </w:p>
    <w:p w14:paraId="41B3B347"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Legal</w:t>
      </w:r>
      <w:r w:rsidRPr="00172A85">
        <w:rPr>
          <w:rFonts w:ascii="Times New Roman" w:eastAsia="Times New Roman" w:hAnsi="Times New Roman" w:cs="Times New Roman"/>
          <w:color w:val="000000" w:themeColor="text1"/>
          <w:sz w:val="24"/>
          <w:szCs w:val="24"/>
        </w:rPr>
        <w:t xml:space="preserve">: Ensuring a legal alliance with tourism practices and ensuring proper risk management, licensing, health and safety management, and so on is essential. Aligning the services with the </w:t>
      </w:r>
      <w:r w:rsidRPr="00172A85">
        <w:rPr>
          <w:rFonts w:ascii="Times New Roman" w:eastAsia="Times New Roman" w:hAnsi="Times New Roman" w:cs="Times New Roman"/>
          <w:color w:val="000000" w:themeColor="text1"/>
          <w:sz w:val="24"/>
          <w:szCs w:val="24"/>
        </w:rPr>
        <w:lastRenderedPageBreak/>
        <w:t>'</w:t>
      </w:r>
      <w:r w:rsidRPr="00172A85">
        <w:rPr>
          <w:rFonts w:ascii="Times New Roman" w:eastAsia="Times New Roman" w:hAnsi="Times New Roman" w:cs="Times New Roman"/>
          <w:i/>
          <w:color w:val="000000" w:themeColor="text1"/>
          <w:sz w:val="24"/>
          <w:szCs w:val="24"/>
        </w:rPr>
        <w:t>Health and Safety at Work etc Act 1974</w:t>
      </w:r>
      <w:r w:rsidRPr="00172A85">
        <w:rPr>
          <w:rFonts w:ascii="Times New Roman" w:eastAsia="Times New Roman" w:hAnsi="Times New Roman" w:cs="Times New Roman"/>
          <w:color w:val="000000" w:themeColor="text1"/>
          <w:sz w:val="24"/>
          <w:szCs w:val="24"/>
        </w:rPr>
        <w:t xml:space="preserve">’ is essential for protecting employees' rights and creating a safe tourism environment (HSE, 2025).   </w:t>
      </w:r>
    </w:p>
    <w:p w14:paraId="25F1915F" w14:textId="77777777" w:rsidR="00901A81" w:rsidRPr="00172A85" w:rsidRDefault="003A6482" w:rsidP="00172A85">
      <w:pPr>
        <w:spacing w:before="200" w:line="360" w:lineRule="auto"/>
        <w:jc w:val="both"/>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b/>
          <w:color w:val="000000" w:themeColor="text1"/>
          <w:sz w:val="24"/>
          <w:szCs w:val="24"/>
          <w:u w:val="single"/>
        </w:rPr>
        <w:t>Environmental</w:t>
      </w:r>
      <w:r w:rsidRPr="00172A85">
        <w:rPr>
          <w:rFonts w:ascii="Times New Roman" w:eastAsia="Times New Roman" w:hAnsi="Times New Roman" w:cs="Times New Roman"/>
          <w:color w:val="000000" w:themeColor="text1"/>
          <w:sz w:val="24"/>
          <w:szCs w:val="24"/>
        </w:rPr>
        <w:t>: International tourists prefer sustainable and ethical tourism practices. Hence, it needs to align with the '</w:t>
      </w:r>
      <w:r w:rsidRPr="00172A85">
        <w:rPr>
          <w:rFonts w:ascii="Times New Roman" w:eastAsia="Times New Roman" w:hAnsi="Times New Roman" w:cs="Times New Roman"/>
          <w:i/>
          <w:color w:val="000000" w:themeColor="text1"/>
          <w:sz w:val="24"/>
          <w:szCs w:val="24"/>
        </w:rPr>
        <w:t>Environment Act 2021</w:t>
      </w:r>
      <w:r w:rsidRPr="00172A85">
        <w:rPr>
          <w:rFonts w:ascii="Times New Roman" w:eastAsia="Times New Roman" w:hAnsi="Times New Roman" w:cs="Times New Roman"/>
          <w:color w:val="000000" w:themeColor="text1"/>
          <w:sz w:val="24"/>
          <w:szCs w:val="24"/>
        </w:rPr>
        <w:t xml:space="preserve">' of the UK to ensure lower emissions and reduce waste generation from the services (Legislation.gov.uk, 2021). It will help to eliminate legal issues, maintain sustainability, and attract eco-conscious travellers.    </w:t>
      </w:r>
    </w:p>
    <w:p w14:paraId="3F62B68A" w14:textId="77777777" w:rsidR="00901A81" w:rsidRPr="00172A85" w:rsidRDefault="00901A81" w:rsidP="00172A85">
      <w:pPr>
        <w:spacing w:before="200" w:line="360" w:lineRule="auto"/>
        <w:jc w:val="both"/>
        <w:rPr>
          <w:rFonts w:ascii="Times New Roman" w:eastAsia="Times New Roman" w:hAnsi="Times New Roman" w:cs="Times New Roman"/>
          <w:color w:val="000000" w:themeColor="text1"/>
          <w:sz w:val="24"/>
          <w:szCs w:val="24"/>
        </w:rPr>
      </w:pPr>
    </w:p>
    <w:p w14:paraId="49019B7B" w14:textId="77777777" w:rsidR="00F0666D" w:rsidRPr="00172A85" w:rsidRDefault="003A6482" w:rsidP="00172A85">
      <w:pPr>
        <w:spacing w:line="360" w:lineRule="auto"/>
        <w:rPr>
          <w:rFonts w:ascii="Times New Roman" w:eastAsia="Times New Roman" w:hAnsi="Times New Roman" w:cs="Times New Roman"/>
          <w:b/>
          <w:color w:val="000000" w:themeColor="text1"/>
          <w:sz w:val="24"/>
          <w:szCs w:val="24"/>
        </w:rPr>
      </w:pPr>
      <w:r w:rsidRPr="00172A85">
        <w:rPr>
          <w:rFonts w:ascii="Times New Roman" w:hAnsi="Times New Roman" w:cs="Times New Roman"/>
          <w:color w:val="000000" w:themeColor="text1"/>
          <w:sz w:val="24"/>
          <w:szCs w:val="24"/>
        </w:rPr>
        <w:br w:type="page"/>
      </w:r>
    </w:p>
    <w:p w14:paraId="5DB6A53C" w14:textId="77777777" w:rsidR="00F0666D" w:rsidRPr="00172A85" w:rsidRDefault="003A6482" w:rsidP="00172A85">
      <w:pPr>
        <w:pStyle w:val="Heading1"/>
        <w:rPr>
          <w:color w:val="000000" w:themeColor="text1"/>
        </w:rPr>
      </w:pPr>
      <w:bookmarkStart w:id="16" w:name="_Toc200744181"/>
      <w:r w:rsidRPr="00172A85">
        <w:rPr>
          <w:color w:val="000000" w:themeColor="text1"/>
        </w:rPr>
        <w:lastRenderedPageBreak/>
        <w:t>References</w:t>
      </w:r>
      <w:bookmarkEnd w:id="16"/>
    </w:p>
    <w:p w14:paraId="42EDC9AF"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Abdellatif, H., Hicham, B. and Karim, B., (2024). Responsible green tourism: A new path for eco-friendly tourism development. </w:t>
      </w:r>
      <w:r w:rsidRPr="00172A85">
        <w:rPr>
          <w:rFonts w:ascii="Times New Roman" w:hAnsi="Times New Roman" w:cs="Times New Roman"/>
          <w:i/>
          <w:iCs/>
          <w:color w:val="000000" w:themeColor="text1"/>
          <w:sz w:val="24"/>
          <w:szCs w:val="24"/>
        </w:rPr>
        <w:t>International journal of economic perspectives</w:t>
      </w:r>
      <w:r w:rsidRPr="00172A85">
        <w:rPr>
          <w:rFonts w:ascii="Times New Roman" w:hAnsi="Times New Roman" w:cs="Times New Roman"/>
          <w:color w:val="000000" w:themeColor="text1"/>
          <w:sz w:val="24"/>
          <w:szCs w:val="24"/>
        </w:rPr>
        <w:t>, </w:t>
      </w:r>
      <w:r w:rsidRPr="00172A85">
        <w:rPr>
          <w:rFonts w:ascii="Times New Roman" w:hAnsi="Times New Roman" w:cs="Times New Roman"/>
          <w:i/>
          <w:iCs/>
          <w:color w:val="000000" w:themeColor="text1"/>
          <w:sz w:val="24"/>
          <w:szCs w:val="24"/>
        </w:rPr>
        <w:t>18</w:t>
      </w:r>
      <w:r w:rsidRPr="00172A85">
        <w:rPr>
          <w:rFonts w:ascii="Times New Roman" w:hAnsi="Times New Roman" w:cs="Times New Roman"/>
          <w:color w:val="000000" w:themeColor="text1"/>
          <w:sz w:val="24"/>
          <w:szCs w:val="24"/>
        </w:rPr>
        <w:t xml:space="preserve">(2), pp.560-589. </w:t>
      </w:r>
      <w:hyperlink r:id="rId15" w:history="1">
        <w:r w:rsidR="00F0666D" w:rsidRPr="00172A85">
          <w:rPr>
            <w:rStyle w:val="Hyperlink"/>
            <w:rFonts w:ascii="Times New Roman" w:hAnsi="Times New Roman" w:cs="Times New Roman"/>
            <w:color w:val="000000" w:themeColor="text1"/>
            <w:sz w:val="24"/>
            <w:szCs w:val="24"/>
          </w:rPr>
          <w:t>https://ijeponline.lingcure.org/index.php/journal/article/download/577/538</w:t>
        </w:r>
      </w:hyperlink>
    </w:p>
    <w:p w14:paraId="375F2514"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 xml:space="preserve">Blundo, D.S., Sánchez, R.G., Salgado, S.M. and Muiña, F.E.G. (2021). Flexibility and Resilience in Corporate Decision making: a New Sustainability-Based Risk Management System in Uncertain Times. Global Journal of Flexible Systems Management, [online] 22(2). Available at: </w:t>
      </w:r>
      <w:hyperlink r:id="rId16" w:history="1">
        <w:r w:rsidR="00F0666D" w:rsidRPr="00172A85">
          <w:rPr>
            <w:rStyle w:val="Hyperlink"/>
            <w:rFonts w:ascii="Times New Roman" w:hAnsi="Times New Roman" w:cs="Times New Roman"/>
            <w:color w:val="000000" w:themeColor="text1"/>
            <w:sz w:val="24"/>
            <w:szCs w:val="24"/>
          </w:rPr>
          <w:t>https://link.springer.com/article/10.1007/s40171-021-00277-7</w:t>
        </w:r>
      </w:hyperlink>
      <w:r w:rsidRPr="00172A85">
        <w:rPr>
          <w:rFonts w:ascii="Times New Roman" w:hAnsi="Times New Roman" w:cs="Times New Roman"/>
          <w:color w:val="000000" w:themeColor="text1"/>
          <w:sz w:val="24"/>
          <w:szCs w:val="24"/>
        </w:rPr>
        <w:t>.</w:t>
      </w:r>
    </w:p>
    <w:p w14:paraId="581E3653" w14:textId="77777777" w:rsidR="007F7D46" w:rsidRPr="005C7198" w:rsidRDefault="003A6482" w:rsidP="00172A85">
      <w:pPr>
        <w:spacing w:before="240" w:line="360" w:lineRule="auto"/>
        <w:jc w:val="both"/>
        <w:rPr>
          <w:rFonts w:ascii="Times New Roman" w:hAnsi="Times New Roman" w:cs="Times New Roman"/>
          <w:color w:val="000000" w:themeColor="text1"/>
          <w:sz w:val="24"/>
          <w:szCs w:val="24"/>
        </w:rPr>
      </w:pPr>
      <w:r w:rsidRPr="005C7198">
        <w:rPr>
          <w:rFonts w:ascii="Times New Roman" w:hAnsi="Times New Roman" w:cs="Times New Roman"/>
          <w:color w:val="000000" w:themeColor="text1"/>
          <w:sz w:val="24"/>
          <w:szCs w:val="24"/>
        </w:rPr>
        <w:t>Thomas, K. and Stephens, S. (2022). Understanding the Management Theory in Event Management: A Conceptual Framework. </w:t>
      </w:r>
      <w:r w:rsidRPr="005C7198">
        <w:rPr>
          <w:rFonts w:ascii="Times New Roman" w:hAnsi="Times New Roman" w:cs="Times New Roman"/>
          <w:i/>
          <w:iCs/>
          <w:color w:val="000000" w:themeColor="text1"/>
          <w:sz w:val="24"/>
          <w:szCs w:val="24"/>
        </w:rPr>
        <w:t>SSRN Electronic Journal</w:t>
      </w:r>
      <w:r w:rsidRPr="005C7198">
        <w:rPr>
          <w:rFonts w:ascii="Times New Roman" w:hAnsi="Times New Roman" w:cs="Times New Roman"/>
          <w:color w:val="000000" w:themeColor="text1"/>
          <w:sz w:val="24"/>
          <w:szCs w:val="24"/>
        </w:rPr>
        <w:t>. [online] doi:https://doi.org/10.2139/ssrn.4051469.</w:t>
      </w:r>
    </w:p>
    <w:p w14:paraId="1A16E1A0"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 xml:space="preserve">Bowdin, G., Allen, J., O'Toole, W., Harris, R., Mcdonnell, I., San, P., San, D., Singapore, F. and Tokyo, S. (2023). </w:t>
      </w:r>
      <w:r w:rsidRPr="00172A85">
        <w:rPr>
          <w:rFonts w:ascii="Times New Roman" w:hAnsi="Times New Roman" w:cs="Times New Roman"/>
          <w:i/>
          <w:iCs/>
          <w:color w:val="000000" w:themeColor="text1"/>
          <w:sz w:val="24"/>
          <w:szCs w:val="24"/>
        </w:rPr>
        <w:t>Events Management Second Edition ELSEVIER Butterworth-Heinemann is an imprint of Elsevier</w:t>
      </w:r>
      <w:r w:rsidRPr="00172A85">
        <w:rPr>
          <w:rFonts w:ascii="Times New Roman" w:hAnsi="Times New Roman" w:cs="Times New Roman"/>
          <w:color w:val="000000" w:themeColor="text1"/>
          <w:sz w:val="24"/>
          <w:szCs w:val="24"/>
        </w:rPr>
        <w:t>. [online] Available at: https://sisis.rz.htw-berlin.de/inh2009/12373765.pdf [Accessed 25 May 2025].</w:t>
      </w:r>
    </w:p>
    <w:p w14:paraId="7ADA77EF"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Brunet, J., Cuadro-Sáez, L. and Pérez, J.J., (2021). Contingency public funds for emergencies: the lessons from the international experience. </w:t>
      </w:r>
      <w:r w:rsidRPr="00172A85">
        <w:rPr>
          <w:rFonts w:ascii="Times New Roman" w:hAnsi="Times New Roman" w:cs="Times New Roman"/>
          <w:i/>
          <w:iCs/>
          <w:color w:val="000000" w:themeColor="text1"/>
          <w:sz w:val="24"/>
          <w:szCs w:val="24"/>
        </w:rPr>
        <w:t>Banco de Espana Occasional Paper</w:t>
      </w:r>
      <w:r w:rsidRPr="00172A85">
        <w:rPr>
          <w:rFonts w:ascii="Times New Roman" w:hAnsi="Times New Roman" w:cs="Times New Roman"/>
          <w:color w:val="000000" w:themeColor="text1"/>
          <w:sz w:val="24"/>
          <w:szCs w:val="24"/>
        </w:rPr>
        <w:t xml:space="preserve">, (2032). </w:t>
      </w:r>
      <w:hyperlink r:id="rId17" w:history="1">
        <w:r w:rsidR="00F0666D" w:rsidRPr="00172A85">
          <w:rPr>
            <w:rStyle w:val="Hyperlink"/>
            <w:rFonts w:ascii="Times New Roman" w:hAnsi="Times New Roman" w:cs="Times New Roman"/>
            <w:color w:val="000000" w:themeColor="text1"/>
            <w:sz w:val="24"/>
            <w:szCs w:val="24"/>
          </w:rPr>
          <w:t>https://www.bde.es/f/webbde/SES/Secciones/Publicaciones/PublicacionesSeriadas/DocumentosOcasionales/20/Files/do2032e.pdf</w:t>
        </w:r>
      </w:hyperlink>
    </w:p>
    <w:p w14:paraId="2A381099"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Clark, D. (2025). </w:t>
      </w:r>
      <w:r w:rsidRPr="00172A85">
        <w:rPr>
          <w:rFonts w:ascii="Times New Roman" w:hAnsi="Times New Roman" w:cs="Times New Roman"/>
          <w:i/>
          <w:iCs/>
          <w:color w:val="000000" w:themeColor="text1"/>
          <w:sz w:val="24"/>
          <w:szCs w:val="24"/>
        </w:rPr>
        <w:t>Inflation rate for the Consumer Price Index (CPI) in the United Kingdom from January 2000 to January 2025</w:t>
      </w:r>
      <w:r w:rsidRPr="00172A85">
        <w:rPr>
          <w:rFonts w:ascii="Times New Roman" w:hAnsi="Times New Roman" w:cs="Times New Roman"/>
          <w:color w:val="000000" w:themeColor="text1"/>
          <w:sz w:val="24"/>
          <w:szCs w:val="24"/>
        </w:rPr>
        <w:t>. [online] Statista. Available at: https://www.statista.com/statistics/306648/inflation-rate-consumer-price-index-cpi-united-kingdom-uk/ [Accessed 25 May 2025].</w:t>
      </w:r>
    </w:p>
    <w:p w14:paraId="43E19253" w14:textId="77777777" w:rsidR="002D4BCB" w:rsidRPr="005C7198" w:rsidRDefault="003A6482" w:rsidP="00172A85">
      <w:pPr>
        <w:spacing w:before="240" w:line="360" w:lineRule="auto"/>
        <w:jc w:val="both"/>
        <w:rPr>
          <w:rFonts w:ascii="Times New Roman" w:hAnsi="Times New Roman" w:cs="Times New Roman"/>
          <w:color w:val="000000" w:themeColor="text1"/>
          <w:sz w:val="24"/>
          <w:szCs w:val="24"/>
          <w:lang w:val="en-US"/>
        </w:rPr>
      </w:pPr>
      <w:r w:rsidRPr="005C7198">
        <w:rPr>
          <w:rFonts w:ascii="Times New Roman" w:hAnsi="Times New Roman" w:cs="Times New Roman"/>
          <w:color w:val="000000" w:themeColor="text1"/>
          <w:sz w:val="24"/>
          <w:szCs w:val="24"/>
          <w:lang w:val="en-GB"/>
        </w:rPr>
        <w:t xml:space="preserve">Getz, D. and Page, S. (2019) </w:t>
      </w:r>
      <w:r w:rsidRPr="005C7198">
        <w:rPr>
          <w:rFonts w:ascii="Times New Roman" w:hAnsi="Times New Roman" w:cs="Times New Roman"/>
          <w:i/>
          <w:iCs/>
          <w:color w:val="000000" w:themeColor="text1"/>
          <w:sz w:val="24"/>
          <w:szCs w:val="24"/>
          <w:lang w:val="en-GB"/>
        </w:rPr>
        <w:t>Event studies: theory, research and policy for planned events</w:t>
      </w:r>
      <w:r w:rsidRPr="005C7198">
        <w:rPr>
          <w:rFonts w:ascii="Times New Roman" w:hAnsi="Times New Roman" w:cs="Times New Roman"/>
          <w:color w:val="000000" w:themeColor="text1"/>
          <w:sz w:val="24"/>
          <w:szCs w:val="24"/>
          <w:lang w:val="en-GB"/>
        </w:rPr>
        <w:t>. 3rd Edition. Routledge: Oxford</w:t>
      </w:r>
    </w:p>
    <w:p w14:paraId="3FB764B3"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lastRenderedPageBreak/>
        <w:t>Gov. Wales. (2025). </w:t>
      </w:r>
      <w:r w:rsidRPr="00172A85">
        <w:rPr>
          <w:rFonts w:ascii="Times New Roman" w:hAnsi="Times New Roman" w:cs="Times New Roman"/>
          <w:i/>
          <w:iCs/>
          <w:color w:val="000000" w:themeColor="text1"/>
          <w:sz w:val="24"/>
          <w:szCs w:val="24"/>
        </w:rPr>
        <w:t>Year of Croeso weather-proofing fund for tourism attractions 2025 to 2026: application form | GOV.WALES</w:t>
      </w:r>
      <w:r w:rsidRPr="00172A85">
        <w:rPr>
          <w:rFonts w:ascii="Times New Roman" w:hAnsi="Times New Roman" w:cs="Times New Roman"/>
          <w:color w:val="000000" w:themeColor="text1"/>
          <w:sz w:val="24"/>
          <w:szCs w:val="24"/>
        </w:rPr>
        <w:t>. [online] Available at: https://www.gov.wales/year-croeso-weather-proofing-fund-tourism-attractions-2025-2026-application-form.</w:t>
      </w:r>
    </w:p>
    <w:p w14:paraId="799F0C1A"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HSE (2025). </w:t>
      </w:r>
      <w:r w:rsidRPr="00172A85">
        <w:rPr>
          <w:rFonts w:ascii="Times New Roman" w:hAnsi="Times New Roman" w:cs="Times New Roman"/>
          <w:i/>
          <w:iCs/>
          <w:color w:val="000000" w:themeColor="text1"/>
          <w:sz w:val="24"/>
          <w:szCs w:val="24"/>
        </w:rPr>
        <w:t>Health and Safety at Work Act 1974</w:t>
      </w:r>
      <w:r w:rsidRPr="00172A85">
        <w:rPr>
          <w:rFonts w:ascii="Times New Roman" w:hAnsi="Times New Roman" w:cs="Times New Roman"/>
          <w:color w:val="000000" w:themeColor="text1"/>
          <w:sz w:val="24"/>
          <w:szCs w:val="24"/>
        </w:rPr>
        <w:t>. [online] Hse.gov.uk. Available at: https://www.hse.gov.uk/legislation/hswa.htm [Accessed 25 May 2025].</w:t>
      </w:r>
    </w:p>
    <w:p w14:paraId="65A042EB"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Islam, M.T., Kumar, J. and Konar, R. (2024). How Technology Is Revolutionizing the Bleisure Experiences of Tourists in Malaysia. </w:t>
      </w:r>
      <w:r w:rsidRPr="00172A85">
        <w:rPr>
          <w:rFonts w:ascii="Times New Roman" w:hAnsi="Times New Roman" w:cs="Times New Roman"/>
          <w:i/>
          <w:iCs/>
          <w:color w:val="000000" w:themeColor="text1"/>
          <w:sz w:val="24"/>
          <w:szCs w:val="24"/>
        </w:rPr>
        <w:t>Advances in hospitality, tourism and the services industry (AHTSI) book series</w:t>
      </w:r>
      <w:r w:rsidRPr="00172A85">
        <w:rPr>
          <w:rFonts w:ascii="Times New Roman" w:hAnsi="Times New Roman" w:cs="Times New Roman"/>
          <w:color w:val="000000" w:themeColor="text1"/>
          <w:sz w:val="24"/>
          <w:szCs w:val="24"/>
        </w:rPr>
        <w:t>, pp.173–194. doi: https://doi.org/10.4018/979-8-3693-4354-8.ch008.</w:t>
      </w:r>
    </w:p>
    <w:p w14:paraId="50342CC7"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Kale, R., Gadge, S., Khandagale, K., Gavhane, A., Gaikwad, S. and Mahajan, V. (2024). </w:t>
      </w:r>
      <w:r w:rsidRPr="00172A85">
        <w:rPr>
          <w:rFonts w:ascii="Times New Roman" w:hAnsi="Times New Roman" w:cs="Times New Roman"/>
          <w:i/>
          <w:iCs/>
          <w:color w:val="000000" w:themeColor="text1"/>
          <w:sz w:val="24"/>
          <w:szCs w:val="24"/>
        </w:rPr>
        <w:t>Agribusiness Incubation for Promoting Agripreneurship through Startups Edited By</w:t>
      </w:r>
      <w:r w:rsidRPr="00172A85">
        <w:rPr>
          <w:rFonts w:ascii="Times New Roman" w:hAnsi="Times New Roman" w:cs="Times New Roman"/>
          <w:color w:val="000000" w:themeColor="text1"/>
          <w:sz w:val="24"/>
          <w:szCs w:val="24"/>
        </w:rPr>
        <w:t xml:space="preserve">. [online] Available at: </w:t>
      </w:r>
      <w:hyperlink r:id="rId18" w:anchor="page=46" w:history="1">
        <w:r w:rsidR="00F0666D" w:rsidRPr="00172A85">
          <w:rPr>
            <w:rStyle w:val="Hyperlink"/>
            <w:rFonts w:ascii="Times New Roman" w:hAnsi="Times New Roman" w:cs="Times New Roman"/>
            <w:color w:val="000000" w:themeColor="text1"/>
            <w:sz w:val="24"/>
            <w:szCs w:val="24"/>
          </w:rPr>
          <w:t>https://www.manage.gov.in/publications/eBooks/Agribusiness%20Incubation%20for%20Promoting%20Agripreneurship%20through%20Startups.pdf#page=46</w:t>
        </w:r>
      </w:hyperlink>
      <w:r w:rsidRPr="00172A85">
        <w:rPr>
          <w:rFonts w:ascii="Times New Roman" w:hAnsi="Times New Roman" w:cs="Times New Roman"/>
          <w:color w:val="000000" w:themeColor="text1"/>
          <w:sz w:val="24"/>
          <w:szCs w:val="24"/>
        </w:rPr>
        <w:t>.</w:t>
      </w:r>
    </w:p>
    <w:p w14:paraId="7CA6AE59"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Kuchkovskiy, V., Andrunyk, V., Krylyshyn, M., Chyrun, L., Vysotskyi, A., Chyrun, S., Sokulska, N. and Brodovska, I. (2021). </w:t>
      </w:r>
      <w:r w:rsidRPr="00172A85">
        <w:rPr>
          <w:rFonts w:ascii="Times New Roman" w:hAnsi="Times New Roman" w:cs="Times New Roman"/>
          <w:i/>
          <w:iCs/>
          <w:color w:val="000000" w:themeColor="text1"/>
          <w:sz w:val="24"/>
          <w:szCs w:val="24"/>
        </w:rPr>
        <w:t>Application of Online Marketing Methods and SEO Technologies for Web Resources Analysis within the Region</w:t>
      </w:r>
      <w:r w:rsidRPr="00172A85">
        <w:rPr>
          <w:rFonts w:ascii="Times New Roman" w:hAnsi="Times New Roman" w:cs="Times New Roman"/>
          <w:color w:val="000000" w:themeColor="text1"/>
          <w:sz w:val="24"/>
          <w:szCs w:val="24"/>
        </w:rPr>
        <w:t xml:space="preserve">. [online] Available at: </w:t>
      </w:r>
      <w:hyperlink r:id="rId19" w:history="1">
        <w:r w:rsidR="00F0666D" w:rsidRPr="00172A85">
          <w:rPr>
            <w:rStyle w:val="Hyperlink"/>
            <w:rFonts w:ascii="Times New Roman" w:hAnsi="Times New Roman" w:cs="Times New Roman"/>
            <w:color w:val="000000" w:themeColor="text1"/>
            <w:sz w:val="24"/>
            <w:szCs w:val="24"/>
          </w:rPr>
          <w:t>http://ceurspt.wikidata.dbis.rwth-aachen.de/Vol-2870/paper121.pdf</w:t>
        </w:r>
      </w:hyperlink>
      <w:r w:rsidRPr="00172A85">
        <w:rPr>
          <w:rFonts w:ascii="Times New Roman" w:hAnsi="Times New Roman" w:cs="Times New Roman"/>
          <w:color w:val="000000" w:themeColor="text1"/>
          <w:sz w:val="24"/>
          <w:szCs w:val="24"/>
        </w:rPr>
        <w:t>.</w:t>
      </w:r>
    </w:p>
    <w:p w14:paraId="217B874B"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Legislation.gov.uk. (2021). </w:t>
      </w:r>
      <w:r w:rsidRPr="00172A85">
        <w:rPr>
          <w:rFonts w:ascii="Times New Roman" w:hAnsi="Times New Roman" w:cs="Times New Roman"/>
          <w:i/>
          <w:iCs/>
          <w:color w:val="000000" w:themeColor="text1"/>
          <w:sz w:val="24"/>
          <w:szCs w:val="24"/>
        </w:rPr>
        <w:t>Environment Act 2021</w:t>
      </w:r>
      <w:r w:rsidRPr="00172A85">
        <w:rPr>
          <w:rFonts w:ascii="Times New Roman" w:hAnsi="Times New Roman" w:cs="Times New Roman"/>
          <w:color w:val="000000" w:themeColor="text1"/>
          <w:sz w:val="24"/>
          <w:szCs w:val="24"/>
        </w:rPr>
        <w:t>. [online] Available at: https://www.legislation.gov.uk/id/ukpga/2021/30 [Accessed 25 May 2025].</w:t>
      </w:r>
    </w:p>
    <w:p w14:paraId="1B01FE92"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Lopes, A. and Casais, B. (2022). </w:t>
      </w:r>
      <w:r w:rsidRPr="00172A85">
        <w:rPr>
          <w:rFonts w:ascii="Times New Roman" w:hAnsi="Times New Roman" w:cs="Times New Roman"/>
          <w:i/>
          <w:iCs/>
          <w:color w:val="000000" w:themeColor="text1"/>
          <w:sz w:val="24"/>
          <w:szCs w:val="24"/>
        </w:rPr>
        <w:t>Digital Content Marketing: Conceptual Review and Recommendations for Practitioners</w:t>
      </w:r>
      <w:r w:rsidRPr="00172A85">
        <w:rPr>
          <w:rFonts w:ascii="Times New Roman" w:hAnsi="Times New Roman" w:cs="Times New Roman"/>
          <w:color w:val="000000" w:themeColor="text1"/>
          <w:sz w:val="24"/>
          <w:szCs w:val="24"/>
        </w:rPr>
        <w:t>. [online] </w:t>
      </w:r>
      <w:r w:rsidRPr="00172A85">
        <w:rPr>
          <w:rFonts w:ascii="Times New Roman" w:hAnsi="Times New Roman" w:cs="Times New Roman"/>
          <w:i/>
          <w:iCs/>
          <w:color w:val="000000" w:themeColor="text1"/>
          <w:sz w:val="24"/>
          <w:szCs w:val="24"/>
        </w:rPr>
        <w:t>Academy of Strategic Management Journal</w:t>
      </w:r>
      <w:r w:rsidRPr="00172A85">
        <w:rPr>
          <w:rFonts w:ascii="Times New Roman" w:hAnsi="Times New Roman" w:cs="Times New Roman"/>
          <w:color w:val="000000" w:themeColor="text1"/>
          <w:sz w:val="24"/>
          <w:szCs w:val="24"/>
        </w:rPr>
        <w:t xml:space="preserve">, Available at: </w:t>
      </w:r>
      <w:hyperlink r:id="rId20" w:history="1">
        <w:r w:rsidR="00F0666D" w:rsidRPr="00172A85">
          <w:rPr>
            <w:rStyle w:val="Hyperlink"/>
            <w:rFonts w:ascii="Times New Roman" w:hAnsi="Times New Roman" w:cs="Times New Roman"/>
            <w:color w:val="000000" w:themeColor="text1"/>
            <w:sz w:val="24"/>
            <w:szCs w:val="24"/>
          </w:rPr>
          <w:t>https://www.researchgate.net/profile/Beatriz-Casais/publication/357746605_Digital_Content_Marketing_Conceptual_Review_and_Recommendations_for_Practitioners/links/61dd81d7034dda1b9eeda0be/Digital-Content-Marketing-Conceptual-Review-and-Recommendations-for-Practitioners.pdf</w:t>
        </w:r>
      </w:hyperlink>
      <w:r w:rsidRPr="00172A85">
        <w:rPr>
          <w:rFonts w:ascii="Times New Roman" w:hAnsi="Times New Roman" w:cs="Times New Roman"/>
          <w:color w:val="000000" w:themeColor="text1"/>
          <w:sz w:val="24"/>
          <w:szCs w:val="24"/>
        </w:rPr>
        <w:t>.</w:t>
      </w:r>
    </w:p>
    <w:p w14:paraId="368FF4F7"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 xml:space="preserve">Mohammadi-Ghayeghchi, H., Bhagat, N., Campbell, M., Mayhew, M., Dufresne, R., Ewald, L., Devasahayam, A.J. and Mansfield, A. (2024). Are specific, measurable, action-oriented, realistic, </w:t>
      </w:r>
      <w:r w:rsidRPr="00172A85">
        <w:rPr>
          <w:rFonts w:ascii="Times New Roman" w:hAnsi="Times New Roman" w:cs="Times New Roman"/>
          <w:color w:val="000000" w:themeColor="text1"/>
          <w:sz w:val="24"/>
          <w:szCs w:val="24"/>
        </w:rPr>
        <w:lastRenderedPageBreak/>
        <w:t>and time-bound (SMART) goals associated with improved walking outcomes for stroke survivors undergoing outpatient stroke rehabilitation? An observational cross-sectional retrospective cohort study. </w:t>
      </w:r>
      <w:r w:rsidRPr="00172A85">
        <w:rPr>
          <w:rFonts w:ascii="Times New Roman" w:hAnsi="Times New Roman" w:cs="Times New Roman"/>
          <w:i/>
          <w:iCs/>
          <w:color w:val="000000" w:themeColor="text1"/>
          <w:sz w:val="24"/>
          <w:szCs w:val="24"/>
        </w:rPr>
        <w:t>medRxiv</w:t>
      </w:r>
      <w:r w:rsidRPr="00172A85">
        <w:rPr>
          <w:rFonts w:ascii="Times New Roman" w:hAnsi="Times New Roman" w:cs="Times New Roman"/>
          <w:color w:val="000000" w:themeColor="text1"/>
          <w:sz w:val="24"/>
          <w:szCs w:val="24"/>
        </w:rPr>
        <w:t>. Doi:https://doi.org/10.1101/2024.09.05.24313054.</w:t>
      </w:r>
    </w:p>
    <w:p w14:paraId="4BB57DF9"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National Trust. (2025). </w:t>
      </w:r>
      <w:r w:rsidRPr="00172A85">
        <w:rPr>
          <w:rFonts w:ascii="Times New Roman" w:hAnsi="Times New Roman" w:cs="Times New Roman"/>
          <w:i/>
          <w:iCs/>
          <w:color w:val="000000" w:themeColor="text1"/>
          <w:sz w:val="24"/>
          <w:szCs w:val="24"/>
        </w:rPr>
        <w:t>Welsh myths and folklore | Wales</w:t>
      </w:r>
      <w:r w:rsidRPr="00172A85">
        <w:rPr>
          <w:rFonts w:ascii="Times New Roman" w:hAnsi="Times New Roman" w:cs="Times New Roman"/>
          <w:color w:val="000000" w:themeColor="text1"/>
          <w:sz w:val="24"/>
          <w:szCs w:val="24"/>
        </w:rPr>
        <w:t>. [online] Available at: https://www.nationaltrust.org.uk/visit/wales/welsh-myths-and-folklore [Accessed 25 May 2025].</w:t>
      </w:r>
    </w:p>
    <w:p w14:paraId="0CAE95EC"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Okonkwo, I. and Namkoisse, E. (2023). The Role of Influencer Marketing in Building Authentic Brand Relationships Online. </w:t>
      </w:r>
      <w:r w:rsidRPr="00172A85">
        <w:rPr>
          <w:rFonts w:ascii="Times New Roman" w:hAnsi="Times New Roman" w:cs="Times New Roman"/>
          <w:i/>
          <w:iCs/>
          <w:color w:val="000000" w:themeColor="text1"/>
          <w:sz w:val="24"/>
          <w:szCs w:val="24"/>
        </w:rPr>
        <w:t>Journal of Digital Marketing and Communication</w:t>
      </w:r>
      <w:r w:rsidRPr="00172A85">
        <w:rPr>
          <w:rFonts w:ascii="Times New Roman" w:hAnsi="Times New Roman" w:cs="Times New Roman"/>
          <w:color w:val="000000" w:themeColor="text1"/>
          <w:sz w:val="24"/>
          <w:szCs w:val="24"/>
        </w:rPr>
        <w:t>, [online] 3(2), pp.81–90. doi:https://doi.org/10.53623/jdmc.v3i2.350.</w:t>
      </w:r>
    </w:p>
    <w:p w14:paraId="20BA37C2" w14:textId="77777777" w:rsidR="005E249E" w:rsidRPr="005C7198" w:rsidRDefault="003A6482" w:rsidP="00172A85">
      <w:pPr>
        <w:spacing w:before="240" w:line="360" w:lineRule="auto"/>
        <w:jc w:val="both"/>
        <w:rPr>
          <w:rFonts w:ascii="Times New Roman" w:hAnsi="Times New Roman" w:cs="Times New Roman"/>
          <w:color w:val="000000" w:themeColor="text1"/>
          <w:sz w:val="24"/>
          <w:szCs w:val="24"/>
        </w:rPr>
      </w:pPr>
      <w:r w:rsidRPr="005C7198">
        <w:rPr>
          <w:rFonts w:ascii="Times New Roman" w:hAnsi="Times New Roman" w:cs="Times New Roman"/>
          <w:color w:val="000000" w:themeColor="text1"/>
          <w:sz w:val="24"/>
          <w:szCs w:val="24"/>
        </w:rPr>
        <w:t>O’Toole, W. (2011) Events feasibility and development: from strategy to operations. Elsevier: Oxford</w:t>
      </w:r>
    </w:p>
    <w:p w14:paraId="22F9C9B9"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Quinn, B., Columbo, A., Lindström, K., McGillivray, D. and Smith, A. (2021). Festivals, public space and cultural inclusion: public policy insights. </w:t>
      </w:r>
      <w:r w:rsidRPr="00172A85">
        <w:rPr>
          <w:rFonts w:ascii="Times New Roman" w:hAnsi="Times New Roman" w:cs="Times New Roman"/>
          <w:i/>
          <w:iCs/>
          <w:color w:val="000000" w:themeColor="text1"/>
          <w:sz w:val="24"/>
          <w:szCs w:val="24"/>
        </w:rPr>
        <w:t>Journal of Sustainable Tourism</w:t>
      </w:r>
      <w:r w:rsidRPr="00172A85">
        <w:rPr>
          <w:rFonts w:ascii="Times New Roman" w:hAnsi="Times New Roman" w:cs="Times New Roman"/>
          <w:color w:val="000000" w:themeColor="text1"/>
          <w:sz w:val="24"/>
          <w:szCs w:val="24"/>
        </w:rPr>
        <w:t>, [online] 29(11-12), pp.1–18. doi:https://doi.org/10.1080/09669582.2020.1858090.</w:t>
      </w:r>
    </w:p>
    <w:p w14:paraId="63BC732E"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 xml:space="preserve">Saepudin, P. and Putra, F.K.K. (2023). Analyzing the application of cleanliness, health, safety, and environmental sustainability (CHSE) certification in the hotel business sector during the COVID-19 pandemic: perspectives of managers. </w:t>
      </w:r>
      <w:r w:rsidRPr="00172A85">
        <w:rPr>
          <w:rFonts w:ascii="Times New Roman" w:hAnsi="Times New Roman" w:cs="Times New Roman"/>
          <w:i/>
          <w:iCs/>
          <w:color w:val="000000" w:themeColor="text1"/>
          <w:sz w:val="24"/>
          <w:szCs w:val="24"/>
        </w:rPr>
        <w:t>Tourism and hospitality management</w:t>
      </w:r>
      <w:r w:rsidRPr="00172A85">
        <w:rPr>
          <w:rFonts w:ascii="Times New Roman" w:hAnsi="Times New Roman" w:cs="Times New Roman"/>
          <w:color w:val="000000" w:themeColor="text1"/>
          <w:sz w:val="24"/>
          <w:szCs w:val="24"/>
        </w:rPr>
        <w:t>, [online] 29(4), pp.517–529. doi: https://doi.org/10.20867/thm.29.4.4.</w:t>
      </w:r>
    </w:p>
    <w:p w14:paraId="4F9B95A9"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Salesa, A., León, R. and Moneva, J.M. (2022). Airlines practices to incorporate circular economy principles into the waste management system. </w:t>
      </w:r>
      <w:r w:rsidRPr="00172A85">
        <w:rPr>
          <w:rFonts w:ascii="Times New Roman" w:hAnsi="Times New Roman" w:cs="Times New Roman"/>
          <w:i/>
          <w:iCs/>
          <w:color w:val="000000" w:themeColor="text1"/>
          <w:sz w:val="24"/>
          <w:szCs w:val="24"/>
        </w:rPr>
        <w:t>Corporate Social Responsibility and Environmental Management</w:t>
      </w:r>
      <w:r w:rsidRPr="00172A85">
        <w:rPr>
          <w:rFonts w:ascii="Times New Roman" w:hAnsi="Times New Roman" w:cs="Times New Roman"/>
          <w:color w:val="000000" w:themeColor="text1"/>
          <w:sz w:val="24"/>
          <w:szCs w:val="24"/>
        </w:rPr>
        <w:t xml:space="preserve">, 30(1). doi: </w:t>
      </w:r>
      <w:hyperlink r:id="rId21" w:history="1">
        <w:r w:rsidR="00F0666D" w:rsidRPr="00172A85">
          <w:rPr>
            <w:rStyle w:val="Hyperlink"/>
            <w:rFonts w:ascii="Times New Roman" w:hAnsi="Times New Roman" w:cs="Times New Roman"/>
            <w:color w:val="000000" w:themeColor="text1"/>
            <w:sz w:val="24"/>
            <w:szCs w:val="24"/>
          </w:rPr>
          <w:t>https://doi.org/10.1002/csr.2365</w:t>
        </w:r>
      </w:hyperlink>
      <w:r w:rsidRPr="00172A85">
        <w:rPr>
          <w:rFonts w:ascii="Times New Roman" w:hAnsi="Times New Roman" w:cs="Times New Roman"/>
          <w:color w:val="000000" w:themeColor="text1"/>
          <w:sz w:val="24"/>
          <w:szCs w:val="24"/>
        </w:rPr>
        <w:t>.</w:t>
      </w:r>
    </w:p>
    <w:p w14:paraId="1EC94817"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Stephenson, B., Layton, M., Ostermiller, S., Kynaston, D. and Highsmith, J. (2025). </w:t>
      </w:r>
      <w:r w:rsidRPr="00172A85">
        <w:rPr>
          <w:rFonts w:ascii="Times New Roman" w:hAnsi="Times New Roman" w:cs="Times New Roman"/>
          <w:i/>
          <w:iCs/>
          <w:color w:val="000000" w:themeColor="text1"/>
          <w:sz w:val="24"/>
          <w:szCs w:val="24"/>
        </w:rPr>
        <w:t>MGT6505.E1 Agile Project Management SPRING 2024 Title: Agile Project Management for Dummies Author: Title: Agile Practice Guide Author: Project Management Institute Publisher: Project Management Institute Year Title: Agile Project Management: Creating Innovative Products Author</w:t>
      </w:r>
      <w:r w:rsidRPr="00172A85">
        <w:rPr>
          <w:rFonts w:ascii="Times New Roman" w:hAnsi="Times New Roman" w:cs="Times New Roman"/>
          <w:color w:val="000000" w:themeColor="text1"/>
          <w:sz w:val="24"/>
          <w:szCs w:val="24"/>
        </w:rPr>
        <w:t>. [online] Available at: https://amberton.edu/wp-content/uploads/2024/01/MGT6505_E1_Spring2024.pdf [Accessed 25 May 2025].</w:t>
      </w:r>
    </w:p>
    <w:p w14:paraId="2ADF7013"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lastRenderedPageBreak/>
        <w:t>Thanh, T. (2024). Toward Financial Optimization: Assessing the Influence of Budget Process on Effective Accounting Management. </w:t>
      </w:r>
      <w:r w:rsidRPr="00172A85">
        <w:rPr>
          <w:rFonts w:ascii="Times New Roman" w:hAnsi="Times New Roman" w:cs="Times New Roman"/>
          <w:i/>
          <w:iCs/>
          <w:color w:val="000000" w:themeColor="text1"/>
          <w:sz w:val="24"/>
          <w:szCs w:val="24"/>
        </w:rPr>
        <w:t>Management Dynamics in the Knowledge Economy</w:t>
      </w:r>
      <w:r w:rsidRPr="00172A85">
        <w:rPr>
          <w:rFonts w:ascii="Times New Roman" w:hAnsi="Times New Roman" w:cs="Times New Roman"/>
          <w:color w:val="000000" w:themeColor="text1"/>
          <w:sz w:val="24"/>
          <w:szCs w:val="24"/>
        </w:rPr>
        <w:t>, 12(2), pp.116–132. doi: https://doi.org/10.2478/mdke-2024-0008.</w:t>
      </w:r>
    </w:p>
    <w:p w14:paraId="58DB5AF3"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Travel Trade. (2025). </w:t>
      </w:r>
      <w:r w:rsidRPr="00172A85">
        <w:rPr>
          <w:rFonts w:ascii="Times New Roman" w:hAnsi="Times New Roman" w:cs="Times New Roman"/>
          <w:i/>
          <w:iCs/>
          <w:color w:val="000000" w:themeColor="text1"/>
          <w:sz w:val="24"/>
          <w:szCs w:val="24"/>
        </w:rPr>
        <w:t>Wales is celebrating the Year of Croeso, a Welsh welcome for visitors</w:t>
      </w:r>
      <w:r w:rsidRPr="00172A85">
        <w:rPr>
          <w:rFonts w:ascii="Times New Roman" w:hAnsi="Times New Roman" w:cs="Times New Roman"/>
          <w:color w:val="000000" w:themeColor="text1"/>
          <w:sz w:val="24"/>
          <w:szCs w:val="24"/>
        </w:rPr>
        <w:t>. [online</w:t>
      </w:r>
    </w:p>
    <w:p w14:paraId="723CF224"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Visit Wales (2024). </w:t>
      </w:r>
      <w:r w:rsidRPr="00172A85">
        <w:rPr>
          <w:rFonts w:ascii="Times New Roman" w:hAnsi="Times New Roman" w:cs="Times New Roman"/>
          <w:i/>
          <w:iCs/>
          <w:color w:val="000000" w:themeColor="text1"/>
          <w:sz w:val="24"/>
          <w:szCs w:val="24"/>
        </w:rPr>
        <w:t>Funding information and advice are available for tourism businesses</w:t>
      </w:r>
      <w:r w:rsidRPr="00172A85">
        <w:rPr>
          <w:rFonts w:ascii="Times New Roman" w:hAnsi="Times New Roman" w:cs="Times New Roman"/>
          <w:color w:val="000000" w:themeColor="text1"/>
          <w:sz w:val="24"/>
          <w:szCs w:val="24"/>
        </w:rPr>
        <w:t xml:space="preserve">. [online] Industry. Available at: </w:t>
      </w:r>
      <w:hyperlink r:id="rId22" w:history="1">
        <w:r w:rsidR="00F0666D" w:rsidRPr="00172A85">
          <w:rPr>
            <w:rStyle w:val="Hyperlink"/>
            <w:rFonts w:ascii="Times New Roman" w:hAnsi="Times New Roman" w:cs="Times New Roman"/>
            <w:color w:val="000000" w:themeColor="text1"/>
            <w:sz w:val="24"/>
            <w:szCs w:val="24"/>
          </w:rPr>
          <w:t>https://industry.visitwales.com/supporting-you/funding-information-and-advice-available-tourism-businesses</w:t>
        </w:r>
      </w:hyperlink>
      <w:r w:rsidRPr="00172A85">
        <w:rPr>
          <w:rFonts w:ascii="Times New Roman" w:hAnsi="Times New Roman" w:cs="Times New Roman"/>
          <w:color w:val="000000" w:themeColor="text1"/>
          <w:sz w:val="24"/>
          <w:szCs w:val="24"/>
        </w:rPr>
        <w:t>.</w:t>
      </w:r>
    </w:p>
    <w:p w14:paraId="2722556D"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Visit Wales (2025). </w:t>
      </w:r>
      <w:r w:rsidRPr="00172A85">
        <w:rPr>
          <w:rFonts w:ascii="Times New Roman" w:hAnsi="Times New Roman" w:cs="Times New Roman"/>
          <w:i/>
          <w:iCs/>
          <w:color w:val="000000" w:themeColor="text1"/>
          <w:sz w:val="24"/>
          <w:szCs w:val="24"/>
        </w:rPr>
        <w:t>Year of Croeso</w:t>
      </w:r>
      <w:r w:rsidRPr="00172A85">
        <w:rPr>
          <w:rFonts w:ascii="Times New Roman" w:hAnsi="Times New Roman" w:cs="Times New Roman"/>
          <w:color w:val="000000" w:themeColor="text1"/>
          <w:sz w:val="24"/>
          <w:szCs w:val="24"/>
        </w:rPr>
        <w:t xml:space="preserve">. [online] Industry. Available at: </w:t>
      </w:r>
      <w:hyperlink r:id="rId23" w:history="1">
        <w:r w:rsidR="00F0666D" w:rsidRPr="00172A85">
          <w:rPr>
            <w:rStyle w:val="Hyperlink"/>
            <w:rFonts w:ascii="Times New Roman" w:hAnsi="Times New Roman" w:cs="Times New Roman"/>
            <w:color w:val="000000" w:themeColor="text1"/>
            <w:sz w:val="24"/>
            <w:szCs w:val="24"/>
          </w:rPr>
          <w:t>https://industry.visitwales.com/get-involved/visit-wales-themed-year-campaigns/year-croeso</w:t>
        </w:r>
      </w:hyperlink>
      <w:r w:rsidRPr="00172A85">
        <w:rPr>
          <w:rFonts w:ascii="Times New Roman" w:hAnsi="Times New Roman" w:cs="Times New Roman"/>
          <w:color w:val="000000" w:themeColor="text1"/>
          <w:sz w:val="24"/>
          <w:szCs w:val="24"/>
        </w:rPr>
        <w:t>.</w:t>
      </w:r>
    </w:p>
    <w:p w14:paraId="6B34044C"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Wales. (2022). </w:t>
      </w:r>
      <w:r w:rsidRPr="00172A85">
        <w:rPr>
          <w:rFonts w:ascii="Times New Roman" w:hAnsi="Times New Roman" w:cs="Times New Roman"/>
          <w:i/>
          <w:iCs/>
          <w:color w:val="000000" w:themeColor="text1"/>
          <w:sz w:val="24"/>
          <w:szCs w:val="24"/>
        </w:rPr>
        <w:t>Celebrating the Welsh harp and our traditional Celtic folk roots</w:t>
      </w:r>
      <w:r w:rsidRPr="00172A85">
        <w:rPr>
          <w:rFonts w:ascii="Times New Roman" w:hAnsi="Times New Roman" w:cs="Times New Roman"/>
          <w:color w:val="000000" w:themeColor="text1"/>
          <w:sz w:val="24"/>
          <w:szCs w:val="24"/>
        </w:rPr>
        <w:t>. [online] Available at: https://www.wales.com/culture-and-sport/music-and-performance/welsh-harp-our-national-instrument.</w:t>
      </w:r>
    </w:p>
    <w:p w14:paraId="4595BF4F" w14:textId="77777777" w:rsidR="00F0666D" w:rsidRPr="00172A85" w:rsidRDefault="003A6482" w:rsidP="00172A85">
      <w:pPr>
        <w:spacing w:before="240" w:line="360" w:lineRule="auto"/>
        <w:jc w:val="both"/>
        <w:rPr>
          <w:rFonts w:ascii="Times New Roman" w:hAnsi="Times New Roman" w:cs="Times New Roman"/>
          <w:color w:val="000000" w:themeColor="text1"/>
          <w:sz w:val="24"/>
          <w:szCs w:val="24"/>
        </w:rPr>
      </w:pPr>
      <w:r w:rsidRPr="00172A85">
        <w:rPr>
          <w:rFonts w:ascii="Times New Roman" w:hAnsi="Times New Roman" w:cs="Times New Roman"/>
          <w:color w:val="000000" w:themeColor="text1"/>
          <w:sz w:val="24"/>
          <w:szCs w:val="24"/>
        </w:rPr>
        <w:t>Welsh Government News. (2025). </w:t>
      </w:r>
      <w:r w:rsidRPr="00172A85">
        <w:rPr>
          <w:rFonts w:ascii="Times New Roman" w:hAnsi="Times New Roman" w:cs="Times New Roman"/>
          <w:i/>
          <w:iCs/>
          <w:color w:val="000000" w:themeColor="text1"/>
          <w:sz w:val="24"/>
          <w:szCs w:val="24"/>
        </w:rPr>
        <w:t>Visit Wales invites the world to feel the 'hwyl' in 2025 | Welsh Government News</w:t>
      </w:r>
      <w:r w:rsidRPr="00172A85">
        <w:rPr>
          <w:rFonts w:ascii="Times New Roman" w:hAnsi="Times New Roman" w:cs="Times New Roman"/>
          <w:color w:val="000000" w:themeColor="text1"/>
          <w:sz w:val="24"/>
          <w:szCs w:val="24"/>
        </w:rPr>
        <w:t>. [online] Available at: https://media.service.gov.wales/news/visit-wales-invites-world-to-feel-the-hwyl-in-2025 [Accessed 25 May 2025].</w:t>
      </w:r>
    </w:p>
    <w:p w14:paraId="1CD92287" w14:textId="77777777" w:rsidR="00F0666D" w:rsidRPr="00172A85" w:rsidRDefault="00F0666D" w:rsidP="00172A85">
      <w:pPr>
        <w:spacing w:before="240" w:line="360" w:lineRule="auto"/>
        <w:jc w:val="both"/>
        <w:rPr>
          <w:rFonts w:ascii="Times New Roman" w:hAnsi="Times New Roman" w:cs="Times New Roman"/>
          <w:color w:val="000000" w:themeColor="text1"/>
          <w:sz w:val="24"/>
          <w:szCs w:val="24"/>
        </w:rPr>
      </w:pPr>
    </w:p>
    <w:p w14:paraId="510E4CF0" w14:textId="77777777" w:rsidR="00901A81" w:rsidRPr="00172A85" w:rsidRDefault="00901A81" w:rsidP="00172A85">
      <w:pPr>
        <w:spacing w:before="200" w:line="360" w:lineRule="auto"/>
        <w:jc w:val="both"/>
        <w:rPr>
          <w:rFonts w:ascii="Times New Roman" w:eastAsia="Times New Roman" w:hAnsi="Times New Roman" w:cs="Times New Roman"/>
          <w:color w:val="000000" w:themeColor="text1"/>
          <w:sz w:val="24"/>
          <w:szCs w:val="24"/>
        </w:rPr>
      </w:pPr>
    </w:p>
    <w:p w14:paraId="2CAA805C" w14:textId="77777777" w:rsidR="00172A85" w:rsidRPr="00172A85" w:rsidRDefault="003A6482" w:rsidP="00172A85">
      <w:pPr>
        <w:spacing w:line="360" w:lineRule="auto"/>
        <w:rPr>
          <w:rFonts w:ascii="Times New Roman" w:eastAsia="Times New Roman" w:hAnsi="Times New Roman" w:cs="Times New Roman"/>
          <w:color w:val="000000" w:themeColor="text1"/>
          <w:sz w:val="24"/>
          <w:szCs w:val="24"/>
        </w:rPr>
      </w:pPr>
      <w:r w:rsidRPr="00172A85">
        <w:rPr>
          <w:rFonts w:ascii="Times New Roman" w:eastAsia="Times New Roman" w:hAnsi="Times New Roman" w:cs="Times New Roman"/>
          <w:color w:val="000000" w:themeColor="text1"/>
          <w:sz w:val="24"/>
          <w:szCs w:val="24"/>
        </w:rPr>
        <w:br w:type="page"/>
      </w:r>
    </w:p>
    <w:p w14:paraId="4D6FA434" w14:textId="4EFB4CF6" w:rsidR="00A5298E" w:rsidRPr="005C7198" w:rsidRDefault="00A5298E" w:rsidP="00172A85">
      <w:pPr>
        <w:pStyle w:val="Heading1"/>
        <w:rPr>
          <w:color w:val="000000" w:themeColor="text1"/>
        </w:rPr>
      </w:pPr>
      <w:bookmarkStart w:id="17" w:name="_Toc200744182"/>
      <w:r w:rsidRPr="005C7198">
        <w:rPr>
          <w:color w:val="000000" w:themeColor="text1"/>
        </w:rPr>
        <w:lastRenderedPageBreak/>
        <w:t>Appendix</w:t>
      </w:r>
      <w:bookmarkEnd w:id="17"/>
    </w:p>
    <w:p w14:paraId="240B15DA" w14:textId="1312A5CF" w:rsidR="00901A81" w:rsidRPr="005C7198" w:rsidRDefault="003A6482" w:rsidP="00A5298E">
      <w:pPr>
        <w:pStyle w:val="Heading2"/>
        <w:rPr>
          <w:color w:val="000000" w:themeColor="text1"/>
        </w:rPr>
      </w:pPr>
      <w:bookmarkStart w:id="18" w:name="_Toc200744183"/>
      <w:r w:rsidRPr="005C7198">
        <w:rPr>
          <w:color w:val="000000" w:themeColor="text1"/>
        </w:rPr>
        <w:t>Appendix 1: SWOT analysis</w:t>
      </w:r>
      <w:bookmarkEnd w:id="18"/>
      <w:r w:rsidRPr="005C7198">
        <w:rPr>
          <w:color w:val="000000" w:themeColor="text1"/>
        </w:rPr>
        <w:t xml:space="preserve"> </w:t>
      </w:r>
    </w:p>
    <w:tbl>
      <w:tblPr>
        <w:tblStyle w:val="TableGrid"/>
        <w:tblW w:w="0" w:type="auto"/>
        <w:tblLook w:val="04A0" w:firstRow="1" w:lastRow="0" w:firstColumn="1" w:lastColumn="0" w:noHBand="0" w:noVBand="1"/>
      </w:tblPr>
      <w:tblGrid>
        <w:gridCol w:w="5305"/>
        <w:gridCol w:w="4045"/>
      </w:tblGrid>
      <w:tr w:rsidR="005C7198" w:rsidRPr="005C7198" w14:paraId="23CE2F9E" w14:textId="77777777" w:rsidTr="000E6D9C">
        <w:tc>
          <w:tcPr>
            <w:tcW w:w="5305" w:type="dxa"/>
            <w:shd w:val="clear" w:color="auto" w:fill="DDD9C3" w:themeFill="background2" w:themeFillShade="E6"/>
          </w:tcPr>
          <w:p w14:paraId="58520A29" w14:textId="77777777" w:rsidR="00172A85"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Strength </w:t>
            </w:r>
          </w:p>
        </w:tc>
        <w:tc>
          <w:tcPr>
            <w:tcW w:w="4045" w:type="dxa"/>
            <w:shd w:val="clear" w:color="auto" w:fill="DDD9C3" w:themeFill="background2" w:themeFillShade="E6"/>
          </w:tcPr>
          <w:p w14:paraId="5E5CA90D" w14:textId="77777777" w:rsidR="00172A85"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Weakness </w:t>
            </w:r>
          </w:p>
        </w:tc>
      </w:tr>
      <w:tr w:rsidR="005C7198" w:rsidRPr="005C7198" w14:paraId="72EFEE31" w14:textId="77777777" w:rsidTr="000E6D9C">
        <w:tc>
          <w:tcPr>
            <w:tcW w:w="5305" w:type="dxa"/>
            <w:shd w:val="clear" w:color="auto" w:fill="F2F2F2" w:themeFill="background1" w:themeFillShade="F2"/>
          </w:tcPr>
          <w:p w14:paraId="38057659" w14:textId="77777777" w:rsidR="00172A85" w:rsidRPr="005C7198" w:rsidRDefault="003A6482" w:rsidP="00172A85">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Attractive presentation of 'Welsh Legends &amp; Landscapes’ along with Interactive Heritage Festival to engage international tourists</w:t>
            </w:r>
          </w:p>
          <w:p w14:paraId="449A05C7" w14:textId="77777777" w:rsidR="00172A85" w:rsidRPr="005C7198" w:rsidRDefault="003A6482" w:rsidP="00172A85">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Strong marketing through social media, online, and tourism partnerships</w:t>
            </w:r>
          </w:p>
          <w:p w14:paraId="63DC8E24" w14:textId="77777777" w:rsidR="00172A85" w:rsidRPr="005C7198" w:rsidRDefault="003A6482" w:rsidP="00172A85">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Higher cultural experiences and Unique festivals that meet the strong interest of tourists </w:t>
            </w:r>
          </w:p>
          <w:p w14:paraId="1F45D5AB" w14:textId="77777777" w:rsidR="00172A85" w:rsidRPr="005C7198" w:rsidRDefault="003A6482" w:rsidP="00172A85">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Attractive scenic places at </w:t>
            </w:r>
            <w:r w:rsidRPr="005C7198">
              <w:rPr>
                <w:rFonts w:ascii="Times New Roman" w:eastAsia="Times New Roman" w:hAnsi="Times New Roman" w:cs="Times New Roman"/>
                <w:i/>
                <w:color w:val="000000" w:themeColor="text1"/>
                <w:sz w:val="24"/>
                <w:szCs w:val="24"/>
              </w:rPr>
              <w:t>Snowdonia National Park</w:t>
            </w:r>
          </w:p>
          <w:p w14:paraId="5522CBC0" w14:textId="77777777" w:rsidR="00172A85" w:rsidRPr="005C7198" w:rsidRDefault="003A6482" w:rsidP="00172A85">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iCs/>
                <w:color w:val="000000" w:themeColor="text1"/>
                <w:sz w:val="24"/>
                <w:szCs w:val="24"/>
              </w:rPr>
              <w:t xml:space="preserve">Multiple sources of funding and strong financial feasibility </w:t>
            </w:r>
          </w:p>
          <w:p w14:paraId="32EF5B4B" w14:textId="77777777" w:rsidR="00172A85" w:rsidRPr="005C7198" w:rsidRDefault="003A6482" w:rsidP="00172A85">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iCs/>
                <w:color w:val="000000" w:themeColor="text1"/>
                <w:sz w:val="24"/>
                <w:szCs w:val="24"/>
              </w:rPr>
              <w:t>Diverse cultural programs like food, dance, and arts and crafts</w:t>
            </w:r>
          </w:p>
          <w:p w14:paraId="238E1E38" w14:textId="77777777" w:rsidR="00172A85" w:rsidRPr="005C7198" w:rsidRDefault="003A6482" w:rsidP="00172A85">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iCs/>
                <w:color w:val="000000" w:themeColor="text1"/>
                <w:sz w:val="24"/>
                <w:szCs w:val="24"/>
              </w:rPr>
              <w:t xml:space="preserve">Ensuring inclusivity and sustainability  </w:t>
            </w:r>
          </w:p>
        </w:tc>
        <w:tc>
          <w:tcPr>
            <w:tcW w:w="4045" w:type="dxa"/>
            <w:shd w:val="clear" w:color="auto" w:fill="F2F2F2" w:themeFill="background1" w:themeFillShade="F2"/>
          </w:tcPr>
          <w:p w14:paraId="1E2A193F" w14:textId="77777777" w:rsidR="00172A85" w:rsidRPr="005C7198" w:rsidRDefault="003A6482" w:rsidP="00172A85">
            <w:pPr>
              <w:pStyle w:val="ListParagraph"/>
              <w:numPr>
                <w:ilvl w:val="0"/>
                <w:numId w:val="1"/>
              </w:numPr>
              <w:spacing w:line="360" w:lineRule="auto"/>
              <w:jc w:val="both"/>
              <w:rPr>
                <w:rFonts w:ascii="Times New Roman" w:hAnsi="Times New Roman" w:cs="Times New Roman"/>
                <w:color w:val="000000" w:themeColor="text1"/>
                <w:sz w:val="24"/>
                <w:szCs w:val="24"/>
              </w:rPr>
            </w:pPr>
            <w:r w:rsidRPr="005C7198">
              <w:rPr>
                <w:rFonts w:ascii="Times New Roman" w:hAnsi="Times New Roman" w:cs="Times New Roman"/>
                <w:color w:val="000000" w:themeColor="text1"/>
                <w:sz w:val="24"/>
                <w:szCs w:val="24"/>
              </w:rPr>
              <w:t xml:space="preserve">Higher dependence on local volunteers and suppliers may generate uncertainty in services and may lower their quality.  </w:t>
            </w:r>
          </w:p>
          <w:p w14:paraId="501743A1" w14:textId="77777777" w:rsidR="00172A85" w:rsidRPr="005C7198" w:rsidRDefault="003A6482" w:rsidP="00172A85">
            <w:pPr>
              <w:pStyle w:val="ListParagraph"/>
              <w:numPr>
                <w:ilvl w:val="0"/>
                <w:numId w:val="1"/>
              </w:numPr>
              <w:spacing w:line="360" w:lineRule="auto"/>
              <w:jc w:val="both"/>
              <w:rPr>
                <w:rFonts w:ascii="Times New Roman" w:hAnsi="Times New Roman" w:cs="Times New Roman"/>
                <w:color w:val="000000" w:themeColor="text1"/>
                <w:sz w:val="24"/>
                <w:szCs w:val="24"/>
              </w:rPr>
            </w:pPr>
            <w:r w:rsidRPr="005C7198">
              <w:rPr>
                <w:rFonts w:ascii="Times New Roman" w:hAnsi="Times New Roman" w:cs="Times New Roman"/>
                <w:color w:val="000000" w:themeColor="text1"/>
                <w:sz w:val="24"/>
                <w:szCs w:val="24"/>
              </w:rPr>
              <w:t>Challenges of accessibility may be noted in remote and risky areas</w:t>
            </w:r>
          </w:p>
          <w:p w14:paraId="278A44BE" w14:textId="77777777" w:rsidR="00172A85" w:rsidRPr="005C7198" w:rsidRDefault="003A6482" w:rsidP="00172A85">
            <w:pPr>
              <w:pStyle w:val="ListParagraph"/>
              <w:numPr>
                <w:ilvl w:val="0"/>
                <w:numId w:val="1"/>
              </w:numPr>
              <w:spacing w:line="360" w:lineRule="auto"/>
              <w:jc w:val="both"/>
              <w:rPr>
                <w:rFonts w:ascii="Times New Roman" w:hAnsi="Times New Roman" w:cs="Times New Roman"/>
                <w:color w:val="000000" w:themeColor="text1"/>
                <w:sz w:val="24"/>
                <w:szCs w:val="24"/>
              </w:rPr>
            </w:pPr>
            <w:r w:rsidRPr="005C7198">
              <w:rPr>
                <w:rFonts w:ascii="Times New Roman" w:hAnsi="Times New Roman" w:cs="Times New Roman"/>
                <w:color w:val="000000" w:themeColor="text1"/>
                <w:sz w:val="24"/>
                <w:szCs w:val="24"/>
              </w:rPr>
              <w:t xml:space="preserve">Adverse weather conditions may interrupt outdoor activities and seating </w:t>
            </w:r>
          </w:p>
          <w:p w14:paraId="7E7BEAE9" w14:textId="77777777" w:rsidR="00172A85" w:rsidRPr="005C7198" w:rsidRDefault="003A6482" w:rsidP="00172A85">
            <w:pPr>
              <w:pStyle w:val="ListParagraph"/>
              <w:numPr>
                <w:ilvl w:val="0"/>
                <w:numId w:val="1"/>
              </w:numPr>
              <w:spacing w:line="360" w:lineRule="auto"/>
              <w:jc w:val="both"/>
              <w:rPr>
                <w:rFonts w:ascii="Times New Roman" w:hAnsi="Times New Roman" w:cs="Times New Roman"/>
                <w:color w:val="000000" w:themeColor="text1"/>
                <w:sz w:val="24"/>
                <w:szCs w:val="24"/>
              </w:rPr>
            </w:pPr>
            <w:r w:rsidRPr="005C7198">
              <w:rPr>
                <w:rFonts w:ascii="Times New Roman" w:hAnsi="Times New Roman" w:cs="Times New Roman"/>
                <w:color w:val="000000" w:themeColor="text1"/>
                <w:sz w:val="24"/>
                <w:szCs w:val="24"/>
              </w:rPr>
              <w:t xml:space="preserve">Limited brand presence, lower practical experience, and limited resources may interrupt overall performance quality </w:t>
            </w:r>
          </w:p>
        </w:tc>
      </w:tr>
      <w:tr w:rsidR="005C7198" w:rsidRPr="005C7198" w14:paraId="12685154" w14:textId="77777777" w:rsidTr="000E6D9C">
        <w:tc>
          <w:tcPr>
            <w:tcW w:w="5305" w:type="dxa"/>
            <w:shd w:val="clear" w:color="auto" w:fill="DDD9C3" w:themeFill="background2" w:themeFillShade="E6"/>
          </w:tcPr>
          <w:p w14:paraId="7991D03F" w14:textId="77777777" w:rsidR="00172A85"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Threat </w:t>
            </w:r>
          </w:p>
        </w:tc>
        <w:tc>
          <w:tcPr>
            <w:tcW w:w="4045" w:type="dxa"/>
            <w:shd w:val="clear" w:color="auto" w:fill="DDD9C3" w:themeFill="background2" w:themeFillShade="E6"/>
          </w:tcPr>
          <w:p w14:paraId="69EF0A3A" w14:textId="77777777" w:rsidR="00172A85" w:rsidRPr="005C7198" w:rsidRDefault="003A6482" w:rsidP="00172A85">
            <w:pPr>
              <w:spacing w:before="200" w:line="360" w:lineRule="auto"/>
              <w:jc w:val="center"/>
              <w:rPr>
                <w:rFonts w:ascii="Times New Roman" w:eastAsia="Times New Roman" w:hAnsi="Times New Roman" w:cs="Times New Roman"/>
                <w:b/>
                <w:bCs/>
                <w:color w:val="000000" w:themeColor="text1"/>
                <w:sz w:val="24"/>
                <w:szCs w:val="24"/>
              </w:rPr>
            </w:pPr>
            <w:r w:rsidRPr="005C7198">
              <w:rPr>
                <w:rFonts w:ascii="Times New Roman" w:eastAsia="Times New Roman" w:hAnsi="Times New Roman" w:cs="Times New Roman"/>
                <w:b/>
                <w:bCs/>
                <w:color w:val="000000" w:themeColor="text1"/>
                <w:sz w:val="24"/>
                <w:szCs w:val="24"/>
              </w:rPr>
              <w:t xml:space="preserve">Opportunities </w:t>
            </w:r>
          </w:p>
        </w:tc>
      </w:tr>
      <w:tr w:rsidR="005C7198" w:rsidRPr="005C7198" w14:paraId="70D1DA63" w14:textId="77777777" w:rsidTr="000E6D9C">
        <w:tc>
          <w:tcPr>
            <w:tcW w:w="5305" w:type="dxa"/>
            <w:shd w:val="clear" w:color="auto" w:fill="F2F2F2" w:themeFill="background1" w:themeFillShade="F2"/>
          </w:tcPr>
          <w:p w14:paraId="4704B977" w14:textId="77777777" w:rsidR="00172A85"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Changes in environmental regulations, laws, and policies may generate legal complications.</w:t>
            </w:r>
          </w:p>
          <w:p w14:paraId="1B4BDBAE" w14:textId="77777777" w:rsidR="000E6D9C"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Massive competition from heritage events and summer festivals within that area</w:t>
            </w:r>
          </w:p>
          <w:p w14:paraId="483766B2" w14:textId="77777777" w:rsidR="000E6D9C"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Higher inflation and economic uncertainties may impact on affordability and expanses of the project.  </w:t>
            </w:r>
          </w:p>
          <w:p w14:paraId="106B9541" w14:textId="77777777" w:rsidR="000E6D9C"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lastRenderedPageBreak/>
              <w:t>Due to visa issues, travel restrictions, and geopolitical tensions, a lower engagement rate may be noted</w:t>
            </w:r>
          </w:p>
          <w:p w14:paraId="0A49A93F" w14:textId="77777777" w:rsidR="00F0786C" w:rsidRPr="005C7198" w:rsidRDefault="003A6482">
            <w:pPr>
              <w:rPr>
                <w:color w:val="000000" w:themeColor="text1"/>
              </w:rPr>
            </w:pPr>
            <w:r w:rsidRPr="005C7198">
              <w:rPr>
                <w:color w:val="000000" w:themeColor="text1"/>
              </w:rPr>
              <w:t>.</w:t>
            </w:r>
          </w:p>
        </w:tc>
        <w:tc>
          <w:tcPr>
            <w:tcW w:w="4045" w:type="dxa"/>
            <w:shd w:val="clear" w:color="auto" w:fill="F2F2F2" w:themeFill="background1" w:themeFillShade="F2"/>
          </w:tcPr>
          <w:p w14:paraId="46EE8611" w14:textId="77777777" w:rsidR="00172A85"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lastRenderedPageBreak/>
              <w:t>Using digital platforms and strategies to connect with global visitors</w:t>
            </w:r>
          </w:p>
          <w:p w14:paraId="479A0C26" w14:textId="77777777" w:rsidR="000E6D9C"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Making strategic partnerships with eco-tourism operators and cultural institutions </w:t>
            </w:r>
          </w:p>
          <w:p w14:paraId="7BD0DCB3" w14:textId="77777777" w:rsidR="000E6D9C"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t xml:space="preserve">Expanding services on cultural and eco-tourism </w:t>
            </w:r>
          </w:p>
          <w:p w14:paraId="16AFC97F" w14:textId="77777777" w:rsidR="000E6D9C" w:rsidRPr="005C7198" w:rsidRDefault="003A6482" w:rsidP="00172A85">
            <w:pPr>
              <w:pStyle w:val="ListParagraph"/>
              <w:numPr>
                <w:ilvl w:val="0"/>
                <w:numId w:val="1"/>
              </w:numPr>
              <w:spacing w:before="200" w:line="360" w:lineRule="auto"/>
              <w:jc w:val="both"/>
              <w:rPr>
                <w:rFonts w:ascii="Times New Roman" w:eastAsia="Times New Roman" w:hAnsi="Times New Roman" w:cs="Times New Roman"/>
                <w:color w:val="000000" w:themeColor="text1"/>
                <w:sz w:val="24"/>
                <w:szCs w:val="24"/>
              </w:rPr>
            </w:pPr>
            <w:r w:rsidRPr="005C7198">
              <w:rPr>
                <w:rFonts w:ascii="Times New Roman" w:eastAsia="Times New Roman" w:hAnsi="Times New Roman" w:cs="Times New Roman"/>
                <w:color w:val="000000" w:themeColor="text1"/>
                <w:sz w:val="24"/>
                <w:szCs w:val="24"/>
              </w:rPr>
              <w:lastRenderedPageBreak/>
              <w:t xml:space="preserve">Promoting heritage travel and multilingual assistance </w:t>
            </w:r>
          </w:p>
        </w:tc>
      </w:tr>
    </w:tbl>
    <w:p w14:paraId="3DB3EC38" w14:textId="77777777" w:rsidR="00172A85" w:rsidRPr="005C7198" w:rsidRDefault="00172A85" w:rsidP="00172A85">
      <w:pPr>
        <w:spacing w:before="200" w:line="360" w:lineRule="auto"/>
        <w:jc w:val="center"/>
        <w:rPr>
          <w:rFonts w:ascii="Times New Roman" w:eastAsia="Times New Roman" w:hAnsi="Times New Roman" w:cs="Times New Roman"/>
          <w:color w:val="000000" w:themeColor="text1"/>
          <w:sz w:val="24"/>
          <w:szCs w:val="24"/>
        </w:rPr>
      </w:pPr>
    </w:p>
    <w:sectPr w:rsidR="00172A85" w:rsidRPr="005C7198" w:rsidSect="005C7198">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88D02" w14:textId="77777777" w:rsidR="0005666D" w:rsidRDefault="0005666D">
      <w:pPr>
        <w:spacing w:line="240" w:lineRule="auto"/>
      </w:pPr>
      <w:r>
        <w:separator/>
      </w:r>
    </w:p>
  </w:endnote>
  <w:endnote w:type="continuationSeparator" w:id="0">
    <w:p w14:paraId="718F87A4" w14:textId="77777777" w:rsidR="0005666D" w:rsidRDefault="000566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766273271"/>
      <w:docPartObj>
        <w:docPartGallery w:val="Page Numbers (Bottom of Page)"/>
        <w:docPartUnique/>
      </w:docPartObj>
    </w:sdtPr>
    <w:sdtEndPr>
      <w:rPr>
        <w:noProof/>
      </w:rPr>
    </w:sdtEndPr>
    <w:sdtContent>
      <w:p w14:paraId="6DB8FC74" w14:textId="77777777" w:rsidR="00F0666D" w:rsidRPr="00F0666D" w:rsidRDefault="003A6482">
        <w:pPr>
          <w:pStyle w:val="Footer"/>
          <w:jc w:val="right"/>
          <w:rPr>
            <w:rFonts w:ascii="Times New Roman" w:hAnsi="Times New Roman" w:cs="Times New Roman"/>
            <w:sz w:val="20"/>
            <w:szCs w:val="20"/>
          </w:rPr>
        </w:pPr>
        <w:r w:rsidRPr="00F0666D">
          <w:rPr>
            <w:rFonts w:ascii="Times New Roman" w:hAnsi="Times New Roman" w:cs="Times New Roman"/>
            <w:sz w:val="20"/>
            <w:szCs w:val="20"/>
          </w:rPr>
          <w:fldChar w:fldCharType="begin"/>
        </w:r>
        <w:r w:rsidRPr="00F0666D">
          <w:rPr>
            <w:rFonts w:ascii="Times New Roman" w:hAnsi="Times New Roman" w:cs="Times New Roman"/>
            <w:sz w:val="20"/>
            <w:szCs w:val="20"/>
          </w:rPr>
          <w:instrText xml:space="preserve"> PAGE   \* MERGEFORMAT </w:instrText>
        </w:r>
        <w:r w:rsidRPr="00F0666D">
          <w:rPr>
            <w:rFonts w:ascii="Times New Roman" w:hAnsi="Times New Roman" w:cs="Times New Roman"/>
            <w:sz w:val="20"/>
            <w:szCs w:val="20"/>
          </w:rPr>
          <w:fldChar w:fldCharType="separate"/>
        </w:r>
        <w:r w:rsidRPr="00F0666D">
          <w:rPr>
            <w:rFonts w:ascii="Times New Roman" w:hAnsi="Times New Roman" w:cs="Times New Roman"/>
            <w:noProof/>
            <w:sz w:val="20"/>
            <w:szCs w:val="20"/>
          </w:rPr>
          <w:t>2</w:t>
        </w:r>
        <w:r w:rsidRPr="00F0666D">
          <w:rPr>
            <w:rFonts w:ascii="Times New Roman" w:hAnsi="Times New Roman" w:cs="Times New Roman"/>
            <w:noProof/>
            <w:sz w:val="20"/>
            <w:szCs w:val="20"/>
          </w:rPr>
          <w:fldChar w:fldCharType="end"/>
        </w:r>
      </w:p>
    </w:sdtContent>
  </w:sdt>
  <w:p w14:paraId="6CB9D95C" w14:textId="77777777" w:rsidR="00F0666D" w:rsidRPr="00F0666D" w:rsidRDefault="00F0666D">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D1C24" w14:textId="77777777" w:rsidR="0005666D" w:rsidRDefault="0005666D">
      <w:pPr>
        <w:spacing w:line="240" w:lineRule="auto"/>
      </w:pPr>
      <w:r>
        <w:separator/>
      </w:r>
    </w:p>
  </w:footnote>
  <w:footnote w:type="continuationSeparator" w:id="0">
    <w:p w14:paraId="6D90B372" w14:textId="77777777" w:rsidR="0005666D" w:rsidRDefault="000566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86EBE"/>
    <w:multiLevelType w:val="hybridMultilevel"/>
    <w:tmpl w:val="00B8EECA"/>
    <w:lvl w:ilvl="0" w:tplc="EFBA6666">
      <w:start w:val="1"/>
      <w:numFmt w:val="bullet"/>
      <w:lvlText w:val=""/>
      <w:lvlJc w:val="left"/>
      <w:pPr>
        <w:ind w:left="720" w:hanging="360"/>
      </w:pPr>
      <w:rPr>
        <w:rFonts w:ascii="Symbol" w:hAnsi="Symbol" w:hint="default"/>
      </w:rPr>
    </w:lvl>
    <w:lvl w:ilvl="1" w:tplc="F53ED466" w:tentative="1">
      <w:start w:val="1"/>
      <w:numFmt w:val="bullet"/>
      <w:lvlText w:val="o"/>
      <w:lvlJc w:val="left"/>
      <w:pPr>
        <w:ind w:left="1440" w:hanging="360"/>
      </w:pPr>
      <w:rPr>
        <w:rFonts w:ascii="Courier New" w:hAnsi="Courier New" w:cs="Courier New" w:hint="default"/>
      </w:rPr>
    </w:lvl>
    <w:lvl w:ilvl="2" w:tplc="D4DEDD0C" w:tentative="1">
      <w:start w:val="1"/>
      <w:numFmt w:val="bullet"/>
      <w:lvlText w:val=""/>
      <w:lvlJc w:val="left"/>
      <w:pPr>
        <w:ind w:left="2160" w:hanging="360"/>
      </w:pPr>
      <w:rPr>
        <w:rFonts w:ascii="Wingdings" w:hAnsi="Wingdings" w:hint="default"/>
      </w:rPr>
    </w:lvl>
    <w:lvl w:ilvl="3" w:tplc="D60C0230" w:tentative="1">
      <w:start w:val="1"/>
      <w:numFmt w:val="bullet"/>
      <w:lvlText w:val=""/>
      <w:lvlJc w:val="left"/>
      <w:pPr>
        <w:ind w:left="2880" w:hanging="360"/>
      </w:pPr>
      <w:rPr>
        <w:rFonts w:ascii="Symbol" w:hAnsi="Symbol" w:hint="default"/>
      </w:rPr>
    </w:lvl>
    <w:lvl w:ilvl="4" w:tplc="6AB2AB40" w:tentative="1">
      <w:start w:val="1"/>
      <w:numFmt w:val="bullet"/>
      <w:lvlText w:val="o"/>
      <w:lvlJc w:val="left"/>
      <w:pPr>
        <w:ind w:left="3600" w:hanging="360"/>
      </w:pPr>
      <w:rPr>
        <w:rFonts w:ascii="Courier New" w:hAnsi="Courier New" w:cs="Courier New" w:hint="default"/>
      </w:rPr>
    </w:lvl>
    <w:lvl w:ilvl="5" w:tplc="3D72B042" w:tentative="1">
      <w:start w:val="1"/>
      <w:numFmt w:val="bullet"/>
      <w:lvlText w:val=""/>
      <w:lvlJc w:val="left"/>
      <w:pPr>
        <w:ind w:left="4320" w:hanging="360"/>
      </w:pPr>
      <w:rPr>
        <w:rFonts w:ascii="Wingdings" w:hAnsi="Wingdings" w:hint="default"/>
      </w:rPr>
    </w:lvl>
    <w:lvl w:ilvl="6" w:tplc="43A0C14E" w:tentative="1">
      <w:start w:val="1"/>
      <w:numFmt w:val="bullet"/>
      <w:lvlText w:val=""/>
      <w:lvlJc w:val="left"/>
      <w:pPr>
        <w:ind w:left="5040" w:hanging="360"/>
      </w:pPr>
      <w:rPr>
        <w:rFonts w:ascii="Symbol" w:hAnsi="Symbol" w:hint="default"/>
      </w:rPr>
    </w:lvl>
    <w:lvl w:ilvl="7" w:tplc="468CE638" w:tentative="1">
      <w:start w:val="1"/>
      <w:numFmt w:val="bullet"/>
      <w:lvlText w:val="o"/>
      <w:lvlJc w:val="left"/>
      <w:pPr>
        <w:ind w:left="5760" w:hanging="360"/>
      </w:pPr>
      <w:rPr>
        <w:rFonts w:ascii="Courier New" w:hAnsi="Courier New" w:cs="Courier New" w:hint="default"/>
      </w:rPr>
    </w:lvl>
    <w:lvl w:ilvl="8" w:tplc="ABA0C108" w:tentative="1">
      <w:start w:val="1"/>
      <w:numFmt w:val="bullet"/>
      <w:lvlText w:val=""/>
      <w:lvlJc w:val="left"/>
      <w:pPr>
        <w:ind w:left="6480" w:hanging="360"/>
      </w:pPr>
      <w:rPr>
        <w:rFonts w:ascii="Wingdings" w:hAnsi="Wingdings" w:hint="default"/>
      </w:rPr>
    </w:lvl>
  </w:abstractNum>
  <w:num w:numId="1" w16cid:durableId="329793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A81"/>
    <w:rsid w:val="0005666D"/>
    <w:rsid w:val="000E4005"/>
    <w:rsid w:val="000E6D9C"/>
    <w:rsid w:val="00172A85"/>
    <w:rsid w:val="002D4BCB"/>
    <w:rsid w:val="003A6482"/>
    <w:rsid w:val="004851A2"/>
    <w:rsid w:val="004E12C4"/>
    <w:rsid w:val="005035E6"/>
    <w:rsid w:val="00551C5C"/>
    <w:rsid w:val="005B19FD"/>
    <w:rsid w:val="005C7198"/>
    <w:rsid w:val="005E249E"/>
    <w:rsid w:val="00670D26"/>
    <w:rsid w:val="007F7D46"/>
    <w:rsid w:val="008733B7"/>
    <w:rsid w:val="008860DA"/>
    <w:rsid w:val="008B476C"/>
    <w:rsid w:val="008C39AC"/>
    <w:rsid w:val="00901A81"/>
    <w:rsid w:val="00957452"/>
    <w:rsid w:val="00984ECB"/>
    <w:rsid w:val="00A5298E"/>
    <w:rsid w:val="00A86222"/>
    <w:rsid w:val="00AE20E0"/>
    <w:rsid w:val="00F0666D"/>
    <w:rsid w:val="00F078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82345"/>
  <w15:docId w15:val="{655DEC3C-CF7E-462E-86B0-ED8828686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Heading1"/>
    <w:next w:val="Normal"/>
    <w:rsid w:val="00A5298E"/>
    <w:pPr>
      <w:outlineLvl w:val="1"/>
    </w:pPr>
    <w:rPr>
      <w:color w:val="EE0000"/>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F0666D"/>
    <w:rPr>
      <w:color w:val="0000FF" w:themeColor="hyperlink"/>
      <w:u w:val="single"/>
    </w:rPr>
  </w:style>
  <w:style w:type="paragraph" w:styleId="Header">
    <w:name w:val="header"/>
    <w:basedOn w:val="Normal"/>
    <w:link w:val="HeaderChar"/>
    <w:uiPriority w:val="99"/>
    <w:unhideWhenUsed/>
    <w:rsid w:val="00F0666D"/>
    <w:pPr>
      <w:tabs>
        <w:tab w:val="center" w:pos="4680"/>
        <w:tab w:val="right" w:pos="9360"/>
      </w:tabs>
      <w:spacing w:line="240" w:lineRule="auto"/>
    </w:pPr>
  </w:style>
  <w:style w:type="character" w:customStyle="1" w:styleId="HeaderChar">
    <w:name w:val="Header Char"/>
    <w:basedOn w:val="DefaultParagraphFont"/>
    <w:link w:val="Header"/>
    <w:uiPriority w:val="99"/>
    <w:rsid w:val="00F0666D"/>
  </w:style>
  <w:style w:type="paragraph" w:styleId="Footer">
    <w:name w:val="footer"/>
    <w:basedOn w:val="Normal"/>
    <w:link w:val="FooterChar"/>
    <w:uiPriority w:val="99"/>
    <w:unhideWhenUsed/>
    <w:rsid w:val="00F0666D"/>
    <w:pPr>
      <w:tabs>
        <w:tab w:val="center" w:pos="4680"/>
        <w:tab w:val="right" w:pos="9360"/>
      </w:tabs>
      <w:spacing w:line="240" w:lineRule="auto"/>
    </w:pPr>
  </w:style>
  <w:style w:type="character" w:customStyle="1" w:styleId="FooterChar">
    <w:name w:val="Footer Char"/>
    <w:basedOn w:val="DefaultParagraphFont"/>
    <w:link w:val="Footer"/>
    <w:uiPriority w:val="99"/>
    <w:rsid w:val="00F0666D"/>
  </w:style>
  <w:style w:type="paragraph" w:styleId="TOCHeading">
    <w:name w:val="TOC Heading"/>
    <w:basedOn w:val="Heading1"/>
    <w:next w:val="Normal"/>
    <w:uiPriority w:val="39"/>
    <w:unhideWhenUsed/>
    <w:qFormat/>
    <w:rsid w:val="00F0666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0666D"/>
    <w:pPr>
      <w:spacing w:after="100"/>
    </w:pPr>
  </w:style>
  <w:style w:type="table" w:styleId="TableGrid">
    <w:name w:val="Table Grid"/>
    <w:basedOn w:val="TableNormal"/>
    <w:uiPriority w:val="59"/>
    <w:rsid w:val="00551C5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2A85"/>
    <w:pPr>
      <w:ind w:left="720"/>
      <w:contextualSpacing/>
    </w:pPr>
  </w:style>
  <w:style w:type="paragraph" w:styleId="TOC2">
    <w:name w:val="toc 2"/>
    <w:basedOn w:val="Normal"/>
    <w:next w:val="Normal"/>
    <w:autoRedefine/>
    <w:uiPriority w:val="39"/>
    <w:unhideWhenUsed/>
    <w:rsid w:val="00A5298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www.manage.gov.in/publications/eBooks/Agribusiness%20Incubation%20for%20Promoting%20Agripreneurship%20through%20Startups.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02/csr.2365"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bde.es/f/webbde/SES/Secciones/Publicaciones/PublicacionesSeriadas/DocumentosOcasionales/20/Files/do2032e.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nk.springer.com/article/10.1007/s40171-021-00277-7" TargetMode="External"/><Relationship Id="rId20" Type="http://schemas.openxmlformats.org/officeDocument/2006/relationships/hyperlink" Target="https://www.researchgate.net/profile/Beatriz-Casais/publication/357746605_Digital_Content_Marketing_Conceptual_Review_and_Recommendations_for_Practitioners/links/61dd81d7034dda1b9eeda0be/Digital-Content-Marketing-Conceptual-Review-and-Recommendations-for-Practition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jeponline.lingcure.org/index.php/journal/article/download/577/538" TargetMode="External"/><Relationship Id="rId23" Type="http://schemas.openxmlformats.org/officeDocument/2006/relationships/hyperlink" Target="https://industry.visitwales.com/get-involved/visit-wales-themed-year-campaigns/year-croeso" TargetMode="External"/><Relationship Id="rId10" Type="http://schemas.openxmlformats.org/officeDocument/2006/relationships/diagramQuickStyle" Target="diagrams/quickStyle1.xml"/><Relationship Id="rId19" Type="http://schemas.openxmlformats.org/officeDocument/2006/relationships/hyperlink" Target="http://ceurspt.wikidata.dbis.rwth-aachen.de/Vol-2870/paper121.pdf"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hyperlink" Target="https://industry.visitwales.com/supporting-you/funding-information-and-advice-available-tourism-businesses"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0DF37E6-52D7-4C65-B389-AFBD373E8447}" type="doc">
      <dgm:prSet loTypeId="urn:microsoft.com/office/officeart/2005/8/layout/cycle3#1" loCatId="cycle" qsTypeId="urn:microsoft.com/office/officeart/2005/8/quickstyle/3d3#1" qsCatId="3D" csTypeId="urn:microsoft.com/office/officeart/2005/8/colors/colorful4" csCatId="colorful" phldr="1"/>
      <dgm:spPr/>
      <dgm:t>
        <a:bodyPr/>
        <a:lstStyle/>
        <a:p>
          <a:endParaRPr lang="en-US"/>
        </a:p>
      </dgm:t>
    </dgm:pt>
    <dgm:pt modelId="{FD8AAF9A-3850-428A-8B9B-02562A627484}">
      <dgm:prSet phldrT="[Text]"/>
      <dgm:spPr/>
      <dgm:t>
        <a:bodyPr/>
        <a:lstStyle/>
        <a:p>
          <a:r>
            <a:rPr lang="en-US"/>
            <a:t>Research</a:t>
          </a:r>
        </a:p>
      </dgm:t>
    </dgm:pt>
    <dgm:pt modelId="{CAAB3904-BECB-4875-8D37-8FE3AFDFA8FB}" type="parTrans" cxnId="{EDCD23F2-EA62-4D05-B170-C0801803AEC7}">
      <dgm:prSet/>
      <dgm:spPr/>
      <dgm:t>
        <a:bodyPr/>
        <a:lstStyle/>
        <a:p>
          <a:endParaRPr lang="en-US"/>
        </a:p>
      </dgm:t>
    </dgm:pt>
    <dgm:pt modelId="{846972BB-2B63-444C-A9FB-A8B168D02588}" type="sibTrans" cxnId="{EDCD23F2-EA62-4D05-B170-C0801803AEC7}">
      <dgm:prSet/>
      <dgm:spPr/>
      <dgm:t>
        <a:bodyPr/>
        <a:lstStyle/>
        <a:p>
          <a:endParaRPr lang="en-US"/>
        </a:p>
      </dgm:t>
    </dgm:pt>
    <dgm:pt modelId="{B43B1F4D-8A29-4ACB-B907-B5CB39CA75A1}">
      <dgm:prSet phldrT="[Text]"/>
      <dgm:spPr/>
      <dgm:t>
        <a:bodyPr/>
        <a:lstStyle/>
        <a:p>
          <a:r>
            <a:rPr lang="en-US"/>
            <a:t>Design</a:t>
          </a:r>
        </a:p>
      </dgm:t>
    </dgm:pt>
    <dgm:pt modelId="{43700BAB-75D7-4E26-9E06-F4BD296FA325}" type="parTrans" cxnId="{19CD3EC5-A23F-4218-A086-79FD3E50942E}">
      <dgm:prSet/>
      <dgm:spPr/>
      <dgm:t>
        <a:bodyPr/>
        <a:lstStyle/>
        <a:p>
          <a:endParaRPr lang="en-US"/>
        </a:p>
      </dgm:t>
    </dgm:pt>
    <dgm:pt modelId="{F178F251-03BE-4B85-8718-54AF39FD801C}" type="sibTrans" cxnId="{19CD3EC5-A23F-4218-A086-79FD3E50942E}">
      <dgm:prSet/>
      <dgm:spPr/>
      <dgm:t>
        <a:bodyPr/>
        <a:lstStyle/>
        <a:p>
          <a:endParaRPr lang="en-US"/>
        </a:p>
      </dgm:t>
    </dgm:pt>
    <dgm:pt modelId="{F9EBA5C5-B815-4B76-8FBC-8175B998E18E}">
      <dgm:prSet phldrT="[Text]"/>
      <dgm:spPr/>
      <dgm:t>
        <a:bodyPr/>
        <a:lstStyle/>
        <a:p>
          <a:r>
            <a:rPr lang="en-US"/>
            <a:t>Planning</a:t>
          </a:r>
        </a:p>
      </dgm:t>
    </dgm:pt>
    <dgm:pt modelId="{60D250FB-E937-450B-8322-8F9B089140BA}" type="parTrans" cxnId="{84E04B3D-DC4F-4A9E-9F26-701047F3F13C}">
      <dgm:prSet/>
      <dgm:spPr/>
      <dgm:t>
        <a:bodyPr/>
        <a:lstStyle/>
        <a:p>
          <a:endParaRPr lang="en-US"/>
        </a:p>
      </dgm:t>
    </dgm:pt>
    <dgm:pt modelId="{0F7D5D0D-CBF4-4040-A2AC-534BF4967F9B}" type="sibTrans" cxnId="{84E04B3D-DC4F-4A9E-9F26-701047F3F13C}">
      <dgm:prSet/>
      <dgm:spPr/>
      <dgm:t>
        <a:bodyPr/>
        <a:lstStyle/>
        <a:p>
          <a:endParaRPr lang="en-US"/>
        </a:p>
      </dgm:t>
    </dgm:pt>
    <dgm:pt modelId="{CBE6B769-FE5B-411D-8E2D-EFD606C8ACE0}">
      <dgm:prSet phldrT="[Text]"/>
      <dgm:spPr/>
      <dgm:t>
        <a:bodyPr/>
        <a:lstStyle/>
        <a:p>
          <a:r>
            <a:rPr lang="en-US"/>
            <a:t>Executing</a:t>
          </a:r>
        </a:p>
      </dgm:t>
    </dgm:pt>
    <dgm:pt modelId="{CEB816A2-FC56-43F9-8C3D-8AE194BC7390}" type="parTrans" cxnId="{1E800CD8-297C-4868-AAFF-8FFF79EF5651}">
      <dgm:prSet/>
      <dgm:spPr/>
      <dgm:t>
        <a:bodyPr/>
        <a:lstStyle/>
        <a:p>
          <a:endParaRPr lang="en-US"/>
        </a:p>
      </dgm:t>
    </dgm:pt>
    <dgm:pt modelId="{64BA2191-0EBE-49C9-89CB-BFD46D5D7878}" type="sibTrans" cxnId="{1E800CD8-297C-4868-AAFF-8FFF79EF5651}">
      <dgm:prSet/>
      <dgm:spPr/>
      <dgm:t>
        <a:bodyPr/>
        <a:lstStyle/>
        <a:p>
          <a:endParaRPr lang="en-US"/>
        </a:p>
      </dgm:t>
    </dgm:pt>
    <dgm:pt modelId="{AF5E24DC-A305-426B-95D4-5A928EDF04ED}">
      <dgm:prSet phldrT="[Text]"/>
      <dgm:spPr/>
      <dgm:t>
        <a:bodyPr/>
        <a:lstStyle/>
        <a:p>
          <a:r>
            <a:rPr lang="en-US"/>
            <a:t>Coordinating</a:t>
          </a:r>
        </a:p>
      </dgm:t>
    </dgm:pt>
    <dgm:pt modelId="{9ACAA681-9401-4941-A87C-64CEFA08A67D}" type="parTrans" cxnId="{9F16038A-05B2-45EA-BFEC-200DEA2E067E}">
      <dgm:prSet/>
      <dgm:spPr/>
      <dgm:t>
        <a:bodyPr/>
        <a:lstStyle/>
        <a:p>
          <a:endParaRPr lang="en-US"/>
        </a:p>
      </dgm:t>
    </dgm:pt>
    <dgm:pt modelId="{9ACAD948-2799-403A-880F-BDAC4DDA27E1}" type="sibTrans" cxnId="{9F16038A-05B2-45EA-BFEC-200DEA2E067E}">
      <dgm:prSet/>
      <dgm:spPr/>
      <dgm:t>
        <a:bodyPr/>
        <a:lstStyle/>
        <a:p>
          <a:endParaRPr lang="en-US"/>
        </a:p>
      </dgm:t>
    </dgm:pt>
    <dgm:pt modelId="{B4283752-BC21-4FCE-8804-741FC4C38988}">
      <dgm:prSet/>
      <dgm:spPr/>
      <dgm:t>
        <a:bodyPr/>
        <a:lstStyle/>
        <a:p>
          <a:r>
            <a:rPr lang="en-US"/>
            <a:t>Evaluating</a:t>
          </a:r>
        </a:p>
      </dgm:t>
    </dgm:pt>
    <dgm:pt modelId="{A31C95C3-3C35-40BD-997A-58EA225DF6FC}" type="parTrans" cxnId="{BB3E5CEF-46BA-4F32-96AB-F1C51820C928}">
      <dgm:prSet/>
      <dgm:spPr/>
      <dgm:t>
        <a:bodyPr/>
        <a:lstStyle/>
        <a:p>
          <a:endParaRPr lang="en-US"/>
        </a:p>
      </dgm:t>
    </dgm:pt>
    <dgm:pt modelId="{806D812F-C5F9-4C91-B500-3B7AF9B8F27A}" type="sibTrans" cxnId="{BB3E5CEF-46BA-4F32-96AB-F1C51820C928}">
      <dgm:prSet/>
      <dgm:spPr/>
      <dgm:t>
        <a:bodyPr/>
        <a:lstStyle/>
        <a:p>
          <a:endParaRPr lang="en-US"/>
        </a:p>
      </dgm:t>
    </dgm:pt>
    <dgm:pt modelId="{85EB745A-5E6A-4A59-9219-8A014C6E2930}">
      <dgm:prSet/>
      <dgm:spPr/>
      <dgm:t>
        <a:bodyPr/>
        <a:lstStyle/>
        <a:p>
          <a:r>
            <a:rPr lang="en-US"/>
            <a:t>Post-event impact analysis</a:t>
          </a:r>
        </a:p>
      </dgm:t>
    </dgm:pt>
    <dgm:pt modelId="{F44DE091-5524-4AB3-BC70-13A300884FB7}" type="parTrans" cxnId="{A2E0D203-39C4-40BC-938B-717C85E7BDE6}">
      <dgm:prSet/>
      <dgm:spPr/>
      <dgm:t>
        <a:bodyPr/>
        <a:lstStyle/>
        <a:p>
          <a:endParaRPr lang="en-US"/>
        </a:p>
      </dgm:t>
    </dgm:pt>
    <dgm:pt modelId="{24B5E00A-0441-4996-8B4F-578FAD84DF32}" type="sibTrans" cxnId="{A2E0D203-39C4-40BC-938B-717C85E7BDE6}">
      <dgm:prSet/>
      <dgm:spPr/>
      <dgm:t>
        <a:bodyPr/>
        <a:lstStyle/>
        <a:p>
          <a:endParaRPr lang="en-US"/>
        </a:p>
      </dgm:t>
    </dgm:pt>
    <dgm:pt modelId="{64C0DA8E-A920-4E1D-A7B8-D6F522450AAC}" type="pres">
      <dgm:prSet presAssocID="{10DF37E6-52D7-4C65-B389-AFBD373E8447}" presName="Name0" presStyleCnt="0">
        <dgm:presLayoutVars>
          <dgm:dir/>
          <dgm:resizeHandles val="exact"/>
        </dgm:presLayoutVars>
      </dgm:prSet>
      <dgm:spPr/>
    </dgm:pt>
    <dgm:pt modelId="{DE442A32-2B00-46E0-AAFA-0652EACADDF9}" type="pres">
      <dgm:prSet presAssocID="{10DF37E6-52D7-4C65-B389-AFBD373E8447}" presName="cycle" presStyleCnt="0"/>
      <dgm:spPr/>
    </dgm:pt>
    <dgm:pt modelId="{2FDA27A4-A35A-4C25-9797-0CD9D0873A5A}" type="pres">
      <dgm:prSet presAssocID="{FD8AAF9A-3850-428A-8B9B-02562A627484}" presName="nodeFirstNode" presStyleLbl="node1" presStyleIdx="0" presStyleCnt="7">
        <dgm:presLayoutVars>
          <dgm:bulletEnabled val="1"/>
        </dgm:presLayoutVars>
      </dgm:prSet>
      <dgm:spPr/>
    </dgm:pt>
    <dgm:pt modelId="{4A115FB2-1B02-487B-B8FD-99E078765BCB}" type="pres">
      <dgm:prSet presAssocID="{846972BB-2B63-444C-A9FB-A8B168D02588}" presName="sibTransFirstNode" presStyleLbl="bgShp" presStyleIdx="0" presStyleCnt="1"/>
      <dgm:spPr/>
    </dgm:pt>
    <dgm:pt modelId="{889C745F-4469-42E4-BD1F-9F68AB2C9F9C}" type="pres">
      <dgm:prSet presAssocID="{B43B1F4D-8A29-4ACB-B907-B5CB39CA75A1}" presName="nodeFollowingNodes" presStyleLbl="node1" presStyleIdx="1" presStyleCnt="7">
        <dgm:presLayoutVars>
          <dgm:bulletEnabled val="1"/>
        </dgm:presLayoutVars>
      </dgm:prSet>
      <dgm:spPr/>
    </dgm:pt>
    <dgm:pt modelId="{1EA58032-6961-4DD1-A84A-90E628570B93}" type="pres">
      <dgm:prSet presAssocID="{F9EBA5C5-B815-4B76-8FBC-8175B998E18E}" presName="nodeFollowingNodes" presStyleLbl="node1" presStyleIdx="2" presStyleCnt="7">
        <dgm:presLayoutVars>
          <dgm:bulletEnabled val="1"/>
        </dgm:presLayoutVars>
      </dgm:prSet>
      <dgm:spPr/>
    </dgm:pt>
    <dgm:pt modelId="{D7649C75-D75B-4C2E-915B-C76766B4C8BD}" type="pres">
      <dgm:prSet presAssocID="{CBE6B769-FE5B-411D-8E2D-EFD606C8ACE0}" presName="nodeFollowingNodes" presStyleLbl="node1" presStyleIdx="3" presStyleCnt="7">
        <dgm:presLayoutVars>
          <dgm:bulletEnabled val="1"/>
        </dgm:presLayoutVars>
      </dgm:prSet>
      <dgm:spPr/>
    </dgm:pt>
    <dgm:pt modelId="{96B006AB-0909-44A9-B944-297D33F7CC3F}" type="pres">
      <dgm:prSet presAssocID="{AF5E24DC-A305-426B-95D4-5A928EDF04ED}" presName="nodeFollowingNodes" presStyleLbl="node1" presStyleIdx="4" presStyleCnt="7">
        <dgm:presLayoutVars>
          <dgm:bulletEnabled val="1"/>
        </dgm:presLayoutVars>
      </dgm:prSet>
      <dgm:spPr/>
    </dgm:pt>
    <dgm:pt modelId="{1DD56E7A-8941-4FCC-BA18-1427C2FB3F1F}" type="pres">
      <dgm:prSet presAssocID="{B4283752-BC21-4FCE-8804-741FC4C38988}" presName="nodeFollowingNodes" presStyleLbl="node1" presStyleIdx="5" presStyleCnt="7">
        <dgm:presLayoutVars>
          <dgm:bulletEnabled val="1"/>
        </dgm:presLayoutVars>
      </dgm:prSet>
      <dgm:spPr/>
    </dgm:pt>
    <dgm:pt modelId="{415D1622-3A3D-4F4F-9FAC-94DB86FC9BB6}" type="pres">
      <dgm:prSet presAssocID="{85EB745A-5E6A-4A59-9219-8A014C6E2930}" presName="nodeFollowingNodes" presStyleLbl="node1" presStyleIdx="6" presStyleCnt="7">
        <dgm:presLayoutVars>
          <dgm:bulletEnabled val="1"/>
        </dgm:presLayoutVars>
      </dgm:prSet>
      <dgm:spPr/>
    </dgm:pt>
  </dgm:ptLst>
  <dgm:cxnLst>
    <dgm:cxn modelId="{A2E0D203-39C4-40BC-938B-717C85E7BDE6}" srcId="{10DF37E6-52D7-4C65-B389-AFBD373E8447}" destId="{85EB745A-5E6A-4A59-9219-8A014C6E2930}" srcOrd="6" destOrd="0" parTransId="{F44DE091-5524-4AB3-BC70-13A300884FB7}" sibTransId="{24B5E00A-0441-4996-8B4F-578FAD84DF32}"/>
    <dgm:cxn modelId="{22F8130A-1535-4B24-9C72-01C84C01798C}" type="presOf" srcId="{B43B1F4D-8A29-4ACB-B907-B5CB39CA75A1}" destId="{889C745F-4469-42E4-BD1F-9F68AB2C9F9C}" srcOrd="0" destOrd="0" presId="urn:microsoft.com/office/officeart/2005/8/layout/cycle3#1"/>
    <dgm:cxn modelId="{134D3519-7EC3-4F30-B17B-866442C4EA53}" type="presOf" srcId="{FD8AAF9A-3850-428A-8B9B-02562A627484}" destId="{2FDA27A4-A35A-4C25-9797-0CD9D0873A5A}" srcOrd="0" destOrd="0" presId="urn:microsoft.com/office/officeart/2005/8/layout/cycle3#1"/>
    <dgm:cxn modelId="{15E60729-51AF-4135-B567-AECDE620C73D}" type="presOf" srcId="{B4283752-BC21-4FCE-8804-741FC4C38988}" destId="{1DD56E7A-8941-4FCC-BA18-1427C2FB3F1F}" srcOrd="0" destOrd="0" presId="urn:microsoft.com/office/officeart/2005/8/layout/cycle3#1"/>
    <dgm:cxn modelId="{84E04B3D-DC4F-4A9E-9F26-701047F3F13C}" srcId="{10DF37E6-52D7-4C65-B389-AFBD373E8447}" destId="{F9EBA5C5-B815-4B76-8FBC-8175B998E18E}" srcOrd="2" destOrd="0" parTransId="{60D250FB-E937-450B-8322-8F9B089140BA}" sibTransId="{0F7D5D0D-CBF4-4040-A2AC-534BF4967F9B}"/>
    <dgm:cxn modelId="{B13F1E69-A87D-41EE-8220-F6809D08CDB6}" type="presOf" srcId="{CBE6B769-FE5B-411D-8E2D-EFD606C8ACE0}" destId="{D7649C75-D75B-4C2E-915B-C76766B4C8BD}" srcOrd="0" destOrd="0" presId="urn:microsoft.com/office/officeart/2005/8/layout/cycle3#1"/>
    <dgm:cxn modelId="{E5D9956C-59D6-4259-A745-CD92697C553B}" type="presOf" srcId="{F9EBA5C5-B815-4B76-8FBC-8175B998E18E}" destId="{1EA58032-6961-4DD1-A84A-90E628570B93}" srcOrd="0" destOrd="0" presId="urn:microsoft.com/office/officeart/2005/8/layout/cycle3#1"/>
    <dgm:cxn modelId="{C37F4D74-0F8C-4FEC-8B90-C2CCF0E1CF60}" type="presOf" srcId="{846972BB-2B63-444C-A9FB-A8B168D02588}" destId="{4A115FB2-1B02-487B-B8FD-99E078765BCB}" srcOrd="0" destOrd="0" presId="urn:microsoft.com/office/officeart/2005/8/layout/cycle3#1"/>
    <dgm:cxn modelId="{9F16038A-05B2-45EA-BFEC-200DEA2E067E}" srcId="{10DF37E6-52D7-4C65-B389-AFBD373E8447}" destId="{AF5E24DC-A305-426B-95D4-5A928EDF04ED}" srcOrd="4" destOrd="0" parTransId="{9ACAA681-9401-4941-A87C-64CEFA08A67D}" sibTransId="{9ACAD948-2799-403A-880F-BDAC4DDA27E1}"/>
    <dgm:cxn modelId="{C227EC9D-F68E-46A3-A3B3-4EA324D0B300}" type="presOf" srcId="{AF5E24DC-A305-426B-95D4-5A928EDF04ED}" destId="{96B006AB-0909-44A9-B944-297D33F7CC3F}" srcOrd="0" destOrd="0" presId="urn:microsoft.com/office/officeart/2005/8/layout/cycle3#1"/>
    <dgm:cxn modelId="{26FD98AE-2B1F-40BA-A52D-25502F49CC39}" type="presOf" srcId="{85EB745A-5E6A-4A59-9219-8A014C6E2930}" destId="{415D1622-3A3D-4F4F-9FAC-94DB86FC9BB6}" srcOrd="0" destOrd="0" presId="urn:microsoft.com/office/officeart/2005/8/layout/cycle3#1"/>
    <dgm:cxn modelId="{A08BA5B2-BD7F-4E96-90EE-49B5CE2AAE84}" type="presOf" srcId="{10DF37E6-52D7-4C65-B389-AFBD373E8447}" destId="{64C0DA8E-A920-4E1D-A7B8-D6F522450AAC}" srcOrd="0" destOrd="0" presId="urn:microsoft.com/office/officeart/2005/8/layout/cycle3#1"/>
    <dgm:cxn modelId="{19CD3EC5-A23F-4218-A086-79FD3E50942E}" srcId="{10DF37E6-52D7-4C65-B389-AFBD373E8447}" destId="{B43B1F4D-8A29-4ACB-B907-B5CB39CA75A1}" srcOrd="1" destOrd="0" parTransId="{43700BAB-75D7-4E26-9E06-F4BD296FA325}" sibTransId="{F178F251-03BE-4B85-8718-54AF39FD801C}"/>
    <dgm:cxn modelId="{1E800CD8-297C-4868-AAFF-8FFF79EF5651}" srcId="{10DF37E6-52D7-4C65-B389-AFBD373E8447}" destId="{CBE6B769-FE5B-411D-8E2D-EFD606C8ACE0}" srcOrd="3" destOrd="0" parTransId="{CEB816A2-FC56-43F9-8C3D-8AE194BC7390}" sibTransId="{64BA2191-0EBE-49C9-89CB-BFD46D5D7878}"/>
    <dgm:cxn modelId="{BB3E5CEF-46BA-4F32-96AB-F1C51820C928}" srcId="{10DF37E6-52D7-4C65-B389-AFBD373E8447}" destId="{B4283752-BC21-4FCE-8804-741FC4C38988}" srcOrd="5" destOrd="0" parTransId="{A31C95C3-3C35-40BD-997A-58EA225DF6FC}" sibTransId="{806D812F-C5F9-4C91-B500-3B7AF9B8F27A}"/>
    <dgm:cxn modelId="{EDCD23F2-EA62-4D05-B170-C0801803AEC7}" srcId="{10DF37E6-52D7-4C65-B389-AFBD373E8447}" destId="{FD8AAF9A-3850-428A-8B9B-02562A627484}" srcOrd="0" destOrd="0" parTransId="{CAAB3904-BECB-4875-8D37-8FE3AFDFA8FB}" sibTransId="{846972BB-2B63-444C-A9FB-A8B168D02588}"/>
    <dgm:cxn modelId="{D0BE5F38-BB1B-4F3C-A475-A5F39B533DA3}" type="presParOf" srcId="{64C0DA8E-A920-4E1D-A7B8-D6F522450AAC}" destId="{DE442A32-2B00-46E0-AAFA-0652EACADDF9}" srcOrd="0" destOrd="0" presId="urn:microsoft.com/office/officeart/2005/8/layout/cycle3#1"/>
    <dgm:cxn modelId="{9484784B-D1EC-420F-A8EF-45A69AC98639}" type="presParOf" srcId="{DE442A32-2B00-46E0-AAFA-0652EACADDF9}" destId="{2FDA27A4-A35A-4C25-9797-0CD9D0873A5A}" srcOrd="0" destOrd="0" presId="urn:microsoft.com/office/officeart/2005/8/layout/cycle3#1"/>
    <dgm:cxn modelId="{89E596DB-5B48-4F8D-904B-87C5E828D4D7}" type="presParOf" srcId="{DE442A32-2B00-46E0-AAFA-0652EACADDF9}" destId="{4A115FB2-1B02-487B-B8FD-99E078765BCB}" srcOrd="1" destOrd="0" presId="urn:microsoft.com/office/officeart/2005/8/layout/cycle3#1"/>
    <dgm:cxn modelId="{64CCC1CC-E38C-4C3B-B1F3-49126ADECDC0}" type="presParOf" srcId="{DE442A32-2B00-46E0-AAFA-0652EACADDF9}" destId="{889C745F-4469-42E4-BD1F-9F68AB2C9F9C}" srcOrd="2" destOrd="0" presId="urn:microsoft.com/office/officeart/2005/8/layout/cycle3#1"/>
    <dgm:cxn modelId="{72B64544-2C1E-41D7-B552-9796E19C6FD9}" type="presParOf" srcId="{DE442A32-2B00-46E0-AAFA-0652EACADDF9}" destId="{1EA58032-6961-4DD1-A84A-90E628570B93}" srcOrd="3" destOrd="0" presId="urn:microsoft.com/office/officeart/2005/8/layout/cycle3#1"/>
    <dgm:cxn modelId="{EA5CB8AF-29AD-49FB-ADF2-0474A25C7FC7}" type="presParOf" srcId="{DE442A32-2B00-46E0-AAFA-0652EACADDF9}" destId="{D7649C75-D75B-4C2E-915B-C76766B4C8BD}" srcOrd="4" destOrd="0" presId="urn:microsoft.com/office/officeart/2005/8/layout/cycle3#1"/>
    <dgm:cxn modelId="{E0262491-F462-430A-86A7-E0073ED4239E}" type="presParOf" srcId="{DE442A32-2B00-46E0-AAFA-0652EACADDF9}" destId="{96B006AB-0909-44A9-B944-297D33F7CC3F}" srcOrd="5" destOrd="0" presId="urn:microsoft.com/office/officeart/2005/8/layout/cycle3#1"/>
    <dgm:cxn modelId="{7C201B41-5036-43C9-8E43-B7DE4B0759C7}" type="presParOf" srcId="{DE442A32-2B00-46E0-AAFA-0652EACADDF9}" destId="{1DD56E7A-8941-4FCC-BA18-1427C2FB3F1F}" srcOrd="6" destOrd="0" presId="urn:microsoft.com/office/officeart/2005/8/layout/cycle3#1"/>
    <dgm:cxn modelId="{C9F4AB77-0306-4A7A-A636-D4C303BC4992}" type="presParOf" srcId="{DE442A32-2B00-46E0-AAFA-0652EACADDF9}" destId="{415D1622-3A3D-4F4F-9FAC-94DB86FC9BB6}" srcOrd="7" destOrd="0" presId="urn:microsoft.com/office/officeart/2005/8/layout/cycle3#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115FB2-1B02-487B-B8FD-99E078765BCB}">
      <dsp:nvSpPr>
        <dsp:cNvPr id="0" name=""/>
        <dsp:cNvSpPr/>
      </dsp:nvSpPr>
      <dsp:spPr>
        <a:xfrm>
          <a:off x="1083602" y="-22998"/>
          <a:ext cx="3319195" cy="3319195"/>
        </a:xfrm>
        <a:prstGeom prst="circularArrow">
          <a:avLst>
            <a:gd name="adj1" fmla="val 5544"/>
            <a:gd name="adj2" fmla="val 330680"/>
            <a:gd name="adj3" fmla="val 14540369"/>
            <a:gd name="adj4" fmla="val 16936179"/>
            <a:gd name="adj5" fmla="val 5757"/>
          </a:avLst>
        </a:prstGeom>
        <a:solidFill>
          <a:schemeClr val="accent4">
            <a:tint val="40000"/>
            <a:hueOff val="0"/>
            <a:satOff val="0"/>
            <a:lumOff val="0"/>
            <a:alphaOff val="0"/>
          </a:schemeClr>
        </a:solidFill>
        <a:ln w="9525" cap="flat" cmpd="sng" algn="ctr">
          <a:solidFill>
            <a:schemeClr val="dk1">
              <a:hueOff val="0"/>
              <a:satOff val="0"/>
              <a:lumOff val="0"/>
              <a:alphaOff val="0"/>
            </a:schemeClr>
          </a:solidFill>
          <a:prstDash val="solid"/>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2FDA27A4-A35A-4C25-9797-0CD9D0873A5A}">
      <dsp:nvSpPr>
        <dsp:cNvPr id="0" name=""/>
        <dsp:cNvSpPr/>
      </dsp:nvSpPr>
      <dsp:spPr>
        <a:xfrm>
          <a:off x="2235547" y="1024"/>
          <a:ext cx="1015305" cy="507652"/>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Research</a:t>
          </a:r>
        </a:p>
      </dsp:txBody>
      <dsp:txXfrm>
        <a:off x="2260329" y="25806"/>
        <a:ext cx="965741" cy="458088"/>
      </dsp:txXfrm>
    </dsp:sp>
    <dsp:sp modelId="{889C745F-4469-42E4-BD1F-9F68AB2C9F9C}">
      <dsp:nvSpPr>
        <dsp:cNvPr id="0" name=""/>
        <dsp:cNvSpPr/>
      </dsp:nvSpPr>
      <dsp:spPr>
        <a:xfrm>
          <a:off x="3342179" y="533950"/>
          <a:ext cx="1015305" cy="507652"/>
        </a:xfrm>
        <a:prstGeom prst="roundRect">
          <a:avLst/>
        </a:prstGeom>
        <a:solidFill>
          <a:schemeClr val="accent4">
            <a:hueOff val="-744128"/>
            <a:satOff val="4483"/>
            <a:lumOff val="35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Design</a:t>
          </a:r>
        </a:p>
      </dsp:txBody>
      <dsp:txXfrm>
        <a:off x="3366961" y="558732"/>
        <a:ext cx="965741" cy="458088"/>
      </dsp:txXfrm>
    </dsp:sp>
    <dsp:sp modelId="{1EA58032-6961-4DD1-A84A-90E628570B93}">
      <dsp:nvSpPr>
        <dsp:cNvPr id="0" name=""/>
        <dsp:cNvSpPr/>
      </dsp:nvSpPr>
      <dsp:spPr>
        <a:xfrm>
          <a:off x="3615494" y="1731423"/>
          <a:ext cx="1015305" cy="507652"/>
        </a:xfrm>
        <a:prstGeom prst="roundRect">
          <a:avLst/>
        </a:prstGeom>
        <a:solidFill>
          <a:schemeClr val="accent4">
            <a:hueOff val="-1488257"/>
            <a:satOff val="8966"/>
            <a:lumOff val="71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Planning</a:t>
          </a:r>
        </a:p>
      </dsp:txBody>
      <dsp:txXfrm>
        <a:off x="3640276" y="1756205"/>
        <a:ext cx="965741" cy="458088"/>
      </dsp:txXfrm>
    </dsp:sp>
    <dsp:sp modelId="{D7649C75-D75B-4C2E-915B-C76766B4C8BD}">
      <dsp:nvSpPr>
        <dsp:cNvPr id="0" name=""/>
        <dsp:cNvSpPr/>
      </dsp:nvSpPr>
      <dsp:spPr>
        <a:xfrm>
          <a:off x="2849681" y="2691722"/>
          <a:ext cx="1015305" cy="507652"/>
        </a:xfrm>
        <a:prstGeom prst="roundRect">
          <a:avLst/>
        </a:prstGeom>
        <a:solidFill>
          <a:schemeClr val="accent4">
            <a:hueOff val="-2232385"/>
            <a:satOff val="13449"/>
            <a:lumOff val="107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Executing</a:t>
          </a:r>
        </a:p>
      </dsp:txBody>
      <dsp:txXfrm>
        <a:off x="2874463" y="2716504"/>
        <a:ext cx="965741" cy="458088"/>
      </dsp:txXfrm>
    </dsp:sp>
    <dsp:sp modelId="{96B006AB-0909-44A9-B944-297D33F7CC3F}">
      <dsp:nvSpPr>
        <dsp:cNvPr id="0" name=""/>
        <dsp:cNvSpPr/>
      </dsp:nvSpPr>
      <dsp:spPr>
        <a:xfrm>
          <a:off x="1621412" y="2691722"/>
          <a:ext cx="1015305" cy="507652"/>
        </a:xfrm>
        <a:prstGeom prst="roundRect">
          <a:avLst/>
        </a:prstGeom>
        <a:solidFill>
          <a:schemeClr val="accent4">
            <a:hueOff val="-2976513"/>
            <a:satOff val="17933"/>
            <a:lumOff val="143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Coordinating</a:t>
          </a:r>
        </a:p>
      </dsp:txBody>
      <dsp:txXfrm>
        <a:off x="1646194" y="2716504"/>
        <a:ext cx="965741" cy="458088"/>
      </dsp:txXfrm>
    </dsp:sp>
    <dsp:sp modelId="{1DD56E7A-8941-4FCC-BA18-1427C2FB3F1F}">
      <dsp:nvSpPr>
        <dsp:cNvPr id="0" name=""/>
        <dsp:cNvSpPr/>
      </dsp:nvSpPr>
      <dsp:spPr>
        <a:xfrm>
          <a:off x="855599" y="1731423"/>
          <a:ext cx="1015305" cy="507652"/>
        </a:xfrm>
        <a:prstGeom prst="roundRect">
          <a:avLst/>
        </a:prstGeom>
        <a:solidFill>
          <a:schemeClr val="accent4">
            <a:hueOff val="-3720641"/>
            <a:satOff val="22416"/>
            <a:lumOff val="1797"/>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Evaluating</a:t>
          </a:r>
        </a:p>
      </dsp:txBody>
      <dsp:txXfrm>
        <a:off x="880381" y="1756205"/>
        <a:ext cx="965741" cy="458088"/>
      </dsp:txXfrm>
    </dsp:sp>
    <dsp:sp modelId="{415D1622-3A3D-4F4F-9FAC-94DB86FC9BB6}">
      <dsp:nvSpPr>
        <dsp:cNvPr id="0" name=""/>
        <dsp:cNvSpPr/>
      </dsp:nvSpPr>
      <dsp:spPr>
        <a:xfrm>
          <a:off x="1128915" y="533950"/>
          <a:ext cx="1015305" cy="507652"/>
        </a:xfrm>
        <a:prstGeom prst="roundRect">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Post-event impact analysis</a:t>
          </a:r>
        </a:p>
      </dsp:txBody>
      <dsp:txXfrm>
        <a:off x="1153697" y="558732"/>
        <a:ext cx="965741" cy="458088"/>
      </dsp:txXfrm>
    </dsp:sp>
  </dsp:spTree>
</dsp:drawing>
</file>

<file path=word/diagrams/layout1.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begPts" val="midR"/>
                <dgm:param type="connRout" val="longCurve"/>
                <dgm:param type="dstNode" val="node1"/>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begPts" val="midL"/>
                <dgm:param type="connRout" val="longCurve"/>
                <dgm:param type="dstNode" val="node1"/>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begPts" val="midR"/>
                      <dgm:param type="connRout" val="longCurve"/>
                      <dgm:param type="dstNode" val="nodeFirstNode"/>
                      <dgm:param type="endPts" val="midL"/>
                    </dgm:alg>
                  </dgm:if>
                  <dgm:else name="Name15">
                    <dgm:alg type="conn">
                      <dgm:param type="begPts" val="midL"/>
                      <dgm:param type="connRout" val="longCurve"/>
                      <dgm:param type="dstNode" val="nodeFirstNode"/>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5D203-84EF-4B15-853A-CB12FC95D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4791</Words>
  <Characters>27309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Loredana Turner (2242724)</cp:lastModifiedBy>
  <cp:revision>3</cp:revision>
  <dcterms:created xsi:type="dcterms:W3CDTF">2025-06-13T16:26:00Z</dcterms:created>
  <dcterms:modified xsi:type="dcterms:W3CDTF">2025-06-13T17:25:00Z</dcterms:modified>
</cp:coreProperties>
</file>