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42B64E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169AF">
              <w:rPr>
                <w:rFonts w:ascii="Times New Roman" w:hAnsi="Times New Roman" w:cs="Times New Roman"/>
                <w:b/>
                <w:color w:val="auto"/>
                <w:sz w:val="48"/>
              </w:rPr>
              <w:t>Laura Collins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762249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169AF">
              <w:rPr>
                <w:rFonts w:ascii="Times New Roman" w:hAnsi="Times New Roman" w:cs="Times New Roman"/>
                <w:b/>
                <w:color w:val="auto"/>
                <w:sz w:val="48"/>
              </w:rPr>
              <w:t xml:space="preserve"> ljcollins@carmarthenshire.gov.uk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17E8D26" w14:textId="77777777" w:rsidR="001169AF"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169AF">
              <w:rPr>
                <w:rFonts w:ascii="Times New Roman" w:hAnsi="Times New Roman" w:cs="Times New Roman"/>
                <w:b/>
                <w:color w:val="auto"/>
                <w:sz w:val="48"/>
              </w:rPr>
              <w:t xml:space="preserve"> </w:t>
            </w:r>
          </w:p>
          <w:p w14:paraId="622FD17A" w14:textId="6EF9A818" w:rsidR="0085230E" w:rsidRPr="005D3F07" w:rsidRDefault="001169A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0201215</w:t>
            </w:r>
          </w:p>
          <w:p w14:paraId="5F84129B" w14:textId="34625712"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w:t>
            </w:r>
            <w:r w:rsidR="003A3D91">
              <w:rPr>
                <w:rFonts w:ascii="Times New Roman" w:hAnsi="Times New Roman" w:cs="Times New Roman"/>
                <w:b/>
                <w:color w:val="auto"/>
                <w:sz w:val="48"/>
              </w:rPr>
              <w:t>6</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77355F02" w14:textId="77777777" w:rsidR="000040D4" w:rsidRPr="000040D4" w:rsidRDefault="000040D4" w:rsidP="000040D4">
      <w:pPr>
        <w:spacing w:line="360" w:lineRule="auto"/>
        <w:ind w:left="720" w:hanging="720"/>
        <w:jc w:val="both"/>
        <w:rPr>
          <w:sz w:val="24"/>
          <w:szCs w:val="24"/>
        </w:rPr>
      </w:pPr>
      <w:r w:rsidRPr="000040D4">
        <w:rPr>
          <w:sz w:val="24"/>
          <w:szCs w:val="24"/>
        </w:rPr>
        <w:t xml:space="preserve">Adams, R., Dominelli, L. &amp; Payne, M. (2017) </w:t>
      </w:r>
      <w:r w:rsidRPr="000040D4">
        <w:rPr>
          <w:rFonts w:eastAsiaTheme="majorEastAsia"/>
          <w:sz w:val="24"/>
          <w:szCs w:val="24"/>
        </w:rPr>
        <w:t>Social Work: Themes, Issues and Critical Debates</w:t>
      </w:r>
      <w:r w:rsidRPr="000040D4">
        <w:rPr>
          <w:sz w:val="24"/>
          <w:szCs w:val="24"/>
        </w:rPr>
        <w:t>. 5th ed. London: Palgrave Macmillan.</w:t>
      </w:r>
    </w:p>
    <w:p w14:paraId="558AD7CC" w14:textId="77777777" w:rsidR="000040D4" w:rsidRPr="000040D4" w:rsidRDefault="000040D4" w:rsidP="000040D4">
      <w:pPr>
        <w:spacing w:line="360" w:lineRule="auto"/>
        <w:ind w:left="720" w:hanging="720"/>
        <w:jc w:val="both"/>
        <w:rPr>
          <w:sz w:val="24"/>
          <w:szCs w:val="24"/>
        </w:rPr>
      </w:pPr>
      <w:r w:rsidRPr="000040D4">
        <w:rPr>
          <w:sz w:val="24"/>
          <w:szCs w:val="24"/>
        </w:rPr>
        <w:t xml:space="preserve">Anthony, W.A. (1993) ‘Recovery from Mental Illness: The Guiding Vision of the Mental Health Service System in the 1990s’, </w:t>
      </w:r>
      <w:r w:rsidRPr="000040D4">
        <w:rPr>
          <w:rFonts w:eastAsiaTheme="majorEastAsia"/>
          <w:sz w:val="24"/>
          <w:szCs w:val="24"/>
        </w:rPr>
        <w:t>Psychosocial Rehabilitation Journal</w:t>
      </w:r>
      <w:r w:rsidRPr="000040D4">
        <w:rPr>
          <w:sz w:val="24"/>
          <w:szCs w:val="24"/>
        </w:rPr>
        <w:t>, 16(4), pp. 11-23.</w:t>
      </w:r>
    </w:p>
    <w:p w14:paraId="4A85818E" w14:textId="77777777" w:rsidR="000040D4" w:rsidRPr="000040D4" w:rsidRDefault="000040D4" w:rsidP="000040D4">
      <w:pPr>
        <w:spacing w:line="360" w:lineRule="auto"/>
        <w:ind w:left="720" w:hanging="720"/>
        <w:jc w:val="both"/>
        <w:rPr>
          <w:sz w:val="24"/>
          <w:szCs w:val="24"/>
        </w:rPr>
      </w:pPr>
      <w:r w:rsidRPr="000040D4">
        <w:rPr>
          <w:sz w:val="24"/>
          <w:szCs w:val="24"/>
        </w:rPr>
        <w:t xml:space="preserve">Arksey, H. &amp; Glendinning, C. (2008) ‘Combining work and care: Carers’ decision-making in the context of competing policy pressures’, </w:t>
      </w:r>
      <w:r w:rsidRPr="000040D4">
        <w:rPr>
          <w:rFonts w:eastAsiaTheme="majorEastAsia"/>
          <w:sz w:val="24"/>
          <w:szCs w:val="24"/>
        </w:rPr>
        <w:t>Social Policy and Administration</w:t>
      </w:r>
      <w:r w:rsidRPr="000040D4">
        <w:rPr>
          <w:sz w:val="24"/>
          <w:szCs w:val="24"/>
        </w:rPr>
        <w:t>, 42(1), pp. 1-18.</w:t>
      </w:r>
    </w:p>
    <w:p w14:paraId="7EC7F342" w14:textId="77777777" w:rsidR="000040D4" w:rsidRPr="000040D4" w:rsidRDefault="000040D4" w:rsidP="000040D4">
      <w:pPr>
        <w:spacing w:line="360" w:lineRule="auto"/>
        <w:ind w:left="720" w:hanging="720"/>
        <w:jc w:val="both"/>
        <w:rPr>
          <w:sz w:val="24"/>
          <w:szCs w:val="24"/>
        </w:rPr>
      </w:pPr>
      <w:r w:rsidRPr="000040D4">
        <w:rPr>
          <w:sz w:val="24"/>
          <w:szCs w:val="24"/>
        </w:rPr>
        <w:t xml:space="preserve">Banks, S. (2021) </w:t>
      </w:r>
      <w:r w:rsidRPr="000040D4">
        <w:rPr>
          <w:rFonts w:eastAsiaTheme="majorEastAsia"/>
          <w:sz w:val="24"/>
          <w:szCs w:val="24"/>
        </w:rPr>
        <w:t>Ethics and Values in Social Work</w:t>
      </w:r>
      <w:r w:rsidRPr="000040D4">
        <w:rPr>
          <w:sz w:val="24"/>
          <w:szCs w:val="24"/>
        </w:rPr>
        <w:t xml:space="preserve">. 5th </w:t>
      </w:r>
      <w:proofErr w:type="spellStart"/>
      <w:r w:rsidRPr="000040D4">
        <w:rPr>
          <w:sz w:val="24"/>
          <w:szCs w:val="24"/>
        </w:rPr>
        <w:t>edn</w:t>
      </w:r>
      <w:proofErr w:type="spellEnd"/>
      <w:r w:rsidRPr="000040D4">
        <w:rPr>
          <w:sz w:val="24"/>
          <w:szCs w:val="24"/>
        </w:rPr>
        <w:t>. London: Red Globe Press.</w:t>
      </w:r>
    </w:p>
    <w:p w14:paraId="57CC208A" w14:textId="77777777" w:rsidR="000040D4" w:rsidRPr="000040D4" w:rsidRDefault="000040D4" w:rsidP="000040D4">
      <w:pPr>
        <w:spacing w:line="360" w:lineRule="auto"/>
        <w:ind w:left="720" w:hanging="720"/>
        <w:jc w:val="both"/>
        <w:rPr>
          <w:sz w:val="24"/>
          <w:szCs w:val="24"/>
        </w:rPr>
      </w:pPr>
      <w:r w:rsidRPr="000040D4">
        <w:rPr>
          <w:sz w:val="24"/>
          <w:szCs w:val="24"/>
        </w:rPr>
        <w:t xml:space="preserve">BASW (2021) </w:t>
      </w:r>
      <w:r w:rsidRPr="000040D4">
        <w:rPr>
          <w:rFonts w:eastAsiaTheme="majorEastAsia"/>
          <w:sz w:val="24"/>
          <w:szCs w:val="24"/>
        </w:rPr>
        <w:t>The Code of Ethics for Social Work</w:t>
      </w:r>
      <w:r w:rsidRPr="000040D4">
        <w:rPr>
          <w:sz w:val="24"/>
          <w:szCs w:val="24"/>
        </w:rPr>
        <w:t>. Birmingham: British Association of Social Workers.</w:t>
      </w:r>
    </w:p>
    <w:p w14:paraId="4D0927D2" w14:textId="77777777" w:rsidR="000040D4" w:rsidRPr="000040D4" w:rsidRDefault="000040D4" w:rsidP="000040D4">
      <w:pPr>
        <w:spacing w:line="360" w:lineRule="auto"/>
        <w:ind w:left="720" w:hanging="720"/>
        <w:jc w:val="both"/>
        <w:rPr>
          <w:sz w:val="24"/>
          <w:szCs w:val="24"/>
        </w:rPr>
      </w:pPr>
      <w:r w:rsidRPr="000040D4">
        <w:rPr>
          <w:sz w:val="24"/>
          <w:szCs w:val="24"/>
        </w:rPr>
        <w:t xml:space="preserve">Baumeister, R.F. and Leary, M.R. (1995) ‘The need to belong: Desire for interpersonal attachments as a fundamental human motivation’, </w:t>
      </w:r>
      <w:r w:rsidRPr="000040D4">
        <w:rPr>
          <w:rFonts w:eastAsiaTheme="majorEastAsia"/>
          <w:sz w:val="24"/>
          <w:szCs w:val="24"/>
        </w:rPr>
        <w:t>Psychological Bulletin</w:t>
      </w:r>
      <w:r w:rsidRPr="000040D4">
        <w:rPr>
          <w:sz w:val="24"/>
          <w:szCs w:val="24"/>
        </w:rPr>
        <w:t>, 117(3), pp. 497-529.</w:t>
      </w:r>
    </w:p>
    <w:p w14:paraId="73498D62" w14:textId="77777777" w:rsidR="000040D4" w:rsidRPr="000040D4" w:rsidRDefault="000040D4" w:rsidP="000040D4">
      <w:pPr>
        <w:spacing w:line="360" w:lineRule="auto"/>
        <w:ind w:left="720" w:hanging="720"/>
        <w:jc w:val="both"/>
        <w:rPr>
          <w:sz w:val="24"/>
          <w:szCs w:val="24"/>
        </w:rPr>
      </w:pPr>
      <w:proofErr w:type="spellStart"/>
      <w:r w:rsidRPr="000040D4">
        <w:rPr>
          <w:sz w:val="24"/>
          <w:szCs w:val="24"/>
        </w:rPr>
        <w:t>Bogdashina</w:t>
      </w:r>
      <w:proofErr w:type="spellEnd"/>
      <w:r w:rsidRPr="000040D4">
        <w:rPr>
          <w:sz w:val="24"/>
          <w:szCs w:val="24"/>
        </w:rPr>
        <w:t xml:space="preserve">, O. (2016) </w:t>
      </w:r>
      <w:r w:rsidRPr="000040D4">
        <w:rPr>
          <w:rFonts w:eastAsiaTheme="majorEastAsia"/>
          <w:sz w:val="24"/>
          <w:szCs w:val="24"/>
        </w:rPr>
        <w:t>Sensory Perceptual Issues in Autism and Asperger Syndrome: Different Sensory Experiences, Different Perceptual Worlds</w:t>
      </w:r>
      <w:r w:rsidRPr="000040D4">
        <w:rPr>
          <w:sz w:val="24"/>
          <w:szCs w:val="24"/>
        </w:rPr>
        <w:t xml:space="preserve">. 2nd </w:t>
      </w:r>
      <w:proofErr w:type="spellStart"/>
      <w:r w:rsidRPr="000040D4">
        <w:rPr>
          <w:sz w:val="24"/>
          <w:szCs w:val="24"/>
        </w:rPr>
        <w:t>edn</w:t>
      </w:r>
      <w:proofErr w:type="spellEnd"/>
      <w:r w:rsidRPr="000040D4">
        <w:rPr>
          <w:sz w:val="24"/>
          <w:szCs w:val="24"/>
        </w:rPr>
        <w:t>. London: Jessica Kingsley Publishers.</w:t>
      </w:r>
    </w:p>
    <w:p w14:paraId="67C1F098" w14:textId="77777777" w:rsidR="000040D4" w:rsidRPr="000040D4" w:rsidRDefault="000040D4" w:rsidP="000040D4">
      <w:pPr>
        <w:spacing w:line="360" w:lineRule="auto"/>
        <w:ind w:left="720" w:hanging="720"/>
        <w:jc w:val="both"/>
        <w:rPr>
          <w:sz w:val="24"/>
          <w:szCs w:val="24"/>
        </w:rPr>
      </w:pPr>
      <w:r w:rsidRPr="000040D4">
        <w:rPr>
          <w:sz w:val="24"/>
          <w:szCs w:val="24"/>
        </w:rPr>
        <w:t>Bowlby, J. (1988) A Secure Base: Parent-Child Attachment and Healthy Human Development. London: Routledge.</w:t>
      </w:r>
    </w:p>
    <w:p w14:paraId="1637EB23" w14:textId="77777777" w:rsidR="000040D4" w:rsidRPr="000040D4" w:rsidRDefault="000040D4" w:rsidP="000040D4">
      <w:pPr>
        <w:spacing w:line="360" w:lineRule="auto"/>
        <w:ind w:left="720" w:hanging="720"/>
        <w:jc w:val="both"/>
        <w:rPr>
          <w:sz w:val="24"/>
          <w:szCs w:val="24"/>
        </w:rPr>
      </w:pPr>
      <w:r w:rsidRPr="000040D4">
        <w:rPr>
          <w:sz w:val="24"/>
          <w:szCs w:val="24"/>
        </w:rPr>
        <w:t xml:space="preserve">Braye, S., Orr, D. and Preston-Shoot, M. (2015) </w:t>
      </w:r>
      <w:r w:rsidRPr="000040D4">
        <w:rPr>
          <w:rFonts w:eastAsiaTheme="majorEastAsia"/>
          <w:sz w:val="24"/>
          <w:szCs w:val="24"/>
        </w:rPr>
        <w:t>Serious Case Review Findings on the Challenges of Self-Neglect: Indicators for Good Practice</w:t>
      </w:r>
      <w:r w:rsidRPr="000040D4">
        <w:rPr>
          <w:sz w:val="24"/>
          <w:szCs w:val="24"/>
        </w:rPr>
        <w:t>. London: Local Government Association.</w:t>
      </w:r>
    </w:p>
    <w:p w14:paraId="7A44511D" w14:textId="77777777" w:rsidR="000040D4" w:rsidRPr="000040D4" w:rsidRDefault="000040D4" w:rsidP="000040D4">
      <w:pPr>
        <w:spacing w:line="360" w:lineRule="auto"/>
        <w:ind w:left="720" w:hanging="720"/>
        <w:jc w:val="both"/>
        <w:rPr>
          <w:sz w:val="24"/>
          <w:szCs w:val="24"/>
        </w:rPr>
      </w:pPr>
      <w:r w:rsidRPr="000040D4">
        <w:rPr>
          <w:sz w:val="24"/>
          <w:szCs w:val="24"/>
        </w:rPr>
        <w:t xml:space="preserve">Bronstein, L.R. (2003) ‘A model for interdisciplinary collaboration’, </w:t>
      </w:r>
      <w:r w:rsidRPr="000040D4">
        <w:rPr>
          <w:rFonts w:eastAsiaTheme="majorEastAsia"/>
          <w:sz w:val="24"/>
          <w:szCs w:val="24"/>
        </w:rPr>
        <w:t>Social Work</w:t>
      </w:r>
      <w:r w:rsidRPr="000040D4">
        <w:rPr>
          <w:sz w:val="24"/>
          <w:szCs w:val="24"/>
        </w:rPr>
        <w:t>, 48(3), pp. 297-306.</w:t>
      </w:r>
    </w:p>
    <w:p w14:paraId="29E8B69B" w14:textId="77777777" w:rsidR="000040D4" w:rsidRPr="000040D4" w:rsidRDefault="000040D4" w:rsidP="000040D4">
      <w:pPr>
        <w:spacing w:line="360" w:lineRule="auto"/>
        <w:ind w:left="720" w:hanging="720"/>
        <w:jc w:val="both"/>
        <w:rPr>
          <w:sz w:val="24"/>
          <w:szCs w:val="24"/>
        </w:rPr>
      </w:pPr>
      <w:r w:rsidRPr="000040D4">
        <w:rPr>
          <w:sz w:val="24"/>
          <w:szCs w:val="24"/>
        </w:rPr>
        <w:t>Care Quality Commission (2023). About the Mental Capacity Act | Care Quality Commission. [online] Cqc.org.uk. Available at: https://www.cqc.org.uk/help-advice/mental-health-capacity/about-mental-capacity-act</w:t>
      </w:r>
    </w:p>
    <w:p w14:paraId="5FB20F87" w14:textId="77777777" w:rsidR="000040D4" w:rsidRPr="000040D4" w:rsidRDefault="000040D4" w:rsidP="000040D4">
      <w:pPr>
        <w:spacing w:line="360" w:lineRule="auto"/>
        <w:ind w:left="720" w:hanging="720"/>
        <w:jc w:val="both"/>
        <w:rPr>
          <w:sz w:val="24"/>
          <w:szCs w:val="24"/>
        </w:rPr>
      </w:pPr>
      <w:r w:rsidRPr="000040D4">
        <w:rPr>
          <w:sz w:val="24"/>
          <w:szCs w:val="24"/>
        </w:rPr>
        <w:lastRenderedPageBreak/>
        <w:t>Care Quality Commission (2023). Deprivation of Liberty Safeguards (</w:t>
      </w:r>
      <w:proofErr w:type="spellStart"/>
      <w:r w:rsidRPr="000040D4">
        <w:rPr>
          <w:sz w:val="24"/>
          <w:szCs w:val="24"/>
        </w:rPr>
        <w:t>DoLS</w:t>
      </w:r>
      <w:proofErr w:type="spellEnd"/>
      <w:r w:rsidRPr="000040D4">
        <w:rPr>
          <w:sz w:val="24"/>
          <w:szCs w:val="24"/>
        </w:rPr>
        <w:t xml:space="preserve">) - Care Quality Commission. [online] www.cqc.org.uk. Available at: </w:t>
      </w:r>
      <w:hyperlink r:id="rId12" w:history="1">
        <w:r w:rsidRPr="000040D4">
          <w:rPr>
            <w:rStyle w:val="Hyperlink"/>
            <w:color w:val="auto"/>
            <w:sz w:val="24"/>
            <w:szCs w:val="24"/>
            <w:u w:val="none"/>
          </w:rPr>
          <w:t>https://www.cqc.org.uk/publications/major-report/state-care/2022-2023/dols</w:t>
        </w:r>
      </w:hyperlink>
    </w:p>
    <w:p w14:paraId="4D0AA939" w14:textId="77777777" w:rsidR="000040D4" w:rsidRPr="000040D4" w:rsidRDefault="000040D4" w:rsidP="000040D4">
      <w:pPr>
        <w:spacing w:line="360" w:lineRule="auto"/>
        <w:ind w:left="720" w:hanging="720"/>
        <w:jc w:val="both"/>
        <w:rPr>
          <w:sz w:val="24"/>
          <w:szCs w:val="24"/>
        </w:rPr>
      </w:pPr>
      <w:r w:rsidRPr="000040D4">
        <w:rPr>
          <w:sz w:val="24"/>
          <w:szCs w:val="24"/>
        </w:rPr>
        <w:t xml:space="preserve">Care Wales, S. (2026). Code of Professional Practice for Social Care Workers. [online] Social Care Wales. Available at: </w:t>
      </w:r>
      <w:hyperlink r:id="rId13" w:history="1">
        <w:r w:rsidRPr="000040D4">
          <w:rPr>
            <w:rStyle w:val="Hyperlink"/>
            <w:color w:val="auto"/>
            <w:sz w:val="24"/>
            <w:szCs w:val="24"/>
            <w:u w:val="none"/>
          </w:rPr>
          <w:t>https://socialcare.wales/codes-of-practice-and-guidance/code-of-professional-practice-for-social-care-workers</w:t>
        </w:r>
      </w:hyperlink>
      <w:r w:rsidRPr="000040D4">
        <w:rPr>
          <w:color w:val="auto"/>
          <w:sz w:val="24"/>
          <w:szCs w:val="24"/>
        </w:rPr>
        <w:t> </w:t>
      </w:r>
    </w:p>
    <w:p w14:paraId="2D0AE13A" w14:textId="77777777" w:rsidR="000040D4" w:rsidRPr="000040D4" w:rsidRDefault="000040D4" w:rsidP="000040D4">
      <w:pPr>
        <w:spacing w:line="360" w:lineRule="auto"/>
        <w:ind w:left="720" w:hanging="720"/>
        <w:jc w:val="both"/>
        <w:rPr>
          <w:sz w:val="24"/>
          <w:szCs w:val="24"/>
        </w:rPr>
      </w:pPr>
      <w:r w:rsidRPr="000040D4">
        <w:rPr>
          <w:sz w:val="24"/>
          <w:szCs w:val="24"/>
        </w:rPr>
        <w:t xml:space="preserve">Carey, M. (2023) </w:t>
      </w:r>
      <w:r w:rsidRPr="000040D4">
        <w:rPr>
          <w:rFonts w:eastAsiaTheme="majorEastAsia"/>
          <w:sz w:val="24"/>
          <w:szCs w:val="24"/>
        </w:rPr>
        <w:t>Social Work and Mental Health</w:t>
      </w:r>
      <w:r w:rsidRPr="000040D4">
        <w:rPr>
          <w:sz w:val="24"/>
          <w:szCs w:val="24"/>
        </w:rPr>
        <w:t>. 9th ed. London: Learning Matters.</w:t>
      </w:r>
    </w:p>
    <w:p w14:paraId="156F28AB" w14:textId="77777777" w:rsidR="000040D4" w:rsidRPr="000040D4" w:rsidRDefault="000040D4" w:rsidP="000040D4">
      <w:pPr>
        <w:spacing w:line="360" w:lineRule="auto"/>
        <w:ind w:left="720" w:hanging="720"/>
        <w:jc w:val="both"/>
        <w:rPr>
          <w:sz w:val="24"/>
          <w:szCs w:val="24"/>
        </w:rPr>
      </w:pPr>
      <w:r w:rsidRPr="000040D4">
        <w:rPr>
          <w:sz w:val="24"/>
          <w:szCs w:val="24"/>
        </w:rPr>
        <w:t xml:space="preserve">Children Act (1989). Children Act 1989. [online] legislation.gov.uk. Available at: </w:t>
      </w:r>
      <w:hyperlink r:id="rId14" w:history="1">
        <w:r w:rsidRPr="000040D4">
          <w:rPr>
            <w:rStyle w:val="Hyperlink"/>
            <w:color w:val="auto"/>
            <w:sz w:val="24"/>
            <w:szCs w:val="24"/>
            <w:u w:val="none"/>
          </w:rPr>
          <w:t>https://www.legislation.gov.uk/ukpga/1989/41/contents</w:t>
        </w:r>
      </w:hyperlink>
    </w:p>
    <w:p w14:paraId="6477DD3E" w14:textId="77777777" w:rsidR="000040D4" w:rsidRPr="000040D4" w:rsidRDefault="000040D4" w:rsidP="000040D4">
      <w:pPr>
        <w:spacing w:line="360" w:lineRule="auto"/>
        <w:ind w:left="720" w:hanging="720"/>
        <w:jc w:val="both"/>
        <w:rPr>
          <w:sz w:val="24"/>
          <w:szCs w:val="24"/>
        </w:rPr>
      </w:pPr>
      <w:r w:rsidRPr="000040D4">
        <w:rPr>
          <w:sz w:val="24"/>
          <w:szCs w:val="24"/>
        </w:rPr>
        <w:t>Daniel, B. (2018) Concepts of Adversity, Risk, Vulnerability and Resilience: A Discussion in the Context of the 'Child Protection System'. Social Policy and Society, 17(4), pp. 623-635.</w:t>
      </w:r>
    </w:p>
    <w:p w14:paraId="656F8B68" w14:textId="77777777" w:rsidR="000040D4" w:rsidRPr="000040D4" w:rsidRDefault="000040D4" w:rsidP="000040D4">
      <w:pPr>
        <w:spacing w:line="360" w:lineRule="auto"/>
        <w:ind w:left="720" w:hanging="720"/>
        <w:jc w:val="both"/>
        <w:rPr>
          <w:sz w:val="24"/>
          <w:szCs w:val="24"/>
        </w:rPr>
      </w:pPr>
      <w:r w:rsidRPr="000040D4">
        <w:rPr>
          <w:sz w:val="24"/>
          <w:szCs w:val="24"/>
        </w:rPr>
        <w:t>de Silva, D. (2014) Helping Measure Person-Centred Care. London: The Health Foundation.</w:t>
      </w:r>
    </w:p>
    <w:p w14:paraId="0344069A" w14:textId="77777777" w:rsidR="000040D4" w:rsidRPr="000040D4" w:rsidRDefault="000040D4" w:rsidP="000040D4">
      <w:pPr>
        <w:spacing w:line="360" w:lineRule="auto"/>
        <w:ind w:left="720" w:hanging="720"/>
        <w:jc w:val="both"/>
        <w:rPr>
          <w:sz w:val="24"/>
          <w:szCs w:val="24"/>
        </w:rPr>
      </w:pPr>
      <w:r w:rsidRPr="000040D4">
        <w:rPr>
          <w:sz w:val="24"/>
          <w:szCs w:val="24"/>
        </w:rPr>
        <w:t>Deci, E.L. and Ryan, R.M. (2000) ‘The “what” and “why” of goal pursuits: Human needs and the self-determination of behaviour’, Psychological Inquiry, 11(4), pp. 227-268.</w:t>
      </w:r>
    </w:p>
    <w:p w14:paraId="63BDF20C" w14:textId="77777777" w:rsidR="000040D4" w:rsidRPr="000040D4" w:rsidRDefault="000040D4" w:rsidP="000040D4">
      <w:pPr>
        <w:spacing w:line="360" w:lineRule="auto"/>
        <w:ind w:left="720" w:hanging="720"/>
        <w:jc w:val="both"/>
        <w:rPr>
          <w:sz w:val="24"/>
          <w:szCs w:val="24"/>
        </w:rPr>
      </w:pPr>
      <w:r w:rsidRPr="000040D4">
        <w:rPr>
          <w:sz w:val="24"/>
          <w:szCs w:val="24"/>
        </w:rPr>
        <w:t xml:space="preserve">Department of Health (2002) </w:t>
      </w:r>
      <w:r w:rsidRPr="000040D4">
        <w:rPr>
          <w:rFonts w:eastAsiaTheme="majorEastAsia"/>
          <w:sz w:val="24"/>
          <w:szCs w:val="24"/>
        </w:rPr>
        <w:t>Mental Health Policy Implementation Guide: Dual Diagnosis Good Practice Guide</w:t>
      </w:r>
      <w:r w:rsidRPr="000040D4">
        <w:rPr>
          <w:sz w:val="24"/>
          <w:szCs w:val="24"/>
        </w:rPr>
        <w:t>. London: Department of Health.</w:t>
      </w:r>
    </w:p>
    <w:p w14:paraId="08FBA7BB" w14:textId="77777777" w:rsidR="000040D4" w:rsidRPr="000040D4" w:rsidRDefault="000040D4" w:rsidP="000040D4">
      <w:pPr>
        <w:spacing w:line="360" w:lineRule="auto"/>
        <w:ind w:left="720" w:hanging="720"/>
        <w:jc w:val="both"/>
        <w:rPr>
          <w:sz w:val="24"/>
          <w:szCs w:val="24"/>
        </w:rPr>
      </w:pPr>
      <w:r w:rsidRPr="000040D4">
        <w:rPr>
          <w:sz w:val="24"/>
          <w:szCs w:val="24"/>
        </w:rPr>
        <w:t>Department of Health (2005). Mental Capacity Act 2005. [online] Available at: https://www.legislation.gov.uk/ukpga/2005/9/pdfs/ukpga_20050009_en.pdf </w:t>
      </w:r>
    </w:p>
    <w:p w14:paraId="395E7498" w14:textId="77777777" w:rsidR="000040D4" w:rsidRPr="000040D4" w:rsidRDefault="000040D4" w:rsidP="000040D4">
      <w:pPr>
        <w:spacing w:line="360" w:lineRule="auto"/>
        <w:ind w:left="720" w:hanging="720"/>
        <w:jc w:val="both"/>
        <w:rPr>
          <w:sz w:val="24"/>
          <w:szCs w:val="24"/>
        </w:rPr>
      </w:pPr>
      <w:r w:rsidRPr="000040D4">
        <w:rPr>
          <w:sz w:val="24"/>
          <w:szCs w:val="24"/>
        </w:rPr>
        <w:t>Equality Act 2010. (c.15). London: The Stationery Office.</w:t>
      </w:r>
    </w:p>
    <w:p w14:paraId="77ABC5E1" w14:textId="77777777" w:rsidR="000040D4" w:rsidRPr="000040D4" w:rsidRDefault="000040D4" w:rsidP="000040D4">
      <w:pPr>
        <w:spacing w:line="360" w:lineRule="auto"/>
        <w:ind w:left="720" w:hanging="720"/>
        <w:jc w:val="both"/>
        <w:rPr>
          <w:sz w:val="24"/>
          <w:szCs w:val="24"/>
        </w:rPr>
      </w:pPr>
      <w:r w:rsidRPr="000040D4">
        <w:rPr>
          <w:sz w:val="24"/>
          <w:szCs w:val="24"/>
        </w:rPr>
        <w:t xml:space="preserve">Erikson, E.H. (1968) </w:t>
      </w:r>
      <w:r w:rsidRPr="000040D4">
        <w:rPr>
          <w:rFonts w:eastAsiaTheme="majorEastAsia"/>
          <w:sz w:val="24"/>
          <w:szCs w:val="24"/>
        </w:rPr>
        <w:t>Identity: Youth and Crisis</w:t>
      </w:r>
      <w:r w:rsidRPr="000040D4">
        <w:rPr>
          <w:sz w:val="24"/>
          <w:szCs w:val="24"/>
        </w:rPr>
        <w:t>. New York: W.W. Norton.</w:t>
      </w:r>
    </w:p>
    <w:p w14:paraId="13D340B4" w14:textId="77777777" w:rsidR="000040D4" w:rsidRPr="000040D4" w:rsidRDefault="000040D4" w:rsidP="000040D4">
      <w:pPr>
        <w:spacing w:line="360" w:lineRule="auto"/>
        <w:ind w:left="720" w:hanging="720"/>
        <w:jc w:val="both"/>
        <w:rPr>
          <w:sz w:val="24"/>
          <w:szCs w:val="24"/>
        </w:rPr>
      </w:pPr>
      <w:r w:rsidRPr="000040D4">
        <w:rPr>
          <w:sz w:val="24"/>
          <w:szCs w:val="24"/>
        </w:rPr>
        <w:t>Gillick v West Norfolk and Wisbech Area Health Authority and Department of Health and Social Security [1985] UKHL 7.</w:t>
      </w:r>
    </w:p>
    <w:p w14:paraId="2A65E586" w14:textId="77777777" w:rsidR="000040D4" w:rsidRPr="000040D4" w:rsidRDefault="000040D4" w:rsidP="000040D4">
      <w:pPr>
        <w:spacing w:line="360" w:lineRule="auto"/>
        <w:ind w:left="720" w:hanging="720"/>
        <w:jc w:val="both"/>
        <w:rPr>
          <w:sz w:val="24"/>
          <w:szCs w:val="24"/>
        </w:rPr>
      </w:pPr>
      <w:r w:rsidRPr="000040D4">
        <w:rPr>
          <w:sz w:val="24"/>
          <w:szCs w:val="24"/>
        </w:rPr>
        <w:t>GOV.UK (2004). Children Act 2004. [online] Legislation.gov.uk. Available at: https://www.legislation.gov.uk/ukpga/2004/31/contents</w:t>
      </w:r>
    </w:p>
    <w:p w14:paraId="22231EFF" w14:textId="77777777" w:rsidR="000040D4" w:rsidRPr="000040D4" w:rsidRDefault="000040D4" w:rsidP="000040D4">
      <w:pPr>
        <w:spacing w:line="360" w:lineRule="auto"/>
        <w:ind w:left="720" w:hanging="720"/>
        <w:jc w:val="both"/>
        <w:rPr>
          <w:color w:val="auto"/>
          <w:sz w:val="24"/>
          <w:szCs w:val="24"/>
        </w:rPr>
      </w:pPr>
      <w:r w:rsidRPr="000040D4">
        <w:rPr>
          <w:sz w:val="24"/>
          <w:szCs w:val="24"/>
        </w:rPr>
        <w:t xml:space="preserve">Gov.uk (2014). Mental capacity act: Making decisions. [online] GOV.UK. Available at: </w:t>
      </w:r>
      <w:hyperlink r:id="rId15" w:history="1">
        <w:r w:rsidRPr="000040D4">
          <w:rPr>
            <w:rStyle w:val="Hyperlink"/>
            <w:color w:val="auto"/>
            <w:sz w:val="24"/>
            <w:szCs w:val="24"/>
            <w:u w:val="none"/>
          </w:rPr>
          <w:t>https://www.gov.uk/government/collections/mental-capacity-act-making-decisions</w:t>
        </w:r>
      </w:hyperlink>
    </w:p>
    <w:p w14:paraId="3868E3E5" w14:textId="77777777" w:rsidR="000040D4" w:rsidRPr="000040D4" w:rsidRDefault="000040D4" w:rsidP="000040D4">
      <w:pPr>
        <w:spacing w:line="360" w:lineRule="auto"/>
        <w:ind w:left="720" w:hanging="720"/>
        <w:jc w:val="both"/>
        <w:rPr>
          <w:sz w:val="24"/>
          <w:szCs w:val="24"/>
        </w:rPr>
      </w:pPr>
      <w:r w:rsidRPr="000040D4">
        <w:rPr>
          <w:sz w:val="24"/>
          <w:szCs w:val="24"/>
        </w:rPr>
        <w:t xml:space="preserve">GOV.WALES. (2019). Safeguarding adults at risk of abuse or neglect | GOV.WALES. [online] Available at: </w:t>
      </w:r>
      <w:hyperlink r:id="rId16" w:history="1">
        <w:r w:rsidRPr="000040D4">
          <w:rPr>
            <w:rStyle w:val="Hyperlink"/>
            <w:color w:val="auto"/>
            <w:sz w:val="24"/>
            <w:szCs w:val="24"/>
            <w:u w:val="none"/>
          </w:rPr>
          <w:t>https://www.gov.wales/safeguarding-adults-risk-abuse-or-neglect</w:t>
        </w:r>
      </w:hyperlink>
    </w:p>
    <w:p w14:paraId="2AFB9811" w14:textId="77777777" w:rsidR="000040D4" w:rsidRPr="000040D4" w:rsidRDefault="000040D4" w:rsidP="000040D4">
      <w:pPr>
        <w:spacing w:line="360" w:lineRule="auto"/>
        <w:ind w:left="720" w:hanging="720"/>
        <w:jc w:val="both"/>
        <w:rPr>
          <w:sz w:val="24"/>
          <w:szCs w:val="24"/>
        </w:rPr>
      </w:pPr>
      <w:r w:rsidRPr="000040D4">
        <w:rPr>
          <w:sz w:val="24"/>
          <w:szCs w:val="24"/>
        </w:rPr>
        <w:t>GOV.WALES. (2026). Safeguarding guidance | GOV.WALES. [online] Available at: https://www.gov.wales/safeguarding-guidance</w:t>
      </w:r>
    </w:p>
    <w:p w14:paraId="11058FC8" w14:textId="77777777" w:rsidR="000040D4" w:rsidRPr="000040D4" w:rsidRDefault="000040D4" w:rsidP="000040D4">
      <w:pPr>
        <w:spacing w:line="360" w:lineRule="auto"/>
        <w:ind w:left="720" w:hanging="720"/>
        <w:jc w:val="both"/>
        <w:rPr>
          <w:color w:val="auto"/>
          <w:sz w:val="24"/>
          <w:szCs w:val="24"/>
        </w:rPr>
      </w:pPr>
      <w:r w:rsidRPr="000040D4">
        <w:rPr>
          <w:sz w:val="24"/>
          <w:szCs w:val="24"/>
        </w:rPr>
        <w:lastRenderedPageBreak/>
        <w:t xml:space="preserve">GOV.WALES. (2026). Social Services and Well-being (Wales) Act 2014 | GOV.WALES. [online] Available at: </w:t>
      </w:r>
      <w:hyperlink r:id="rId17" w:history="1">
        <w:r w:rsidRPr="000040D4">
          <w:rPr>
            <w:rStyle w:val="Hyperlink"/>
            <w:color w:val="auto"/>
            <w:sz w:val="24"/>
            <w:szCs w:val="24"/>
            <w:u w:val="none"/>
          </w:rPr>
          <w:t>https://www.gov.wales/social-services-and-well-being-wales-act-2014</w:t>
        </w:r>
      </w:hyperlink>
      <w:r w:rsidRPr="000040D4">
        <w:rPr>
          <w:color w:val="auto"/>
          <w:sz w:val="24"/>
          <w:szCs w:val="24"/>
        </w:rPr>
        <w:t> </w:t>
      </w:r>
    </w:p>
    <w:p w14:paraId="1D69A9B3" w14:textId="77777777" w:rsidR="000040D4" w:rsidRPr="000040D4" w:rsidRDefault="000040D4" w:rsidP="000040D4">
      <w:pPr>
        <w:spacing w:line="360" w:lineRule="auto"/>
        <w:ind w:left="720" w:hanging="720"/>
        <w:jc w:val="both"/>
        <w:rPr>
          <w:color w:val="auto"/>
          <w:sz w:val="24"/>
          <w:szCs w:val="24"/>
        </w:rPr>
      </w:pPr>
      <w:r w:rsidRPr="000040D4">
        <w:rPr>
          <w:sz w:val="24"/>
          <w:szCs w:val="24"/>
        </w:rPr>
        <w:t xml:space="preserve">Health (2026). UK Supreme Court 2026 judgment on what constitutes a deprivation of liberty. [online] GOV.UK. Available at: </w:t>
      </w:r>
      <w:hyperlink r:id="rId18" w:history="1">
        <w:r w:rsidRPr="000040D4">
          <w:rPr>
            <w:rStyle w:val="Hyperlink"/>
            <w:color w:val="auto"/>
            <w:sz w:val="24"/>
            <w:szCs w:val="24"/>
            <w:u w:val="none"/>
          </w:rPr>
          <w:t>https://www.gov.uk/government/publications/changes-to-the-definition-of-deprivation-of-liberty/uk-supreme-court-2026-judgment-on-what-constitutes-a-deprivation-of-liberty</w:t>
        </w:r>
      </w:hyperlink>
    </w:p>
    <w:p w14:paraId="799FFAC9" w14:textId="77777777" w:rsidR="000040D4" w:rsidRPr="000040D4" w:rsidRDefault="000040D4" w:rsidP="000040D4">
      <w:pPr>
        <w:spacing w:line="360" w:lineRule="auto"/>
        <w:ind w:left="720" w:hanging="720"/>
        <w:jc w:val="both"/>
        <w:rPr>
          <w:sz w:val="24"/>
          <w:szCs w:val="24"/>
        </w:rPr>
      </w:pPr>
      <w:r w:rsidRPr="000040D4">
        <w:rPr>
          <w:sz w:val="24"/>
          <w:szCs w:val="24"/>
        </w:rPr>
        <w:t xml:space="preserve">Hughes, E., Bowers, L., Simpson, A. and Jones, J. (2016) ‘The management of dual diagnosis in mental health services’, </w:t>
      </w:r>
      <w:r w:rsidRPr="000040D4">
        <w:rPr>
          <w:rFonts w:eastAsiaTheme="majorEastAsia"/>
          <w:sz w:val="24"/>
          <w:szCs w:val="24"/>
        </w:rPr>
        <w:t>Journal of Psychiatric and Mental Health Nursing</w:t>
      </w:r>
      <w:r w:rsidRPr="000040D4">
        <w:rPr>
          <w:sz w:val="24"/>
          <w:szCs w:val="24"/>
        </w:rPr>
        <w:t>, 23(3-4), pp. 217-225.</w:t>
      </w:r>
    </w:p>
    <w:p w14:paraId="0964EB28" w14:textId="77777777" w:rsidR="000040D4" w:rsidRPr="000040D4" w:rsidRDefault="000040D4" w:rsidP="000040D4">
      <w:pPr>
        <w:spacing w:line="360" w:lineRule="auto"/>
        <w:ind w:left="720" w:hanging="720"/>
        <w:jc w:val="both"/>
        <w:rPr>
          <w:sz w:val="24"/>
          <w:szCs w:val="24"/>
        </w:rPr>
      </w:pPr>
      <w:r w:rsidRPr="000040D4">
        <w:rPr>
          <w:sz w:val="24"/>
          <w:szCs w:val="24"/>
        </w:rPr>
        <w:t xml:space="preserve">Jasper, M. (2013) </w:t>
      </w:r>
      <w:r w:rsidRPr="000040D4">
        <w:rPr>
          <w:rFonts w:eastAsiaTheme="majorEastAsia"/>
          <w:sz w:val="24"/>
          <w:szCs w:val="24"/>
        </w:rPr>
        <w:t>Beginning Reflective Practice</w:t>
      </w:r>
      <w:r w:rsidRPr="000040D4">
        <w:rPr>
          <w:sz w:val="24"/>
          <w:szCs w:val="24"/>
        </w:rPr>
        <w:t xml:space="preserve">. 2nd </w:t>
      </w:r>
      <w:proofErr w:type="spellStart"/>
      <w:r w:rsidRPr="000040D4">
        <w:rPr>
          <w:sz w:val="24"/>
          <w:szCs w:val="24"/>
        </w:rPr>
        <w:t>edn</w:t>
      </w:r>
      <w:proofErr w:type="spellEnd"/>
      <w:r w:rsidRPr="000040D4">
        <w:rPr>
          <w:sz w:val="24"/>
          <w:szCs w:val="24"/>
        </w:rPr>
        <w:t>. Andover: Cengage Learning.</w:t>
      </w:r>
    </w:p>
    <w:p w14:paraId="7F9E1400" w14:textId="77777777" w:rsidR="000040D4" w:rsidRPr="000040D4" w:rsidRDefault="000040D4" w:rsidP="000040D4">
      <w:pPr>
        <w:spacing w:line="360" w:lineRule="auto"/>
        <w:ind w:left="720" w:hanging="720"/>
        <w:jc w:val="both"/>
        <w:rPr>
          <w:sz w:val="24"/>
          <w:szCs w:val="24"/>
        </w:rPr>
      </w:pPr>
      <w:proofErr w:type="spellStart"/>
      <w:r w:rsidRPr="000040D4">
        <w:rPr>
          <w:sz w:val="24"/>
          <w:szCs w:val="24"/>
        </w:rPr>
        <w:t>Kemshall</w:t>
      </w:r>
      <w:proofErr w:type="spellEnd"/>
      <w:r w:rsidRPr="000040D4">
        <w:rPr>
          <w:sz w:val="24"/>
          <w:szCs w:val="24"/>
        </w:rPr>
        <w:t xml:space="preserve">, H. (2010) </w:t>
      </w:r>
      <w:r w:rsidRPr="000040D4">
        <w:rPr>
          <w:rFonts w:eastAsiaTheme="majorEastAsia"/>
          <w:sz w:val="24"/>
          <w:szCs w:val="24"/>
        </w:rPr>
        <w:t>Risk, Social Policy and Welfare</w:t>
      </w:r>
      <w:r w:rsidRPr="000040D4">
        <w:rPr>
          <w:sz w:val="24"/>
          <w:szCs w:val="24"/>
        </w:rPr>
        <w:t>. Maidenhead: Open University Press.</w:t>
      </w:r>
    </w:p>
    <w:p w14:paraId="6E724639" w14:textId="77777777" w:rsidR="000040D4" w:rsidRPr="000040D4" w:rsidRDefault="000040D4" w:rsidP="000040D4">
      <w:pPr>
        <w:spacing w:line="360" w:lineRule="auto"/>
        <w:ind w:left="720" w:hanging="720"/>
        <w:jc w:val="both"/>
        <w:rPr>
          <w:sz w:val="24"/>
          <w:szCs w:val="24"/>
        </w:rPr>
      </w:pPr>
      <w:r w:rsidRPr="000040D4">
        <w:rPr>
          <w:sz w:val="24"/>
          <w:szCs w:val="24"/>
        </w:rPr>
        <w:t xml:space="preserve">Knott, C. &amp; Scragg, T. (2016) </w:t>
      </w:r>
      <w:r w:rsidRPr="000040D4">
        <w:rPr>
          <w:rFonts w:eastAsiaTheme="majorEastAsia"/>
          <w:sz w:val="24"/>
          <w:szCs w:val="24"/>
        </w:rPr>
        <w:t>Reflective Practice in Social Work</w:t>
      </w:r>
      <w:r w:rsidRPr="000040D4">
        <w:rPr>
          <w:sz w:val="24"/>
          <w:szCs w:val="24"/>
        </w:rPr>
        <w:t>. 4th ed. London: Learning Matters.</w:t>
      </w:r>
    </w:p>
    <w:p w14:paraId="30FCED39" w14:textId="77777777" w:rsidR="000040D4" w:rsidRPr="000040D4" w:rsidRDefault="000040D4" w:rsidP="000040D4">
      <w:pPr>
        <w:spacing w:line="360" w:lineRule="auto"/>
        <w:ind w:left="720" w:hanging="720"/>
        <w:jc w:val="both"/>
        <w:rPr>
          <w:sz w:val="24"/>
          <w:szCs w:val="24"/>
        </w:rPr>
      </w:pPr>
      <w:r w:rsidRPr="000040D4">
        <w:rPr>
          <w:sz w:val="24"/>
          <w:szCs w:val="24"/>
        </w:rPr>
        <w:t xml:space="preserve">Laming, H. (2003) </w:t>
      </w:r>
      <w:r w:rsidRPr="000040D4">
        <w:rPr>
          <w:rFonts w:eastAsiaTheme="majorEastAsia"/>
          <w:sz w:val="24"/>
          <w:szCs w:val="24"/>
        </w:rPr>
        <w:t>The Victoria Climbié Inquiry: Report of an Inquiry by Lord Laming</w:t>
      </w:r>
      <w:r w:rsidRPr="000040D4">
        <w:rPr>
          <w:sz w:val="24"/>
          <w:szCs w:val="24"/>
        </w:rPr>
        <w:t>. London: The Stationery Office.</w:t>
      </w:r>
    </w:p>
    <w:p w14:paraId="72256890" w14:textId="77777777" w:rsidR="000040D4" w:rsidRPr="000040D4" w:rsidRDefault="000040D4" w:rsidP="000040D4">
      <w:pPr>
        <w:spacing w:line="360" w:lineRule="auto"/>
        <w:ind w:left="720" w:hanging="720"/>
        <w:jc w:val="both"/>
        <w:rPr>
          <w:sz w:val="24"/>
          <w:szCs w:val="24"/>
        </w:rPr>
      </w:pPr>
      <w:r w:rsidRPr="000040D4">
        <w:rPr>
          <w:sz w:val="24"/>
          <w:szCs w:val="24"/>
        </w:rPr>
        <w:t xml:space="preserve">Lefevre, M., Hickle, K. and </w:t>
      </w:r>
      <w:proofErr w:type="spellStart"/>
      <w:r w:rsidRPr="000040D4">
        <w:rPr>
          <w:sz w:val="24"/>
          <w:szCs w:val="24"/>
        </w:rPr>
        <w:t>Luckock</w:t>
      </w:r>
      <w:proofErr w:type="spellEnd"/>
      <w:r w:rsidRPr="000040D4">
        <w:rPr>
          <w:sz w:val="24"/>
          <w:szCs w:val="24"/>
        </w:rPr>
        <w:t xml:space="preserve">, B. (2023) Communicating and Engaging with Children and Young People: Making a Difference. 3rd </w:t>
      </w:r>
      <w:proofErr w:type="spellStart"/>
      <w:r w:rsidRPr="000040D4">
        <w:rPr>
          <w:sz w:val="24"/>
          <w:szCs w:val="24"/>
        </w:rPr>
        <w:t>edn</w:t>
      </w:r>
      <w:proofErr w:type="spellEnd"/>
      <w:r w:rsidRPr="000040D4">
        <w:rPr>
          <w:sz w:val="24"/>
          <w:szCs w:val="24"/>
        </w:rPr>
        <w:t>. Bristol: Policy Press.</w:t>
      </w:r>
    </w:p>
    <w:p w14:paraId="202959BF" w14:textId="77777777" w:rsidR="000040D4" w:rsidRPr="000040D4" w:rsidRDefault="000040D4" w:rsidP="000040D4">
      <w:pPr>
        <w:spacing w:line="360" w:lineRule="auto"/>
        <w:ind w:left="720" w:hanging="720"/>
        <w:jc w:val="both"/>
        <w:rPr>
          <w:sz w:val="24"/>
          <w:szCs w:val="24"/>
        </w:rPr>
      </w:pPr>
      <w:r w:rsidRPr="000040D4">
        <w:rPr>
          <w:sz w:val="24"/>
          <w:szCs w:val="24"/>
        </w:rPr>
        <w:t>Maslow, A.H. (1943) ‘A theory of human motivation’, Psychological Review, 50(4), pp. 370-396.</w:t>
      </w:r>
    </w:p>
    <w:p w14:paraId="6D64AA8F" w14:textId="77777777" w:rsidR="000040D4" w:rsidRPr="000040D4" w:rsidRDefault="000040D4" w:rsidP="000040D4">
      <w:pPr>
        <w:spacing w:line="360" w:lineRule="auto"/>
        <w:ind w:left="720" w:hanging="720"/>
        <w:jc w:val="both"/>
        <w:rPr>
          <w:sz w:val="24"/>
          <w:szCs w:val="24"/>
        </w:rPr>
      </w:pPr>
      <w:r w:rsidRPr="000040D4">
        <w:rPr>
          <w:sz w:val="24"/>
          <w:szCs w:val="24"/>
        </w:rPr>
        <w:t xml:space="preserve">McCormack, B. and McCance, T. (2021) </w:t>
      </w:r>
      <w:r w:rsidRPr="000040D4">
        <w:rPr>
          <w:rFonts w:eastAsiaTheme="majorEastAsia"/>
          <w:sz w:val="24"/>
          <w:szCs w:val="24"/>
        </w:rPr>
        <w:t>Person-Centred Practice in Nursing and Health Care: Theory and Practice</w:t>
      </w:r>
      <w:r w:rsidRPr="000040D4">
        <w:rPr>
          <w:sz w:val="24"/>
          <w:szCs w:val="24"/>
        </w:rPr>
        <w:t xml:space="preserve">. 3rd </w:t>
      </w:r>
      <w:proofErr w:type="spellStart"/>
      <w:r w:rsidRPr="000040D4">
        <w:rPr>
          <w:sz w:val="24"/>
          <w:szCs w:val="24"/>
        </w:rPr>
        <w:t>edn</w:t>
      </w:r>
      <w:proofErr w:type="spellEnd"/>
      <w:r w:rsidRPr="000040D4">
        <w:rPr>
          <w:sz w:val="24"/>
          <w:szCs w:val="24"/>
        </w:rPr>
        <w:t>. Chichester: Wiley-Blackwell.</w:t>
      </w:r>
    </w:p>
    <w:p w14:paraId="49F0164D" w14:textId="77777777" w:rsidR="000040D4" w:rsidRPr="000040D4" w:rsidRDefault="000040D4" w:rsidP="000040D4">
      <w:pPr>
        <w:spacing w:line="360" w:lineRule="auto"/>
        <w:ind w:left="720" w:hanging="720"/>
        <w:jc w:val="both"/>
        <w:rPr>
          <w:sz w:val="24"/>
          <w:szCs w:val="24"/>
        </w:rPr>
      </w:pPr>
      <w:r w:rsidRPr="000040D4">
        <w:rPr>
          <w:sz w:val="24"/>
          <w:szCs w:val="24"/>
        </w:rPr>
        <w:t xml:space="preserve">Miller, W.R. and Rollnick, S. (2023) </w:t>
      </w:r>
      <w:r w:rsidRPr="000040D4">
        <w:rPr>
          <w:rFonts w:eastAsiaTheme="majorEastAsia"/>
          <w:sz w:val="24"/>
          <w:szCs w:val="24"/>
        </w:rPr>
        <w:t>Motivational Interviewing: Helping People Change and Grow</w:t>
      </w:r>
      <w:r w:rsidRPr="000040D4">
        <w:rPr>
          <w:sz w:val="24"/>
          <w:szCs w:val="24"/>
        </w:rPr>
        <w:t xml:space="preserve">. 4th </w:t>
      </w:r>
      <w:proofErr w:type="spellStart"/>
      <w:r w:rsidRPr="000040D4">
        <w:rPr>
          <w:sz w:val="24"/>
          <w:szCs w:val="24"/>
        </w:rPr>
        <w:t>edn</w:t>
      </w:r>
      <w:proofErr w:type="spellEnd"/>
      <w:r w:rsidRPr="000040D4">
        <w:rPr>
          <w:sz w:val="24"/>
          <w:szCs w:val="24"/>
        </w:rPr>
        <w:t>. New York: Guilford Press.</w:t>
      </w:r>
    </w:p>
    <w:p w14:paraId="1A94669C" w14:textId="77777777" w:rsidR="000040D4" w:rsidRPr="000040D4" w:rsidRDefault="000040D4" w:rsidP="000040D4">
      <w:pPr>
        <w:spacing w:line="360" w:lineRule="auto"/>
        <w:ind w:left="720" w:hanging="720"/>
        <w:jc w:val="both"/>
        <w:rPr>
          <w:sz w:val="24"/>
          <w:szCs w:val="24"/>
        </w:rPr>
      </w:pPr>
      <w:r w:rsidRPr="000040D4">
        <w:rPr>
          <w:sz w:val="24"/>
          <w:szCs w:val="24"/>
        </w:rPr>
        <w:t xml:space="preserve">Milton, D. (2012) ‘On the ontological status of autism: The "double empathy problem"’, </w:t>
      </w:r>
      <w:r w:rsidRPr="000040D4">
        <w:rPr>
          <w:rFonts w:eastAsiaTheme="majorEastAsia"/>
          <w:sz w:val="24"/>
          <w:szCs w:val="24"/>
        </w:rPr>
        <w:t>Disability &amp; Society</w:t>
      </w:r>
      <w:r w:rsidRPr="000040D4">
        <w:rPr>
          <w:sz w:val="24"/>
          <w:szCs w:val="24"/>
        </w:rPr>
        <w:t>, 27(6), pp. 883-887.</w:t>
      </w:r>
    </w:p>
    <w:p w14:paraId="4A3131F5" w14:textId="77777777" w:rsidR="000040D4" w:rsidRPr="000040D4" w:rsidRDefault="000040D4" w:rsidP="000040D4">
      <w:pPr>
        <w:spacing w:line="360" w:lineRule="auto"/>
        <w:ind w:left="720" w:hanging="720"/>
        <w:jc w:val="both"/>
        <w:rPr>
          <w:sz w:val="24"/>
          <w:szCs w:val="24"/>
        </w:rPr>
      </w:pPr>
      <w:r w:rsidRPr="000040D4">
        <w:rPr>
          <w:sz w:val="24"/>
          <w:szCs w:val="24"/>
        </w:rPr>
        <w:t xml:space="preserve">National Autistic Society (2024) </w:t>
      </w:r>
      <w:r w:rsidRPr="000040D4">
        <w:rPr>
          <w:rFonts w:eastAsiaTheme="majorEastAsia"/>
          <w:sz w:val="24"/>
          <w:szCs w:val="24"/>
        </w:rPr>
        <w:t>Sensory differences</w:t>
      </w:r>
      <w:r w:rsidRPr="000040D4">
        <w:rPr>
          <w:sz w:val="24"/>
          <w:szCs w:val="24"/>
        </w:rPr>
        <w:t xml:space="preserve">. Available at: https://www.autism.org.uk </w:t>
      </w:r>
    </w:p>
    <w:p w14:paraId="5C566230" w14:textId="77777777" w:rsidR="000040D4" w:rsidRPr="000040D4" w:rsidRDefault="000040D4" w:rsidP="000040D4">
      <w:pPr>
        <w:spacing w:line="360" w:lineRule="auto"/>
        <w:ind w:left="720" w:hanging="720"/>
        <w:jc w:val="both"/>
        <w:rPr>
          <w:sz w:val="24"/>
          <w:szCs w:val="24"/>
        </w:rPr>
      </w:pPr>
      <w:r w:rsidRPr="000040D4">
        <w:rPr>
          <w:sz w:val="24"/>
          <w:szCs w:val="24"/>
        </w:rPr>
        <w:t>National Institute for Health and Care Excellence (NICE) (2016) Coexisting Severe Mental Illness and Substance Misuse: Community Health and Social Care Services (NG58). London: NICE.</w:t>
      </w:r>
    </w:p>
    <w:p w14:paraId="7901B1A3" w14:textId="77777777" w:rsidR="000040D4" w:rsidRPr="000040D4" w:rsidRDefault="000040D4" w:rsidP="000040D4">
      <w:pPr>
        <w:spacing w:line="360" w:lineRule="auto"/>
        <w:ind w:left="720" w:hanging="720"/>
        <w:jc w:val="both"/>
        <w:rPr>
          <w:sz w:val="24"/>
          <w:szCs w:val="24"/>
        </w:rPr>
      </w:pPr>
      <w:r w:rsidRPr="000040D4">
        <w:rPr>
          <w:sz w:val="24"/>
          <w:szCs w:val="24"/>
        </w:rPr>
        <w:t xml:space="preserve">NICE (2021) </w:t>
      </w:r>
      <w:proofErr w:type="gramStart"/>
      <w:r w:rsidRPr="000040D4">
        <w:rPr>
          <w:rFonts w:eastAsiaTheme="majorEastAsia"/>
          <w:sz w:val="24"/>
          <w:szCs w:val="24"/>
        </w:rPr>
        <w:t>Autism spectrum disorder</w:t>
      </w:r>
      <w:proofErr w:type="gramEnd"/>
      <w:r w:rsidRPr="000040D4">
        <w:rPr>
          <w:rFonts w:eastAsiaTheme="majorEastAsia"/>
          <w:sz w:val="24"/>
          <w:szCs w:val="24"/>
        </w:rPr>
        <w:t xml:space="preserve"> in adults: diagnosis and management (CG142)</w:t>
      </w:r>
      <w:r w:rsidRPr="000040D4">
        <w:rPr>
          <w:sz w:val="24"/>
          <w:szCs w:val="24"/>
        </w:rPr>
        <w:t xml:space="preserve">. London: National Institute for Health and Care Excellence. Available at: https://www.nice.org.uk/guidance/cg142 </w:t>
      </w:r>
    </w:p>
    <w:p w14:paraId="5108B120" w14:textId="77777777" w:rsidR="000040D4" w:rsidRPr="000040D4" w:rsidRDefault="000040D4" w:rsidP="000040D4">
      <w:pPr>
        <w:spacing w:line="360" w:lineRule="auto"/>
        <w:ind w:left="720" w:hanging="720"/>
        <w:jc w:val="both"/>
        <w:rPr>
          <w:sz w:val="24"/>
          <w:szCs w:val="24"/>
        </w:rPr>
      </w:pPr>
      <w:r w:rsidRPr="000040D4">
        <w:rPr>
          <w:sz w:val="24"/>
          <w:szCs w:val="24"/>
        </w:rPr>
        <w:lastRenderedPageBreak/>
        <w:t xml:space="preserve">Parker, G. &amp; Clarke, H. (2002) </w:t>
      </w:r>
      <w:r w:rsidRPr="000040D4">
        <w:rPr>
          <w:rFonts w:eastAsiaTheme="majorEastAsia"/>
          <w:sz w:val="24"/>
          <w:szCs w:val="24"/>
        </w:rPr>
        <w:t>Making the Ends Meet: Do Carers and Disabled People Have a Common Agenda?</w:t>
      </w:r>
      <w:r w:rsidRPr="000040D4">
        <w:rPr>
          <w:sz w:val="24"/>
          <w:szCs w:val="24"/>
        </w:rPr>
        <w:t xml:space="preserve"> Bristol: Policy Press.</w:t>
      </w:r>
    </w:p>
    <w:p w14:paraId="557FFCA7" w14:textId="77777777" w:rsidR="000040D4" w:rsidRPr="000040D4" w:rsidRDefault="000040D4" w:rsidP="000040D4">
      <w:pPr>
        <w:spacing w:line="360" w:lineRule="auto"/>
        <w:ind w:left="720" w:hanging="720"/>
        <w:jc w:val="both"/>
        <w:rPr>
          <w:sz w:val="24"/>
          <w:szCs w:val="24"/>
        </w:rPr>
      </w:pPr>
      <w:r w:rsidRPr="000040D4">
        <w:rPr>
          <w:sz w:val="24"/>
          <w:szCs w:val="24"/>
        </w:rPr>
        <w:t xml:space="preserve">Paul, M., Street, C., Wheeler, N. &amp; Singh, S.P. (2015) </w:t>
      </w:r>
      <w:r w:rsidRPr="000040D4">
        <w:rPr>
          <w:rFonts w:eastAsiaTheme="majorEastAsia"/>
          <w:sz w:val="24"/>
          <w:szCs w:val="24"/>
        </w:rPr>
        <w:t>Transition to Adult Services for Young People with Mental Health Needs</w:t>
      </w:r>
      <w:r w:rsidRPr="000040D4">
        <w:rPr>
          <w:sz w:val="24"/>
          <w:szCs w:val="24"/>
        </w:rPr>
        <w:t>. London: Social Care Institute for Excellence.</w:t>
      </w:r>
    </w:p>
    <w:p w14:paraId="2A0C7F51" w14:textId="77777777" w:rsidR="000040D4" w:rsidRPr="000040D4" w:rsidRDefault="000040D4" w:rsidP="000040D4">
      <w:pPr>
        <w:spacing w:line="360" w:lineRule="auto"/>
        <w:ind w:left="720" w:hanging="720"/>
        <w:jc w:val="both"/>
        <w:rPr>
          <w:sz w:val="24"/>
          <w:szCs w:val="24"/>
        </w:rPr>
      </w:pPr>
      <w:r w:rsidRPr="000040D4">
        <w:rPr>
          <w:sz w:val="24"/>
          <w:szCs w:val="24"/>
        </w:rPr>
        <w:t xml:space="preserve">Preston-Shoot, M. (2020) </w:t>
      </w:r>
      <w:r w:rsidRPr="000040D4">
        <w:rPr>
          <w:rFonts w:eastAsiaTheme="majorEastAsia"/>
          <w:sz w:val="24"/>
          <w:szCs w:val="24"/>
        </w:rPr>
        <w:t>Making Good Decisions: Law for Social Work Practice</w:t>
      </w:r>
      <w:r w:rsidRPr="000040D4">
        <w:rPr>
          <w:sz w:val="24"/>
          <w:szCs w:val="24"/>
        </w:rPr>
        <w:t>. 2nd ed. London: Red Globe Press.</w:t>
      </w:r>
    </w:p>
    <w:p w14:paraId="3C7D0870" w14:textId="77777777" w:rsidR="000040D4" w:rsidRPr="000040D4" w:rsidRDefault="000040D4" w:rsidP="000040D4">
      <w:pPr>
        <w:spacing w:line="360" w:lineRule="auto"/>
        <w:ind w:left="720" w:hanging="720"/>
        <w:jc w:val="both"/>
        <w:rPr>
          <w:sz w:val="24"/>
          <w:szCs w:val="24"/>
        </w:rPr>
      </w:pPr>
      <w:r w:rsidRPr="000040D4">
        <w:rPr>
          <w:sz w:val="24"/>
          <w:szCs w:val="24"/>
        </w:rPr>
        <w:t xml:space="preserve">Rapp, C.A. &amp; Goscha, R.J. (2012) </w:t>
      </w:r>
      <w:r w:rsidRPr="000040D4">
        <w:rPr>
          <w:rFonts w:eastAsiaTheme="majorEastAsia"/>
          <w:sz w:val="24"/>
          <w:szCs w:val="24"/>
        </w:rPr>
        <w:t>The Strengths Model: A Recovery-Oriented Approach to Mental Health Services</w:t>
      </w:r>
      <w:r w:rsidRPr="000040D4">
        <w:rPr>
          <w:sz w:val="24"/>
          <w:szCs w:val="24"/>
        </w:rPr>
        <w:t>. 3rd ed. Oxford: Oxford University Press.</w:t>
      </w:r>
    </w:p>
    <w:p w14:paraId="23B98B81" w14:textId="77777777" w:rsidR="000040D4" w:rsidRPr="000040D4" w:rsidRDefault="000040D4" w:rsidP="000040D4">
      <w:pPr>
        <w:spacing w:line="360" w:lineRule="auto"/>
        <w:ind w:left="720" w:hanging="720"/>
        <w:jc w:val="both"/>
        <w:rPr>
          <w:sz w:val="24"/>
          <w:szCs w:val="24"/>
        </w:rPr>
      </w:pPr>
      <w:r w:rsidRPr="000040D4">
        <w:rPr>
          <w:sz w:val="24"/>
          <w:szCs w:val="24"/>
        </w:rPr>
        <w:t xml:space="preserve">Reeves, S., </w:t>
      </w:r>
      <w:proofErr w:type="spellStart"/>
      <w:r w:rsidRPr="000040D4">
        <w:rPr>
          <w:sz w:val="24"/>
          <w:szCs w:val="24"/>
        </w:rPr>
        <w:t>Pelone</w:t>
      </w:r>
      <w:proofErr w:type="spellEnd"/>
      <w:r w:rsidRPr="000040D4">
        <w:rPr>
          <w:sz w:val="24"/>
          <w:szCs w:val="24"/>
        </w:rPr>
        <w:t xml:space="preserve">, F., Harrison, R., Goldman, J. &amp; </w:t>
      </w:r>
      <w:proofErr w:type="spellStart"/>
      <w:r w:rsidRPr="000040D4">
        <w:rPr>
          <w:sz w:val="24"/>
          <w:szCs w:val="24"/>
        </w:rPr>
        <w:t>Zwarenstein</w:t>
      </w:r>
      <w:proofErr w:type="spellEnd"/>
      <w:r w:rsidRPr="000040D4">
        <w:rPr>
          <w:sz w:val="24"/>
          <w:szCs w:val="24"/>
        </w:rPr>
        <w:t xml:space="preserve">, M. (2018) ‘Interprofessional Collaboration to Improve Professional Practice and Healthcare Outcomes’, </w:t>
      </w:r>
      <w:r w:rsidRPr="000040D4">
        <w:rPr>
          <w:rFonts w:eastAsiaTheme="majorEastAsia"/>
          <w:sz w:val="24"/>
          <w:szCs w:val="24"/>
        </w:rPr>
        <w:t>Cochrane Database of Systematic Reviews</w:t>
      </w:r>
      <w:r w:rsidRPr="000040D4">
        <w:rPr>
          <w:sz w:val="24"/>
          <w:szCs w:val="24"/>
        </w:rPr>
        <w:t>, 6.</w:t>
      </w:r>
    </w:p>
    <w:p w14:paraId="20298D09" w14:textId="77777777" w:rsidR="000040D4" w:rsidRPr="000040D4" w:rsidRDefault="000040D4" w:rsidP="000040D4">
      <w:pPr>
        <w:spacing w:line="360" w:lineRule="auto"/>
        <w:ind w:left="720" w:hanging="720"/>
        <w:jc w:val="both"/>
        <w:rPr>
          <w:sz w:val="24"/>
          <w:szCs w:val="24"/>
        </w:rPr>
      </w:pPr>
      <w:r w:rsidRPr="000040D4">
        <w:rPr>
          <w:sz w:val="24"/>
          <w:szCs w:val="24"/>
        </w:rPr>
        <w:t xml:space="preserve">Rogers, C.R. (1957) ‘The necessary and sufficient conditions of therapeutic personality change’, </w:t>
      </w:r>
      <w:r w:rsidRPr="000040D4">
        <w:rPr>
          <w:rFonts w:eastAsiaTheme="majorEastAsia"/>
          <w:sz w:val="24"/>
          <w:szCs w:val="24"/>
        </w:rPr>
        <w:t>Journal of Consulting Psychology</w:t>
      </w:r>
      <w:r w:rsidRPr="000040D4">
        <w:rPr>
          <w:sz w:val="24"/>
          <w:szCs w:val="24"/>
        </w:rPr>
        <w:t>, 21(2), pp. 95-103.</w:t>
      </w:r>
    </w:p>
    <w:p w14:paraId="75145C72" w14:textId="77777777" w:rsidR="000040D4" w:rsidRPr="000040D4" w:rsidRDefault="000040D4" w:rsidP="000040D4">
      <w:pPr>
        <w:spacing w:line="360" w:lineRule="auto"/>
        <w:ind w:left="720" w:hanging="720"/>
        <w:jc w:val="both"/>
        <w:rPr>
          <w:sz w:val="24"/>
          <w:szCs w:val="24"/>
        </w:rPr>
      </w:pPr>
      <w:r w:rsidRPr="000040D4">
        <w:rPr>
          <w:sz w:val="24"/>
          <w:szCs w:val="24"/>
        </w:rPr>
        <w:t xml:space="preserve">Ruch, G., Turney, D. and Ward, A. (2018) Relationship-Based Social Work: Getting to the Heart of Practice. 2nd </w:t>
      </w:r>
      <w:proofErr w:type="spellStart"/>
      <w:r w:rsidRPr="000040D4">
        <w:rPr>
          <w:sz w:val="24"/>
          <w:szCs w:val="24"/>
        </w:rPr>
        <w:t>edn</w:t>
      </w:r>
      <w:proofErr w:type="spellEnd"/>
      <w:r w:rsidRPr="000040D4">
        <w:rPr>
          <w:sz w:val="24"/>
          <w:szCs w:val="24"/>
        </w:rPr>
        <w:t>. London: Jessica Kingsley Publishers.</w:t>
      </w:r>
    </w:p>
    <w:p w14:paraId="292B7AE0" w14:textId="77777777" w:rsidR="000040D4" w:rsidRPr="000040D4" w:rsidRDefault="000040D4" w:rsidP="000040D4">
      <w:pPr>
        <w:spacing w:line="360" w:lineRule="auto"/>
        <w:ind w:left="720" w:hanging="720"/>
        <w:jc w:val="both"/>
        <w:rPr>
          <w:sz w:val="24"/>
          <w:szCs w:val="24"/>
        </w:rPr>
      </w:pPr>
      <w:proofErr w:type="spellStart"/>
      <w:r w:rsidRPr="000040D4">
        <w:rPr>
          <w:sz w:val="24"/>
          <w:szCs w:val="24"/>
        </w:rPr>
        <w:t>Saleebey</w:t>
      </w:r>
      <w:proofErr w:type="spellEnd"/>
      <w:r w:rsidRPr="000040D4">
        <w:rPr>
          <w:sz w:val="24"/>
          <w:szCs w:val="24"/>
        </w:rPr>
        <w:t xml:space="preserve">, D. (2013) </w:t>
      </w:r>
      <w:r w:rsidRPr="000040D4">
        <w:rPr>
          <w:rFonts w:eastAsiaTheme="majorEastAsia"/>
          <w:sz w:val="24"/>
          <w:szCs w:val="24"/>
        </w:rPr>
        <w:t>The Strengths Perspective in Social Work Practice</w:t>
      </w:r>
      <w:r w:rsidRPr="000040D4">
        <w:rPr>
          <w:sz w:val="24"/>
          <w:szCs w:val="24"/>
        </w:rPr>
        <w:t>. 6th ed. Boston: Pearson.</w:t>
      </w:r>
    </w:p>
    <w:p w14:paraId="0415A7CA" w14:textId="77777777" w:rsidR="000040D4" w:rsidRPr="000040D4" w:rsidRDefault="000040D4" w:rsidP="000040D4">
      <w:pPr>
        <w:spacing w:line="360" w:lineRule="auto"/>
        <w:ind w:left="720" w:hanging="720"/>
        <w:jc w:val="both"/>
        <w:rPr>
          <w:sz w:val="24"/>
          <w:szCs w:val="24"/>
        </w:rPr>
      </w:pPr>
      <w:r w:rsidRPr="000040D4">
        <w:rPr>
          <w:sz w:val="24"/>
          <w:szCs w:val="24"/>
        </w:rPr>
        <w:t xml:space="preserve">Schön, D.A. (1983) </w:t>
      </w:r>
      <w:r w:rsidRPr="000040D4">
        <w:rPr>
          <w:rFonts w:eastAsiaTheme="majorEastAsia"/>
          <w:sz w:val="24"/>
          <w:szCs w:val="24"/>
        </w:rPr>
        <w:t>The Reflective Practitioner</w:t>
      </w:r>
      <w:r w:rsidRPr="000040D4">
        <w:rPr>
          <w:sz w:val="24"/>
          <w:szCs w:val="24"/>
        </w:rPr>
        <w:t>. New York: Basic Books.</w:t>
      </w:r>
    </w:p>
    <w:p w14:paraId="4DD29DA4" w14:textId="77777777" w:rsidR="000040D4" w:rsidRPr="000040D4" w:rsidRDefault="000040D4" w:rsidP="000040D4">
      <w:pPr>
        <w:spacing w:line="360" w:lineRule="auto"/>
        <w:ind w:left="720" w:hanging="720"/>
        <w:jc w:val="both"/>
        <w:rPr>
          <w:sz w:val="24"/>
          <w:szCs w:val="24"/>
        </w:rPr>
      </w:pPr>
      <w:r w:rsidRPr="000040D4">
        <w:rPr>
          <w:sz w:val="24"/>
          <w:szCs w:val="24"/>
        </w:rPr>
        <w:t xml:space="preserve">Singh, S.P., Paul, M., Ford, T., Kramer, T., Weaver, T., McLaren, S. and </w:t>
      </w:r>
      <w:proofErr w:type="spellStart"/>
      <w:r w:rsidRPr="000040D4">
        <w:rPr>
          <w:sz w:val="24"/>
          <w:szCs w:val="24"/>
        </w:rPr>
        <w:t>Hovish</w:t>
      </w:r>
      <w:proofErr w:type="spellEnd"/>
      <w:r w:rsidRPr="000040D4">
        <w:rPr>
          <w:sz w:val="24"/>
          <w:szCs w:val="24"/>
        </w:rPr>
        <w:t xml:space="preserve">, K. (2010) ‘Process, outcome and experience of transition from child to adult mental healthcare’, </w:t>
      </w:r>
      <w:r w:rsidRPr="000040D4">
        <w:rPr>
          <w:rFonts w:eastAsiaTheme="majorEastAsia"/>
          <w:sz w:val="24"/>
          <w:szCs w:val="24"/>
        </w:rPr>
        <w:t>British Journal of Psychiatry</w:t>
      </w:r>
      <w:r w:rsidRPr="000040D4">
        <w:rPr>
          <w:sz w:val="24"/>
          <w:szCs w:val="24"/>
        </w:rPr>
        <w:t>, 197(4), pp. 305-312.</w:t>
      </w:r>
    </w:p>
    <w:p w14:paraId="23F66B54" w14:textId="77777777" w:rsidR="000040D4" w:rsidRPr="000040D4" w:rsidRDefault="000040D4" w:rsidP="000040D4">
      <w:pPr>
        <w:spacing w:line="360" w:lineRule="auto"/>
        <w:ind w:left="720" w:hanging="720"/>
        <w:jc w:val="both"/>
        <w:rPr>
          <w:sz w:val="24"/>
          <w:szCs w:val="24"/>
        </w:rPr>
      </w:pPr>
      <w:r w:rsidRPr="000040D4">
        <w:rPr>
          <w:sz w:val="24"/>
          <w:szCs w:val="24"/>
        </w:rPr>
        <w:t xml:space="preserve">Slade, M. (2009) </w:t>
      </w:r>
      <w:r w:rsidRPr="000040D4">
        <w:rPr>
          <w:rFonts w:eastAsiaTheme="majorEastAsia"/>
          <w:sz w:val="24"/>
          <w:szCs w:val="24"/>
        </w:rPr>
        <w:t>Personal Recovery and Mental Illness</w:t>
      </w:r>
      <w:r w:rsidRPr="000040D4">
        <w:rPr>
          <w:sz w:val="24"/>
          <w:szCs w:val="24"/>
        </w:rPr>
        <w:t>. Cambridge: Cambridge University Press.</w:t>
      </w:r>
    </w:p>
    <w:p w14:paraId="3F804BAF" w14:textId="77777777" w:rsidR="000040D4" w:rsidRPr="000040D4" w:rsidRDefault="000040D4" w:rsidP="000040D4">
      <w:pPr>
        <w:spacing w:line="360" w:lineRule="auto"/>
        <w:ind w:left="720" w:hanging="720"/>
        <w:jc w:val="both"/>
        <w:rPr>
          <w:sz w:val="24"/>
          <w:szCs w:val="24"/>
        </w:rPr>
      </w:pPr>
      <w:r w:rsidRPr="000040D4">
        <w:rPr>
          <w:sz w:val="24"/>
          <w:szCs w:val="24"/>
        </w:rPr>
        <w:t xml:space="preserve">Social Care Institute for Excellence (2017). MCA: Assessing capacity | SCIE. [online] Social Care Institute for Excellence (SCIE). Available at: </w:t>
      </w:r>
      <w:hyperlink r:id="rId19" w:history="1">
        <w:r w:rsidRPr="000040D4">
          <w:rPr>
            <w:rStyle w:val="Hyperlink"/>
            <w:color w:val="auto"/>
            <w:sz w:val="24"/>
            <w:szCs w:val="24"/>
            <w:u w:val="none"/>
          </w:rPr>
          <w:t>https://www.scie.org.uk/mca/practice/assessing-capacity/</w:t>
        </w:r>
      </w:hyperlink>
    </w:p>
    <w:p w14:paraId="37E44E11" w14:textId="77777777" w:rsidR="000040D4" w:rsidRPr="000040D4" w:rsidRDefault="000040D4" w:rsidP="000040D4">
      <w:pPr>
        <w:spacing w:line="360" w:lineRule="auto"/>
        <w:ind w:left="720" w:hanging="720"/>
        <w:jc w:val="both"/>
        <w:rPr>
          <w:sz w:val="24"/>
          <w:szCs w:val="24"/>
        </w:rPr>
      </w:pPr>
      <w:r w:rsidRPr="000040D4">
        <w:rPr>
          <w:sz w:val="24"/>
          <w:szCs w:val="24"/>
        </w:rPr>
        <w:t>Social Care Institute for Excellence (2022). Deprivation of Liberty Safeguards (</w:t>
      </w:r>
      <w:proofErr w:type="spellStart"/>
      <w:r w:rsidRPr="000040D4">
        <w:rPr>
          <w:sz w:val="24"/>
          <w:szCs w:val="24"/>
        </w:rPr>
        <w:t>DoLS</w:t>
      </w:r>
      <w:proofErr w:type="spellEnd"/>
      <w:r w:rsidRPr="000040D4">
        <w:rPr>
          <w:sz w:val="24"/>
          <w:szCs w:val="24"/>
        </w:rPr>
        <w:t xml:space="preserve">) </w:t>
      </w:r>
      <w:proofErr w:type="gramStart"/>
      <w:r w:rsidRPr="000040D4">
        <w:rPr>
          <w:sz w:val="24"/>
          <w:szCs w:val="24"/>
        </w:rPr>
        <w:t>at a glance</w:t>
      </w:r>
      <w:proofErr w:type="gramEnd"/>
      <w:r w:rsidRPr="000040D4">
        <w:rPr>
          <w:sz w:val="24"/>
          <w:szCs w:val="24"/>
        </w:rPr>
        <w:t xml:space="preserve">. [online] SCIE. Available at: </w:t>
      </w:r>
      <w:hyperlink r:id="rId20" w:history="1">
        <w:r w:rsidRPr="000040D4">
          <w:rPr>
            <w:rStyle w:val="Hyperlink"/>
            <w:color w:val="auto"/>
            <w:sz w:val="24"/>
            <w:szCs w:val="24"/>
            <w:u w:val="none"/>
          </w:rPr>
          <w:t>https://www.scie.org.uk/mca/dols/at-a-glance/</w:t>
        </w:r>
      </w:hyperlink>
      <w:r w:rsidRPr="000040D4">
        <w:rPr>
          <w:color w:val="auto"/>
          <w:sz w:val="24"/>
          <w:szCs w:val="24"/>
        </w:rPr>
        <w:t> </w:t>
      </w:r>
    </w:p>
    <w:p w14:paraId="4C93C5AE" w14:textId="77777777" w:rsidR="000040D4" w:rsidRPr="000040D4" w:rsidRDefault="000040D4" w:rsidP="000040D4">
      <w:pPr>
        <w:spacing w:line="360" w:lineRule="auto"/>
        <w:ind w:left="720" w:hanging="720"/>
        <w:jc w:val="both"/>
        <w:rPr>
          <w:sz w:val="24"/>
          <w:szCs w:val="24"/>
        </w:rPr>
      </w:pPr>
      <w:r w:rsidRPr="000040D4">
        <w:rPr>
          <w:sz w:val="24"/>
          <w:szCs w:val="24"/>
        </w:rPr>
        <w:t xml:space="preserve">Social Care Wales (2025) </w:t>
      </w:r>
      <w:r w:rsidRPr="000040D4">
        <w:rPr>
          <w:rFonts w:eastAsiaTheme="majorEastAsia"/>
          <w:sz w:val="24"/>
          <w:szCs w:val="24"/>
        </w:rPr>
        <w:t>Overview of the Social Services and Well-being (Wales) Act 2014</w:t>
      </w:r>
      <w:r w:rsidRPr="000040D4">
        <w:rPr>
          <w:sz w:val="24"/>
          <w:szCs w:val="24"/>
        </w:rPr>
        <w:t xml:space="preserve">. Available at: https://socialcare.wales/resources-guidance/information-and-learning-hub/sswbact/overview </w:t>
      </w:r>
    </w:p>
    <w:p w14:paraId="5C138671" w14:textId="77777777" w:rsidR="000040D4" w:rsidRPr="000040D4" w:rsidRDefault="000040D4" w:rsidP="000040D4">
      <w:pPr>
        <w:spacing w:line="360" w:lineRule="auto"/>
        <w:ind w:left="720" w:hanging="720"/>
        <w:jc w:val="both"/>
        <w:rPr>
          <w:sz w:val="24"/>
          <w:szCs w:val="24"/>
        </w:rPr>
      </w:pPr>
      <w:r w:rsidRPr="000040D4">
        <w:rPr>
          <w:sz w:val="24"/>
          <w:szCs w:val="24"/>
        </w:rPr>
        <w:lastRenderedPageBreak/>
        <w:t xml:space="preserve">Taylor, S.E. (2020) </w:t>
      </w:r>
      <w:r w:rsidRPr="000040D4">
        <w:rPr>
          <w:rFonts w:eastAsiaTheme="majorEastAsia"/>
          <w:sz w:val="24"/>
          <w:szCs w:val="24"/>
        </w:rPr>
        <w:t>Health Psychology</w:t>
      </w:r>
      <w:r w:rsidRPr="000040D4">
        <w:rPr>
          <w:sz w:val="24"/>
          <w:szCs w:val="24"/>
        </w:rPr>
        <w:t xml:space="preserve">. 11th </w:t>
      </w:r>
      <w:proofErr w:type="spellStart"/>
      <w:r w:rsidRPr="000040D4">
        <w:rPr>
          <w:sz w:val="24"/>
          <w:szCs w:val="24"/>
        </w:rPr>
        <w:t>edn</w:t>
      </w:r>
      <w:proofErr w:type="spellEnd"/>
      <w:r w:rsidRPr="000040D4">
        <w:rPr>
          <w:sz w:val="24"/>
          <w:szCs w:val="24"/>
        </w:rPr>
        <w:t>. New York: McGraw-Hill.</w:t>
      </w:r>
    </w:p>
    <w:p w14:paraId="74197BE8" w14:textId="77777777" w:rsidR="000040D4" w:rsidRPr="000040D4" w:rsidRDefault="000040D4" w:rsidP="000040D4">
      <w:pPr>
        <w:spacing w:line="360" w:lineRule="auto"/>
        <w:ind w:left="720" w:hanging="720"/>
        <w:jc w:val="both"/>
        <w:rPr>
          <w:sz w:val="24"/>
          <w:szCs w:val="24"/>
        </w:rPr>
      </w:pPr>
      <w:r w:rsidRPr="000040D4">
        <w:rPr>
          <w:sz w:val="24"/>
          <w:szCs w:val="24"/>
        </w:rPr>
        <w:t xml:space="preserve">Thompson, N. (2016) </w:t>
      </w:r>
      <w:r w:rsidRPr="000040D4">
        <w:rPr>
          <w:rFonts w:eastAsiaTheme="majorEastAsia"/>
          <w:sz w:val="24"/>
          <w:szCs w:val="24"/>
        </w:rPr>
        <w:t>Anti-Discriminatory Practice</w:t>
      </w:r>
      <w:r w:rsidRPr="000040D4">
        <w:rPr>
          <w:sz w:val="24"/>
          <w:szCs w:val="24"/>
        </w:rPr>
        <w:t>. 6th ed. London: Palgrave Macmillan.</w:t>
      </w:r>
    </w:p>
    <w:p w14:paraId="10B371D7" w14:textId="77777777" w:rsidR="000040D4" w:rsidRPr="000040D4" w:rsidRDefault="000040D4" w:rsidP="000040D4">
      <w:pPr>
        <w:spacing w:line="360" w:lineRule="auto"/>
        <w:ind w:left="720" w:hanging="720"/>
        <w:jc w:val="both"/>
        <w:rPr>
          <w:sz w:val="24"/>
          <w:szCs w:val="24"/>
        </w:rPr>
      </w:pPr>
      <w:r w:rsidRPr="000040D4">
        <w:rPr>
          <w:sz w:val="24"/>
          <w:szCs w:val="24"/>
        </w:rPr>
        <w:t xml:space="preserve">Thompson, N. (2020) </w:t>
      </w:r>
      <w:r w:rsidRPr="000040D4">
        <w:rPr>
          <w:rFonts w:eastAsiaTheme="majorEastAsia"/>
          <w:sz w:val="24"/>
          <w:szCs w:val="24"/>
        </w:rPr>
        <w:t>Understanding Social Work: Preparing for Practice</w:t>
      </w:r>
      <w:r w:rsidRPr="000040D4">
        <w:rPr>
          <w:sz w:val="24"/>
          <w:szCs w:val="24"/>
        </w:rPr>
        <w:t>. 5th ed. London: Palgrave Macmillan.</w:t>
      </w:r>
    </w:p>
    <w:p w14:paraId="4F22F0A3" w14:textId="77777777" w:rsidR="000040D4" w:rsidRPr="000040D4" w:rsidRDefault="000040D4" w:rsidP="000040D4">
      <w:pPr>
        <w:spacing w:line="360" w:lineRule="auto"/>
        <w:ind w:left="720" w:hanging="720"/>
        <w:jc w:val="both"/>
        <w:rPr>
          <w:sz w:val="24"/>
          <w:szCs w:val="24"/>
        </w:rPr>
      </w:pPr>
      <w:r w:rsidRPr="000040D4">
        <w:rPr>
          <w:sz w:val="24"/>
          <w:szCs w:val="24"/>
        </w:rPr>
        <w:t xml:space="preserve">Titterton, M. (2005) </w:t>
      </w:r>
      <w:r w:rsidRPr="000040D4">
        <w:rPr>
          <w:rFonts w:eastAsiaTheme="majorEastAsia"/>
          <w:sz w:val="24"/>
          <w:szCs w:val="24"/>
        </w:rPr>
        <w:t>Risk and Risk Taking in Health and Social Welfare</w:t>
      </w:r>
      <w:r w:rsidRPr="000040D4">
        <w:rPr>
          <w:sz w:val="24"/>
          <w:szCs w:val="24"/>
        </w:rPr>
        <w:t>. London: Jessica Kingsley Publishers.</w:t>
      </w:r>
    </w:p>
    <w:p w14:paraId="0A768B83" w14:textId="77777777" w:rsidR="000040D4" w:rsidRPr="000040D4" w:rsidRDefault="000040D4" w:rsidP="000040D4">
      <w:pPr>
        <w:spacing w:line="360" w:lineRule="auto"/>
        <w:ind w:left="720" w:hanging="720"/>
        <w:jc w:val="both"/>
        <w:rPr>
          <w:sz w:val="24"/>
          <w:szCs w:val="24"/>
        </w:rPr>
      </w:pPr>
      <w:r w:rsidRPr="000040D4">
        <w:rPr>
          <w:sz w:val="24"/>
          <w:szCs w:val="24"/>
        </w:rPr>
        <w:t xml:space="preserve">Trevithick, P. (2012) </w:t>
      </w:r>
      <w:r w:rsidRPr="000040D4">
        <w:rPr>
          <w:rFonts w:eastAsiaTheme="majorEastAsia"/>
          <w:sz w:val="24"/>
          <w:szCs w:val="24"/>
        </w:rPr>
        <w:t>Social Work Skills and Knowledge: A Practice Handbook</w:t>
      </w:r>
      <w:r w:rsidRPr="000040D4">
        <w:rPr>
          <w:sz w:val="24"/>
          <w:szCs w:val="24"/>
        </w:rPr>
        <w:t xml:space="preserve">. 3rd </w:t>
      </w:r>
      <w:proofErr w:type="spellStart"/>
      <w:r w:rsidRPr="000040D4">
        <w:rPr>
          <w:sz w:val="24"/>
          <w:szCs w:val="24"/>
        </w:rPr>
        <w:t>edn</w:t>
      </w:r>
      <w:proofErr w:type="spellEnd"/>
      <w:r w:rsidRPr="000040D4">
        <w:rPr>
          <w:sz w:val="24"/>
          <w:szCs w:val="24"/>
        </w:rPr>
        <w:t>. Maidenhead: Open University Press.</w:t>
      </w:r>
    </w:p>
    <w:p w14:paraId="00D2E275" w14:textId="77777777" w:rsidR="000040D4" w:rsidRPr="000040D4" w:rsidRDefault="000040D4" w:rsidP="000040D4">
      <w:pPr>
        <w:spacing w:line="360" w:lineRule="auto"/>
        <w:ind w:left="720" w:hanging="720"/>
        <w:jc w:val="both"/>
        <w:rPr>
          <w:sz w:val="24"/>
          <w:szCs w:val="24"/>
        </w:rPr>
      </w:pPr>
      <w:r w:rsidRPr="000040D4">
        <w:rPr>
          <w:sz w:val="24"/>
          <w:szCs w:val="24"/>
        </w:rPr>
        <w:t xml:space="preserve">Welsh Government (2015) </w:t>
      </w:r>
      <w:r w:rsidRPr="000040D4">
        <w:rPr>
          <w:rFonts w:eastAsiaTheme="majorEastAsia"/>
          <w:sz w:val="24"/>
          <w:szCs w:val="24"/>
        </w:rPr>
        <w:t>Delivering the Active Offer: Information Pack for Social Services and Social Care</w:t>
      </w:r>
      <w:r w:rsidRPr="000040D4">
        <w:rPr>
          <w:sz w:val="24"/>
          <w:szCs w:val="24"/>
        </w:rPr>
        <w:t>. Cardiff: Welsh Government.</w:t>
      </w:r>
    </w:p>
    <w:p w14:paraId="35464905" w14:textId="77777777" w:rsidR="000040D4" w:rsidRPr="000040D4" w:rsidRDefault="000040D4" w:rsidP="000040D4">
      <w:pPr>
        <w:spacing w:line="360" w:lineRule="auto"/>
        <w:ind w:left="720" w:hanging="720"/>
        <w:jc w:val="both"/>
        <w:rPr>
          <w:sz w:val="24"/>
          <w:szCs w:val="24"/>
        </w:rPr>
      </w:pPr>
      <w:r w:rsidRPr="000040D4">
        <w:rPr>
          <w:sz w:val="24"/>
          <w:szCs w:val="24"/>
        </w:rPr>
        <w:t>Welsh Government (2019) Working Together to Safeguard People: Volume 6: Handling Individual Cases to Protect Adults at Risk. Cardiff: Welsh Government.</w:t>
      </w:r>
    </w:p>
    <w:p w14:paraId="646C063A" w14:textId="77777777" w:rsidR="000040D4" w:rsidRPr="000040D4" w:rsidRDefault="000040D4" w:rsidP="000040D4">
      <w:pPr>
        <w:spacing w:line="360" w:lineRule="auto"/>
        <w:ind w:left="720" w:hanging="720"/>
        <w:jc w:val="both"/>
        <w:rPr>
          <w:sz w:val="24"/>
          <w:szCs w:val="24"/>
        </w:rPr>
      </w:pPr>
      <w:r w:rsidRPr="000040D4">
        <w:rPr>
          <w:sz w:val="24"/>
          <w:szCs w:val="24"/>
        </w:rPr>
        <w:t xml:space="preserve">Welsh Government (2022) </w:t>
      </w:r>
      <w:r w:rsidRPr="000040D4">
        <w:rPr>
          <w:rFonts w:eastAsiaTheme="majorEastAsia"/>
          <w:sz w:val="24"/>
          <w:szCs w:val="24"/>
        </w:rPr>
        <w:t>More than just words: Welsh language in health and social care</w:t>
      </w:r>
      <w:r w:rsidRPr="000040D4">
        <w:rPr>
          <w:sz w:val="24"/>
          <w:szCs w:val="24"/>
        </w:rPr>
        <w:t>. Cardiff: Welsh Government.</w:t>
      </w:r>
    </w:p>
    <w:p w14:paraId="1F37DA5E" w14:textId="77777777" w:rsidR="000040D4" w:rsidRPr="000040D4" w:rsidRDefault="000040D4" w:rsidP="000040D4">
      <w:pPr>
        <w:spacing w:line="360" w:lineRule="auto"/>
        <w:ind w:left="720" w:hanging="720"/>
        <w:jc w:val="both"/>
        <w:rPr>
          <w:color w:val="auto"/>
          <w:sz w:val="24"/>
          <w:szCs w:val="24"/>
        </w:rPr>
      </w:pPr>
      <w:r w:rsidRPr="000040D4">
        <w:rPr>
          <w:sz w:val="24"/>
          <w:szCs w:val="24"/>
        </w:rPr>
        <w:t xml:space="preserve">Welsh Government (2025). Mental health and wellbeing strategy 2025 to 2035 | GOV.WALES. [online] GOV.WALES. Available at: </w:t>
      </w:r>
      <w:hyperlink r:id="rId21" w:history="1">
        <w:r w:rsidRPr="000040D4">
          <w:rPr>
            <w:rStyle w:val="Hyperlink"/>
            <w:color w:val="auto"/>
            <w:sz w:val="24"/>
            <w:szCs w:val="24"/>
            <w:u w:val="none"/>
          </w:rPr>
          <w:t>https://www.gov.wales/mental-health-and-wellbeing-strategy-2025-2035</w:t>
        </w:r>
      </w:hyperlink>
      <w:r w:rsidRPr="000040D4">
        <w:rPr>
          <w:color w:val="auto"/>
          <w:sz w:val="24"/>
          <w:szCs w:val="24"/>
        </w:rPr>
        <w:t> </w:t>
      </w:r>
    </w:p>
    <w:p w14:paraId="3CC10A89" w14:textId="77777777" w:rsidR="000040D4" w:rsidRPr="000040D4" w:rsidRDefault="000040D4" w:rsidP="000040D4">
      <w:pPr>
        <w:spacing w:line="360" w:lineRule="auto"/>
        <w:ind w:left="720" w:hanging="720"/>
        <w:jc w:val="both"/>
        <w:rPr>
          <w:sz w:val="24"/>
          <w:szCs w:val="24"/>
        </w:rPr>
      </w:pPr>
      <w:r w:rsidRPr="000040D4">
        <w:rPr>
          <w:sz w:val="24"/>
          <w:szCs w:val="24"/>
        </w:rPr>
        <w:t>Wilkins, D. and Forrester, D. (2021) Social Work with Children and Families: Developing Advanced Practice. London: Sage.</w:t>
      </w: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36043147" w14:textId="77777777" w:rsidR="000040D4" w:rsidRDefault="000040D4" w:rsidP="000040D4">
      <w:pPr>
        <w:rPr>
          <w:sz w:val="24"/>
          <w:szCs w:val="24"/>
        </w:rPr>
      </w:pPr>
    </w:p>
    <w:p w14:paraId="7047BA81" w14:textId="2D47C959" w:rsidR="002A1A44" w:rsidRPr="00EE5BC3" w:rsidRDefault="002A1A44" w:rsidP="000040D4">
      <w:pPr>
        <w:ind w:firstLine="720"/>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368BB279" w:rsidR="00E559CE" w:rsidRPr="00B17FA0" w:rsidRDefault="001169AF" w:rsidP="00B94443">
            <w:pPr>
              <w:jc w:val="both"/>
              <w:rPr>
                <w:sz w:val="24"/>
                <w:szCs w:val="24"/>
              </w:rPr>
            </w:pPr>
            <w:r>
              <w:rPr>
                <w:sz w:val="24"/>
                <w:szCs w:val="24"/>
              </w:rPr>
              <w:t>20/11/2025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3BC6B0B3" w:rsidR="00E559CE" w:rsidRPr="00B17FA0" w:rsidRDefault="001169AF" w:rsidP="00B94443">
            <w:pPr>
              <w:jc w:val="both"/>
              <w:rPr>
                <w:sz w:val="24"/>
                <w:szCs w:val="24"/>
              </w:rPr>
            </w:pPr>
            <w:r>
              <w:rPr>
                <w:sz w:val="24"/>
                <w:szCs w:val="24"/>
              </w:rPr>
              <w:t>22/01/2026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07FDCC66" w:rsidR="00E559CE" w:rsidRPr="00B17FA0" w:rsidRDefault="001169AF" w:rsidP="00B94443">
            <w:pPr>
              <w:jc w:val="both"/>
              <w:rPr>
                <w:sz w:val="24"/>
                <w:szCs w:val="24"/>
              </w:rPr>
            </w:pPr>
            <w:r>
              <w:rPr>
                <w:sz w:val="24"/>
                <w:szCs w:val="24"/>
              </w:rPr>
              <w:t>25/03/2026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68BA9E50" w:rsidR="00E559CE" w:rsidRPr="00B17FA0" w:rsidRDefault="001169AF" w:rsidP="00B94443">
            <w:pPr>
              <w:jc w:val="both"/>
              <w:rPr>
                <w:sz w:val="24"/>
                <w:szCs w:val="24"/>
              </w:rPr>
            </w:pPr>
            <w:r>
              <w:rPr>
                <w:sz w:val="24"/>
                <w:szCs w:val="24"/>
              </w:rPr>
              <w:t>11/06/2026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1036B5B7" w14:textId="77777777" w:rsidR="002F589B" w:rsidRDefault="002F589B" w:rsidP="002F589B">
            <w:pPr>
              <w:jc w:val="both"/>
              <w:rPr>
                <w:color w:val="auto"/>
                <w:sz w:val="24"/>
                <w:szCs w:val="24"/>
              </w:rPr>
            </w:pPr>
            <w:r>
              <w:rPr>
                <w:color w:val="auto"/>
                <w:sz w:val="24"/>
                <w:szCs w:val="24"/>
              </w:rPr>
              <w:t xml:space="preserve">The student began her second year enthusiastically by identifying her learning and practice needs through reflecting on her first year, as evidenced in Task 1(Part a). Confidence in professional judgement, contributing to multi-disciplinary meetings and </w:t>
            </w:r>
            <w:proofErr w:type="gramStart"/>
            <w:r>
              <w:rPr>
                <w:color w:val="auto"/>
                <w:sz w:val="24"/>
                <w:szCs w:val="24"/>
              </w:rPr>
              <w:t>growing her understanding of legislation</w:t>
            </w:r>
            <w:proofErr w:type="gramEnd"/>
            <w:r>
              <w:rPr>
                <w:color w:val="auto"/>
                <w:sz w:val="24"/>
                <w:szCs w:val="24"/>
              </w:rPr>
              <w:t xml:space="preserve"> we use daily for example Mental </w:t>
            </w:r>
            <w:proofErr w:type="spellStart"/>
            <w:r>
              <w:rPr>
                <w:color w:val="auto"/>
                <w:sz w:val="24"/>
                <w:szCs w:val="24"/>
              </w:rPr>
              <w:t>Heath</w:t>
            </w:r>
            <w:proofErr w:type="spellEnd"/>
            <w:r>
              <w:rPr>
                <w:color w:val="auto"/>
                <w:sz w:val="24"/>
                <w:szCs w:val="24"/>
              </w:rPr>
              <w:t xml:space="preserve"> Measure (Wales) 2010. It is a pleasure to comment on Laura’s development over her second year as her practice supervisor. I am glad to see Laura has been able to reflect on her progression this past year, showing her confidence in her own judgement, as can be seen in Task 1 (b). </w:t>
            </w:r>
          </w:p>
          <w:p w14:paraId="1DE5F2DE" w14:textId="77777777" w:rsidR="002F589B" w:rsidRDefault="002F589B" w:rsidP="002F589B">
            <w:pPr>
              <w:jc w:val="both"/>
              <w:rPr>
                <w:color w:val="auto"/>
                <w:sz w:val="24"/>
                <w:szCs w:val="24"/>
              </w:rPr>
            </w:pPr>
          </w:p>
          <w:p w14:paraId="19A2E9C5" w14:textId="77777777" w:rsidR="002F589B" w:rsidRDefault="002F589B" w:rsidP="002F589B">
            <w:pPr>
              <w:jc w:val="both"/>
              <w:rPr>
                <w:color w:val="auto"/>
                <w:sz w:val="24"/>
                <w:szCs w:val="24"/>
              </w:rPr>
            </w:pPr>
            <w:r>
              <w:rPr>
                <w:color w:val="auto"/>
                <w:sz w:val="24"/>
                <w:szCs w:val="24"/>
              </w:rPr>
              <w:t xml:space="preserve">From my own perspective and experience, Laura has worked hard to develop herself as a Social Worker based within a new developing service with young people with emotional and mental health needs. Laura has worked across both child and adult services and has a good understanding of the different legislation that is used. She has moved from checking eligibility and processes with Management to using her autonomy to make decisions and use supervision to share her experiences. </w:t>
            </w:r>
          </w:p>
          <w:p w14:paraId="19EEEA1C" w14:textId="77777777" w:rsidR="002F589B" w:rsidRDefault="002F589B" w:rsidP="002F589B">
            <w:pPr>
              <w:jc w:val="both"/>
              <w:rPr>
                <w:color w:val="auto"/>
                <w:sz w:val="24"/>
                <w:szCs w:val="24"/>
              </w:rPr>
            </w:pPr>
          </w:p>
          <w:p w14:paraId="7D97E8D8" w14:textId="77777777" w:rsidR="002F589B" w:rsidRDefault="002F589B" w:rsidP="002F589B">
            <w:pPr>
              <w:jc w:val="both"/>
              <w:rPr>
                <w:color w:val="auto"/>
                <w:sz w:val="24"/>
                <w:szCs w:val="24"/>
              </w:rPr>
            </w:pPr>
            <w:r>
              <w:rPr>
                <w:color w:val="auto"/>
                <w:sz w:val="24"/>
                <w:szCs w:val="24"/>
              </w:rPr>
              <w:t xml:space="preserve">Laura attends meetings with other disciplines daily, and this has enabled her to become more confident in sharing information, making suggestions, making joint decisions and managing differing views. Again, initially I attended meetings alongside Laura to support, but very quickly Laura felt able to attend on her own and has since shown skills to organise and bring relevant </w:t>
            </w:r>
            <w:r>
              <w:rPr>
                <w:color w:val="auto"/>
                <w:sz w:val="24"/>
                <w:szCs w:val="24"/>
              </w:rPr>
              <w:lastRenderedPageBreak/>
              <w:t xml:space="preserve">people together to safeguard and provide support. There has been positive feedback from other professionals, </w:t>
            </w:r>
            <w:proofErr w:type="gramStart"/>
            <w:r>
              <w:rPr>
                <w:color w:val="auto"/>
                <w:sz w:val="24"/>
                <w:szCs w:val="24"/>
              </w:rPr>
              <w:t>in particular around</w:t>
            </w:r>
            <w:proofErr w:type="gramEnd"/>
            <w:r>
              <w:rPr>
                <w:color w:val="auto"/>
                <w:sz w:val="24"/>
                <w:szCs w:val="24"/>
              </w:rPr>
              <w:t xml:space="preserve"> Laura’s promotion of the transition service. </w:t>
            </w:r>
          </w:p>
          <w:p w14:paraId="47CC9AE8" w14:textId="77777777" w:rsidR="002F589B" w:rsidRDefault="002F589B" w:rsidP="002F589B">
            <w:pPr>
              <w:jc w:val="both"/>
              <w:rPr>
                <w:color w:val="auto"/>
                <w:sz w:val="24"/>
                <w:szCs w:val="24"/>
              </w:rPr>
            </w:pPr>
          </w:p>
          <w:p w14:paraId="0F5F9A9D" w14:textId="77777777" w:rsidR="002F589B" w:rsidRDefault="002F589B" w:rsidP="002F589B">
            <w:pPr>
              <w:jc w:val="both"/>
              <w:rPr>
                <w:color w:val="auto"/>
                <w:sz w:val="24"/>
                <w:szCs w:val="24"/>
              </w:rPr>
            </w:pPr>
            <w:r>
              <w:rPr>
                <w:color w:val="auto"/>
                <w:sz w:val="24"/>
                <w:szCs w:val="24"/>
              </w:rPr>
              <w:t xml:space="preserve">Laura has shown a clear passion for working with young </w:t>
            </w:r>
            <w:proofErr w:type="gramStart"/>
            <w:r>
              <w:rPr>
                <w:color w:val="auto"/>
                <w:sz w:val="24"/>
                <w:szCs w:val="24"/>
              </w:rPr>
              <w:t>people, and</w:t>
            </w:r>
            <w:proofErr w:type="gramEnd"/>
            <w:r>
              <w:rPr>
                <w:color w:val="auto"/>
                <w:sz w:val="24"/>
                <w:szCs w:val="24"/>
              </w:rPr>
              <w:t xml:space="preserve"> brings current issues affecting young people to team meetings which shows her curiosity around improving engagement with young people and assessments. </w:t>
            </w:r>
          </w:p>
          <w:p w14:paraId="61BB34D4" w14:textId="77777777" w:rsidR="002F589B" w:rsidRDefault="002F589B" w:rsidP="002F589B">
            <w:pPr>
              <w:jc w:val="both"/>
              <w:rPr>
                <w:color w:val="auto"/>
                <w:sz w:val="24"/>
                <w:szCs w:val="24"/>
              </w:rPr>
            </w:pPr>
          </w:p>
          <w:p w14:paraId="65E680E8" w14:textId="77777777" w:rsidR="002F589B" w:rsidRDefault="002F589B" w:rsidP="002F589B">
            <w:pPr>
              <w:jc w:val="both"/>
              <w:rPr>
                <w:color w:val="auto"/>
                <w:sz w:val="24"/>
                <w:szCs w:val="24"/>
              </w:rPr>
            </w:pPr>
            <w:r>
              <w:rPr>
                <w:color w:val="auto"/>
                <w:sz w:val="24"/>
                <w:szCs w:val="24"/>
              </w:rPr>
              <w:t xml:space="preserve">Various in-house and external learning training have been undertaken, which has developed Laura knowledge of law and policy, and helped with professional practice and appears to </w:t>
            </w:r>
            <w:proofErr w:type="gramStart"/>
            <w:r>
              <w:rPr>
                <w:color w:val="auto"/>
                <w:sz w:val="24"/>
                <w:szCs w:val="24"/>
              </w:rPr>
              <w:t>helped</w:t>
            </w:r>
            <w:proofErr w:type="gramEnd"/>
            <w:r>
              <w:rPr>
                <w:color w:val="auto"/>
                <w:sz w:val="24"/>
                <w:szCs w:val="24"/>
              </w:rPr>
              <w:t xml:space="preserve"> with confidence. This includes Mental Capacity Act 2005, and completing capacity assessments, and S117 Mental Health Act 1983 aftercare assessments. </w:t>
            </w:r>
          </w:p>
          <w:p w14:paraId="56EC2098" w14:textId="77777777" w:rsidR="002F589B" w:rsidRDefault="002F589B" w:rsidP="002F589B">
            <w:pPr>
              <w:jc w:val="both"/>
              <w:rPr>
                <w:color w:val="auto"/>
                <w:sz w:val="24"/>
                <w:szCs w:val="24"/>
              </w:rPr>
            </w:pPr>
          </w:p>
          <w:p w14:paraId="3BAB38AB" w14:textId="77777777" w:rsidR="002F589B" w:rsidRDefault="002F589B" w:rsidP="002F589B">
            <w:pPr>
              <w:jc w:val="both"/>
              <w:rPr>
                <w:color w:val="auto"/>
                <w:sz w:val="24"/>
                <w:szCs w:val="24"/>
              </w:rPr>
            </w:pPr>
            <w:r>
              <w:rPr>
                <w:color w:val="auto"/>
                <w:sz w:val="24"/>
                <w:szCs w:val="24"/>
              </w:rPr>
              <w:t xml:space="preserve">Feedback from the people Laura has worked with has been positive and shared with senior managers. Young People have reported that Laura is easy to talk to and feels that she listens. This is very important and central to the work we complete, and undoubtable has helped to strengthen the assessments, progression of the young people Laura has worked with. Laura shows she is willing to work with young people, with risky behaviours to live as independently as possible. </w:t>
            </w:r>
          </w:p>
          <w:p w14:paraId="32A9BC9B" w14:textId="77777777" w:rsidR="002F589B" w:rsidRDefault="002F589B" w:rsidP="002F589B">
            <w:pPr>
              <w:jc w:val="both"/>
              <w:rPr>
                <w:color w:val="auto"/>
                <w:sz w:val="24"/>
                <w:szCs w:val="24"/>
              </w:rPr>
            </w:pPr>
          </w:p>
          <w:p w14:paraId="34B560E6" w14:textId="77777777" w:rsidR="002F589B" w:rsidRDefault="002F589B" w:rsidP="002F589B">
            <w:pPr>
              <w:jc w:val="both"/>
              <w:rPr>
                <w:color w:val="auto"/>
                <w:sz w:val="24"/>
                <w:szCs w:val="24"/>
              </w:rPr>
            </w:pPr>
          </w:p>
          <w:p w14:paraId="2D53222F" w14:textId="77777777" w:rsidR="002F589B" w:rsidRDefault="002F589B" w:rsidP="002F589B">
            <w:pPr>
              <w:jc w:val="both"/>
              <w:rPr>
                <w:color w:val="auto"/>
                <w:sz w:val="24"/>
                <w:szCs w:val="24"/>
              </w:rPr>
            </w:pPr>
            <w:r>
              <w:rPr>
                <w:color w:val="auto"/>
                <w:sz w:val="24"/>
                <w:szCs w:val="24"/>
              </w:rPr>
              <w:t xml:space="preserve">Future Learning </w:t>
            </w:r>
          </w:p>
          <w:p w14:paraId="69533B9D" w14:textId="77777777" w:rsidR="002F589B" w:rsidRDefault="002F589B" w:rsidP="002F589B">
            <w:pPr>
              <w:jc w:val="both"/>
              <w:rPr>
                <w:color w:val="auto"/>
                <w:sz w:val="24"/>
                <w:szCs w:val="24"/>
              </w:rPr>
            </w:pPr>
          </w:p>
          <w:p w14:paraId="3922EE5F" w14:textId="77777777" w:rsidR="002F589B" w:rsidRDefault="002F589B" w:rsidP="002F589B">
            <w:pPr>
              <w:jc w:val="both"/>
              <w:rPr>
                <w:color w:val="auto"/>
                <w:sz w:val="24"/>
                <w:szCs w:val="24"/>
              </w:rPr>
            </w:pPr>
            <w:r>
              <w:rPr>
                <w:color w:val="auto"/>
                <w:sz w:val="24"/>
                <w:szCs w:val="24"/>
              </w:rPr>
              <w:t xml:space="preserve">Legislation is changing within Mental Health, with the introduction of the Mental Health Act 2025 and the AGNI judgement. Therefore, Laura would benefit from attending training and spending time with AMHPS. </w:t>
            </w:r>
          </w:p>
          <w:p w14:paraId="0C1F816A" w14:textId="77777777" w:rsidR="002F589B" w:rsidRDefault="002F589B" w:rsidP="002F589B">
            <w:pPr>
              <w:jc w:val="both"/>
              <w:rPr>
                <w:color w:val="auto"/>
                <w:sz w:val="24"/>
                <w:szCs w:val="24"/>
              </w:rPr>
            </w:pPr>
          </w:p>
          <w:p w14:paraId="2FB47D40" w14:textId="77777777" w:rsidR="002F589B" w:rsidRDefault="002F589B" w:rsidP="002F589B">
            <w:pPr>
              <w:jc w:val="both"/>
              <w:rPr>
                <w:color w:val="auto"/>
                <w:sz w:val="24"/>
                <w:szCs w:val="24"/>
              </w:rPr>
            </w:pPr>
            <w:r>
              <w:rPr>
                <w:color w:val="auto"/>
                <w:sz w:val="24"/>
                <w:szCs w:val="24"/>
              </w:rPr>
              <w:t xml:space="preserve">Focuses on community support services to be part of SSWBA and CASP. Identify and meet other organisations to map out where support is located and continue to use creativity to improve the support in the county.  </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lastRenderedPageBreak/>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5A56A91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E26342">
        <w:rPr>
          <w:b/>
          <w:sz w:val="24"/>
          <w:szCs w:val="24"/>
        </w:rPr>
        <w:t>Laura Collins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0DEA1AB"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E26342">
        <w:rPr>
          <w:b/>
          <w:sz w:val="24"/>
          <w:szCs w:val="24"/>
        </w:rPr>
        <w:t xml:space="preserve"> 0201215</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4B1C59B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E26342">
        <w:rPr>
          <w:b/>
          <w:sz w:val="24"/>
          <w:szCs w:val="24"/>
        </w:rPr>
        <w:t xml:space="preserve"> 56 Tir Capel, Llanelli. SA14 8SR</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A3FF73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E26342">
        <w:rPr>
          <w:b/>
          <w:sz w:val="24"/>
          <w:szCs w:val="24"/>
        </w:rPr>
        <w:t xml:space="preserve"> 07375493248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3CC615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E26342">
        <w:rPr>
          <w:b/>
          <w:sz w:val="24"/>
          <w:szCs w:val="24"/>
        </w:rPr>
        <w:t xml:space="preserve"> ljcollins@carmarthenshire.gov.uk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FA6512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9F005B">
        <w:rPr>
          <w:b/>
          <w:sz w:val="24"/>
          <w:szCs w:val="24"/>
        </w:rPr>
        <w:t>16/08/2024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02F289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D943DB">
        <w:rPr>
          <w:b/>
          <w:sz w:val="24"/>
          <w:szCs w:val="24"/>
        </w:rPr>
        <w:t xml:space="preserve"> 04/01/2022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967C1B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3A3D91">
        <w:rPr>
          <w:b/>
          <w:sz w:val="24"/>
          <w:szCs w:val="24"/>
        </w:rPr>
        <w:t xml:space="preserve"> Community Mental Health Team</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23128B9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3A3D91">
        <w:rPr>
          <w:b/>
          <w:sz w:val="24"/>
          <w:szCs w:val="24"/>
        </w:rPr>
        <w:t xml:space="preserve"> Michelle Thomas-Luisi</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EE73409" w14:textId="77777777" w:rsidR="003A3D91" w:rsidRDefault="004923DA" w:rsidP="003A3D9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3A3D91">
        <w:rPr>
          <w:b/>
          <w:sz w:val="24"/>
          <w:szCs w:val="24"/>
        </w:rPr>
        <w:t xml:space="preserve"> </w:t>
      </w:r>
      <w:proofErr w:type="spellStart"/>
      <w:r w:rsidR="003A3D91">
        <w:rPr>
          <w:b/>
          <w:sz w:val="24"/>
          <w:szCs w:val="24"/>
        </w:rPr>
        <w:t>Brynmair</w:t>
      </w:r>
      <w:proofErr w:type="spellEnd"/>
      <w:r w:rsidR="003A3D91">
        <w:rPr>
          <w:b/>
          <w:sz w:val="24"/>
          <w:szCs w:val="24"/>
        </w:rPr>
        <w:t xml:space="preserve"> Clinic</w:t>
      </w:r>
    </w:p>
    <w:p w14:paraId="3F677F25" w14:textId="00CB7719" w:rsidR="003A3D91" w:rsidRDefault="003A3D9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11 Goring road, </w:t>
      </w:r>
    </w:p>
    <w:p w14:paraId="64058DF9" w14:textId="60EBF9B5" w:rsidR="004923DA" w:rsidRDefault="003A3D9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Llanelli. </w:t>
      </w:r>
    </w:p>
    <w:p w14:paraId="442472BB" w14:textId="64753FF7" w:rsidR="004923DA" w:rsidRDefault="003A3D9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t xml:space="preserve">     SA15 3HF</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1EBF125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3A3D91">
        <w:rPr>
          <w:b/>
          <w:sz w:val="24"/>
          <w:szCs w:val="24"/>
        </w:rPr>
        <w:t xml:space="preserve"> 01554 772768 </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0B31F5FF"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3A3D91" w:rsidRPr="003A3D91">
        <w:rPr>
          <w:b/>
          <w:sz w:val="24"/>
          <w:szCs w:val="24"/>
        </w:rPr>
        <w:t>MThomasLuisi@carmarthenshire.gov.uk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07C649C9"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E26342">
        <w:rPr>
          <w:b/>
          <w:sz w:val="24"/>
          <w:szCs w:val="24"/>
        </w:rPr>
        <w:sym w:font="Wingdings" w:char="F078"/>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3D9F94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4C3C61">
        <w:rPr>
          <w:b/>
          <w:sz w:val="24"/>
          <w:szCs w:val="24"/>
        </w:rPr>
        <w:t xml:space="preserve"> Emma Watkins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27F5D34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4C3C61">
        <w:rPr>
          <w:b/>
          <w:sz w:val="24"/>
          <w:szCs w:val="24"/>
        </w:rPr>
        <w:t xml:space="preserve"> </w:t>
      </w:r>
      <w:r w:rsidR="00107E8A">
        <w:rPr>
          <w:b/>
          <w:sz w:val="24"/>
          <w:szCs w:val="24"/>
        </w:rPr>
        <w:t>Wellfield Road resource centre</w:t>
      </w:r>
    </w:p>
    <w:p w14:paraId="32AFF577" w14:textId="0006B1F2" w:rsidR="00107E8A" w:rsidRDefault="00107E8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t xml:space="preserve">      22 Wellfield Road</w:t>
      </w:r>
    </w:p>
    <w:p w14:paraId="0232E41A" w14:textId="28E270D8" w:rsidR="003852C9" w:rsidRDefault="003852C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t xml:space="preserve">      Carmarthen</w:t>
      </w:r>
    </w:p>
    <w:p w14:paraId="06F3F483" w14:textId="7497A1D1" w:rsidR="003852C9" w:rsidRPr="008B28E7" w:rsidRDefault="003852C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t xml:space="preserve">      SA31 </w:t>
      </w:r>
      <w:r w:rsidR="002B68BB">
        <w:rPr>
          <w:b/>
          <w:sz w:val="24"/>
          <w:szCs w:val="24"/>
        </w:rPr>
        <w:t>1DS</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29D6E2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F94EBB">
        <w:rPr>
          <w:b/>
          <w:sz w:val="24"/>
          <w:szCs w:val="24"/>
        </w:rPr>
        <w:t xml:space="preserve"> </w:t>
      </w:r>
      <w:r w:rsidR="00D875A9" w:rsidRPr="00D875A9">
        <w:rPr>
          <w:b/>
          <w:sz w:val="24"/>
          <w:szCs w:val="24"/>
        </w:rPr>
        <w:t>01267 244300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E996EB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2B68BB">
        <w:rPr>
          <w:b/>
          <w:sz w:val="24"/>
          <w:szCs w:val="24"/>
        </w:rPr>
        <w:t xml:space="preserve"> </w:t>
      </w:r>
      <w:r w:rsidR="00F94EBB" w:rsidRPr="00F94EBB">
        <w:rPr>
          <w:b/>
          <w:sz w:val="24"/>
          <w:szCs w:val="24"/>
        </w:rPr>
        <w:t>EWatkins@carmarthenshire.gov.uk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0EAA71D0" w:rsidR="004923DA" w:rsidRDefault="004923DA" w:rsidP="00FF7EBB">
            <w:pPr>
              <w:jc w:val="both"/>
              <w:rPr>
                <w:b/>
                <w:sz w:val="24"/>
                <w:szCs w:val="24"/>
              </w:rPr>
            </w:pPr>
            <w:r w:rsidRPr="008B28E7">
              <w:rPr>
                <w:b/>
                <w:sz w:val="24"/>
                <w:szCs w:val="24"/>
              </w:rPr>
              <w:t>Name:</w:t>
            </w:r>
            <w:r w:rsidR="00303B4E">
              <w:rPr>
                <w:b/>
                <w:sz w:val="24"/>
                <w:szCs w:val="24"/>
              </w:rPr>
              <w:t xml:space="preserve"> Emma Watkins</w:t>
            </w:r>
          </w:p>
          <w:p w14:paraId="4EF4A770" w14:textId="77777777" w:rsidR="004923DA" w:rsidRPr="008B28E7" w:rsidRDefault="004923DA" w:rsidP="00FF7EBB">
            <w:pPr>
              <w:jc w:val="both"/>
              <w:rPr>
                <w:b/>
                <w:sz w:val="24"/>
                <w:szCs w:val="24"/>
              </w:rPr>
            </w:pPr>
          </w:p>
          <w:p w14:paraId="1AC8522D" w14:textId="01692737" w:rsidR="004923DA" w:rsidRDefault="004923DA" w:rsidP="00FF7EBB">
            <w:pPr>
              <w:jc w:val="both"/>
              <w:rPr>
                <w:b/>
                <w:sz w:val="24"/>
                <w:szCs w:val="24"/>
              </w:rPr>
            </w:pPr>
            <w:r w:rsidRPr="008B28E7">
              <w:rPr>
                <w:b/>
                <w:sz w:val="24"/>
                <w:szCs w:val="24"/>
              </w:rPr>
              <w:t xml:space="preserve">Work Address: </w:t>
            </w:r>
            <w:r w:rsidR="00916DAA">
              <w:rPr>
                <w:b/>
                <w:sz w:val="24"/>
                <w:szCs w:val="24"/>
              </w:rPr>
              <w:t>Wellfield Road resource centre</w:t>
            </w:r>
          </w:p>
          <w:p w14:paraId="42BF3097" w14:textId="38759AD2" w:rsidR="009D59C2" w:rsidRDefault="001578F5" w:rsidP="00FF7EBB">
            <w:pPr>
              <w:jc w:val="both"/>
              <w:rPr>
                <w:b/>
                <w:sz w:val="24"/>
                <w:szCs w:val="24"/>
              </w:rPr>
            </w:pPr>
            <w:r>
              <w:rPr>
                <w:b/>
                <w:sz w:val="24"/>
                <w:szCs w:val="24"/>
              </w:rPr>
              <w:t xml:space="preserve">                           22 wellfield road</w:t>
            </w:r>
          </w:p>
          <w:p w14:paraId="1AB8BF2A" w14:textId="4E3237FB" w:rsidR="001578F5" w:rsidRDefault="001578F5" w:rsidP="00FF7EBB">
            <w:pPr>
              <w:jc w:val="both"/>
              <w:rPr>
                <w:b/>
                <w:sz w:val="24"/>
                <w:szCs w:val="24"/>
              </w:rPr>
            </w:pPr>
            <w:r>
              <w:rPr>
                <w:b/>
                <w:sz w:val="24"/>
                <w:szCs w:val="24"/>
              </w:rPr>
              <w:t xml:space="preserve">                           Carmarthen</w:t>
            </w:r>
          </w:p>
          <w:p w14:paraId="7BFDF75F" w14:textId="64B2B434" w:rsidR="001578F5" w:rsidRDefault="001578F5" w:rsidP="00FF7EBB">
            <w:pPr>
              <w:jc w:val="both"/>
              <w:rPr>
                <w:b/>
                <w:sz w:val="24"/>
                <w:szCs w:val="24"/>
              </w:rPr>
            </w:pPr>
            <w:r>
              <w:rPr>
                <w:b/>
                <w:sz w:val="24"/>
                <w:szCs w:val="24"/>
              </w:rPr>
              <w:t xml:space="preserve">                           SA31 1DS</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2046CAFD" w:rsidR="004923DA" w:rsidRPr="008B28E7" w:rsidRDefault="004923DA" w:rsidP="00FF7EBB">
            <w:pPr>
              <w:jc w:val="both"/>
              <w:rPr>
                <w:b/>
                <w:sz w:val="24"/>
                <w:szCs w:val="24"/>
              </w:rPr>
            </w:pPr>
            <w:r w:rsidRPr="00964FDB">
              <w:rPr>
                <w:b/>
                <w:sz w:val="24"/>
                <w:szCs w:val="24"/>
              </w:rPr>
              <w:t>Professional Qualification and date of qualification:</w:t>
            </w:r>
            <w:r w:rsidR="00964FDB">
              <w:rPr>
                <w:b/>
                <w:sz w:val="24"/>
                <w:szCs w:val="24"/>
              </w:rPr>
              <w:t xml:space="preserve"> BSc SW July 2012</w:t>
            </w:r>
          </w:p>
          <w:p w14:paraId="5F68A3CF" w14:textId="77777777" w:rsidR="004923DA" w:rsidRDefault="004923DA" w:rsidP="00FF7EBB">
            <w:pPr>
              <w:jc w:val="both"/>
              <w:rPr>
                <w:b/>
                <w:sz w:val="24"/>
                <w:szCs w:val="24"/>
              </w:rPr>
            </w:pPr>
          </w:p>
          <w:p w14:paraId="4C6113F1" w14:textId="34E6B924" w:rsidR="004923DA" w:rsidRDefault="009D59C2" w:rsidP="00FF7EBB">
            <w:pPr>
              <w:jc w:val="both"/>
              <w:rPr>
                <w:b/>
                <w:sz w:val="24"/>
                <w:szCs w:val="24"/>
              </w:rPr>
            </w:pPr>
            <w:r>
              <w:rPr>
                <w:b/>
                <w:sz w:val="24"/>
                <w:szCs w:val="24"/>
              </w:rPr>
              <w:t>T</w:t>
            </w:r>
            <w:r w:rsidR="004923DA" w:rsidRPr="008B28E7">
              <w:rPr>
                <w:b/>
                <w:sz w:val="24"/>
                <w:szCs w:val="24"/>
              </w:rPr>
              <w:t>elephone number:</w:t>
            </w:r>
            <w:r w:rsidR="00916DAA" w:rsidRPr="00D875A9">
              <w:rPr>
                <w:b/>
                <w:sz w:val="24"/>
                <w:szCs w:val="24"/>
              </w:rPr>
              <w:t xml:space="preserve"> 01267 244300</w:t>
            </w:r>
          </w:p>
          <w:p w14:paraId="0BB87919" w14:textId="548A11EF" w:rsidR="009D59C2" w:rsidRDefault="009D59C2" w:rsidP="00FF7EBB">
            <w:pPr>
              <w:jc w:val="both"/>
              <w:rPr>
                <w:b/>
                <w:sz w:val="24"/>
                <w:szCs w:val="24"/>
              </w:rPr>
            </w:pPr>
          </w:p>
          <w:p w14:paraId="4FDEE73F" w14:textId="719F48DE" w:rsidR="009D59C2" w:rsidRPr="008B28E7" w:rsidRDefault="009D59C2" w:rsidP="00FF7EBB">
            <w:pPr>
              <w:jc w:val="both"/>
              <w:rPr>
                <w:b/>
                <w:sz w:val="24"/>
                <w:szCs w:val="24"/>
              </w:rPr>
            </w:pPr>
            <w:r>
              <w:rPr>
                <w:b/>
                <w:sz w:val="24"/>
                <w:szCs w:val="24"/>
              </w:rPr>
              <w:t>Email address:</w:t>
            </w:r>
            <w:r w:rsidR="00916DAA" w:rsidRPr="00F94EBB">
              <w:rPr>
                <w:b/>
                <w:sz w:val="24"/>
                <w:szCs w:val="24"/>
              </w:rPr>
              <w:t xml:space="preserve"> EWatkins@carmarthenshire.gov.uk</w:t>
            </w:r>
          </w:p>
          <w:p w14:paraId="4346D2ED" w14:textId="77777777" w:rsidR="00B17FA0" w:rsidRPr="008B28E7" w:rsidRDefault="00B17FA0" w:rsidP="000E38C3">
            <w:pPr>
              <w:jc w:val="both"/>
              <w:rPr>
                <w:b/>
                <w:sz w:val="24"/>
                <w:szCs w:val="24"/>
              </w:rPr>
            </w:pPr>
          </w:p>
        </w:tc>
      </w:tr>
      <w:tr w:rsidR="00916DAA" w:rsidRPr="008B28E7" w14:paraId="0918A778" w14:textId="77777777" w:rsidTr="00B17FA0">
        <w:tc>
          <w:tcPr>
            <w:tcW w:w="10278" w:type="dxa"/>
          </w:tcPr>
          <w:p w14:paraId="0BB3BAF9" w14:textId="77777777" w:rsidR="00916DAA" w:rsidRDefault="00916DAA" w:rsidP="00FF7EBB">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w:t>
      </w:r>
      <w:r w:rsidR="004F4E33">
        <w:rPr>
          <w:sz w:val="24"/>
          <w:szCs w:val="24"/>
        </w:rPr>
        <w:lastRenderedPageBreak/>
        <w:t>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346CFE1C"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964FDB" w:rsidRPr="004362FD">
        <w:rPr>
          <w:noProof/>
        </w:rPr>
        <w:drawing>
          <wp:inline distT="0" distB="0" distL="0" distR="0" wp14:anchorId="545D4E30" wp14:editId="1A8D755C">
            <wp:extent cx="568325" cy="232167"/>
            <wp:effectExtent l="0" t="0" r="3175" b="0"/>
            <wp:docPr id="1704380728" name="Picture 1704380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6646" cy="243737"/>
                    </a:xfrm>
                    <a:prstGeom prst="rect">
                      <a:avLst/>
                    </a:prstGeom>
                    <a:noFill/>
                    <a:ln>
                      <a:noFill/>
                    </a:ln>
                  </pic:spPr>
                </pic:pic>
              </a:graphicData>
            </a:graphic>
          </wp:inline>
        </w:drawing>
      </w:r>
      <w:r>
        <w:rPr>
          <w:sz w:val="24"/>
          <w:szCs w:val="24"/>
        </w:rPr>
        <w:t>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78C39E2"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964FDB">
        <w:rPr>
          <w:sz w:val="24"/>
          <w:szCs w:val="24"/>
        </w:rPr>
        <w:t>30/09/2026</w:t>
      </w:r>
      <w:r>
        <w:rPr>
          <w:sz w:val="24"/>
          <w:szCs w:val="24"/>
        </w:rPr>
        <w:t>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C42411C"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964FDB">
        <w:rPr>
          <w:sz w:val="24"/>
          <w:szCs w:val="24"/>
        </w:rPr>
        <w:t>Signed:</w:t>
      </w:r>
      <w:r w:rsidR="009D59C2">
        <w:rPr>
          <w:sz w:val="24"/>
          <w:szCs w:val="24"/>
        </w:rPr>
        <w:t xml:space="preserve">    </w:t>
      </w:r>
      <w:r w:rsidRPr="008B28E7">
        <w:rPr>
          <w:sz w:val="24"/>
          <w:szCs w:val="24"/>
        </w:rPr>
        <w:t xml:space="preserve"> </w:t>
      </w:r>
      <w:r w:rsidR="00964FDB">
        <w:rPr>
          <w:noProof/>
        </w:rPr>
        <w:drawing>
          <wp:inline distT="0" distB="0" distL="0" distR="0" wp14:anchorId="34B620A7" wp14:editId="4A0F7D5C">
            <wp:extent cx="514350" cy="243949"/>
            <wp:effectExtent l="0" t="0" r="0" b="3810"/>
            <wp:docPr id="352217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r:link="rId24">
                      <a:extLst>
                        <a:ext uri="{28A0092B-C50C-407E-A947-70E740481C1C}">
                          <a14:useLocalDpi xmlns:a14="http://schemas.microsoft.com/office/drawing/2010/main" val="0"/>
                        </a:ext>
                      </a:extLst>
                    </a:blip>
                    <a:srcRect/>
                    <a:stretch>
                      <a:fillRect/>
                    </a:stretch>
                  </pic:blipFill>
                  <pic:spPr bwMode="auto">
                    <a:xfrm>
                      <a:off x="0" y="0"/>
                      <a:ext cx="546081" cy="258999"/>
                    </a:xfrm>
                    <a:prstGeom prst="rect">
                      <a:avLst/>
                    </a:prstGeom>
                    <a:noFill/>
                    <a:ln>
                      <a:noFill/>
                    </a:ln>
                  </pic:spPr>
                </pic:pic>
              </a:graphicData>
            </a:graphic>
          </wp:inline>
        </w:drawing>
      </w:r>
      <w:r w:rsidR="00B577D3">
        <w:rPr>
          <w:sz w:val="24"/>
          <w:szCs w:val="24"/>
        </w:rPr>
        <w:t xml:space="preserve">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FB1CC65"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964FDB">
        <w:rPr>
          <w:sz w:val="24"/>
          <w:szCs w:val="24"/>
        </w:rPr>
        <w:t>30/09/2026</w:t>
      </w:r>
      <w:r>
        <w:rPr>
          <w:sz w:val="24"/>
          <w:szCs w:val="24"/>
        </w:rPr>
        <w:t xml:space="preserve">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06CA4D1C" w:rsidR="00335C41" w:rsidRPr="00D3203C" w:rsidRDefault="00335C41" w:rsidP="00335C41">
            <w:pPr>
              <w:ind w:right="180"/>
              <w:jc w:val="both"/>
              <w:rPr>
                <w:sz w:val="24"/>
                <w:szCs w:val="24"/>
              </w:rPr>
            </w:pPr>
            <w:r w:rsidRPr="00964FDB">
              <w:rPr>
                <w:sz w:val="24"/>
                <w:szCs w:val="24"/>
              </w:rPr>
              <w:t>Signed</w:t>
            </w:r>
            <w:r w:rsidR="00964FDB">
              <w:rPr>
                <w:sz w:val="24"/>
                <w:szCs w:val="24"/>
              </w:rPr>
              <w:t xml:space="preserve"> </w:t>
            </w:r>
            <w:r w:rsidR="00964FDB">
              <w:rPr>
                <w:noProof/>
              </w:rPr>
              <w:drawing>
                <wp:inline distT="0" distB="0" distL="0" distR="0" wp14:anchorId="0BC7664A" wp14:editId="7BABE265">
                  <wp:extent cx="514350" cy="243949"/>
                  <wp:effectExtent l="0" t="0" r="0" b="3810"/>
                  <wp:docPr id="134696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r:link="rId24">
                            <a:extLst>
                              <a:ext uri="{28A0092B-C50C-407E-A947-70E740481C1C}">
                                <a14:useLocalDpi xmlns:a14="http://schemas.microsoft.com/office/drawing/2010/main" val="0"/>
                              </a:ext>
                            </a:extLst>
                          </a:blip>
                          <a:srcRect/>
                          <a:stretch>
                            <a:fillRect/>
                          </a:stretch>
                        </pic:blipFill>
                        <pic:spPr bwMode="auto">
                          <a:xfrm>
                            <a:off x="0" y="0"/>
                            <a:ext cx="546081" cy="258999"/>
                          </a:xfrm>
                          <a:prstGeom prst="rect">
                            <a:avLst/>
                          </a:prstGeom>
                          <a:noFill/>
                          <a:ln>
                            <a:noFill/>
                          </a:ln>
                        </pic:spPr>
                      </pic:pic>
                    </a:graphicData>
                  </a:graphic>
                </wp:inline>
              </w:drawing>
            </w:r>
            <w:r w:rsidRPr="00D3203C">
              <w:rPr>
                <w:sz w:val="24"/>
                <w:szCs w:val="24"/>
              </w:rPr>
              <w:t>____ (Mentor)</w:t>
            </w:r>
          </w:p>
          <w:p w14:paraId="5D3F0767" w14:textId="77777777" w:rsidR="00335C41" w:rsidRPr="00D3203C" w:rsidRDefault="00335C41" w:rsidP="00335C41">
            <w:pPr>
              <w:ind w:right="180"/>
              <w:jc w:val="both"/>
              <w:rPr>
                <w:sz w:val="24"/>
                <w:szCs w:val="24"/>
              </w:rPr>
            </w:pPr>
          </w:p>
          <w:p w14:paraId="24E1B8A5" w14:textId="10717B01" w:rsidR="00335C41" w:rsidRPr="00D3203C" w:rsidRDefault="00335C41" w:rsidP="00335C41">
            <w:pPr>
              <w:ind w:right="180"/>
              <w:jc w:val="both"/>
              <w:rPr>
                <w:sz w:val="24"/>
                <w:szCs w:val="24"/>
              </w:rPr>
            </w:pPr>
            <w:r w:rsidRPr="00D3203C">
              <w:rPr>
                <w:sz w:val="24"/>
                <w:szCs w:val="24"/>
              </w:rPr>
              <w:t xml:space="preserve">Date </w:t>
            </w:r>
            <w:r w:rsidR="00964FDB">
              <w:rPr>
                <w:sz w:val="24"/>
                <w:szCs w:val="24"/>
              </w:rPr>
              <w:t>30/09/2026</w:t>
            </w:r>
            <w:r w:rsidRPr="00D3203C">
              <w:rPr>
                <w:sz w:val="24"/>
                <w:szCs w:val="24"/>
              </w:rPr>
              <w:t>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w:t>
      </w:r>
      <w:r w:rsidR="00C57D24" w:rsidRPr="00E3288D">
        <w:rPr>
          <w:color w:val="auto"/>
          <w:sz w:val="24"/>
          <w:szCs w:val="24"/>
        </w:rPr>
        <w:lastRenderedPageBreak/>
        <w:t xml:space="preserve">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35215B8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676149">
        <w:rPr>
          <w:caps/>
          <w:sz w:val="24"/>
          <w:szCs w:val="24"/>
          <w:highlight w:val="yellow"/>
        </w:rPr>
        <w:t>name of Line manager</w:t>
      </w:r>
      <w:r w:rsidR="00B577D3" w:rsidRPr="00676149">
        <w:rPr>
          <w:caps/>
          <w:sz w:val="24"/>
          <w:szCs w:val="24"/>
          <w:highlight w:val="yellow"/>
        </w:rPr>
        <w:t>:</w:t>
      </w:r>
      <w:r w:rsidR="00B577D3">
        <w:rPr>
          <w:caps/>
          <w:sz w:val="24"/>
          <w:szCs w:val="24"/>
        </w:rPr>
        <w:t xml:space="preserve"> </w:t>
      </w:r>
      <w:r w:rsidR="009D59C2">
        <w:rPr>
          <w:caps/>
          <w:sz w:val="24"/>
          <w:szCs w:val="24"/>
        </w:rPr>
        <w:t xml:space="preserve">            </w:t>
      </w:r>
      <w:r w:rsidR="00964FDB">
        <w:rPr>
          <w:caps/>
          <w:sz w:val="24"/>
          <w:szCs w:val="24"/>
        </w:rPr>
        <w:t>Emma Watkins</w:t>
      </w:r>
      <w:r w:rsidR="00B577D3">
        <w:rPr>
          <w:caps/>
          <w:sz w:val="24"/>
          <w:szCs w:val="24"/>
        </w:rPr>
        <w:t>_ _ _ _ _ _ _ _ _ _ _ _ _ _ _ _ _ _ _</w:t>
      </w:r>
    </w:p>
    <w:p w14:paraId="7C11F360" w14:textId="32236ED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964FDB">
        <w:rPr>
          <w:noProof/>
        </w:rPr>
        <w:drawing>
          <wp:inline distT="0" distB="0" distL="0" distR="0" wp14:anchorId="319E6978" wp14:editId="2540ED66">
            <wp:extent cx="514350" cy="243949"/>
            <wp:effectExtent l="0" t="0" r="0" b="3810"/>
            <wp:docPr id="1071116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r:link="rId24">
                      <a:extLst>
                        <a:ext uri="{28A0092B-C50C-407E-A947-70E740481C1C}">
                          <a14:useLocalDpi xmlns:a14="http://schemas.microsoft.com/office/drawing/2010/main" val="0"/>
                        </a:ext>
                      </a:extLst>
                    </a:blip>
                    <a:srcRect/>
                    <a:stretch>
                      <a:fillRect/>
                    </a:stretch>
                  </pic:blipFill>
                  <pic:spPr bwMode="auto">
                    <a:xfrm>
                      <a:off x="0" y="0"/>
                      <a:ext cx="546081" cy="258999"/>
                    </a:xfrm>
                    <a:prstGeom prst="rect">
                      <a:avLst/>
                    </a:prstGeom>
                    <a:noFill/>
                    <a:ln>
                      <a:noFill/>
                    </a:ln>
                  </pic:spPr>
                </pic:pic>
              </a:graphicData>
            </a:graphic>
          </wp:inline>
        </w:drawing>
      </w:r>
      <w:r w:rsidR="00B577D3" w:rsidRPr="00B577D3">
        <w:rPr>
          <w:sz w:val="24"/>
          <w:szCs w:val="24"/>
        </w:rPr>
        <w:t xml:space="preserve">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06E95365"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964FDB">
        <w:rPr>
          <w:sz w:val="24"/>
          <w:szCs w:val="24"/>
        </w:rPr>
        <w:t>30/09/2026</w:t>
      </w:r>
      <w:r w:rsidR="00B577D3" w:rsidRPr="00B577D3">
        <w:rPr>
          <w:sz w:val="24"/>
          <w:szCs w:val="24"/>
        </w:rPr>
        <w:t xml:space="preserve">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16BEEF1F"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7C5797">
        <w:rPr>
          <w:caps/>
          <w:sz w:val="24"/>
          <w:szCs w:val="24"/>
          <w:highlight w:val="yellow"/>
        </w:rPr>
        <w:t>name of Social worker</w:t>
      </w:r>
      <w:r w:rsidR="001359EE" w:rsidRPr="007C5797">
        <w:rPr>
          <w:caps/>
          <w:sz w:val="24"/>
          <w:szCs w:val="24"/>
          <w:highlight w:val="yellow"/>
        </w:rPr>
        <w:t>:</w:t>
      </w:r>
      <w:r w:rsidR="001359EE">
        <w:rPr>
          <w:caps/>
          <w:sz w:val="24"/>
          <w:szCs w:val="24"/>
        </w:rPr>
        <w:t xml:space="preserve">             </w:t>
      </w:r>
      <w:r w:rsidR="00964FDB">
        <w:rPr>
          <w:caps/>
          <w:sz w:val="24"/>
          <w:szCs w:val="24"/>
        </w:rPr>
        <w:t>emma watkins</w:t>
      </w:r>
      <w:r w:rsidRPr="00B436BF">
        <w:rPr>
          <w:caps/>
          <w:sz w:val="24"/>
          <w:szCs w:val="24"/>
        </w:rPr>
        <w:t xml:space="preserve"> _ _ _ _ _ _ _ _ _ _ _ _ _ _ _ _ _ _</w:t>
      </w:r>
    </w:p>
    <w:p w14:paraId="4903E782" w14:textId="26222C00"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00964FDB">
        <w:rPr>
          <w:noProof/>
        </w:rPr>
        <w:drawing>
          <wp:inline distT="0" distB="0" distL="0" distR="0" wp14:anchorId="07FEB699" wp14:editId="51AFC0B5">
            <wp:extent cx="514350" cy="243949"/>
            <wp:effectExtent l="0" t="0" r="0" b="3810"/>
            <wp:docPr id="756636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r:link="rId24">
                      <a:extLst>
                        <a:ext uri="{28A0092B-C50C-407E-A947-70E740481C1C}">
                          <a14:useLocalDpi xmlns:a14="http://schemas.microsoft.com/office/drawing/2010/main" val="0"/>
                        </a:ext>
                      </a:extLst>
                    </a:blip>
                    <a:srcRect/>
                    <a:stretch>
                      <a:fillRect/>
                    </a:stretch>
                  </pic:blipFill>
                  <pic:spPr bwMode="auto">
                    <a:xfrm>
                      <a:off x="0" y="0"/>
                      <a:ext cx="546081" cy="258999"/>
                    </a:xfrm>
                    <a:prstGeom prst="rect">
                      <a:avLst/>
                    </a:prstGeom>
                    <a:noFill/>
                    <a:ln>
                      <a:noFill/>
                    </a:ln>
                  </pic:spPr>
                </pic:pic>
              </a:graphicData>
            </a:graphic>
          </wp:inline>
        </w:drawing>
      </w:r>
      <w:r w:rsidRPr="00B436BF">
        <w:rPr>
          <w:sz w:val="24"/>
          <w:szCs w:val="24"/>
        </w:rPr>
        <w:t>_ _ _ _ _ _ _ _ _ _ _ _ _ _ _ _ _</w:t>
      </w:r>
    </w:p>
    <w:p w14:paraId="35D5374D" w14:textId="680F01F3"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r w:rsidR="00964FDB">
        <w:rPr>
          <w:sz w:val="24"/>
          <w:szCs w:val="24"/>
        </w:rPr>
        <w:t>Assistant team manager</w:t>
      </w:r>
      <w:r w:rsidRPr="00B436BF">
        <w:rPr>
          <w:sz w:val="24"/>
          <w:szCs w:val="24"/>
        </w:rPr>
        <w:t xml:space="preserve"> _ _ _ _ _ _ _ _</w:t>
      </w:r>
    </w:p>
    <w:p w14:paraId="4FB74CFA" w14:textId="0C0537CF" w:rsidR="00FA41C7" w:rsidRPr="00964FDB"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 xml:space="preserve">DATE: </w:t>
      </w:r>
      <w:r w:rsidR="001359EE">
        <w:rPr>
          <w:sz w:val="24"/>
          <w:szCs w:val="24"/>
        </w:rPr>
        <w:t xml:space="preserve">                                                  </w:t>
      </w:r>
      <w:r w:rsidR="00964FDB">
        <w:rPr>
          <w:sz w:val="24"/>
          <w:szCs w:val="24"/>
        </w:rPr>
        <w:t>30/09/2026</w:t>
      </w:r>
      <w:r w:rsidRPr="00B436BF">
        <w:rPr>
          <w:sz w:val="24"/>
          <w:szCs w:val="24"/>
        </w:rPr>
        <w:t>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11126C53" w:rsidR="00D05A5D" w:rsidRPr="00DA5682" w:rsidRDefault="001D17DE" w:rsidP="00CC14B6">
            <w:pPr>
              <w:rPr>
                <w:sz w:val="24"/>
                <w:szCs w:val="24"/>
              </w:rPr>
            </w:pPr>
            <w:r>
              <w:rPr>
                <w:sz w:val="24"/>
                <w:szCs w:val="24"/>
              </w:rPr>
              <w:t>Laura Collins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5CBC731D" w:rsidR="00D05A5D" w:rsidRPr="00DA5682" w:rsidRDefault="001D17DE" w:rsidP="00CC14B6">
            <w:pPr>
              <w:rPr>
                <w:sz w:val="24"/>
                <w:szCs w:val="24"/>
              </w:rPr>
            </w:pPr>
            <w:r>
              <w:rPr>
                <w:sz w:val="24"/>
                <w:szCs w:val="24"/>
              </w:rPr>
              <w:t>Community Mental Health Team</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4D84699E" w:rsidR="00D05A5D" w:rsidRPr="00DA5682" w:rsidRDefault="001D17DE" w:rsidP="00CC14B6">
            <w:pPr>
              <w:rPr>
                <w:sz w:val="24"/>
                <w:szCs w:val="24"/>
              </w:rPr>
            </w:pPr>
            <w:r>
              <w:rPr>
                <w:sz w:val="24"/>
                <w:szCs w:val="24"/>
              </w:rPr>
              <w:t>Emma Watkins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23EE5588" w:rsidR="00D05A5D" w:rsidRPr="00DA5682" w:rsidRDefault="001D17DE" w:rsidP="00CC14B6">
            <w:pPr>
              <w:rPr>
                <w:sz w:val="24"/>
                <w:szCs w:val="24"/>
              </w:rPr>
            </w:pPr>
            <w:r>
              <w:rPr>
                <w:sz w:val="24"/>
                <w:szCs w:val="24"/>
              </w:rPr>
              <w:t>Emma Watkins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(i)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1F81A1D9" w:rsidR="00D05A5D" w:rsidRPr="00DA5682" w:rsidRDefault="00D05A5D" w:rsidP="00D05A5D">
      <w:pPr>
        <w:rPr>
          <w:sz w:val="24"/>
          <w:szCs w:val="24"/>
        </w:rPr>
      </w:pPr>
      <w:r w:rsidRPr="00DA5682">
        <w:rPr>
          <w:sz w:val="24"/>
          <w:szCs w:val="24"/>
        </w:rPr>
        <w:t>Signed:</w:t>
      </w:r>
      <w:r w:rsidR="00964FDB" w:rsidRPr="00964FDB">
        <w:rPr>
          <w:noProof/>
        </w:rPr>
        <w:t xml:space="preserve"> </w:t>
      </w:r>
      <w:r w:rsidR="00964FDB" w:rsidRPr="004362FD">
        <w:rPr>
          <w:noProof/>
        </w:rPr>
        <w:drawing>
          <wp:inline distT="0" distB="0" distL="0" distR="0" wp14:anchorId="447BB9A2" wp14:editId="598D42BC">
            <wp:extent cx="568325" cy="232167"/>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6646" cy="243737"/>
                    </a:xfrm>
                    <a:prstGeom prst="rect">
                      <a:avLst/>
                    </a:prstGeom>
                    <a:noFill/>
                    <a:ln>
                      <a:noFill/>
                    </a:ln>
                  </pic:spPr>
                </pic:pic>
              </a:graphicData>
            </a:graphic>
          </wp:inline>
        </w:drawing>
      </w:r>
      <w:r w:rsidRPr="00DA5682">
        <w:rPr>
          <w:sz w:val="24"/>
          <w:szCs w:val="24"/>
        </w:rPr>
        <w:t>…………</w:t>
      </w:r>
      <w:proofErr w:type="gramStart"/>
      <w:r w:rsidRPr="00DA5682">
        <w:rPr>
          <w:sz w:val="24"/>
          <w:szCs w:val="24"/>
        </w:rPr>
        <w:t>…..</w:t>
      </w:r>
      <w:proofErr w:type="gramEnd"/>
      <w:r w:rsidRPr="00DA5682">
        <w:rPr>
          <w:sz w:val="24"/>
          <w:szCs w:val="24"/>
        </w:rPr>
        <w:t xml:space="preserve"> Print Name:</w:t>
      </w:r>
      <w:r w:rsidR="00964FDB">
        <w:rPr>
          <w:sz w:val="24"/>
          <w:szCs w:val="24"/>
        </w:rPr>
        <w:t xml:space="preserve"> Laura Collins</w:t>
      </w:r>
      <w:r w:rsidRPr="00DA5682">
        <w:rPr>
          <w:sz w:val="24"/>
          <w:szCs w:val="24"/>
        </w:rPr>
        <w:t>…… Date:</w:t>
      </w:r>
      <w:r w:rsidR="00964FDB">
        <w:rPr>
          <w:sz w:val="24"/>
          <w:szCs w:val="24"/>
        </w:rPr>
        <w:t>30/09/2026</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0ADD8A25" w:rsidR="00D05A5D" w:rsidRPr="00964FDB" w:rsidRDefault="00D05A5D" w:rsidP="00D05A5D">
      <w:pPr>
        <w:rPr>
          <w:sz w:val="24"/>
          <w:szCs w:val="24"/>
        </w:rPr>
      </w:pPr>
      <w:r w:rsidRPr="00964FDB">
        <w:rPr>
          <w:sz w:val="24"/>
          <w:szCs w:val="24"/>
        </w:rPr>
        <w:t>Signed:</w:t>
      </w:r>
      <w:r w:rsidR="00964FDB" w:rsidRPr="00964FDB">
        <w:rPr>
          <w:sz w:val="24"/>
          <w:szCs w:val="24"/>
        </w:rPr>
        <w:t xml:space="preserve"> </w:t>
      </w:r>
      <w:r w:rsidR="00964FDB" w:rsidRPr="00964FDB">
        <w:rPr>
          <w:noProof/>
        </w:rPr>
        <w:drawing>
          <wp:inline distT="0" distB="0" distL="0" distR="0" wp14:anchorId="3C2201C1" wp14:editId="7FAA2EA3">
            <wp:extent cx="514350" cy="243949"/>
            <wp:effectExtent l="0" t="0" r="0" b="3810"/>
            <wp:docPr id="234868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r:link="rId24">
                      <a:extLst>
                        <a:ext uri="{28A0092B-C50C-407E-A947-70E740481C1C}">
                          <a14:useLocalDpi xmlns:a14="http://schemas.microsoft.com/office/drawing/2010/main" val="0"/>
                        </a:ext>
                      </a:extLst>
                    </a:blip>
                    <a:srcRect/>
                    <a:stretch>
                      <a:fillRect/>
                    </a:stretch>
                  </pic:blipFill>
                  <pic:spPr bwMode="auto">
                    <a:xfrm>
                      <a:off x="0" y="0"/>
                      <a:ext cx="546081" cy="258999"/>
                    </a:xfrm>
                    <a:prstGeom prst="rect">
                      <a:avLst/>
                    </a:prstGeom>
                    <a:noFill/>
                    <a:ln>
                      <a:noFill/>
                    </a:ln>
                  </pic:spPr>
                </pic:pic>
              </a:graphicData>
            </a:graphic>
          </wp:inline>
        </w:drawing>
      </w:r>
      <w:r w:rsidRPr="00964FDB">
        <w:rPr>
          <w:sz w:val="24"/>
          <w:szCs w:val="24"/>
        </w:rPr>
        <w:t>…</w:t>
      </w:r>
      <w:proofErr w:type="gramStart"/>
      <w:r w:rsidRPr="00964FDB">
        <w:rPr>
          <w:sz w:val="24"/>
          <w:szCs w:val="24"/>
        </w:rPr>
        <w:t>…..</w:t>
      </w:r>
      <w:proofErr w:type="gramEnd"/>
      <w:r w:rsidRPr="00964FDB">
        <w:rPr>
          <w:sz w:val="24"/>
          <w:szCs w:val="24"/>
        </w:rPr>
        <w:t xml:space="preserve"> Print </w:t>
      </w:r>
      <w:proofErr w:type="gramStart"/>
      <w:r w:rsidRPr="00964FDB">
        <w:rPr>
          <w:sz w:val="24"/>
          <w:szCs w:val="24"/>
        </w:rPr>
        <w:t>Name:…</w:t>
      </w:r>
      <w:proofErr w:type="gramEnd"/>
      <w:r w:rsidR="00964FDB" w:rsidRPr="00964FDB">
        <w:rPr>
          <w:sz w:val="24"/>
          <w:szCs w:val="24"/>
        </w:rPr>
        <w:t>Emma Watkins</w:t>
      </w:r>
      <w:r w:rsidRPr="00964FDB">
        <w:rPr>
          <w:sz w:val="24"/>
          <w:szCs w:val="24"/>
        </w:rPr>
        <w:t>…</w:t>
      </w:r>
      <w:proofErr w:type="gramStart"/>
      <w:r w:rsidRPr="00964FDB">
        <w:rPr>
          <w:sz w:val="24"/>
          <w:szCs w:val="24"/>
        </w:rPr>
        <w:t>….Date</w:t>
      </w:r>
      <w:proofErr w:type="gramEnd"/>
      <w:r w:rsidRPr="00964FDB">
        <w:rPr>
          <w:sz w:val="24"/>
          <w:szCs w:val="24"/>
        </w:rPr>
        <w:t>:</w:t>
      </w:r>
      <w:r w:rsidR="00964FDB">
        <w:rPr>
          <w:sz w:val="24"/>
          <w:szCs w:val="24"/>
        </w:rPr>
        <w:t>30/09/2026</w:t>
      </w:r>
      <w:r w:rsidRPr="00964FDB">
        <w:rPr>
          <w:sz w:val="24"/>
          <w:szCs w:val="24"/>
        </w:rPr>
        <w:t xml:space="preserve">…. </w:t>
      </w:r>
    </w:p>
    <w:p w14:paraId="0E2F64AB" w14:textId="77777777" w:rsidR="00D05A5D" w:rsidRPr="00DA5682" w:rsidRDefault="00D05A5D" w:rsidP="00D05A5D">
      <w:pPr>
        <w:rPr>
          <w:sz w:val="24"/>
          <w:szCs w:val="24"/>
        </w:rPr>
      </w:pPr>
      <w:r w:rsidRPr="00964FDB">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footerReference w:type="default" r:id="rId2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8CAD67" w14:textId="77777777" w:rsidR="00CE557A" w:rsidRDefault="00CE557A">
      <w:r>
        <w:separator/>
      </w:r>
    </w:p>
  </w:endnote>
  <w:endnote w:type="continuationSeparator" w:id="0">
    <w:p w14:paraId="0ECB6FED" w14:textId="77777777" w:rsidR="00CE557A" w:rsidRDefault="00CE55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3F0EF9" w14:textId="77777777" w:rsidR="00CE557A" w:rsidRDefault="00CE557A">
      <w:r>
        <w:separator/>
      </w:r>
    </w:p>
  </w:footnote>
  <w:footnote w:type="continuationSeparator" w:id="0">
    <w:p w14:paraId="28BAD7DA" w14:textId="77777777" w:rsidR="00CE557A" w:rsidRDefault="00CE55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0D4"/>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07E8A"/>
    <w:rsid w:val="00112391"/>
    <w:rsid w:val="00114F52"/>
    <w:rsid w:val="001169AF"/>
    <w:rsid w:val="00130119"/>
    <w:rsid w:val="00132812"/>
    <w:rsid w:val="001347F8"/>
    <w:rsid w:val="001359EE"/>
    <w:rsid w:val="00137BB5"/>
    <w:rsid w:val="00137E05"/>
    <w:rsid w:val="001447F6"/>
    <w:rsid w:val="00147DE3"/>
    <w:rsid w:val="00150794"/>
    <w:rsid w:val="00151DA6"/>
    <w:rsid w:val="001578F5"/>
    <w:rsid w:val="001608C4"/>
    <w:rsid w:val="00164832"/>
    <w:rsid w:val="00164C8D"/>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17DE"/>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68BB"/>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589B"/>
    <w:rsid w:val="003015C3"/>
    <w:rsid w:val="00303B4E"/>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2C9"/>
    <w:rsid w:val="00385414"/>
    <w:rsid w:val="00390074"/>
    <w:rsid w:val="00392F73"/>
    <w:rsid w:val="00393600"/>
    <w:rsid w:val="0039762B"/>
    <w:rsid w:val="003A0C37"/>
    <w:rsid w:val="003A1B6B"/>
    <w:rsid w:val="003A3D91"/>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754FD"/>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C3C61"/>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641"/>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76AE"/>
    <w:rsid w:val="006326D1"/>
    <w:rsid w:val="00632E0A"/>
    <w:rsid w:val="00633165"/>
    <w:rsid w:val="006447DE"/>
    <w:rsid w:val="00644889"/>
    <w:rsid w:val="0065100B"/>
    <w:rsid w:val="0065276E"/>
    <w:rsid w:val="00654329"/>
    <w:rsid w:val="00654CEC"/>
    <w:rsid w:val="00655507"/>
    <w:rsid w:val="006579FD"/>
    <w:rsid w:val="006635E3"/>
    <w:rsid w:val="006669F3"/>
    <w:rsid w:val="006712A7"/>
    <w:rsid w:val="00672CED"/>
    <w:rsid w:val="00674FC2"/>
    <w:rsid w:val="00676149"/>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797"/>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238E"/>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397"/>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DAA"/>
    <w:rsid w:val="00916FB2"/>
    <w:rsid w:val="00920E5B"/>
    <w:rsid w:val="00926436"/>
    <w:rsid w:val="00926C53"/>
    <w:rsid w:val="0093018C"/>
    <w:rsid w:val="0094495F"/>
    <w:rsid w:val="009544C0"/>
    <w:rsid w:val="00954FA4"/>
    <w:rsid w:val="00956AE9"/>
    <w:rsid w:val="00964CC6"/>
    <w:rsid w:val="00964FDB"/>
    <w:rsid w:val="00967BFA"/>
    <w:rsid w:val="00974368"/>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05B"/>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64B1"/>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0D64"/>
    <w:rsid w:val="00CD45E3"/>
    <w:rsid w:val="00CD4771"/>
    <w:rsid w:val="00CD5089"/>
    <w:rsid w:val="00CD5D3F"/>
    <w:rsid w:val="00CD7E1F"/>
    <w:rsid w:val="00CE4BC4"/>
    <w:rsid w:val="00CE557A"/>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5A9"/>
    <w:rsid w:val="00D876E6"/>
    <w:rsid w:val="00D90958"/>
    <w:rsid w:val="00D943DB"/>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6342"/>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4EBB"/>
    <w:rsid w:val="00F95D08"/>
    <w:rsid w:val="00FA23BD"/>
    <w:rsid w:val="00FA3764"/>
    <w:rsid w:val="00FA41C7"/>
    <w:rsid w:val="00FA4A79"/>
    <w:rsid w:val="00FA56ED"/>
    <w:rsid w:val="00FB05DD"/>
    <w:rsid w:val="00FB0F7C"/>
    <w:rsid w:val="00FB24EA"/>
    <w:rsid w:val="00FB2F31"/>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ocialcare.wales/codes-of-practice-and-guidance/code-of-professional-practice-for-social-care-workers" TargetMode="External"/><Relationship Id="rId18" Type="http://schemas.openxmlformats.org/officeDocument/2006/relationships/hyperlink" Target="https://www.gov.uk/government/publications/changes-to-the-definition-of-deprivation-of-liberty/uk-supreme-court-2026-judgment-on-what-constitutes-a-deprivation-of-liberty"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gov.wales/mental-health-and-wellbeing-strategy-2025-2035" TargetMode="External"/><Relationship Id="rId7" Type="http://schemas.openxmlformats.org/officeDocument/2006/relationships/settings" Target="settings.xml"/><Relationship Id="rId12" Type="http://schemas.openxmlformats.org/officeDocument/2006/relationships/hyperlink" Target="https://www.cqc.org.uk/publications/major-report/state-care/2022-2023/dols" TargetMode="External"/><Relationship Id="rId17" Type="http://schemas.openxmlformats.org/officeDocument/2006/relationships/hyperlink" Target="https://www.gov.wales/social-services-and-well-being-wales-act-2014"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gov.wales/safeguarding-adults-risk-abuse-or-neglect" TargetMode="External"/><Relationship Id="rId20" Type="http://schemas.openxmlformats.org/officeDocument/2006/relationships/hyperlink" Target="https://www.scie.org.uk/mca/dols/at-a-gla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cid:image001.png@01DA9BE1.79C17780" TargetMode="External"/><Relationship Id="rId5" Type="http://schemas.openxmlformats.org/officeDocument/2006/relationships/numbering" Target="numbering.xml"/><Relationship Id="rId15" Type="http://schemas.openxmlformats.org/officeDocument/2006/relationships/hyperlink" Target="https://www.gov.uk/government/collections/mental-capacity-act-making-decisions" TargetMode="External"/><Relationship Id="rId23"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hyperlink" Target="https://www.scie.org.uk/mca/practice/assessing-capacit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ukpga/1989/41/contents" TargetMode="External"/><Relationship Id="rId22" Type="http://schemas.openxmlformats.org/officeDocument/2006/relationships/image" Target="media/image2.emf"/><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584D8508B77D44B887A2DC9CF6447F9" ma:contentTypeVersion="3" ma:contentTypeDescription="Create a new document." ma:contentTypeScope="" ma:versionID="060a9e97aab4702f29c38b9ce0d49044">
  <xsd:schema xmlns:xsd="http://www.w3.org/2001/XMLSchema" xmlns:xs="http://www.w3.org/2001/XMLSchema" xmlns:p="http://schemas.microsoft.com/office/2006/metadata/properties" xmlns:ns2="175e71fa-ad2c-4069-a852-228a992f8219" targetNamespace="http://schemas.microsoft.com/office/2006/metadata/properties" ma:root="true" ma:fieldsID="f7a60aa842c3c06333e714d61509482c" ns2:_="">
    <xsd:import namespace="175e71fa-ad2c-4069-a852-228a992f821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e71fa-ad2c-4069-a852-228a992f821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762D251D-0DCB-400F-AB1E-34403DDE8E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e71fa-ad2c-4069-a852-228a992f821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B91BEA2-AF1E-402C-BD38-158133AB9BD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4453</Words>
  <Characters>25384</Characters>
  <Application>Microsoft Office Word</Application>
  <DocSecurity>4</DocSecurity>
  <Lines>211</Lines>
  <Paragraphs>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Laura J Collins</cp:lastModifiedBy>
  <cp:revision>2</cp:revision>
  <cp:lastPrinted>2020-02-11T19:20:00Z</cp:lastPrinted>
  <dcterms:created xsi:type="dcterms:W3CDTF">2026-10-06T19:48:00Z</dcterms:created>
  <dcterms:modified xsi:type="dcterms:W3CDTF">2026-10-06T19:48:00Z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0x010100A584D8508B77D44B887A2DC9CF6447F9</vt:lpwstr>
  </property>
</Properties>
</file>