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ackground w:color="ffffff"/>
  <w:body>
    <w:p>
      <w:pPr>
        <w:pStyle w:val="style0"/>
        <w:jc w:val="center"/>
        <w:rPr>
          <w:rFonts w:ascii="Times New Roman" w:cs="Times New Roman" w:eastAsia="Times New Roman" w:hAnsi="Times New Roman"/>
          <w:b/>
          <w:bCs/>
          <w:sz w:val="40"/>
          <w:szCs w:val="40"/>
        </w:rPr>
      </w:pPr>
      <w:r>
        <w:rPr>
          <w:rFonts w:ascii="Times New Roman" w:cs="Times New Roman" w:eastAsia="Times New Roman" w:hAnsi="Times New Roman"/>
          <w:b/>
          <w:bCs/>
          <w:noProof/>
          <w:sz w:val="40"/>
          <w:szCs w:val="40"/>
        </w:rPr>
        <w:drawing>
          <wp:inline distL="0" distT="0" distB="0" distR="0">
            <wp:extent cx="2667000" cy="1247775"/>
            <wp:effectExtent l="0" t="0" r="0" b="0"/>
            <wp:docPr id="1027" name="image1.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2" cstate="print"/>
                    <a:srcRect l="0" t="0" r="0" b="0"/>
                    <a:stretch/>
                  </pic:blipFill>
                  <pic:spPr>
                    <a:xfrm rot="0">
                      <a:off x="0" y="0"/>
                      <a:ext cx="2667000" cy="1247775"/>
                    </a:xfrm>
                    <a:prstGeom prst="rect"/>
                    <a:ln cmpd="sng" cap="flat" w="9525">
                      <a:solidFill>
                        <a:srgbClr val="000000"/>
                      </a:solidFill>
                      <a:prstDash val="solid"/>
                      <a:round/>
                      <a:headEnd len="med" w="med" type="none"/>
                      <a:tailEnd len="med" w="med" type="none"/>
                    </a:ln>
                  </pic:spPr>
                </pic:pic>
              </a:graphicData>
            </a:graphic>
          </wp:inline>
        </w:drawing>
      </w:r>
    </w:p>
    <w:p>
      <w:pPr>
        <w:pStyle w:val="style0"/>
        <w:rPr>
          <w:rFonts w:ascii="Times New Roman" w:cs="Times New Roman" w:eastAsia="Times New Roman" w:hAnsi="Times New Roman"/>
          <w:b/>
          <w:bCs/>
          <w:sz w:val="40"/>
          <w:szCs w:val="40"/>
        </w:rPr>
      </w:pPr>
    </w:p>
    <w:p>
      <w:pPr>
        <w:pStyle w:val="style0"/>
        <w:jc w:val="center"/>
        <w:rPr>
          <w:rFonts w:eastAsia="Times New Roman"/>
          <w:b/>
          <w:bCs/>
          <w:sz w:val="40"/>
          <w:szCs w:val="40"/>
        </w:rPr>
      </w:pPr>
      <w:r>
        <w:rPr>
          <w:rFonts w:eastAsia="Times New Roman"/>
          <w:b/>
          <w:bCs/>
          <w:sz w:val="40"/>
          <w:szCs w:val="40"/>
        </w:rPr>
        <w:t>Master of Business Administration</w:t>
      </w:r>
    </w:p>
    <w:p>
      <w:pPr>
        <w:pStyle w:val="style0"/>
        <w:jc w:val="center"/>
        <w:rPr>
          <w:rFonts w:eastAsia="Times New Roman"/>
          <w:b/>
          <w:bCs/>
          <w:sz w:val="40"/>
          <w:szCs w:val="40"/>
        </w:rPr>
      </w:pPr>
      <w:r>
        <w:rPr>
          <w:rFonts w:eastAsia="Times New Roman"/>
          <w:b/>
          <w:bCs/>
          <w:sz w:val="40"/>
          <w:szCs w:val="40"/>
        </w:rPr>
        <w:t>Marketing Management</w:t>
      </w:r>
    </w:p>
    <w:p>
      <w:pPr>
        <w:pStyle w:val="style0"/>
        <w:jc w:val="center"/>
        <w:rPr>
          <w:rFonts w:eastAsia="Times New Roman"/>
          <w:b/>
          <w:bCs/>
          <w:sz w:val="40"/>
          <w:szCs w:val="40"/>
        </w:rPr>
      </w:pPr>
      <w:r>
        <w:rPr>
          <w:rFonts w:eastAsia="Times New Roman"/>
          <w:b/>
          <w:bCs/>
          <w:sz w:val="40"/>
          <w:szCs w:val="40"/>
        </w:rPr>
        <w:t>LCMB7024</w:t>
      </w:r>
    </w:p>
    <w:p>
      <w:pPr>
        <w:pStyle w:val="style0"/>
        <w:jc w:val="center"/>
        <w:rPr>
          <w:rFonts w:eastAsia="Times New Roman"/>
          <w:b/>
          <w:bCs/>
          <w:sz w:val="40"/>
          <w:szCs w:val="40"/>
        </w:rPr>
      </w:pPr>
      <w:r>
        <w:rPr>
          <w:rFonts w:eastAsia="Times New Roman"/>
          <w:b/>
          <w:bCs/>
          <w:sz w:val="40"/>
          <w:szCs w:val="40"/>
        </w:rPr>
        <w:t>Marketing Environment Analysis</w:t>
      </w:r>
    </w:p>
    <w:p>
      <w:pPr>
        <w:pStyle w:val="style0"/>
        <w:jc w:val="center"/>
        <w:rPr>
          <w:rFonts w:eastAsia="Times New Roman"/>
          <w:b/>
          <w:bCs/>
          <w:sz w:val="40"/>
          <w:szCs w:val="40"/>
        </w:rPr>
      </w:pPr>
    </w:p>
    <w:p>
      <w:pPr>
        <w:pStyle w:val="style0"/>
        <w:jc w:val="center"/>
        <w:rPr>
          <w:rFonts w:ascii="宋体" w:hAnsi="宋体"/>
          <w:b/>
          <w:bCs/>
          <w:sz w:val="28"/>
          <w:szCs w:val="28"/>
        </w:rPr>
      </w:pPr>
      <w:r>
        <w:rPr>
          <w:rFonts w:ascii="宋体" w:hAnsi="宋体"/>
          <w:b/>
          <w:bCs/>
          <w:sz w:val="28"/>
          <w:szCs w:val="28"/>
        </w:rPr>
        <w:t>Student Name:</w:t>
      </w:r>
      <w:r>
        <w:rPr>
          <w:rFonts w:hAnsi="宋体"/>
          <w:b/>
          <w:bCs/>
          <w:sz w:val="28"/>
          <w:szCs w:val="28"/>
          <w:lang w:val="en-US"/>
        </w:rPr>
        <w:t xml:space="preserve"> kartik Mukeshbhai Raval </w:t>
      </w:r>
    </w:p>
    <w:p>
      <w:pPr>
        <w:pStyle w:val="style0"/>
        <w:jc w:val="center"/>
        <w:rPr>
          <w:rFonts w:ascii="宋体" w:hAnsi="宋体"/>
          <w:b/>
          <w:bCs/>
          <w:sz w:val="28"/>
          <w:szCs w:val="28"/>
        </w:rPr>
      </w:pPr>
    </w:p>
    <w:p>
      <w:pPr>
        <w:pStyle w:val="style0"/>
        <w:jc w:val="center"/>
        <w:rPr>
          <w:rFonts w:ascii="宋体" w:hAnsi="宋体"/>
          <w:b/>
          <w:bCs/>
          <w:sz w:val="28"/>
          <w:szCs w:val="28"/>
        </w:rPr>
      </w:pPr>
      <w:r>
        <w:rPr>
          <w:rFonts w:ascii="宋体" w:hAnsi="宋体"/>
          <w:b/>
          <w:bCs/>
          <w:sz w:val="28"/>
          <w:szCs w:val="28"/>
        </w:rPr>
        <w:t>Student ID:</w:t>
      </w:r>
      <w:r>
        <w:rPr>
          <w:rFonts w:hAnsi="宋体"/>
          <w:b/>
          <w:bCs/>
          <w:sz w:val="28"/>
          <w:szCs w:val="28"/>
          <w:lang w:val="en-US"/>
        </w:rPr>
        <w:t xml:space="preserve"> 2519361</w:t>
      </w:r>
    </w:p>
    <w:p>
      <w:pPr>
        <w:pStyle w:val="style0"/>
        <w:jc w:val="center"/>
        <w:rPr>
          <w:rFonts w:ascii="宋体" w:hAnsi="宋体"/>
          <w:sz w:val="28"/>
          <w:szCs w:val="28"/>
        </w:rPr>
      </w:pPr>
    </w:p>
    <w:p>
      <w:pPr>
        <w:pStyle w:val="style0"/>
        <w:jc w:val="center"/>
        <w:rPr>
          <w:rFonts w:ascii="宋体" w:hAnsi="宋体"/>
          <w:b/>
          <w:bCs/>
          <w:sz w:val="28"/>
          <w:szCs w:val="28"/>
        </w:rPr>
      </w:pPr>
      <w:r>
        <w:rPr>
          <w:rFonts w:ascii="宋体" w:hAnsi="宋体"/>
          <w:b/>
          <w:bCs/>
          <w:sz w:val="28"/>
          <w:szCs w:val="28"/>
        </w:rPr>
        <w:t>Module Name: Marketing Management</w:t>
      </w:r>
    </w:p>
    <w:p>
      <w:pPr>
        <w:pStyle w:val="style0"/>
        <w:jc w:val="center"/>
        <w:rPr>
          <w:rFonts w:ascii="宋体" w:hAnsi="宋体"/>
          <w:b/>
          <w:bCs/>
          <w:sz w:val="28"/>
          <w:szCs w:val="28"/>
        </w:rPr>
      </w:pPr>
    </w:p>
    <w:p>
      <w:pPr>
        <w:pStyle w:val="style0"/>
        <w:jc w:val="center"/>
        <w:rPr>
          <w:rFonts w:ascii="宋体" w:hAnsi="宋体"/>
          <w:b/>
          <w:bCs/>
          <w:sz w:val="28"/>
          <w:szCs w:val="28"/>
        </w:rPr>
      </w:pPr>
      <w:r>
        <w:rPr>
          <w:rFonts w:ascii="宋体" w:hAnsi="宋体"/>
          <w:b/>
          <w:bCs/>
          <w:sz w:val="28"/>
          <w:szCs w:val="28"/>
        </w:rPr>
        <w:t>Module Code: LCMB7024</w:t>
      </w:r>
    </w:p>
    <w:p>
      <w:pPr>
        <w:pStyle w:val="style0"/>
        <w:jc w:val="center"/>
        <w:rPr>
          <w:rFonts w:ascii="宋体" w:hAnsi="宋体"/>
          <w:b/>
          <w:bCs/>
          <w:sz w:val="28"/>
          <w:szCs w:val="28"/>
        </w:rPr>
      </w:pPr>
    </w:p>
    <w:p>
      <w:pPr>
        <w:pStyle w:val="style0"/>
        <w:jc w:val="center"/>
        <w:rPr>
          <w:rFonts w:ascii="宋体" w:hAnsi="宋体"/>
          <w:b/>
          <w:bCs/>
          <w:sz w:val="28"/>
          <w:szCs w:val="28"/>
        </w:rPr>
      </w:pPr>
      <w:r>
        <w:rPr>
          <w:rFonts w:ascii="宋体" w:hAnsi="宋体"/>
          <w:b/>
          <w:bCs/>
          <w:sz w:val="28"/>
          <w:szCs w:val="28"/>
        </w:rPr>
        <w:t>Lecturer’s Name:</w:t>
      </w:r>
      <w:r>
        <w:rPr>
          <w:rFonts w:hAnsi="宋体"/>
          <w:b/>
          <w:bCs/>
          <w:sz w:val="28"/>
          <w:szCs w:val="28"/>
          <w:lang w:val="en-US"/>
        </w:rPr>
        <w:t xml:space="preserve"> Laila maazuoz </w:t>
      </w:r>
    </w:p>
    <w:p>
      <w:pPr>
        <w:pStyle w:val="style0"/>
        <w:rPr>
          <w:rFonts w:ascii="宋体" w:hAnsi="宋体"/>
          <w:b/>
          <w:bCs/>
          <w:sz w:val="28"/>
          <w:szCs w:val="28"/>
        </w:rPr>
      </w:pPr>
    </w:p>
    <w:p>
      <w:pPr>
        <w:pStyle w:val="style0"/>
        <w:jc w:val="center"/>
        <w:rPr>
          <w:rFonts w:ascii="宋体" w:hAnsi="宋体"/>
          <w:b/>
          <w:bCs/>
          <w:sz w:val="28"/>
          <w:szCs w:val="28"/>
        </w:rPr>
      </w:pPr>
      <w:r>
        <w:rPr>
          <w:rFonts w:ascii="宋体" w:hAnsi="宋体"/>
          <w:b/>
          <w:bCs/>
          <w:sz w:val="28"/>
          <w:szCs w:val="28"/>
        </w:rPr>
        <w:t>Work Count:</w:t>
      </w:r>
      <w:r>
        <w:rPr>
          <w:rFonts w:hAnsi="宋体"/>
          <w:b/>
          <w:bCs/>
          <w:sz w:val="28"/>
          <w:szCs w:val="28"/>
          <w:lang w:val="en-US"/>
        </w:rPr>
        <w:t xml:space="preserve"> 2500</w:t>
      </w:r>
    </w:p>
    <w:p>
      <w:pPr>
        <w:pStyle w:val="style0"/>
        <w:jc w:val="center"/>
        <w:rPr>
          <w:rFonts w:ascii="宋体" w:hAnsi="宋体"/>
          <w:b/>
          <w:bCs/>
          <w:sz w:val="28"/>
          <w:szCs w:val="28"/>
        </w:rPr>
      </w:pPr>
    </w:p>
    <w:p>
      <w:pPr>
        <w:pStyle w:val="style0"/>
        <w:rPr>
          <w:rFonts w:ascii="宋体" w:hAnsi="宋体"/>
          <w:b/>
          <w:bCs/>
          <w:sz w:val="28"/>
          <w:szCs w:val="28"/>
        </w:rPr>
      </w:pPr>
    </w:p>
    <w:p>
      <w:pPr>
        <w:pStyle w:val="style0"/>
        <w:jc w:val="center"/>
        <w:rPr>
          <w:rFonts w:eastAsia="Times New Roman"/>
          <w:b/>
          <w:bCs/>
          <w:sz w:val="40"/>
          <w:szCs w:val="40"/>
        </w:rPr>
      </w:pPr>
      <w:r>
        <w:rPr>
          <w:rFonts w:ascii="宋体" w:hAnsi="宋体"/>
          <w:b/>
          <w:bCs/>
          <w:sz w:val="28"/>
          <w:szCs w:val="28"/>
        </w:rPr>
        <w:t>Term 1</w:t>
      </w:r>
      <w:r>
        <w:br w:type="page"/>
      </w:r>
    </w:p>
    <w:p>
      <w:pPr>
        <w:pStyle w:val="style0"/>
        <w:jc w:val="center"/>
        <w:rPr>
          <w:rFonts w:eastAsia="Times New Roman"/>
          <w:b/>
          <w:bCs/>
          <w:szCs w:val="24"/>
        </w:rPr>
      </w:pPr>
      <w:r>
        <w:rPr>
          <w:rFonts w:eastAsia="Times New Roman"/>
          <w:b/>
          <w:bCs/>
          <w:szCs w:val="24"/>
        </w:rPr>
        <w:t>Tables of contents</w:t>
      </w:r>
    </w:p>
    <w:p>
      <w:pPr>
        <w:pStyle w:val="style19"/>
        <w:tabs>
          <w:tab w:val="right" w:leader="none" w:pos="9350"/>
        </w:tabs>
        <w:rPr>
          <w:noProof/>
        </w:rPr>
      </w:pPr>
      <w:r>
        <w:rPr/>
        <w:fldChar w:fldCharType="begin"/>
      </w:r>
      <w:r>
        <w:instrText xml:space="preserve"> TOC \h \u \z \t "Heading 1,1,Heading 2,2,Heading 3,3,Heading 4,4,Heading 5,5,Heading 6,6,"</w:instrText>
      </w:r>
      <w:r>
        <w:rPr/>
        <w:fldChar w:fldCharType="separate"/>
      </w:r>
      <w:r>
        <w:rPr/>
        <w:fldChar w:fldCharType="begin"/>
      </w:r>
      <w:r>
        <w:instrText xml:space="preserve"> HYPERLINK \l "_Toc224586229" </w:instrText>
      </w:r>
      <w:r>
        <w:rPr/>
        <w:fldChar w:fldCharType="separate"/>
      </w:r>
      <w:r>
        <w:rPr>
          <w:rStyle w:val="style85"/>
          <w:noProof/>
        </w:rPr>
        <w:t>Task 1:</w:t>
      </w:r>
      <w:r>
        <w:rPr>
          <w:noProof/>
          <w:webHidden/>
        </w:rPr>
        <w:tab/>
      </w:r>
      <w:r>
        <w:rPr>
          <w:noProof/>
          <w:webHidden/>
        </w:rPr>
        <w:fldChar w:fldCharType="begin"/>
      </w:r>
      <w:r>
        <w:rPr>
          <w:noProof/>
          <w:webHidden/>
        </w:rPr>
        <w:instrText xml:space="preserve"> PAGEREF _Toc224586229 \h </w:instrText>
      </w:r>
      <w:r>
        <w:rPr>
          <w:noProof/>
          <w:webHidden/>
        </w:rPr>
        <w:fldChar w:fldCharType="separate"/>
      </w:r>
      <w:r>
        <w:rPr>
          <w:noProof/>
          <w:webHidden/>
        </w:rPr>
        <w:t>3</w:t>
      </w:r>
      <w:r>
        <w:rPr>
          <w:noProof/>
          <w:webHidden/>
        </w:rPr>
        <w:fldChar w:fldCharType="end"/>
      </w:r>
      <w:r>
        <w:rPr/>
        <w:fldChar w:fldCharType="end"/>
      </w:r>
    </w:p>
    <w:p>
      <w:pPr>
        <w:pStyle w:val="style20"/>
        <w:tabs>
          <w:tab w:val="right" w:leader="none" w:pos="9350"/>
        </w:tabs>
        <w:rPr>
          <w:noProof/>
        </w:rPr>
      </w:pPr>
      <w:r>
        <w:rPr/>
        <w:fldChar w:fldCharType="begin"/>
      </w:r>
      <w:r>
        <w:instrText xml:space="preserve"> HYPERLINK \l "_Toc224586230" </w:instrText>
      </w:r>
      <w:r>
        <w:rPr/>
        <w:fldChar w:fldCharType="separate"/>
      </w:r>
      <w:r>
        <w:rPr>
          <w:rStyle w:val="style85"/>
          <w:noProof/>
        </w:rPr>
        <w:t>1. Tesco</w:t>
      </w:r>
      <w:r>
        <w:rPr>
          <w:noProof/>
          <w:webHidden/>
        </w:rPr>
        <w:tab/>
      </w:r>
      <w:r>
        <w:rPr>
          <w:noProof/>
          <w:webHidden/>
        </w:rPr>
        <w:fldChar w:fldCharType="begin"/>
      </w:r>
      <w:r>
        <w:rPr>
          <w:noProof/>
          <w:webHidden/>
        </w:rPr>
        <w:instrText xml:space="preserve"> PAGEREF _Toc224586230 \h </w:instrText>
      </w:r>
      <w:r>
        <w:rPr>
          <w:noProof/>
          <w:webHidden/>
        </w:rPr>
        <w:fldChar w:fldCharType="separate"/>
      </w:r>
      <w:r>
        <w:rPr>
          <w:noProof/>
          <w:webHidden/>
        </w:rPr>
        <w:t>3</w:t>
      </w:r>
      <w:r>
        <w:rPr>
          <w:noProof/>
          <w:webHidden/>
        </w:rPr>
        <w:fldChar w:fldCharType="end"/>
      </w:r>
      <w:r>
        <w:rPr/>
        <w:fldChar w:fldCharType="end"/>
      </w:r>
    </w:p>
    <w:p>
      <w:pPr>
        <w:pStyle w:val="style20"/>
        <w:tabs>
          <w:tab w:val="right" w:leader="none" w:pos="9350"/>
        </w:tabs>
        <w:rPr>
          <w:noProof/>
        </w:rPr>
      </w:pPr>
      <w:r>
        <w:rPr/>
        <w:fldChar w:fldCharType="begin"/>
      </w:r>
      <w:r>
        <w:instrText xml:space="preserve"> HYPERLINK \l "_Toc224586231" </w:instrText>
      </w:r>
      <w:r>
        <w:rPr/>
        <w:fldChar w:fldCharType="separate"/>
      </w:r>
      <w:r>
        <w:rPr>
          <w:rStyle w:val="style85"/>
          <w:noProof/>
        </w:rPr>
        <w:t>Technological Environment</w:t>
      </w:r>
      <w:r>
        <w:rPr>
          <w:noProof/>
          <w:webHidden/>
        </w:rPr>
        <w:tab/>
      </w:r>
      <w:r>
        <w:rPr>
          <w:noProof/>
          <w:webHidden/>
        </w:rPr>
        <w:fldChar w:fldCharType="begin"/>
      </w:r>
      <w:r>
        <w:rPr>
          <w:noProof/>
          <w:webHidden/>
        </w:rPr>
        <w:instrText xml:space="preserve"> PAGEREF _Toc224586231 \h </w:instrText>
      </w:r>
      <w:r>
        <w:rPr>
          <w:noProof/>
          <w:webHidden/>
        </w:rPr>
        <w:fldChar w:fldCharType="separate"/>
      </w:r>
      <w:r>
        <w:rPr>
          <w:noProof/>
          <w:webHidden/>
        </w:rPr>
        <w:t>3</w:t>
      </w:r>
      <w:r>
        <w:rPr>
          <w:noProof/>
          <w:webHidden/>
        </w:rPr>
        <w:fldChar w:fldCharType="end"/>
      </w:r>
      <w:r>
        <w:rPr/>
        <w:fldChar w:fldCharType="end"/>
      </w:r>
    </w:p>
    <w:p>
      <w:pPr>
        <w:pStyle w:val="style20"/>
        <w:tabs>
          <w:tab w:val="right" w:leader="none" w:pos="9350"/>
        </w:tabs>
        <w:rPr>
          <w:noProof/>
        </w:rPr>
      </w:pPr>
      <w:r>
        <w:rPr/>
        <w:fldChar w:fldCharType="begin"/>
      </w:r>
      <w:r>
        <w:instrText xml:space="preserve"> HYPERLINK \l "_Toc224586232" </w:instrText>
      </w:r>
      <w:r>
        <w:rPr/>
        <w:fldChar w:fldCharType="separate"/>
      </w:r>
      <w:r>
        <w:rPr>
          <w:rStyle w:val="style85"/>
          <w:noProof/>
        </w:rPr>
        <w:t>Economic Environment.</w:t>
      </w:r>
      <w:r>
        <w:rPr>
          <w:noProof/>
          <w:webHidden/>
        </w:rPr>
        <w:tab/>
      </w:r>
      <w:r>
        <w:rPr>
          <w:noProof/>
          <w:webHidden/>
        </w:rPr>
        <w:fldChar w:fldCharType="begin"/>
      </w:r>
      <w:r>
        <w:rPr>
          <w:noProof/>
          <w:webHidden/>
        </w:rPr>
        <w:instrText xml:space="preserve"> PAGEREF _Toc224586232 \h </w:instrText>
      </w:r>
      <w:r>
        <w:rPr>
          <w:noProof/>
          <w:webHidden/>
        </w:rPr>
        <w:fldChar w:fldCharType="separate"/>
      </w:r>
      <w:r>
        <w:rPr>
          <w:noProof/>
          <w:webHidden/>
        </w:rPr>
        <w:t>4</w:t>
      </w:r>
      <w:r>
        <w:rPr>
          <w:noProof/>
          <w:webHidden/>
        </w:rPr>
        <w:fldChar w:fldCharType="end"/>
      </w:r>
      <w:r>
        <w:rPr/>
        <w:fldChar w:fldCharType="end"/>
      </w:r>
    </w:p>
    <w:p>
      <w:pPr>
        <w:pStyle w:val="style20"/>
        <w:tabs>
          <w:tab w:val="right" w:leader="none" w:pos="9350"/>
        </w:tabs>
        <w:rPr>
          <w:noProof/>
        </w:rPr>
      </w:pPr>
      <w:r>
        <w:rPr/>
        <w:fldChar w:fldCharType="begin"/>
      </w:r>
      <w:r>
        <w:instrText xml:space="preserve"> HYPERLINK \l "_Toc224586233" </w:instrText>
      </w:r>
      <w:r>
        <w:rPr/>
        <w:fldChar w:fldCharType="separate"/>
      </w:r>
      <w:r>
        <w:rPr>
          <w:rStyle w:val="style85"/>
          <w:noProof/>
        </w:rPr>
        <w:t>2. Sainsbury’s</w:t>
      </w:r>
      <w:r>
        <w:rPr>
          <w:noProof/>
          <w:webHidden/>
        </w:rPr>
        <w:tab/>
      </w:r>
      <w:r>
        <w:rPr>
          <w:noProof/>
          <w:webHidden/>
        </w:rPr>
        <w:fldChar w:fldCharType="begin"/>
      </w:r>
      <w:r>
        <w:rPr>
          <w:noProof/>
          <w:webHidden/>
        </w:rPr>
        <w:instrText xml:space="preserve"> PAGEREF _Toc224586233 \h </w:instrText>
      </w:r>
      <w:r>
        <w:rPr>
          <w:noProof/>
          <w:webHidden/>
        </w:rPr>
        <w:fldChar w:fldCharType="separate"/>
      </w:r>
      <w:r>
        <w:rPr>
          <w:noProof/>
          <w:webHidden/>
        </w:rPr>
        <w:t>5</w:t>
      </w:r>
      <w:r>
        <w:rPr>
          <w:noProof/>
          <w:webHidden/>
        </w:rPr>
        <w:fldChar w:fldCharType="end"/>
      </w:r>
      <w:r>
        <w:rPr/>
        <w:fldChar w:fldCharType="end"/>
      </w:r>
    </w:p>
    <w:p>
      <w:pPr>
        <w:pStyle w:val="style20"/>
        <w:tabs>
          <w:tab w:val="right" w:leader="none" w:pos="9350"/>
        </w:tabs>
        <w:rPr>
          <w:noProof/>
        </w:rPr>
      </w:pPr>
      <w:r>
        <w:rPr/>
        <w:fldChar w:fldCharType="begin"/>
      </w:r>
      <w:r>
        <w:instrText xml:space="preserve"> HYPERLINK \l "_Toc224586234" </w:instrText>
      </w:r>
      <w:r>
        <w:rPr/>
        <w:fldChar w:fldCharType="separate"/>
      </w:r>
      <w:r>
        <w:rPr>
          <w:rStyle w:val="style85"/>
          <w:noProof/>
        </w:rPr>
        <w:t>Technological Environment</w:t>
      </w:r>
      <w:r>
        <w:rPr>
          <w:noProof/>
          <w:webHidden/>
        </w:rPr>
        <w:tab/>
      </w:r>
      <w:r>
        <w:rPr>
          <w:noProof/>
          <w:webHidden/>
        </w:rPr>
        <w:fldChar w:fldCharType="begin"/>
      </w:r>
      <w:r>
        <w:rPr>
          <w:noProof/>
          <w:webHidden/>
        </w:rPr>
        <w:instrText xml:space="preserve"> PAGEREF _Toc224586234 \h </w:instrText>
      </w:r>
      <w:r>
        <w:rPr>
          <w:noProof/>
          <w:webHidden/>
        </w:rPr>
        <w:fldChar w:fldCharType="separate"/>
      </w:r>
      <w:r>
        <w:rPr>
          <w:noProof/>
          <w:webHidden/>
        </w:rPr>
        <w:t>5</w:t>
      </w:r>
      <w:r>
        <w:rPr>
          <w:noProof/>
          <w:webHidden/>
        </w:rPr>
        <w:fldChar w:fldCharType="end"/>
      </w:r>
      <w:r>
        <w:rPr/>
        <w:fldChar w:fldCharType="end"/>
      </w:r>
    </w:p>
    <w:p>
      <w:pPr>
        <w:pStyle w:val="style20"/>
        <w:tabs>
          <w:tab w:val="right" w:leader="none" w:pos="9350"/>
        </w:tabs>
        <w:rPr>
          <w:noProof/>
        </w:rPr>
      </w:pPr>
      <w:r>
        <w:rPr/>
        <w:fldChar w:fldCharType="begin"/>
      </w:r>
      <w:r>
        <w:instrText xml:space="preserve"> HYPERLINK \l "_Toc224586235" </w:instrText>
      </w:r>
      <w:r>
        <w:rPr/>
        <w:fldChar w:fldCharType="separate"/>
      </w:r>
      <w:r>
        <w:rPr>
          <w:rStyle w:val="style85"/>
          <w:noProof/>
        </w:rPr>
        <w:t>Economic Environment.</w:t>
      </w:r>
      <w:r>
        <w:rPr>
          <w:noProof/>
          <w:webHidden/>
        </w:rPr>
        <w:tab/>
      </w:r>
      <w:r>
        <w:rPr>
          <w:noProof/>
          <w:webHidden/>
        </w:rPr>
        <w:fldChar w:fldCharType="begin"/>
      </w:r>
      <w:r>
        <w:rPr>
          <w:noProof/>
          <w:webHidden/>
        </w:rPr>
        <w:instrText xml:space="preserve"> PAGEREF _Toc224586235 \h </w:instrText>
      </w:r>
      <w:r>
        <w:rPr>
          <w:noProof/>
          <w:webHidden/>
        </w:rPr>
        <w:fldChar w:fldCharType="separate"/>
      </w:r>
      <w:r>
        <w:rPr>
          <w:noProof/>
          <w:webHidden/>
        </w:rPr>
        <w:t>6</w:t>
      </w:r>
      <w:r>
        <w:rPr>
          <w:noProof/>
          <w:webHidden/>
        </w:rPr>
        <w:fldChar w:fldCharType="end"/>
      </w:r>
      <w:r>
        <w:rPr/>
        <w:fldChar w:fldCharType="end"/>
      </w:r>
    </w:p>
    <w:p>
      <w:pPr>
        <w:pStyle w:val="style19"/>
        <w:tabs>
          <w:tab w:val="right" w:leader="none" w:pos="9350"/>
        </w:tabs>
        <w:rPr>
          <w:noProof/>
        </w:rPr>
      </w:pPr>
      <w:r>
        <w:rPr/>
        <w:fldChar w:fldCharType="begin"/>
      </w:r>
      <w:r>
        <w:instrText xml:space="preserve"> HYPERLINK \l "_Toc224586236" </w:instrText>
      </w:r>
      <w:r>
        <w:rPr/>
        <w:fldChar w:fldCharType="separate"/>
      </w:r>
      <w:r>
        <w:rPr>
          <w:rStyle w:val="style85"/>
          <w:noProof/>
        </w:rPr>
        <w:t>Task 2:</w:t>
      </w:r>
      <w:r>
        <w:rPr>
          <w:noProof/>
          <w:webHidden/>
        </w:rPr>
        <w:tab/>
      </w:r>
      <w:r>
        <w:rPr>
          <w:noProof/>
          <w:webHidden/>
        </w:rPr>
        <w:fldChar w:fldCharType="begin"/>
      </w:r>
      <w:r>
        <w:rPr>
          <w:noProof/>
          <w:webHidden/>
        </w:rPr>
        <w:instrText xml:space="preserve"> PAGEREF _Toc224586236 \h </w:instrText>
      </w:r>
      <w:r>
        <w:rPr>
          <w:noProof/>
          <w:webHidden/>
        </w:rPr>
        <w:fldChar w:fldCharType="separate"/>
      </w:r>
      <w:r>
        <w:rPr>
          <w:noProof/>
          <w:webHidden/>
        </w:rPr>
        <w:t>7</w:t>
      </w:r>
      <w:r>
        <w:rPr>
          <w:noProof/>
          <w:webHidden/>
        </w:rPr>
        <w:fldChar w:fldCharType="end"/>
      </w:r>
      <w:r>
        <w:rPr/>
        <w:fldChar w:fldCharType="end"/>
      </w:r>
    </w:p>
    <w:p>
      <w:pPr>
        <w:pStyle w:val="style20"/>
        <w:tabs>
          <w:tab w:val="right" w:leader="none" w:pos="9350"/>
        </w:tabs>
        <w:rPr>
          <w:noProof/>
        </w:rPr>
      </w:pPr>
      <w:r>
        <w:rPr/>
        <w:fldChar w:fldCharType="begin"/>
      </w:r>
      <w:r>
        <w:instrText xml:space="preserve"> HYPERLINK \l "_Toc224586237" </w:instrText>
      </w:r>
      <w:r>
        <w:rPr/>
        <w:fldChar w:fldCharType="separate"/>
      </w:r>
      <w:r>
        <w:rPr>
          <w:rStyle w:val="style85"/>
          <w:noProof/>
        </w:rPr>
        <w:t>Strategic Responses</w:t>
      </w:r>
      <w:r>
        <w:rPr>
          <w:noProof/>
          <w:webHidden/>
        </w:rPr>
        <w:tab/>
      </w:r>
      <w:r>
        <w:rPr>
          <w:noProof/>
          <w:webHidden/>
        </w:rPr>
        <w:fldChar w:fldCharType="begin"/>
      </w:r>
      <w:r>
        <w:rPr>
          <w:noProof/>
          <w:webHidden/>
        </w:rPr>
        <w:instrText xml:space="preserve"> PAGEREF _Toc224586237 \h </w:instrText>
      </w:r>
      <w:r>
        <w:rPr>
          <w:noProof/>
          <w:webHidden/>
        </w:rPr>
        <w:fldChar w:fldCharType="separate"/>
      </w:r>
      <w:r>
        <w:rPr>
          <w:noProof/>
          <w:webHidden/>
        </w:rPr>
        <w:t>7</w:t>
      </w:r>
      <w:r>
        <w:rPr>
          <w:noProof/>
          <w:webHidden/>
        </w:rPr>
        <w:fldChar w:fldCharType="end"/>
      </w:r>
      <w:r>
        <w:rPr/>
        <w:fldChar w:fldCharType="end"/>
      </w:r>
    </w:p>
    <w:p>
      <w:pPr>
        <w:pStyle w:val="style20"/>
        <w:tabs>
          <w:tab w:val="right" w:leader="none" w:pos="9350"/>
        </w:tabs>
        <w:rPr>
          <w:noProof/>
        </w:rPr>
      </w:pPr>
      <w:r>
        <w:rPr/>
        <w:fldChar w:fldCharType="begin"/>
      </w:r>
      <w:r>
        <w:instrText xml:space="preserve"> HYPERLINK \l "_Toc224586238" </w:instrText>
      </w:r>
      <w:r>
        <w:rPr/>
        <w:fldChar w:fldCharType="separate"/>
      </w:r>
      <w:r>
        <w:rPr>
          <w:rStyle w:val="style85"/>
          <w:noProof/>
        </w:rPr>
        <w:t>Porter's Generic Strategy: Differentiation with Cost Leadership.</w:t>
      </w:r>
      <w:r>
        <w:rPr>
          <w:noProof/>
          <w:webHidden/>
        </w:rPr>
        <w:tab/>
      </w:r>
      <w:r>
        <w:rPr>
          <w:noProof/>
          <w:webHidden/>
        </w:rPr>
        <w:fldChar w:fldCharType="begin"/>
      </w:r>
      <w:r>
        <w:rPr>
          <w:noProof/>
          <w:webHidden/>
        </w:rPr>
        <w:instrText xml:space="preserve"> PAGEREF _Toc224586238 \h </w:instrText>
      </w:r>
      <w:r>
        <w:rPr>
          <w:noProof/>
          <w:webHidden/>
        </w:rPr>
        <w:fldChar w:fldCharType="separate"/>
      </w:r>
      <w:r>
        <w:rPr>
          <w:noProof/>
          <w:webHidden/>
        </w:rPr>
        <w:t>7</w:t>
      </w:r>
      <w:r>
        <w:rPr>
          <w:noProof/>
          <w:webHidden/>
        </w:rPr>
        <w:fldChar w:fldCharType="end"/>
      </w:r>
      <w:r>
        <w:rPr/>
        <w:fldChar w:fldCharType="end"/>
      </w:r>
    </w:p>
    <w:p>
      <w:pPr>
        <w:pStyle w:val="style20"/>
        <w:tabs>
          <w:tab w:val="right" w:leader="none" w:pos="9350"/>
        </w:tabs>
        <w:rPr>
          <w:noProof/>
        </w:rPr>
      </w:pPr>
      <w:r>
        <w:rPr/>
        <w:fldChar w:fldCharType="begin"/>
      </w:r>
      <w:r>
        <w:instrText xml:space="preserve"> HYPERLINK \l "_Toc224586239" </w:instrText>
      </w:r>
      <w:r>
        <w:rPr/>
        <w:fldChar w:fldCharType="separate"/>
      </w:r>
      <w:r>
        <w:rPr>
          <w:rStyle w:val="style85"/>
          <w:noProof/>
        </w:rPr>
        <w:t>Ansoff’s Growth Matrix</w:t>
      </w:r>
      <w:r>
        <w:rPr>
          <w:noProof/>
          <w:webHidden/>
        </w:rPr>
        <w:tab/>
      </w:r>
      <w:r>
        <w:rPr>
          <w:noProof/>
          <w:webHidden/>
        </w:rPr>
        <w:fldChar w:fldCharType="begin"/>
      </w:r>
      <w:r>
        <w:rPr>
          <w:noProof/>
          <w:webHidden/>
        </w:rPr>
        <w:instrText xml:space="preserve"> PAGEREF _Toc224586239 \h </w:instrText>
      </w:r>
      <w:r>
        <w:rPr>
          <w:noProof/>
          <w:webHidden/>
        </w:rPr>
        <w:fldChar w:fldCharType="separate"/>
      </w:r>
      <w:r>
        <w:rPr>
          <w:noProof/>
          <w:webHidden/>
        </w:rPr>
        <w:t>8</w:t>
      </w:r>
      <w:r>
        <w:rPr>
          <w:noProof/>
          <w:webHidden/>
        </w:rPr>
        <w:fldChar w:fldCharType="end"/>
      </w:r>
      <w:r>
        <w:rPr/>
        <w:fldChar w:fldCharType="end"/>
      </w:r>
    </w:p>
    <w:p>
      <w:pPr>
        <w:pStyle w:val="style20"/>
        <w:tabs>
          <w:tab w:val="right" w:leader="none" w:pos="9350"/>
        </w:tabs>
        <w:rPr>
          <w:noProof/>
        </w:rPr>
      </w:pPr>
      <w:r>
        <w:rPr/>
        <w:fldChar w:fldCharType="begin"/>
      </w:r>
      <w:r>
        <w:instrText xml:space="preserve"> HYPERLINK \l "_Toc224586240" </w:instrText>
      </w:r>
      <w:r>
        <w:rPr/>
        <w:fldChar w:fldCharType="separate"/>
      </w:r>
      <w:r>
        <w:rPr>
          <w:rStyle w:val="style85"/>
          <w:noProof/>
        </w:rPr>
        <w:t>Comparative Evaluation</w:t>
      </w:r>
      <w:r>
        <w:rPr>
          <w:noProof/>
          <w:webHidden/>
        </w:rPr>
        <w:tab/>
      </w:r>
      <w:r>
        <w:rPr>
          <w:noProof/>
          <w:webHidden/>
        </w:rPr>
        <w:fldChar w:fldCharType="begin"/>
      </w:r>
      <w:r>
        <w:rPr>
          <w:noProof/>
          <w:webHidden/>
        </w:rPr>
        <w:instrText xml:space="preserve"> PAGEREF _Toc224586240 \h </w:instrText>
      </w:r>
      <w:r>
        <w:rPr>
          <w:noProof/>
          <w:webHidden/>
        </w:rPr>
        <w:fldChar w:fldCharType="separate"/>
      </w:r>
      <w:r>
        <w:rPr>
          <w:noProof/>
          <w:webHidden/>
        </w:rPr>
        <w:t>10</w:t>
      </w:r>
      <w:r>
        <w:rPr>
          <w:noProof/>
          <w:webHidden/>
        </w:rPr>
        <w:fldChar w:fldCharType="end"/>
      </w:r>
      <w:r>
        <w:rPr/>
        <w:fldChar w:fldCharType="end"/>
      </w:r>
    </w:p>
    <w:p>
      <w:pPr>
        <w:pStyle w:val="style19"/>
        <w:tabs>
          <w:tab w:val="right" w:leader="none" w:pos="9350"/>
        </w:tabs>
        <w:rPr>
          <w:noProof/>
        </w:rPr>
      </w:pPr>
      <w:r>
        <w:rPr/>
        <w:fldChar w:fldCharType="begin"/>
      </w:r>
      <w:r>
        <w:instrText xml:space="preserve"> HYPERLINK \l "_Toc224586241" </w:instrText>
      </w:r>
      <w:r>
        <w:rPr/>
        <w:fldChar w:fldCharType="separate"/>
      </w:r>
      <w:r>
        <w:rPr>
          <w:rStyle w:val="style85"/>
          <w:noProof/>
        </w:rPr>
        <w:t>References</w:t>
      </w:r>
      <w:r>
        <w:rPr>
          <w:noProof/>
          <w:webHidden/>
        </w:rPr>
        <w:tab/>
      </w:r>
      <w:r>
        <w:rPr>
          <w:noProof/>
          <w:webHidden/>
        </w:rPr>
        <w:fldChar w:fldCharType="begin"/>
      </w:r>
      <w:r>
        <w:rPr>
          <w:noProof/>
          <w:webHidden/>
        </w:rPr>
        <w:instrText xml:space="preserve"> PAGEREF _Toc224586241 \h </w:instrText>
      </w:r>
      <w:r>
        <w:rPr>
          <w:noProof/>
          <w:webHidden/>
        </w:rPr>
        <w:fldChar w:fldCharType="separate"/>
      </w:r>
      <w:r>
        <w:rPr>
          <w:noProof/>
          <w:webHidden/>
        </w:rPr>
        <w:t>11</w:t>
      </w:r>
      <w:r>
        <w:rPr>
          <w:noProof/>
          <w:webHidden/>
        </w:rPr>
        <w:fldChar w:fldCharType="end"/>
      </w:r>
      <w:r>
        <w:rPr/>
        <w:fldChar w:fldCharType="end"/>
      </w:r>
    </w:p>
    <w:p>
      <w:pPr>
        <w:pStyle w:val="style0"/>
        <w:widowControl w:val="false"/>
        <w:tabs>
          <w:tab w:val="right" w:leader="none" w:pos="9360"/>
        </w:tabs>
        <w:spacing w:before="60"/>
        <w:rPr>
          <w:rFonts w:eastAsia="Times New Roman"/>
          <w:b/>
          <w:bCs/>
          <w:szCs w:val="24"/>
        </w:rPr>
      </w:pPr>
      <w:r>
        <w:rPr/>
        <w:fldChar w:fldCharType="end"/>
      </w:r>
    </w:p>
    <w:p>
      <w:pPr>
        <w:pStyle w:val="style0"/>
        <w:rPr>
          <w:rFonts w:eastAsia="Times New Roman"/>
          <w:b/>
          <w:bCs/>
          <w:szCs w:val="24"/>
        </w:rPr>
      </w:pPr>
      <w:r>
        <w:rPr>
          <w:rFonts w:eastAsia="Times New Roman"/>
          <w:b/>
          <w:bCs/>
          <w:szCs w:val="24"/>
        </w:rPr>
        <w:t xml:space="preserve"> </w:t>
      </w:r>
    </w:p>
    <w:p>
      <w:pPr>
        <w:pStyle w:val="style0"/>
        <w:rPr>
          <w:rFonts w:eastAsia="Times New Roman"/>
          <w:b/>
          <w:bCs/>
          <w:szCs w:val="24"/>
        </w:rPr>
      </w:pPr>
      <w:r>
        <w:br w:type="page"/>
      </w:r>
    </w:p>
    <w:bookmarkStart w:id="0" w:name="_Toc224586229"/>
    <w:p>
      <w:pPr>
        <w:pStyle w:val="style1"/>
        <w:rPr>
          <w:rFonts w:cs="Arial"/>
        </w:rPr>
      </w:pPr>
      <w:r>
        <w:rPr>
          <w:rFonts w:cs="Arial"/>
        </w:rPr>
        <w:t>Task 1:</w:t>
      </w:r>
      <w:bookmarkEnd w:id="0"/>
    </w:p>
    <w:p>
      <w:pPr>
        <w:pStyle w:val="style0"/>
        <w:rPr>
          <w:rFonts w:eastAsia="Times New Roman"/>
          <w:szCs w:val="24"/>
        </w:rPr>
      </w:pPr>
      <w:r>
        <w:rPr>
          <w:rFonts w:eastAsia="Times New Roman"/>
          <w:szCs w:val="24"/>
        </w:rPr>
        <w:t>Strategic marketing management requires organisations to examine the macro-marketing environment to identify opportunities and threats that shape competitive advantage. In the UK online grocery market, Tesco was the first company in the UK to become a leader in online grocery retailing, whilst Sainsbury was the second to create its own online grocery platform. Technological change and economic conditions (cost-of-living pressures) are two macro-level factors that influence this industry. The two firms face opportunities and threats arising from these forces that affect their competitive positions in the UK grocery market.</w:t>
      </w:r>
    </w:p>
    <w:bookmarkStart w:id="1" w:name="_Toc224586230"/>
    <w:p>
      <w:pPr>
        <w:pStyle w:val="style2"/>
        <w:rPr/>
      </w:pPr>
      <w:r>
        <w:t>1. Tesco</w:t>
      </w:r>
      <w:bookmarkEnd w:id="1"/>
      <w:r>
        <w:t xml:space="preserve"> </w:t>
      </w:r>
    </w:p>
    <w:bookmarkStart w:id="2" w:name="_Toc224586231"/>
    <w:p>
      <w:pPr>
        <w:pStyle w:val="style2"/>
        <w:rPr/>
      </w:pPr>
      <w:r>
        <w:t>Technological Environment</w:t>
      </w:r>
      <w:bookmarkEnd w:id="2"/>
    </w:p>
    <w:p>
      <w:pPr>
        <w:pStyle w:val="style0"/>
        <w:rPr>
          <w:rFonts w:eastAsia="Times New Roman"/>
          <w:szCs w:val="24"/>
        </w:rPr>
      </w:pPr>
      <w:r>
        <w:rPr>
          <w:rFonts w:eastAsia="Times New Roman"/>
          <w:szCs w:val="24"/>
        </w:rPr>
        <w:t xml:space="preserve">Technological change has been seen as one of the most significant sources of opportunity to Tesco. Tesco became one of the first companies to adopt online grocery services and thus, invested in online platforms, home delivery logistics, and data analytics. This is a major competitive advantage of the company within the online groceries market (Roy, 2024). Tesco currently occupies the market that is estimated to be 28-29% of the UK grocery market and is therefore leading the market. </w:t>
      </w:r>
    </w:p>
    <w:p>
      <w:pPr>
        <w:pStyle w:val="style0"/>
        <w:rPr>
          <w:rFonts w:eastAsia="Times New Roman"/>
          <w:szCs w:val="24"/>
        </w:rPr>
      </w:pPr>
      <w:r>
        <w:rPr>
          <w:rFonts w:eastAsia="Times New Roman"/>
          <w:szCs w:val="24"/>
        </w:rPr>
        <w:t xml:space="preserve">Moreover, Tesco holds approximately 37% of UK online grocery market, which reflects the efficiency of its online resources and capabilities to deliver products to its customers (Reuters 2025). Another technological advancement that has contributed to the Tesco advantage is the rapid-delivery services. The digital technology is turning into a game-changer in terms of consumer need and desire because its Whoosh high-speed delivery service can now serve nearly 1,600 stores and focus on over 70% of the UK population demand concerning convenience and speed (Finance 2025). The opportunity presented by technology to Tesco is strategic in the area of marketing in a few ways: </w:t>
      </w:r>
    </w:p>
    <w:p>
      <w:pPr>
        <w:pStyle w:val="style179"/>
        <w:numPr>
          <w:ilvl w:val="0"/>
          <w:numId w:val="1"/>
        </w:numPr>
        <w:rPr>
          <w:rFonts w:eastAsia="Times New Roman"/>
          <w:szCs w:val="24"/>
        </w:rPr>
      </w:pPr>
      <w:r>
        <w:rPr>
          <w:rFonts w:eastAsia="Times New Roman"/>
          <w:b/>
          <w:bCs/>
          <w:i/>
          <w:iCs/>
          <w:szCs w:val="24"/>
        </w:rPr>
        <w:t>Data-driven marketing</w:t>
      </w:r>
      <w:r>
        <w:rPr>
          <w:rFonts w:eastAsia="Times New Roman"/>
          <w:szCs w:val="24"/>
        </w:rPr>
        <w:t xml:space="preserve">: Tesco has the loyalty program (Clubcard) that helps the business to analyze consumer behaviour and promote offers, improving customer retention (Azan and Karimah, 2022). </w:t>
      </w:r>
    </w:p>
    <w:p>
      <w:pPr>
        <w:pStyle w:val="style179"/>
        <w:numPr>
          <w:ilvl w:val="0"/>
          <w:numId w:val="1"/>
        </w:numPr>
        <w:rPr>
          <w:rFonts w:eastAsia="Times New Roman"/>
          <w:szCs w:val="24"/>
        </w:rPr>
      </w:pPr>
      <w:r>
        <w:rPr>
          <w:rFonts w:eastAsia="Times New Roman"/>
          <w:b/>
          <w:bCs/>
          <w:i/>
          <w:iCs/>
          <w:szCs w:val="24"/>
        </w:rPr>
        <w:t>Expenses</w:t>
      </w:r>
      <w:r>
        <w:rPr>
          <w:rFonts w:eastAsia="Times New Roman"/>
          <w:szCs w:val="24"/>
        </w:rPr>
        <w:t xml:space="preserve">: Digital supply chains and automation improve the delivery of the order and reduce expenses. </w:t>
      </w:r>
    </w:p>
    <w:p>
      <w:pPr>
        <w:pStyle w:val="style179"/>
        <w:numPr>
          <w:ilvl w:val="0"/>
          <w:numId w:val="1"/>
        </w:numPr>
        <w:rPr>
          <w:rFonts w:eastAsia="Times New Roman"/>
          <w:szCs w:val="24"/>
        </w:rPr>
      </w:pPr>
      <w:r>
        <w:rPr>
          <w:rFonts w:eastAsia="Times New Roman"/>
          <w:b/>
          <w:bCs/>
          <w:i/>
          <w:iCs/>
          <w:szCs w:val="24"/>
        </w:rPr>
        <w:t>Market leadership</w:t>
      </w:r>
      <w:r>
        <w:rPr>
          <w:rFonts w:eastAsia="Times New Roman"/>
          <w:szCs w:val="24"/>
        </w:rPr>
        <w:t xml:space="preserve">: Leadership in the market by a company that embraces new technology early on, sets a barrier in the way of other companies that may want to embrace the same level of infrastructure (Kallmuenzer et al. 2025). </w:t>
      </w:r>
    </w:p>
    <w:p>
      <w:pPr>
        <w:pStyle w:val="style0"/>
        <w:rPr>
          <w:rFonts w:eastAsia="Times New Roman"/>
          <w:szCs w:val="24"/>
        </w:rPr>
      </w:pPr>
      <w:r>
        <w:rPr>
          <w:rFonts w:eastAsia="Times New Roman"/>
          <w:szCs w:val="24"/>
        </w:rPr>
        <w:t>However, change is also threatening technological. Competition has grown in the online grocery market with the advent of online grocery services and emergence of fast-commerce platforms and all-online grocery stores. The penetrating of the new players was initially a danger to the traditional supermarkets that offered ultra-fast delivery service. Although Tesco has already reacted to the threat of losing its margin due to the emergence of its own rapid delivery service, the additional spread of the digital competition can be a threat and requires the increased investment in the logistical and technological capabilities (Roy, 2024). Overall, the technological factors contribute to the consolidation of the competitive advantage of Tesco already having the necessary infrastructure and expertise to exploit the opportunities of online retailing.</w:t>
      </w:r>
    </w:p>
    <w:bookmarkStart w:id="3" w:name="_Toc224586232"/>
    <w:p>
      <w:pPr>
        <w:pStyle w:val="style2"/>
        <w:rPr/>
      </w:pPr>
      <w:r>
        <w:t>Economic Environment.</w:t>
      </w:r>
      <w:bookmarkEnd w:id="3"/>
    </w:p>
    <w:p>
      <w:pPr>
        <w:pStyle w:val="style0"/>
        <w:rPr>
          <w:rFonts w:eastAsia="Times New Roman"/>
          <w:szCs w:val="24"/>
        </w:rPr>
      </w:pPr>
      <w:r>
        <w:rPr>
          <w:rFonts w:eastAsia="Times New Roman"/>
          <w:szCs w:val="24"/>
        </w:rPr>
        <w:t>The other key factor that will determine the strategic position of Tesco is the status of the economy. The UK; during the past years, has been experiencing an increase in inflation and pressures of living costs, which influence consumer purchasing behaviour. Grogery inflation was at 5% in 2025 and hence people concentrated on value and low-price merchandise (Reuters 2026). These are the economic conditions that pose threats and opportunities to Tesco. In the opportunity side, Tesco possesses a significant size and buying power that can facilitate it to generate competitive prices. Some of the strategies that the company has put in place to make the company affordable include price matching and value promotions to attract consumers with low-price sensitivities. This has been one of the strategies which have aided an upsurge in sales and market share in the last few years (Meng, 2024).</w:t>
      </w:r>
    </w:p>
    <w:p>
      <w:pPr>
        <w:pStyle w:val="style0"/>
        <w:rPr>
          <w:rFonts w:eastAsia="Times New Roman"/>
          <w:szCs w:val="24"/>
        </w:rPr>
      </w:pPr>
      <w:r>
        <w:rPr>
          <w:rFonts w:eastAsia="Times New Roman"/>
          <w:szCs w:val="24"/>
        </w:rPr>
        <w:t xml:space="preserve">However, inflation raises operation expenses that include the energy rates, transportation costs, labour rates, and cost of supply chain.  The higher expenses might decrease the profit margin unless the retailers increase their prices or work more effectively. In addition, Aldi and Lidl are also discount supermarkets which have grown at a very quick pace during economic crises where consumers move towards less expensive alternatives </w:t>
      </w:r>
      <w:r>
        <w:rPr>
          <w:rFonts w:eastAsia="Times New Roman"/>
          <w:szCs w:val="24"/>
        </w:rPr>
        <w:t>(Geyskens et al. 2024). Accordingly, economic drivers on the one hand provide a chance to Tesco to pursue the value and market share; on the other hand, they raise competition and costs pressures on the market.</w:t>
      </w:r>
    </w:p>
    <w:bookmarkStart w:id="4" w:name="_Toc224586233"/>
    <w:p>
      <w:pPr>
        <w:pStyle w:val="style2"/>
        <w:rPr/>
      </w:pPr>
      <w:r>
        <w:t>2. Sainsbury’s</w:t>
      </w:r>
      <w:bookmarkEnd w:id="4"/>
      <w:r>
        <w:t xml:space="preserve"> </w:t>
      </w:r>
    </w:p>
    <w:bookmarkStart w:id="5" w:name="_Toc224586234"/>
    <w:p>
      <w:pPr>
        <w:pStyle w:val="style2"/>
        <w:rPr/>
      </w:pPr>
      <w:r>
        <w:t>Technological Environment</w:t>
      </w:r>
      <w:bookmarkEnd w:id="5"/>
    </w:p>
    <w:p>
      <w:pPr>
        <w:pStyle w:val="style0"/>
        <w:rPr>
          <w:rFonts w:eastAsia="Times New Roman"/>
          <w:szCs w:val="24"/>
        </w:rPr>
      </w:pPr>
      <w:r>
        <w:rPr>
          <w:rFonts w:eastAsia="Times New Roman"/>
          <w:szCs w:val="24"/>
        </w:rPr>
        <w:t>Sainsbury, a participant in the online grocery market, has also invested in digital retail and home delivery services. Yet it has lower technological capabilities, which were implemented later than Tesco's, thereby impacting its competitive standing.</w:t>
      </w:r>
    </w:p>
    <w:p>
      <w:pPr>
        <w:pStyle w:val="style0"/>
        <w:rPr>
          <w:rFonts w:eastAsia="Times New Roman"/>
          <w:szCs w:val="24"/>
        </w:rPr>
      </w:pPr>
      <w:r>
        <w:rPr>
          <w:rFonts w:eastAsia="Times New Roman"/>
          <w:szCs w:val="24"/>
        </w:rPr>
        <w:t>Sainsbury's currently controls about 15-16% of the UK grocery market, which is by far lower than Tesco's market share. Although the company already has an online platform and delivery system, its presence in the digital grocery market is not as extensive as Tesco's (</w:t>
      </w:r>
      <w:r>
        <w:rPr>
          <w:rFonts w:eastAsia="Times New Roman"/>
          <w:szCs w:val="24"/>
          <w:highlight w:val="white"/>
        </w:rPr>
        <w:t>Spglobal 2025</w:t>
      </w:r>
      <w:r>
        <w:rPr>
          <w:rFonts w:eastAsia="Times New Roman"/>
          <w:szCs w:val="24"/>
        </w:rPr>
        <w:t xml:space="preserve">). </w:t>
      </w:r>
    </w:p>
    <w:p>
      <w:pPr>
        <w:pStyle w:val="style0"/>
        <w:rPr>
          <w:rFonts w:eastAsia="Times New Roman"/>
          <w:szCs w:val="24"/>
        </w:rPr>
      </w:pPr>
      <w:r>
        <w:rPr>
          <w:rFonts w:eastAsia="Times New Roman"/>
          <w:szCs w:val="24"/>
        </w:rPr>
        <w:t>The use of technology will give Sainsbury a chance to enhance its competitiveness. For example:</w:t>
      </w:r>
    </w:p>
    <w:p>
      <w:pPr>
        <w:pStyle w:val="style0"/>
        <w:numPr>
          <w:ilvl w:val="0"/>
          <w:numId w:val="2"/>
        </w:numPr>
        <w:rPr>
          <w:rFonts w:eastAsia="Times New Roman"/>
          <w:szCs w:val="24"/>
        </w:rPr>
      </w:pPr>
      <w:r>
        <w:rPr>
          <w:rFonts w:eastAsia="Times New Roman"/>
          <w:szCs w:val="24"/>
        </w:rPr>
        <w:t>Convenience-oriented consumers can be attracted by increasing online delivery capacity and click-and-collect services.</w:t>
      </w:r>
    </w:p>
    <w:p>
      <w:pPr>
        <w:pStyle w:val="style0"/>
        <w:numPr>
          <w:ilvl w:val="0"/>
          <w:numId w:val="2"/>
        </w:numPr>
        <w:rPr>
          <w:rFonts w:eastAsia="Times New Roman"/>
          <w:szCs w:val="24"/>
        </w:rPr>
      </w:pPr>
      <w:r>
        <w:rPr>
          <w:rFonts w:eastAsia="Times New Roman"/>
          <w:szCs w:val="24"/>
        </w:rPr>
        <w:t>Online marketing technology allows organisations to make promotions personal and more interactive.</w:t>
      </w:r>
    </w:p>
    <w:p>
      <w:pPr>
        <w:pStyle w:val="style0"/>
        <w:numPr>
          <w:ilvl w:val="0"/>
          <w:numId w:val="2"/>
        </w:numPr>
        <w:rPr>
          <w:rFonts w:eastAsia="Times New Roman"/>
          <w:szCs w:val="24"/>
        </w:rPr>
      </w:pPr>
      <w:r>
        <w:rPr>
          <w:rFonts w:eastAsia="Times New Roman"/>
          <w:szCs w:val="24"/>
        </w:rPr>
        <w:t>Partnerships with logistics or technology companies can bridge the innovation gap between market players and the leaders (</w:t>
      </w:r>
      <w:r>
        <w:rPr>
          <w:rFonts w:eastAsia="Times New Roman"/>
          <w:szCs w:val="24"/>
          <w:highlight w:val="white"/>
        </w:rPr>
        <w:t xml:space="preserve">Attah </w:t>
      </w:r>
      <w:r>
        <w:rPr>
          <w:rFonts w:eastAsia="Times New Roman"/>
          <w:i/>
          <w:iCs/>
          <w:szCs w:val="24"/>
          <w:highlight w:val="white"/>
        </w:rPr>
        <w:t xml:space="preserve">et al. </w:t>
      </w:r>
      <w:r>
        <w:rPr>
          <w:rFonts w:eastAsia="Times New Roman"/>
          <w:szCs w:val="24"/>
          <w:highlight w:val="white"/>
        </w:rPr>
        <w:t>2024</w:t>
      </w:r>
      <w:r>
        <w:rPr>
          <w:rFonts w:eastAsia="Times New Roman"/>
          <w:szCs w:val="24"/>
        </w:rPr>
        <w:t>).</w:t>
      </w:r>
    </w:p>
    <w:p>
      <w:pPr>
        <w:pStyle w:val="style0"/>
        <w:rPr>
          <w:rFonts w:eastAsia="Times New Roman"/>
          <w:szCs w:val="24"/>
        </w:rPr>
      </w:pPr>
      <w:r>
        <w:rPr>
          <w:rFonts w:eastAsia="Times New Roman"/>
          <w:szCs w:val="24"/>
        </w:rPr>
        <w:t>Nonetheless, technological change is also one of the significant threats to follower firms. Investments into new technologies demand large capitals since Tesco and other big retailers already have a well-developed digital infrastructure and logistics networks. This poses entry barriers as well as restricts the rate at which the follower firms can proliferate online services  (</w:t>
      </w:r>
      <w:r>
        <w:rPr>
          <w:rFonts w:eastAsia="Times New Roman"/>
          <w:szCs w:val="24"/>
          <w:highlight w:val="white"/>
        </w:rPr>
        <w:t>Roy, 2024</w:t>
      </w:r>
      <w:r>
        <w:rPr>
          <w:rFonts w:eastAsia="Times New Roman"/>
          <w:szCs w:val="24"/>
        </w:rPr>
        <w:t>).</w:t>
      </w:r>
    </w:p>
    <w:p>
      <w:pPr>
        <w:pStyle w:val="style0"/>
        <w:rPr>
          <w:rFonts w:eastAsia="Times New Roman"/>
          <w:szCs w:val="24"/>
        </w:rPr>
      </w:pPr>
      <w:r>
        <w:rPr>
          <w:rFonts w:eastAsia="Times New Roman"/>
          <w:szCs w:val="24"/>
        </w:rPr>
        <w:t>As a result, even though technology has the potential to grow Sainsbury, the company has a challenge of competing with a technologically advanced pioneer.</w:t>
      </w:r>
    </w:p>
    <w:bookmarkStart w:id="6" w:name="_Toc224586235"/>
    <w:p>
      <w:pPr>
        <w:pStyle w:val="style2"/>
        <w:rPr/>
      </w:pPr>
      <w:r>
        <w:t>Economic Environment.</w:t>
      </w:r>
      <w:bookmarkEnd w:id="6"/>
    </w:p>
    <w:p>
      <w:pPr>
        <w:pStyle w:val="style0"/>
        <w:rPr>
          <w:rFonts w:eastAsia="Times New Roman"/>
          <w:szCs w:val="24"/>
        </w:rPr>
      </w:pPr>
      <w:r>
        <w:rPr>
          <w:rFonts w:eastAsia="Times New Roman"/>
          <w:szCs w:val="24"/>
        </w:rPr>
        <w:t>The competitive position of Sainsbury is also affected by the economic status. Like Tesco, Sainsbury's has to react to the cost-of-living pressures impacting the consumers in the UK. In times of high inflation, customers are more conscious of the pricing and value products.</w:t>
      </w:r>
    </w:p>
    <w:p>
      <w:pPr>
        <w:pStyle w:val="style0"/>
        <w:rPr>
          <w:rFonts w:eastAsia="Times New Roman"/>
          <w:szCs w:val="24"/>
        </w:rPr>
      </w:pPr>
      <w:r>
        <w:rPr>
          <w:rFonts w:eastAsia="Times New Roman"/>
          <w:szCs w:val="24"/>
        </w:rPr>
        <w:t>In the case of Sainsbury, this environment has both positive and negative effects. On the opportunity front, the growth in sales can be supported due to the growth in demand of groceries in times of economic uncertainty. Statistics reveal that the expenditure at Sainsbury increased by approximately 4.7 per cent per annum over the period, which means that there is still demand in the supermarket market (</w:t>
      </w:r>
      <w:r>
        <w:rPr>
          <w:rFonts w:eastAsia="Times New Roman"/>
          <w:szCs w:val="24"/>
          <w:highlight w:val="white"/>
        </w:rPr>
        <w:t>Marketreportanalytics 2025</w:t>
      </w:r>
      <w:r>
        <w:rPr>
          <w:rFonts w:eastAsia="Times New Roman"/>
          <w:szCs w:val="24"/>
        </w:rPr>
        <w:t>).</w:t>
      </w:r>
    </w:p>
    <w:p>
      <w:pPr>
        <w:pStyle w:val="style0"/>
        <w:rPr>
          <w:rFonts w:eastAsia="Times New Roman"/>
          <w:szCs w:val="24"/>
        </w:rPr>
      </w:pPr>
      <w:r>
        <w:rPr>
          <w:rFonts w:eastAsia="Times New Roman"/>
          <w:szCs w:val="24"/>
        </w:rPr>
        <w:t>However, the economic pressures are a greater threat to Sainsbury than Tesco. Tesco is able to provide lower prices due to its ability to bargain with its suppliers as the company scales larger and its bargaining power is higher. This complicates the ability of the follower firms, including Sainsbury, to compete based on price alone. And there is the competition that is further increasing with discount retailers that are still attracting consumers who want cheaper options in times of economic downturn (</w:t>
      </w:r>
      <w:r>
        <w:rPr>
          <w:rFonts w:eastAsia="Times New Roman"/>
          <w:szCs w:val="24"/>
          <w:highlight w:val="white"/>
        </w:rPr>
        <w:t>Gu</w:t>
      </w:r>
      <w:r>
        <w:rPr>
          <w:rFonts w:eastAsia="Times New Roman"/>
          <w:i/>
          <w:iCs/>
          <w:szCs w:val="24"/>
          <w:highlight w:val="white"/>
        </w:rPr>
        <w:t xml:space="preserve"> et al</w:t>
      </w:r>
      <w:r>
        <w:rPr>
          <w:rFonts w:eastAsia="Times New Roman"/>
          <w:szCs w:val="24"/>
          <w:highlight w:val="white"/>
        </w:rPr>
        <w:t>. 2024</w:t>
      </w:r>
      <w:r>
        <w:rPr>
          <w:rFonts w:eastAsia="Times New Roman"/>
          <w:szCs w:val="24"/>
        </w:rPr>
        <w:t>).</w:t>
      </w:r>
    </w:p>
    <w:p>
      <w:pPr>
        <w:pStyle w:val="style0"/>
        <w:rPr>
          <w:rFonts w:eastAsia="Times New Roman"/>
          <w:szCs w:val="24"/>
        </w:rPr>
      </w:pPr>
      <w:r>
        <w:rPr>
          <w:rFonts w:eastAsia="Times New Roman"/>
          <w:szCs w:val="24"/>
        </w:rPr>
        <w:t>In order to address these issues, Sainsbury has focused on differentiation approaches, such as superior products, own-label products, and superior online support. However, the economic pressures restrict the flexibility of prices and the strategic need to embrace continuous changes (Kallmuenzer et al. 2025).</w:t>
      </w:r>
    </w:p>
    <w:p>
      <w:pPr>
        <w:pStyle w:val="style0"/>
        <w:jc w:val="left"/>
        <w:rPr>
          <w:rFonts w:eastAsia="Times New Roman"/>
          <w:b/>
          <w:bCs/>
          <w:sz w:val="28"/>
          <w:szCs w:val="24"/>
        </w:rPr>
      </w:pPr>
      <w:r>
        <w:br w:type="page"/>
      </w:r>
    </w:p>
    <w:bookmarkStart w:id="7" w:name="_Toc224586236"/>
    <w:p>
      <w:pPr>
        <w:pStyle w:val="style1"/>
        <w:rPr>
          <w:rFonts w:cs="Arial"/>
        </w:rPr>
      </w:pPr>
      <w:r>
        <w:rPr>
          <w:rFonts w:cs="Arial"/>
        </w:rPr>
        <w:t>Task 2:</w:t>
      </w:r>
      <w:bookmarkEnd w:id="7"/>
    </w:p>
    <w:bookmarkStart w:id="8" w:name="_Toc224586237"/>
    <w:p>
      <w:pPr>
        <w:pStyle w:val="style2"/>
        <w:rPr/>
      </w:pPr>
      <w:r>
        <w:t>Strategic Responses</w:t>
      </w:r>
      <w:bookmarkEnd w:id="8"/>
    </w:p>
    <w:p>
      <w:pPr>
        <w:pStyle w:val="style0"/>
        <w:rPr>
          <w:rFonts w:eastAsia="Times New Roman"/>
          <w:szCs w:val="24"/>
        </w:rPr>
      </w:pPr>
      <w:r>
        <w:rPr>
          <w:rFonts w:eastAsia="Times New Roman"/>
          <w:szCs w:val="24"/>
        </w:rPr>
        <w:t>The strategic responses that Tesco and Sainsbury have invoked to the macro-environmental forces that include technological progress and economic pressure include the need to keep the online grocery market in the UK growing. The high pace of digitalisation, growing competition posed by online stores, and the mounting pressure on cost-of-living have all played a major role in shaping consumer behaviour and retail strategies. As part of staying competitive, both organisations have embraced various strategic practices that aim to enhance efficiency, customer value, and positioning of the market (</w:t>
      </w:r>
      <w:r>
        <w:rPr>
          <w:rFonts w:eastAsia="Times New Roman"/>
          <w:szCs w:val="24"/>
          <w:highlight w:val="white"/>
        </w:rPr>
        <w:t>Azan and Karimah, 2022</w:t>
      </w:r>
      <w:r>
        <w:rPr>
          <w:rFonts w:eastAsia="Times New Roman"/>
          <w:szCs w:val="24"/>
        </w:rPr>
        <w:t>). This discussion measures the way that Tesco and Sainsbury address these external issues and preserve competitive advantage. Specifically, two important strategic frameworks, including Porters Generic Strategies which describe how companies can achieve competitive positions by either cost leadership or differing and Ansoffs Growth Matrix which describes how companies can grow by targeting market penetration, developing products, market development, and diversification are discussed (</w:t>
      </w:r>
      <w:r>
        <w:rPr>
          <w:rFonts w:eastAsia="Times New Roman"/>
          <w:szCs w:val="24"/>
          <w:highlight w:val="white"/>
        </w:rPr>
        <w:t>Globalbankingandfinance, 2026</w:t>
      </w:r>
      <w:r>
        <w:rPr>
          <w:rFonts w:eastAsia="Times New Roman"/>
          <w:szCs w:val="24"/>
        </w:rPr>
        <w:t>).</w:t>
      </w:r>
    </w:p>
    <w:bookmarkStart w:id="9" w:name="_Toc224586238"/>
    <w:p>
      <w:pPr>
        <w:pStyle w:val="style2"/>
        <w:rPr/>
      </w:pPr>
      <w:r>
        <w:t>Porter's Generic Strategy: Differentiation with Cost Leadership.</w:t>
      </w:r>
      <w:bookmarkEnd w:id="9"/>
    </w:p>
    <w:p>
      <w:pPr>
        <w:pStyle w:val="style0"/>
        <w:rPr>
          <w:rFonts w:eastAsia="Times New Roman"/>
          <w:szCs w:val="24"/>
        </w:rPr>
      </w:pPr>
      <w:r>
        <w:rPr>
          <w:rFonts w:eastAsia="Times New Roman"/>
          <w:szCs w:val="24"/>
        </w:rPr>
        <w:t>The key strategy used by Tesco is the cost leadership strategy that is facilitated by its size, well-developed supply chain, and digital capabilities. Tesco is the largest grocery retailer in the UK, holding around 28–29% of the grocery market and approximately 37% of the online grocery market (</w:t>
      </w:r>
      <w:r>
        <w:rPr>
          <w:rFonts w:eastAsia="Times New Roman"/>
          <w:szCs w:val="24"/>
          <w:highlight w:val="white"/>
        </w:rPr>
        <w:t>Meng, 2024</w:t>
      </w:r>
      <w:r>
        <w:rPr>
          <w:rFonts w:eastAsia="Times New Roman"/>
          <w:szCs w:val="24"/>
        </w:rPr>
        <w:t>).</w:t>
      </w:r>
    </w:p>
    <w:p>
      <w:pPr>
        <w:pStyle w:val="style0"/>
        <w:rPr>
          <w:rFonts w:eastAsia="Times New Roman"/>
          <w:szCs w:val="24"/>
        </w:rPr>
      </w:pPr>
      <w:r>
        <w:rPr>
          <w:rFonts w:eastAsia="Times New Roman"/>
          <w:szCs w:val="24"/>
        </w:rPr>
        <w:t>Tesco was also reacting to the cost-of living crisis and the increasing inflation rates by enhancing its value proposition by price matching and loyalty programmes. The Clubcard Prices and price matching with discount retailers are some of the initiatives that enable Tesco to retain price-sensitive consumers as it retains its market share. These are the strategies that are directly related to the economic pressures that affect consumers' buying behaviour (</w:t>
      </w:r>
      <w:r>
        <w:rPr>
          <w:rFonts w:eastAsia="Times New Roman"/>
          <w:szCs w:val="24"/>
          <w:highlight w:val="white"/>
        </w:rPr>
        <w:t>Marketingweek</w:t>
      </w:r>
      <w:r>
        <w:rPr>
          <w:rFonts w:eastAsia="Times New Roman"/>
          <w:szCs w:val="24"/>
          <w:highlight w:val="white"/>
          <w:lang w:val="en-US"/>
        </w:rPr>
        <w:t>,</w:t>
      </w:r>
      <w:r>
        <w:rPr>
          <w:rFonts w:eastAsia="Times New Roman"/>
          <w:szCs w:val="24"/>
          <w:highlight w:val="white"/>
        </w:rPr>
        <w:t xml:space="preserve"> 2025</w:t>
      </w:r>
      <w:r>
        <w:rPr>
          <w:rFonts w:eastAsia="Times New Roman"/>
          <w:szCs w:val="24"/>
        </w:rPr>
        <w:t>).</w:t>
      </w:r>
    </w:p>
    <w:p>
      <w:pPr>
        <w:pStyle w:val="style0"/>
        <w:rPr>
          <w:rFonts w:eastAsia="Times New Roman"/>
          <w:szCs w:val="24"/>
        </w:rPr>
      </w:pPr>
      <w:r>
        <w:rPr>
          <w:rFonts w:eastAsia="Times New Roman"/>
          <w:szCs w:val="24"/>
        </w:rPr>
        <w:t xml:space="preserve">Technology and convenience are also among the differentiation strategies employed by Tesco. The firm has also launched the quick delivery program, Whoosh, through which customers can get their groceries within a maximum of 20 minutes. The online retail has </w:t>
      </w:r>
      <w:r>
        <w:rPr>
          <w:rFonts w:eastAsia="Times New Roman"/>
          <w:szCs w:val="24"/>
        </w:rPr>
        <w:t>seen Tesco take advantage of the technology changes to have the service operational in over 1,600 stores and has reached over 70 percent of households in the UK, indicating that the company is able to leverage on technology in its online retail market (</w:t>
      </w:r>
      <w:r>
        <w:rPr>
          <w:rFonts w:eastAsia="Times New Roman"/>
          <w:szCs w:val="24"/>
          <w:highlight w:val="white"/>
        </w:rPr>
        <w:t>Globalbankingandfinance, 2026</w:t>
      </w:r>
      <w:r>
        <w:rPr>
          <w:rFonts w:eastAsia="Times New Roman"/>
          <w:szCs w:val="24"/>
        </w:rPr>
        <w:t>).</w:t>
      </w:r>
    </w:p>
    <w:p>
      <w:pPr>
        <w:pStyle w:val="style0"/>
        <w:rPr>
          <w:b/>
          <w:bCs/>
        </w:rPr>
      </w:pPr>
      <w:r>
        <w:t>Tesco can ensure a high competitive advantage in the UK grocery market using a cost-saving approach and continuous technological innovation. Tesco makes the shopping experience more efficient, expanding digital services and making delivery convenient, which strengthens loyalty among customers and makes the company competitive with the traditional supermarket as well as the newly arisen online grocery stores.</w:t>
      </w:r>
    </w:p>
    <w:bookmarkStart w:id="10" w:name="_Toc224586239"/>
    <w:p>
      <w:pPr>
        <w:pStyle w:val="style2"/>
        <w:rPr/>
      </w:pPr>
      <w:r>
        <w:t>Ansoff’s Growth Matrix</w:t>
      </w:r>
      <w:bookmarkEnd w:id="10"/>
    </w:p>
    <w:p>
      <w:pPr>
        <w:pStyle w:val="style0"/>
        <w:rPr>
          <w:rFonts w:eastAsia="Times New Roman"/>
          <w:szCs w:val="24"/>
        </w:rPr>
      </w:pPr>
      <w:r>
        <w:rPr>
          <w:rFonts w:eastAsia="Times New Roman"/>
          <w:szCs w:val="24"/>
        </w:rPr>
        <w:t>Ansoff Growth Matrix can also be applied in explaining the growth strategy of Tesco.</w:t>
      </w:r>
    </w:p>
    <w:p>
      <w:pPr>
        <w:pStyle w:val="style0"/>
        <w:rPr>
          <w:rFonts w:eastAsia="Times New Roman"/>
          <w:b/>
          <w:bCs/>
          <w:szCs w:val="24"/>
        </w:rPr>
      </w:pPr>
      <w:r>
        <w:rPr>
          <w:rFonts w:eastAsia="Times New Roman"/>
          <w:b/>
          <w:bCs/>
          <w:szCs w:val="24"/>
        </w:rPr>
        <w:t>Market Penetration:</w:t>
      </w:r>
    </w:p>
    <w:p>
      <w:pPr>
        <w:pStyle w:val="style0"/>
        <w:rPr>
          <w:rFonts w:eastAsia="Times New Roman"/>
          <w:szCs w:val="24"/>
        </w:rPr>
      </w:pPr>
      <w:r>
        <w:rPr>
          <w:rFonts w:eastAsia="Times New Roman"/>
          <w:szCs w:val="24"/>
        </w:rPr>
        <w:t>Tesco has been working on market share expansion in the established markets by using loyalty programmes, promotions and low prices. The Clubcard program offers individualised deals, depending on the consumer information, which reinforces consumer retention and promotes repeat buying (</w:t>
      </w:r>
      <w:r>
        <w:rPr>
          <w:rFonts w:eastAsia="Times New Roman"/>
          <w:szCs w:val="24"/>
          <w:highlight w:val="white"/>
        </w:rPr>
        <w:t>Azan and Karimah, 2022</w:t>
      </w:r>
      <w:r>
        <w:rPr>
          <w:rFonts w:eastAsia="Times New Roman"/>
          <w:szCs w:val="24"/>
        </w:rPr>
        <w:t>).</w:t>
      </w:r>
    </w:p>
    <w:p>
      <w:pPr>
        <w:pStyle w:val="style0"/>
        <w:rPr>
          <w:rFonts w:eastAsia="Times New Roman"/>
          <w:b/>
          <w:bCs/>
          <w:szCs w:val="24"/>
        </w:rPr>
      </w:pPr>
      <w:r>
        <w:rPr>
          <w:rFonts w:eastAsia="Times New Roman"/>
          <w:b/>
          <w:bCs/>
          <w:szCs w:val="24"/>
        </w:rPr>
        <w:t>Market Development:</w:t>
      </w:r>
    </w:p>
    <w:p>
      <w:pPr>
        <w:pStyle w:val="style0"/>
        <w:rPr>
          <w:rFonts w:eastAsia="Times New Roman"/>
          <w:szCs w:val="24"/>
        </w:rPr>
      </w:pPr>
      <w:r>
        <w:rPr>
          <w:rFonts w:eastAsia="Times New Roman"/>
          <w:szCs w:val="24"/>
        </w:rPr>
        <w:t>The company has also extended online grocery delivery to other places in the UK. Tesco has covered more households and strengthened its online presence by expanding the number of houses that it can deliver to, as well as enhancing its logistics networks (</w:t>
      </w:r>
      <w:r>
        <w:rPr>
          <w:rFonts w:eastAsia="Times New Roman"/>
          <w:szCs w:val="24"/>
          <w:highlight w:val="white"/>
        </w:rPr>
        <w:t>Smith, 2023</w:t>
      </w:r>
      <w:r>
        <w:rPr>
          <w:rFonts w:eastAsia="Times New Roman"/>
          <w:szCs w:val="24"/>
        </w:rPr>
        <w:t>).</w:t>
      </w:r>
    </w:p>
    <w:p>
      <w:pPr>
        <w:pStyle w:val="style0"/>
        <w:rPr>
          <w:rFonts w:eastAsia="Times New Roman"/>
          <w:b/>
          <w:bCs/>
          <w:szCs w:val="24"/>
        </w:rPr>
      </w:pPr>
      <w:r>
        <w:rPr>
          <w:rFonts w:eastAsia="Times New Roman"/>
          <w:b/>
          <w:bCs/>
          <w:szCs w:val="24"/>
        </w:rPr>
        <w:t>Product Development:</w:t>
      </w:r>
    </w:p>
    <w:p>
      <w:pPr>
        <w:pStyle w:val="style0"/>
        <w:rPr>
          <w:rFonts w:eastAsia="Times New Roman"/>
          <w:szCs w:val="24"/>
        </w:rPr>
      </w:pPr>
      <w:r>
        <w:rPr>
          <w:rFonts w:eastAsia="Times New Roman"/>
          <w:szCs w:val="24"/>
        </w:rPr>
        <w:t>Tesco unceasingly launches new products and services, as well as high-quality own-label brands like Finest and new technology like Whoosh. Rapid-delivery services are projected to increase sales by more than 40 per cent in 2025, which shows that consumers seek convenience (</w:t>
      </w:r>
      <w:r>
        <w:rPr>
          <w:rFonts w:eastAsia="Times New Roman"/>
          <w:szCs w:val="24"/>
          <w:highlight w:val="white"/>
        </w:rPr>
        <w:t>Tescoplc 2025</w:t>
      </w:r>
      <w:r>
        <w:rPr>
          <w:rFonts w:eastAsia="Times New Roman"/>
          <w:szCs w:val="24"/>
        </w:rPr>
        <w:t>).</w:t>
      </w:r>
    </w:p>
    <w:p>
      <w:pPr>
        <w:pStyle w:val="style0"/>
        <w:rPr>
          <w:rFonts w:eastAsia="Times New Roman"/>
          <w:b/>
          <w:bCs/>
          <w:szCs w:val="24"/>
        </w:rPr>
      </w:pPr>
      <w:r>
        <w:rPr>
          <w:rFonts w:eastAsia="Times New Roman"/>
          <w:b/>
          <w:bCs/>
          <w:szCs w:val="24"/>
        </w:rPr>
        <w:t>Diversification:</w:t>
      </w:r>
    </w:p>
    <w:p>
      <w:pPr>
        <w:pStyle w:val="style0"/>
        <w:rPr>
          <w:rFonts w:eastAsia="Times New Roman"/>
          <w:szCs w:val="24"/>
        </w:rPr>
      </w:pPr>
      <w:r>
        <w:rPr>
          <w:rFonts w:eastAsia="Times New Roman"/>
          <w:szCs w:val="24"/>
        </w:rPr>
        <w:t>Tesco has been diversified in technology based services and ventures, such as digital marketplaces and extended retail services, enabling the company to produce other revenue streams besides traditional grocery retailing (</w:t>
      </w:r>
      <w:r>
        <w:rPr>
          <w:rFonts w:eastAsia="Times New Roman"/>
          <w:szCs w:val="24"/>
          <w:highlight w:val="white"/>
        </w:rPr>
        <w:t>Hänninen, 2023</w:t>
      </w:r>
      <w:r>
        <w:rPr>
          <w:rFonts w:eastAsia="Times New Roman"/>
          <w:szCs w:val="24"/>
        </w:rPr>
        <w:t>).</w:t>
      </w:r>
    </w:p>
    <w:p>
      <w:pPr>
        <w:pStyle w:val="style0"/>
        <w:rPr>
          <w:rFonts w:eastAsia="Times New Roman"/>
          <w:szCs w:val="24"/>
        </w:rPr>
      </w:pPr>
      <w:r>
        <w:rPr>
          <w:rFonts w:eastAsia="Times New Roman"/>
          <w:szCs w:val="24"/>
        </w:rPr>
        <w:t>On balance, the strategies of Tesco can be viewed as an example of how innovative companies use their initial technological investments, economies of scale, and high brand loyalty to continue their development and dominate the market.</w:t>
      </w:r>
    </w:p>
    <w:p>
      <w:pPr>
        <w:pStyle w:val="style0"/>
        <w:rPr>
          <w:rFonts w:eastAsia="Times New Roman"/>
          <w:b/>
          <w:bCs/>
          <w:szCs w:val="24"/>
        </w:rPr>
      </w:pPr>
      <w:r>
        <w:rPr>
          <w:rFonts w:eastAsia="Times New Roman"/>
          <w:b/>
          <w:bCs/>
          <w:szCs w:val="24"/>
        </w:rPr>
        <w:t>Porter's Generic Strategy: Differentiation and Value.</w:t>
      </w:r>
    </w:p>
    <w:p>
      <w:pPr>
        <w:pStyle w:val="style0"/>
        <w:rPr>
          <w:rFonts w:eastAsia="Times New Roman"/>
          <w:szCs w:val="24"/>
        </w:rPr>
      </w:pPr>
      <w:r>
        <w:rPr>
          <w:rFonts w:eastAsia="Times New Roman"/>
          <w:szCs w:val="24"/>
        </w:rPr>
        <w:t>Sainsbury, being a follower in the online grocery business, uses the differentiation strategy coupled with value positioning mainly. Instead of competing on price only, the company focuses on product quality and customer experience as well as its own powerful-label brands (</w:t>
      </w:r>
      <w:r>
        <w:rPr>
          <w:rFonts w:eastAsia="Times New Roman"/>
          <w:szCs w:val="24"/>
          <w:highlight w:val="white"/>
        </w:rPr>
        <w:t>Ahmed</w:t>
      </w:r>
      <w:r>
        <w:rPr>
          <w:rFonts w:eastAsia="Times New Roman"/>
          <w:i/>
          <w:iCs/>
          <w:szCs w:val="24"/>
          <w:highlight w:val="white"/>
        </w:rPr>
        <w:t xml:space="preserve"> et al. </w:t>
      </w:r>
      <w:r>
        <w:rPr>
          <w:rFonts w:eastAsia="Times New Roman"/>
          <w:szCs w:val="24"/>
          <w:highlight w:val="white"/>
        </w:rPr>
        <w:t>2022</w:t>
      </w:r>
      <w:r>
        <w:rPr>
          <w:rFonts w:eastAsia="Times New Roman"/>
          <w:szCs w:val="24"/>
        </w:rPr>
        <w:t>).</w:t>
      </w:r>
    </w:p>
    <w:p>
      <w:pPr>
        <w:pStyle w:val="style0"/>
        <w:rPr>
          <w:rFonts w:eastAsia="Times New Roman"/>
          <w:szCs w:val="24"/>
        </w:rPr>
      </w:pPr>
      <w:r>
        <w:rPr>
          <w:rFonts w:eastAsia="Times New Roman"/>
          <w:szCs w:val="24"/>
        </w:rPr>
        <w:t>As an illustration, the high-end range of Taste the Difference of Sainsbury will attract people who are interested in more quality grocery products. Moreover, the company is also employing the Nectar Prices, where discounts are provided individually based on its loyalty programme to retain customer loyalty, especially in times of economic uncertainty (</w:t>
      </w:r>
      <w:r>
        <w:rPr>
          <w:rFonts w:eastAsia="Times New Roman"/>
          <w:szCs w:val="24"/>
          <w:highlight w:val="white"/>
        </w:rPr>
        <w:t>Investegate</w:t>
      </w:r>
      <w:r>
        <w:rPr>
          <w:rFonts w:eastAsia="Times New Roman"/>
          <w:szCs w:val="24"/>
          <w:highlight w:val="white"/>
          <w:lang w:val="en-US"/>
        </w:rPr>
        <w:t>,</w:t>
      </w:r>
      <w:r>
        <w:rPr>
          <w:rFonts w:eastAsia="Times New Roman"/>
          <w:szCs w:val="24"/>
          <w:highlight w:val="white"/>
        </w:rPr>
        <w:t xml:space="preserve"> 2023</w:t>
      </w:r>
      <w:r>
        <w:rPr>
          <w:rFonts w:eastAsia="Times New Roman"/>
          <w:szCs w:val="24"/>
        </w:rPr>
        <w:t>).</w:t>
      </w:r>
    </w:p>
    <w:p>
      <w:pPr>
        <w:pStyle w:val="style0"/>
        <w:rPr>
          <w:rFonts w:eastAsia="Times New Roman"/>
          <w:szCs w:val="24"/>
        </w:rPr>
      </w:pPr>
    </w:p>
    <w:p>
      <w:pPr>
        <w:pStyle w:val="style0"/>
        <w:rPr>
          <w:rFonts w:eastAsia="Times New Roman"/>
          <w:szCs w:val="24"/>
        </w:rPr>
      </w:pPr>
      <w:r>
        <w:rPr>
          <w:rFonts w:eastAsia="Times New Roman"/>
          <w:szCs w:val="24"/>
        </w:rPr>
        <w:t>Nevertheless, economic pressures have compelled Sainsbury to use more competitive pricing techniques. Similar to Tesco, the company launched Aldi price-matching schemes in order to keep the customers who would otherwise move to cheaper retailers. Sainsbury has been performing steadily, despite the high competition, with a report of about 15 per cent market share in the UK quality grocery and a growth in retail sales of an average of 4.5 percent per annum (</w:t>
      </w:r>
      <w:r>
        <w:rPr>
          <w:rFonts w:eastAsia="Times New Roman"/>
          <w:szCs w:val="24"/>
          <w:highlight w:val="white"/>
        </w:rPr>
        <w:t>Hawthorne, 2025</w:t>
      </w:r>
      <w:r>
        <w:rPr>
          <w:rFonts w:eastAsia="Times New Roman"/>
          <w:szCs w:val="24"/>
        </w:rPr>
        <w:t>).</w:t>
      </w:r>
    </w:p>
    <w:p>
      <w:pPr>
        <w:pStyle w:val="style0"/>
        <w:rPr>
          <w:rFonts w:eastAsia="Times New Roman"/>
          <w:szCs w:val="24"/>
        </w:rPr>
      </w:pPr>
      <w:r>
        <w:rPr>
          <w:rFonts w:eastAsia="Times New Roman"/>
          <w:b/>
          <w:bCs/>
          <w:szCs w:val="24"/>
        </w:rPr>
        <w:t>Ansoff’s Growth Matrix</w:t>
      </w:r>
    </w:p>
    <w:p>
      <w:pPr>
        <w:pStyle w:val="style0"/>
        <w:rPr>
          <w:rFonts w:eastAsia="Times New Roman"/>
          <w:szCs w:val="24"/>
        </w:rPr>
      </w:pPr>
      <w:r>
        <w:rPr>
          <w:rFonts w:eastAsia="Times New Roman"/>
          <w:szCs w:val="24"/>
        </w:rPr>
        <w:t>The Ansoff framework can also be applied to the strategic growth of Sainsbury.</w:t>
      </w:r>
    </w:p>
    <w:p>
      <w:pPr>
        <w:pStyle w:val="style0"/>
        <w:rPr>
          <w:rFonts w:eastAsia="Times New Roman"/>
          <w:b/>
          <w:bCs/>
          <w:szCs w:val="24"/>
        </w:rPr>
      </w:pPr>
      <w:r>
        <w:rPr>
          <w:rFonts w:eastAsia="Times New Roman"/>
          <w:b/>
          <w:bCs/>
          <w:szCs w:val="24"/>
        </w:rPr>
        <w:t>Market Penetration:</w:t>
      </w:r>
    </w:p>
    <w:p>
      <w:pPr>
        <w:pStyle w:val="style0"/>
        <w:rPr>
          <w:rFonts w:eastAsia="Times New Roman"/>
          <w:szCs w:val="24"/>
        </w:rPr>
      </w:pPr>
      <w:r>
        <w:rPr>
          <w:rFonts w:eastAsia="Times New Roman"/>
          <w:szCs w:val="24"/>
        </w:rPr>
        <w:t>The company reinforces its key grocery business with competitive prices, personalised offers and customer loyalty programs like Nectar rewards. These promotions will prompt repeat buying in the current UK market (</w:t>
      </w:r>
      <w:r>
        <w:rPr>
          <w:rFonts w:eastAsia="Times New Roman"/>
          <w:szCs w:val="24"/>
          <w:highlight w:val="white"/>
        </w:rPr>
        <w:t>Ziliani, 2025</w:t>
      </w:r>
      <w:r>
        <w:rPr>
          <w:rFonts w:eastAsia="Times New Roman"/>
          <w:szCs w:val="24"/>
        </w:rPr>
        <w:t>).</w:t>
      </w:r>
    </w:p>
    <w:p>
      <w:pPr>
        <w:pStyle w:val="style0"/>
        <w:rPr>
          <w:rFonts w:eastAsia="Times New Roman"/>
          <w:b/>
          <w:bCs/>
          <w:szCs w:val="24"/>
        </w:rPr>
      </w:pPr>
      <w:r>
        <w:rPr>
          <w:rFonts w:eastAsia="Times New Roman"/>
          <w:b/>
          <w:bCs/>
          <w:szCs w:val="24"/>
        </w:rPr>
        <w:t>Product Development:</w:t>
      </w:r>
    </w:p>
    <w:p>
      <w:pPr>
        <w:pStyle w:val="style0"/>
        <w:rPr>
          <w:rFonts w:eastAsia="Times New Roman"/>
          <w:szCs w:val="24"/>
        </w:rPr>
      </w:pPr>
      <w:r>
        <w:rPr>
          <w:rFonts w:eastAsia="Times New Roman"/>
          <w:szCs w:val="24"/>
        </w:rPr>
        <w:t>Sainsbury pays much attention to the product range innovation. The retailer introduced more than 400 new products within one year, which has shown its approach of appealing to consumers with differentiated and superior products (</w:t>
      </w:r>
      <w:r>
        <w:rPr>
          <w:rFonts w:eastAsia="Times New Roman"/>
          <w:szCs w:val="24"/>
          <w:highlight w:val="white"/>
        </w:rPr>
        <w:t>investing 2025</w:t>
      </w:r>
      <w:r>
        <w:rPr>
          <w:rFonts w:eastAsia="Times New Roman"/>
          <w:szCs w:val="24"/>
        </w:rPr>
        <w:t>).</w:t>
      </w:r>
    </w:p>
    <w:p>
      <w:pPr>
        <w:pStyle w:val="style0"/>
        <w:rPr>
          <w:rFonts w:eastAsia="Times New Roman"/>
          <w:b/>
          <w:bCs/>
          <w:szCs w:val="24"/>
        </w:rPr>
      </w:pPr>
      <w:r>
        <w:rPr>
          <w:rFonts w:eastAsia="Times New Roman"/>
          <w:b/>
          <w:bCs/>
          <w:szCs w:val="24"/>
        </w:rPr>
        <w:t>Market Development:</w:t>
      </w:r>
    </w:p>
    <w:p>
      <w:pPr>
        <w:pStyle w:val="style0"/>
        <w:rPr>
          <w:rFonts w:eastAsia="Times New Roman"/>
          <w:szCs w:val="24"/>
        </w:rPr>
      </w:pPr>
      <w:r>
        <w:rPr>
          <w:rFonts w:eastAsia="Times New Roman"/>
          <w:szCs w:val="24"/>
        </w:rPr>
        <w:t>Sainsbury's has grown its online grocery shopping and convenience formats. Its on-demand rapid delivery service increased tremendously, reaching beyond 1,200 destinations and approximately 65 per cent of the people in the UK, making access and convenience better to customers (</w:t>
      </w:r>
      <w:r>
        <w:rPr>
          <w:rFonts w:eastAsia="Times New Roman"/>
          <w:szCs w:val="24"/>
          <w:highlight w:val="white"/>
        </w:rPr>
        <w:t>Sainsburys 2024</w:t>
      </w:r>
      <w:r>
        <w:rPr>
          <w:rFonts w:eastAsia="Times New Roman"/>
          <w:szCs w:val="24"/>
        </w:rPr>
        <w:t>).</w:t>
      </w:r>
    </w:p>
    <w:p>
      <w:pPr>
        <w:pStyle w:val="style0"/>
        <w:rPr>
          <w:rFonts w:eastAsia="Times New Roman"/>
          <w:szCs w:val="24"/>
        </w:rPr>
      </w:pPr>
      <w:r>
        <w:rPr>
          <w:rFonts w:eastAsia="Times New Roman"/>
          <w:b/>
          <w:bCs/>
          <w:szCs w:val="24"/>
        </w:rPr>
        <w:t>Diversification</w:t>
      </w:r>
      <w:r>
        <w:rPr>
          <w:rFonts w:eastAsia="Times New Roman"/>
          <w:szCs w:val="24"/>
        </w:rPr>
        <w:t>:</w:t>
      </w:r>
    </w:p>
    <w:p>
      <w:pPr>
        <w:pStyle w:val="style0"/>
        <w:rPr>
          <w:rFonts w:eastAsia="Times New Roman"/>
          <w:szCs w:val="24"/>
        </w:rPr>
      </w:pPr>
      <w:r>
        <w:rPr>
          <w:rFonts w:eastAsia="Times New Roman"/>
          <w:szCs w:val="24"/>
        </w:rPr>
        <w:t>The inclusion of the Argos in the supermarkets of Sainsbury's is a diversification strategy. Using a combination of grocery retail business and a general merchandise business with digital click-and-collect services, the company enhances the omnichannel retail business (</w:t>
      </w:r>
      <w:r>
        <w:rPr>
          <w:rFonts w:eastAsia="Times New Roman"/>
          <w:szCs w:val="24"/>
          <w:highlight w:val="white"/>
        </w:rPr>
        <w:t>Detti, 2023</w:t>
      </w:r>
      <w:r>
        <w:rPr>
          <w:rFonts w:eastAsia="Times New Roman"/>
          <w:szCs w:val="24"/>
        </w:rPr>
        <w:t>).</w:t>
      </w:r>
    </w:p>
    <w:bookmarkStart w:id="11" w:name="_Toc224586240"/>
    <w:p>
      <w:pPr>
        <w:pStyle w:val="style2"/>
        <w:rPr/>
      </w:pPr>
      <w:r>
        <w:t>Comparative Evaluation</w:t>
      </w:r>
      <w:bookmarkEnd w:id="11"/>
    </w:p>
    <w:p>
      <w:pPr>
        <w:pStyle w:val="style0"/>
        <w:rPr>
          <w:rFonts w:eastAsia="Times New Roman"/>
          <w:szCs w:val="24"/>
        </w:rPr>
      </w:pPr>
      <w:r>
        <w:rPr>
          <w:rFonts w:eastAsia="Times New Roman"/>
          <w:szCs w:val="24"/>
        </w:rPr>
        <w:t>The two companies have embraced strategic responses in response to the technological change and economic pressures; however, their strategies are different.</w:t>
      </w:r>
    </w:p>
    <w:p>
      <w:pPr>
        <w:pStyle w:val="style0"/>
        <w:rPr>
          <w:rFonts w:eastAsia="Times New Roman"/>
          <w:szCs w:val="24"/>
        </w:rPr>
      </w:pPr>
      <w:r>
        <w:rPr>
          <w:rFonts w:eastAsia="Times New Roman"/>
          <w:szCs w:val="24"/>
        </w:rPr>
        <w:t>Tesco utilizes mainly a cost leadership policy with sound technological processes and operational efficiency</w:t>
      </w:r>
      <w:r>
        <w:rPr>
          <w:rFonts w:eastAsia="Times New Roman"/>
          <w:szCs w:val="24"/>
          <w:lang w:val="en-US"/>
        </w:rPr>
        <w:t xml:space="preserve"> </w:t>
      </w:r>
      <w:r>
        <w:rPr>
          <w:rFonts w:eastAsia="Times New Roman"/>
          <w:szCs w:val="24"/>
        </w:rPr>
        <w:t>(</w:t>
      </w:r>
      <w:r>
        <w:rPr>
          <w:rFonts w:eastAsia="Times New Roman"/>
          <w:szCs w:val="24"/>
          <w:highlight w:val="white"/>
        </w:rPr>
        <w:t>Marketingweek 2025</w:t>
      </w:r>
      <w:r>
        <w:rPr>
          <w:rFonts w:eastAsia="Times New Roman"/>
          <w:szCs w:val="24"/>
        </w:rPr>
        <w:t>).</w:t>
      </w:r>
      <w:r>
        <w:rPr>
          <w:rFonts w:eastAsia="Times New Roman"/>
          <w:szCs w:val="24"/>
          <w:lang w:val="en-US"/>
        </w:rPr>
        <w:t xml:space="preserve"> </w:t>
      </w:r>
      <w:r>
        <w:rPr>
          <w:rFonts w:eastAsia="Times New Roman"/>
          <w:szCs w:val="24"/>
        </w:rPr>
        <w:t>The company has ensured that it is in the UK digital infrastructure, data analytics, and state-of-the-art logistics systems through early investment which has helped it to consolidate its position in the online grocery market. Additional benefits of these investments enable Tesco to save on operational expenses in addition to enhancing efficiency in its delivery process and providing competitive prices to its clients. This has seen the company retain the biggest market share and enjoy the first mover advantage in online grocery retailing (</w:t>
      </w:r>
      <w:r>
        <w:rPr>
          <w:rFonts w:eastAsia="Times New Roman"/>
          <w:szCs w:val="24"/>
          <w:highlight w:val="white"/>
        </w:rPr>
        <w:t>Azan and Karimah, 2022</w:t>
      </w:r>
      <w:r>
        <w:rPr>
          <w:rFonts w:eastAsia="Times New Roman"/>
          <w:szCs w:val="24"/>
        </w:rPr>
        <w:t xml:space="preserve">). </w:t>
      </w:r>
    </w:p>
    <w:p>
      <w:pPr>
        <w:pStyle w:val="style0"/>
        <w:rPr>
          <w:rFonts w:eastAsia="Times New Roman"/>
          <w:b/>
          <w:bCs/>
          <w:szCs w:val="24"/>
        </w:rPr>
      </w:pPr>
      <w:r>
        <w:rPr>
          <w:rFonts w:eastAsia="Times New Roman"/>
          <w:szCs w:val="24"/>
        </w:rPr>
        <w:t>On the other hand, Sainsbury is more dependent on the differentiation strategy, which emphasizes on the quality of product, customer experience, and brand loyalty. The retailer focuses on high-end product offered, personalised offers, and rewarding schemes like Nectar rewards to win, and keep its customers. As much as Sainsbury has increased its online services and on demand delivery, its digital platform and market footprint is still small in relation to Tesco. Hence, Tesco competes primarily on the basis of cost efficiency and scale whereas Sainsbury competes on the basis of product differentiation and customer value (</w:t>
      </w:r>
      <w:r>
        <w:rPr>
          <w:rFonts w:eastAsia="Times New Roman"/>
          <w:szCs w:val="24"/>
          <w:highlight w:val="white"/>
        </w:rPr>
        <w:t>Ziliani, 2025</w:t>
      </w:r>
      <w:r>
        <w:rPr>
          <w:rFonts w:eastAsia="Times New Roman"/>
          <w:szCs w:val="24"/>
        </w:rPr>
        <w:t>).</w:t>
      </w:r>
      <w:r>
        <w:br w:type="page"/>
      </w:r>
    </w:p>
    <w:bookmarkStart w:id="12" w:name="_Toc224586241"/>
    <w:p>
      <w:pPr>
        <w:pStyle w:val="style1"/>
        <w:rPr>
          <w:rFonts w:cs="Arial"/>
        </w:rPr>
      </w:pPr>
      <w:r>
        <w:rPr>
          <w:rFonts w:cs="Arial"/>
        </w:rPr>
        <w:t>References</w:t>
      </w:r>
      <w:bookmarkEnd w:id="12"/>
      <w:r>
        <w:rPr>
          <w:rFonts w:cs="Arial"/>
        </w:rPr>
        <w:t xml:space="preserve"> </w:t>
      </w:r>
    </w:p>
    <w:p>
      <w:pPr>
        <w:pStyle w:val="style0"/>
        <w:spacing w:before="240" w:after="240"/>
        <w:rPr>
          <w:rFonts w:eastAsia="Times New Roman"/>
          <w:color w:val="222222"/>
          <w:szCs w:val="24"/>
          <w:highlight w:val="white"/>
        </w:rPr>
      </w:pPr>
      <w:r>
        <w:rPr>
          <w:rFonts w:eastAsia="Times New Roman"/>
          <w:color w:val="222222"/>
          <w:szCs w:val="24"/>
          <w:highlight w:val="white"/>
        </w:rPr>
        <w:t xml:space="preserve">Ahmed, E., Alsafadi, M., Albanna, H., Murtada, A.A. and Jaber, M., 2022. The influence of consumer selection on store brands over name brands in the food retailing industry. </w:t>
      </w:r>
      <w:r>
        <w:rPr>
          <w:rFonts w:eastAsia="Times New Roman"/>
          <w:i/>
          <w:iCs/>
          <w:color w:val="222222"/>
          <w:szCs w:val="24"/>
          <w:highlight w:val="white"/>
        </w:rPr>
        <w:t>International Journal for Innovation Education and Research</w:t>
      </w:r>
      <w:r>
        <w:rPr>
          <w:rFonts w:eastAsia="Times New Roman"/>
          <w:color w:val="222222"/>
          <w:szCs w:val="24"/>
          <w:highlight w:val="white"/>
        </w:rPr>
        <w:t xml:space="preserve">, </w:t>
      </w:r>
      <w:r>
        <w:rPr>
          <w:rFonts w:eastAsia="Times New Roman"/>
          <w:i/>
          <w:iCs/>
          <w:color w:val="222222"/>
          <w:szCs w:val="24"/>
          <w:highlight w:val="white"/>
        </w:rPr>
        <w:t>10</w:t>
      </w:r>
      <w:r>
        <w:rPr>
          <w:rFonts w:eastAsia="Times New Roman"/>
          <w:color w:val="222222"/>
          <w:szCs w:val="24"/>
          <w:highlight w:val="white"/>
        </w:rPr>
        <w:t>(12), pp.23-60.</w:t>
      </w:r>
      <w:r>
        <w:rPr>
          <w:rFonts w:eastAsia="Times New Roman"/>
          <w:color w:val="222222"/>
          <w:szCs w:val="24"/>
        </w:rPr>
        <w:t xml:space="preserve">  </w:t>
      </w:r>
      <w:r>
        <w:rPr/>
        <w:fldChar w:fldCharType="begin"/>
      </w:r>
      <w:r>
        <w:instrText xml:space="preserve"> HYPERLINK "https://d1wqtxts1xzle7.cloudfront.net/100093097/2768-libre.pdf?1679330956=&amp;response-content-disposition=inline%3B+filename%3DThe_Influence_of_Consumer_Selection_on_S.pdf&amp;Expires=1773662598&amp;Signature=HzYgRj8zACSDKG26Z04wBOqd6uHLMGjn9uMSpzmlNpZdH6uv-osAveZ4rEv~2-k8c97ljN6bft-VNE0zYgS7StbKUaSfujpV4iB0PNPpVQMzYml~8w7EN1-~XvnjuCqrWRSJ5CVRwz1I6N-MIYjWTWPMs6ZpKyscWsvbUVyiTQa74wNHRqi-GCJvD2YEOBLp2RLwGEcbVAHjvN4QmyFA6Hx2HejrsDC6dmizA35aMOVW5OnPEuDVA23FIiI6EWx3bfqGFgaV4Gh27DNAajGRKDb048PCXDMypoJEWkb6l~laxGn7JYdHveCy1gPYk7h4JOXEQrTVzR-y2KwUgxmZBA__&amp;Key-Pair-Id=APKAJLOHF5GGSLRBV4ZA" </w:instrText>
      </w:r>
      <w:r>
        <w:rPr/>
        <w:fldChar w:fldCharType="separate"/>
      </w:r>
      <w:r>
        <w:rPr>
          <w:rStyle w:val="style85"/>
          <w:rFonts w:eastAsia="Times New Roman"/>
          <w:szCs w:val="24"/>
          <w:highlight w:val="white"/>
        </w:rPr>
        <w:t>https://d1wqtxts1xzle7.cloudfront.net/100093097/2768-libre.pdf?1679330956=&amp;response-content-disposition=inline%3B+filename%3DThe_Influence_of_Consumer_Selection_on_S.pdf&amp;Expires=1773662598&amp;Signature=HzYgRj8zACSDKG26Z04wBOqd6uHLMGjn9uMSpzmlNpZdH6uv-osAveZ4rEv~2-k8c97ljN6bft-VNE0zYgS7StbKUaSfujpV4iB0PNPpVQMzYml~8w7EN1-~XvnjuCqrWRSJ5CVRwz1I6N-MIYjWTWPMs6ZpKyscWsvbUVyiTQa74wNHRqi-GCJvD2YEOBLp2RLwGEcbVAHjvN4QmyFA6Hx2HejrsDC6dmizA35aMOVW5OnPEuDVA23FIiI6EWx3bfqGFgaV4Gh27DNAajGRKDb048PCXDMypoJEWkb6l~laxGn7JYdHveCy1gPYk7h4JOXEQrTVzR-y2KwUgxmZBA__&amp;Key-Pair-Id=APKAJLOHF5GGSLRBV4ZA</w:t>
      </w:r>
      <w:r>
        <w:rPr/>
        <w:fldChar w:fldCharType="end"/>
      </w:r>
    </w:p>
    <w:p>
      <w:pPr>
        <w:pStyle w:val="style0"/>
        <w:spacing w:before="240" w:after="240"/>
        <w:rPr>
          <w:rFonts w:eastAsia="Times New Roman"/>
          <w:color w:val="222222"/>
          <w:szCs w:val="24"/>
          <w:highlight w:val="white"/>
        </w:rPr>
      </w:pPr>
      <w:r>
        <w:rPr>
          <w:rFonts w:eastAsia="Times New Roman"/>
          <w:color w:val="222222"/>
          <w:szCs w:val="24"/>
          <w:highlight w:val="white"/>
        </w:rPr>
        <w:t xml:space="preserve">Attah, R.U., Garba, B.M.P., Gil-Ozoudeh, I. and Iwuanyanwu, O., 2024. Evaluating strategic technology partnerships: Providing conceptual insights into their role in corporate strategy and technological innovation. </w:t>
      </w:r>
      <w:r>
        <w:rPr>
          <w:rFonts w:eastAsia="Times New Roman"/>
          <w:i/>
          <w:iCs/>
          <w:color w:val="222222"/>
          <w:szCs w:val="24"/>
          <w:highlight w:val="white"/>
        </w:rPr>
        <w:t>Int J Front Sci Technol Res</w:t>
      </w:r>
      <w:r>
        <w:rPr>
          <w:rFonts w:eastAsia="Times New Roman"/>
          <w:color w:val="222222"/>
          <w:szCs w:val="24"/>
          <w:highlight w:val="white"/>
        </w:rPr>
        <w:t xml:space="preserve">, </w:t>
      </w:r>
      <w:r>
        <w:rPr>
          <w:rFonts w:eastAsia="Times New Roman"/>
          <w:i/>
          <w:iCs/>
          <w:color w:val="222222"/>
          <w:szCs w:val="24"/>
          <w:highlight w:val="white"/>
        </w:rPr>
        <w:t>7</w:t>
      </w:r>
      <w:r>
        <w:rPr>
          <w:rFonts w:eastAsia="Times New Roman"/>
          <w:color w:val="222222"/>
          <w:szCs w:val="24"/>
          <w:highlight w:val="white"/>
        </w:rPr>
        <w:t>(2), pp.77-89.</w:t>
      </w:r>
      <w:r>
        <w:rPr/>
        <w:fldChar w:fldCharType="begin"/>
      </w:r>
      <w:r>
        <w:instrText xml:space="preserve"> HYPERLINK "https://www.researchgate.net/profile/Ifechukwu-Gil-Ozoudeh/publication/386278181_Evaluating_strategic_technology_partnerships_Providing_conceptual_insights_into_their_role_in_corporate_strategy_and_technological_innovation/links/674d8c8a359dcb4d9d4b6e4b/Evaluating-strategic-technology-partnerships-Providing-conceptual-insights-into-their-role-in-corporate-strategy-and-technological-innovation.pdf" </w:instrText>
      </w:r>
      <w:r>
        <w:rPr/>
        <w:fldChar w:fldCharType="separate"/>
      </w:r>
      <w:r>
        <w:rPr>
          <w:rFonts w:eastAsia="Times New Roman"/>
          <w:color w:val="1155cc"/>
          <w:szCs w:val="24"/>
          <w:highlight w:val="white"/>
          <w:u w:val="single"/>
        </w:rPr>
        <w:t>https://www.researchgate.net/profile/Ifechukwu-Gil-Ozoudeh/publication/386278181_Evaluating_strategic_technology_partnerships_Providing_conceptual_insights_into_their_role_in_corporate_strategy_and_technological_innovation/links/674d8c8a359dcb4d9d4b6e4b/Evaluating-strategic-technology-partnerships-Providing-conceptual-insights-into-their-role-in-corporate-strategy-and-technological-innovation.pdf</w:t>
      </w:r>
      <w:r>
        <w:rPr/>
        <w:fldChar w:fldCharType="end"/>
      </w:r>
    </w:p>
    <w:p>
      <w:pPr>
        <w:pStyle w:val="style0"/>
        <w:spacing w:before="240" w:after="240"/>
        <w:rPr>
          <w:rFonts w:eastAsia="Times New Roman"/>
          <w:color w:val="222222"/>
          <w:szCs w:val="24"/>
          <w:highlight w:val="white"/>
        </w:rPr>
      </w:pPr>
      <w:r>
        <w:rPr>
          <w:rFonts w:eastAsia="Times New Roman"/>
          <w:color w:val="222222"/>
          <w:szCs w:val="24"/>
          <w:highlight w:val="white"/>
        </w:rPr>
        <w:t xml:space="preserve">Azan, M.E.M. and Karimah, W.N., 2022. The Relationship between Customer Loyalty Program and Customer Retention at Tesco. </w:t>
      </w:r>
      <w:r>
        <w:rPr>
          <w:rFonts w:eastAsia="Times New Roman"/>
          <w:i/>
          <w:iCs/>
          <w:color w:val="222222"/>
          <w:szCs w:val="24"/>
          <w:highlight w:val="white"/>
        </w:rPr>
        <w:t>Research in Management of Technology and Business</w:t>
      </w:r>
      <w:r>
        <w:rPr>
          <w:rFonts w:eastAsia="Times New Roman"/>
          <w:color w:val="222222"/>
          <w:szCs w:val="24"/>
          <w:highlight w:val="white"/>
        </w:rPr>
        <w:t xml:space="preserve">, </w:t>
      </w:r>
      <w:r>
        <w:rPr>
          <w:rFonts w:eastAsia="Times New Roman"/>
          <w:i/>
          <w:iCs/>
          <w:color w:val="222222"/>
          <w:szCs w:val="24"/>
          <w:highlight w:val="white"/>
        </w:rPr>
        <w:t>3</w:t>
      </w:r>
      <w:r>
        <w:rPr>
          <w:rFonts w:eastAsia="Times New Roman"/>
          <w:color w:val="222222"/>
          <w:szCs w:val="24"/>
          <w:highlight w:val="white"/>
        </w:rPr>
        <w:t>(2), pp.174-184.</w:t>
      </w:r>
      <w:r>
        <w:rPr>
          <w:rFonts w:eastAsia="Times New Roman"/>
          <w:color w:val="222222"/>
          <w:szCs w:val="24"/>
        </w:rPr>
        <w:t xml:space="preserve"> </w:t>
      </w:r>
      <w:r>
        <w:rPr/>
        <w:fldChar w:fldCharType="begin"/>
      </w:r>
      <w:r>
        <w:instrText xml:space="preserve"> HYPERLINK "https://publisher.uthm.edu.my/periodicals/index.php/rmtb/article/view/9730" </w:instrText>
      </w:r>
      <w:r>
        <w:rPr/>
        <w:fldChar w:fldCharType="separate"/>
      </w:r>
      <w:r>
        <w:rPr>
          <w:rStyle w:val="style85"/>
          <w:rFonts w:eastAsia="Times New Roman"/>
          <w:szCs w:val="24"/>
          <w:highlight w:val="white"/>
        </w:rPr>
        <w:t>https://publisher.uthm.edu.my/periodicals/index.php/rmtb/article/view/9730</w:t>
      </w:r>
      <w:r>
        <w:rPr/>
        <w:fldChar w:fldCharType="end"/>
      </w:r>
    </w:p>
    <w:p>
      <w:pPr>
        <w:pStyle w:val="style0"/>
        <w:spacing w:before="240" w:after="240"/>
        <w:rPr>
          <w:rFonts w:eastAsia="Times New Roman"/>
          <w:color w:val="222222"/>
          <w:szCs w:val="24"/>
          <w:highlight w:val="white"/>
        </w:rPr>
      </w:pPr>
      <w:r>
        <w:rPr>
          <w:rFonts w:eastAsia="Times New Roman"/>
          <w:color w:val="222222"/>
          <w:szCs w:val="24"/>
          <w:highlight w:val="white"/>
        </w:rPr>
        <w:t xml:space="preserve">Detti, A., 2023. </w:t>
      </w:r>
      <w:r>
        <w:rPr>
          <w:rFonts w:eastAsia="Times New Roman"/>
          <w:i/>
          <w:iCs/>
          <w:color w:val="222222"/>
          <w:szCs w:val="24"/>
          <w:highlight w:val="white"/>
        </w:rPr>
        <w:t>Equity Research on Ocado Group: On Track to Diversify from the UK</w:t>
      </w:r>
      <w:r>
        <w:rPr>
          <w:rFonts w:eastAsia="Times New Roman"/>
          <w:color w:val="222222"/>
          <w:szCs w:val="24"/>
          <w:highlight w:val="white"/>
        </w:rPr>
        <w:t xml:space="preserve"> (Master's thesis, Universidade NOVA de Lisboa (Portugal)).</w:t>
      </w:r>
      <w:r>
        <w:rPr>
          <w:rFonts w:eastAsia="Times New Roman"/>
          <w:color w:val="222222"/>
          <w:szCs w:val="24"/>
        </w:rPr>
        <w:t xml:space="preserve"> </w:t>
      </w:r>
      <w:r>
        <w:rPr/>
        <w:fldChar w:fldCharType="begin"/>
      </w:r>
      <w:r>
        <w:instrText xml:space="preserve"> HYPERLINK "https://www.proquest.com/openview/65b5fbaf764a863a0ba56de1d8d34658/1?pq-origsite=gscholar&amp;cbl=2026366&amp;diss=y" </w:instrText>
      </w:r>
      <w:r>
        <w:rPr/>
        <w:fldChar w:fldCharType="separate"/>
      </w:r>
      <w:r>
        <w:rPr>
          <w:rStyle w:val="style85"/>
          <w:rFonts w:eastAsia="Times New Roman"/>
          <w:szCs w:val="24"/>
          <w:highlight w:val="white"/>
        </w:rPr>
        <w:t>https://www.proquest.com/openview/65b5fbaf764a863a0ba56de1d8d34658/1?pq-origsite=gscholar&amp;cbl=2026366&amp;diss=y</w:t>
      </w:r>
      <w:r>
        <w:rPr/>
        <w:fldChar w:fldCharType="end"/>
      </w:r>
    </w:p>
    <w:p>
      <w:pPr>
        <w:pStyle w:val="style0"/>
        <w:spacing w:before="240" w:after="240"/>
        <w:rPr>
          <w:rFonts w:eastAsia="Times New Roman"/>
          <w:color w:val="222222"/>
          <w:szCs w:val="24"/>
          <w:highlight w:val="white"/>
        </w:rPr>
      </w:pPr>
      <w:r>
        <w:rPr>
          <w:rFonts w:eastAsia="Times New Roman"/>
          <w:color w:val="222222"/>
          <w:szCs w:val="24"/>
          <w:highlight w:val="white"/>
        </w:rPr>
        <w:t xml:space="preserve">Finance (2025) </w:t>
      </w:r>
      <w:r>
        <w:rPr>
          <w:rFonts w:eastAsia="Times New Roman"/>
          <w:i/>
          <w:iCs/>
          <w:color w:val="222222"/>
          <w:szCs w:val="24"/>
          <w:highlight w:val="white"/>
        </w:rPr>
        <w:t>Tesco plc (TSCON.MX) stock price, news, Quote &amp; History - Yahoo Finance</w:t>
      </w:r>
      <w:r>
        <w:rPr>
          <w:rFonts w:eastAsia="Times New Roman"/>
          <w:color w:val="222222"/>
          <w:szCs w:val="24"/>
          <w:highlight w:val="white"/>
        </w:rPr>
        <w:t xml:space="preserve">, </w:t>
      </w:r>
      <w:r>
        <w:rPr>
          <w:rFonts w:eastAsia="Times New Roman"/>
          <w:i/>
          <w:iCs/>
          <w:color w:val="222222"/>
          <w:szCs w:val="24"/>
          <w:highlight w:val="white"/>
        </w:rPr>
        <w:t>TESCO (TSCON.MX) H1 FY2026 earnings call transcript</w:t>
      </w:r>
      <w:r>
        <w:rPr>
          <w:rFonts w:eastAsia="Times New Roman"/>
          <w:color w:val="222222"/>
          <w:szCs w:val="24"/>
          <w:highlight w:val="white"/>
        </w:rPr>
        <w:t>. Available at: https://finance.yahoo.com/quote/TSCON.MX/ (Accessed: 16 March 2026).</w:t>
      </w:r>
    </w:p>
    <w:p>
      <w:pPr>
        <w:pStyle w:val="style0"/>
        <w:spacing w:before="240" w:after="240"/>
        <w:rPr>
          <w:rFonts w:eastAsia="Times New Roman"/>
          <w:color w:val="222222"/>
          <w:szCs w:val="24"/>
          <w:highlight w:val="white"/>
        </w:rPr>
      </w:pPr>
      <w:r>
        <w:rPr>
          <w:rFonts w:eastAsia="Times New Roman"/>
          <w:color w:val="222222"/>
          <w:szCs w:val="24"/>
          <w:highlight w:val="white"/>
        </w:rPr>
        <w:t xml:space="preserve">Geyskens, I., Deleersnyder, B., Dekimpe, M.G. and Lin, D., 2024. Do consumers benefit from national-brand listings by hard discounters?. </w:t>
      </w:r>
      <w:r>
        <w:rPr>
          <w:rFonts w:eastAsia="Times New Roman"/>
          <w:i/>
          <w:iCs/>
          <w:color w:val="222222"/>
          <w:szCs w:val="24"/>
          <w:highlight w:val="white"/>
        </w:rPr>
        <w:t>Journal of the academy of marketing science</w:t>
      </w:r>
      <w:r>
        <w:rPr>
          <w:rFonts w:eastAsia="Times New Roman"/>
          <w:color w:val="222222"/>
          <w:szCs w:val="24"/>
          <w:highlight w:val="white"/>
        </w:rPr>
        <w:t xml:space="preserve">, </w:t>
      </w:r>
      <w:r>
        <w:rPr>
          <w:rFonts w:eastAsia="Times New Roman"/>
          <w:i/>
          <w:iCs/>
          <w:color w:val="222222"/>
          <w:szCs w:val="24"/>
          <w:highlight w:val="white"/>
        </w:rPr>
        <w:t>52</w:t>
      </w:r>
      <w:r>
        <w:rPr>
          <w:rFonts w:eastAsia="Times New Roman"/>
          <w:color w:val="222222"/>
          <w:szCs w:val="24"/>
          <w:highlight w:val="white"/>
        </w:rPr>
        <w:t>(1), pp.97-118.</w:t>
      </w:r>
      <w:r>
        <w:rPr>
          <w:rFonts w:eastAsia="Times New Roman"/>
          <w:color w:val="222222"/>
          <w:szCs w:val="24"/>
        </w:rPr>
        <w:t xml:space="preserve"> </w:t>
      </w:r>
      <w:r>
        <w:rPr/>
        <w:fldChar w:fldCharType="begin"/>
      </w:r>
      <w:r>
        <w:instrText xml:space="preserve"> HYPERLINK "https://link.springer.com/article/10.1007/s11747-023-00937-3" </w:instrText>
      </w:r>
      <w:r>
        <w:rPr/>
        <w:fldChar w:fldCharType="separate"/>
      </w:r>
      <w:r>
        <w:rPr>
          <w:rStyle w:val="style85"/>
          <w:rFonts w:eastAsia="Times New Roman"/>
          <w:szCs w:val="24"/>
          <w:highlight w:val="white"/>
        </w:rPr>
        <w:t>https://link.springer.com/article/10.1007/s11747-023-00937-3</w:t>
      </w:r>
      <w:r>
        <w:rPr/>
        <w:fldChar w:fldCharType="end"/>
      </w:r>
    </w:p>
    <w:p>
      <w:pPr>
        <w:pStyle w:val="style0"/>
        <w:spacing w:before="240" w:after="240"/>
        <w:rPr>
          <w:rFonts w:eastAsia="Times New Roman"/>
          <w:color w:val="222222"/>
          <w:szCs w:val="24"/>
          <w:highlight w:val="white"/>
        </w:rPr>
      </w:pPr>
      <w:r>
        <w:rPr>
          <w:rFonts w:eastAsia="Times New Roman"/>
          <w:color w:val="222222"/>
          <w:szCs w:val="24"/>
          <w:highlight w:val="white"/>
        </w:rPr>
        <w:t xml:space="preserve">Globalbankingandfinance, G.B.&amp; F. (2026) </w:t>
      </w:r>
      <w:r>
        <w:rPr>
          <w:rFonts w:eastAsia="Times New Roman"/>
          <w:i/>
          <w:iCs/>
          <w:color w:val="222222"/>
          <w:szCs w:val="24"/>
          <w:highlight w:val="white"/>
        </w:rPr>
        <w:t>Tesco’s whoosh: A game changer in rapid grocery delivery</w:t>
      </w:r>
      <w:r>
        <w:rPr>
          <w:rFonts w:eastAsia="Times New Roman"/>
          <w:color w:val="222222"/>
          <w:szCs w:val="24"/>
          <w:highlight w:val="white"/>
        </w:rPr>
        <w:t xml:space="preserve">, </w:t>
      </w:r>
      <w:r>
        <w:rPr>
          <w:rFonts w:eastAsia="Times New Roman"/>
          <w:i/>
          <w:iCs/>
          <w:color w:val="222222"/>
          <w:szCs w:val="24"/>
          <w:highlight w:val="white"/>
        </w:rPr>
        <w:t>Global Banking &amp; Finance Review</w:t>
      </w:r>
      <w:r>
        <w:rPr>
          <w:rFonts w:eastAsia="Times New Roman"/>
          <w:color w:val="222222"/>
          <w:szCs w:val="24"/>
          <w:highlight w:val="white"/>
        </w:rPr>
        <w:t xml:space="preserve">. Available at: https://www.globalbankingandfinance.com/britains-tesco-turns-rapid-delivery-threat-competitive-edge/ (Accessed: 16 March 2026). </w:t>
      </w:r>
    </w:p>
    <w:p>
      <w:pPr>
        <w:pStyle w:val="style0"/>
        <w:spacing w:before="240" w:after="240"/>
        <w:rPr>
          <w:rFonts w:eastAsia="Times New Roman"/>
          <w:color w:val="222222"/>
          <w:szCs w:val="24"/>
          <w:highlight w:val="white"/>
        </w:rPr>
      </w:pPr>
      <w:r>
        <w:rPr>
          <w:rFonts w:eastAsia="Times New Roman"/>
          <w:color w:val="222222"/>
          <w:szCs w:val="24"/>
          <w:highlight w:val="white"/>
        </w:rPr>
        <w:t xml:space="preserve">Gu, Y., Madio, L. and Reggiani, C., 2024. Data-driven market leadership and price coordination. </w:t>
      </w:r>
      <w:r>
        <w:rPr>
          <w:rFonts w:eastAsia="Times New Roman"/>
          <w:i/>
          <w:iCs/>
          <w:color w:val="222222"/>
          <w:szCs w:val="24"/>
          <w:highlight w:val="white"/>
        </w:rPr>
        <w:t>Available at SSRN 4002261</w:t>
      </w:r>
      <w:r>
        <w:rPr>
          <w:rFonts w:eastAsia="Times New Roman"/>
          <w:color w:val="222222"/>
          <w:szCs w:val="24"/>
          <w:highlight w:val="white"/>
        </w:rPr>
        <w:t>.</w:t>
      </w:r>
      <w:r>
        <w:rPr>
          <w:rFonts w:eastAsia="Times New Roman"/>
          <w:color w:val="222222"/>
          <w:szCs w:val="24"/>
        </w:rPr>
        <w:t xml:space="preserve"> </w:t>
      </w:r>
      <w:r>
        <w:rPr/>
        <w:fldChar w:fldCharType="begin"/>
      </w:r>
      <w:r>
        <w:instrText xml:space="preserve"> HYPERLINK "https://papers.ssrn.com/sol3/papers.cfm?abstract_id=4002261" </w:instrText>
      </w:r>
      <w:r>
        <w:rPr/>
        <w:fldChar w:fldCharType="separate"/>
      </w:r>
      <w:r>
        <w:rPr>
          <w:rStyle w:val="style85"/>
          <w:rFonts w:eastAsia="Times New Roman"/>
          <w:szCs w:val="24"/>
          <w:highlight w:val="white"/>
        </w:rPr>
        <w:t>https://papers.ssrn.com/sol3/papers.cfm?abstract_id=4002261</w:t>
      </w:r>
      <w:r>
        <w:rPr/>
        <w:fldChar w:fldCharType="end"/>
      </w:r>
    </w:p>
    <w:p>
      <w:pPr>
        <w:pStyle w:val="style0"/>
        <w:spacing w:before="240" w:after="240"/>
        <w:rPr>
          <w:rFonts w:eastAsia="Times New Roman"/>
          <w:color w:val="222222"/>
          <w:szCs w:val="24"/>
          <w:highlight w:val="white"/>
        </w:rPr>
      </w:pPr>
      <w:r>
        <w:rPr>
          <w:rFonts w:eastAsia="Times New Roman"/>
          <w:color w:val="222222"/>
          <w:szCs w:val="24"/>
          <w:highlight w:val="white"/>
        </w:rPr>
        <w:t xml:space="preserve">Hänninen, M., 2023. Transformation of Retailing. </w:t>
      </w:r>
      <w:r>
        <w:rPr>
          <w:rFonts w:eastAsia="Times New Roman"/>
          <w:i/>
          <w:iCs/>
          <w:color w:val="222222"/>
          <w:szCs w:val="24"/>
          <w:highlight w:val="white"/>
        </w:rPr>
        <w:t>The Red Queen Retail Race: An Innovation Pandemic in the Era of Digitization</w:t>
      </w:r>
      <w:r>
        <w:rPr>
          <w:rFonts w:eastAsia="Times New Roman"/>
          <w:color w:val="222222"/>
          <w:szCs w:val="24"/>
          <w:highlight w:val="white"/>
        </w:rPr>
        <w:t>, p.40.</w:t>
      </w:r>
    </w:p>
    <w:p>
      <w:pPr>
        <w:pStyle w:val="style0"/>
        <w:spacing w:before="240" w:after="240"/>
        <w:rPr>
          <w:rFonts w:eastAsia="Times New Roman"/>
          <w:color w:val="222222"/>
          <w:szCs w:val="24"/>
          <w:highlight w:val="white"/>
        </w:rPr>
      </w:pPr>
      <w:r>
        <w:rPr>
          <w:rFonts w:eastAsia="Times New Roman"/>
          <w:color w:val="222222"/>
          <w:szCs w:val="24"/>
          <w:highlight w:val="white"/>
        </w:rPr>
        <w:t xml:space="preserve">Hawthorne, E. (2025) </w:t>
      </w:r>
      <w:r>
        <w:rPr>
          <w:rFonts w:eastAsia="Times New Roman"/>
          <w:i/>
          <w:iCs/>
          <w:color w:val="222222"/>
          <w:szCs w:val="24"/>
          <w:highlight w:val="white"/>
        </w:rPr>
        <w:t>Sainsbury’s posts sales boost and hits highest market share in decade</w:t>
      </w:r>
      <w:r>
        <w:rPr>
          <w:rFonts w:eastAsia="Times New Roman"/>
          <w:color w:val="222222"/>
          <w:szCs w:val="24"/>
          <w:highlight w:val="white"/>
        </w:rPr>
        <w:t xml:space="preserve">, </w:t>
      </w:r>
      <w:r>
        <w:rPr>
          <w:rFonts w:eastAsia="Times New Roman"/>
          <w:i/>
          <w:iCs/>
          <w:color w:val="222222"/>
          <w:szCs w:val="24"/>
          <w:highlight w:val="white"/>
        </w:rPr>
        <w:t>Retail Week</w:t>
      </w:r>
      <w:r>
        <w:rPr>
          <w:rFonts w:eastAsia="Times New Roman"/>
          <w:color w:val="222222"/>
          <w:szCs w:val="24"/>
          <w:highlight w:val="white"/>
        </w:rPr>
        <w:t xml:space="preserve">. Available at: https://www.retail-week.com/grocery/sainsburys-posts-sales-boost-and-hits-highest-market-share-in-decade/7049012.article (Accessed: 16 March 2026). </w:t>
      </w:r>
    </w:p>
    <w:p>
      <w:pPr>
        <w:pStyle w:val="style0"/>
        <w:spacing w:before="240" w:after="240"/>
        <w:rPr>
          <w:rFonts w:eastAsia="Times New Roman"/>
          <w:color w:val="222222"/>
          <w:szCs w:val="24"/>
          <w:highlight w:val="white"/>
        </w:rPr>
      </w:pPr>
      <w:r>
        <w:rPr>
          <w:rFonts w:eastAsia="Times New Roman"/>
          <w:color w:val="222222"/>
          <w:szCs w:val="24"/>
          <w:highlight w:val="white"/>
        </w:rPr>
        <w:t xml:space="preserve">Investegate (2023) </w:t>
      </w:r>
      <w:r>
        <w:rPr>
          <w:rFonts w:eastAsia="Times New Roman"/>
          <w:i/>
          <w:iCs/>
          <w:color w:val="222222"/>
          <w:szCs w:val="24"/>
          <w:highlight w:val="white"/>
        </w:rPr>
        <w:t>Final results: Company announcement</w:t>
      </w:r>
      <w:r>
        <w:rPr>
          <w:rFonts w:eastAsia="Times New Roman"/>
          <w:color w:val="222222"/>
          <w:szCs w:val="24"/>
          <w:highlight w:val="white"/>
        </w:rPr>
        <w:t xml:space="preserve">, </w:t>
      </w:r>
      <w:r>
        <w:rPr>
          <w:rFonts w:eastAsia="Times New Roman"/>
          <w:i/>
          <w:iCs/>
          <w:color w:val="222222"/>
          <w:szCs w:val="24"/>
          <w:highlight w:val="white"/>
        </w:rPr>
        <w:t>Investegate</w:t>
      </w:r>
      <w:r>
        <w:rPr>
          <w:rFonts w:eastAsia="Times New Roman"/>
          <w:color w:val="222222"/>
          <w:szCs w:val="24"/>
          <w:highlight w:val="white"/>
        </w:rPr>
        <w:t xml:space="preserve">. Available at: https://www.investegate.co.uk/announcement/rns/sainsbury-j---sbry/final-results/5874 (Accessed: 16 March 2026). </w:t>
      </w:r>
      <w:r>
        <w:rPr/>
        <w:fldChar w:fldCharType="begin"/>
      </w:r>
      <w:r>
        <w:instrText xml:space="preserve"> HYPERLINK "https://www.investegate.co.uk/announcement/rns/sainsbury-j---sbry/final-results/5874" </w:instrText>
      </w:r>
      <w:r>
        <w:rPr/>
        <w:fldChar w:fldCharType="separate"/>
      </w:r>
      <w:r>
        <w:rPr>
          <w:rFonts w:eastAsia="Times New Roman"/>
          <w:color w:val="1155cc"/>
          <w:szCs w:val="24"/>
          <w:highlight w:val="white"/>
          <w:u w:val="single"/>
        </w:rPr>
        <w:t>https://www.investegate.co.uk/announcement/rns/sainsbury-j---</w:t>
      </w:r>
      <w:r>
        <w:rPr>
          <w:rFonts w:eastAsia="Times New Roman"/>
          <w:color w:val="1155cc"/>
          <w:szCs w:val="24"/>
          <w:highlight w:val="white"/>
          <w:u w:val="single"/>
        </w:rPr>
        <w:t>sbry</w:t>
      </w:r>
      <w:r>
        <w:rPr>
          <w:rFonts w:eastAsia="Times New Roman"/>
          <w:color w:val="1155cc"/>
          <w:szCs w:val="24"/>
          <w:highlight w:val="white"/>
          <w:u w:val="single"/>
        </w:rPr>
        <w:t>/final-results/5874</w:t>
      </w:r>
      <w:r>
        <w:rPr/>
        <w:fldChar w:fldCharType="end"/>
      </w:r>
    </w:p>
    <w:p>
      <w:pPr>
        <w:pStyle w:val="style0"/>
        <w:spacing w:before="240" w:after="240"/>
        <w:rPr>
          <w:rFonts w:eastAsia="Times New Roman"/>
          <w:color w:val="222222"/>
          <w:szCs w:val="24"/>
          <w:highlight w:val="white"/>
        </w:rPr>
      </w:pPr>
      <w:r>
        <w:rPr>
          <w:rFonts w:eastAsia="Times New Roman"/>
          <w:color w:val="222222"/>
          <w:szCs w:val="24"/>
          <w:highlight w:val="white"/>
        </w:rPr>
        <w:t xml:space="preserve">investing (2025) </w:t>
      </w:r>
      <w:r>
        <w:rPr>
          <w:rFonts w:eastAsia="Times New Roman"/>
          <w:i/>
          <w:iCs/>
          <w:color w:val="222222"/>
          <w:szCs w:val="24"/>
          <w:highlight w:val="white"/>
        </w:rPr>
        <w:t>Sainsbury’s Q1 Sales Rise 4.9%, reaches highest market share in a decade by investing.com</w:t>
      </w:r>
      <w:r>
        <w:rPr>
          <w:rFonts w:eastAsia="Times New Roman"/>
          <w:color w:val="222222"/>
          <w:szCs w:val="24"/>
          <w:highlight w:val="white"/>
        </w:rPr>
        <w:t xml:space="preserve">, </w:t>
      </w:r>
      <w:r>
        <w:rPr>
          <w:rFonts w:eastAsia="Times New Roman"/>
          <w:i/>
          <w:iCs/>
          <w:color w:val="222222"/>
          <w:szCs w:val="24"/>
          <w:highlight w:val="white"/>
        </w:rPr>
        <w:t>Sainsbury’s Q1 sales rise 4.9%, reaches highest market share in a decade</w:t>
      </w:r>
      <w:r>
        <w:rPr>
          <w:rFonts w:eastAsia="Times New Roman"/>
          <w:color w:val="222222"/>
          <w:szCs w:val="24"/>
          <w:highlight w:val="white"/>
        </w:rPr>
        <w:t xml:space="preserve">. Available at: https://www.investing.com/news/earnings/sainsburys-q1-sales-rise-49-reaches-highest-market-share-in-a-decade-4118616 (Accessed: 16 March 2026). </w:t>
      </w:r>
    </w:p>
    <w:p>
      <w:pPr>
        <w:pStyle w:val="style0"/>
        <w:spacing w:before="240" w:after="240"/>
        <w:rPr>
          <w:rFonts w:eastAsia="Times New Roman"/>
          <w:color w:val="222222"/>
          <w:szCs w:val="24"/>
          <w:highlight w:val="white"/>
        </w:rPr>
      </w:pPr>
      <w:r>
        <w:rPr>
          <w:rFonts w:eastAsia="Times New Roman"/>
          <w:color w:val="222222"/>
          <w:szCs w:val="24"/>
          <w:highlight w:val="white"/>
          <w:lang w:val="de-DE"/>
        </w:rPr>
        <w:t xml:space="preserve">Kallmuenzer, A., Mikhaylov, A., Chelaru, M. and Czakon, W., 2025. </w:t>
      </w:r>
      <w:r>
        <w:rPr>
          <w:rFonts w:eastAsia="Times New Roman"/>
          <w:color w:val="222222"/>
          <w:szCs w:val="24"/>
          <w:highlight w:val="white"/>
        </w:rPr>
        <w:t xml:space="preserve">Adoption and performance outcome of digitalization in small and medium-sized enterprises. </w:t>
      </w:r>
      <w:r>
        <w:rPr>
          <w:rFonts w:eastAsia="Times New Roman"/>
          <w:i/>
          <w:iCs/>
          <w:color w:val="222222"/>
          <w:szCs w:val="24"/>
          <w:highlight w:val="white"/>
        </w:rPr>
        <w:t>Review of Managerial Science</w:t>
      </w:r>
      <w:r>
        <w:rPr>
          <w:rFonts w:eastAsia="Times New Roman"/>
          <w:color w:val="222222"/>
          <w:szCs w:val="24"/>
          <w:highlight w:val="white"/>
        </w:rPr>
        <w:t xml:space="preserve">, </w:t>
      </w:r>
      <w:r>
        <w:rPr>
          <w:rFonts w:eastAsia="Times New Roman"/>
          <w:i/>
          <w:iCs/>
          <w:color w:val="222222"/>
          <w:szCs w:val="24"/>
          <w:highlight w:val="white"/>
        </w:rPr>
        <w:t>19</w:t>
      </w:r>
      <w:r>
        <w:rPr>
          <w:rFonts w:eastAsia="Times New Roman"/>
          <w:color w:val="222222"/>
          <w:szCs w:val="24"/>
          <w:highlight w:val="white"/>
        </w:rPr>
        <w:t>(7), pp.2011-2038.</w:t>
      </w:r>
      <w:r>
        <w:rPr>
          <w:rFonts w:eastAsia="Times New Roman"/>
          <w:color w:val="222222"/>
          <w:szCs w:val="24"/>
        </w:rPr>
        <w:t xml:space="preserve"> </w:t>
      </w:r>
      <w:r>
        <w:rPr/>
        <w:fldChar w:fldCharType="begin"/>
      </w:r>
      <w:r>
        <w:instrText xml:space="preserve"> HYPERLINK "https://link.springer.com/article/10.1007/s11846-024-00744-2" </w:instrText>
      </w:r>
      <w:r>
        <w:rPr/>
        <w:fldChar w:fldCharType="separate"/>
      </w:r>
      <w:r>
        <w:rPr>
          <w:rStyle w:val="style85"/>
          <w:rFonts w:eastAsia="Times New Roman"/>
          <w:szCs w:val="24"/>
          <w:highlight w:val="white"/>
        </w:rPr>
        <w:t>https://link.springer.com/article/10.1007/s11846-024-00744-2</w:t>
      </w:r>
      <w:r>
        <w:rPr/>
        <w:fldChar w:fldCharType="end"/>
      </w:r>
    </w:p>
    <w:p>
      <w:pPr>
        <w:pStyle w:val="style0"/>
        <w:spacing w:before="240" w:after="240"/>
        <w:rPr>
          <w:rFonts w:eastAsia="Times New Roman"/>
          <w:color w:val="222222"/>
          <w:szCs w:val="24"/>
          <w:highlight w:val="white"/>
        </w:rPr>
      </w:pPr>
      <w:r>
        <w:rPr>
          <w:rFonts w:eastAsia="Times New Roman"/>
          <w:color w:val="222222"/>
          <w:szCs w:val="24"/>
          <w:highlight w:val="white"/>
        </w:rPr>
        <w:t xml:space="preserve">Marketingweek (2025) </w:t>
      </w:r>
      <w:r>
        <w:rPr>
          <w:rFonts w:eastAsia="Times New Roman"/>
          <w:i/>
          <w:iCs/>
          <w:color w:val="222222"/>
          <w:szCs w:val="24"/>
          <w:highlight w:val="white"/>
        </w:rPr>
        <w:t>Tesco becomes first supermarket to directly price match with Aldi</w:t>
      </w:r>
      <w:r>
        <w:rPr>
          <w:rFonts w:eastAsia="Times New Roman"/>
          <w:color w:val="222222"/>
          <w:szCs w:val="24"/>
          <w:highlight w:val="white"/>
        </w:rPr>
        <w:t xml:space="preserve">. Available at: https://www.marketingweek.com/tesco-price-match-aldi/ (Accessed: 16 March 2026). </w:t>
      </w:r>
      <w:r>
        <w:rPr>
          <w:rFonts w:eastAsia="Times New Roman"/>
          <w:color w:val="222222"/>
          <w:szCs w:val="24"/>
        </w:rPr>
        <w:t xml:space="preserve"> </w:t>
      </w:r>
      <w:r>
        <w:rPr/>
        <w:fldChar w:fldCharType="begin"/>
      </w:r>
      <w:r>
        <w:instrText xml:space="preserve"> HYPERLINK "https://www.marketingweek.com/tesco-price-match-aldi/" </w:instrText>
      </w:r>
      <w:r>
        <w:rPr/>
        <w:fldChar w:fldCharType="separate"/>
      </w:r>
      <w:r>
        <w:rPr>
          <w:rStyle w:val="style85"/>
          <w:rFonts w:eastAsia="Times New Roman"/>
          <w:szCs w:val="24"/>
          <w:highlight w:val="white"/>
        </w:rPr>
        <w:t>https://www.marketingweek.com/tesco-price-match-aldi/</w:t>
      </w:r>
      <w:r>
        <w:rPr/>
        <w:fldChar w:fldCharType="end"/>
      </w:r>
    </w:p>
    <w:p>
      <w:pPr>
        <w:pStyle w:val="style0"/>
        <w:spacing w:before="240" w:after="240"/>
        <w:rPr>
          <w:rFonts w:eastAsia="Times New Roman"/>
          <w:color w:val="222222"/>
          <w:szCs w:val="24"/>
          <w:highlight w:val="white"/>
        </w:rPr>
      </w:pPr>
      <w:r>
        <w:rPr>
          <w:rFonts w:eastAsia="Times New Roman"/>
          <w:color w:val="222222"/>
          <w:szCs w:val="24"/>
          <w:highlight w:val="white"/>
        </w:rPr>
        <w:t xml:space="preserve">Marketreportanalytics (2025) </w:t>
      </w:r>
      <w:r>
        <w:rPr>
          <w:rFonts w:eastAsia="Times New Roman"/>
          <w:i/>
          <w:iCs/>
          <w:color w:val="222222"/>
          <w:szCs w:val="24"/>
          <w:highlight w:val="white"/>
        </w:rPr>
        <w:t>Sainsbury’s maintains full year profit guidance after 4.7% rise in Q1 like-for-like sales</w:t>
      </w:r>
      <w:r>
        <w:rPr>
          <w:rFonts w:eastAsia="Times New Roman"/>
          <w:color w:val="222222"/>
          <w:szCs w:val="24"/>
          <w:highlight w:val="white"/>
        </w:rPr>
        <w:t xml:space="preserve">, </w:t>
      </w:r>
      <w:r>
        <w:rPr>
          <w:rFonts w:eastAsia="Times New Roman"/>
          <w:i/>
          <w:iCs/>
          <w:color w:val="222222"/>
          <w:szCs w:val="24"/>
          <w:highlight w:val="white"/>
        </w:rPr>
        <w:t>Market Insights Report: Get Market Research Analysis with Market Share, Market Size &amp; Forecast Analysis</w:t>
      </w:r>
      <w:r>
        <w:rPr>
          <w:rFonts w:eastAsia="Times New Roman"/>
          <w:color w:val="222222"/>
          <w:szCs w:val="24"/>
          <w:highlight w:val="white"/>
        </w:rPr>
        <w:t>. Available at: https://www.marketreportanalytics.com/news/article/65914 (Accessed: 16 March 2026).</w:t>
      </w:r>
      <w:r>
        <w:rPr>
          <w:rFonts w:eastAsia="Times New Roman"/>
          <w:color w:val="222222"/>
          <w:szCs w:val="24"/>
        </w:rPr>
        <w:t xml:space="preserve"> </w:t>
      </w:r>
      <w:r>
        <w:rPr/>
        <w:fldChar w:fldCharType="begin"/>
      </w:r>
      <w:r>
        <w:instrText xml:space="preserve"> HYPERLINK "https://www.marketreportanalytics.com/news/article/65914" </w:instrText>
      </w:r>
      <w:r>
        <w:rPr/>
        <w:fldChar w:fldCharType="separate"/>
      </w:r>
      <w:r>
        <w:rPr>
          <w:rStyle w:val="style85"/>
          <w:rFonts w:eastAsia="Times New Roman"/>
          <w:szCs w:val="24"/>
          <w:highlight w:val="white"/>
        </w:rPr>
        <w:t>https://www.marketreportanalytics.com/news/article/65914</w:t>
      </w:r>
      <w:r>
        <w:rPr/>
        <w:fldChar w:fldCharType="end"/>
      </w:r>
    </w:p>
    <w:p>
      <w:pPr>
        <w:pStyle w:val="style0"/>
        <w:spacing w:before="240" w:after="240"/>
        <w:rPr>
          <w:rFonts w:eastAsia="Times New Roman"/>
          <w:color w:val="222222"/>
          <w:szCs w:val="24"/>
          <w:highlight w:val="white"/>
        </w:rPr>
      </w:pPr>
      <w:r>
        <w:rPr>
          <w:rFonts w:eastAsia="Times New Roman"/>
          <w:color w:val="222222"/>
          <w:szCs w:val="24"/>
          <w:highlight w:val="white"/>
        </w:rPr>
        <w:t xml:space="preserve">Meng, S., 2024. Operation Management of Grocery Retailer in the UK: A Case of Tesco. </w:t>
      </w:r>
      <w:r>
        <w:rPr>
          <w:rFonts w:eastAsia="Times New Roman"/>
          <w:i/>
          <w:iCs/>
          <w:color w:val="222222"/>
          <w:szCs w:val="24"/>
          <w:highlight w:val="white"/>
        </w:rPr>
        <w:t>Pacific International Journal</w:t>
      </w:r>
      <w:r>
        <w:rPr>
          <w:rFonts w:eastAsia="Times New Roman"/>
          <w:color w:val="222222"/>
          <w:szCs w:val="24"/>
          <w:highlight w:val="white"/>
        </w:rPr>
        <w:t xml:space="preserve">, </w:t>
      </w:r>
      <w:r>
        <w:rPr>
          <w:rFonts w:eastAsia="Times New Roman"/>
          <w:i/>
          <w:iCs/>
          <w:color w:val="222222"/>
          <w:szCs w:val="24"/>
          <w:highlight w:val="white"/>
        </w:rPr>
        <w:t>7</w:t>
      </w:r>
      <w:r>
        <w:rPr>
          <w:rFonts w:eastAsia="Times New Roman"/>
          <w:color w:val="222222"/>
          <w:szCs w:val="24"/>
          <w:highlight w:val="white"/>
        </w:rPr>
        <w:t>(2), pp.136-142.</w:t>
      </w:r>
      <w:r>
        <w:rPr>
          <w:rFonts w:eastAsia="Times New Roman"/>
          <w:color w:val="222222"/>
          <w:szCs w:val="24"/>
        </w:rPr>
        <w:t xml:space="preserve"> </w:t>
      </w:r>
      <w:r>
        <w:rPr/>
        <w:fldChar w:fldCharType="begin"/>
      </w:r>
      <w:r>
        <w:instrText xml:space="preserve"> HYPERLINK "https://rclss.com/pij/article/view/586" </w:instrText>
      </w:r>
      <w:r>
        <w:rPr/>
        <w:fldChar w:fldCharType="separate"/>
      </w:r>
      <w:r>
        <w:rPr>
          <w:rStyle w:val="style85"/>
          <w:rFonts w:eastAsia="Times New Roman"/>
          <w:szCs w:val="24"/>
          <w:highlight w:val="white"/>
        </w:rPr>
        <w:t>https://rclss.com/pij/article/view/586</w:t>
      </w:r>
      <w:r>
        <w:rPr/>
        <w:fldChar w:fldCharType="end"/>
      </w:r>
    </w:p>
    <w:p>
      <w:pPr>
        <w:pStyle w:val="style0"/>
        <w:spacing w:before="240" w:after="240"/>
        <w:rPr>
          <w:rFonts w:eastAsia="Times New Roman"/>
          <w:color w:val="222222"/>
          <w:szCs w:val="24"/>
          <w:highlight w:val="white"/>
        </w:rPr>
      </w:pPr>
      <w:r>
        <w:rPr>
          <w:rFonts w:eastAsia="Times New Roman"/>
          <w:color w:val="222222"/>
          <w:szCs w:val="24"/>
          <w:highlight w:val="white"/>
        </w:rPr>
        <w:t xml:space="preserve">Reuters (2025) </w:t>
      </w:r>
      <w:r>
        <w:rPr>
          <w:rFonts w:eastAsia="Times New Roman"/>
          <w:i/>
          <w:iCs/>
          <w:color w:val="222222"/>
          <w:szCs w:val="24"/>
          <w:highlight w:val="white"/>
        </w:rPr>
        <w:t>Britain’s Tesco turns rapid-delivery threat into competitive edge | reuters</w:t>
      </w:r>
      <w:r>
        <w:rPr>
          <w:rFonts w:eastAsia="Times New Roman"/>
          <w:color w:val="222222"/>
          <w:szCs w:val="24"/>
          <w:highlight w:val="white"/>
        </w:rPr>
        <w:t xml:space="preserve">, </w:t>
      </w:r>
      <w:r>
        <w:rPr>
          <w:rFonts w:eastAsia="Times New Roman"/>
          <w:i/>
          <w:iCs/>
          <w:color w:val="222222"/>
          <w:szCs w:val="24"/>
          <w:highlight w:val="white"/>
        </w:rPr>
        <w:t>Britain’s Tesco turns rapid-delivery threat into competitive edge</w:t>
      </w:r>
      <w:r>
        <w:rPr>
          <w:rFonts w:eastAsia="Times New Roman"/>
          <w:color w:val="222222"/>
          <w:szCs w:val="24"/>
          <w:highlight w:val="white"/>
        </w:rPr>
        <w:t xml:space="preserve">. Available at: https://www.reuters.com/world/europe/britains-tesco-turns-rapid-delivery-threat-into-competitive-edge-2026-02-10/ (Accessed: 16 March 2026). </w:t>
      </w:r>
    </w:p>
    <w:p>
      <w:pPr>
        <w:pStyle w:val="style0"/>
        <w:spacing w:before="240" w:after="240"/>
        <w:rPr/>
      </w:pPr>
      <w:r>
        <w:rPr>
          <w:rFonts w:eastAsia="Times New Roman"/>
          <w:color w:val="222222"/>
          <w:szCs w:val="24"/>
          <w:highlight w:val="white"/>
        </w:rPr>
        <w:t xml:space="preserve">Reuters (2026) </w:t>
      </w:r>
      <w:r>
        <w:rPr>
          <w:rFonts w:eastAsia="Times New Roman"/>
          <w:i/>
          <w:iCs/>
          <w:color w:val="222222"/>
          <w:szCs w:val="24"/>
          <w:highlight w:val="white"/>
        </w:rPr>
        <w:t>UK food inflation could hit nearly 5% in 2025, says industry researcher | Reuters</w:t>
      </w:r>
      <w:r>
        <w:rPr>
          <w:rFonts w:eastAsia="Times New Roman"/>
          <w:color w:val="222222"/>
          <w:szCs w:val="24"/>
          <w:highlight w:val="white"/>
        </w:rPr>
        <w:t xml:space="preserve">, </w:t>
      </w:r>
      <w:r>
        <w:rPr>
          <w:rFonts w:eastAsia="Times New Roman"/>
          <w:i/>
          <w:iCs/>
          <w:color w:val="222222"/>
          <w:szCs w:val="24"/>
          <w:highlight w:val="white"/>
        </w:rPr>
        <w:t>UK food inflation could hit nearly 5% in 2025, says industry researcher</w:t>
      </w:r>
      <w:r>
        <w:rPr>
          <w:rFonts w:eastAsia="Times New Roman"/>
          <w:color w:val="222222"/>
          <w:szCs w:val="24"/>
          <w:highlight w:val="white"/>
        </w:rPr>
        <w:t xml:space="preserve">. Available at: https://www.reuters.com/world/uk/uk-food-inflation-could-hit-nearly-5-2025-says-industry-researcher-2024-12-12/ (Accessed: 16 March 2026). </w:t>
      </w:r>
    </w:p>
    <w:p>
      <w:pPr>
        <w:pStyle w:val="style0"/>
        <w:spacing w:before="240" w:after="240"/>
        <w:rPr>
          <w:rFonts w:eastAsia="Times New Roman"/>
          <w:color w:val="222222"/>
          <w:szCs w:val="24"/>
          <w:highlight w:val="white"/>
        </w:rPr>
      </w:pPr>
      <w:r>
        <w:rPr>
          <w:rFonts w:eastAsia="Times New Roman"/>
          <w:color w:val="222222"/>
          <w:szCs w:val="24"/>
          <w:highlight w:val="white"/>
        </w:rPr>
        <w:t>Roy, B.A.S.I.L., 2024. Digital Transformation Strategies in Traditional Retail Industries: A Case of Tesco PLC.</w:t>
      </w:r>
      <w:r>
        <w:rPr/>
        <w:fldChar w:fldCharType="begin"/>
      </w:r>
      <w:r>
        <w:instrText xml:space="preserve"> HYPERLINK "https://www.researchgate.net/profile/Basil-Roy-4/publication/387298621_DIGITAL_TRANSFORMATION_STRATEGIES_IN_TRADITIONAL_RETAIL_INDUSTRIES_A_CASE_OF_TESCO/links/6766dc87c1b0135465ee0e6a/DIGITAL-TRANSFORMATION-STRATEGIES-IN-TRADITIONAL-RETAIL-INDUSTRIES-A-CASE-OF-TESCO.pdf" </w:instrText>
      </w:r>
      <w:r>
        <w:rPr/>
        <w:fldChar w:fldCharType="separate"/>
      </w:r>
      <w:r>
        <w:rPr>
          <w:rFonts w:eastAsia="Times New Roman"/>
          <w:color w:val="1155cc"/>
          <w:szCs w:val="24"/>
          <w:highlight w:val="white"/>
          <w:u w:val="single"/>
        </w:rPr>
        <w:t>https://www.researchgate.net/profile/Basil-Roy-4/publication/387298621_DIGITAL_TRANSFORMATION_STRATEGIES_IN_TRADITIONAL_RETAIL_INDUSTRIES_A_CASE_OF_TESCO/links/6766dc87c1b0135465ee0e6a/DIGITAL-TRANSFORMATION-STRATEGIES-IN-TRADITIONAL-RETAIL-INDUSTRIES-A-CASE-OF-TESCO.pdf</w:t>
      </w:r>
      <w:r>
        <w:rPr/>
        <w:fldChar w:fldCharType="end"/>
      </w:r>
    </w:p>
    <w:p>
      <w:pPr>
        <w:pStyle w:val="style0"/>
        <w:spacing w:before="240" w:after="240"/>
        <w:rPr>
          <w:rFonts w:eastAsia="Times New Roman"/>
          <w:color w:val="222222"/>
          <w:szCs w:val="24"/>
          <w:highlight w:val="white"/>
        </w:rPr>
      </w:pPr>
      <w:r>
        <w:rPr>
          <w:rFonts w:eastAsia="Times New Roman"/>
          <w:color w:val="222222"/>
          <w:szCs w:val="24"/>
          <w:highlight w:val="white"/>
        </w:rPr>
        <w:t xml:space="preserve">Sainsburys (2024) </w:t>
      </w:r>
      <w:r>
        <w:rPr>
          <w:rFonts w:eastAsia="Times New Roman"/>
          <w:i/>
          <w:iCs/>
          <w:color w:val="222222"/>
          <w:szCs w:val="24"/>
          <w:highlight w:val="white"/>
        </w:rPr>
        <w:t>Preliminary results for the 52 weeks ended 1 March 2025</w:t>
      </w:r>
      <w:r>
        <w:rPr>
          <w:rFonts w:eastAsia="Times New Roman"/>
          <w:color w:val="222222"/>
          <w:szCs w:val="24"/>
          <w:highlight w:val="white"/>
        </w:rPr>
        <w:t xml:space="preserve">, </w:t>
      </w:r>
      <w:r>
        <w:rPr>
          <w:rFonts w:eastAsia="Times New Roman"/>
          <w:i/>
          <w:iCs/>
          <w:color w:val="222222"/>
          <w:szCs w:val="24"/>
          <w:highlight w:val="white"/>
        </w:rPr>
        <w:t>J Sainsbury plc</w:t>
      </w:r>
      <w:r>
        <w:rPr>
          <w:rFonts w:eastAsia="Times New Roman"/>
          <w:color w:val="222222"/>
          <w:szCs w:val="24"/>
          <w:highlight w:val="white"/>
        </w:rPr>
        <w:t xml:space="preserve">. Available at: https://corporate.sainsburys.co.uk/news/press-releases/preliminary-results-for-the-52-weeks-ended-1-march-2025/?utm_source=chatgpt.com (Accessed: 16 March 2026). </w:t>
      </w:r>
    </w:p>
    <w:p>
      <w:pPr>
        <w:pStyle w:val="style0"/>
        <w:spacing w:before="240" w:after="240"/>
        <w:rPr>
          <w:rFonts w:eastAsia="Times New Roman"/>
          <w:color w:val="222222"/>
          <w:szCs w:val="24"/>
          <w:highlight w:val="white"/>
        </w:rPr>
      </w:pPr>
      <w:r>
        <w:rPr>
          <w:rFonts w:eastAsia="Times New Roman"/>
          <w:color w:val="222222"/>
          <w:szCs w:val="24"/>
          <w:highlight w:val="white"/>
        </w:rPr>
        <w:t xml:space="preserve">Smith, D., 2023. Logistics in Tesco: past, present and future. In </w:t>
      </w:r>
      <w:r>
        <w:rPr>
          <w:rFonts w:eastAsia="Times New Roman"/>
          <w:i/>
          <w:iCs/>
          <w:color w:val="222222"/>
          <w:szCs w:val="24"/>
          <w:highlight w:val="white"/>
        </w:rPr>
        <w:t>Logistics And Retail Management insights Into Current Practice And Trends From Leading Experts</w:t>
      </w:r>
      <w:r>
        <w:rPr>
          <w:rFonts w:eastAsia="Times New Roman"/>
          <w:color w:val="222222"/>
          <w:szCs w:val="24"/>
          <w:highlight w:val="white"/>
        </w:rPr>
        <w:t xml:space="preserve"> (pp. 154-183). CRC Press.</w:t>
      </w:r>
      <w:r>
        <w:rPr/>
        <w:fldChar w:fldCharType="begin"/>
      </w:r>
      <w:r>
        <w:instrText xml:space="preserve"> HYPERLINK "https://www.taylorfrancis.com/chapters/edit/10.4324/9780429271144-8/logistics-tesco-past-present-future-david-smith" </w:instrText>
      </w:r>
      <w:r>
        <w:rPr/>
        <w:fldChar w:fldCharType="separate"/>
      </w:r>
      <w:r>
        <w:rPr>
          <w:rFonts w:eastAsia="Times New Roman"/>
          <w:color w:val="1155cc"/>
          <w:szCs w:val="24"/>
          <w:highlight w:val="white"/>
          <w:u w:val="single"/>
        </w:rPr>
        <w:t>https://www.taylorfrancis.com/chapters/edit/10.4324/9780429271144-8/logistics-tesco-past-present-future-david-smith</w:t>
      </w:r>
      <w:r>
        <w:rPr/>
        <w:fldChar w:fldCharType="end"/>
      </w:r>
    </w:p>
    <w:p>
      <w:pPr>
        <w:pStyle w:val="style0"/>
        <w:spacing w:before="240" w:after="240"/>
        <w:rPr>
          <w:rFonts w:eastAsia="Times New Roman"/>
          <w:color w:val="222222"/>
          <w:szCs w:val="24"/>
          <w:highlight w:val="white"/>
        </w:rPr>
      </w:pPr>
      <w:r>
        <w:rPr>
          <w:rFonts w:eastAsia="Times New Roman"/>
          <w:color w:val="222222"/>
          <w:szCs w:val="24"/>
          <w:highlight w:val="white"/>
        </w:rPr>
        <w:t xml:space="preserve">Spglobal (2025) </w:t>
      </w:r>
      <w:r>
        <w:rPr>
          <w:rFonts w:eastAsia="Times New Roman"/>
          <w:i/>
          <w:iCs/>
          <w:color w:val="222222"/>
          <w:szCs w:val="24"/>
          <w:highlight w:val="white"/>
        </w:rPr>
        <w:t>Research update: U.K. retailer J Sainsbury plc Ra: S&amp;P global ratings</w:t>
      </w:r>
      <w:r>
        <w:rPr>
          <w:rFonts w:eastAsia="Times New Roman"/>
          <w:color w:val="222222"/>
          <w:szCs w:val="24"/>
          <w:highlight w:val="white"/>
        </w:rPr>
        <w:t xml:space="preserve">, </w:t>
      </w:r>
      <w:r>
        <w:rPr>
          <w:rFonts w:eastAsia="Times New Roman"/>
          <w:i/>
          <w:iCs/>
          <w:color w:val="222222"/>
          <w:szCs w:val="24"/>
          <w:highlight w:val="white"/>
        </w:rPr>
        <w:t>Research Update: U.K. Retailer J Sainsbury PLC Ra | S&amp;P Global Ratings</w:t>
      </w:r>
      <w:r>
        <w:rPr>
          <w:rFonts w:eastAsia="Times New Roman"/>
          <w:color w:val="222222"/>
          <w:szCs w:val="24"/>
          <w:highlight w:val="white"/>
        </w:rPr>
        <w:t xml:space="preserve">. Available at: https://www.spglobal.com/ratings/en/regulatory/article/-/view/sourceId/101611404 (Accessed: 16 March 2026). </w:t>
      </w:r>
    </w:p>
    <w:p>
      <w:pPr>
        <w:pStyle w:val="style0"/>
        <w:spacing w:before="240" w:after="240"/>
        <w:rPr>
          <w:rFonts w:eastAsia="Times New Roman"/>
          <w:color w:val="222222"/>
          <w:szCs w:val="24"/>
          <w:highlight w:val="white"/>
        </w:rPr>
      </w:pPr>
      <w:r>
        <w:rPr>
          <w:rFonts w:eastAsia="Times New Roman"/>
          <w:color w:val="222222"/>
          <w:szCs w:val="24"/>
          <w:highlight w:val="white"/>
        </w:rPr>
        <w:t xml:space="preserve">Tescoplc (2025) </w:t>
      </w:r>
      <w:r>
        <w:rPr>
          <w:rFonts w:eastAsia="Times New Roman"/>
          <w:i/>
          <w:iCs/>
          <w:color w:val="222222"/>
          <w:szCs w:val="24"/>
          <w:highlight w:val="white"/>
        </w:rPr>
        <w:t>Interim results 2025/26</w:t>
      </w:r>
      <w:r>
        <w:rPr>
          <w:rFonts w:eastAsia="Times New Roman"/>
          <w:color w:val="222222"/>
          <w:szCs w:val="24"/>
          <w:highlight w:val="white"/>
        </w:rPr>
        <w:t xml:space="preserve">. Available at: https://www.tescoplc.com/media/owobgr2m/tesco-plc-interim-results-2526-press-release.pdf (Accessed: 16 March 2026). </w:t>
      </w:r>
    </w:p>
    <w:p>
      <w:pPr>
        <w:pStyle w:val="style0"/>
        <w:spacing w:before="240" w:after="240"/>
        <w:rPr>
          <w:rFonts w:eastAsia="Times New Roman"/>
          <w:color w:val="222222"/>
          <w:szCs w:val="24"/>
          <w:highlight w:val="white"/>
        </w:rPr>
      </w:pPr>
      <w:r>
        <w:rPr>
          <w:rFonts w:eastAsia="Times New Roman"/>
          <w:color w:val="222222"/>
          <w:szCs w:val="24"/>
          <w:highlight w:val="white"/>
        </w:rPr>
        <w:t xml:space="preserve">Ziliani, C., 2025. Loyalty management: Strategy for profitable growth. In </w:t>
      </w:r>
      <w:r>
        <w:rPr>
          <w:rFonts w:eastAsia="Times New Roman"/>
          <w:i/>
          <w:iCs/>
          <w:color w:val="222222"/>
          <w:szCs w:val="24"/>
          <w:highlight w:val="white"/>
        </w:rPr>
        <w:t>Loyalty Management</w:t>
      </w:r>
      <w:r>
        <w:rPr>
          <w:rFonts w:eastAsia="Times New Roman"/>
          <w:color w:val="222222"/>
          <w:szCs w:val="24"/>
          <w:highlight w:val="white"/>
        </w:rPr>
        <w:t xml:space="preserve"> (pp. 1-47). Routledge.</w:t>
      </w:r>
      <w:r>
        <w:rPr/>
        <w:fldChar w:fldCharType="begin"/>
      </w:r>
      <w:r>
        <w:instrText xml:space="preserve"> HYPERLINK "https://www.taylorfrancis.com/chapters/edit/10.4324/9781003400783-1/loyalty-management-cristina-ziliani" </w:instrText>
      </w:r>
      <w:r>
        <w:rPr/>
        <w:fldChar w:fldCharType="separate"/>
      </w:r>
      <w:r>
        <w:rPr>
          <w:rFonts w:eastAsia="Times New Roman"/>
          <w:color w:val="1155cc"/>
          <w:szCs w:val="24"/>
          <w:highlight w:val="white"/>
          <w:u w:val="single"/>
        </w:rPr>
        <w:t>https://www.taylorfrancis.com/chapters/edit/10.4324/9781003400783-1/loyalty-management-cristina-ziliani</w:t>
      </w:r>
      <w:r>
        <w:rPr/>
        <w:fldChar w:fldCharType="end"/>
      </w:r>
    </w:p>
    <w:sectPr>
      <w:footerReference w:type="default" r:id="rId3"/>
      <w:pgSz w:w="12240" w:h="15840" w:orient="portrait"/>
      <w:pgMar w:top="1440" w:right="1440" w:bottom="1440" w:left="1440" w:header="720" w:footer="720" w:gutter="0"/>
      <w:pgBorders w:zOrder="front" w:display="allPage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4020304"/>
    <w:charset w:val="00"/>
    <w:family w:val="roman"/>
    <w:pitch w:val="variable"/>
    <w:sig w:usb0="E0002EFF" w:usb1="C000785B" w:usb2="00000009" w:usb3="00000000" w:csb0="000001FF" w:csb1="00000000"/>
  </w:font>
  <w:font w:name="Symbol">
    <w:altName w:val="Symbol"/>
    <w:panose1 w:val="05050102010007020507"/>
    <w:charset w:val="02"/>
    <w:family w:val="roman"/>
    <w:pitch w:val="variable"/>
    <w:sig w:usb0="00000000" w:usb1="10000000" w:usb2="00000000" w:usb3="00000000" w:csb0="80000000" w:csb1="00000000"/>
  </w:font>
  <w:font w:name="Arial">
    <w:altName w:val="Arial"/>
    <w:panose1 w:val="020b0604020002020204"/>
    <w:charset w:val="00"/>
    <w:family w:val="swiss"/>
    <w:pitch w:val="variable"/>
    <w:sig w:usb0="E0002EFF" w:usb1="C000785B" w:usb2="00000009" w:usb3="00000000" w:csb0="000001FF" w:csb1="00000000"/>
  </w:font>
  <w:font w:name="Courier New">
    <w:altName w:val="Courier New"/>
    <w:panose1 w:val="02070309020002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mbria">
    <w:altName w:val="Cambria"/>
    <w:panose1 w:val="02040503050004030204"/>
    <w:charset w:val="00"/>
    <w:family w:val="roman"/>
    <w:pitch w:val="variable"/>
    <w:sig w:usb0="E00006FF" w:usb1="420024FF" w:usb2="02000000" w:usb3="00000000" w:csb0="0000019F" w:csb1="00000000"/>
  </w:font>
  <w:font w:name="Calibri">
    <w:altName w:val="Calibri"/>
    <w:panose1 w:val="020f0502020002030204"/>
    <w:charset w:val="00"/>
    <w:family w:val="swiss"/>
    <w:pitch w:val="variable"/>
    <w:sig w:usb0="E4002EFF" w:usb1="C200247B" w:usb2="00000009" w:usb3="00000000" w:csb0="000001F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0"/>
      <w:jc w:val="right"/>
      <w:rPr/>
    </w:pPr>
    <w:r>
      <w:rPr/>
      <w:fldChar w:fldCharType="begin"/>
    </w:r>
    <w:r>
      <w:instrText>PAGE</w:instrText>
    </w:r>
    <w:r>
      <w:rPr/>
      <w:fldChar w:fldCharType="separate"/>
    </w:r>
    <w:r>
      <w:rPr>
        <w:noProof/>
      </w:rPr>
      <w:t>2</w:t>
    </w:r>
    <w:r>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multilevel"/>
    <w:tmpl w:val="B04CFC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00000001"/>
    <w:multiLevelType w:val="hybridMultilevel"/>
    <w:tmpl w:val="B1DAA0E2"/>
    <w:lvl w:ilvl="0" w:tplc="8D66060E">
      <w:start w:val="1"/>
      <w:numFmt w:val="bullet"/>
      <w:lvlText w:val=""/>
      <w:lvlJc w:val="left"/>
      <w:pPr>
        <w:ind w:left="720" w:hanging="360"/>
      </w:pPr>
      <w:rPr>
        <w:rFonts w:ascii="Symbol" w:cs="Arial" w:eastAsia="Times New Roman" w:hAnsi="Symbol" w:hint="default"/>
      </w:rPr>
    </w:lvl>
    <w:lvl w:ilvl="1" w:tplc="40090003" w:tentative="1">
      <w:start w:val="1"/>
      <w:numFmt w:val="bullet"/>
      <w:lvlText w:val="o"/>
      <w:lvlJc w:val="left"/>
      <w:pPr>
        <w:ind w:left="1440" w:hanging="360"/>
      </w:pPr>
      <w:rPr>
        <w:rFonts w:ascii="Courier New" w:cs="Courier New" w:hAnsi="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cs="Courier New" w:hAnsi="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cs="Courier New" w:hAnsi="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nsid w:val="00000002"/>
    <w:multiLevelType w:val="multilevel"/>
    <w:tmpl w:val="60B6B4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displayBackgroundShape/>
  <w:embedTrueTypeFonts/>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Arial" w:cs="Arial" w:eastAsia="Arial" w:hAnsi="Arial"/>
        <w:sz w:val="22"/>
        <w:szCs w:val="22"/>
        <w:lang w:val="en-GB" w:bidi="ar-SA" w:eastAsia="en-US"/>
      </w:rPr>
    </w:rPrDefault>
    <w:pPrDefault>
      <w:pPr>
        <w:spacing w:lineRule="auto" w:line="276"/>
      </w:pPr>
    </w:pPrDefault>
  </w:docDefaults>
  <w:style w:type="paragraph" w:default="1" w:styleId="style0">
    <w:name w:val="Normal"/>
    <w:next w:val="style0"/>
    <w:qFormat/>
    <w:pPr>
      <w:spacing w:lineRule="auto" w:line="360"/>
      <w:jc w:val="both"/>
    </w:pPr>
    <w:rPr>
      <w:color w:val="000000"/>
      <w:sz w:val="24"/>
    </w:rPr>
  </w:style>
  <w:style w:type="paragraph" w:styleId="style1">
    <w:name w:val="heading 1"/>
    <w:basedOn w:val="style0"/>
    <w:next w:val="style0"/>
    <w:qFormat/>
    <w:uiPriority w:val="9"/>
    <w:pPr>
      <w:keepNext/>
      <w:keepLines/>
      <w:outlineLvl w:val="0"/>
    </w:pPr>
    <w:rPr>
      <w:rFonts w:cs="Times New Roman" w:eastAsia="Times New Roman"/>
      <w:b/>
      <w:bCs/>
      <w:sz w:val="28"/>
      <w:szCs w:val="24"/>
    </w:rPr>
  </w:style>
  <w:style w:type="paragraph" w:styleId="style2">
    <w:name w:val="heading 2"/>
    <w:basedOn w:val="style0"/>
    <w:next w:val="style0"/>
    <w:qFormat/>
    <w:uiPriority w:val="9"/>
    <w:pPr>
      <w:keepNext/>
      <w:keepLines/>
      <w:spacing w:before="240"/>
      <w:outlineLvl w:val="1"/>
    </w:pPr>
    <w:rPr>
      <w:rFonts w:eastAsia="Times New Roman"/>
      <w:b/>
      <w:bCs/>
      <w:sz w:val="26"/>
      <w:szCs w:val="24"/>
    </w:rPr>
  </w:style>
  <w:style w:type="paragraph" w:styleId="style3">
    <w:name w:val="heading 3"/>
    <w:basedOn w:val="style0"/>
    <w:next w:val="style0"/>
    <w:qFormat/>
    <w:uiPriority w:val="9"/>
    <w:pPr>
      <w:keepNext/>
      <w:keepLines/>
      <w:spacing w:before="320" w:after="80"/>
      <w:outlineLvl w:val="2"/>
    </w:pPr>
    <w:rPr>
      <w:color w:val="434343"/>
      <w:sz w:val="28"/>
      <w:szCs w:val="28"/>
    </w:rPr>
  </w:style>
  <w:style w:type="paragraph" w:styleId="style4">
    <w:name w:val="heading 4"/>
    <w:basedOn w:val="style0"/>
    <w:next w:val="style0"/>
    <w:qFormat/>
    <w:uiPriority w:val="9"/>
    <w:pPr>
      <w:keepNext/>
      <w:keepLines/>
      <w:spacing w:before="280" w:after="80"/>
      <w:outlineLvl w:val="3"/>
    </w:pPr>
    <w:rPr>
      <w:color w:val="666666"/>
      <w:szCs w:val="24"/>
    </w:rPr>
  </w:style>
  <w:style w:type="paragraph" w:styleId="style5">
    <w:name w:val="heading 5"/>
    <w:basedOn w:val="style0"/>
    <w:next w:val="style0"/>
    <w:qFormat/>
    <w:uiPriority w:val="9"/>
    <w:pPr>
      <w:keepNext/>
      <w:keepLines/>
      <w:spacing w:before="240" w:after="80"/>
      <w:outlineLvl w:val="4"/>
    </w:pPr>
    <w:rPr>
      <w:color w:val="666666"/>
    </w:rPr>
  </w:style>
  <w:style w:type="paragraph" w:styleId="style6">
    <w:name w:val="heading 6"/>
    <w:basedOn w:val="style0"/>
    <w:next w:val="style0"/>
    <w:qFormat/>
    <w:uiPriority w:val="9"/>
    <w:pPr>
      <w:keepNext/>
      <w:keepLines/>
      <w:spacing w:before="240" w:after="80"/>
      <w:outlineLvl w:val="5"/>
    </w:pPr>
    <w:rPr>
      <w:i/>
      <w:iCs/>
      <w:color w:val="666666"/>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table" w:customStyle="1" w:styleId="style4097">
    <w:name w:val="TableNormal"/>
    <w:next w:val="style4097"/>
    <w:pPr/>
    <w:rPr/>
    <w:tblPr>
      <w:tblCellMar>
        <w:top w:w="100" w:type="dxa"/>
        <w:left w:w="100" w:type="dxa"/>
        <w:bottom w:w="100" w:type="dxa"/>
        <w:right w:w="100" w:type="dxa"/>
      </w:tblCellMar>
    </w:tblPr>
    <w:tcPr>
      <w:tcBorders/>
    </w:tcPr>
  </w:style>
  <w:style w:type="paragraph" w:styleId="style62">
    <w:name w:val="Title"/>
    <w:basedOn w:val="style0"/>
    <w:next w:val="style0"/>
    <w:qFormat/>
    <w:uiPriority w:val="10"/>
    <w:pPr>
      <w:keepNext/>
      <w:keepLines/>
      <w:spacing w:after="60"/>
    </w:pPr>
    <w:rPr>
      <w:sz w:val="52"/>
      <w:szCs w:val="52"/>
    </w:rPr>
  </w:style>
  <w:style w:type="paragraph" w:styleId="style74">
    <w:name w:val="Subtitle"/>
    <w:basedOn w:val="style0"/>
    <w:next w:val="style0"/>
    <w:qFormat/>
    <w:uiPriority w:val="11"/>
    <w:pPr>
      <w:keepNext/>
      <w:keepLines/>
      <w:spacing w:after="320"/>
    </w:pPr>
    <w:rPr>
      <w:color w:val="666666"/>
      <w:sz w:val="30"/>
      <w:szCs w:val="30"/>
    </w:rPr>
  </w:style>
  <w:style w:type="paragraph" w:styleId="style19">
    <w:name w:val="toc 1"/>
    <w:basedOn w:val="style0"/>
    <w:next w:val="style0"/>
    <w:uiPriority w:val="39"/>
    <w:pPr>
      <w:spacing w:after="100"/>
    </w:pPr>
    <w:rPr/>
  </w:style>
  <w:style w:type="paragraph" w:styleId="style20">
    <w:name w:val="toc 2"/>
    <w:basedOn w:val="style0"/>
    <w:next w:val="style0"/>
    <w:uiPriority w:val="39"/>
    <w:pPr>
      <w:spacing w:after="100"/>
      <w:ind w:left="240"/>
    </w:pPr>
    <w:rPr/>
  </w:style>
  <w:style w:type="character" w:styleId="style85">
    <w:name w:val="Hyperlink"/>
    <w:basedOn w:val="style65"/>
    <w:next w:val="style85"/>
    <w:uiPriority w:val="99"/>
    <w:rPr>
      <w:color w:val="0000ff"/>
      <w:u w:val="single"/>
    </w:rPr>
  </w:style>
  <w:style w:type="character" w:customStyle="1" w:styleId="style4098">
    <w:name w:val="Unresolved Mention1"/>
    <w:basedOn w:val="style65"/>
    <w:next w:val="style4098"/>
    <w:uiPriority w:val="99"/>
    <w:rPr>
      <w:color w:val="605e5c"/>
      <w:shd w:val="clear" w:color="auto" w:fill="e1dfdd"/>
    </w:rPr>
  </w:style>
  <w:style w:type="paragraph" w:styleId="style179">
    <w:name w:val="List Paragraph"/>
    <w:basedOn w:val="style0"/>
    <w:next w:val="style179"/>
    <w:qFormat/>
    <w:uiPriority w:val="34"/>
    <w:pPr>
      <w:ind w:left="720"/>
      <w:contextualSpacing/>
    </w:pPr>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footer" Target="footer1.xml"/><Relationship Id="rId4" Type="http://schemas.openxmlformats.org/officeDocument/2006/relationships/styles" Target="styles.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Words>3102</Words>
  <Pages>14</Pages>
  <Characters>21175</Characters>
  <Application>WPS Office</Application>
  <DocSecurity>0</DocSecurity>
  <Paragraphs>132</Paragraphs>
  <ScaleCrop>false</ScaleCrop>
  <LinksUpToDate>false</LinksUpToDate>
  <CharactersWithSpaces>24185</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2026-03-27T03:36:00Z</dcterms:created>
  <dc:creator>Arindam Ghosh</dc:creator>
  <lastModifiedBy>CPH2527</lastModifiedBy>
  <dcterms:modified xsi:type="dcterms:W3CDTF">2026-03-27T08:56:44Z</dcterms:modified>
  <revision>2</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2fadf7b3bff249aaa446950e59bd345c</vt:lpwstr>
  </property>
</Properties>
</file>