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heme="minorHAnsi" w:eastAsiaTheme="minorEastAsia"/>
          <w:b/>
          <w:bCs/>
          <w:sz w:val="36"/>
          <w:szCs w:val="36"/>
          <w:lang w:val="en-US" w:eastAsia="zh-CN"/>
        </w:rPr>
      </w:pPr>
    </w:p>
    <w:p>
      <w:pPr>
        <w:jc w:val="center"/>
        <w:rPr>
          <w:rFonts w:hint="eastAsia" w:asciiTheme="minorHAnsi" w:eastAsiaTheme="minorEastAsia"/>
          <w:b/>
          <w:bCs/>
          <w:sz w:val="36"/>
          <w:szCs w:val="36"/>
          <w:lang w:val="en-US" w:eastAsia="zh-CN"/>
        </w:rPr>
      </w:pPr>
    </w:p>
    <w:p>
      <w:pPr>
        <w:jc w:val="center"/>
        <w:rPr>
          <w:rFonts w:hint="eastAsia" w:asciiTheme="minorHAnsi" w:eastAsiaTheme="minorEastAsia"/>
          <w:b/>
          <w:bCs/>
          <w:sz w:val="36"/>
          <w:szCs w:val="36"/>
          <w:lang w:val="en-US" w:eastAsia="zh-CN"/>
        </w:rPr>
      </w:pPr>
    </w:p>
    <w:p>
      <w:pPr>
        <w:jc w:val="center"/>
        <w:rPr>
          <w:rFonts w:hint="eastAsia"/>
          <w:b/>
          <w:bCs/>
          <w:sz w:val="36"/>
          <w:szCs w:val="36"/>
          <w:lang w:val="en-US" w:eastAsia="zh-CN"/>
        </w:rPr>
      </w:pPr>
      <w:r>
        <w:rPr>
          <w:rFonts w:hint="eastAsia" w:asciiTheme="minorHAnsi" w:eastAsiaTheme="minorEastAsia"/>
          <w:b/>
          <w:bCs/>
          <w:sz w:val="36"/>
          <w:szCs w:val="36"/>
          <w:lang w:val="en-US" w:eastAsia="zh-CN"/>
        </w:rPr>
        <w:t>MBA Marketing Management (BMMB7012)</w:t>
      </w:r>
    </w:p>
    <w:p>
      <w:pPr>
        <w:jc w:val="center"/>
        <w:rPr>
          <w:rFonts w:hint="eastAsia"/>
          <w:b/>
          <w:bCs/>
          <w:sz w:val="36"/>
          <w:szCs w:val="36"/>
          <w:lang w:val="en-US" w:eastAsia="zh-CN"/>
        </w:rPr>
      </w:pPr>
    </w:p>
    <w:p>
      <w:pPr>
        <w:jc w:val="center"/>
        <w:rPr>
          <w:rFonts w:hint="eastAsia"/>
          <w:b/>
          <w:bCs/>
          <w:sz w:val="36"/>
          <w:szCs w:val="36"/>
          <w:lang w:val="en-US" w:eastAsia="zh-CN"/>
        </w:rPr>
      </w:pPr>
      <w:r>
        <w:rPr>
          <w:rFonts w:hint="eastAsia" w:asciiTheme="minorHAnsi" w:eastAsiaTheme="minorEastAsia"/>
          <w:b/>
          <w:bCs/>
          <w:sz w:val="28"/>
          <w:szCs w:val="28"/>
          <w:lang w:val="en-US" w:eastAsia="zh-CN"/>
        </w:rPr>
        <w:t>Report title：New customer care strategies —— For ANTA under COVID-19</w:t>
      </w:r>
    </w:p>
    <w:p>
      <w:pPr>
        <w:jc w:val="center"/>
        <w:rPr>
          <w:rFonts w:hint="eastAsia"/>
          <w:b/>
          <w:bCs/>
          <w:sz w:val="28"/>
          <w:szCs w:val="28"/>
          <w:lang w:val="en-US" w:eastAsia="zh-CN"/>
        </w:rPr>
      </w:pPr>
      <w:r>
        <w:rPr>
          <w:rFonts w:hint="eastAsia" w:asciiTheme="minorHAnsi" w:eastAsiaTheme="minorEastAsia"/>
          <w:b/>
          <w:bCs/>
          <w:sz w:val="28"/>
          <w:szCs w:val="28"/>
          <w:lang w:val="en-US" w:eastAsia="zh-CN"/>
        </w:rPr>
        <w:t>Student Name：Di Liu</w:t>
      </w:r>
    </w:p>
    <w:p>
      <w:pPr>
        <w:jc w:val="center"/>
        <w:rPr>
          <w:rFonts w:hint="eastAsia"/>
          <w:b/>
          <w:bCs/>
          <w:sz w:val="28"/>
          <w:szCs w:val="28"/>
          <w:lang w:val="en-US" w:eastAsia="zh-CN"/>
        </w:rPr>
      </w:pPr>
      <w:r>
        <w:rPr>
          <w:rFonts w:hint="eastAsia" w:asciiTheme="minorHAnsi" w:eastAsiaTheme="minorEastAsia"/>
          <w:b/>
          <w:bCs/>
          <w:sz w:val="28"/>
          <w:szCs w:val="28"/>
          <w:lang w:val="en-US" w:eastAsia="zh-CN"/>
        </w:rPr>
        <w:t>Student ID：2010840</w:t>
      </w:r>
    </w:p>
    <w:p>
      <w:pPr>
        <w:keepNext w:val="0"/>
        <w:keepLines w:val="0"/>
        <w:pageBreakBefore w:val="0"/>
        <w:widowControl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rPr>
          <w:rFonts w:ascii="宋体" w:hAnsi="宋体" w:eastAsia="宋体" w:cstheme="minorBidi"/>
          <w:b/>
          <w:bCs/>
          <w:kern w:val="2"/>
          <w:sz w:val="21"/>
          <w:szCs w:val="24"/>
          <w:lang w:val="en-US" w:eastAsia="zh-CN" w:bidi="ar-SA"/>
        </w:rPr>
        <w:sectPr>
          <w:pgSz w:w="11906" w:h="16838"/>
          <w:pgMar w:top="1440" w:right="1800" w:bottom="1440" w:left="1800" w:header="851" w:footer="992" w:gutter="0"/>
          <w:cols w:space="425" w:num="1"/>
          <w:docGrid w:type="lines" w:linePitch="312" w:charSpace="0"/>
        </w:sectPr>
      </w:pPr>
    </w:p>
    <w:sdt>
      <w:sdtPr>
        <w:rPr>
          <w:rFonts w:ascii="宋体" w:hAnsi="宋体" w:eastAsia="宋体" w:cstheme="minorBidi"/>
          <w:b/>
          <w:bCs/>
          <w:kern w:val="2"/>
          <w:sz w:val="21"/>
          <w:szCs w:val="24"/>
          <w:lang w:val="en-US" w:eastAsia="zh-CN" w:bidi="ar-SA"/>
        </w:rPr>
        <w:id w:val="147471196"/>
        <w15:color w:val="DBDBDB"/>
        <w:docPartObj>
          <w:docPartGallery w:val="Table of Contents"/>
          <w:docPartUnique/>
        </w:docPartObj>
      </w:sdtPr>
      <w:sdtEndPr>
        <w:rPr>
          <w:rFonts w:hint="eastAsia" w:ascii="Tahoma" w:hAnsi="Tahoma" w:eastAsia="宋体" w:cs="Tahoma"/>
          <w:b/>
          <w:bCs/>
          <w:i w:val="0"/>
          <w:iCs w:val="0"/>
          <w:caps w:val="0"/>
          <w:color w:val="000000"/>
          <w:spacing w:val="0"/>
          <w:kern w:val="2"/>
          <w:sz w:val="21"/>
          <w:szCs w:val="21"/>
          <w:shd w:val="clear" w:fill="FFFFFF"/>
          <w:lang w:val="en-US" w:eastAsia="zh-CN" w:bidi="ar-SA"/>
        </w:rPr>
      </w:sdtEndPr>
      <w:sdtContent>
        <w:p>
          <w:pPr>
            <w:keepNext w:val="0"/>
            <w:keepLines w:val="0"/>
            <w:pageBreakBefore w:val="0"/>
            <w:widowControl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rPr>
              <w:rFonts w:hint="default" w:ascii="Times New Roman" w:hAnsi="Times New Roman" w:cs="Times New Roman"/>
              <w:b/>
              <w:bCs/>
              <w:sz w:val="24"/>
              <w:szCs w:val="24"/>
              <w:lang w:val="en-US"/>
            </w:rPr>
          </w:pPr>
          <w:r>
            <w:rPr>
              <w:rFonts w:hint="default" w:ascii="Times New Roman" w:hAnsi="Times New Roman" w:eastAsia="宋体" w:cs="Times New Roman"/>
              <w:b/>
              <w:bCs/>
              <w:kern w:val="2"/>
              <w:sz w:val="24"/>
              <w:szCs w:val="24"/>
              <w:lang w:val="en-US" w:eastAsia="zh-CN" w:bidi="ar-SA"/>
            </w:rPr>
            <w:t>Contents</w:t>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color w:val="000000"/>
              <w:spacing w:val="0"/>
              <w:sz w:val="24"/>
              <w:szCs w:val="24"/>
              <w:shd w:val="clear" w:fill="FFFFFF"/>
              <w:lang w:val="en-US" w:eastAsia="zh-CN"/>
            </w:rPr>
            <w:instrText xml:space="preserve">TOC \o "1-2" \h \u </w:instrText>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separate"/>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_Toc19648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1. 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_Toc17144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2. Information from the presentation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_Toc17144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_Toc4825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3. Marketing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_Toc4825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_Toc5190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4. New customer care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_Toc25277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4.1 Strengthen brand building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_Toc19792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4.2 Strategy of Product Differentiation.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_Toc24867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4.3 Carry out the strategy of sustainable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_Toc24867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_Toc27319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4.4 IP marketing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_Toc27319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_Toc32712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4.5 Carry out DTC direct retail reform.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_Toc32712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_Toc26716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4.6 Interact with consumers by recording short videos of exercise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_Toc26716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_Toc16314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5. Suggestions on performance 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_Toc16314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_Toc11521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5.1 Build an excellent management team and form a professional core decision-making layer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_Toc11521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_Toc22263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5.2 Establish and improve the training system, cultivate capable grass-roots talents</w:t>
          </w:r>
          <w:bookmarkStart w:id="18" w:name="_GoBack"/>
          <w:bookmarkEnd w:id="18"/>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_Toc22263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_Toc24553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5.3 Strengthened logistics management and responded to the surge in online orders during the epidemic</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_Toc23559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6.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_Toc23559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_Toc24706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7. Appendix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_Toc24706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_Toc28545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7.1 An organisation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_Toc28545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iCs w:val="0"/>
              <w:caps w:val="0"/>
              <w:spacing w:val="0"/>
              <w:sz w:val="24"/>
              <w:szCs w:val="24"/>
              <w:shd w:val="clear" w:fill="FFFFFF"/>
              <w:lang w:val="en-US" w:eastAsia="zh-CN"/>
            </w:rPr>
            <w:instrText xml:space="preserve"> HYPERLINK \l _Toc6241 </w:instrText>
          </w:r>
          <w:r>
            <w:rPr>
              <w:rFonts w:hint="default" w:ascii="Times New Roman" w:hAnsi="Times New Roman" w:eastAsia="宋体" w:cs="Times New Roman"/>
              <w:i w:val="0"/>
              <w:iCs w:val="0"/>
              <w:caps w:val="0"/>
              <w:spacing w:val="0"/>
              <w:sz w:val="24"/>
              <w:szCs w:val="24"/>
              <w:shd w:val="clear" w:fill="FFFFFF"/>
              <w:lang w:val="en-US" w:eastAsia="zh-CN"/>
            </w:rPr>
            <w:fldChar w:fldCharType="separate"/>
          </w:r>
          <w:r>
            <w:rPr>
              <w:rFonts w:hint="default" w:ascii="Times New Roman" w:hAnsi="Times New Roman" w:cs="Times New Roman"/>
              <w:sz w:val="24"/>
              <w:szCs w:val="24"/>
              <w:lang w:val="en-US" w:eastAsia="zh-CN"/>
            </w:rPr>
            <w:t>7.2 An environmental marketing audit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_Toc6241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ahoma" w:hAnsi="Tahoma" w:eastAsia="宋体" w:cs="Tahoma"/>
              <w:i w:val="0"/>
              <w:iCs w:val="0"/>
              <w:caps w:val="0"/>
              <w:color w:val="000000"/>
              <w:spacing w:val="0"/>
              <w:sz w:val="21"/>
              <w:szCs w:val="21"/>
              <w:shd w:val="clear" w:fill="FFFFFF"/>
              <w:lang w:val="en-US" w:eastAsia="zh-CN"/>
            </w:rPr>
          </w:pPr>
          <w:r>
            <w:rPr>
              <w:rFonts w:hint="default" w:ascii="Times New Roman" w:hAnsi="Times New Roman" w:eastAsia="宋体" w:cs="Times New Roman"/>
              <w:i w:val="0"/>
              <w:iCs w:val="0"/>
              <w:caps w:val="0"/>
              <w:color w:val="000000"/>
              <w:spacing w:val="0"/>
              <w:sz w:val="24"/>
              <w:szCs w:val="24"/>
              <w:shd w:val="clear" w:fill="FFFFFF"/>
              <w:lang w:val="en-US" w:eastAsia="zh-CN"/>
            </w:rPr>
            <w:fldChar w:fldCharType="end"/>
          </w:r>
        </w:p>
      </w:sdtContent>
    </w:sdt>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both"/>
        <w:rPr>
          <w:rFonts w:hint="eastAsia" w:ascii="Tahoma" w:hAnsi="Tahoma" w:eastAsia="宋体" w:cs="Tahoma"/>
          <w:i w:val="0"/>
          <w:iCs w:val="0"/>
          <w:caps w:val="0"/>
          <w:color w:val="000000"/>
          <w:spacing w:val="0"/>
          <w:sz w:val="21"/>
          <w:szCs w:val="21"/>
          <w:shd w:val="clear" w:fill="FFFFFF"/>
          <w:lang w:val="en-US" w:eastAsia="zh-CN"/>
        </w:rPr>
      </w:pPr>
    </w:p>
    <w:p>
      <w:pPr>
        <w:widowControl w:val="0"/>
        <w:numPr>
          <w:ilvl w:val="0"/>
          <w:numId w:val="0"/>
        </w:numPr>
        <w:jc w:val="center"/>
        <w:rPr>
          <w:rFonts w:hint="default" w:ascii="Times New Roman" w:hAnsi="Times New Roman" w:eastAsia="宋体" w:cs="Times New Roman"/>
          <w:b/>
          <w:bCs/>
          <w:i w:val="0"/>
          <w:iCs w:val="0"/>
          <w:caps w:val="0"/>
          <w:color w:val="000000"/>
          <w:spacing w:val="0"/>
          <w:sz w:val="28"/>
          <w:szCs w:val="28"/>
          <w:shd w:val="clear" w:fill="FFFFFF"/>
          <w:lang w:val="en-US" w:eastAsia="zh-CN"/>
        </w:rPr>
      </w:pPr>
      <w:r>
        <w:rPr>
          <w:rFonts w:hint="default" w:ascii="Times New Roman" w:hAnsi="Times New Roman" w:eastAsia="宋体" w:cs="Times New Roman"/>
          <w:b/>
          <w:bCs/>
          <w:i w:val="0"/>
          <w:iCs w:val="0"/>
          <w:caps w:val="0"/>
          <w:color w:val="000000"/>
          <w:spacing w:val="0"/>
          <w:sz w:val="28"/>
          <w:szCs w:val="28"/>
          <w:shd w:val="clear" w:fill="FFFFFF"/>
          <w:lang w:val="en-US" w:eastAsia="zh-CN"/>
        </w:rPr>
        <w:t>New customer care strategies —— For ANTA under COVID-19</w:t>
      </w:r>
    </w:p>
    <w:p>
      <w:pPr>
        <w:numPr>
          <w:ilvl w:val="0"/>
          <w:numId w:val="0"/>
        </w:numPr>
        <w:rPr>
          <w:rFonts w:hint="eastAsia" w:ascii="Tahoma" w:hAnsi="Tahoma" w:eastAsia="宋体" w:cs="Tahoma"/>
          <w:i w:val="0"/>
          <w:iCs w:val="0"/>
          <w:caps w:val="0"/>
          <w:color w:val="000000"/>
          <w:spacing w:val="0"/>
          <w:sz w:val="21"/>
          <w:szCs w:val="21"/>
          <w:shd w:val="clear" w:fill="FFFFFF"/>
          <w:lang w:val="en-US" w:eastAsia="zh-CN"/>
        </w:rPr>
      </w:pPr>
    </w:p>
    <w:p>
      <w:pPr>
        <w:pStyle w:val="2"/>
        <w:numPr>
          <w:ilvl w:val="0"/>
          <w:numId w:val="1"/>
        </w:numPr>
        <w:bidi w:val="0"/>
        <w:rPr>
          <w:rFonts w:hint="default" w:ascii="Times New Roman" w:hAnsi="Times New Roman" w:cs="Times New Roman"/>
          <w:sz w:val="28"/>
          <w:szCs w:val="28"/>
          <w:lang w:val="en-US" w:eastAsia="zh-CN"/>
        </w:rPr>
      </w:pPr>
      <w:bookmarkStart w:id="0" w:name="_Toc19648"/>
      <w:r>
        <w:rPr>
          <w:rFonts w:hint="default" w:ascii="Times New Roman" w:hAnsi="Times New Roman" w:cs="Times New Roman"/>
          <w:sz w:val="28"/>
          <w:szCs w:val="28"/>
          <w:lang w:val="en-US" w:eastAsia="zh-CN"/>
        </w:rPr>
        <w:t>Executive summary</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ahoma" w:hAnsi="Tahoma" w:eastAsia="宋体" w:cs="Tahoma"/>
          <w:i w:val="0"/>
          <w:iCs w:val="0"/>
          <w:caps w:val="0"/>
          <w:color w:val="000000"/>
          <w:spacing w:val="0"/>
          <w:sz w:val="21"/>
          <w:szCs w:val="21"/>
          <w:shd w:val="clear" w:fill="FFFFFF"/>
          <w:lang w:val="en-US" w:eastAsia="zh-CN"/>
        </w:rPr>
      </w:pPr>
      <w:r>
        <w:rPr>
          <w:rFonts w:hint="eastAsia" w:ascii="Times New Roman" w:hAnsi="Times New Roman" w:cs="Times New Roman"/>
          <w:sz w:val="24"/>
          <w:szCs w:val="24"/>
          <w:lang w:val="en-US" w:eastAsia="zh-CN"/>
        </w:rPr>
        <w:t>During the epidemic period, the internal and external environment of Anta Company has changed greatly, so the company's marketing strategy should also change accordingly. Based on the previous speeches, this report will develop a new customer care experience strategy to enhance the customer journey and enhance the brand's international reputation.</w:t>
      </w:r>
    </w:p>
    <w:p>
      <w:pPr>
        <w:pStyle w:val="2"/>
        <w:numPr>
          <w:ilvl w:val="0"/>
          <w:numId w:val="1"/>
        </w:numPr>
        <w:bidi w:val="0"/>
        <w:jc w:val="left"/>
        <w:rPr>
          <w:rFonts w:hint="default" w:ascii="Times New Roman" w:hAnsi="Times New Roman" w:cs="Times New Roman"/>
          <w:sz w:val="28"/>
          <w:szCs w:val="28"/>
          <w:lang w:val="en-US" w:eastAsia="zh-CN"/>
        </w:rPr>
      </w:pPr>
      <w:bookmarkStart w:id="1" w:name="_Toc17144"/>
      <w:r>
        <w:rPr>
          <w:rFonts w:hint="eastAsia" w:ascii="Times New Roman" w:hAnsi="Times New Roman" w:cs="Times New Roman"/>
          <w:sz w:val="28"/>
          <w:szCs w:val="28"/>
          <w:lang w:val="en-US" w:eastAsia="zh-CN"/>
        </w:rPr>
        <w:t>Information from the presentation</w:t>
      </w:r>
      <w:bookmarkEnd w:id="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Founded in 1991, Anta is a standards-setting company in the sporting goods industry, specializing in sports and leisure clothing/shoes and accessories.In recent years, Anta Group adheres to the development strategy of "single focus, multi-brand, all-channel", and has made remarkable achievements.Anta Group pays more attention to high standards and benchmarks. Through high-quality operation and management ability, innovative consumption strategy, marketing execution, comprehensive improvement of commodity power, brand power and retail power, and fine management, Anta Group has achieved remarkable performance and sustained growth.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Now Anta is faced with the two external background of increasing online consumer demand and environmental pressure.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is nearly a truism that the needs and wants of the consumer are the critical issues today in creating new products and services, and developing the accompanying plans to merchandise them at a profit (John D. Louth). Affected by the outbreak of the epidemic, people’s awareness of exercise will increase, and the number of people exercising will increase, resulting in an increase in the demand for sportswear. The sportswear market is huge. Group vice president Li Ling is huge. In the short term, the epidemic will have the most direct impact on the entire sports industry, and enterprises will be affected to a certain extent. However, the epidemic will trigger consumer demand for health and exercise, and consumers may even have reactive consumption behaviors. (2022) 1. The picture below is a report by McKinsey that sports apparel companies are more attractive than other apparel industries (Figure 1). Raise activities.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（Figure 1）</w:t>
      </w:r>
    </w:p>
    <w:p>
      <w:pPr>
        <w:rPr>
          <w:rFonts w:hint="eastAsia" w:ascii="Tahoma" w:hAnsi="Tahoma" w:eastAsia="宋体" w:cs="Tahoma"/>
          <w:i w:val="0"/>
          <w:iCs w:val="0"/>
          <w:caps w:val="0"/>
          <w:color w:val="000000"/>
          <w:spacing w:val="0"/>
          <w:sz w:val="21"/>
          <w:szCs w:val="21"/>
          <w:shd w:val="clear" w:fill="FFFFFF"/>
          <w:lang w:eastAsia="zh-CN"/>
        </w:rPr>
      </w:pPr>
      <w:r>
        <w:rPr>
          <w:rFonts w:hint="eastAsia" w:ascii="Tahoma" w:hAnsi="Tahoma" w:eastAsia="宋体" w:cs="Tahoma"/>
          <w:i w:val="0"/>
          <w:iCs w:val="0"/>
          <w:caps w:val="0"/>
          <w:color w:val="000000"/>
          <w:spacing w:val="0"/>
          <w:sz w:val="21"/>
          <w:szCs w:val="21"/>
          <w:shd w:val="clear" w:fill="FFFFFF"/>
          <w:lang w:eastAsia="zh-CN"/>
        </w:rPr>
        <w:drawing>
          <wp:inline distT="0" distB="0" distL="114300" distR="114300">
            <wp:extent cx="5274310" cy="3750310"/>
            <wp:effectExtent l="0" t="0" r="2540" b="2540"/>
            <wp:docPr id="1" name="图片 1" descr="a9958867dda0ebd1ded0a331fef73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9958867dda0ebd1ded0a331fef737c"/>
                    <pic:cNvPicPr>
                      <a:picLocks noChangeAspect="1"/>
                    </pic:cNvPicPr>
                  </pic:nvPicPr>
                  <pic:blipFill>
                    <a:blip r:embed="rId5"/>
                    <a:stretch>
                      <a:fillRect/>
                    </a:stretch>
                  </pic:blipFill>
                  <pic:spPr>
                    <a:xfrm>
                      <a:off x="0" y="0"/>
                      <a:ext cx="5274310" cy="3750310"/>
                    </a:xfrm>
                    <a:prstGeom prst="rect">
                      <a:avLst/>
                    </a:prstGeom>
                  </pic:spPr>
                </pic:pic>
              </a:graphicData>
            </a:graphic>
          </wp:inline>
        </w:drawing>
      </w:r>
    </w:p>
    <w:p>
      <w:pPr>
        <w:rPr>
          <w:rFonts w:hint="eastAsia" w:ascii="Tahoma" w:hAnsi="Tahoma" w:eastAsia="宋体" w:cs="Tahoma"/>
          <w:i w:val="0"/>
          <w:iCs w:val="0"/>
          <w:caps w:val="0"/>
          <w:color w:val="000000"/>
          <w:spacing w:val="0"/>
          <w:sz w:val="21"/>
          <w:szCs w:val="21"/>
          <w:shd w:val="clear" w:fill="FFFFFF"/>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impact of the pandemic is not just temporary - it has also accelerated changes that will have a long-term impact on companies across the sporting goods value chain.COVID-19 brings the next normal to the industry, defined by factors such as digital commerce, growing demand for sustainable products and increased participation in individual sports.To succeed in the new environment, the industry needs to adapt its customer proposition and operational capabilities (Sabine et al, 2021).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Another change in the external environment is that the clothing industry is increasingly demanding environmental protection. COVID-19 challenges many human certainties, but it also shows that we are capable of dealing with serious threats. In addition, it is possible to see a huge opportunity: to create a true and sustainable revival. However, the challenge is very complex and requires the participation of as many stakeholders as possible and the implementation of low-carbon models in different production sectors (D’Adamo, et al, 2020).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When analyzing and studying the circular economy in the fashion industry, it is useful to consider research that emphasizes consumer and company perceptions of sustainability. McKinsey conducted an important survey of 2000 British and German consumers in April 2020 (consumers' views on sustainable fashion development). Two-thirds of the respondents affirmed the following questions: (i) the use of sustainable materials is an important driver of final purchase (67%); (ii) the brand should be completely transparent in terms of sustainability (70%); (iii) Delay in new collections is not a problem (65%); (iv) There is a tendency to repair items to extend their use time (57%); (v) Frequent purchases of durable fashion items (65%); (vi) Keep things longer (71%). It can be seen that consumers' demand for environmentally-friendly clothing is also increasing.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terms of innovative environmentally friendly products, anta launched the environmentally friendly A-AWAKE ENERGY series "Train and Recycle" using recycled plastic as raw materials for the first time. This series uses waste plastic bottles as raw materials and uses environmental technology to convert them into recycled polyethylene terephthalate ("RPET"), making Anta a Chinese sports brand that meets the RPET inspection standards. With the support of supplier partners, Anta's R&amp;D team has overcome many technical obstacles and produced sportswear made of RPET, which has the same function as sportswear made of traditional materials and meets the safety standards of ecological textiles. In addition, the overall cost is 30% to 50% lower than that of international brands. To make an A-AWAKE ENERGY sportswear from RPET fabric requires 11 discarded 550 ml plastic bottles. In 2019, Anta collected 7.7 million bottles and turned them into RPET fabrics, providing a new and successful solution for recycling plastic waste (Anta, 2021).</w:t>
      </w:r>
    </w:p>
    <w:p>
      <w:pPr>
        <w:pStyle w:val="2"/>
        <w:numPr>
          <w:ilvl w:val="0"/>
          <w:numId w:val="1"/>
        </w:numPr>
        <w:bidi w:val="0"/>
        <w:jc w:val="left"/>
        <w:rPr>
          <w:rFonts w:hint="eastAsia" w:ascii="Times New Roman" w:hAnsi="Times New Roman" w:cs="Times New Roman"/>
          <w:sz w:val="28"/>
          <w:szCs w:val="28"/>
          <w:lang w:val="en-US" w:eastAsia="zh-CN"/>
        </w:rPr>
      </w:pPr>
      <w:bookmarkStart w:id="2" w:name="_Toc4825"/>
      <w:r>
        <w:rPr>
          <w:rFonts w:hint="eastAsia" w:ascii="Times New Roman" w:hAnsi="Times New Roman" w:cs="Times New Roman"/>
          <w:sz w:val="28"/>
          <w:szCs w:val="28"/>
          <w:lang w:val="en-US" w:eastAsia="zh-CN"/>
        </w:rPr>
        <w:t>Marketing objectives</w:t>
      </w:r>
      <w:bookmarkEnd w:id="2"/>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Anta sports products co., LTD. After more than 20 years of development, has become the number one sports goods company in China.The brand positioning of Anta in China is lower than that of Li Ning, and it is oriented to mass consumers. The target market is mainly concentrated in the second and third tier small cities, which effectively avoids the direct confrontation with the international big manufacturers.The establishment of a sports science laboratory also avoids the homogenization of its products with other domestic brands, which is the key to Anta's success.But as the pace of brand acquisitions quickens, Anta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is necessary to explore more international markets and enhance the international visibility of the brand.In addition, the COVID-19 pandemic has led to significant changes in global consumer demand.Therefore, I hope to promote the internationalization of ANTA and provide more ambitious customer experience through this marketing plan.</w:t>
      </w:r>
    </w:p>
    <w:p>
      <w:pPr>
        <w:pStyle w:val="2"/>
        <w:bidi w:val="0"/>
        <w:outlineLvl w:val="9"/>
        <w:rPr>
          <w:rFonts w:hint="default"/>
          <w:lang w:val="en-US" w:eastAsia="zh-CN"/>
        </w:rPr>
      </w:pPr>
    </w:p>
    <w:p>
      <w:pPr>
        <w:pStyle w:val="2"/>
        <w:numPr>
          <w:ilvl w:val="0"/>
          <w:numId w:val="1"/>
        </w:numPr>
        <w:bidi w:val="0"/>
        <w:jc w:val="left"/>
        <w:rPr>
          <w:rFonts w:hint="eastAsia" w:ascii="Times New Roman" w:hAnsi="Times New Roman" w:cs="Times New Roman"/>
          <w:sz w:val="28"/>
          <w:szCs w:val="28"/>
          <w:lang w:val="en-US" w:eastAsia="zh-CN"/>
        </w:rPr>
      </w:pPr>
      <w:bookmarkStart w:id="3" w:name="_Toc5190"/>
      <w:r>
        <w:rPr>
          <w:rFonts w:hint="eastAsia" w:ascii="Times New Roman" w:hAnsi="Times New Roman" w:cs="Times New Roman"/>
          <w:sz w:val="28"/>
          <w:szCs w:val="28"/>
          <w:lang w:val="en-US" w:eastAsia="zh-CN"/>
        </w:rPr>
        <w:t>New customer care strategies</w:t>
      </w:r>
      <w:bookmarkEnd w:id="3"/>
    </w:p>
    <w:p>
      <w:pPr>
        <w:pStyle w:val="3"/>
        <w:bidi w:val="0"/>
        <w:rPr>
          <w:rFonts w:hint="eastAsia" w:ascii="Times New Roman" w:hAnsi="Times New Roman" w:cs="Times New Roman"/>
          <w:b/>
          <w:sz w:val="24"/>
          <w:szCs w:val="24"/>
          <w:lang w:val="en-US" w:eastAsia="zh-CN"/>
        </w:rPr>
      </w:pPr>
      <w:bookmarkStart w:id="4" w:name="_Toc25277"/>
      <w:r>
        <w:rPr>
          <w:rFonts w:hint="eastAsia" w:ascii="Times New Roman" w:hAnsi="Times New Roman" w:cs="Times New Roman"/>
          <w:b/>
          <w:sz w:val="24"/>
          <w:szCs w:val="24"/>
          <w:lang w:val="en-US" w:eastAsia="zh-CN"/>
        </w:rPr>
        <w:t>4.1 Strengthen brand building</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Chinese sportswear brands want to have a position among international brands, they must pursue the differences between themselves and international brands. Our country itself has advantages that are not available in foreign countries, such as low raw materials, abundant labor, etc. If we can add Chinese characteristic culture to Chinese brands, increase international visibility and turn "Made in China" into "Created in China". Today's consumption The concept of the author has undergone a great change, from the previous emphasis on material to the spiritual level; from the previous rational consumption to perceptual consumption mostly. So most of this perceptual cognition is generated by the brand. Only by establishing an independent sports brand and creating Chinese characteristics can we achieve resonance with consumers.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addition, in order to expand the international market, Anta has acquired many foreign brands, but the current multi-brand integration effect is not good. In March last year, an investor consortium composed of Anta Sports (158.4, 4.60, 2.99%), Fangyuan Capital, Anamered Investments and Tencent completed Amer Sports and its brands (mainly including Archaeopteryx, Salomon, W Wilson and other brands) before the acquisition of ski sports brand Descente and children's clothing brand KINGKOW. At present, there are close to 30 brands under Anta. However, in addition to the transformation of FILA, the performance of other brands acquired by Anta is hardly successful. During the reporting period, in addition to Anta and FILA, other brands' revenue was 1.708 billion yuan, accounting for only 5.1% of Anta's total revenue. It is foreseeable that FILA's successful experience will be promoted to more brands by Anta. However, it is not easy to recreate a FILA in these mid-to-high-end positioning and a brand with an extremely limited audience in China. Therefore, how to complement each other's advantages and accelerate integration is the future development direction of Anta's multi-brand strategy, so as to enhance the overall brand awareness and influence.</w:t>
      </w:r>
    </w:p>
    <w:p>
      <w:pPr>
        <w:rPr>
          <w:rFonts w:hint="default" w:ascii="Tahoma" w:hAnsi="Tahoma" w:eastAsia="宋体" w:cs="Tahoma"/>
          <w:i w:val="0"/>
          <w:iCs w:val="0"/>
          <w:caps w:val="0"/>
          <w:color w:val="000000"/>
          <w:spacing w:val="0"/>
          <w:sz w:val="21"/>
          <w:szCs w:val="21"/>
          <w:shd w:val="clear" w:fill="FFFFFF"/>
          <w:lang w:val="en-US" w:eastAsia="zh-CN"/>
        </w:rPr>
      </w:pPr>
    </w:p>
    <w:p>
      <w:pPr>
        <w:pStyle w:val="3"/>
        <w:bidi w:val="0"/>
        <w:rPr>
          <w:rFonts w:hint="eastAsia" w:ascii="Times New Roman" w:hAnsi="Times New Roman" w:cs="Times New Roman"/>
          <w:b/>
          <w:sz w:val="24"/>
          <w:szCs w:val="24"/>
          <w:lang w:val="en-US" w:eastAsia="zh-CN"/>
        </w:rPr>
      </w:pPr>
      <w:bookmarkStart w:id="5" w:name="_Toc19792"/>
      <w:r>
        <w:rPr>
          <w:rFonts w:hint="eastAsia" w:ascii="Times New Roman" w:hAnsi="Times New Roman" w:cs="Times New Roman"/>
          <w:b/>
          <w:sz w:val="24"/>
          <w:szCs w:val="24"/>
          <w:lang w:val="en-US" w:eastAsia="zh-CN"/>
        </w:rPr>
        <w:t>4.2 Strategy of Product Differentiation.</w:t>
      </w:r>
      <w:bookmarkEnd w:id="5"/>
      <w:r>
        <w:rPr>
          <w:rFonts w:hint="eastAsia" w:ascii="Times New Roman" w:hAnsi="Times New Roman" w:cs="Times New Roman"/>
          <w:b/>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acquisition of many brands at the same time, Anta should pay attention to the advantages of each brand, do a good job of product function classification. For example：Anta: Positioned as a professional sports brand leading by scientific and technological innovation, the group will invest more than 1 billion yuan in scientific and technological innovation in the next 5 years. Through hydrogen technology, A-Web, Flashfoam, environmental protection technology and other innovative technologies, as well as with Marvel, Coca Cola and other international well-known IP to create A cross-border co-branded model popular network, to gain consumer attention.Committed to achieve the transformation from an "affordable" brand to a "want to buy" or even a "scramble to buy" brand.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FILA : Positioned as a high-end sports fashion brand, will focus on creating "sports leading elegant taste of lifestyle".Signed a contract with the new spokesmen such as K peng, Wu jinyan, exclusive cooperation China tennis open, Jagger shoes in Tokyo global limited debut and other activities, attracted a large number of young audience.In addition, FILA continues to upgrade the image of the terminal to create a more stylish and sporty shopping experience.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DESCENTE: Positioned as a high-end professional sports brand, belonging to the outdoor sports group. Joined the group at the end of 2016 and achieved a year-on-year increase of 75% in turnover through more than two years of group incubation. Disante China has developed high-end products such as comprehensive training, women's and skiing. The high-quality ALLTERRAIN professional series and SKI product series have stabilized a large number of loyal high-end consumer groups. At the same time, DESCENTE also explored a unique marketing model, including the establishment of a professional sports club, exclusive sponsorship of the HSBC World Golf Championships, etc.</w:t>
      </w:r>
    </w:p>
    <w:p>
      <w:pPr>
        <w:pStyle w:val="3"/>
        <w:bidi w:val="0"/>
        <w:rPr>
          <w:rFonts w:hint="default"/>
          <w:lang w:val="en-US" w:eastAsia="zh-CN"/>
        </w:rPr>
      </w:pPr>
      <w:bookmarkStart w:id="6" w:name="_Toc24867"/>
      <w:r>
        <w:rPr>
          <w:rFonts w:hint="eastAsia" w:ascii="Times New Roman" w:hAnsi="Times New Roman" w:cs="Times New Roman"/>
          <w:b/>
          <w:sz w:val="24"/>
          <w:szCs w:val="24"/>
          <w:lang w:val="en-US" w:eastAsia="zh-CN"/>
        </w:rPr>
        <w:t>4.3 C</w:t>
      </w:r>
      <w:r>
        <w:rPr>
          <w:rFonts w:hint="default" w:ascii="Times New Roman" w:hAnsi="Times New Roman" w:cs="Times New Roman"/>
          <w:b/>
          <w:sz w:val="24"/>
          <w:szCs w:val="24"/>
          <w:lang w:val="en-US" w:eastAsia="zh-CN"/>
        </w:rPr>
        <w:t>arry out the strategy of sustainable development.</w:t>
      </w:r>
      <w:bookmarkEnd w:id="6"/>
      <w:r>
        <w:rPr>
          <w:rFonts w:hint="default"/>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 can do it from product, process and supply chain. Product design encompasses all of the decisions related to the product’s features, such as the choice of materials, development of the product’s components and the design of the packaging.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Process design includes the design of production processes from raw materials to the finished product. And material recovery and recycling.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Supply chain design includes the decisions related to in-sourcing and outsourcing, logistics channels, suppliers, customers, and relationships with other actors in the supply chain</w:t>
      </w:r>
      <w:r>
        <w:rPr>
          <w:rFonts w:hint="eastAsia" w:ascii="Times New Roman" w:hAnsi="Times New Roman" w:cs="Times New Roman"/>
          <w:sz w:val="24"/>
          <w:szCs w:val="24"/>
          <w:lang w:val="en-US" w:eastAsia="zh-CN"/>
        </w:rPr>
        <w:t xml:space="preserve"> (D</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Adamo and Gianluca). Anta must strengthen its sustainable design in the upstream, midstream and downstream. Moreover, German environmental clothing expert Hoffen said: "A piece of clothing has more than 8,000 chemical agents used to turn raw materials into clothing fabrics and clothing, and the fibers used in environmental protection clothing have the characteristics of improving human circulation, anti-allergic and anti-bacterial. ". Therefore, sportswear design emphasizes the comfort of fabrics, popular fashion elements and design styles on the one hand; on the other hand, it emphasizes the environmental protection of reproduction and recycling to reduce the burden on the earth's environment.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sz w:val="24"/>
          <w:szCs w:val="24"/>
          <w:lang w:val="en-US" w:eastAsia="zh-CN"/>
        </w:rPr>
      </w:pPr>
      <w:r>
        <w:rPr>
          <w:rFonts w:hint="default" w:ascii="Times New Roman" w:hAnsi="Times New Roman" w:cs="Times New Roman"/>
          <w:sz w:val="24"/>
          <w:szCs w:val="24"/>
          <w:lang w:val="en-US" w:eastAsia="zh-CN"/>
        </w:rPr>
        <w:t>In the short term, cyclical strategies require heavy investment in technology and can be a burden on the company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but we will get paid back quickly thanks to the reduction of material, energy, and resource wastes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the long term, it will provide consumers with reasonable price, high quality, environmentally friendly products, forming a competitive advantage in the industry。</w:t>
      </w:r>
    </w:p>
    <w:p>
      <w:pPr>
        <w:pStyle w:val="3"/>
        <w:bidi w:val="0"/>
        <w:rPr>
          <w:rFonts w:hint="default" w:ascii="Times New Roman" w:hAnsi="Times New Roman" w:cs="Times New Roman"/>
          <w:b/>
          <w:sz w:val="24"/>
          <w:szCs w:val="24"/>
          <w:lang w:val="en-US" w:eastAsia="zh-CN"/>
        </w:rPr>
      </w:pPr>
      <w:bookmarkStart w:id="7" w:name="_Toc27319"/>
      <w:r>
        <w:rPr>
          <w:rFonts w:hint="eastAsia" w:ascii="Times New Roman" w:hAnsi="Times New Roman" w:cs="Times New Roman"/>
          <w:b/>
          <w:sz w:val="24"/>
          <w:szCs w:val="24"/>
          <w:lang w:val="en-US" w:eastAsia="zh-CN"/>
        </w:rPr>
        <w:t>4.4 IP marketing</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IP, the English abbreviation is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Intellectual Property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that is, intellectual property. It is the result obtained through intellectual creative work, and it is the exclusive right of intellectual workers to the result according to law. Its core concept is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Cross Media Creativity and Content Marketing</w:t>
      </w:r>
      <w:r>
        <w:rPr>
          <w:rFonts w:hint="eastAsia" w:ascii="Times New Roman" w:hAnsi="Times New Roman" w:cs="Times New Roman"/>
          <w:sz w:val="24"/>
          <w:szCs w:val="24"/>
          <w:lang w:val="en-US" w:eastAsia="zh-CN"/>
        </w:rPr>
        <w:t>”(Xiaomin, 2017). Compared with brand, IP is more emotional, and brand is more functional.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IP marketing in the 21st century is the most effective way of marketing, such as sports IP, cultural IP, and game IP, which are the IPs that young people prefer. Sports marketing not only promotes the spirit of sports, but also promotes corporate culture. It is suggested that Anta can expand IP cooperation according to its own needs and combined with actual marketing costs. For example, Anta has teamed up with the Palace Museum of China to launch authorized sports shoes for the Winter Olympics, which triggered a panic buying boom (Anta sports, 2019) and also spread traditional Chinese culture. In addition, products can be promoted through advertising, media promotion, sponsorship of events, hosting of events, and athlete image promotion.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IP cooperation is also conducive to Anta's path of internationalization, to enhance the acceptance of foreign consumers. Considering the cultural differences between China and the West, the acceptance degree of domestic consumers to the acquired brands and the acceptance degree of foreign consumers to the local brands of ANTA, the integration and complementary advantages of multiple brands can improve the brand awareness of ANTA and promote the globalization of ANTA brand. For example, Anta's joint venture with Coca Cola has been a great success, It can interact with consumers and increase its visibility in the American market</w:t>
      </w:r>
    </w:p>
    <w:p>
      <w:pPr>
        <w:rPr>
          <w:rFonts w:hint="eastAsia"/>
          <w:lang w:val="en-US" w:eastAsia="zh-CN"/>
        </w:rPr>
      </w:pPr>
    </w:p>
    <w:p>
      <w:pPr>
        <w:pStyle w:val="3"/>
        <w:bidi w:val="0"/>
        <w:rPr>
          <w:rFonts w:hint="default" w:ascii="Times New Roman" w:hAnsi="Times New Roman" w:cs="Times New Roman"/>
          <w:b/>
          <w:sz w:val="24"/>
          <w:szCs w:val="24"/>
          <w:lang w:val="en-US" w:eastAsia="zh-CN"/>
        </w:rPr>
      </w:pPr>
      <w:bookmarkStart w:id="8" w:name="_Toc32712"/>
      <w:r>
        <w:rPr>
          <w:rFonts w:hint="eastAsia" w:ascii="Times New Roman" w:hAnsi="Times New Roman" w:cs="Times New Roman"/>
          <w:b/>
          <w:sz w:val="24"/>
          <w:szCs w:val="24"/>
          <w:lang w:val="en-US" w:eastAsia="zh-CN"/>
        </w:rPr>
        <w:t>4.5 Carry out DTC direct retail reform.</w:t>
      </w:r>
      <w:bookmarkEnd w:id="8"/>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Anta’s Fila’s retail-oriented business model has accumulated a wealth of direct retail experience over the past years, which can help Anta Group carry out the reform of direct retail sales, open up consumers, products and distribution channels, and improve Commodity turnover efficiency, strengthen the seamless connection of online and offline businesses (Xiao, 2021). Under the DTC model, all data of online channels and offline stores are managed in a unified manner. Big data analysis will facilitate the flexible allocation of inventory distribution in directly-operated stores and achieve synergy between stores and logistics centers. Operational standards such as customer experience, products, and channels at the store level can be quickly unified. The ability to quickly adjust product design, selection and delivery based on market dynamics has also been greatly improved. This greatly improves the convenience of consumption.</w:t>
      </w:r>
    </w:p>
    <w:p>
      <w:pPr>
        <w:pStyle w:val="3"/>
        <w:bidi w:val="0"/>
        <w:rPr>
          <w:rFonts w:hint="eastAsia" w:ascii="Times New Roman" w:hAnsi="Times New Roman" w:cs="Times New Roman"/>
          <w:b/>
          <w:sz w:val="24"/>
          <w:szCs w:val="24"/>
          <w:lang w:val="en-US" w:eastAsia="zh-CN"/>
        </w:rPr>
      </w:pPr>
      <w:bookmarkStart w:id="9" w:name="_Toc26716"/>
      <w:r>
        <w:rPr>
          <w:rFonts w:hint="eastAsia" w:ascii="Times New Roman" w:hAnsi="Times New Roman" w:cs="Times New Roman"/>
          <w:b/>
          <w:sz w:val="24"/>
          <w:szCs w:val="24"/>
          <w:lang w:val="en-US" w:eastAsia="zh-CN"/>
        </w:rPr>
        <w:t>4.6 Interact with consumers by recording short videos of exercise</w:t>
      </w:r>
      <w:bookmarkEnd w:id="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eastAsia" w:ascii="Times New Roman" w:hAnsi="Times New Roman" w:cs="Times New Roman"/>
          <w:sz w:val="24"/>
          <w:szCs w:val="24"/>
          <w:lang w:val="en-US" w:eastAsia="zh-CN"/>
        </w:rPr>
        <w:t>During the epidemic, e-commerce developed rapidly and online orders surged (Bhatti et al, 2020). In response to travel restrictions in the post-epidemic era, Anta can use brand spokespersons and contracted athletes to record short videos to interact with consumers online, encourage consumers to exercise at home, and use celebrity effects to promote sales. In addition, during the epidemic, the public tends to use social media platforms to obtain required information and communicate (Li et al, 2020). Using social platform channels for short video dissemination can play a good publicity role, thereby driving sports products. Sales. Customers can also learn more about brands and products from interactions</w:t>
      </w:r>
    </w:p>
    <w:p>
      <w:pPr>
        <w:pStyle w:val="2"/>
        <w:numPr>
          <w:ilvl w:val="0"/>
          <w:numId w:val="1"/>
        </w:numPr>
        <w:bidi w:val="0"/>
        <w:jc w:val="left"/>
        <w:rPr>
          <w:rFonts w:hint="eastAsia" w:ascii="Times New Roman" w:hAnsi="Times New Roman" w:cs="Times New Roman"/>
          <w:sz w:val="28"/>
          <w:szCs w:val="28"/>
          <w:lang w:val="en-US" w:eastAsia="zh-CN"/>
        </w:rPr>
      </w:pPr>
      <w:bookmarkStart w:id="10" w:name="_Toc16314"/>
      <w:r>
        <w:rPr>
          <w:rFonts w:hint="eastAsia" w:ascii="Times New Roman" w:hAnsi="Times New Roman" w:cs="Times New Roman"/>
          <w:sz w:val="28"/>
          <w:szCs w:val="28"/>
          <w:lang w:val="en-US" w:eastAsia="zh-CN"/>
        </w:rPr>
        <w:t>Suggestions on performance management</w:t>
      </w:r>
      <w:bookmarkEnd w:id="10"/>
      <w:r>
        <w:rPr>
          <w:rFonts w:hint="eastAsia" w:ascii="Times New Roman" w:hAnsi="Times New Roman" w:cs="Times New Roman"/>
          <w:sz w:val="28"/>
          <w:szCs w:val="28"/>
          <w:lang w:val="en-US" w:eastAsia="zh-CN"/>
        </w:rPr>
        <w:t xml:space="preserve"> </w:t>
      </w:r>
    </w:p>
    <w:p>
      <w:pPr>
        <w:pStyle w:val="3"/>
        <w:bidi w:val="0"/>
        <w:rPr>
          <w:rFonts w:hint="eastAsia" w:ascii="Times New Roman" w:hAnsi="Times New Roman" w:cs="Times New Roman"/>
          <w:b/>
          <w:sz w:val="24"/>
          <w:szCs w:val="24"/>
          <w:lang w:val="en-US" w:eastAsia="zh-CN"/>
        </w:rPr>
      </w:pPr>
      <w:bookmarkStart w:id="11" w:name="_Toc11521"/>
      <w:r>
        <w:rPr>
          <w:rFonts w:hint="eastAsia" w:ascii="Times New Roman" w:hAnsi="Times New Roman" w:cs="Times New Roman"/>
          <w:b/>
          <w:sz w:val="24"/>
          <w:szCs w:val="24"/>
          <w:lang w:val="en-US" w:eastAsia="zh-CN"/>
        </w:rPr>
        <w:t xml:space="preserve">5.1 </w:t>
      </w:r>
      <w:bookmarkEnd w:id="11"/>
      <w:r>
        <w:rPr>
          <w:rFonts w:hint="eastAsia" w:ascii="Times New Roman" w:hAnsi="Times New Roman" w:cs="Times New Roman"/>
          <w:b/>
          <w:sz w:val="24"/>
          <w:szCs w:val="24"/>
          <w:lang w:val="en-US" w:eastAsia="zh-CN"/>
        </w:rPr>
        <w:t>Build an excellent management team and form a professional core decision-making layer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Anta can build an excellent management team through various channels, and gradually form a core decision-making layer with knowledge, ability and qualifications. Introducing professional managers and truly accepting them as the core leadership of the company is the first and extremely important step for Anta to move from a family business to socialization.</w:t>
      </w:r>
    </w:p>
    <w:p>
      <w:pPr>
        <w:numPr>
          <w:ilvl w:val="0"/>
          <w:numId w:val="0"/>
        </w:numPr>
        <w:ind w:leftChars="0"/>
        <w:rPr>
          <w:rFonts w:hint="eastAsia"/>
          <w:lang w:val="en-US" w:eastAsia="zh-CN"/>
        </w:rPr>
      </w:pPr>
    </w:p>
    <w:p>
      <w:pPr>
        <w:pStyle w:val="3"/>
        <w:bidi w:val="0"/>
        <w:rPr>
          <w:rFonts w:hint="default" w:ascii="Times New Roman" w:hAnsi="Times New Roman" w:cs="Times New Roman"/>
          <w:b/>
          <w:sz w:val="24"/>
          <w:szCs w:val="24"/>
          <w:lang w:val="en-US" w:eastAsia="zh-CN"/>
        </w:rPr>
      </w:pPr>
      <w:bookmarkStart w:id="12" w:name="_Toc22263"/>
      <w:r>
        <w:rPr>
          <w:rFonts w:hint="eastAsia" w:ascii="Times New Roman" w:hAnsi="Times New Roman" w:cs="Times New Roman"/>
          <w:b/>
          <w:sz w:val="24"/>
          <w:szCs w:val="24"/>
          <w:lang w:val="en-US" w:eastAsia="zh-CN"/>
        </w:rPr>
        <w:t xml:space="preserve">5.2 </w:t>
      </w:r>
      <w:bookmarkEnd w:id="12"/>
      <w:r>
        <w:rPr>
          <w:rFonts w:hint="default" w:ascii="Times New Roman" w:hAnsi="Times New Roman" w:cs="Times New Roman"/>
          <w:b/>
          <w:sz w:val="24"/>
          <w:szCs w:val="24"/>
          <w:lang w:val="en-US" w:eastAsia="zh-CN"/>
        </w:rPr>
        <w:t>Establish and improve the training system, cultivate capable grass-roots talents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present, all staff partial training pre-service, duty on a regular basis, for the key positions and quality related quality inspection personnel to implement related certificates, supplemented by a set of relatively complete company performance salary system and talent incentive mechanism, responsibility, right and benefit of the trinity, synchronization in place, at the same time, establish the perfect organization, to center system operation mode,Forming a strong management team.</w:t>
      </w:r>
    </w:p>
    <w:p>
      <w:pPr>
        <w:pStyle w:val="3"/>
        <w:bidi w:val="0"/>
        <w:rPr>
          <w:rFonts w:hint="default" w:ascii="Times New Roman" w:hAnsi="Times New Roman" w:cs="Times New Roman"/>
          <w:sz w:val="24"/>
          <w:szCs w:val="24"/>
          <w:lang w:val="en-US" w:eastAsia="zh-CN"/>
        </w:rPr>
      </w:pPr>
      <w:bookmarkStart w:id="13" w:name="_Toc24553"/>
      <w:r>
        <w:rPr>
          <w:rFonts w:hint="default" w:ascii="Times New Roman" w:hAnsi="Times New Roman" w:cs="Times New Roman"/>
          <w:sz w:val="24"/>
          <w:szCs w:val="24"/>
          <w:lang w:val="en-US" w:eastAsia="zh-CN"/>
        </w:rPr>
        <w:t>5.3</w:t>
      </w:r>
      <w:r>
        <w:rPr>
          <w:rFonts w:hint="eastAsia" w:ascii="Times New Roman" w:hAnsi="Times New Roman" w:cs="Times New Roman"/>
          <w:sz w:val="24"/>
          <w:szCs w:val="24"/>
          <w:lang w:val="en-US" w:eastAsia="zh-CN"/>
        </w:rPr>
        <w:t xml:space="preserve"> S</w:t>
      </w:r>
      <w:r>
        <w:rPr>
          <w:rFonts w:hint="default" w:ascii="Times New Roman" w:hAnsi="Times New Roman" w:cs="Times New Roman"/>
          <w:sz w:val="24"/>
          <w:szCs w:val="24"/>
          <w:lang w:val="en-US" w:eastAsia="zh-CN"/>
        </w:rPr>
        <w:t>trengthened logistics management and responded to the surge in online orders during the epidemic</w:t>
      </w:r>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10,000 sales of e-commerce and wechat businesses have a corresponding demand for logistics and platform systems. In terms of logistics, Anta first Sterilize before shipment and use the SF EMS delivery method. Secondly, Anta Group's logistics provides 712 hours of logistics services to assist brands in converting offline products into online products in a planned, step-by-step, and phased manner. At the same time, an emergency plan was launched to increase efforts to promote the central return of goods, and to provide solutions for the rapid turnover of inventory of various brands. In terms of platform system, the T team urgently develops new functions of the business system, and coordinates resources to ensure online business, such as FLA Mall official website, O20 Cargo, etc.</w:t>
      </w: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pPr>
    </w:p>
    <w:p>
      <w:pPr>
        <w:pStyle w:val="2"/>
        <w:bidi w:val="0"/>
        <w:outlineLvl w:val="9"/>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numPr>
          <w:ilvl w:val="0"/>
          <w:numId w:val="1"/>
        </w:numPr>
        <w:bidi w:val="0"/>
        <w:jc w:val="left"/>
        <w:rPr>
          <w:rFonts w:hint="default" w:ascii="Times New Roman" w:hAnsi="Times New Roman" w:cs="Times New Roman"/>
          <w:sz w:val="28"/>
          <w:szCs w:val="28"/>
          <w:lang w:val="en-US" w:eastAsia="zh-CN"/>
        </w:rPr>
      </w:pPr>
      <w:bookmarkStart w:id="14" w:name="_Toc23559"/>
      <w:r>
        <w:rPr>
          <w:rFonts w:hint="default" w:ascii="Times New Roman" w:hAnsi="Times New Roman" w:cs="Times New Roman"/>
          <w:sz w:val="28"/>
          <w:szCs w:val="28"/>
          <w:lang w:val="en-US" w:eastAsia="zh-CN"/>
        </w:rPr>
        <w:t>References</w:t>
      </w:r>
      <w:bookmarkEnd w:id="14"/>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Anta, Ltd. (2021) Innovative and environmentally friendly product design. Available at: https://ir.anta.com/esg/en/environment_projects.php</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10 June 2021)</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Anta Sports. 2019. ANTA Delivers a Record-breaking Performance with Outstanding Growth. Available at:https://www.prnewswire.com/news-releases/anta-delivers-a-record-breaking-performance-with-outstanding-growth-300906706.html </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(Accessed: 11 June 2021) </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Bhatti, A., Akram, H., Basit, H. M., Khan, A. U., Raza, S. M., &amp; Naqvi, M. B. (2020). E-commerce trends during COVID-19 Pandemic. International Journal of Future Generation Communication and Networking, 13(2), 1449-1452.</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D’Adamo, I., &amp; Lupi, G. (2021). Sustainability and resilience after COVID-19: A circular premium in the fashion industry.</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D'Adamo, I., Falcone, P.M., Martin, M. and Rosa, P., 2020. A Sustainable Revolution: Let Us Go Sustainable to Get Our Globe Cleaner. Available at: https://www.mckinsey.com/industries/retail/our-insights/sporting-goods-2021-the-next-normal-for-an-industry-in-flux</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10 June 2021)</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Fan Jia. Research on the Marketing Culture of China's Four Major Independent Brands of Sports Apparel [D]: [Master's Thesis].Xuzhou: China University of Mining and Technology, 2014.</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John D. Louth(1966) The changing face</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of marketing. McKinsey Quarterly. Available at: https://www.mckinsey.com/business-functions/marketing-and-sales/our-insights/the-changing-face-of-marketing. (Accessed: 11 June 2021)</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Xiaomin. (2017) Marketing Strategy Analysis of Film and TV IP Industry Chain Based on Fan Economy [J]. New Media Research, (05):46-48.</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L., Zhang, Q., Wang, X., Zhang, J., Wang, T., Gao, T. L., ... &amp; Wang, F. Y. (2020). Characterizing the propagation of situational information in social media during covid-19 epidemic: A case study on weibo. IEEE Transactions on Computational Social Systems, 7(2), 556-562.</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Monica, W. (2021) McDonald’s management lays out 2021 strategic priorities. Available at: https://www.foodbusinessnews.net/articles/17805-mcdonalds-management-lays-out-2021-strategic-priorities </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7 June 7, 2021)</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Xiao Zeng.(2021) Why did Anta run faster in 2020? Sports Money. Available at: https://baijiahao.baidu.com/s?id=1695216947588925869&amp;wfr=spider&amp;for=pc</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10 June 2021)</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Sabine Becker, Achim Berg, Sajal Kohli, and Alexander Thiel.(2021) Sporting goods 2021: The next normal for an industry in flux. </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Shi Yedong. (2012) The dilemma of Li Ning's internationalization: "external" is more important than "internal" [J]. Investment Beijing, (12): 26.</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Sharma, A. and Jhamb, D.(2020). Changing Consumer Behaviours Towards Online Shopping-An Impact Of Covid 19. Academy of Marketing Studies Journal, 24(3), pp.1-10.</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Zeng Ying.(2010). Low-carbon Fashion of Clothing.China National Fiber Inspection Bureau (06),20-21. DOI :10.14162/j.cnki.11-4772/t.2010.06.009.</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pStyle w:val="2"/>
        <w:numPr>
          <w:ilvl w:val="0"/>
          <w:numId w:val="1"/>
        </w:numPr>
        <w:bidi w:val="0"/>
        <w:rPr>
          <w:rFonts w:hint="default"/>
          <w:sz w:val="28"/>
          <w:szCs w:val="28"/>
          <w:lang w:val="en-US" w:eastAsia="zh-CN"/>
        </w:rPr>
      </w:pPr>
      <w:bookmarkStart w:id="15" w:name="_Toc24706"/>
      <w:r>
        <w:rPr>
          <w:rFonts w:hint="default"/>
          <w:sz w:val="28"/>
          <w:szCs w:val="28"/>
          <w:lang w:val="en-US" w:eastAsia="zh-CN"/>
        </w:rPr>
        <w:t>Appendix</w:t>
      </w:r>
      <w:bookmarkEnd w:id="15"/>
    </w:p>
    <w:p>
      <w:pPr>
        <w:pStyle w:val="3"/>
        <w:bidi w:val="0"/>
        <w:rPr>
          <w:rFonts w:hint="default" w:ascii="Times New Roman" w:hAnsi="Times New Roman" w:cs="Times New Roman"/>
          <w:sz w:val="24"/>
          <w:szCs w:val="24"/>
          <w:lang w:val="en-US" w:eastAsia="zh-CN"/>
        </w:rPr>
      </w:pPr>
      <w:bookmarkStart w:id="16" w:name="_Toc28545"/>
      <w:r>
        <w:rPr>
          <w:rFonts w:hint="default" w:ascii="Times New Roman" w:hAnsi="Times New Roman" w:cs="Times New Roman"/>
          <w:sz w:val="24"/>
          <w:szCs w:val="24"/>
          <w:lang w:val="en-US" w:eastAsia="zh-CN"/>
        </w:rPr>
        <w:t>7.1 An organisation summary</w:t>
      </w:r>
      <w:bookmarkEnd w:id="16"/>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95295"/>
            <wp:effectExtent l="0" t="0" r="4445" b="14605"/>
            <wp:docPr id="2" name="图片 2" descr="04aa64c1de411d176ba3e8a33481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04aa64c1de411d176ba3e8a33481971"/>
                    <pic:cNvPicPr>
                      <a:picLocks noChangeAspect="1"/>
                    </pic:cNvPicPr>
                  </pic:nvPicPr>
                  <pic:blipFill>
                    <a:blip r:embed="rId6"/>
                    <a:stretch>
                      <a:fillRect/>
                    </a:stretch>
                  </pic:blipFill>
                  <pic:spPr>
                    <a:xfrm>
                      <a:off x="0" y="0"/>
                      <a:ext cx="5272405" cy="2995295"/>
                    </a:xfrm>
                    <a:prstGeom prst="rect">
                      <a:avLst/>
                    </a:prstGeom>
                  </pic:spPr>
                </pic:pic>
              </a:graphicData>
            </a:graphic>
          </wp:inline>
        </w:drawing>
      </w:r>
    </w:p>
    <w:p>
      <w:pPr>
        <w:numPr>
          <w:ilvl w:val="0"/>
          <w:numId w:val="0"/>
        </w:numPr>
        <w:ind w:leftChars="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17" w:name="_Toc6241"/>
      <w:r>
        <w:rPr>
          <w:rFonts w:hint="default" w:ascii="Times New Roman" w:hAnsi="Times New Roman" w:cs="Times New Roman"/>
          <w:sz w:val="24"/>
          <w:szCs w:val="24"/>
          <w:lang w:val="en-US" w:eastAsia="zh-CN"/>
        </w:rPr>
        <w:t>7.2 An environmental marketing audit</w:t>
      </w:r>
      <w:bookmarkEnd w:id="17"/>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3000375"/>
            <wp:effectExtent l="0" t="0" r="4445" b="9525"/>
            <wp:docPr id="3" name="图片 3" descr="1721e35b58bddd06a2de8d65f10b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721e35b58bddd06a2de8d65f10b548"/>
                    <pic:cNvPicPr>
                      <a:picLocks noChangeAspect="1"/>
                    </pic:cNvPicPr>
                  </pic:nvPicPr>
                  <pic:blipFill>
                    <a:blip r:embed="rId7"/>
                    <a:stretch>
                      <a:fillRect/>
                    </a:stretch>
                  </pic:blipFill>
                  <pic:spPr>
                    <a:xfrm>
                      <a:off x="0" y="0"/>
                      <a:ext cx="5272405" cy="3000375"/>
                    </a:xfrm>
                    <a:prstGeom prst="rect">
                      <a:avLst/>
                    </a:prstGeom>
                  </pic:spPr>
                </pic:pic>
              </a:graphicData>
            </a:graphic>
          </wp:inline>
        </w:drawing>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72435"/>
            <wp:effectExtent l="0" t="0" r="4445" b="18415"/>
            <wp:docPr id="4" name="图片 4" descr="02b5141d647c7ffd501a34fb0acc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02b5141d647c7ffd501a34fb0acc997"/>
                    <pic:cNvPicPr>
                      <a:picLocks noChangeAspect="1"/>
                    </pic:cNvPicPr>
                  </pic:nvPicPr>
                  <pic:blipFill>
                    <a:blip r:embed="rId8"/>
                    <a:stretch>
                      <a:fillRect/>
                    </a:stretch>
                  </pic:blipFill>
                  <pic:spPr>
                    <a:xfrm>
                      <a:off x="0" y="0"/>
                      <a:ext cx="5272405" cy="2972435"/>
                    </a:xfrm>
                    <a:prstGeom prst="rect">
                      <a:avLst/>
                    </a:prstGeom>
                  </pic:spPr>
                </pic:pic>
              </a:graphicData>
            </a:graphic>
          </wp:inline>
        </w:drawing>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PRhHJN0CAAAkBgAADgAAAAAAAAABACAAAAAfAQAAZHJzL2Uyb0RvYy54bWxQSwUG&#10;AAAAAAYABgBZAQAAbgY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2</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BACB96"/>
    <w:multiLevelType w:val="singleLevel"/>
    <w:tmpl w:val="05BACB96"/>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30AD4F7A"/>
    <w:rsid w:val="432F7C14"/>
    <w:rsid w:val="4A752FBE"/>
    <w:rsid w:val="53D0264D"/>
    <w:rsid w:val="773F270E"/>
    <w:rsid w:val="7E44641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13">
    <w:name w:val="Default Paragraph Font"/>
    <w:semiHidden/>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annotation text"/>
    <w:basedOn w:val="1"/>
    <w:uiPriority w:val="0"/>
    <w:pPr>
      <w:jc w:val="left"/>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paragraph" w:styleId="10">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1">
    <w:name w:val="Normal (Web)"/>
    <w:basedOn w:val="1"/>
    <w:uiPriority w:val="0"/>
    <w:rPr>
      <w:sz w:val="24"/>
    </w:rPr>
  </w:style>
  <w:style w:type="character" w:styleId="14">
    <w:name w:val="Hyperlink"/>
    <w:basedOn w:val="13"/>
    <w:uiPriority w:val="0"/>
    <w:rPr>
      <w:color w:val="0000FF"/>
      <w:u w:val="single"/>
    </w:rPr>
  </w:style>
  <w:style w:type="paragraph" w:customStyle="1" w:styleId="15">
    <w:name w:val="WPSOffice手动目录 1"/>
    <w:uiPriority w:val="0"/>
    <w:pPr>
      <w:ind w:leftChars="0"/>
    </w:pPr>
    <w:rPr>
      <w:rFonts w:ascii="Times New Roman" w:hAnsi="Times New Roman" w:eastAsia="宋体" w:cs="Times New Roman"/>
      <w:sz w:val="20"/>
      <w:szCs w:val="20"/>
    </w:rPr>
  </w:style>
  <w:style w:type="paragraph" w:customStyle="1" w:styleId="16">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acer</dc:creator>
  <cp:lastModifiedBy>迪</cp:lastModifiedBy>
  <dcterms:modified xsi:type="dcterms:W3CDTF">2021-06-13T20:15:23Z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C6975A5AA03F4A4AACB0FFFCE85EBACE</vt:lpwstr>
  </property>
</Properties>
</file>