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512A2" w14:textId="7A3E9124" w:rsidR="00FA634A" w:rsidRPr="00686A4E" w:rsidRDefault="00420C6A" w:rsidP="007C3571">
      <w:pPr>
        <w:ind w:right="57"/>
        <w:jc w:val="both"/>
        <w:rPr>
          <w:rFonts w:ascii="Arial" w:hAnsi="Arial" w:cs="Arial"/>
          <w:b/>
          <w:bCs/>
          <w:sz w:val="40"/>
          <w:szCs w:val="40"/>
        </w:rPr>
      </w:pPr>
      <w:r w:rsidRPr="00686A4E">
        <w:rPr>
          <w:rFonts w:ascii="Arial" w:hAnsi="Arial" w:cs="Arial"/>
          <w:b/>
          <w:bCs/>
          <w:sz w:val="40"/>
          <w:szCs w:val="40"/>
        </w:rPr>
        <w:t>Research Methods for Business</w:t>
      </w:r>
    </w:p>
    <w:p w14:paraId="35DE7F94" w14:textId="7D1FBBD3" w:rsidR="007966EE" w:rsidRPr="00ED61D2" w:rsidRDefault="007966EE" w:rsidP="007C3571">
      <w:pPr>
        <w:ind w:right="57"/>
        <w:jc w:val="both"/>
        <w:rPr>
          <w:rFonts w:ascii="Arial" w:hAnsi="Arial" w:cs="Arial"/>
          <w:b/>
          <w:bCs/>
          <w:color w:val="0F9ED5" w:themeColor="accent4"/>
          <w:sz w:val="28"/>
          <w:szCs w:val="28"/>
          <w:u w:val="single"/>
          <w14:textOutline w14:w="0" w14:cap="flat" w14:cmpd="sng" w14:algn="ctr">
            <w14:noFill/>
            <w14:prstDash w14:val="solid"/>
            <w14:round/>
          </w14:textOutline>
          <w14:props3d w14:extrusionH="57150" w14:contourW="0" w14:prstMaterial="softEdge">
            <w14:bevelT w14:w="25400" w14:h="38100" w14:prst="circle"/>
          </w14:props3d>
        </w:rPr>
      </w:pPr>
      <w:r w:rsidRPr="00ED61D2">
        <w:rPr>
          <w:rFonts w:ascii="Arial" w:hAnsi="Arial" w:cs="Arial"/>
          <w:b/>
          <w:bCs/>
          <w:color w:val="0F9ED5" w:themeColor="accent4"/>
          <w:sz w:val="28"/>
          <w:szCs w:val="28"/>
          <w:u w:val="single"/>
          <w14:textOutline w14:w="0" w14:cap="flat" w14:cmpd="sng" w14:algn="ctr">
            <w14:noFill/>
            <w14:prstDash w14:val="solid"/>
            <w14:round/>
          </w14:textOutline>
          <w14:props3d w14:extrusionH="57150" w14:contourW="0" w14:prstMaterial="softEdge">
            <w14:bevelT w14:w="25400" w14:h="38100" w14:prst="circle"/>
          </w14:props3d>
        </w:rPr>
        <w:t xml:space="preserve">Business Research </w:t>
      </w:r>
      <w:r w:rsidR="00C40E5F" w:rsidRPr="00ED61D2">
        <w:rPr>
          <w:rFonts w:ascii="Arial" w:hAnsi="Arial" w:cs="Arial"/>
          <w:b/>
          <w:bCs/>
          <w:color w:val="0F9ED5" w:themeColor="accent4"/>
          <w:sz w:val="28"/>
          <w:szCs w:val="28"/>
          <w:u w:val="single"/>
          <w14:textOutline w14:w="0" w14:cap="flat" w14:cmpd="sng" w14:algn="ctr">
            <w14:noFill/>
            <w14:prstDash w14:val="solid"/>
            <w14:round/>
          </w14:textOutline>
          <w14:props3d w14:extrusionH="57150" w14:contourW="0" w14:prstMaterial="softEdge">
            <w14:bevelT w14:w="25400" w14:h="38100" w14:prst="circle"/>
          </w14:props3d>
        </w:rPr>
        <w:t>proposal</w:t>
      </w:r>
    </w:p>
    <w:p w14:paraId="4803F0FF" w14:textId="53246AB5" w:rsidR="00C40E5F" w:rsidRPr="00ED61D2" w:rsidRDefault="00C40E5F" w:rsidP="007C3571">
      <w:pPr>
        <w:ind w:right="57"/>
        <w:jc w:val="both"/>
        <w:rPr>
          <w:rFonts w:ascii="Arial" w:hAnsi="Arial" w:cs="Arial"/>
          <w:b/>
          <w:bCs/>
          <w:color w:val="0F9ED5" w:themeColor="accent4"/>
          <w:sz w:val="28"/>
          <w:szCs w:val="28"/>
          <w:u w:val="single"/>
          <w14:textOutline w14:w="0" w14:cap="flat" w14:cmpd="sng" w14:algn="ctr">
            <w14:noFill/>
            <w14:prstDash w14:val="solid"/>
            <w14:round/>
          </w14:textOutline>
          <w14:props3d w14:extrusionH="57150" w14:contourW="0" w14:prstMaterial="softEdge">
            <w14:bevelT w14:w="25400" w14:h="38100" w14:prst="circle"/>
          </w14:props3d>
        </w:rPr>
      </w:pPr>
      <w:r w:rsidRPr="00ED61D2">
        <w:rPr>
          <w:rFonts w:ascii="Arial" w:hAnsi="Arial" w:cs="Arial"/>
          <w:b/>
          <w:bCs/>
          <w:color w:val="0F9ED5" w:themeColor="accent4"/>
          <w:sz w:val="28"/>
          <w:szCs w:val="28"/>
          <w:u w:val="single"/>
          <w14:textOutline w14:w="0" w14:cap="flat" w14:cmpd="sng" w14:algn="ctr">
            <w14:noFill/>
            <w14:prstDash w14:val="solid"/>
            <w14:round/>
          </w14:textOutline>
          <w14:props3d w14:extrusionH="57150" w14:contourW="0" w14:prstMaterial="softEdge">
            <w14:bevelT w14:w="25400" w14:h="38100" w14:prst="circle"/>
          </w14:props3d>
        </w:rPr>
        <w:t xml:space="preserve">Waitrose Supermarket United </w:t>
      </w:r>
      <w:r w:rsidR="00B573E3" w:rsidRPr="00ED61D2">
        <w:rPr>
          <w:rFonts w:ascii="Arial" w:hAnsi="Arial" w:cs="Arial"/>
          <w:b/>
          <w:bCs/>
          <w:color w:val="0F9ED5" w:themeColor="accent4"/>
          <w:sz w:val="28"/>
          <w:szCs w:val="28"/>
          <w:u w:val="single"/>
          <w14:textOutline w14:w="0" w14:cap="flat" w14:cmpd="sng" w14:algn="ctr">
            <w14:noFill/>
            <w14:prstDash w14:val="solid"/>
            <w14:round/>
          </w14:textOutline>
          <w14:props3d w14:extrusionH="57150" w14:contourW="0" w14:prstMaterial="softEdge">
            <w14:bevelT w14:w="25400" w14:h="38100" w14:prst="circle"/>
          </w14:props3d>
        </w:rPr>
        <w:t>Kingdom</w:t>
      </w:r>
    </w:p>
    <w:p w14:paraId="22D2B787" w14:textId="7B531915" w:rsidR="00EC6613" w:rsidRDefault="00B573E3" w:rsidP="007C3571">
      <w:pPr>
        <w:ind w:right="57"/>
        <w:jc w:val="both"/>
        <w:rPr>
          <w:rFonts w:ascii="Arial" w:hAnsi="Arial" w:cs="Arial"/>
          <w:sz w:val="28"/>
          <w:szCs w:val="28"/>
        </w:rPr>
      </w:pPr>
      <w:r>
        <w:rPr>
          <w:rFonts w:ascii="Arial" w:hAnsi="Arial" w:cs="Arial"/>
          <w:sz w:val="28"/>
          <w:szCs w:val="28"/>
        </w:rPr>
        <w:t xml:space="preserve">Waitrose is a </w:t>
      </w:r>
      <w:r w:rsidR="00732611">
        <w:rPr>
          <w:rFonts w:ascii="Arial" w:hAnsi="Arial" w:cs="Arial"/>
          <w:sz w:val="28"/>
          <w:szCs w:val="28"/>
        </w:rPr>
        <w:t xml:space="preserve">one of the </w:t>
      </w:r>
      <w:r>
        <w:rPr>
          <w:rFonts w:ascii="Arial" w:hAnsi="Arial" w:cs="Arial"/>
          <w:sz w:val="28"/>
          <w:szCs w:val="28"/>
        </w:rPr>
        <w:t xml:space="preserve">UK based </w:t>
      </w:r>
      <w:r w:rsidR="00FA6A87">
        <w:rPr>
          <w:rFonts w:ascii="Arial" w:hAnsi="Arial" w:cs="Arial"/>
          <w:sz w:val="28"/>
          <w:szCs w:val="28"/>
        </w:rPr>
        <w:t>Supermarket</w:t>
      </w:r>
      <w:r w:rsidR="00732611">
        <w:rPr>
          <w:rFonts w:ascii="Arial" w:hAnsi="Arial" w:cs="Arial"/>
          <w:sz w:val="28"/>
          <w:szCs w:val="28"/>
        </w:rPr>
        <w:t xml:space="preserve">, established by </w:t>
      </w:r>
      <w:r w:rsidR="007D26E6">
        <w:rPr>
          <w:rFonts w:ascii="Arial" w:hAnsi="Arial" w:cs="Arial"/>
          <w:sz w:val="28"/>
          <w:szCs w:val="28"/>
        </w:rPr>
        <w:t>three men who were Wallace Wyn</w:t>
      </w:r>
      <w:r w:rsidR="00213C14">
        <w:rPr>
          <w:rFonts w:ascii="Arial" w:hAnsi="Arial" w:cs="Arial"/>
          <w:sz w:val="28"/>
          <w:szCs w:val="28"/>
        </w:rPr>
        <w:t>dham Waite, Arthur Rose and David Taylor</w:t>
      </w:r>
      <w:r w:rsidR="00882080">
        <w:rPr>
          <w:rFonts w:ascii="Arial" w:hAnsi="Arial" w:cs="Arial"/>
          <w:sz w:val="28"/>
          <w:szCs w:val="28"/>
        </w:rPr>
        <w:t xml:space="preserve">. </w:t>
      </w:r>
      <w:r w:rsidR="00C13556">
        <w:rPr>
          <w:rFonts w:ascii="Arial" w:hAnsi="Arial" w:cs="Arial"/>
          <w:sz w:val="28"/>
          <w:szCs w:val="28"/>
        </w:rPr>
        <w:t xml:space="preserve">These three men joined hands together </w:t>
      </w:r>
      <w:r w:rsidR="00CE7D5A">
        <w:rPr>
          <w:rFonts w:ascii="Arial" w:hAnsi="Arial" w:cs="Arial"/>
          <w:sz w:val="28"/>
          <w:szCs w:val="28"/>
        </w:rPr>
        <w:t xml:space="preserve">to </w:t>
      </w:r>
      <w:r w:rsidR="00FA6A87">
        <w:rPr>
          <w:rFonts w:ascii="Arial" w:hAnsi="Arial" w:cs="Arial"/>
          <w:sz w:val="28"/>
          <w:szCs w:val="28"/>
        </w:rPr>
        <w:t>start</w:t>
      </w:r>
      <w:r w:rsidR="00CE7D5A">
        <w:rPr>
          <w:rFonts w:ascii="Arial" w:hAnsi="Arial" w:cs="Arial"/>
          <w:sz w:val="28"/>
          <w:szCs w:val="28"/>
        </w:rPr>
        <w:t xml:space="preserve"> this business as a small </w:t>
      </w:r>
      <w:r w:rsidR="00794239">
        <w:rPr>
          <w:rFonts w:ascii="Arial" w:hAnsi="Arial" w:cs="Arial"/>
          <w:sz w:val="28"/>
          <w:szCs w:val="28"/>
        </w:rPr>
        <w:t xml:space="preserve">grocery </w:t>
      </w:r>
      <w:r w:rsidR="00CE7D5A">
        <w:rPr>
          <w:rFonts w:ascii="Arial" w:hAnsi="Arial" w:cs="Arial"/>
          <w:sz w:val="28"/>
          <w:szCs w:val="28"/>
        </w:rPr>
        <w:t>shop</w:t>
      </w:r>
      <w:r w:rsidR="007F6F2E">
        <w:rPr>
          <w:rFonts w:ascii="Arial" w:hAnsi="Arial" w:cs="Arial"/>
          <w:sz w:val="28"/>
          <w:szCs w:val="28"/>
        </w:rPr>
        <w:t xml:space="preserve"> in west London in 1904. </w:t>
      </w:r>
      <w:r w:rsidR="008943C5">
        <w:rPr>
          <w:rFonts w:ascii="Arial" w:hAnsi="Arial" w:cs="Arial"/>
          <w:sz w:val="28"/>
          <w:szCs w:val="28"/>
        </w:rPr>
        <w:t xml:space="preserve">Waitrose </w:t>
      </w:r>
      <w:r w:rsidR="00E768F4">
        <w:rPr>
          <w:rFonts w:ascii="Arial" w:hAnsi="Arial" w:cs="Arial"/>
          <w:sz w:val="28"/>
          <w:szCs w:val="28"/>
        </w:rPr>
        <w:t xml:space="preserve">a British chain of </w:t>
      </w:r>
      <w:r w:rsidR="008E504D">
        <w:rPr>
          <w:rFonts w:ascii="Arial" w:hAnsi="Arial" w:cs="Arial"/>
          <w:sz w:val="28"/>
          <w:szCs w:val="28"/>
        </w:rPr>
        <w:t>supermarkets, a</w:t>
      </w:r>
      <w:r w:rsidR="00E768F4">
        <w:rPr>
          <w:rFonts w:ascii="Arial" w:hAnsi="Arial" w:cs="Arial"/>
          <w:sz w:val="28"/>
          <w:szCs w:val="28"/>
        </w:rPr>
        <w:t xml:space="preserve"> part of an employee-owned business John Lewis Partnership. </w:t>
      </w:r>
      <w:r w:rsidR="008E504D">
        <w:rPr>
          <w:rFonts w:ascii="Arial" w:hAnsi="Arial" w:cs="Arial"/>
          <w:sz w:val="28"/>
          <w:szCs w:val="28"/>
        </w:rPr>
        <w:t xml:space="preserve">The parent </w:t>
      </w:r>
      <w:r w:rsidR="0072034A">
        <w:rPr>
          <w:rFonts w:ascii="Arial" w:hAnsi="Arial" w:cs="Arial"/>
          <w:sz w:val="28"/>
          <w:szCs w:val="28"/>
        </w:rPr>
        <w:t>company,</w:t>
      </w:r>
      <w:r w:rsidR="008E504D">
        <w:rPr>
          <w:rFonts w:ascii="Arial" w:hAnsi="Arial" w:cs="Arial"/>
          <w:sz w:val="28"/>
          <w:szCs w:val="28"/>
        </w:rPr>
        <w:t xml:space="preserve"> having </w:t>
      </w:r>
      <w:r w:rsidR="00B95115">
        <w:rPr>
          <w:rFonts w:ascii="Arial" w:hAnsi="Arial" w:cs="Arial"/>
          <w:sz w:val="28"/>
          <w:szCs w:val="28"/>
        </w:rPr>
        <w:t xml:space="preserve">bought Waitrose Limited in1930 (John Lewis Partnership, 2017) defines </w:t>
      </w:r>
      <w:r w:rsidR="0072034A">
        <w:rPr>
          <w:rFonts w:ascii="Arial" w:hAnsi="Arial" w:cs="Arial"/>
          <w:sz w:val="28"/>
          <w:szCs w:val="28"/>
        </w:rPr>
        <w:t>itself</w:t>
      </w:r>
      <w:r w:rsidR="00B95115">
        <w:rPr>
          <w:rFonts w:ascii="Arial" w:hAnsi="Arial" w:cs="Arial"/>
          <w:sz w:val="28"/>
          <w:szCs w:val="28"/>
        </w:rPr>
        <w:t xml:space="preserve"> by having </w:t>
      </w:r>
      <w:r w:rsidR="00E67F68">
        <w:rPr>
          <w:rFonts w:ascii="Arial" w:hAnsi="Arial" w:cs="Arial"/>
          <w:sz w:val="28"/>
          <w:szCs w:val="28"/>
        </w:rPr>
        <w:t xml:space="preserve">strong values that point the company’s way </w:t>
      </w:r>
      <w:r w:rsidR="00A115F0">
        <w:rPr>
          <w:rFonts w:ascii="Arial" w:hAnsi="Arial" w:cs="Arial"/>
          <w:sz w:val="28"/>
          <w:szCs w:val="28"/>
        </w:rPr>
        <w:t>since 19</w:t>
      </w:r>
      <w:r w:rsidR="00A115F0" w:rsidRPr="00A115F0">
        <w:rPr>
          <w:rFonts w:ascii="Arial" w:hAnsi="Arial" w:cs="Arial"/>
          <w:sz w:val="28"/>
          <w:szCs w:val="28"/>
          <w:vertAlign w:val="superscript"/>
        </w:rPr>
        <w:t>th</w:t>
      </w:r>
      <w:r w:rsidR="00A115F0">
        <w:rPr>
          <w:rFonts w:ascii="Arial" w:hAnsi="Arial" w:cs="Arial"/>
          <w:sz w:val="28"/>
          <w:szCs w:val="28"/>
        </w:rPr>
        <w:t xml:space="preserve"> century. John Lewis Partnership places great emphasis </w:t>
      </w:r>
      <w:r w:rsidR="00B27278">
        <w:rPr>
          <w:rFonts w:ascii="Arial" w:hAnsi="Arial" w:cs="Arial"/>
          <w:sz w:val="28"/>
          <w:szCs w:val="28"/>
        </w:rPr>
        <w:t>on employee satisfaction and community wellbeing (Sow,</w:t>
      </w:r>
      <w:r w:rsidR="002672FD">
        <w:rPr>
          <w:rFonts w:ascii="Arial" w:hAnsi="Arial" w:cs="Arial"/>
          <w:sz w:val="28"/>
          <w:szCs w:val="28"/>
        </w:rPr>
        <w:t xml:space="preserve">2017). The Detailed and extensive Corporate </w:t>
      </w:r>
      <w:r w:rsidR="00176B8B">
        <w:rPr>
          <w:rFonts w:ascii="Arial" w:hAnsi="Arial" w:cs="Arial"/>
          <w:sz w:val="28"/>
          <w:szCs w:val="28"/>
        </w:rPr>
        <w:t xml:space="preserve">Social Responsibility section on John Lewis Partnership’s website </w:t>
      </w:r>
      <w:r w:rsidR="00AA7191">
        <w:rPr>
          <w:rFonts w:ascii="Arial" w:hAnsi="Arial" w:cs="Arial"/>
          <w:sz w:val="28"/>
          <w:szCs w:val="28"/>
        </w:rPr>
        <w:t>suggests that CS</w:t>
      </w:r>
      <w:r w:rsidR="0072034A">
        <w:rPr>
          <w:rFonts w:ascii="Arial" w:hAnsi="Arial" w:cs="Arial"/>
          <w:sz w:val="28"/>
          <w:szCs w:val="28"/>
        </w:rPr>
        <w:t>R</w:t>
      </w:r>
      <w:r w:rsidR="00AA7191">
        <w:rPr>
          <w:rFonts w:ascii="Arial" w:hAnsi="Arial" w:cs="Arial"/>
          <w:sz w:val="28"/>
          <w:szCs w:val="28"/>
        </w:rPr>
        <w:t xml:space="preserve"> is a tool that the company uses </w:t>
      </w:r>
      <w:r w:rsidR="00F31EB5">
        <w:rPr>
          <w:rFonts w:ascii="Arial" w:hAnsi="Arial" w:cs="Arial"/>
          <w:sz w:val="28"/>
          <w:szCs w:val="28"/>
        </w:rPr>
        <w:t xml:space="preserve">for brand identity </w:t>
      </w:r>
      <w:r w:rsidR="00CA18BE">
        <w:rPr>
          <w:rFonts w:ascii="Arial" w:hAnsi="Arial" w:cs="Arial"/>
          <w:sz w:val="28"/>
          <w:szCs w:val="28"/>
        </w:rPr>
        <w:t xml:space="preserve">construction and communication of their values with their customer base. John Lewis </w:t>
      </w:r>
      <w:r w:rsidR="00B256D7">
        <w:rPr>
          <w:rFonts w:ascii="Arial" w:hAnsi="Arial" w:cs="Arial"/>
          <w:sz w:val="28"/>
          <w:szCs w:val="28"/>
        </w:rPr>
        <w:t>Partnership has set their prime responsibilities as investing in communities</w:t>
      </w:r>
      <w:r w:rsidR="007B2DCE">
        <w:rPr>
          <w:rFonts w:ascii="Arial" w:hAnsi="Arial" w:cs="Arial"/>
          <w:sz w:val="28"/>
          <w:szCs w:val="28"/>
        </w:rPr>
        <w:t xml:space="preserve"> they operate in and </w:t>
      </w:r>
      <w:r w:rsidR="001D3B96">
        <w:rPr>
          <w:rFonts w:ascii="Arial" w:hAnsi="Arial" w:cs="Arial"/>
          <w:sz w:val="28"/>
          <w:szCs w:val="28"/>
        </w:rPr>
        <w:t xml:space="preserve">assisting them in tackling problems that affect </w:t>
      </w:r>
      <w:r w:rsidR="00435D27">
        <w:rPr>
          <w:rFonts w:ascii="Arial" w:hAnsi="Arial" w:cs="Arial"/>
          <w:sz w:val="28"/>
          <w:szCs w:val="28"/>
        </w:rPr>
        <w:t>them (</w:t>
      </w:r>
      <w:r w:rsidR="001D3B96">
        <w:rPr>
          <w:rFonts w:ascii="Arial" w:hAnsi="Arial" w:cs="Arial"/>
          <w:sz w:val="28"/>
          <w:szCs w:val="28"/>
        </w:rPr>
        <w:t xml:space="preserve">Sow2017). In alignment with that, we suggest Waitrose takes the combat </w:t>
      </w:r>
      <w:r w:rsidR="00434A26">
        <w:rPr>
          <w:rFonts w:ascii="Arial" w:hAnsi="Arial" w:cs="Arial"/>
          <w:sz w:val="28"/>
          <w:szCs w:val="28"/>
        </w:rPr>
        <w:t xml:space="preserve">against food waste onto another level </w:t>
      </w:r>
      <w:r w:rsidR="00435D27">
        <w:rPr>
          <w:rFonts w:ascii="Arial" w:hAnsi="Arial" w:cs="Arial"/>
          <w:sz w:val="28"/>
          <w:szCs w:val="28"/>
        </w:rPr>
        <w:t xml:space="preserve">and publicizes it. </w:t>
      </w:r>
    </w:p>
    <w:p w14:paraId="2AFF4655" w14:textId="77777777" w:rsidR="00AD14B8" w:rsidRDefault="00AD14B8" w:rsidP="007C3571">
      <w:pPr>
        <w:ind w:right="57"/>
        <w:jc w:val="both"/>
        <w:rPr>
          <w:rFonts w:ascii="Arial" w:hAnsi="Arial" w:cs="Arial"/>
          <w:sz w:val="28"/>
          <w:szCs w:val="28"/>
        </w:rPr>
      </w:pPr>
    </w:p>
    <w:p w14:paraId="320D8171" w14:textId="241611FD" w:rsidR="00AD14B8" w:rsidRDefault="003D6A71" w:rsidP="007C3571">
      <w:pPr>
        <w:ind w:right="57"/>
        <w:jc w:val="both"/>
        <w:rPr>
          <w:rFonts w:ascii="Arial" w:hAnsi="Arial" w:cs="Arial"/>
          <w:sz w:val="28"/>
          <w:szCs w:val="28"/>
        </w:rPr>
      </w:pPr>
      <w:r w:rsidRPr="003D6A71">
        <w:rPr>
          <w:rFonts w:ascii="Arial" w:hAnsi="Arial" w:cs="Arial"/>
          <w:i/>
          <w:iCs/>
          <w:sz w:val="28"/>
          <w:szCs w:val="28"/>
        </w:rPr>
        <w:t>‘According</w:t>
      </w:r>
      <w:r w:rsidR="00AD14B8" w:rsidRPr="003D6A71">
        <w:rPr>
          <w:rFonts w:ascii="Arial" w:hAnsi="Arial" w:cs="Arial"/>
          <w:i/>
          <w:iCs/>
          <w:sz w:val="28"/>
          <w:szCs w:val="28"/>
        </w:rPr>
        <w:t xml:space="preserve"> to Sow 2017, </w:t>
      </w:r>
      <w:r w:rsidR="005542ED" w:rsidRPr="003D6A71">
        <w:rPr>
          <w:rFonts w:ascii="Arial" w:hAnsi="Arial" w:cs="Arial"/>
          <w:i/>
          <w:iCs/>
          <w:sz w:val="28"/>
          <w:szCs w:val="28"/>
        </w:rPr>
        <w:t>he mentioned our success relies on whatever or not the communities in which we operate continue to thrive. By investing in our local communities</w:t>
      </w:r>
      <w:r w:rsidR="008C2088" w:rsidRPr="003D6A71">
        <w:rPr>
          <w:rFonts w:ascii="Arial" w:hAnsi="Arial" w:cs="Arial"/>
          <w:i/>
          <w:iCs/>
          <w:sz w:val="28"/>
          <w:szCs w:val="28"/>
        </w:rPr>
        <w:t>, we are helping them tackle the issues that affect them</w:t>
      </w:r>
      <w:r w:rsidRPr="003D6A71">
        <w:rPr>
          <w:rFonts w:ascii="Arial" w:hAnsi="Arial" w:cs="Arial"/>
          <w:i/>
          <w:iCs/>
          <w:sz w:val="28"/>
          <w:szCs w:val="28"/>
        </w:rPr>
        <w:t>, our Partners and our customers’</w:t>
      </w:r>
      <w:r>
        <w:rPr>
          <w:rFonts w:ascii="Arial" w:hAnsi="Arial" w:cs="Arial"/>
          <w:sz w:val="28"/>
          <w:szCs w:val="28"/>
        </w:rPr>
        <w:t xml:space="preserve">. </w:t>
      </w:r>
    </w:p>
    <w:p w14:paraId="13FCBE09" w14:textId="77777777" w:rsidR="005413A5" w:rsidRDefault="005413A5" w:rsidP="007C3571">
      <w:pPr>
        <w:ind w:right="57"/>
        <w:jc w:val="both"/>
        <w:rPr>
          <w:rFonts w:ascii="Arial" w:hAnsi="Arial" w:cs="Arial"/>
          <w:sz w:val="28"/>
          <w:szCs w:val="28"/>
        </w:rPr>
      </w:pPr>
    </w:p>
    <w:p w14:paraId="13639CCD" w14:textId="3021731F" w:rsidR="005413A5" w:rsidRDefault="006D20BA" w:rsidP="007C3571">
      <w:pPr>
        <w:ind w:right="57"/>
        <w:jc w:val="both"/>
        <w:rPr>
          <w:rFonts w:ascii="Arial" w:hAnsi="Arial" w:cs="Arial"/>
          <w:sz w:val="28"/>
          <w:szCs w:val="28"/>
        </w:rPr>
      </w:pPr>
      <w:r>
        <w:rPr>
          <w:rFonts w:ascii="Arial" w:hAnsi="Arial" w:cs="Arial"/>
          <w:sz w:val="28"/>
          <w:szCs w:val="28"/>
        </w:rPr>
        <w:t>Waitrose conceptua</w:t>
      </w:r>
      <w:r w:rsidR="009E0DFB">
        <w:rPr>
          <w:rFonts w:ascii="Arial" w:hAnsi="Arial" w:cs="Arial"/>
          <w:sz w:val="28"/>
          <w:szCs w:val="28"/>
        </w:rPr>
        <w:t xml:space="preserve">lized an umbrella term ‘Waitrose Way’ relating to the unique </w:t>
      </w:r>
      <w:r w:rsidR="008D3FA0">
        <w:rPr>
          <w:rFonts w:ascii="Arial" w:hAnsi="Arial" w:cs="Arial"/>
          <w:sz w:val="28"/>
          <w:szCs w:val="28"/>
        </w:rPr>
        <w:t>aspects characterizing their practices</w:t>
      </w:r>
      <w:r w:rsidR="00DE326D">
        <w:rPr>
          <w:rFonts w:ascii="Arial" w:hAnsi="Arial" w:cs="Arial"/>
          <w:sz w:val="28"/>
          <w:szCs w:val="28"/>
        </w:rPr>
        <w:t xml:space="preserve">. Under this term, there are 5 points </w:t>
      </w:r>
      <w:r w:rsidR="00310DCE">
        <w:rPr>
          <w:rFonts w:ascii="Arial" w:hAnsi="Arial" w:cs="Arial"/>
          <w:sz w:val="28"/>
          <w:szCs w:val="28"/>
        </w:rPr>
        <w:t>praising Waitrose on:</w:t>
      </w:r>
    </w:p>
    <w:p w14:paraId="4FA18573" w14:textId="153D003B" w:rsidR="00310DCE" w:rsidRDefault="00310DCE" w:rsidP="007C3571">
      <w:pPr>
        <w:pStyle w:val="ListParagraph"/>
        <w:numPr>
          <w:ilvl w:val="0"/>
          <w:numId w:val="1"/>
        </w:numPr>
        <w:ind w:right="57"/>
        <w:jc w:val="both"/>
        <w:rPr>
          <w:rFonts w:ascii="Arial" w:hAnsi="Arial" w:cs="Arial"/>
          <w:sz w:val="28"/>
          <w:szCs w:val="28"/>
        </w:rPr>
      </w:pPr>
      <w:r>
        <w:rPr>
          <w:rFonts w:ascii="Arial" w:hAnsi="Arial" w:cs="Arial"/>
          <w:sz w:val="28"/>
          <w:szCs w:val="28"/>
        </w:rPr>
        <w:t xml:space="preserve">Waitrose </w:t>
      </w:r>
      <w:r w:rsidR="007C4B26">
        <w:rPr>
          <w:rFonts w:ascii="Arial" w:hAnsi="Arial" w:cs="Arial"/>
          <w:sz w:val="28"/>
          <w:szCs w:val="28"/>
        </w:rPr>
        <w:t>focus on British produce</w:t>
      </w:r>
    </w:p>
    <w:p w14:paraId="5ACB59A9" w14:textId="6D6B99B7" w:rsidR="007C4B26" w:rsidRDefault="007C4B26" w:rsidP="007C3571">
      <w:pPr>
        <w:pStyle w:val="ListParagraph"/>
        <w:numPr>
          <w:ilvl w:val="0"/>
          <w:numId w:val="1"/>
        </w:numPr>
        <w:ind w:right="57"/>
        <w:jc w:val="both"/>
        <w:rPr>
          <w:rFonts w:ascii="Arial" w:hAnsi="Arial" w:cs="Arial"/>
          <w:sz w:val="28"/>
          <w:szCs w:val="28"/>
        </w:rPr>
      </w:pPr>
      <w:r>
        <w:rPr>
          <w:rFonts w:ascii="Arial" w:hAnsi="Arial" w:cs="Arial"/>
          <w:sz w:val="28"/>
          <w:szCs w:val="28"/>
        </w:rPr>
        <w:t>Significant consideration</w:t>
      </w:r>
      <w:r w:rsidR="001C58E5">
        <w:rPr>
          <w:rFonts w:ascii="Arial" w:hAnsi="Arial" w:cs="Arial"/>
          <w:sz w:val="28"/>
          <w:szCs w:val="28"/>
        </w:rPr>
        <w:t xml:space="preserve">s for the environment in their operations (fishing </w:t>
      </w:r>
      <w:r w:rsidR="00333864">
        <w:rPr>
          <w:rFonts w:ascii="Arial" w:hAnsi="Arial" w:cs="Arial"/>
          <w:sz w:val="28"/>
          <w:szCs w:val="28"/>
        </w:rPr>
        <w:t>responsibly, cutting energy and shrinking waste)</w:t>
      </w:r>
      <w:r w:rsidR="001066B8">
        <w:rPr>
          <w:rFonts w:ascii="Arial" w:hAnsi="Arial" w:cs="Arial"/>
          <w:sz w:val="28"/>
          <w:szCs w:val="28"/>
        </w:rPr>
        <w:t>.</w:t>
      </w:r>
    </w:p>
    <w:p w14:paraId="7585B3FA" w14:textId="0F9CA3D7" w:rsidR="001066B8" w:rsidRDefault="0012574B" w:rsidP="007C3571">
      <w:pPr>
        <w:pStyle w:val="ListParagraph"/>
        <w:numPr>
          <w:ilvl w:val="0"/>
          <w:numId w:val="1"/>
        </w:numPr>
        <w:ind w:right="57"/>
        <w:jc w:val="both"/>
        <w:rPr>
          <w:rFonts w:ascii="Arial" w:hAnsi="Arial" w:cs="Arial"/>
          <w:sz w:val="28"/>
          <w:szCs w:val="28"/>
        </w:rPr>
      </w:pPr>
      <w:r>
        <w:rPr>
          <w:rFonts w:ascii="Arial" w:hAnsi="Arial" w:cs="Arial"/>
          <w:sz w:val="28"/>
          <w:szCs w:val="28"/>
        </w:rPr>
        <w:t xml:space="preserve">Fair treatment </w:t>
      </w:r>
      <w:r w:rsidR="00B11F98">
        <w:rPr>
          <w:rFonts w:ascii="Arial" w:hAnsi="Arial" w:cs="Arial"/>
          <w:sz w:val="28"/>
          <w:szCs w:val="28"/>
        </w:rPr>
        <w:t>of people (charitable activity)</w:t>
      </w:r>
    </w:p>
    <w:p w14:paraId="6392BE55" w14:textId="7292240A" w:rsidR="00B11F98" w:rsidRDefault="00B11F98" w:rsidP="007C3571">
      <w:pPr>
        <w:pStyle w:val="ListParagraph"/>
        <w:numPr>
          <w:ilvl w:val="0"/>
          <w:numId w:val="1"/>
        </w:numPr>
        <w:ind w:right="57"/>
        <w:jc w:val="both"/>
        <w:rPr>
          <w:rFonts w:ascii="Arial" w:hAnsi="Arial" w:cs="Arial"/>
          <w:sz w:val="28"/>
          <w:szCs w:val="28"/>
        </w:rPr>
      </w:pPr>
      <w:r>
        <w:rPr>
          <w:rFonts w:ascii="Arial" w:hAnsi="Arial" w:cs="Arial"/>
          <w:sz w:val="28"/>
          <w:szCs w:val="28"/>
        </w:rPr>
        <w:t>Propag</w:t>
      </w:r>
      <w:r w:rsidR="00CE59BF">
        <w:rPr>
          <w:rFonts w:ascii="Arial" w:hAnsi="Arial" w:cs="Arial"/>
          <w:sz w:val="28"/>
          <w:szCs w:val="28"/>
        </w:rPr>
        <w:t>ating healthy eating habits.</w:t>
      </w:r>
    </w:p>
    <w:p w14:paraId="2322ACD5" w14:textId="58112FF1" w:rsidR="003F0EFE" w:rsidRDefault="003F0EFE" w:rsidP="007C3571">
      <w:pPr>
        <w:ind w:right="57"/>
        <w:jc w:val="both"/>
        <w:rPr>
          <w:rFonts w:ascii="Arial" w:hAnsi="Arial" w:cs="Arial"/>
          <w:sz w:val="28"/>
          <w:szCs w:val="28"/>
        </w:rPr>
      </w:pPr>
      <w:r>
        <w:rPr>
          <w:rFonts w:ascii="Arial" w:hAnsi="Arial" w:cs="Arial"/>
          <w:noProof/>
          <w:sz w:val="28"/>
          <w:szCs w:val="28"/>
        </w:rPr>
        <w:lastRenderedPageBreak/>
        <w:drawing>
          <wp:inline distT="0" distB="0" distL="0" distR="0" wp14:anchorId="0929EDA0" wp14:editId="387CDF53">
            <wp:extent cx="5248275" cy="5905500"/>
            <wp:effectExtent l="0" t="0" r="9525" b="0"/>
            <wp:docPr id="990811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48275" cy="5905500"/>
                    </a:xfrm>
                    <a:prstGeom prst="rect">
                      <a:avLst/>
                    </a:prstGeom>
                    <a:noFill/>
                  </pic:spPr>
                </pic:pic>
              </a:graphicData>
            </a:graphic>
          </wp:inline>
        </w:drawing>
      </w:r>
    </w:p>
    <w:p w14:paraId="4730BD71" w14:textId="24F99E21" w:rsidR="00CE59BF" w:rsidRPr="00CE59BF" w:rsidRDefault="00DF16CC" w:rsidP="007C3571">
      <w:pPr>
        <w:ind w:right="57"/>
        <w:jc w:val="both"/>
        <w:rPr>
          <w:rFonts w:ascii="Arial" w:hAnsi="Arial" w:cs="Arial"/>
          <w:sz w:val="28"/>
          <w:szCs w:val="28"/>
        </w:rPr>
      </w:pPr>
      <w:r>
        <w:rPr>
          <w:rFonts w:ascii="Arial" w:hAnsi="Arial" w:cs="Arial"/>
          <w:noProof/>
          <w:sz w:val="28"/>
          <w:szCs w:val="28"/>
        </w:rPr>
        <w:t>(</w:t>
      </w:r>
      <w:r w:rsidRPr="00DF16CC">
        <w:rPr>
          <w:rFonts w:ascii="Arial" w:hAnsi="Arial" w:cs="Arial"/>
          <w:noProof/>
          <w:sz w:val="28"/>
          <w:szCs w:val="28"/>
        </w:rPr>
        <w:t>https://waitrosedigitalway.wordpress.com/wp-content/uploads/2018/03/waitrose-way.png</w:t>
      </w:r>
      <w:r>
        <w:rPr>
          <w:rFonts w:ascii="Arial" w:hAnsi="Arial" w:cs="Arial"/>
          <w:noProof/>
          <w:sz w:val="28"/>
          <w:szCs w:val="28"/>
        </w:rPr>
        <w:t>)</w:t>
      </w:r>
    </w:p>
    <w:p w14:paraId="5027E93D" w14:textId="77777777" w:rsidR="00EC6613" w:rsidRDefault="00EC6613" w:rsidP="007C3571">
      <w:pPr>
        <w:ind w:right="57"/>
        <w:jc w:val="both"/>
        <w:rPr>
          <w:rFonts w:ascii="Arial" w:hAnsi="Arial" w:cs="Arial"/>
          <w:sz w:val="28"/>
          <w:szCs w:val="28"/>
        </w:rPr>
      </w:pPr>
    </w:p>
    <w:p w14:paraId="54F6A8CF" w14:textId="77777777" w:rsidR="00076E7E" w:rsidRPr="00ED61D2" w:rsidRDefault="00076E7E" w:rsidP="007C3571">
      <w:pPr>
        <w:ind w:right="57"/>
        <w:jc w:val="both"/>
        <w:rPr>
          <w:rFonts w:ascii="Arial" w:hAnsi="Arial" w:cs="Arial"/>
          <w:b/>
          <w:bCs/>
          <w:color w:val="0E2841" w:themeColor="text2"/>
          <w:sz w:val="28"/>
          <w:szCs w:val="28"/>
          <w:u w:val="single"/>
        </w:rPr>
      </w:pPr>
      <w:r w:rsidRPr="00ED61D2">
        <w:rPr>
          <w:rFonts w:ascii="Arial" w:hAnsi="Arial" w:cs="Arial"/>
          <w:b/>
          <w:bCs/>
          <w:color w:val="0E2841" w:themeColor="text2"/>
          <w:sz w:val="28"/>
          <w:szCs w:val="28"/>
          <w:u w:val="single"/>
        </w:rPr>
        <w:t>Identification of a Business Problem at Waitrose</w:t>
      </w:r>
    </w:p>
    <w:p w14:paraId="15B6E505" w14:textId="77777777" w:rsidR="00076E7E" w:rsidRPr="00A54896" w:rsidRDefault="00076E7E" w:rsidP="007C3571">
      <w:pPr>
        <w:ind w:right="57"/>
        <w:jc w:val="both"/>
        <w:rPr>
          <w:rFonts w:ascii="Arial" w:hAnsi="Arial" w:cs="Arial"/>
          <w:sz w:val="28"/>
          <w:szCs w:val="28"/>
        </w:rPr>
      </w:pPr>
      <w:r w:rsidRPr="00A54896">
        <w:rPr>
          <w:rFonts w:ascii="Arial" w:hAnsi="Arial" w:cs="Arial"/>
          <w:sz w:val="28"/>
          <w:szCs w:val="28"/>
        </w:rPr>
        <w:t xml:space="preserve">A significant business problem facing Waitrose is </w:t>
      </w:r>
      <w:r w:rsidRPr="00A54896">
        <w:rPr>
          <w:rFonts w:ascii="Arial" w:hAnsi="Arial" w:cs="Arial"/>
          <w:b/>
          <w:bCs/>
          <w:color w:val="0E2841" w:themeColor="text2"/>
          <w:sz w:val="28"/>
          <w:szCs w:val="28"/>
        </w:rPr>
        <w:t>its declining market share and reduced customer footfall</w:t>
      </w:r>
      <w:r w:rsidRPr="00A54896">
        <w:rPr>
          <w:rFonts w:ascii="Arial" w:hAnsi="Arial" w:cs="Arial"/>
          <w:sz w:val="28"/>
          <w:szCs w:val="28"/>
        </w:rPr>
        <w:t>, a trend that has become increasingly visible within the highly competitive UK grocery sector. This issue reflects deeper structural and strategic challenges within both Waitrose and its parent organisation, the John Lewis Partnership (JLP).</w:t>
      </w:r>
    </w:p>
    <w:p w14:paraId="247C9FCC" w14:textId="77777777" w:rsidR="00076E7E" w:rsidRPr="00A54896" w:rsidRDefault="00076E7E" w:rsidP="007C3571">
      <w:pPr>
        <w:ind w:right="57"/>
        <w:jc w:val="both"/>
        <w:rPr>
          <w:rFonts w:ascii="Arial" w:hAnsi="Arial" w:cs="Arial"/>
          <w:sz w:val="28"/>
          <w:szCs w:val="28"/>
        </w:rPr>
      </w:pPr>
      <w:r w:rsidRPr="00A54896">
        <w:rPr>
          <w:rFonts w:ascii="Arial" w:hAnsi="Arial" w:cs="Arial"/>
          <w:sz w:val="28"/>
          <w:szCs w:val="28"/>
        </w:rPr>
        <w:t>Waitrose operates as a premium supermarket, historically differentiated by high</w:t>
      </w:r>
      <w:r w:rsidRPr="00A54896">
        <w:rPr>
          <w:rFonts w:ascii="Arial" w:hAnsi="Arial" w:cs="Arial"/>
          <w:sz w:val="28"/>
          <w:szCs w:val="28"/>
        </w:rPr>
        <w:noBreakHyphen/>
        <w:t xml:space="preserve">quality products, ethical sourcing, and superior customer service. </w:t>
      </w:r>
      <w:r w:rsidRPr="00A54896">
        <w:rPr>
          <w:rFonts w:ascii="Arial" w:hAnsi="Arial" w:cs="Arial"/>
          <w:sz w:val="28"/>
          <w:szCs w:val="28"/>
        </w:rPr>
        <w:lastRenderedPageBreak/>
        <w:t>However, this positioning has become more difficult to sustain in an environment characterised by economic uncertainty and heightened price sensitivity. The UK’s cost</w:t>
      </w:r>
      <w:r w:rsidRPr="00A54896">
        <w:rPr>
          <w:rFonts w:ascii="Arial" w:hAnsi="Arial" w:cs="Arial"/>
          <w:sz w:val="28"/>
          <w:szCs w:val="28"/>
        </w:rPr>
        <w:noBreakHyphen/>
        <w:t>of</w:t>
      </w:r>
      <w:r w:rsidRPr="00A54896">
        <w:rPr>
          <w:rFonts w:ascii="Arial" w:hAnsi="Arial" w:cs="Arial"/>
          <w:sz w:val="28"/>
          <w:szCs w:val="28"/>
        </w:rPr>
        <w:noBreakHyphen/>
        <w:t>living crisis has accelerated a shift in consumer behaviour, with many households trading down to lower</w:t>
      </w:r>
      <w:r w:rsidRPr="00A54896">
        <w:rPr>
          <w:rFonts w:ascii="Arial" w:hAnsi="Arial" w:cs="Arial"/>
          <w:sz w:val="28"/>
          <w:szCs w:val="28"/>
        </w:rPr>
        <w:noBreakHyphen/>
        <w:t>priced retailers such as Aldi and Lidl. These discounters have expanded rapidly, offering competitive quality at significantly lower prices, thereby eroding Waitrose’s traditional customer base.</w:t>
      </w:r>
    </w:p>
    <w:p w14:paraId="16AE0B49" w14:textId="75FF8611" w:rsidR="00B82C2B" w:rsidRPr="00A54896" w:rsidRDefault="00B82C2B" w:rsidP="007C3571">
      <w:pPr>
        <w:ind w:right="57"/>
        <w:jc w:val="both"/>
        <w:rPr>
          <w:rFonts w:ascii="Arial" w:hAnsi="Arial" w:cs="Arial"/>
          <w:b/>
          <w:bCs/>
          <w:sz w:val="28"/>
          <w:szCs w:val="28"/>
        </w:rPr>
      </w:pPr>
      <w:r w:rsidRPr="00A54896">
        <w:rPr>
          <w:rFonts w:ascii="Arial" w:hAnsi="Arial" w:cs="Arial"/>
          <w:b/>
          <w:bCs/>
          <w:sz w:val="28"/>
          <w:szCs w:val="28"/>
        </w:rPr>
        <w:t xml:space="preserve">Impact of declined market share </w:t>
      </w:r>
      <w:r w:rsidR="00A54896" w:rsidRPr="00A54896">
        <w:rPr>
          <w:rFonts w:ascii="Arial" w:hAnsi="Arial" w:cs="Arial"/>
          <w:b/>
          <w:bCs/>
          <w:sz w:val="28"/>
          <w:szCs w:val="28"/>
        </w:rPr>
        <w:t>and footfall at Waitrose</w:t>
      </w:r>
    </w:p>
    <w:p w14:paraId="3711C2E1" w14:textId="77777777" w:rsidR="00A6676A" w:rsidRPr="00A6676A" w:rsidRDefault="00A6676A" w:rsidP="007C3571">
      <w:pPr>
        <w:ind w:right="57"/>
        <w:jc w:val="both"/>
        <w:rPr>
          <w:rFonts w:ascii="Arial" w:hAnsi="Arial" w:cs="Arial"/>
          <w:sz w:val="28"/>
          <w:szCs w:val="28"/>
        </w:rPr>
      </w:pPr>
      <w:r w:rsidRPr="00A6676A">
        <w:rPr>
          <w:rFonts w:ascii="Arial" w:hAnsi="Arial" w:cs="Arial"/>
          <w:sz w:val="28"/>
          <w:szCs w:val="28"/>
        </w:rPr>
        <w:t>The decline in market share and footfall at Waitrose can be explained through established theories of retail competition and consumer behaviour. Waitrose’s premium positioning has become increasingly vulnerable as discount retailers such as Aldi and Lidl have expanded rapidly, offering comparable quality at significantly lower prices. This reflects Porter’s (1980) argument that cost</w:t>
      </w:r>
      <w:r w:rsidRPr="00A6676A">
        <w:rPr>
          <w:rFonts w:ascii="Arial" w:hAnsi="Arial" w:cs="Arial"/>
          <w:sz w:val="28"/>
          <w:szCs w:val="28"/>
        </w:rPr>
        <w:noBreakHyphen/>
        <w:t>leadership competitors can erode the market share of differentiated firms when consumer price sensitivity increases. Research on UK grocery retail similarly demonstrates that discounters have reshaped value perceptions and diverted customers from traditional premium supermarkets (Burt and Sparks, 2020).</w:t>
      </w:r>
    </w:p>
    <w:p w14:paraId="3F6DF28D" w14:textId="77777777" w:rsidR="00A6676A" w:rsidRPr="00A6676A" w:rsidRDefault="00A6676A" w:rsidP="007C3571">
      <w:pPr>
        <w:ind w:right="57"/>
        <w:jc w:val="both"/>
        <w:rPr>
          <w:rFonts w:ascii="Arial" w:hAnsi="Arial" w:cs="Arial"/>
          <w:sz w:val="28"/>
          <w:szCs w:val="28"/>
        </w:rPr>
      </w:pPr>
      <w:r w:rsidRPr="00A6676A">
        <w:rPr>
          <w:rFonts w:ascii="Arial" w:hAnsi="Arial" w:cs="Arial"/>
          <w:sz w:val="28"/>
          <w:szCs w:val="28"/>
        </w:rPr>
        <w:t>Footfall decline is also closely linked to structural changes in shopping behaviour. The growth of online grocery channels has reduced physical store visits across the sector, consistent with findings that digital convenience increasingly substitutes for in</w:t>
      </w:r>
      <w:r w:rsidRPr="00A6676A">
        <w:rPr>
          <w:rFonts w:ascii="Arial" w:hAnsi="Arial" w:cs="Arial"/>
          <w:sz w:val="28"/>
          <w:szCs w:val="28"/>
        </w:rPr>
        <w:noBreakHyphen/>
        <w:t>store experiences (Hagberg, Sundström and Egels</w:t>
      </w:r>
      <w:r w:rsidRPr="00A6676A">
        <w:rPr>
          <w:rFonts w:ascii="Arial" w:hAnsi="Arial" w:cs="Arial"/>
          <w:sz w:val="28"/>
          <w:szCs w:val="28"/>
        </w:rPr>
        <w:noBreakHyphen/>
        <w:t>Zandén, 2016). Waitrose, which historically relied on experiential in</w:t>
      </w:r>
      <w:r w:rsidRPr="00A6676A">
        <w:rPr>
          <w:rFonts w:ascii="Arial" w:hAnsi="Arial" w:cs="Arial"/>
          <w:sz w:val="28"/>
          <w:szCs w:val="28"/>
        </w:rPr>
        <w:noBreakHyphen/>
        <w:t>store differentiation, has been disproportionately affected by this shift. Furthermore, rising living costs have intensified consumer price consciousness, further disadvantaging premium retailers (IGD, 2023).</w:t>
      </w:r>
    </w:p>
    <w:p w14:paraId="77FEE9A1" w14:textId="1AE46958" w:rsidR="00A6676A" w:rsidRPr="00A6676A" w:rsidRDefault="00A6676A" w:rsidP="007C3571">
      <w:pPr>
        <w:ind w:right="57"/>
        <w:jc w:val="both"/>
        <w:rPr>
          <w:rFonts w:ascii="Arial" w:hAnsi="Arial" w:cs="Arial"/>
          <w:sz w:val="28"/>
          <w:szCs w:val="28"/>
        </w:rPr>
      </w:pPr>
      <w:r w:rsidRPr="00A6676A">
        <w:rPr>
          <w:rFonts w:ascii="Arial" w:hAnsi="Arial" w:cs="Arial"/>
          <w:sz w:val="28"/>
          <w:szCs w:val="28"/>
        </w:rPr>
        <w:t>Collectively, these dynamics illustrate how competitive pressures, economic conditions, and digital transformation have contributed to Waitrose’s declining footfall and market share, reinforcing established retail strategy frameworks</w:t>
      </w:r>
      <w:r w:rsidR="00796DAF">
        <w:rPr>
          <w:rFonts w:ascii="Arial" w:hAnsi="Arial" w:cs="Arial"/>
          <w:sz w:val="28"/>
          <w:szCs w:val="28"/>
        </w:rPr>
        <w:t>.</w:t>
      </w:r>
    </w:p>
    <w:p w14:paraId="00101278" w14:textId="77777777" w:rsidR="00A6676A" w:rsidRDefault="00A6676A" w:rsidP="007C3571">
      <w:pPr>
        <w:ind w:right="57"/>
        <w:jc w:val="both"/>
        <w:rPr>
          <w:rFonts w:ascii="Arial" w:hAnsi="Arial" w:cs="Arial"/>
          <w:sz w:val="28"/>
          <w:szCs w:val="28"/>
        </w:rPr>
      </w:pPr>
    </w:p>
    <w:p w14:paraId="59D60789" w14:textId="77777777" w:rsidR="00A6676A" w:rsidRDefault="00A6676A" w:rsidP="007C3571">
      <w:pPr>
        <w:ind w:right="57"/>
        <w:jc w:val="both"/>
        <w:rPr>
          <w:rFonts w:ascii="Arial" w:hAnsi="Arial" w:cs="Arial"/>
          <w:sz w:val="28"/>
          <w:szCs w:val="28"/>
        </w:rPr>
      </w:pPr>
    </w:p>
    <w:p w14:paraId="30344A98" w14:textId="77777777" w:rsidR="00A6676A" w:rsidRDefault="00A6676A" w:rsidP="007C3571">
      <w:pPr>
        <w:ind w:right="57"/>
        <w:jc w:val="both"/>
        <w:rPr>
          <w:rFonts w:ascii="Arial" w:hAnsi="Arial" w:cs="Arial"/>
          <w:sz w:val="28"/>
          <w:szCs w:val="28"/>
        </w:rPr>
      </w:pPr>
    </w:p>
    <w:p w14:paraId="69DBE787" w14:textId="77777777" w:rsidR="00A6676A" w:rsidRPr="00076E7E" w:rsidRDefault="00A6676A" w:rsidP="007C3571">
      <w:pPr>
        <w:ind w:right="57"/>
        <w:jc w:val="both"/>
        <w:rPr>
          <w:rFonts w:ascii="Arial" w:hAnsi="Arial" w:cs="Arial"/>
          <w:sz w:val="28"/>
          <w:szCs w:val="28"/>
        </w:rPr>
      </w:pPr>
    </w:p>
    <w:tbl>
      <w:tblPr>
        <w:tblStyle w:val="TableGrid"/>
        <w:tblW w:w="0" w:type="auto"/>
        <w:tblLook w:val="04A0" w:firstRow="1" w:lastRow="0" w:firstColumn="1" w:lastColumn="0" w:noHBand="0" w:noVBand="1"/>
      </w:tblPr>
      <w:tblGrid>
        <w:gridCol w:w="3005"/>
        <w:gridCol w:w="3005"/>
        <w:gridCol w:w="3006"/>
      </w:tblGrid>
      <w:tr w:rsidR="00853B6C" w14:paraId="551624EA" w14:textId="77777777" w:rsidTr="00853B6C">
        <w:tc>
          <w:tcPr>
            <w:tcW w:w="3005" w:type="dxa"/>
          </w:tcPr>
          <w:p w14:paraId="0A604E10" w14:textId="5AF7F725" w:rsidR="00853B6C" w:rsidRDefault="00853B6C" w:rsidP="007C3571">
            <w:pPr>
              <w:ind w:right="57"/>
              <w:jc w:val="both"/>
              <w:rPr>
                <w:rFonts w:ascii="Arial" w:hAnsi="Arial" w:cs="Arial"/>
                <w:sz w:val="28"/>
                <w:szCs w:val="28"/>
              </w:rPr>
            </w:pPr>
            <w:r>
              <w:rPr>
                <w:rFonts w:ascii="Arial" w:hAnsi="Arial" w:cs="Arial"/>
                <w:sz w:val="28"/>
                <w:szCs w:val="28"/>
              </w:rPr>
              <w:lastRenderedPageBreak/>
              <w:t>ISSUE</w:t>
            </w:r>
          </w:p>
        </w:tc>
        <w:tc>
          <w:tcPr>
            <w:tcW w:w="3005" w:type="dxa"/>
          </w:tcPr>
          <w:p w14:paraId="2B9F7163" w14:textId="2B297DED" w:rsidR="00853B6C" w:rsidRDefault="00853B6C" w:rsidP="007C3571">
            <w:pPr>
              <w:ind w:right="57"/>
              <w:jc w:val="both"/>
              <w:rPr>
                <w:rFonts w:ascii="Arial" w:hAnsi="Arial" w:cs="Arial"/>
                <w:sz w:val="28"/>
                <w:szCs w:val="28"/>
              </w:rPr>
            </w:pPr>
            <w:r>
              <w:rPr>
                <w:rFonts w:ascii="Arial" w:hAnsi="Arial" w:cs="Arial"/>
                <w:sz w:val="28"/>
                <w:szCs w:val="28"/>
              </w:rPr>
              <w:t>Why it happens</w:t>
            </w:r>
          </w:p>
        </w:tc>
        <w:tc>
          <w:tcPr>
            <w:tcW w:w="3006" w:type="dxa"/>
          </w:tcPr>
          <w:p w14:paraId="1ECDB7F0" w14:textId="5488C198" w:rsidR="00853B6C" w:rsidRDefault="00853B6C" w:rsidP="007C3571">
            <w:pPr>
              <w:ind w:right="57"/>
              <w:jc w:val="both"/>
              <w:rPr>
                <w:rFonts w:ascii="Arial" w:hAnsi="Arial" w:cs="Arial"/>
                <w:sz w:val="28"/>
                <w:szCs w:val="28"/>
              </w:rPr>
            </w:pPr>
            <w:r>
              <w:rPr>
                <w:rFonts w:ascii="Arial" w:hAnsi="Arial" w:cs="Arial"/>
                <w:sz w:val="28"/>
                <w:szCs w:val="28"/>
              </w:rPr>
              <w:t>Impact</w:t>
            </w:r>
          </w:p>
        </w:tc>
      </w:tr>
      <w:tr w:rsidR="00853B6C" w14:paraId="38880ACC" w14:textId="77777777" w:rsidTr="00853B6C">
        <w:tc>
          <w:tcPr>
            <w:tcW w:w="3005" w:type="dxa"/>
          </w:tcPr>
          <w:p w14:paraId="4D92FDB9" w14:textId="3EB8A0AA" w:rsidR="00853B6C" w:rsidRPr="004831DD" w:rsidRDefault="00853B6C" w:rsidP="007C3571">
            <w:pPr>
              <w:ind w:right="57"/>
              <w:jc w:val="both"/>
              <w:rPr>
                <w:rFonts w:ascii="Arial" w:hAnsi="Arial" w:cs="Arial"/>
                <w:sz w:val="28"/>
                <w:szCs w:val="28"/>
              </w:rPr>
            </w:pPr>
            <w:r w:rsidRPr="004831DD">
              <w:rPr>
                <w:rFonts w:ascii="Arial" w:hAnsi="Arial" w:cs="Arial"/>
                <w:sz w:val="28"/>
                <w:szCs w:val="28"/>
              </w:rPr>
              <w:t>Decl</w:t>
            </w:r>
            <w:r w:rsidR="007D2C15" w:rsidRPr="004831DD">
              <w:rPr>
                <w:rFonts w:ascii="Arial" w:hAnsi="Arial" w:cs="Arial"/>
                <w:sz w:val="28"/>
                <w:szCs w:val="28"/>
              </w:rPr>
              <w:t>ining market share</w:t>
            </w:r>
          </w:p>
        </w:tc>
        <w:tc>
          <w:tcPr>
            <w:tcW w:w="3005" w:type="dxa"/>
          </w:tcPr>
          <w:p w14:paraId="1B1C7E72" w14:textId="5B5558C1" w:rsidR="00853B6C" w:rsidRPr="004831DD" w:rsidRDefault="007D2C15" w:rsidP="007C3571">
            <w:pPr>
              <w:ind w:right="57"/>
              <w:jc w:val="both"/>
              <w:rPr>
                <w:rFonts w:ascii="Arial" w:hAnsi="Arial" w:cs="Arial"/>
                <w:sz w:val="28"/>
                <w:szCs w:val="28"/>
              </w:rPr>
            </w:pPr>
            <w:r w:rsidRPr="004831DD">
              <w:rPr>
                <w:rFonts w:ascii="Arial" w:hAnsi="Arial" w:cs="Arial"/>
                <w:sz w:val="28"/>
                <w:szCs w:val="28"/>
              </w:rPr>
              <w:t xml:space="preserve">Discounts, </w:t>
            </w:r>
            <w:r w:rsidR="00394346" w:rsidRPr="004831DD">
              <w:rPr>
                <w:rFonts w:ascii="Arial" w:hAnsi="Arial" w:cs="Arial"/>
                <w:sz w:val="28"/>
                <w:szCs w:val="28"/>
              </w:rPr>
              <w:t>economic pressures</w:t>
            </w:r>
          </w:p>
        </w:tc>
        <w:tc>
          <w:tcPr>
            <w:tcW w:w="3006" w:type="dxa"/>
          </w:tcPr>
          <w:p w14:paraId="2F2BA5E5" w14:textId="05CF8C02" w:rsidR="00853B6C" w:rsidRPr="004831DD" w:rsidRDefault="00394346" w:rsidP="007C3571">
            <w:pPr>
              <w:ind w:right="57"/>
              <w:jc w:val="both"/>
              <w:rPr>
                <w:rFonts w:ascii="Arial" w:hAnsi="Arial" w:cs="Arial"/>
                <w:sz w:val="28"/>
                <w:szCs w:val="28"/>
              </w:rPr>
            </w:pPr>
            <w:r w:rsidRPr="004831DD">
              <w:rPr>
                <w:rFonts w:ascii="Arial" w:hAnsi="Arial" w:cs="Arial"/>
                <w:sz w:val="28"/>
                <w:szCs w:val="28"/>
              </w:rPr>
              <w:t>Loss of customers</w:t>
            </w:r>
          </w:p>
        </w:tc>
      </w:tr>
      <w:tr w:rsidR="00853B6C" w14:paraId="5B38EA5C" w14:textId="77777777" w:rsidTr="00853B6C">
        <w:tc>
          <w:tcPr>
            <w:tcW w:w="3005" w:type="dxa"/>
          </w:tcPr>
          <w:p w14:paraId="56130E52" w14:textId="6B9D7053" w:rsidR="00853B6C" w:rsidRPr="004831DD" w:rsidRDefault="00394346" w:rsidP="007C3571">
            <w:pPr>
              <w:ind w:right="57"/>
              <w:jc w:val="both"/>
              <w:rPr>
                <w:rFonts w:ascii="Arial" w:hAnsi="Arial" w:cs="Arial"/>
                <w:sz w:val="28"/>
                <w:szCs w:val="28"/>
              </w:rPr>
            </w:pPr>
            <w:r w:rsidRPr="004831DD">
              <w:rPr>
                <w:rFonts w:ascii="Arial" w:hAnsi="Arial" w:cs="Arial"/>
                <w:sz w:val="28"/>
                <w:szCs w:val="28"/>
              </w:rPr>
              <w:t xml:space="preserve">Weaking brand </w:t>
            </w:r>
            <w:r w:rsidR="00622CA7" w:rsidRPr="004831DD">
              <w:rPr>
                <w:rFonts w:ascii="Arial" w:hAnsi="Arial" w:cs="Arial"/>
                <w:sz w:val="28"/>
                <w:szCs w:val="28"/>
              </w:rPr>
              <w:t>differentiation</w:t>
            </w:r>
          </w:p>
        </w:tc>
        <w:tc>
          <w:tcPr>
            <w:tcW w:w="3005" w:type="dxa"/>
          </w:tcPr>
          <w:p w14:paraId="3419544E" w14:textId="21213E19" w:rsidR="00853B6C" w:rsidRPr="004831DD" w:rsidRDefault="00622CA7" w:rsidP="007C3571">
            <w:pPr>
              <w:ind w:right="57"/>
              <w:jc w:val="both"/>
              <w:rPr>
                <w:rFonts w:ascii="Arial" w:hAnsi="Arial" w:cs="Arial"/>
                <w:sz w:val="28"/>
                <w:szCs w:val="28"/>
              </w:rPr>
            </w:pPr>
            <w:r w:rsidRPr="004831DD">
              <w:rPr>
                <w:rFonts w:ascii="Arial" w:hAnsi="Arial" w:cs="Arial"/>
                <w:sz w:val="28"/>
                <w:szCs w:val="28"/>
              </w:rPr>
              <w:t>Service decline, unclear positioning</w:t>
            </w:r>
          </w:p>
        </w:tc>
        <w:tc>
          <w:tcPr>
            <w:tcW w:w="3006" w:type="dxa"/>
          </w:tcPr>
          <w:p w14:paraId="4AC3F91F" w14:textId="6583A844" w:rsidR="00853B6C" w:rsidRPr="004831DD" w:rsidRDefault="007A0EA3" w:rsidP="007C3571">
            <w:pPr>
              <w:ind w:right="57"/>
              <w:jc w:val="both"/>
              <w:rPr>
                <w:rFonts w:ascii="Arial" w:hAnsi="Arial" w:cs="Arial"/>
                <w:sz w:val="28"/>
                <w:szCs w:val="28"/>
              </w:rPr>
            </w:pPr>
            <w:r w:rsidRPr="004831DD">
              <w:rPr>
                <w:rFonts w:ascii="Arial" w:hAnsi="Arial" w:cs="Arial"/>
                <w:sz w:val="28"/>
                <w:szCs w:val="28"/>
              </w:rPr>
              <w:t>Reduced loyalty</w:t>
            </w:r>
          </w:p>
        </w:tc>
      </w:tr>
      <w:tr w:rsidR="00853B6C" w14:paraId="269CAFF5" w14:textId="77777777" w:rsidTr="00853B6C">
        <w:tc>
          <w:tcPr>
            <w:tcW w:w="3005" w:type="dxa"/>
          </w:tcPr>
          <w:p w14:paraId="3183ABEE" w14:textId="0E0C863E" w:rsidR="00853B6C" w:rsidRPr="004831DD" w:rsidRDefault="007A0EA3" w:rsidP="007C3571">
            <w:pPr>
              <w:ind w:right="57"/>
              <w:jc w:val="both"/>
              <w:rPr>
                <w:rFonts w:ascii="Arial" w:hAnsi="Arial" w:cs="Arial"/>
                <w:sz w:val="28"/>
                <w:szCs w:val="28"/>
              </w:rPr>
            </w:pPr>
            <w:r w:rsidRPr="004831DD">
              <w:rPr>
                <w:rFonts w:ascii="Arial" w:hAnsi="Arial" w:cs="Arial"/>
                <w:sz w:val="28"/>
                <w:szCs w:val="28"/>
              </w:rPr>
              <w:t>Operational constraints</w:t>
            </w:r>
          </w:p>
        </w:tc>
        <w:tc>
          <w:tcPr>
            <w:tcW w:w="3005" w:type="dxa"/>
          </w:tcPr>
          <w:p w14:paraId="2367A181" w14:textId="1919B7C9" w:rsidR="00853B6C" w:rsidRPr="004831DD" w:rsidRDefault="007A0EA3" w:rsidP="007C3571">
            <w:pPr>
              <w:ind w:right="57"/>
              <w:jc w:val="both"/>
              <w:rPr>
                <w:rFonts w:ascii="Arial" w:hAnsi="Arial" w:cs="Arial"/>
                <w:sz w:val="28"/>
                <w:szCs w:val="28"/>
              </w:rPr>
            </w:pPr>
            <w:r w:rsidRPr="004831DD">
              <w:rPr>
                <w:rFonts w:ascii="Arial" w:hAnsi="Arial" w:cs="Arial"/>
                <w:sz w:val="28"/>
                <w:szCs w:val="28"/>
              </w:rPr>
              <w:t>JLP financial pressures</w:t>
            </w:r>
          </w:p>
        </w:tc>
        <w:tc>
          <w:tcPr>
            <w:tcW w:w="3006" w:type="dxa"/>
          </w:tcPr>
          <w:p w14:paraId="59AB95BF" w14:textId="2A275E52" w:rsidR="00853B6C" w:rsidRPr="004831DD" w:rsidRDefault="005C7428" w:rsidP="007C3571">
            <w:pPr>
              <w:ind w:right="57"/>
              <w:jc w:val="both"/>
              <w:rPr>
                <w:rFonts w:ascii="Arial" w:hAnsi="Arial" w:cs="Arial"/>
                <w:sz w:val="28"/>
                <w:szCs w:val="28"/>
              </w:rPr>
            </w:pPr>
            <w:r w:rsidRPr="004831DD">
              <w:rPr>
                <w:rFonts w:ascii="Arial" w:hAnsi="Arial" w:cs="Arial"/>
                <w:sz w:val="28"/>
                <w:szCs w:val="28"/>
              </w:rPr>
              <w:t>Slow innovation</w:t>
            </w:r>
          </w:p>
        </w:tc>
      </w:tr>
      <w:tr w:rsidR="00853B6C" w14:paraId="7EAF870E" w14:textId="77777777" w:rsidTr="00853B6C">
        <w:tc>
          <w:tcPr>
            <w:tcW w:w="3005" w:type="dxa"/>
          </w:tcPr>
          <w:p w14:paraId="64170F3C" w14:textId="214DCEB2" w:rsidR="00853B6C" w:rsidRPr="004831DD" w:rsidRDefault="005C7428" w:rsidP="007C3571">
            <w:pPr>
              <w:ind w:right="57"/>
              <w:jc w:val="both"/>
              <w:rPr>
                <w:rFonts w:ascii="Arial" w:hAnsi="Arial" w:cs="Arial"/>
                <w:sz w:val="28"/>
                <w:szCs w:val="28"/>
              </w:rPr>
            </w:pPr>
            <w:r w:rsidRPr="004831DD">
              <w:rPr>
                <w:rFonts w:ascii="Arial" w:hAnsi="Arial" w:cs="Arial"/>
                <w:sz w:val="28"/>
                <w:szCs w:val="28"/>
              </w:rPr>
              <w:t xml:space="preserve">Online </w:t>
            </w:r>
            <w:r w:rsidR="00F83519" w:rsidRPr="004831DD">
              <w:rPr>
                <w:rFonts w:ascii="Arial" w:hAnsi="Arial" w:cs="Arial"/>
                <w:sz w:val="28"/>
                <w:szCs w:val="28"/>
              </w:rPr>
              <w:t>competition</w:t>
            </w:r>
          </w:p>
        </w:tc>
        <w:tc>
          <w:tcPr>
            <w:tcW w:w="3005" w:type="dxa"/>
          </w:tcPr>
          <w:p w14:paraId="63B06AB4" w14:textId="1CC1E3C5" w:rsidR="00853B6C" w:rsidRPr="004831DD" w:rsidRDefault="00144450" w:rsidP="007C3571">
            <w:pPr>
              <w:ind w:right="57"/>
              <w:jc w:val="both"/>
              <w:rPr>
                <w:rFonts w:ascii="Arial" w:hAnsi="Arial" w:cs="Arial"/>
                <w:sz w:val="28"/>
                <w:szCs w:val="28"/>
              </w:rPr>
            </w:pPr>
            <w:r w:rsidRPr="004831DD">
              <w:rPr>
                <w:rFonts w:ascii="Arial" w:hAnsi="Arial" w:cs="Arial"/>
                <w:sz w:val="28"/>
                <w:szCs w:val="28"/>
              </w:rPr>
              <w:t>Loss of Ocado partnership</w:t>
            </w:r>
          </w:p>
        </w:tc>
        <w:tc>
          <w:tcPr>
            <w:tcW w:w="3006" w:type="dxa"/>
          </w:tcPr>
          <w:p w14:paraId="01FA698A" w14:textId="632CB915" w:rsidR="00853B6C" w:rsidRPr="004831DD" w:rsidRDefault="00144450" w:rsidP="007C3571">
            <w:pPr>
              <w:ind w:right="57"/>
              <w:jc w:val="both"/>
              <w:rPr>
                <w:rFonts w:ascii="Arial" w:hAnsi="Arial" w:cs="Arial"/>
                <w:sz w:val="28"/>
                <w:szCs w:val="28"/>
              </w:rPr>
            </w:pPr>
            <w:r w:rsidRPr="004831DD">
              <w:rPr>
                <w:rFonts w:ascii="Arial" w:hAnsi="Arial" w:cs="Arial"/>
                <w:sz w:val="28"/>
                <w:szCs w:val="28"/>
              </w:rPr>
              <w:t>Digital disadvantages</w:t>
            </w:r>
          </w:p>
        </w:tc>
      </w:tr>
      <w:tr w:rsidR="00144450" w14:paraId="483E6F37" w14:textId="77777777" w:rsidTr="00853B6C">
        <w:tc>
          <w:tcPr>
            <w:tcW w:w="3005" w:type="dxa"/>
          </w:tcPr>
          <w:p w14:paraId="344EB17A" w14:textId="193F018E" w:rsidR="00144450" w:rsidRPr="004831DD" w:rsidRDefault="00F83519" w:rsidP="007C3571">
            <w:pPr>
              <w:ind w:right="57"/>
              <w:jc w:val="both"/>
              <w:rPr>
                <w:rFonts w:ascii="Arial" w:hAnsi="Arial" w:cs="Arial"/>
                <w:sz w:val="28"/>
                <w:szCs w:val="28"/>
              </w:rPr>
            </w:pPr>
            <w:r w:rsidRPr="004831DD">
              <w:rPr>
                <w:rFonts w:ascii="Arial" w:hAnsi="Arial" w:cs="Arial"/>
                <w:sz w:val="28"/>
                <w:szCs w:val="28"/>
              </w:rPr>
              <w:t>Price sensitivity</w:t>
            </w:r>
          </w:p>
        </w:tc>
        <w:tc>
          <w:tcPr>
            <w:tcW w:w="3005" w:type="dxa"/>
          </w:tcPr>
          <w:p w14:paraId="49FB62B9" w14:textId="3C748938" w:rsidR="00144450" w:rsidRPr="004831DD" w:rsidRDefault="00F83519" w:rsidP="007C3571">
            <w:pPr>
              <w:ind w:right="57"/>
              <w:jc w:val="both"/>
              <w:rPr>
                <w:rFonts w:ascii="Arial" w:hAnsi="Arial" w:cs="Arial"/>
                <w:sz w:val="28"/>
                <w:szCs w:val="28"/>
              </w:rPr>
            </w:pPr>
            <w:r w:rsidRPr="004831DD">
              <w:rPr>
                <w:rFonts w:ascii="Arial" w:hAnsi="Arial" w:cs="Arial"/>
                <w:sz w:val="28"/>
                <w:szCs w:val="28"/>
              </w:rPr>
              <w:t>Cost of living crisis</w:t>
            </w:r>
          </w:p>
        </w:tc>
        <w:tc>
          <w:tcPr>
            <w:tcW w:w="3006" w:type="dxa"/>
          </w:tcPr>
          <w:p w14:paraId="4C071F09" w14:textId="36A1CF0D" w:rsidR="00144450" w:rsidRPr="004831DD" w:rsidRDefault="009B744C" w:rsidP="007C3571">
            <w:pPr>
              <w:ind w:right="57"/>
              <w:jc w:val="both"/>
              <w:rPr>
                <w:rFonts w:ascii="Arial" w:hAnsi="Arial" w:cs="Arial"/>
                <w:sz w:val="28"/>
                <w:szCs w:val="28"/>
              </w:rPr>
            </w:pPr>
            <w:r w:rsidRPr="004831DD">
              <w:rPr>
                <w:rFonts w:ascii="Arial" w:hAnsi="Arial" w:cs="Arial"/>
                <w:sz w:val="28"/>
                <w:szCs w:val="28"/>
              </w:rPr>
              <w:t>Customers trade down</w:t>
            </w:r>
          </w:p>
        </w:tc>
      </w:tr>
    </w:tbl>
    <w:p w14:paraId="2D1F2F2C" w14:textId="77777777" w:rsidR="00EC6613" w:rsidRDefault="00EC6613" w:rsidP="007C3571">
      <w:pPr>
        <w:ind w:right="57"/>
        <w:jc w:val="both"/>
        <w:rPr>
          <w:rFonts w:ascii="Arial" w:hAnsi="Arial" w:cs="Arial"/>
          <w:sz w:val="28"/>
          <w:szCs w:val="28"/>
        </w:rPr>
      </w:pPr>
    </w:p>
    <w:p w14:paraId="667ACD45" w14:textId="77777777" w:rsidR="0047283F" w:rsidRDefault="0047283F" w:rsidP="007C3571">
      <w:pPr>
        <w:ind w:right="57"/>
        <w:jc w:val="both"/>
        <w:rPr>
          <w:rFonts w:ascii="Arial" w:hAnsi="Arial" w:cs="Arial"/>
          <w:sz w:val="28"/>
          <w:szCs w:val="28"/>
        </w:rPr>
      </w:pPr>
    </w:p>
    <w:p w14:paraId="512C48CA" w14:textId="77777777" w:rsidR="0047283F" w:rsidRDefault="0047283F" w:rsidP="007C3571">
      <w:pPr>
        <w:ind w:right="57"/>
        <w:jc w:val="both"/>
        <w:rPr>
          <w:rFonts w:ascii="Arial" w:hAnsi="Arial" w:cs="Arial"/>
          <w:sz w:val="28"/>
          <w:szCs w:val="28"/>
        </w:rPr>
      </w:pPr>
    </w:p>
    <w:p w14:paraId="0617FDF1" w14:textId="77777777" w:rsidR="0047283F" w:rsidRDefault="0047283F" w:rsidP="007C3571">
      <w:pPr>
        <w:ind w:right="57"/>
        <w:jc w:val="both"/>
        <w:rPr>
          <w:rFonts w:ascii="Arial" w:hAnsi="Arial" w:cs="Arial"/>
          <w:sz w:val="28"/>
          <w:szCs w:val="28"/>
        </w:rPr>
      </w:pPr>
    </w:p>
    <w:p w14:paraId="7D460683" w14:textId="77777777" w:rsidR="0047283F" w:rsidRDefault="0047283F" w:rsidP="007C3571">
      <w:pPr>
        <w:ind w:right="57"/>
        <w:jc w:val="both"/>
        <w:rPr>
          <w:rFonts w:ascii="Arial" w:hAnsi="Arial" w:cs="Arial"/>
          <w:sz w:val="28"/>
          <w:szCs w:val="28"/>
        </w:rPr>
      </w:pPr>
    </w:p>
    <w:p w14:paraId="55EFD4F1" w14:textId="77777777" w:rsidR="0047283F" w:rsidRDefault="0047283F" w:rsidP="007C3571">
      <w:pPr>
        <w:ind w:right="57"/>
        <w:jc w:val="both"/>
        <w:rPr>
          <w:rFonts w:ascii="Arial" w:hAnsi="Arial" w:cs="Arial"/>
          <w:sz w:val="28"/>
          <w:szCs w:val="28"/>
        </w:rPr>
      </w:pPr>
    </w:p>
    <w:p w14:paraId="79AE0278" w14:textId="77777777" w:rsidR="0047283F" w:rsidRDefault="0047283F" w:rsidP="007C3571">
      <w:pPr>
        <w:ind w:right="57"/>
        <w:jc w:val="both"/>
        <w:rPr>
          <w:rFonts w:ascii="Arial" w:hAnsi="Arial" w:cs="Arial"/>
          <w:sz w:val="28"/>
          <w:szCs w:val="28"/>
        </w:rPr>
      </w:pPr>
    </w:p>
    <w:p w14:paraId="0B893EBA" w14:textId="77777777" w:rsidR="0047283F" w:rsidRDefault="0047283F" w:rsidP="007C3571">
      <w:pPr>
        <w:ind w:right="57"/>
        <w:jc w:val="both"/>
        <w:rPr>
          <w:rFonts w:ascii="Arial" w:hAnsi="Arial" w:cs="Arial"/>
          <w:sz w:val="28"/>
          <w:szCs w:val="28"/>
        </w:rPr>
      </w:pPr>
    </w:p>
    <w:p w14:paraId="2028E9ED" w14:textId="77777777" w:rsidR="0047283F" w:rsidRDefault="0047283F" w:rsidP="007C3571">
      <w:pPr>
        <w:ind w:right="57"/>
        <w:jc w:val="both"/>
        <w:rPr>
          <w:rFonts w:ascii="Arial" w:hAnsi="Arial" w:cs="Arial"/>
          <w:sz w:val="28"/>
          <w:szCs w:val="28"/>
        </w:rPr>
      </w:pPr>
    </w:p>
    <w:p w14:paraId="6EF7A4F1" w14:textId="77777777" w:rsidR="0047283F" w:rsidRDefault="0047283F" w:rsidP="007C3571">
      <w:pPr>
        <w:ind w:right="57"/>
        <w:jc w:val="both"/>
        <w:rPr>
          <w:rFonts w:ascii="Arial" w:hAnsi="Arial" w:cs="Arial"/>
          <w:sz w:val="28"/>
          <w:szCs w:val="28"/>
        </w:rPr>
      </w:pPr>
    </w:p>
    <w:p w14:paraId="1623B2D4" w14:textId="77777777" w:rsidR="0047283F" w:rsidRDefault="0047283F" w:rsidP="007C3571">
      <w:pPr>
        <w:ind w:right="57"/>
        <w:jc w:val="both"/>
        <w:rPr>
          <w:rFonts w:ascii="Arial" w:hAnsi="Arial" w:cs="Arial"/>
          <w:sz w:val="28"/>
          <w:szCs w:val="28"/>
        </w:rPr>
      </w:pPr>
    </w:p>
    <w:p w14:paraId="1DFB33C9" w14:textId="77777777" w:rsidR="0047283F" w:rsidRDefault="0047283F" w:rsidP="007C3571">
      <w:pPr>
        <w:ind w:right="57"/>
        <w:jc w:val="both"/>
        <w:rPr>
          <w:rFonts w:ascii="Arial" w:hAnsi="Arial" w:cs="Arial"/>
          <w:sz w:val="28"/>
          <w:szCs w:val="28"/>
        </w:rPr>
      </w:pPr>
    </w:p>
    <w:p w14:paraId="6231DDFF" w14:textId="77777777" w:rsidR="0047283F" w:rsidRDefault="0047283F" w:rsidP="007C3571">
      <w:pPr>
        <w:ind w:right="57"/>
        <w:jc w:val="both"/>
        <w:rPr>
          <w:rFonts w:ascii="Arial" w:hAnsi="Arial" w:cs="Arial"/>
          <w:sz w:val="28"/>
          <w:szCs w:val="28"/>
        </w:rPr>
      </w:pPr>
    </w:p>
    <w:p w14:paraId="5D7DED70" w14:textId="77777777" w:rsidR="0047283F" w:rsidRDefault="0047283F" w:rsidP="007C3571">
      <w:pPr>
        <w:ind w:right="57"/>
        <w:jc w:val="both"/>
        <w:rPr>
          <w:rFonts w:ascii="Arial" w:hAnsi="Arial" w:cs="Arial"/>
          <w:sz w:val="28"/>
          <w:szCs w:val="28"/>
        </w:rPr>
      </w:pPr>
    </w:p>
    <w:p w14:paraId="11CE0D6B" w14:textId="77777777" w:rsidR="0047283F" w:rsidRDefault="0047283F" w:rsidP="007C3571">
      <w:pPr>
        <w:ind w:right="57"/>
        <w:jc w:val="both"/>
        <w:rPr>
          <w:rFonts w:ascii="Arial" w:hAnsi="Arial" w:cs="Arial"/>
          <w:sz w:val="28"/>
          <w:szCs w:val="28"/>
        </w:rPr>
      </w:pPr>
    </w:p>
    <w:p w14:paraId="08E185D5" w14:textId="77777777" w:rsidR="0047283F" w:rsidRDefault="0047283F" w:rsidP="007C3571">
      <w:pPr>
        <w:ind w:right="57"/>
        <w:jc w:val="both"/>
        <w:rPr>
          <w:rFonts w:ascii="Arial" w:hAnsi="Arial" w:cs="Arial"/>
          <w:sz w:val="28"/>
          <w:szCs w:val="28"/>
        </w:rPr>
      </w:pPr>
    </w:p>
    <w:p w14:paraId="4BC6457E" w14:textId="77777777" w:rsidR="0047283F" w:rsidRDefault="0047283F" w:rsidP="007C3571">
      <w:pPr>
        <w:ind w:right="57"/>
        <w:jc w:val="both"/>
        <w:rPr>
          <w:rFonts w:ascii="Arial" w:hAnsi="Arial" w:cs="Arial"/>
          <w:sz w:val="28"/>
          <w:szCs w:val="28"/>
        </w:rPr>
      </w:pPr>
    </w:p>
    <w:p w14:paraId="041C0AF4" w14:textId="77777777" w:rsidR="0047283F" w:rsidRDefault="0047283F" w:rsidP="007C3571">
      <w:pPr>
        <w:ind w:right="57"/>
        <w:jc w:val="both"/>
        <w:rPr>
          <w:rFonts w:ascii="Arial" w:hAnsi="Arial" w:cs="Arial"/>
          <w:sz w:val="28"/>
          <w:szCs w:val="28"/>
        </w:rPr>
      </w:pPr>
    </w:p>
    <w:p w14:paraId="3220FFCB" w14:textId="77777777" w:rsidR="0047283F" w:rsidRDefault="0047283F" w:rsidP="007C3571">
      <w:pPr>
        <w:ind w:right="57"/>
        <w:jc w:val="both"/>
        <w:rPr>
          <w:rFonts w:ascii="Arial" w:hAnsi="Arial" w:cs="Arial"/>
          <w:sz w:val="28"/>
          <w:szCs w:val="28"/>
        </w:rPr>
      </w:pPr>
    </w:p>
    <w:p w14:paraId="5BF1BA71" w14:textId="77777777" w:rsidR="0047283F" w:rsidRDefault="0047283F" w:rsidP="007C3571">
      <w:pPr>
        <w:ind w:right="57"/>
        <w:jc w:val="both"/>
        <w:rPr>
          <w:rFonts w:ascii="Arial" w:hAnsi="Arial" w:cs="Arial"/>
          <w:sz w:val="28"/>
          <w:szCs w:val="28"/>
        </w:rPr>
      </w:pPr>
    </w:p>
    <w:p w14:paraId="52513A83" w14:textId="77777777" w:rsidR="0047283F" w:rsidRDefault="0047283F" w:rsidP="007C3571">
      <w:pPr>
        <w:ind w:right="57"/>
        <w:jc w:val="both"/>
        <w:rPr>
          <w:rFonts w:ascii="Arial" w:hAnsi="Arial" w:cs="Arial"/>
          <w:sz w:val="28"/>
          <w:szCs w:val="28"/>
        </w:rPr>
      </w:pPr>
    </w:p>
    <w:p w14:paraId="581A655C" w14:textId="77777777" w:rsidR="00EC6613" w:rsidRDefault="00EC6613" w:rsidP="007C3571">
      <w:pPr>
        <w:ind w:right="57"/>
        <w:jc w:val="both"/>
        <w:rPr>
          <w:rFonts w:ascii="Arial" w:hAnsi="Arial" w:cs="Arial"/>
          <w:sz w:val="28"/>
          <w:szCs w:val="28"/>
        </w:rPr>
      </w:pPr>
    </w:p>
    <w:p w14:paraId="3BE6087D" w14:textId="77777777" w:rsidR="0047283F" w:rsidRPr="00081A40" w:rsidRDefault="0047283F" w:rsidP="0047283F">
      <w:pPr>
        <w:ind w:right="57"/>
        <w:jc w:val="both"/>
        <w:rPr>
          <w:rFonts w:ascii="Arial" w:hAnsi="Arial" w:cs="Arial"/>
          <w:b/>
          <w:bCs/>
          <w:sz w:val="28"/>
          <w:szCs w:val="28"/>
        </w:rPr>
      </w:pPr>
      <w:r w:rsidRPr="00081A40">
        <w:rPr>
          <w:rFonts w:ascii="Arial" w:hAnsi="Arial" w:cs="Arial"/>
          <w:b/>
          <w:bCs/>
          <w:sz w:val="28"/>
          <w:szCs w:val="28"/>
        </w:rPr>
        <w:t>Research aim</w:t>
      </w:r>
    </w:p>
    <w:p w14:paraId="02E076E2" w14:textId="77777777" w:rsidR="0047283F" w:rsidRPr="00081A40" w:rsidRDefault="0047283F" w:rsidP="0047283F">
      <w:pPr>
        <w:ind w:right="57"/>
        <w:jc w:val="both"/>
        <w:rPr>
          <w:rFonts w:ascii="Arial" w:hAnsi="Arial" w:cs="Arial"/>
          <w:sz w:val="28"/>
          <w:szCs w:val="28"/>
        </w:rPr>
      </w:pPr>
      <w:r w:rsidRPr="00081A40">
        <w:rPr>
          <w:rFonts w:ascii="Arial" w:hAnsi="Arial" w:cs="Arial"/>
          <w:sz w:val="28"/>
          <w:szCs w:val="28"/>
        </w:rPr>
        <w:t>To critically investigate the determinants of Waitrose’s recent market decline within the UK grocery sector and to evaluate strategic options for restoring its competitive position and market performance in the context of intensifying price</w:t>
      </w:r>
      <w:r w:rsidRPr="00081A40">
        <w:rPr>
          <w:rFonts w:ascii="Arial" w:hAnsi="Arial" w:cs="Arial"/>
          <w:sz w:val="28"/>
          <w:szCs w:val="28"/>
        </w:rPr>
        <w:noBreakHyphen/>
        <w:t xml:space="preserve">based competition and changing consumer behaviour. </w:t>
      </w:r>
    </w:p>
    <w:p w14:paraId="783D7CE9" w14:textId="77777777" w:rsidR="0047283F" w:rsidRPr="00081A40" w:rsidRDefault="0047283F" w:rsidP="0047283F">
      <w:pPr>
        <w:ind w:right="57"/>
        <w:jc w:val="both"/>
        <w:rPr>
          <w:rFonts w:ascii="Arial" w:hAnsi="Arial" w:cs="Arial"/>
          <w:b/>
          <w:bCs/>
          <w:sz w:val="28"/>
          <w:szCs w:val="28"/>
        </w:rPr>
      </w:pPr>
      <w:r w:rsidRPr="00081A40">
        <w:rPr>
          <w:rFonts w:ascii="Arial" w:hAnsi="Arial" w:cs="Arial"/>
          <w:b/>
          <w:bCs/>
          <w:sz w:val="28"/>
          <w:szCs w:val="28"/>
        </w:rPr>
        <w:t>Research objectives</w:t>
      </w:r>
    </w:p>
    <w:p w14:paraId="69EDFB6B" w14:textId="77777777" w:rsidR="0047283F" w:rsidRPr="000A3AC5" w:rsidRDefault="0047283F" w:rsidP="0047283F">
      <w:pPr>
        <w:pStyle w:val="ListParagraph"/>
        <w:numPr>
          <w:ilvl w:val="0"/>
          <w:numId w:val="3"/>
        </w:numPr>
        <w:ind w:right="57"/>
        <w:jc w:val="both"/>
        <w:rPr>
          <w:rFonts w:ascii="Arial" w:hAnsi="Arial" w:cs="Arial"/>
          <w:sz w:val="28"/>
          <w:szCs w:val="28"/>
        </w:rPr>
      </w:pPr>
      <w:r w:rsidRPr="00CA313A">
        <w:rPr>
          <w:rFonts w:ascii="Arial" w:hAnsi="Arial" w:cs="Arial"/>
          <w:sz w:val="28"/>
          <w:szCs w:val="28"/>
          <w:u w:val="single"/>
        </w:rPr>
        <w:t>Market performance and competitive context</w:t>
      </w:r>
      <w:r w:rsidRPr="000A3AC5">
        <w:rPr>
          <w:rFonts w:ascii="Arial" w:hAnsi="Arial" w:cs="Arial"/>
          <w:sz w:val="28"/>
          <w:szCs w:val="28"/>
        </w:rPr>
        <w:t xml:space="preserve"> to analyse Waitrose’s market performance over the past 5–10 years relative to key competitors (Tesco, Sainsbury’s, Asda, Morrisons, Aldi, Lidl, M&amp;S), focusing on market share, revenue growth and format mix, to situate its decline within wider structural shifts in the UK grocery market. </w:t>
      </w:r>
    </w:p>
    <w:p w14:paraId="69D323B1" w14:textId="77777777" w:rsidR="0047283F" w:rsidRPr="000A3AC5" w:rsidRDefault="0047283F" w:rsidP="0047283F">
      <w:pPr>
        <w:pStyle w:val="ListParagraph"/>
        <w:numPr>
          <w:ilvl w:val="0"/>
          <w:numId w:val="3"/>
        </w:numPr>
        <w:ind w:right="57"/>
        <w:jc w:val="both"/>
        <w:rPr>
          <w:rFonts w:ascii="Arial" w:hAnsi="Arial" w:cs="Arial"/>
          <w:sz w:val="28"/>
          <w:szCs w:val="28"/>
        </w:rPr>
      </w:pPr>
      <w:r w:rsidRPr="00CA313A">
        <w:rPr>
          <w:rFonts w:ascii="Arial" w:hAnsi="Arial" w:cs="Arial"/>
          <w:sz w:val="28"/>
          <w:szCs w:val="28"/>
          <w:u w:val="single"/>
        </w:rPr>
        <w:t>Customer perceptions and value evaluation</w:t>
      </w:r>
      <w:r w:rsidRPr="000A3AC5">
        <w:rPr>
          <w:rFonts w:ascii="Arial" w:hAnsi="Arial" w:cs="Arial"/>
          <w:sz w:val="28"/>
          <w:szCs w:val="28"/>
        </w:rPr>
        <w:t xml:space="preserve"> to examine current and former Waitrose customers’ perceptions of value for money, quality, service and brand positioning, and to assess how these perceptions influence store choice and switching behaviour in a high</w:t>
      </w:r>
      <w:r w:rsidRPr="000A3AC5">
        <w:rPr>
          <w:rFonts w:ascii="Arial" w:hAnsi="Arial" w:cs="Arial"/>
          <w:sz w:val="28"/>
          <w:szCs w:val="28"/>
        </w:rPr>
        <w:noBreakHyphen/>
        <w:t>inflation, price</w:t>
      </w:r>
      <w:r w:rsidRPr="000A3AC5">
        <w:rPr>
          <w:rFonts w:ascii="Arial" w:hAnsi="Arial" w:cs="Arial"/>
          <w:sz w:val="28"/>
          <w:szCs w:val="28"/>
        </w:rPr>
        <w:noBreakHyphen/>
        <w:t xml:space="preserve">sensitive environment. </w:t>
      </w:r>
    </w:p>
    <w:p w14:paraId="640D25C0" w14:textId="77777777" w:rsidR="0047283F" w:rsidRPr="000A3AC5" w:rsidRDefault="0047283F" w:rsidP="0047283F">
      <w:pPr>
        <w:pStyle w:val="ListParagraph"/>
        <w:numPr>
          <w:ilvl w:val="0"/>
          <w:numId w:val="3"/>
        </w:numPr>
        <w:ind w:right="57"/>
        <w:jc w:val="both"/>
        <w:rPr>
          <w:rFonts w:ascii="Arial" w:hAnsi="Arial" w:cs="Arial"/>
          <w:sz w:val="28"/>
          <w:szCs w:val="28"/>
        </w:rPr>
      </w:pPr>
      <w:r w:rsidRPr="00CA313A">
        <w:rPr>
          <w:rFonts w:ascii="Arial" w:hAnsi="Arial" w:cs="Arial"/>
          <w:sz w:val="28"/>
          <w:szCs w:val="28"/>
          <w:u w:val="single"/>
        </w:rPr>
        <w:t>Strategic and marketing mix assessment</w:t>
      </w:r>
      <w:r w:rsidRPr="000A3AC5">
        <w:rPr>
          <w:rFonts w:ascii="Arial" w:hAnsi="Arial" w:cs="Arial"/>
          <w:sz w:val="28"/>
          <w:szCs w:val="28"/>
        </w:rPr>
        <w:t xml:space="preserve"> to evaluate the effectiveness of Waitrose’s pricing strategy, product assortment (including premium and own</w:t>
      </w:r>
      <w:r w:rsidRPr="000A3AC5">
        <w:rPr>
          <w:rFonts w:ascii="Arial" w:hAnsi="Arial" w:cs="Arial"/>
          <w:sz w:val="28"/>
          <w:szCs w:val="28"/>
        </w:rPr>
        <w:noBreakHyphen/>
        <w:t xml:space="preserve">label tiers), loyalty schemes and marketing communications compared with those of discounter and mainstream competitors. </w:t>
      </w:r>
    </w:p>
    <w:p w14:paraId="676E1888" w14:textId="77777777" w:rsidR="0047283F" w:rsidRPr="000A3AC5" w:rsidRDefault="0047283F" w:rsidP="0047283F">
      <w:pPr>
        <w:pStyle w:val="ListParagraph"/>
        <w:numPr>
          <w:ilvl w:val="0"/>
          <w:numId w:val="3"/>
        </w:numPr>
        <w:ind w:right="57"/>
        <w:jc w:val="both"/>
        <w:rPr>
          <w:rFonts w:ascii="Arial" w:hAnsi="Arial" w:cs="Arial"/>
          <w:sz w:val="28"/>
          <w:szCs w:val="28"/>
        </w:rPr>
      </w:pPr>
      <w:r w:rsidRPr="00CA313A">
        <w:rPr>
          <w:rFonts w:ascii="Arial" w:hAnsi="Arial" w:cs="Arial"/>
          <w:sz w:val="28"/>
          <w:szCs w:val="28"/>
          <w:u w:val="single"/>
        </w:rPr>
        <w:t>Internal and operational determinants</w:t>
      </w:r>
      <w:r w:rsidRPr="000A3AC5">
        <w:rPr>
          <w:rFonts w:ascii="Arial" w:hAnsi="Arial" w:cs="Arial"/>
          <w:sz w:val="28"/>
          <w:szCs w:val="28"/>
        </w:rPr>
        <w:t xml:space="preserve"> to identify internal operational factors—such as cost structure, supply</w:t>
      </w:r>
      <w:r w:rsidRPr="000A3AC5">
        <w:rPr>
          <w:rFonts w:ascii="Arial" w:hAnsi="Arial" w:cs="Arial"/>
          <w:sz w:val="28"/>
          <w:szCs w:val="28"/>
        </w:rPr>
        <w:noBreakHyphen/>
        <w:t>chain efficiency and in</w:t>
      </w:r>
      <w:r w:rsidRPr="000A3AC5">
        <w:rPr>
          <w:rFonts w:ascii="Arial" w:hAnsi="Arial" w:cs="Arial"/>
          <w:sz w:val="28"/>
          <w:szCs w:val="28"/>
        </w:rPr>
        <w:noBreakHyphen/>
        <w:t xml:space="preserve">store experience—that may be constraining Waitrose’s ability to compete on price and convenience while sustaining a premium brand proposition. </w:t>
      </w:r>
    </w:p>
    <w:p w14:paraId="05AFF4D3" w14:textId="77777777" w:rsidR="0047283F" w:rsidRDefault="0047283F" w:rsidP="0047283F">
      <w:pPr>
        <w:pStyle w:val="ListParagraph"/>
        <w:numPr>
          <w:ilvl w:val="0"/>
          <w:numId w:val="3"/>
        </w:numPr>
        <w:ind w:right="57"/>
        <w:jc w:val="both"/>
        <w:rPr>
          <w:rFonts w:ascii="Arial" w:hAnsi="Arial" w:cs="Arial"/>
          <w:sz w:val="28"/>
          <w:szCs w:val="28"/>
        </w:rPr>
      </w:pPr>
      <w:r w:rsidRPr="00CA313A">
        <w:rPr>
          <w:rFonts w:ascii="Arial" w:hAnsi="Arial" w:cs="Arial"/>
          <w:sz w:val="28"/>
          <w:szCs w:val="28"/>
          <w:u w:val="single"/>
        </w:rPr>
        <w:t>Strategy development</w:t>
      </w:r>
      <w:r w:rsidRPr="000A3AC5">
        <w:rPr>
          <w:rFonts w:ascii="Arial" w:hAnsi="Arial" w:cs="Arial"/>
          <w:sz w:val="28"/>
          <w:szCs w:val="28"/>
        </w:rPr>
        <w:t xml:space="preserve"> to develop evidence</w:t>
      </w:r>
      <w:r w:rsidRPr="000A3AC5">
        <w:rPr>
          <w:rFonts w:ascii="Arial" w:hAnsi="Arial" w:cs="Arial"/>
          <w:sz w:val="28"/>
          <w:szCs w:val="28"/>
        </w:rPr>
        <w:noBreakHyphen/>
        <w:t>based strategic recommendations for Waitrose aimed at stabilising or improving market share, enhancing customer loyalty and strengthening its differentiated position within the UK grocery landscape.</w:t>
      </w:r>
    </w:p>
    <w:p w14:paraId="4A4FE6D8" w14:textId="77777777" w:rsidR="0047283F" w:rsidRDefault="0047283F" w:rsidP="0047283F">
      <w:pPr>
        <w:ind w:right="57"/>
        <w:jc w:val="both"/>
        <w:rPr>
          <w:rFonts w:ascii="Arial" w:hAnsi="Arial" w:cs="Arial"/>
          <w:sz w:val="28"/>
          <w:szCs w:val="28"/>
        </w:rPr>
      </w:pPr>
    </w:p>
    <w:p w14:paraId="7657BC0A" w14:textId="77777777" w:rsidR="0047283F" w:rsidRPr="00CA313A" w:rsidRDefault="0047283F" w:rsidP="0047283F">
      <w:pPr>
        <w:ind w:right="57"/>
        <w:jc w:val="both"/>
        <w:rPr>
          <w:rFonts w:ascii="Arial" w:hAnsi="Arial" w:cs="Arial"/>
          <w:sz w:val="28"/>
          <w:szCs w:val="28"/>
        </w:rPr>
      </w:pPr>
      <w:r w:rsidRPr="00CA313A">
        <w:rPr>
          <w:rFonts w:ascii="Arial" w:hAnsi="Arial" w:cs="Arial"/>
          <w:sz w:val="28"/>
          <w:szCs w:val="28"/>
        </w:rPr>
        <w:t xml:space="preserve"> </w:t>
      </w:r>
    </w:p>
    <w:p w14:paraId="1ED5C817" w14:textId="77777777" w:rsidR="0047283F" w:rsidRPr="00081A40" w:rsidRDefault="0047283F" w:rsidP="0047283F">
      <w:pPr>
        <w:ind w:right="57"/>
        <w:jc w:val="both"/>
        <w:rPr>
          <w:rFonts w:ascii="Arial" w:hAnsi="Arial" w:cs="Arial"/>
          <w:b/>
          <w:bCs/>
          <w:sz w:val="28"/>
          <w:szCs w:val="28"/>
        </w:rPr>
      </w:pPr>
      <w:r w:rsidRPr="00081A40">
        <w:rPr>
          <w:rFonts w:ascii="Arial" w:hAnsi="Arial" w:cs="Arial"/>
          <w:b/>
          <w:bCs/>
          <w:sz w:val="28"/>
          <w:szCs w:val="28"/>
        </w:rPr>
        <w:lastRenderedPageBreak/>
        <w:t>Research questions (aligned to objectives)</w:t>
      </w:r>
    </w:p>
    <w:p w14:paraId="0A69E8F5" w14:textId="77777777" w:rsidR="0047283F" w:rsidRPr="00081A40" w:rsidRDefault="0047283F" w:rsidP="0047283F">
      <w:pPr>
        <w:ind w:right="57"/>
        <w:jc w:val="both"/>
        <w:rPr>
          <w:rFonts w:ascii="Arial" w:hAnsi="Arial" w:cs="Arial"/>
          <w:sz w:val="28"/>
          <w:szCs w:val="28"/>
        </w:rPr>
      </w:pPr>
      <w:r w:rsidRPr="00081A40">
        <w:rPr>
          <w:rFonts w:ascii="Arial" w:hAnsi="Arial" w:cs="Arial"/>
          <w:b/>
          <w:bCs/>
          <w:sz w:val="28"/>
          <w:szCs w:val="28"/>
        </w:rPr>
        <w:t>R</w:t>
      </w:r>
      <w:r>
        <w:rPr>
          <w:rFonts w:ascii="Arial" w:hAnsi="Arial" w:cs="Arial"/>
          <w:b/>
          <w:bCs/>
          <w:sz w:val="28"/>
          <w:szCs w:val="28"/>
        </w:rPr>
        <w:t xml:space="preserve">esearch </w:t>
      </w:r>
      <w:r w:rsidRPr="00081A40">
        <w:rPr>
          <w:rFonts w:ascii="Arial" w:hAnsi="Arial" w:cs="Arial"/>
          <w:b/>
          <w:bCs/>
          <w:sz w:val="28"/>
          <w:szCs w:val="28"/>
        </w:rPr>
        <w:t>Q</w:t>
      </w:r>
      <w:r>
        <w:rPr>
          <w:rFonts w:ascii="Arial" w:hAnsi="Arial" w:cs="Arial"/>
          <w:b/>
          <w:bCs/>
          <w:sz w:val="28"/>
          <w:szCs w:val="28"/>
        </w:rPr>
        <w:t xml:space="preserve">uestion </w:t>
      </w:r>
      <w:r w:rsidRPr="00081A40">
        <w:rPr>
          <w:rFonts w:ascii="Arial" w:hAnsi="Arial" w:cs="Arial"/>
          <w:b/>
          <w:bCs/>
          <w:sz w:val="28"/>
          <w:szCs w:val="28"/>
        </w:rPr>
        <w:t>1</w:t>
      </w:r>
      <w:r>
        <w:rPr>
          <w:rFonts w:ascii="Arial" w:hAnsi="Arial" w:cs="Arial"/>
          <w:b/>
          <w:bCs/>
          <w:sz w:val="28"/>
          <w:szCs w:val="28"/>
        </w:rPr>
        <w:t xml:space="preserve"> - </w:t>
      </w:r>
      <w:r w:rsidRPr="00081A40">
        <w:rPr>
          <w:rFonts w:ascii="Arial" w:hAnsi="Arial" w:cs="Arial"/>
          <w:b/>
          <w:bCs/>
          <w:sz w:val="28"/>
          <w:szCs w:val="28"/>
        </w:rPr>
        <w:t>(Objective 1 – Market performance)</w:t>
      </w:r>
      <w:r>
        <w:rPr>
          <w:rFonts w:ascii="Arial" w:hAnsi="Arial" w:cs="Arial"/>
          <w:sz w:val="28"/>
          <w:szCs w:val="28"/>
        </w:rPr>
        <w:t xml:space="preserve">: </w:t>
      </w:r>
      <w:r w:rsidRPr="00081A40">
        <w:rPr>
          <w:rFonts w:ascii="Arial" w:hAnsi="Arial" w:cs="Arial"/>
          <w:sz w:val="28"/>
          <w:szCs w:val="28"/>
        </w:rPr>
        <w:t xml:space="preserve">To what extent has Waitrose’s market share and sales performance changed over the past 5–10 years relative to key competitors, and how do these trends reflect broader structural changes in the UK grocery sector (e.g. discounter growth, format shifts, online penetration)? </w:t>
      </w:r>
    </w:p>
    <w:p w14:paraId="1C1AC73D" w14:textId="77777777" w:rsidR="0047283F" w:rsidRPr="00081A40" w:rsidRDefault="0047283F" w:rsidP="0047283F">
      <w:pPr>
        <w:ind w:right="57"/>
        <w:jc w:val="both"/>
        <w:rPr>
          <w:rFonts w:ascii="Arial" w:hAnsi="Arial" w:cs="Arial"/>
          <w:sz w:val="28"/>
          <w:szCs w:val="28"/>
        </w:rPr>
      </w:pPr>
      <w:r w:rsidRPr="00081A40">
        <w:rPr>
          <w:rFonts w:ascii="Arial" w:hAnsi="Arial" w:cs="Arial"/>
          <w:b/>
          <w:bCs/>
          <w:sz w:val="28"/>
          <w:szCs w:val="28"/>
        </w:rPr>
        <w:t>R</w:t>
      </w:r>
      <w:r>
        <w:rPr>
          <w:rFonts w:ascii="Arial" w:hAnsi="Arial" w:cs="Arial"/>
          <w:b/>
          <w:bCs/>
          <w:sz w:val="28"/>
          <w:szCs w:val="28"/>
        </w:rPr>
        <w:t xml:space="preserve">esearch </w:t>
      </w:r>
      <w:r w:rsidRPr="00081A40">
        <w:rPr>
          <w:rFonts w:ascii="Arial" w:hAnsi="Arial" w:cs="Arial"/>
          <w:b/>
          <w:bCs/>
          <w:sz w:val="28"/>
          <w:szCs w:val="28"/>
        </w:rPr>
        <w:t>Q</w:t>
      </w:r>
      <w:r>
        <w:rPr>
          <w:rFonts w:ascii="Arial" w:hAnsi="Arial" w:cs="Arial"/>
          <w:b/>
          <w:bCs/>
          <w:sz w:val="28"/>
          <w:szCs w:val="28"/>
        </w:rPr>
        <w:t xml:space="preserve">uestion </w:t>
      </w:r>
      <w:r w:rsidRPr="00081A40">
        <w:rPr>
          <w:rFonts w:ascii="Arial" w:hAnsi="Arial" w:cs="Arial"/>
          <w:b/>
          <w:bCs/>
          <w:sz w:val="28"/>
          <w:szCs w:val="28"/>
        </w:rPr>
        <w:t>2</w:t>
      </w:r>
      <w:r>
        <w:rPr>
          <w:rFonts w:ascii="Arial" w:hAnsi="Arial" w:cs="Arial"/>
          <w:b/>
          <w:bCs/>
          <w:sz w:val="28"/>
          <w:szCs w:val="28"/>
        </w:rPr>
        <w:t xml:space="preserve"> - </w:t>
      </w:r>
      <w:r w:rsidRPr="00081A40">
        <w:rPr>
          <w:rFonts w:ascii="Arial" w:hAnsi="Arial" w:cs="Arial"/>
          <w:b/>
          <w:bCs/>
          <w:sz w:val="28"/>
          <w:szCs w:val="28"/>
        </w:rPr>
        <w:t>(Objective 2 – Customer perceptions)</w:t>
      </w:r>
      <w:r>
        <w:rPr>
          <w:rFonts w:ascii="Arial" w:hAnsi="Arial" w:cs="Arial"/>
          <w:b/>
          <w:bCs/>
          <w:sz w:val="28"/>
          <w:szCs w:val="28"/>
        </w:rPr>
        <w:t>:</w:t>
      </w:r>
      <w:r w:rsidRPr="00081A40">
        <w:rPr>
          <w:rFonts w:ascii="Arial" w:hAnsi="Arial" w:cs="Arial"/>
          <w:sz w:val="28"/>
          <w:szCs w:val="28"/>
        </w:rPr>
        <w:t xml:space="preserve"> How do current and lapsed customers perceive Waitrose in terms of value for money, product quality, service and overall brand experience compared with competing retailers, and how do these perceptions influence their store choice and switching behaviour? </w:t>
      </w:r>
    </w:p>
    <w:p w14:paraId="4A5A2688" w14:textId="77777777" w:rsidR="0047283F" w:rsidRPr="00081A40" w:rsidRDefault="0047283F" w:rsidP="0047283F">
      <w:pPr>
        <w:ind w:right="57"/>
        <w:jc w:val="both"/>
        <w:rPr>
          <w:rFonts w:ascii="Arial" w:hAnsi="Arial" w:cs="Arial"/>
          <w:sz w:val="28"/>
          <w:szCs w:val="28"/>
        </w:rPr>
      </w:pPr>
      <w:r w:rsidRPr="00081A40">
        <w:rPr>
          <w:rFonts w:ascii="Arial" w:hAnsi="Arial" w:cs="Arial"/>
          <w:b/>
          <w:bCs/>
          <w:sz w:val="28"/>
          <w:szCs w:val="28"/>
        </w:rPr>
        <w:t>R</w:t>
      </w:r>
      <w:r>
        <w:rPr>
          <w:rFonts w:ascii="Arial" w:hAnsi="Arial" w:cs="Arial"/>
          <w:b/>
          <w:bCs/>
          <w:sz w:val="28"/>
          <w:szCs w:val="28"/>
        </w:rPr>
        <w:t xml:space="preserve">esearch </w:t>
      </w:r>
      <w:r w:rsidRPr="00081A40">
        <w:rPr>
          <w:rFonts w:ascii="Arial" w:hAnsi="Arial" w:cs="Arial"/>
          <w:b/>
          <w:bCs/>
          <w:sz w:val="28"/>
          <w:szCs w:val="28"/>
        </w:rPr>
        <w:t>Q</w:t>
      </w:r>
      <w:r>
        <w:rPr>
          <w:rFonts w:ascii="Arial" w:hAnsi="Arial" w:cs="Arial"/>
          <w:b/>
          <w:bCs/>
          <w:sz w:val="28"/>
          <w:szCs w:val="28"/>
        </w:rPr>
        <w:t xml:space="preserve">uestion </w:t>
      </w:r>
      <w:r w:rsidRPr="00081A40">
        <w:rPr>
          <w:rFonts w:ascii="Arial" w:hAnsi="Arial" w:cs="Arial"/>
          <w:b/>
          <w:bCs/>
          <w:sz w:val="28"/>
          <w:szCs w:val="28"/>
        </w:rPr>
        <w:t>3</w:t>
      </w:r>
      <w:r>
        <w:rPr>
          <w:rFonts w:ascii="Arial" w:hAnsi="Arial" w:cs="Arial"/>
          <w:b/>
          <w:bCs/>
          <w:sz w:val="28"/>
          <w:szCs w:val="28"/>
        </w:rPr>
        <w:t xml:space="preserve"> - </w:t>
      </w:r>
      <w:r w:rsidRPr="00081A40">
        <w:rPr>
          <w:rFonts w:ascii="Arial" w:hAnsi="Arial" w:cs="Arial"/>
          <w:b/>
          <w:bCs/>
          <w:sz w:val="28"/>
          <w:szCs w:val="28"/>
        </w:rPr>
        <w:t>(Objective 3 – Strategic and marketing mix)</w:t>
      </w:r>
      <w:r>
        <w:rPr>
          <w:rFonts w:ascii="Arial" w:hAnsi="Arial" w:cs="Arial"/>
          <w:b/>
          <w:bCs/>
          <w:sz w:val="28"/>
          <w:szCs w:val="28"/>
        </w:rPr>
        <w:t>:</w:t>
      </w:r>
      <w:r w:rsidRPr="00081A40">
        <w:rPr>
          <w:rFonts w:ascii="Arial" w:hAnsi="Arial" w:cs="Arial"/>
          <w:sz w:val="28"/>
          <w:szCs w:val="28"/>
        </w:rPr>
        <w:t xml:space="preserve"> How effective are Waitrose’s pricing, product range (including premium and value tiers), loyalty programmes and marketing communications when benchmarked against discounters and mainstream supermarkets, particularly in the context of heightened price competition and constrained household budgets? </w:t>
      </w:r>
    </w:p>
    <w:p w14:paraId="7F851228" w14:textId="77777777" w:rsidR="0047283F" w:rsidRPr="00081A40" w:rsidRDefault="0047283F" w:rsidP="0047283F">
      <w:pPr>
        <w:ind w:right="57"/>
        <w:jc w:val="both"/>
        <w:rPr>
          <w:rFonts w:ascii="Arial" w:hAnsi="Arial" w:cs="Arial"/>
          <w:sz w:val="28"/>
          <w:szCs w:val="28"/>
        </w:rPr>
      </w:pPr>
      <w:r w:rsidRPr="00081A40">
        <w:rPr>
          <w:rFonts w:ascii="Arial" w:hAnsi="Arial" w:cs="Arial"/>
          <w:b/>
          <w:bCs/>
          <w:sz w:val="28"/>
          <w:szCs w:val="28"/>
        </w:rPr>
        <w:t>R</w:t>
      </w:r>
      <w:r>
        <w:rPr>
          <w:rFonts w:ascii="Arial" w:hAnsi="Arial" w:cs="Arial"/>
          <w:b/>
          <w:bCs/>
          <w:sz w:val="28"/>
          <w:szCs w:val="28"/>
        </w:rPr>
        <w:t xml:space="preserve">esearch </w:t>
      </w:r>
      <w:r w:rsidRPr="00081A40">
        <w:rPr>
          <w:rFonts w:ascii="Arial" w:hAnsi="Arial" w:cs="Arial"/>
          <w:b/>
          <w:bCs/>
          <w:sz w:val="28"/>
          <w:szCs w:val="28"/>
        </w:rPr>
        <w:t>Q</w:t>
      </w:r>
      <w:r>
        <w:rPr>
          <w:rFonts w:ascii="Arial" w:hAnsi="Arial" w:cs="Arial"/>
          <w:b/>
          <w:bCs/>
          <w:sz w:val="28"/>
          <w:szCs w:val="28"/>
        </w:rPr>
        <w:t xml:space="preserve">uestion </w:t>
      </w:r>
      <w:r w:rsidRPr="00081A40">
        <w:rPr>
          <w:rFonts w:ascii="Arial" w:hAnsi="Arial" w:cs="Arial"/>
          <w:b/>
          <w:bCs/>
          <w:sz w:val="28"/>
          <w:szCs w:val="28"/>
        </w:rPr>
        <w:t>4</w:t>
      </w:r>
      <w:r>
        <w:rPr>
          <w:rFonts w:ascii="Arial" w:hAnsi="Arial" w:cs="Arial"/>
          <w:b/>
          <w:bCs/>
          <w:sz w:val="28"/>
          <w:szCs w:val="28"/>
        </w:rPr>
        <w:t xml:space="preserve"> - </w:t>
      </w:r>
      <w:r w:rsidRPr="00081A40">
        <w:rPr>
          <w:rFonts w:ascii="Arial" w:hAnsi="Arial" w:cs="Arial"/>
          <w:b/>
          <w:bCs/>
          <w:sz w:val="28"/>
          <w:szCs w:val="28"/>
        </w:rPr>
        <w:t>(Objective 4 – Internal operations)</w:t>
      </w:r>
      <w:r>
        <w:rPr>
          <w:rFonts w:ascii="Arial" w:hAnsi="Arial" w:cs="Arial"/>
          <w:b/>
          <w:bCs/>
          <w:sz w:val="28"/>
          <w:szCs w:val="28"/>
        </w:rPr>
        <w:t>:</w:t>
      </w:r>
      <w:r w:rsidRPr="00081A40">
        <w:rPr>
          <w:rFonts w:ascii="Arial" w:hAnsi="Arial" w:cs="Arial"/>
          <w:sz w:val="28"/>
          <w:szCs w:val="28"/>
        </w:rPr>
        <w:t xml:space="preserve"> What internal operational challenges—such as supply</w:t>
      </w:r>
      <w:r w:rsidRPr="00081A40">
        <w:rPr>
          <w:rFonts w:ascii="Arial" w:hAnsi="Arial" w:cs="Arial"/>
          <w:sz w:val="28"/>
          <w:szCs w:val="28"/>
        </w:rPr>
        <w:noBreakHyphen/>
        <w:t>chain efficiency, cost structure, store format and in</w:t>
      </w:r>
      <w:r w:rsidRPr="00081A40">
        <w:rPr>
          <w:rFonts w:ascii="Arial" w:hAnsi="Arial" w:cs="Arial"/>
          <w:sz w:val="28"/>
          <w:szCs w:val="28"/>
        </w:rPr>
        <w:noBreakHyphen/>
        <w:t xml:space="preserve">store experience—are limiting Waitrose’s ability to respond to competitive pressures while maintaining its premium positioning? </w:t>
      </w:r>
    </w:p>
    <w:p w14:paraId="2F16982C" w14:textId="77777777" w:rsidR="0047283F" w:rsidRDefault="0047283F" w:rsidP="0047283F">
      <w:pPr>
        <w:ind w:right="57"/>
        <w:jc w:val="both"/>
        <w:rPr>
          <w:rFonts w:ascii="Arial" w:hAnsi="Arial" w:cs="Arial"/>
          <w:sz w:val="28"/>
          <w:szCs w:val="28"/>
        </w:rPr>
      </w:pPr>
      <w:r w:rsidRPr="00081A40">
        <w:rPr>
          <w:rFonts w:ascii="Arial" w:hAnsi="Arial" w:cs="Arial"/>
          <w:b/>
          <w:bCs/>
          <w:sz w:val="28"/>
          <w:szCs w:val="28"/>
        </w:rPr>
        <w:t>R</w:t>
      </w:r>
      <w:r>
        <w:rPr>
          <w:rFonts w:ascii="Arial" w:hAnsi="Arial" w:cs="Arial"/>
          <w:b/>
          <w:bCs/>
          <w:sz w:val="28"/>
          <w:szCs w:val="28"/>
        </w:rPr>
        <w:t xml:space="preserve">esearch </w:t>
      </w:r>
      <w:r w:rsidRPr="00081A40">
        <w:rPr>
          <w:rFonts w:ascii="Arial" w:hAnsi="Arial" w:cs="Arial"/>
          <w:b/>
          <w:bCs/>
          <w:sz w:val="28"/>
          <w:szCs w:val="28"/>
        </w:rPr>
        <w:t>Q</w:t>
      </w:r>
      <w:r>
        <w:rPr>
          <w:rFonts w:ascii="Arial" w:hAnsi="Arial" w:cs="Arial"/>
          <w:b/>
          <w:bCs/>
          <w:sz w:val="28"/>
          <w:szCs w:val="28"/>
        </w:rPr>
        <w:t xml:space="preserve">uestion </w:t>
      </w:r>
      <w:r w:rsidRPr="00081A40">
        <w:rPr>
          <w:rFonts w:ascii="Arial" w:hAnsi="Arial" w:cs="Arial"/>
          <w:b/>
          <w:bCs/>
          <w:sz w:val="28"/>
          <w:szCs w:val="28"/>
        </w:rPr>
        <w:t>5</w:t>
      </w:r>
      <w:r>
        <w:rPr>
          <w:rFonts w:ascii="Arial" w:hAnsi="Arial" w:cs="Arial"/>
          <w:b/>
          <w:bCs/>
          <w:sz w:val="28"/>
          <w:szCs w:val="28"/>
        </w:rPr>
        <w:t xml:space="preserve"> -</w:t>
      </w:r>
      <w:r w:rsidRPr="00081A40">
        <w:rPr>
          <w:rFonts w:ascii="Arial" w:hAnsi="Arial" w:cs="Arial"/>
          <w:b/>
          <w:bCs/>
          <w:sz w:val="28"/>
          <w:szCs w:val="28"/>
        </w:rPr>
        <w:t xml:space="preserve"> (Objective 5 – Strategic responses)</w:t>
      </w:r>
      <w:r>
        <w:rPr>
          <w:rFonts w:ascii="Arial" w:hAnsi="Arial" w:cs="Arial"/>
          <w:b/>
          <w:bCs/>
          <w:sz w:val="28"/>
          <w:szCs w:val="28"/>
        </w:rPr>
        <w:t>:</w:t>
      </w:r>
      <w:r w:rsidRPr="00081A40">
        <w:rPr>
          <w:rFonts w:ascii="Arial" w:hAnsi="Arial" w:cs="Arial"/>
          <w:sz w:val="28"/>
          <w:szCs w:val="28"/>
        </w:rPr>
        <w:t xml:space="preserve"> Which strategic initiatives (e.g. repositioning of value tiers, format innovation, partnership or digital strategies) are most likely to enhance Waitrose’s competitiveness, improve customer retention and support sustainable market performance? </w:t>
      </w:r>
    </w:p>
    <w:p w14:paraId="10D88B68" w14:textId="77777777" w:rsidR="0047283F" w:rsidRDefault="0047283F" w:rsidP="0047283F">
      <w:pPr>
        <w:ind w:right="57"/>
        <w:jc w:val="both"/>
        <w:rPr>
          <w:rFonts w:ascii="Arial" w:hAnsi="Arial" w:cs="Arial"/>
          <w:sz w:val="28"/>
          <w:szCs w:val="28"/>
        </w:rPr>
      </w:pPr>
    </w:p>
    <w:p w14:paraId="5E68C9D4" w14:textId="77777777" w:rsidR="0047283F" w:rsidRDefault="0047283F" w:rsidP="0047283F">
      <w:pPr>
        <w:ind w:right="57"/>
        <w:jc w:val="both"/>
        <w:rPr>
          <w:rFonts w:ascii="Arial" w:hAnsi="Arial" w:cs="Arial"/>
          <w:sz w:val="28"/>
          <w:szCs w:val="28"/>
        </w:rPr>
      </w:pPr>
    </w:p>
    <w:p w14:paraId="7513BAEE" w14:textId="77777777" w:rsidR="0047283F" w:rsidRDefault="0047283F" w:rsidP="0047283F">
      <w:pPr>
        <w:ind w:right="57"/>
        <w:jc w:val="both"/>
        <w:rPr>
          <w:rFonts w:ascii="Arial" w:hAnsi="Arial" w:cs="Arial"/>
          <w:sz w:val="28"/>
          <w:szCs w:val="28"/>
        </w:rPr>
      </w:pPr>
    </w:p>
    <w:p w14:paraId="10F73267" w14:textId="77777777" w:rsidR="0047283F" w:rsidRDefault="0047283F" w:rsidP="0047283F">
      <w:pPr>
        <w:ind w:right="57"/>
        <w:jc w:val="both"/>
        <w:rPr>
          <w:rFonts w:ascii="Arial" w:hAnsi="Arial" w:cs="Arial"/>
          <w:sz w:val="28"/>
          <w:szCs w:val="28"/>
        </w:rPr>
      </w:pPr>
    </w:p>
    <w:p w14:paraId="7655494B" w14:textId="77777777" w:rsidR="0047283F" w:rsidRDefault="0047283F" w:rsidP="0047283F">
      <w:pPr>
        <w:ind w:right="57"/>
        <w:jc w:val="both"/>
        <w:rPr>
          <w:rFonts w:ascii="Arial" w:hAnsi="Arial" w:cs="Arial"/>
          <w:sz w:val="28"/>
          <w:szCs w:val="28"/>
        </w:rPr>
      </w:pPr>
    </w:p>
    <w:p w14:paraId="40E9C512" w14:textId="77777777" w:rsidR="0047283F" w:rsidRDefault="0047283F" w:rsidP="0047283F">
      <w:pPr>
        <w:ind w:right="57"/>
        <w:jc w:val="both"/>
        <w:rPr>
          <w:rFonts w:ascii="Arial" w:hAnsi="Arial" w:cs="Arial"/>
          <w:sz w:val="28"/>
          <w:szCs w:val="28"/>
        </w:rPr>
      </w:pPr>
    </w:p>
    <w:p w14:paraId="633A2312" w14:textId="77777777" w:rsidR="0047283F" w:rsidRDefault="0047283F" w:rsidP="0047283F">
      <w:pPr>
        <w:ind w:right="57"/>
        <w:jc w:val="both"/>
        <w:rPr>
          <w:rFonts w:ascii="Arial" w:hAnsi="Arial" w:cs="Arial"/>
          <w:sz w:val="28"/>
          <w:szCs w:val="28"/>
        </w:rPr>
      </w:pPr>
    </w:p>
    <w:p w14:paraId="48605A15" w14:textId="77777777" w:rsidR="0047283F" w:rsidRPr="00081A40" w:rsidRDefault="0047283F" w:rsidP="0047283F">
      <w:pPr>
        <w:ind w:right="57"/>
        <w:jc w:val="both"/>
        <w:rPr>
          <w:rFonts w:ascii="Arial" w:hAnsi="Arial" w:cs="Arial"/>
          <w:sz w:val="28"/>
          <w:szCs w:val="28"/>
        </w:rPr>
      </w:pPr>
    </w:p>
    <w:p w14:paraId="336CAABA" w14:textId="77777777" w:rsidR="0047283F" w:rsidRDefault="0047283F" w:rsidP="0047283F">
      <w:pPr>
        <w:ind w:right="57"/>
        <w:jc w:val="both"/>
        <w:rPr>
          <w:rFonts w:ascii="Arial" w:hAnsi="Arial" w:cs="Arial"/>
          <w:b/>
          <w:bCs/>
          <w:sz w:val="28"/>
          <w:szCs w:val="28"/>
        </w:rPr>
      </w:pPr>
      <w:r w:rsidRPr="00081A40">
        <w:rPr>
          <w:rFonts w:ascii="Arial" w:hAnsi="Arial" w:cs="Arial"/>
          <w:b/>
          <w:bCs/>
          <w:sz w:val="28"/>
          <w:szCs w:val="28"/>
        </w:rPr>
        <w:t>Alignment between aim, objectives, questions and outcomes</w:t>
      </w:r>
    </w:p>
    <w:p w14:paraId="6ADE65E7" w14:textId="77777777" w:rsidR="0047283F" w:rsidRDefault="0047283F" w:rsidP="0047283F">
      <w:pPr>
        <w:ind w:right="57"/>
        <w:jc w:val="both"/>
        <w:rPr>
          <w:rFonts w:ascii="Arial" w:hAnsi="Arial" w:cs="Arial"/>
          <w:b/>
          <w:bCs/>
          <w:sz w:val="28"/>
          <w:szCs w:val="28"/>
        </w:rPr>
      </w:pPr>
    </w:p>
    <w:tbl>
      <w:tblPr>
        <w:tblStyle w:val="TableGrid"/>
        <w:tblW w:w="10831" w:type="dxa"/>
        <w:tblInd w:w="-714" w:type="dxa"/>
        <w:tblLook w:val="04A0" w:firstRow="1" w:lastRow="0" w:firstColumn="1" w:lastColumn="0" w:noHBand="0" w:noVBand="1"/>
      </w:tblPr>
      <w:tblGrid>
        <w:gridCol w:w="2269"/>
        <w:gridCol w:w="5189"/>
        <w:gridCol w:w="3373"/>
      </w:tblGrid>
      <w:tr w:rsidR="0047283F" w14:paraId="5D36255B" w14:textId="77777777" w:rsidTr="00F83DB6">
        <w:trPr>
          <w:trHeight w:val="392"/>
        </w:trPr>
        <w:tc>
          <w:tcPr>
            <w:tcW w:w="2269" w:type="dxa"/>
          </w:tcPr>
          <w:p w14:paraId="70F841EE" w14:textId="77777777" w:rsidR="0047283F" w:rsidRDefault="0047283F" w:rsidP="00F83DB6">
            <w:pPr>
              <w:ind w:right="57"/>
              <w:jc w:val="both"/>
              <w:rPr>
                <w:rFonts w:ascii="Arial" w:hAnsi="Arial" w:cs="Arial"/>
                <w:b/>
                <w:bCs/>
                <w:sz w:val="28"/>
                <w:szCs w:val="28"/>
              </w:rPr>
            </w:pPr>
            <w:r>
              <w:rPr>
                <w:rFonts w:ascii="Arial" w:hAnsi="Arial" w:cs="Arial"/>
                <w:b/>
                <w:bCs/>
                <w:sz w:val="28"/>
                <w:szCs w:val="28"/>
              </w:rPr>
              <w:t>Element</w:t>
            </w:r>
          </w:p>
        </w:tc>
        <w:tc>
          <w:tcPr>
            <w:tcW w:w="5189" w:type="dxa"/>
          </w:tcPr>
          <w:p w14:paraId="7F0640C4" w14:textId="77777777" w:rsidR="0047283F" w:rsidRDefault="0047283F" w:rsidP="00F83DB6">
            <w:pPr>
              <w:ind w:right="57"/>
              <w:jc w:val="both"/>
              <w:rPr>
                <w:rFonts w:ascii="Arial" w:hAnsi="Arial" w:cs="Arial"/>
                <w:b/>
                <w:bCs/>
                <w:sz w:val="28"/>
                <w:szCs w:val="28"/>
              </w:rPr>
            </w:pPr>
            <w:r>
              <w:rPr>
                <w:rFonts w:ascii="Arial" w:hAnsi="Arial" w:cs="Arial"/>
                <w:b/>
                <w:bCs/>
                <w:sz w:val="28"/>
                <w:szCs w:val="28"/>
              </w:rPr>
              <w:t>Content</w:t>
            </w:r>
          </w:p>
        </w:tc>
        <w:tc>
          <w:tcPr>
            <w:tcW w:w="3373" w:type="dxa"/>
          </w:tcPr>
          <w:p w14:paraId="2DEFA267" w14:textId="77777777" w:rsidR="0047283F" w:rsidRDefault="0047283F" w:rsidP="00F83DB6">
            <w:pPr>
              <w:ind w:right="57"/>
              <w:jc w:val="both"/>
              <w:rPr>
                <w:rFonts w:ascii="Arial" w:hAnsi="Arial" w:cs="Arial"/>
                <w:b/>
                <w:bCs/>
                <w:sz w:val="28"/>
                <w:szCs w:val="28"/>
              </w:rPr>
            </w:pPr>
            <w:r>
              <w:rPr>
                <w:rFonts w:ascii="Arial" w:hAnsi="Arial" w:cs="Arial"/>
                <w:b/>
                <w:bCs/>
                <w:sz w:val="28"/>
                <w:szCs w:val="28"/>
              </w:rPr>
              <w:t>Expected outcome</w:t>
            </w:r>
          </w:p>
        </w:tc>
      </w:tr>
      <w:tr w:rsidR="0047283F" w:rsidRPr="006038B8" w14:paraId="748E3F69" w14:textId="77777777" w:rsidTr="00F83DB6">
        <w:trPr>
          <w:trHeight w:val="1037"/>
        </w:trPr>
        <w:tc>
          <w:tcPr>
            <w:tcW w:w="2269" w:type="dxa"/>
          </w:tcPr>
          <w:p w14:paraId="0143E908"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Aim</w:t>
            </w:r>
          </w:p>
        </w:tc>
        <w:tc>
          <w:tcPr>
            <w:tcW w:w="5189" w:type="dxa"/>
          </w:tcPr>
          <w:p w14:paraId="254F8AA2"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Investigate and evaluate determinants of Waitrose’s market decline and strategic options.</w:t>
            </w:r>
          </w:p>
        </w:tc>
        <w:tc>
          <w:tcPr>
            <w:tcW w:w="3373" w:type="dxa"/>
          </w:tcPr>
          <w:p w14:paraId="77864191"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Integrative understanding of decline and potential recovery pathways</w:t>
            </w:r>
          </w:p>
        </w:tc>
      </w:tr>
      <w:tr w:rsidR="0047283F" w:rsidRPr="006038B8" w14:paraId="519BC89B" w14:textId="77777777" w:rsidTr="00F83DB6">
        <w:trPr>
          <w:trHeight w:val="392"/>
        </w:trPr>
        <w:tc>
          <w:tcPr>
            <w:tcW w:w="2269" w:type="dxa"/>
          </w:tcPr>
          <w:p w14:paraId="10239EC0"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Research Question 1</w:t>
            </w:r>
          </w:p>
        </w:tc>
        <w:tc>
          <w:tcPr>
            <w:tcW w:w="5189" w:type="dxa"/>
          </w:tcPr>
          <w:p w14:paraId="418DEC1D"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Quantitative analysis of market share and performance vs competitors.</w:t>
            </w:r>
          </w:p>
        </w:tc>
        <w:tc>
          <w:tcPr>
            <w:tcW w:w="3373" w:type="dxa"/>
          </w:tcPr>
          <w:p w14:paraId="7CA7EF7F"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Empirical evidence of the scale, timing and nature of decline.</w:t>
            </w:r>
          </w:p>
        </w:tc>
      </w:tr>
      <w:tr w:rsidR="0047283F" w:rsidRPr="006038B8" w14:paraId="3E6C5FAE" w14:textId="77777777" w:rsidTr="00F83DB6">
        <w:trPr>
          <w:trHeight w:val="392"/>
        </w:trPr>
        <w:tc>
          <w:tcPr>
            <w:tcW w:w="2269" w:type="dxa"/>
          </w:tcPr>
          <w:p w14:paraId="606BCAAF"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Research Question 2</w:t>
            </w:r>
          </w:p>
        </w:tc>
        <w:tc>
          <w:tcPr>
            <w:tcW w:w="5189" w:type="dxa"/>
          </w:tcPr>
          <w:p w14:paraId="224B7664"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Customer perceptions of value, quality, service and brand.</w:t>
            </w:r>
          </w:p>
        </w:tc>
        <w:tc>
          <w:tcPr>
            <w:tcW w:w="3373" w:type="dxa"/>
          </w:tcPr>
          <w:p w14:paraId="44099380"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Insight into demand-side drivers of switching and loyalty.</w:t>
            </w:r>
          </w:p>
        </w:tc>
      </w:tr>
      <w:tr w:rsidR="0047283F" w:rsidRPr="006038B8" w14:paraId="0CB7619C" w14:textId="77777777" w:rsidTr="00F83DB6">
        <w:trPr>
          <w:trHeight w:val="377"/>
        </w:trPr>
        <w:tc>
          <w:tcPr>
            <w:tcW w:w="2269" w:type="dxa"/>
          </w:tcPr>
          <w:p w14:paraId="5E9F694E"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Research Question 3</w:t>
            </w:r>
          </w:p>
        </w:tc>
        <w:tc>
          <w:tcPr>
            <w:tcW w:w="5189" w:type="dxa"/>
          </w:tcPr>
          <w:p w14:paraId="2497C009"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Assessment of pricing, range, loyalty and communications.</w:t>
            </w:r>
          </w:p>
        </w:tc>
        <w:tc>
          <w:tcPr>
            <w:tcW w:w="3373" w:type="dxa"/>
          </w:tcPr>
          <w:p w14:paraId="6CAEE5EB"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Identification of strategic and marketing mix caps vs rivals</w:t>
            </w:r>
          </w:p>
        </w:tc>
      </w:tr>
      <w:tr w:rsidR="0047283F" w:rsidRPr="006038B8" w14:paraId="0F33F68B" w14:textId="77777777" w:rsidTr="00F83DB6">
        <w:trPr>
          <w:trHeight w:val="392"/>
        </w:trPr>
        <w:tc>
          <w:tcPr>
            <w:tcW w:w="2269" w:type="dxa"/>
          </w:tcPr>
          <w:p w14:paraId="72284D40"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Research Question 4</w:t>
            </w:r>
          </w:p>
        </w:tc>
        <w:tc>
          <w:tcPr>
            <w:tcW w:w="5189" w:type="dxa"/>
          </w:tcPr>
          <w:p w14:paraId="0F287734"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Exploration of internal and operational constraints.</w:t>
            </w:r>
          </w:p>
        </w:tc>
        <w:tc>
          <w:tcPr>
            <w:tcW w:w="3373" w:type="dxa"/>
          </w:tcPr>
          <w:p w14:paraId="1E71CF8C"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Diagnosis of supply- side and organisational barriers to competitiveness.</w:t>
            </w:r>
          </w:p>
        </w:tc>
      </w:tr>
      <w:tr w:rsidR="0047283F" w:rsidRPr="006038B8" w14:paraId="22E6F556" w14:textId="77777777" w:rsidTr="00F83DB6">
        <w:trPr>
          <w:trHeight w:val="392"/>
        </w:trPr>
        <w:tc>
          <w:tcPr>
            <w:tcW w:w="2269" w:type="dxa"/>
          </w:tcPr>
          <w:p w14:paraId="5785ED50"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Research Question 5</w:t>
            </w:r>
          </w:p>
        </w:tc>
        <w:tc>
          <w:tcPr>
            <w:tcW w:w="5189" w:type="dxa"/>
          </w:tcPr>
          <w:p w14:paraId="47EE0674"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Manufacture into strategic recommendations</w:t>
            </w:r>
          </w:p>
        </w:tc>
        <w:tc>
          <w:tcPr>
            <w:tcW w:w="3373" w:type="dxa"/>
          </w:tcPr>
          <w:p w14:paraId="117A7BAA" w14:textId="77777777" w:rsidR="0047283F" w:rsidRPr="006038B8" w:rsidRDefault="0047283F" w:rsidP="00F83DB6">
            <w:pPr>
              <w:ind w:right="57"/>
              <w:jc w:val="both"/>
              <w:rPr>
                <w:rFonts w:ascii="Arial" w:hAnsi="Arial" w:cs="Arial"/>
                <w:sz w:val="28"/>
                <w:szCs w:val="28"/>
              </w:rPr>
            </w:pPr>
            <w:r w:rsidRPr="006038B8">
              <w:rPr>
                <w:rFonts w:ascii="Arial" w:hAnsi="Arial" w:cs="Arial"/>
                <w:sz w:val="28"/>
                <w:szCs w:val="28"/>
              </w:rPr>
              <w:t>Coherent, evidence-based proposals for stabilising and improving performance.</w:t>
            </w:r>
          </w:p>
        </w:tc>
      </w:tr>
    </w:tbl>
    <w:p w14:paraId="115EB026" w14:textId="77777777" w:rsidR="0047283F" w:rsidRPr="00081A40" w:rsidRDefault="0047283F" w:rsidP="0047283F">
      <w:pPr>
        <w:ind w:right="57"/>
        <w:jc w:val="both"/>
        <w:rPr>
          <w:rFonts w:ascii="Arial" w:hAnsi="Arial" w:cs="Arial"/>
          <w:b/>
          <w:bCs/>
          <w:sz w:val="28"/>
          <w:szCs w:val="28"/>
        </w:rPr>
      </w:pPr>
    </w:p>
    <w:p w14:paraId="7898555A" w14:textId="77777777" w:rsidR="0047283F" w:rsidRPr="00081A40" w:rsidRDefault="0047283F" w:rsidP="0047283F">
      <w:pPr>
        <w:ind w:right="57"/>
        <w:jc w:val="both"/>
        <w:rPr>
          <w:rFonts w:ascii="Arial" w:hAnsi="Arial" w:cs="Arial"/>
          <w:sz w:val="28"/>
          <w:szCs w:val="28"/>
        </w:rPr>
      </w:pPr>
    </w:p>
    <w:p w14:paraId="070F5CB4" w14:textId="77777777" w:rsidR="0047283F" w:rsidRPr="00420C6A" w:rsidRDefault="0047283F" w:rsidP="0047283F">
      <w:pPr>
        <w:ind w:right="57"/>
        <w:jc w:val="both"/>
        <w:rPr>
          <w:rFonts w:ascii="Arial" w:hAnsi="Arial" w:cs="Arial"/>
          <w:sz w:val="28"/>
          <w:szCs w:val="28"/>
        </w:rPr>
      </w:pPr>
    </w:p>
    <w:p w14:paraId="0AF38946" w14:textId="77777777" w:rsidR="0047283F" w:rsidRDefault="0047283F" w:rsidP="007C3571">
      <w:pPr>
        <w:ind w:right="57"/>
        <w:jc w:val="both"/>
        <w:rPr>
          <w:rFonts w:ascii="Arial" w:hAnsi="Arial" w:cs="Arial"/>
          <w:sz w:val="28"/>
          <w:szCs w:val="28"/>
        </w:rPr>
      </w:pPr>
    </w:p>
    <w:p w14:paraId="7F96E19D" w14:textId="77777777" w:rsidR="008A4543" w:rsidRDefault="008A4543" w:rsidP="007C3571">
      <w:pPr>
        <w:ind w:right="57"/>
        <w:jc w:val="both"/>
        <w:rPr>
          <w:rFonts w:ascii="Arial" w:hAnsi="Arial" w:cs="Arial"/>
          <w:sz w:val="28"/>
          <w:szCs w:val="28"/>
        </w:rPr>
      </w:pPr>
    </w:p>
    <w:p w14:paraId="561231CC" w14:textId="77777777" w:rsidR="008A4543" w:rsidRDefault="008A4543" w:rsidP="007C3571">
      <w:pPr>
        <w:ind w:right="57"/>
        <w:jc w:val="both"/>
        <w:rPr>
          <w:rFonts w:ascii="Arial" w:hAnsi="Arial" w:cs="Arial"/>
          <w:sz w:val="28"/>
          <w:szCs w:val="28"/>
        </w:rPr>
      </w:pPr>
    </w:p>
    <w:p w14:paraId="7ED2A27D" w14:textId="77777777" w:rsidR="008A4543" w:rsidRDefault="008A4543" w:rsidP="007C3571">
      <w:pPr>
        <w:ind w:right="57"/>
        <w:jc w:val="both"/>
        <w:rPr>
          <w:rFonts w:ascii="Arial" w:hAnsi="Arial" w:cs="Arial"/>
          <w:sz w:val="28"/>
          <w:szCs w:val="28"/>
        </w:rPr>
      </w:pPr>
    </w:p>
    <w:p w14:paraId="1B747BB9" w14:textId="77777777" w:rsidR="008A4543" w:rsidRDefault="008A4543" w:rsidP="007C3571">
      <w:pPr>
        <w:ind w:right="57"/>
        <w:jc w:val="both"/>
        <w:rPr>
          <w:rFonts w:ascii="Arial" w:hAnsi="Arial" w:cs="Arial"/>
          <w:sz w:val="28"/>
          <w:szCs w:val="28"/>
        </w:rPr>
      </w:pPr>
    </w:p>
    <w:p w14:paraId="4C864A36" w14:textId="77777777" w:rsidR="008A4543" w:rsidRDefault="008A4543" w:rsidP="007C3571">
      <w:pPr>
        <w:ind w:right="57"/>
        <w:jc w:val="both"/>
        <w:rPr>
          <w:rFonts w:ascii="Arial" w:hAnsi="Arial" w:cs="Arial"/>
          <w:sz w:val="28"/>
          <w:szCs w:val="28"/>
        </w:rPr>
      </w:pPr>
    </w:p>
    <w:p w14:paraId="7BA95728" w14:textId="77777777" w:rsidR="008A4543" w:rsidRDefault="008A4543" w:rsidP="007C3571">
      <w:pPr>
        <w:ind w:right="57"/>
        <w:jc w:val="both"/>
        <w:rPr>
          <w:rFonts w:ascii="Arial" w:hAnsi="Arial" w:cs="Arial"/>
          <w:sz w:val="28"/>
          <w:szCs w:val="28"/>
        </w:rPr>
      </w:pPr>
    </w:p>
    <w:tbl>
      <w:tblPr>
        <w:tblpPr w:leftFromText="180" w:rightFromText="180" w:vertAnchor="text" w:horzAnchor="margin" w:tblpY="-515"/>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53B6C" w:rsidRPr="008D12DA" w14:paraId="09CA96BB" w14:textId="77777777" w:rsidTr="00853B6C">
        <w:trPr>
          <w:tblCellSpacing w:w="15" w:type="dxa"/>
        </w:trPr>
        <w:tc>
          <w:tcPr>
            <w:tcW w:w="0" w:type="auto"/>
            <w:vAlign w:val="center"/>
            <w:hideMark/>
          </w:tcPr>
          <w:p w14:paraId="47F47F75" w14:textId="77777777" w:rsidR="00853B6C" w:rsidRPr="008D12DA" w:rsidRDefault="00853B6C" w:rsidP="007C3571">
            <w:pPr>
              <w:ind w:right="57"/>
              <w:jc w:val="both"/>
              <w:rPr>
                <w:rFonts w:ascii="Arial" w:hAnsi="Arial" w:cs="Arial"/>
                <w:color w:val="000000" w:themeColor="text1"/>
                <w:sz w:val="28"/>
                <w:szCs w:val="28"/>
              </w:rPr>
            </w:pPr>
          </w:p>
        </w:tc>
      </w:tr>
    </w:tbl>
    <w:p w14:paraId="2A5D267C" w14:textId="35C54704" w:rsidR="00420C6A" w:rsidRDefault="00420C6A" w:rsidP="007C3571">
      <w:pPr>
        <w:ind w:right="57"/>
        <w:jc w:val="both"/>
        <w:rPr>
          <w:rFonts w:ascii="Arial" w:hAnsi="Arial" w:cs="Arial"/>
          <w:b/>
          <w:bCs/>
          <w:color w:val="156082" w:themeColor="accent1"/>
          <w:sz w:val="28"/>
          <w:szCs w:val="28"/>
        </w:rPr>
      </w:pPr>
      <w:r w:rsidRPr="0056340B">
        <w:rPr>
          <w:rFonts w:ascii="Arial" w:hAnsi="Arial" w:cs="Arial"/>
          <w:b/>
          <w:bCs/>
          <w:color w:val="156082" w:themeColor="accent1"/>
          <w:sz w:val="28"/>
          <w:szCs w:val="28"/>
        </w:rPr>
        <w:lastRenderedPageBreak/>
        <w:t>Critically review relevant academic and industry literature to understand the context and existing solutions.</w:t>
      </w:r>
    </w:p>
    <w:p w14:paraId="1566E5D3" w14:textId="77777777" w:rsidR="009F1FEF" w:rsidRPr="00C74442" w:rsidRDefault="009F1FEF" w:rsidP="007C3571">
      <w:pPr>
        <w:ind w:right="57"/>
        <w:jc w:val="both"/>
        <w:rPr>
          <w:rFonts w:ascii="Arial" w:hAnsi="Arial" w:cs="Arial"/>
          <w:b/>
          <w:bCs/>
          <w:sz w:val="28"/>
          <w:szCs w:val="28"/>
        </w:rPr>
      </w:pPr>
    </w:p>
    <w:p w14:paraId="574FCDD6" w14:textId="77777777" w:rsidR="004F5FEE" w:rsidRPr="004F5FEE" w:rsidRDefault="004F5FEE" w:rsidP="004F5FEE">
      <w:pPr>
        <w:ind w:right="57"/>
        <w:jc w:val="both"/>
        <w:rPr>
          <w:rFonts w:ascii="Arial" w:hAnsi="Arial" w:cs="Arial"/>
          <w:sz w:val="28"/>
          <w:szCs w:val="28"/>
        </w:rPr>
      </w:pPr>
      <w:r w:rsidRPr="004F5FEE">
        <w:rPr>
          <w:rFonts w:ascii="Arial" w:hAnsi="Arial" w:cs="Arial"/>
          <w:sz w:val="28"/>
          <w:szCs w:val="28"/>
        </w:rPr>
        <w:t>Academic and industry literature provides a broadly consistent explanation for Waitrose’s declining market share, though several theoretical and empirical nuances complicate this narrative. Porter’s (1980) generic strategies framework remains a dominant lens for understanding competitive pressures, illustrating how discounters’ cost</w:t>
      </w:r>
      <w:r w:rsidRPr="004F5FEE">
        <w:rPr>
          <w:rFonts w:ascii="Arial" w:hAnsi="Arial" w:cs="Arial"/>
          <w:sz w:val="28"/>
          <w:szCs w:val="28"/>
        </w:rPr>
        <w:noBreakHyphen/>
        <w:t>leadership models undermine premium retailers during periods of heightened price sensitivity. However, Porter’s model has been criticised for insufficiently addressing hybrid or “stuck</w:t>
      </w:r>
      <w:r w:rsidRPr="004F5FEE">
        <w:rPr>
          <w:rFonts w:ascii="Arial" w:hAnsi="Arial" w:cs="Arial"/>
          <w:sz w:val="28"/>
          <w:szCs w:val="28"/>
        </w:rPr>
        <w:noBreakHyphen/>
        <w:t>in</w:t>
      </w:r>
      <w:r w:rsidRPr="004F5FEE">
        <w:rPr>
          <w:rFonts w:ascii="Arial" w:hAnsi="Arial" w:cs="Arial"/>
          <w:sz w:val="28"/>
          <w:szCs w:val="28"/>
        </w:rPr>
        <w:noBreakHyphen/>
        <w:t>the</w:t>
      </w:r>
      <w:r w:rsidRPr="004F5FEE">
        <w:rPr>
          <w:rFonts w:ascii="Arial" w:hAnsi="Arial" w:cs="Arial"/>
          <w:sz w:val="28"/>
          <w:szCs w:val="28"/>
        </w:rPr>
        <w:noBreakHyphen/>
        <w:t>middle” strategies (Burt &amp; Sparks, 2020), a limitation directly relevant to Waitrose’s recent attempts to combine premium differentiation with value</w:t>
      </w:r>
      <w:r w:rsidRPr="004F5FEE">
        <w:rPr>
          <w:rFonts w:ascii="Arial" w:hAnsi="Arial" w:cs="Arial"/>
          <w:sz w:val="28"/>
          <w:szCs w:val="28"/>
        </w:rPr>
        <w:noBreakHyphen/>
        <w:t>driven pricing, loyalty incentives and expanded entry</w:t>
      </w:r>
      <w:r w:rsidRPr="004F5FEE">
        <w:rPr>
          <w:rFonts w:ascii="Arial" w:hAnsi="Arial" w:cs="Arial"/>
          <w:sz w:val="28"/>
          <w:szCs w:val="28"/>
        </w:rPr>
        <w:noBreakHyphen/>
        <w:t>level ranges. This suggests that competitive dynamics in UK grocery retailing are more fluid than classical strategy theory implies.</w:t>
      </w:r>
    </w:p>
    <w:p w14:paraId="2B986C00" w14:textId="77777777" w:rsidR="004F5FEE" w:rsidRPr="004F5FEE" w:rsidRDefault="004F5FEE" w:rsidP="004F5FEE">
      <w:pPr>
        <w:ind w:right="57"/>
        <w:jc w:val="both"/>
        <w:rPr>
          <w:rFonts w:ascii="Arial" w:hAnsi="Arial" w:cs="Arial"/>
          <w:sz w:val="28"/>
          <w:szCs w:val="28"/>
        </w:rPr>
      </w:pPr>
      <w:r w:rsidRPr="004F5FEE">
        <w:rPr>
          <w:rFonts w:ascii="Arial" w:hAnsi="Arial" w:cs="Arial"/>
          <w:sz w:val="28"/>
          <w:szCs w:val="28"/>
        </w:rPr>
        <w:t>Retail change literature emphasises structural transformation rather than firm</w:t>
      </w:r>
      <w:r w:rsidRPr="004F5FEE">
        <w:rPr>
          <w:rFonts w:ascii="Arial" w:hAnsi="Arial" w:cs="Arial"/>
          <w:sz w:val="28"/>
          <w:szCs w:val="28"/>
        </w:rPr>
        <w:noBreakHyphen/>
        <w:t>specific failure. Hagberg, Sundström and Egels</w:t>
      </w:r>
      <w:r w:rsidRPr="004F5FEE">
        <w:rPr>
          <w:rFonts w:ascii="Arial" w:hAnsi="Arial" w:cs="Arial"/>
          <w:sz w:val="28"/>
          <w:szCs w:val="28"/>
        </w:rPr>
        <w:noBreakHyphen/>
        <w:t>Zandén (2016) argue that digitalisation reshapes value creation across the retail system, reducing physical footfall even when store experience remains strong. While this helps explain declining visits to Waitrose stores, their framework focuses primarily on operational transformation and offers limited insight into the erosion of brand equity—an important dimension for a brand</w:t>
      </w:r>
      <w:r w:rsidRPr="004F5FEE">
        <w:rPr>
          <w:rFonts w:ascii="Arial" w:hAnsi="Arial" w:cs="Arial"/>
          <w:sz w:val="28"/>
          <w:szCs w:val="28"/>
        </w:rPr>
        <w:noBreakHyphen/>
        <w:t>led retailer.</w:t>
      </w:r>
    </w:p>
    <w:p w14:paraId="11740D00" w14:textId="77777777" w:rsidR="004F5FEE" w:rsidRPr="004F5FEE" w:rsidRDefault="004F5FEE" w:rsidP="004F5FEE">
      <w:pPr>
        <w:ind w:right="57"/>
        <w:jc w:val="both"/>
        <w:rPr>
          <w:rFonts w:ascii="Arial" w:hAnsi="Arial" w:cs="Arial"/>
          <w:sz w:val="28"/>
          <w:szCs w:val="28"/>
        </w:rPr>
      </w:pPr>
      <w:r w:rsidRPr="004F5FEE">
        <w:rPr>
          <w:rFonts w:ascii="Arial" w:hAnsi="Arial" w:cs="Arial"/>
          <w:sz w:val="28"/>
          <w:szCs w:val="28"/>
        </w:rPr>
        <w:t>Industry data reinforce these academic insights. Market share reports consistently show Waitrose losing ground in an oligopolistic market increasingly dominated by discounters, with the cost</w:t>
      </w:r>
      <w:r w:rsidRPr="004F5FEE">
        <w:rPr>
          <w:rFonts w:ascii="Arial" w:hAnsi="Arial" w:cs="Arial"/>
          <w:sz w:val="28"/>
          <w:szCs w:val="28"/>
        </w:rPr>
        <w:noBreakHyphen/>
        <w:t>of</w:t>
      </w:r>
      <w:r w:rsidRPr="004F5FEE">
        <w:rPr>
          <w:rFonts w:ascii="Arial" w:hAnsi="Arial" w:cs="Arial"/>
          <w:sz w:val="28"/>
          <w:szCs w:val="28"/>
        </w:rPr>
        <w:noBreakHyphen/>
        <w:t>living crisis accelerating trading down among middle</w:t>
      </w:r>
      <w:r w:rsidRPr="004F5FEE">
        <w:rPr>
          <w:rFonts w:ascii="Arial" w:hAnsi="Arial" w:cs="Arial"/>
          <w:sz w:val="28"/>
          <w:szCs w:val="28"/>
        </w:rPr>
        <w:noBreakHyphen/>
        <w:t>income consumers. Professional analyses identify Waitrose as disproportionately exposed due to its premium price architecture and slower adaptation to value</w:t>
      </w:r>
      <w:r w:rsidRPr="004F5FEE">
        <w:rPr>
          <w:rFonts w:ascii="Arial" w:hAnsi="Arial" w:cs="Arial"/>
          <w:sz w:val="28"/>
          <w:szCs w:val="28"/>
        </w:rPr>
        <w:noBreakHyphen/>
        <w:t>driven consumer behaviour. The termination of its Ocado partnership in 2020 further weakened its online presence at a time when digital capability became critical, while competitors expanded e</w:t>
      </w:r>
      <w:r w:rsidRPr="004F5FEE">
        <w:rPr>
          <w:rFonts w:ascii="Arial" w:hAnsi="Arial" w:cs="Arial"/>
          <w:sz w:val="28"/>
          <w:szCs w:val="28"/>
        </w:rPr>
        <w:noBreakHyphen/>
        <w:t>commerce and rapid</w:t>
      </w:r>
      <w:r w:rsidRPr="004F5FEE">
        <w:rPr>
          <w:rFonts w:ascii="Arial" w:hAnsi="Arial" w:cs="Arial"/>
          <w:sz w:val="28"/>
          <w:szCs w:val="28"/>
        </w:rPr>
        <w:noBreakHyphen/>
        <w:t>delivery services.</w:t>
      </w:r>
    </w:p>
    <w:p w14:paraId="2C237A0A" w14:textId="77777777" w:rsidR="004F5FEE" w:rsidRPr="004F5FEE" w:rsidRDefault="004F5FEE" w:rsidP="004F5FEE">
      <w:pPr>
        <w:ind w:right="57"/>
        <w:jc w:val="both"/>
        <w:rPr>
          <w:rFonts w:ascii="Arial" w:hAnsi="Arial" w:cs="Arial"/>
          <w:sz w:val="28"/>
          <w:szCs w:val="28"/>
        </w:rPr>
      </w:pPr>
      <w:r w:rsidRPr="004F5FEE">
        <w:rPr>
          <w:rFonts w:ascii="Arial" w:hAnsi="Arial" w:cs="Arial"/>
          <w:sz w:val="28"/>
          <w:szCs w:val="28"/>
        </w:rPr>
        <w:t xml:space="preserve">Literature on market structure and profitability also highlights intensifying competition. Government analyses report margin pressure, rising operating costs and the need for efficiency gains across the sector, </w:t>
      </w:r>
      <w:r w:rsidRPr="004F5FEE">
        <w:rPr>
          <w:rFonts w:ascii="Arial" w:hAnsi="Arial" w:cs="Arial"/>
          <w:sz w:val="28"/>
          <w:szCs w:val="28"/>
        </w:rPr>
        <w:lastRenderedPageBreak/>
        <w:t>conditions that favour discounters’ lean operating models. Academic strategy research similarly warns that differentiated retailers must deliver clear, perceivable added value to justify premium pricing; otherwise, they risk being outcompeted by lower</w:t>
      </w:r>
      <w:r w:rsidRPr="004F5FEE">
        <w:rPr>
          <w:rFonts w:ascii="Arial" w:hAnsi="Arial" w:cs="Arial"/>
          <w:sz w:val="28"/>
          <w:szCs w:val="28"/>
        </w:rPr>
        <w:noBreakHyphen/>
        <w:t>cost rivals offering “good</w:t>
      </w:r>
      <w:r w:rsidRPr="004F5FEE">
        <w:rPr>
          <w:rFonts w:ascii="Arial" w:hAnsi="Arial" w:cs="Arial"/>
          <w:sz w:val="28"/>
          <w:szCs w:val="28"/>
        </w:rPr>
        <w:noBreakHyphen/>
        <w:t>enough” quality.</w:t>
      </w:r>
    </w:p>
    <w:p w14:paraId="680D9E95" w14:textId="77777777" w:rsidR="004F5FEE" w:rsidRPr="004F5FEE" w:rsidRDefault="004F5FEE" w:rsidP="004F5FEE">
      <w:pPr>
        <w:ind w:right="57"/>
        <w:jc w:val="both"/>
        <w:rPr>
          <w:rFonts w:ascii="Arial" w:hAnsi="Arial" w:cs="Arial"/>
          <w:sz w:val="28"/>
          <w:szCs w:val="28"/>
        </w:rPr>
      </w:pPr>
      <w:r w:rsidRPr="004F5FEE">
        <w:rPr>
          <w:rFonts w:ascii="Arial" w:hAnsi="Arial" w:cs="Arial"/>
          <w:sz w:val="28"/>
          <w:szCs w:val="28"/>
        </w:rPr>
        <w:t>Consumer behaviour research provides additional explanatory depth. Studies on financial stress show that households prioritise price, reduce brand loyalty and switch to private labels or discounters (e.g., Zeithaml, 1988). This pattern aligns with industry commentary that Waitrose has been hit harder than competitors during the cost</w:t>
      </w:r>
      <w:r w:rsidRPr="004F5FEE">
        <w:rPr>
          <w:rFonts w:ascii="Arial" w:hAnsi="Arial" w:cs="Arial"/>
          <w:sz w:val="28"/>
          <w:szCs w:val="28"/>
        </w:rPr>
        <w:noBreakHyphen/>
        <w:t>of</w:t>
      </w:r>
      <w:r w:rsidRPr="004F5FEE">
        <w:rPr>
          <w:rFonts w:ascii="Arial" w:hAnsi="Arial" w:cs="Arial"/>
          <w:sz w:val="28"/>
          <w:szCs w:val="28"/>
        </w:rPr>
        <w:noBreakHyphen/>
        <w:t>living crisis because its value proposition relies on service, ambience and ethical credentials—attributes that become less salient when budgets tighten.</w:t>
      </w:r>
    </w:p>
    <w:p w14:paraId="6D89A8DF" w14:textId="77777777" w:rsidR="004F5FEE" w:rsidRPr="004F5FEE" w:rsidRDefault="004F5FEE" w:rsidP="004F5FEE">
      <w:pPr>
        <w:ind w:right="57"/>
        <w:jc w:val="both"/>
        <w:rPr>
          <w:rFonts w:ascii="Arial" w:hAnsi="Arial" w:cs="Arial"/>
          <w:sz w:val="28"/>
          <w:szCs w:val="28"/>
        </w:rPr>
      </w:pPr>
      <w:r w:rsidRPr="004F5FEE">
        <w:rPr>
          <w:rFonts w:ascii="Arial" w:hAnsi="Arial" w:cs="Arial"/>
          <w:sz w:val="28"/>
          <w:szCs w:val="28"/>
        </w:rPr>
        <w:t>Organisational literature adds a further layer of complexity. The John Lewis Partnership’s employee</w:t>
      </w:r>
      <w:r w:rsidRPr="004F5FEE">
        <w:rPr>
          <w:rFonts w:ascii="Arial" w:hAnsi="Arial" w:cs="Arial"/>
          <w:sz w:val="28"/>
          <w:szCs w:val="28"/>
        </w:rPr>
        <w:noBreakHyphen/>
        <w:t>owned governance model is praised for fostering engagement, yet governance scholars note that participatory structures can slow decision</w:t>
      </w:r>
      <w:r w:rsidRPr="004F5FEE">
        <w:rPr>
          <w:rFonts w:ascii="Arial" w:hAnsi="Arial" w:cs="Arial"/>
          <w:sz w:val="28"/>
          <w:szCs w:val="28"/>
        </w:rPr>
        <w:noBreakHyphen/>
        <w:t>making and hinder rapid strategic change. Combined with profit pressures and restructuring, this may have constrained Waitrose’s ability to invest in digital capability, supply</w:t>
      </w:r>
      <w:r w:rsidRPr="004F5FEE">
        <w:rPr>
          <w:rFonts w:ascii="Arial" w:hAnsi="Arial" w:cs="Arial"/>
          <w:sz w:val="28"/>
          <w:szCs w:val="28"/>
        </w:rPr>
        <w:noBreakHyphen/>
        <w:t>chain modernisation and store innovation. From a resource</w:t>
      </w:r>
      <w:r w:rsidRPr="004F5FEE">
        <w:rPr>
          <w:rFonts w:ascii="Arial" w:hAnsi="Arial" w:cs="Arial"/>
          <w:sz w:val="28"/>
          <w:szCs w:val="28"/>
        </w:rPr>
        <w:noBreakHyphen/>
        <w:t>based perspective, Waitrose’s historical strengths—ethical sourcing, curated ranges and high service standards—have become less distinctive as competitors upgrade private labels and sustainability credentials.</w:t>
      </w:r>
    </w:p>
    <w:p w14:paraId="55205EAF" w14:textId="156E094E" w:rsidR="004F5FEE" w:rsidRPr="004F5FEE" w:rsidRDefault="004F5FEE" w:rsidP="004F5FEE">
      <w:pPr>
        <w:ind w:right="57"/>
        <w:jc w:val="both"/>
        <w:rPr>
          <w:rFonts w:ascii="Arial" w:hAnsi="Arial" w:cs="Arial"/>
          <w:sz w:val="28"/>
          <w:szCs w:val="28"/>
        </w:rPr>
      </w:pPr>
      <w:r w:rsidRPr="004F5FEE">
        <w:rPr>
          <w:rFonts w:ascii="Arial" w:hAnsi="Arial" w:cs="Arial"/>
          <w:sz w:val="28"/>
          <w:szCs w:val="28"/>
        </w:rPr>
        <w:t>Overall, the literature indicates that Waitrose’s decline reflects the interaction of intensified price competition, shifting consumer expectations, weakened differentiation and organisational constraints. Existing studies explain these factors individually but rarely integrate them, highlighting the need for a more holistic, theoretically grounded analysis</w:t>
      </w:r>
      <w:r w:rsidR="00F969B2">
        <w:rPr>
          <w:rFonts w:ascii="Arial" w:hAnsi="Arial" w:cs="Arial"/>
          <w:sz w:val="28"/>
          <w:szCs w:val="28"/>
        </w:rPr>
        <w:t>.</w:t>
      </w:r>
    </w:p>
    <w:p w14:paraId="2126FE12" w14:textId="77777777" w:rsidR="00E608B1" w:rsidRPr="00E608B1" w:rsidRDefault="00E608B1" w:rsidP="00E608B1">
      <w:pPr>
        <w:ind w:right="57"/>
        <w:jc w:val="both"/>
        <w:rPr>
          <w:rFonts w:ascii="Arial" w:hAnsi="Arial" w:cs="Arial"/>
          <w:b/>
          <w:bCs/>
          <w:sz w:val="28"/>
          <w:szCs w:val="28"/>
        </w:rPr>
      </w:pPr>
      <w:r w:rsidRPr="00E608B1">
        <w:rPr>
          <w:rFonts w:ascii="Arial" w:hAnsi="Arial" w:cs="Arial"/>
          <w:b/>
          <w:bCs/>
          <w:sz w:val="28"/>
          <w:szCs w:val="28"/>
        </w:rPr>
        <w:t>Justification of Research Approach</w:t>
      </w:r>
    </w:p>
    <w:p w14:paraId="6FEDC0EB" w14:textId="77777777" w:rsidR="00E608B1" w:rsidRPr="00E608B1" w:rsidRDefault="00E608B1" w:rsidP="00E608B1">
      <w:pPr>
        <w:ind w:right="57"/>
        <w:jc w:val="both"/>
        <w:rPr>
          <w:rFonts w:ascii="Arial" w:hAnsi="Arial" w:cs="Arial"/>
          <w:sz w:val="28"/>
          <w:szCs w:val="28"/>
        </w:rPr>
      </w:pPr>
      <w:r w:rsidRPr="00E608B1">
        <w:rPr>
          <w:rFonts w:ascii="Arial" w:hAnsi="Arial" w:cs="Arial"/>
          <w:sz w:val="28"/>
          <w:szCs w:val="28"/>
        </w:rPr>
        <w:t xml:space="preserve">A </w:t>
      </w:r>
      <w:r w:rsidRPr="00E608B1">
        <w:rPr>
          <w:rFonts w:ascii="Arial" w:hAnsi="Arial" w:cs="Arial"/>
          <w:b/>
          <w:bCs/>
          <w:sz w:val="28"/>
          <w:szCs w:val="28"/>
        </w:rPr>
        <w:t>mixed</w:t>
      </w:r>
      <w:r w:rsidRPr="00E608B1">
        <w:rPr>
          <w:rFonts w:ascii="Arial" w:hAnsi="Arial" w:cs="Arial"/>
          <w:b/>
          <w:bCs/>
          <w:sz w:val="28"/>
          <w:szCs w:val="28"/>
        </w:rPr>
        <w:noBreakHyphen/>
        <w:t>methods research design</w:t>
      </w:r>
      <w:r w:rsidRPr="00E608B1">
        <w:rPr>
          <w:rFonts w:ascii="Arial" w:hAnsi="Arial" w:cs="Arial"/>
          <w:sz w:val="28"/>
          <w:szCs w:val="28"/>
        </w:rPr>
        <w:t xml:space="preserve"> is the most appropriate approach for this study because the research problem—explaining Waitrose’s market decline—requires both </w:t>
      </w:r>
      <w:r w:rsidRPr="00E608B1">
        <w:rPr>
          <w:rFonts w:ascii="Arial" w:hAnsi="Arial" w:cs="Arial"/>
          <w:b/>
          <w:bCs/>
          <w:sz w:val="28"/>
          <w:szCs w:val="28"/>
        </w:rPr>
        <w:t>quantitative measurement</w:t>
      </w:r>
      <w:r w:rsidRPr="00E608B1">
        <w:rPr>
          <w:rFonts w:ascii="Arial" w:hAnsi="Arial" w:cs="Arial"/>
          <w:sz w:val="28"/>
          <w:szCs w:val="28"/>
        </w:rPr>
        <w:t xml:space="preserve"> of consumer behaviour and </w:t>
      </w:r>
      <w:r w:rsidRPr="00E608B1">
        <w:rPr>
          <w:rFonts w:ascii="Arial" w:hAnsi="Arial" w:cs="Arial"/>
          <w:b/>
          <w:bCs/>
          <w:sz w:val="28"/>
          <w:szCs w:val="28"/>
        </w:rPr>
        <w:t>qualitative exploration</w:t>
      </w:r>
      <w:r w:rsidRPr="00E608B1">
        <w:rPr>
          <w:rFonts w:ascii="Arial" w:hAnsi="Arial" w:cs="Arial"/>
          <w:sz w:val="28"/>
          <w:szCs w:val="28"/>
        </w:rPr>
        <w:t xml:space="preserve"> of perceptions, motivations and strategic interpretations. Mixed</w:t>
      </w:r>
      <w:r w:rsidRPr="00E608B1">
        <w:rPr>
          <w:rFonts w:ascii="Arial" w:hAnsi="Arial" w:cs="Arial"/>
          <w:sz w:val="28"/>
          <w:szCs w:val="28"/>
        </w:rPr>
        <w:noBreakHyphen/>
        <w:t xml:space="preserve">methods designs are widely recommended when a research question involves both behavioural patterns and underlying meanings (Creswell &amp; Plano Clark, 2018). Quantitative data alone cannot capture the complexity of value </w:t>
      </w:r>
      <w:r w:rsidRPr="00E608B1">
        <w:rPr>
          <w:rFonts w:ascii="Arial" w:hAnsi="Arial" w:cs="Arial"/>
          <w:sz w:val="28"/>
          <w:szCs w:val="28"/>
        </w:rPr>
        <w:lastRenderedPageBreak/>
        <w:t>perceptions or brand meaning, while qualitative data alone cannot provide the empirical robustness needed to analyse trends in switching behaviour or price sensitivity. Combining both approaches therefore enhances explanatory depth through methodological triangulation (Tashakkori &amp; Teddlie, 2010).</w:t>
      </w:r>
    </w:p>
    <w:p w14:paraId="0F0EE30C" w14:textId="17841B28" w:rsidR="00E608B1" w:rsidRPr="00E608B1" w:rsidRDefault="00E608B1" w:rsidP="00E608B1">
      <w:pPr>
        <w:ind w:right="57"/>
        <w:jc w:val="both"/>
        <w:rPr>
          <w:rFonts w:ascii="Arial" w:hAnsi="Arial" w:cs="Arial"/>
          <w:b/>
          <w:bCs/>
          <w:sz w:val="28"/>
          <w:szCs w:val="28"/>
          <w:u w:val="single"/>
        </w:rPr>
      </w:pPr>
      <w:r w:rsidRPr="00E608B1">
        <w:rPr>
          <w:rFonts w:ascii="Arial" w:hAnsi="Arial" w:cs="Arial"/>
          <w:b/>
          <w:bCs/>
          <w:sz w:val="28"/>
          <w:szCs w:val="28"/>
          <w:u w:val="single"/>
        </w:rPr>
        <w:t xml:space="preserve">Quantitative </w:t>
      </w:r>
      <w:r w:rsidRPr="00E608B1">
        <w:rPr>
          <w:rFonts w:ascii="Arial" w:hAnsi="Arial" w:cs="Arial"/>
          <w:b/>
          <w:bCs/>
          <w:sz w:val="28"/>
          <w:szCs w:val="28"/>
          <w:u w:val="single"/>
        </w:rPr>
        <w:t>Method</w:t>
      </w:r>
    </w:p>
    <w:p w14:paraId="2BA47BCE" w14:textId="5A16C864" w:rsidR="00E608B1" w:rsidRPr="00E608B1" w:rsidRDefault="00E608B1" w:rsidP="00E608B1">
      <w:pPr>
        <w:ind w:right="57"/>
        <w:jc w:val="both"/>
        <w:rPr>
          <w:rFonts w:ascii="Arial" w:hAnsi="Arial" w:cs="Arial"/>
          <w:sz w:val="28"/>
          <w:szCs w:val="28"/>
        </w:rPr>
      </w:pPr>
      <w:r w:rsidRPr="00E608B1">
        <w:rPr>
          <w:rFonts w:ascii="Arial" w:hAnsi="Arial" w:cs="Arial"/>
          <w:sz w:val="28"/>
          <w:szCs w:val="28"/>
        </w:rPr>
        <w:t>To measure patterns in customer behaviour, perceived value, loyalty and switching tendencies in a statistically reliable manner.</w:t>
      </w:r>
    </w:p>
    <w:p w14:paraId="602E5FCE" w14:textId="77777777" w:rsidR="00E608B1" w:rsidRPr="00E608B1" w:rsidRDefault="00E608B1" w:rsidP="00E608B1">
      <w:pPr>
        <w:ind w:right="57"/>
        <w:jc w:val="both"/>
        <w:rPr>
          <w:rFonts w:ascii="Arial" w:hAnsi="Arial" w:cs="Arial"/>
          <w:sz w:val="28"/>
          <w:szCs w:val="28"/>
        </w:rPr>
      </w:pPr>
      <w:r w:rsidRPr="00E608B1">
        <w:rPr>
          <w:rFonts w:ascii="Arial" w:hAnsi="Arial" w:cs="Arial"/>
          <w:sz w:val="28"/>
          <w:szCs w:val="28"/>
        </w:rPr>
        <w:t xml:space="preserve">An </w:t>
      </w:r>
      <w:r w:rsidRPr="00E608B1">
        <w:rPr>
          <w:rFonts w:ascii="Arial" w:hAnsi="Arial" w:cs="Arial"/>
          <w:b/>
          <w:bCs/>
          <w:sz w:val="28"/>
          <w:szCs w:val="28"/>
        </w:rPr>
        <w:t>online survey</w:t>
      </w:r>
      <w:r w:rsidRPr="00E608B1">
        <w:rPr>
          <w:rFonts w:ascii="Arial" w:hAnsi="Arial" w:cs="Arial"/>
          <w:sz w:val="28"/>
          <w:szCs w:val="28"/>
        </w:rPr>
        <w:t xml:space="preserve"> will be administered to current and former Waitrose customers. Likert</w:t>
      </w:r>
      <w:r w:rsidRPr="00E608B1">
        <w:rPr>
          <w:rFonts w:ascii="Arial" w:hAnsi="Arial" w:cs="Arial"/>
          <w:sz w:val="28"/>
          <w:szCs w:val="28"/>
        </w:rPr>
        <w:noBreakHyphen/>
        <w:t>scale items will measure constructs such as perceived value (Zeithaml, 1988), service quality (Parasuraman et al., 1988), and brand loyalty (Oliver, 1999). This aligns with established consumer behaviour research linking price sensitivity and loyalty to store choice under economic pressure.</w:t>
      </w:r>
    </w:p>
    <w:p w14:paraId="1D003E30" w14:textId="77777777" w:rsidR="00E608B1" w:rsidRPr="00E608B1" w:rsidRDefault="00E608B1" w:rsidP="00E608B1">
      <w:pPr>
        <w:ind w:right="57"/>
        <w:jc w:val="both"/>
        <w:rPr>
          <w:rFonts w:ascii="Arial" w:hAnsi="Arial" w:cs="Arial"/>
          <w:sz w:val="28"/>
          <w:szCs w:val="28"/>
        </w:rPr>
      </w:pPr>
      <w:r w:rsidRPr="00E608B1">
        <w:rPr>
          <w:rFonts w:ascii="Arial" w:hAnsi="Arial" w:cs="Arial"/>
          <w:sz w:val="28"/>
          <w:szCs w:val="28"/>
        </w:rPr>
        <w:t xml:space="preserve">A </w:t>
      </w:r>
      <w:r w:rsidRPr="00E608B1">
        <w:rPr>
          <w:rFonts w:ascii="Arial" w:hAnsi="Arial" w:cs="Arial"/>
          <w:b/>
          <w:bCs/>
          <w:sz w:val="28"/>
          <w:szCs w:val="28"/>
        </w:rPr>
        <w:t>purposive sampling</w:t>
      </w:r>
      <w:r w:rsidRPr="00E608B1">
        <w:rPr>
          <w:rFonts w:ascii="Arial" w:hAnsi="Arial" w:cs="Arial"/>
          <w:sz w:val="28"/>
          <w:szCs w:val="28"/>
        </w:rPr>
        <w:t xml:space="preserve"> strategy will target individuals who have shopped at Waitrose within the past 12 months. This ensures relevance to the research aim. A sample of 150–200 respondents is sufficient for descriptive and comparative analysis (Bryman, 2016).</w:t>
      </w:r>
    </w:p>
    <w:p w14:paraId="2D5E84B1" w14:textId="77777777" w:rsidR="00E608B1" w:rsidRPr="00E608B1" w:rsidRDefault="00E608B1" w:rsidP="00E608B1">
      <w:pPr>
        <w:ind w:right="57"/>
        <w:jc w:val="both"/>
        <w:rPr>
          <w:rFonts w:ascii="Arial" w:hAnsi="Arial" w:cs="Arial"/>
          <w:b/>
          <w:bCs/>
          <w:sz w:val="28"/>
          <w:szCs w:val="28"/>
        </w:rPr>
      </w:pPr>
      <w:r w:rsidRPr="00E608B1">
        <w:rPr>
          <w:rFonts w:ascii="Arial" w:hAnsi="Arial" w:cs="Arial"/>
          <w:b/>
          <w:bCs/>
          <w:sz w:val="28"/>
          <w:szCs w:val="28"/>
        </w:rPr>
        <w:t>Reliability and Validity</w:t>
      </w:r>
    </w:p>
    <w:p w14:paraId="1E153832" w14:textId="77777777" w:rsidR="00E608B1" w:rsidRPr="00E608B1" w:rsidRDefault="00E608B1" w:rsidP="00E608B1">
      <w:pPr>
        <w:numPr>
          <w:ilvl w:val="0"/>
          <w:numId w:val="11"/>
        </w:numPr>
        <w:ind w:right="57"/>
        <w:jc w:val="both"/>
        <w:rPr>
          <w:rFonts w:ascii="Arial" w:hAnsi="Arial" w:cs="Arial"/>
          <w:sz w:val="28"/>
          <w:szCs w:val="28"/>
        </w:rPr>
      </w:pPr>
      <w:r w:rsidRPr="00E608B1">
        <w:rPr>
          <w:rFonts w:ascii="Arial" w:hAnsi="Arial" w:cs="Arial"/>
          <w:sz w:val="28"/>
          <w:szCs w:val="28"/>
        </w:rPr>
        <w:t>Use of validated scales enhances construct validity.</w:t>
      </w:r>
    </w:p>
    <w:p w14:paraId="2F198AFD" w14:textId="77777777" w:rsidR="00E608B1" w:rsidRPr="00E608B1" w:rsidRDefault="00E608B1" w:rsidP="00E608B1">
      <w:pPr>
        <w:numPr>
          <w:ilvl w:val="0"/>
          <w:numId w:val="11"/>
        </w:numPr>
        <w:ind w:right="57"/>
        <w:jc w:val="both"/>
        <w:rPr>
          <w:rFonts w:ascii="Arial" w:hAnsi="Arial" w:cs="Arial"/>
          <w:sz w:val="28"/>
          <w:szCs w:val="28"/>
        </w:rPr>
      </w:pPr>
      <w:r w:rsidRPr="00E608B1">
        <w:rPr>
          <w:rFonts w:ascii="Arial" w:hAnsi="Arial" w:cs="Arial"/>
          <w:sz w:val="28"/>
          <w:szCs w:val="28"/>
        </w:rPr>
        <w:t>A pilot test will refine question clarity and internal consistency.</w:t>
      </w:r>
    </w:p>
    <w:p w14:paraId="01F5E7ED" w14:textId="77777777" w:rsidR="00E608B1" w:rsidRPr="00E608B1" w:rsidRDefault="00E608B1" w:rsidP="00E608B1">
      <w:pPr>
        <w:numPr>
          <w:ilvl w:val="0"/>
          <w:numId w:val="11"/>
        </w:numPr>
        <w:ind w:right="57"/>
        <w:jc w:val="both"/>
        <w:rPr>
          <w:rFonts w:ascii="Arial" w:hAnsi="Arial" w:cs="Arial"/>
          <w:sz w:val="28"/>
          <w:szCs w:val="28"/>
        </w:rPr>
      </w:pPr>
      <w:r w:rsidRPr="00E608B1">
        <w:rPr>
          <w:rFonts w:ascii="Arial" w:hAnsi="Arial" w:cs="Arial"/>
          <w:sz w:val="28"/>
          <w:szCs w:val="28"/>
        </w:rPr>
        <w:t>Cronbach’s alpha will assess reliability of multi</w:t>
      </w:r>
      <w:r w:rsidRPr="00E608B1">
        <w:rPr>
          <w:rFonts w:ascii="Arial" w:hAnsi="Arial" w:cs="Arial"/>
          <w:sz w:val="28"/>
          <w:szCs w:val="28"/>
        </w:rPr>
        <w:noBreakHyphen/>
        <w:t>item scales (Nunnally &amp; Bernstein, 1994).</w:t>
      </w:r>
    </w:p>
    <w:p w14:paraId="51CF24AC" w14:textId="77777777" w:rsidR="00E608B1" w:rsidRPr="00E608B1" w:rsidRDefault="00E608B1" w:rsidP="00E608B1">
      <w:pPr>
        <w:numPr>
          <w:ilvl w:val="0"/>
          <w:numId w:val="11"/>
        </w:numPr>
        <w:ind w:right="57"/>
        <w:jc w:val="both"/>
        <w:rPr>
          <w:rFonts w:ascii="Arial" w:hAnsi="Arial" w:cs="Arial"/>
          <w:sz w:val="28"/>
          <w:szCs w:val="28"/>
        </w:rPr>
      </w:pPr>
      <w:r w:rsidRPr="00E608B1">
        <w:rPr>
          <w:rFonts w:ascii="Arial" w:hAnsi="Arial" w:cs="Arial"/>
          <w:sz w:val="28"/>
          <w:szCs w:val="28"/>
        </w:rPr>
        <w:t>Triangulation with qualitative findings strengthens overall validity.</w:t>
      </w:r>
    </w:p>
    <w:p w14:paraId="385DE53C" w14:textId="142DC770" w:rsidR="00E608B1" w:rsidRPr="00E608B1" w:rsidRDefault="00E608B1" w:rsidP="00E608B1">
      <w:pPr>
        <w:ind w:right="57"/>
        <w:jc w:val="both"/>
        <w:rPr>
          <w:rFonts w:ascii="Arial" w:hAnsi="Arial" w:cs="Arial"/>
          <w:b/>
          <w:bCs/>
          <w:sz w:val="28"/>
          <w:szCs w:val="28"/>
        </w:rPr>
      </w:pPr>
      <w:r w:rsidRPr="00E608B1">
        <w:rPr>
          <w:rFonts w:ascii="Arial" w:hAnsi="Arial" w:cs="Arial"/>
          <w:b/>
          <w:bCs/>
          <w:sz w:val="28"/>
          <w:szCs w:val="28"/>
        </w:rPr>
        <w:t>Qualitativ</w:t>
      </w:r>
      <w:r w:rsidR="000F2378">
        <w:rPr>
          <w:rFonts w:ascii="Arial" w:hAnsi="Arial" w:cs="Arial"/>
          <w:b/>
          <w:bCs/>
          <w:sz w:val="28"/>
          <w:szCs w:val="28"/>
        </w:rPr>
        <w:t>e Method</w:t>
      </w:r>
    </w:p>
    <w:p w14:paraId="1D41387A" w14:textId="2362C5C7" w:rsidR="00E608B1" w:rsidRPr="00E608B1" w:rsidRDefault="00E608B1" w:rsidP="00E608B1">
      <w:pPr>
        <w:ind w:right="57"/>
        <w:jc w:val="both"/>
        <w:rPr>
          <w:rFonts w:ascii="Arial" w:hAnsi="Arial" w:cs="Arial"/>
          <w:sz w:val="28"/>
          <w:szCs w:val="28"/>
        </w:rPr>
      </w:pPr>
      <w:r w:rsidRPr="00E608B1">
        <w:rPr>
          <w:rFonts w:ascii="Arial" w:hAnsi="Arial" w:cs="Arial"/>
          <w:sz w:val="28"/>
          <w:szCs w:val="28"/>
        </w:rPr>
        <w:t>To explore deeper motivations, perceptions and interpretations that cannot be captured numerically, particularly regarding brand meaning, value trade</w:t>
      </w:r>
      <w:r w:rsidRPr="00E608B1">
        <w:rPr>
          <w:rFonts w:ascii="Arial" w:hAnsi="Arial" w:cs="Arial"/>
          <w:sz w:val="28"/>
          <w:szCs w:val="28"/>
        </w:rPr>
        <w:noBreakHyphen/>
        <w:t>offs and emotional drivers of loyalty.</w:t>
      </w:r>
    </w:p>
    <w:p w14:paraId="6A206AB9" w14:textId="7E24BFBD" w:rsidR="00E608B1" w:rsidRPr="00E608B1" w:rsidRDefault="000F2378" w:rsidP="00E608B1">
      <w:pPr>
        <w:ind w:right="57"/>
        <w:jc w:val="both"/>
        <w:rPr>
          <w:rFonts w:ascii="Arial" w:hAnsi="Arial" w:cs="Arial"/>
          <w:sz w:val="28"/>
          <w:szCs w:val="28"/>
        </w:rPr>
      </w:pPr>
      <w:r>
        <w:rPr>
          <w:rFonts w:ascii="Arial" w:hAnsi="Arial" w:cs="Arial"/>
          <w:sz w:val="28"/>
          <w:szCs w:val="28"/>
        </w:rPr>
        <w:t>S</w:t>
      </w:r>
      <w:r w:rsidR="00E608B1" w:rsidRPr="00E608B1">
        <w:rPr>
          <w:rFonts w:ascii="Arial" w:hAnsi="Arial" w:cs="Arial"/>
          <w:sz w:val="28"/>
          <w:szCs w:val="28"/>
        </w:rPr>
        <w:t>tructured interviews will be conducted with:</w:t>
      </w:r>
    </w:p>
    <w:p w14:paraId="78AB2334" w14:textId="77777777" w:rsidR="00E608B1" w:rsidRPr="00E608B1" w:rsidRDefault="00E608B1" w:rsidP="00E608B1">
      <w:pPr>
        <w:numPr>
          <w:ilvl w:val="0"/>
          <w:numId w:val="12"/>
        </w:numPr>
        <w:ind w:right="57"/>
        <w:jc w:val="both"/>
        <w:rPr>
          <w:rFonts w:ascii="Arial" w:hAnsi="Arial" w:cs="Arial"/>
          <w:sz w:val="28"/>
          <w:szCs w:val="28"/>
        </w:rPr>
      </w:pPr>
      <w:r w:rsidRPr="00E608B1">
        <w:rPr>
          <w:rFonts w:ascii="Arial" w:hAnsi="Arial" w:cs="Arial"/>
          <w:sz w:val="28"/>
          <w:szCs w:val="28"/>
        </w:rPr>
        <w:t>Waitrose customers (to explore value perceptions and switching decisions)</w:t>
      </w:r>
    </w:p>
    <w:p w14:paraId="58728696" w14:textId="77777777" w:rsidR="00E608B1" w:rsidRPr="00E608B1" w:rsidRDefault="00E608B1" w:rsidP="00E608B1">
      <w:pPr>
        <w:numPr>
          <w:ilvl w:val="0"/>
          <w:numId w:val="12"/>
        </w:numPr>
        <w:ind w:right="57"/>
        <w:jc w:val="both"/>
        <w:rPr>
          <w:rFonts w:ascii="Arial" w:hAnsi="Arial" w:cs="Arial"/>
          <w:sz w:val="28"/>
          <w:szCs w:val="28"/>
        </w:rPr>
      </w:pPr>
      <w:r w:rsidRPr="00E608B1">
        <w:rPr>
          <w:rFonts w:ascii="Arial" w:hAnsi="Arial" w:cs="Arial"/>
          <w:sz w:val="28"/>
          <w:szCs w:val="28"/>
        </w:rPr>
        <w:t>Retail experts or former employees (to understand strategic and operational challenges)</w:t>
      </w:r>
    </w:p>
    <w:p w14:paraId="32341B07" w14:textId="118002FF" w:rsidR="00E608B1" w:rsidRPr="00E608B1" w:rsidRDefault="00E608B1" w:rsidP="00E608B1">
      <w:pPr>
        <w:ind w:right="57"/>
        <w:jc w:val="both"/>
        <w:rPr>
          <w:rFonts w:ascii="Arial" w:hAnsi="Arial" w:cs="Arial"/>
          <w:sz w:val="28"/>
          <w:szCs w:val="28"/>
        </w:rPr>
      </w:pPr>
      <w:r w:rsidRPr="00E608B1">
        <w:rPr>
          <w:rFonts w:ascii="Arial" w:hAnsi="Arial" w:cs="Arial"/>
          <w:sz w:val="28"/>
          <w:szCs w:val="28"/>
        </w:rPr>
        <w:lastRenderedPageBreak/>
        <w:t>Semi</w:t>
      </w:r>
      <w:r w:rsidRPr="00E608B1">
        <w:rPr>
          <w:rFonts w:ascii="Arial" w:hAnsi="Arial" w:cs="Arial"/>
          <w:sz w:val="28"/>
          <w:szCs w:val="28"/>
        </w:rPr>
        <w:noBreakHyphen/>
        <w:t>structured interviews are appropriate when exploring complex, context</w:t>
      </w:r>
      <w:r w:rsidRPr="00E608B1">
        <w:rPr>
          <w:rFonts w:ascii="Arial" w:hAnsi="Arial" w:cs="Arial"/>
          <w:sz w:val="28"/>
          <w:szCs w:val="28"/>
        </w:rPr>
        <w:noBreakHyphen/>
        <w:t>dependent phenomena (Kvale &amp; Brinkmann, 2015).</w:t>
      </w:r>
    </w:p>
    <w:p w14:paraId="13FDBC21" w14:textId="77777777" w:rsidR="00E608B1" w:rsidRPr="00E608B1" w:rsidRDefault="00E608B1" w:rsidP="00E608B1">
      <w:pPr>
        <w:ind w:right="57"/>
        <w:jc w:val="both"/>
        <w:rPr>
          <w:rFonts w:ascii="Arial" w:hAnsi="Arial" w:cs="Arial"/>
          <w:sz w:val="28"/>
          <w:szCs w:val="28"/>
        </w:rPr>
      </w:pPr>
      <w:r w:rsidRPr="00E608B1">
        <w:rPr>
          <w:rFonts w:ascii="Arial" w:hAnsi="Arial" w:cs="Arial"/>
          <w:sz w:val="28"/>
          <w:szCs w:val="28"/>
        </w:rPr>
        <w:t>A purposive and snowball sampling approach will be used to recruit:</w:t>
      </w:r>
    </w:p>
    <w:p w14:paraId="0826F6A3" w14:textId="77777777" w:rsidR="00E608B1" w:rsidRPr="00E608B1" w:rsidRDefault="00E608B1" w:rsidP="00E608B1">
      <w:pPr>
        <w:numPr>
          <w:ilvl w:val="0"/>
          <w:numId w:val="13"/>
        </w:numPr>
        <w:ind w:right="57"/>
        <w:jc w:val="both"/>
        <w:rPr>
          <w:rFonts w:ascii="Arial" w:hAnsi="Arial" w:cs="Arial"/>
          <w:sz w:val="28"/>
          <w:szCs w:val="28"/>
        </w:rPr>
      </w:pPr>
      <w:r w:rsidRPr="00E608B1">
        <w:rPr>
          <w:rFonts w:ascii="Arial" w:hAnsi="Arial" w:cs="Arial"/>
          <w:sz w:val="28"/>
          <w:szCs w:val="28"/>
        </w:rPr>
        <w:t>10–15 customers</w:t>
      </w:r>
    </w:p>
    <w:p w14:paraId="59D08AFA" w14:textId="77777777" w:rsidR="00E608B1" w:rsidRPr="00E608B1" w:rsidRDefault="00E608B1" w:rsidP="00E608B1">
      <w:pPr>
        <w:numPr>
          <w:ilvl w:val="0"/>
          <w:numId w:val="13"/>
        </w:numPr>
        <w:ind w:right="57"/>
        <w:jc w:val="both"/>
        <w:rPr>
          <w:rFonts w:ascii="Arial" w:hAnsi="Arial" w:cs="Arial"/>
          <w:sz w:val="28"/>
          <w:szCs w:val="28"/>
        </w:rPr>
      </w:pPr>
      <w:r w:rsidRPr="00E608B1">
        <w:rPr>
          <w:rFonts w:ascii="Arial" w:hAnsi="Arial" w:cs="Arial"/>
          <w:sz w:val="28"/>
          <w:szCs w:val="28"/>
        </w:rPr>
        <w:t>3–5 industry experts</w:t>
      </w:r>
    </w:p>
    <w:p w14:paraId="307088C4" w14:textId="77777777" w:rsidR="00E608B1" w:rsidRPr="00E608B1" w:rsidRDefault="00E608B1" w:rsidP="00E608B1">
      <w:pPr>
        <w:ind w:right="57"/>
        <w:jc w:val="both"/>
        <w:rPr>
          <w:rFonts w:ascii="Arial" w:hAnsi="Arial" w:cs="Arial"/>
          <w:sz w:val="28"/>
          <w:szCs w:val="28"/>
        </w:rPr>
      </w:pPr>
      <w:r w:rsidRPr="00E608B1">
        <w:rPr>
          <w:rFonts w:ascii="Arial" w:hAnsi="Arial" w:cs="Arial"/>
          <w:sz w:val="28"/>
          <w:szCs w:val="28"/>
        </w:rPr>
        <w:t>This ensures diversity of perspectives while remaining manageable for thematic analysis.</w:t>
      </w:r>
    </w:p>
    <w:p w14:paraId="683B88EA" w14:textId="77777777" w:rsidR="00E608B1" w:rsidRPr="00E608B1" w:rsidRDefault="00E608B1" w:rsidP="00E608B1">
      <w:pPr>
        <w:ind w:right="57"/>
        <w:jc w:val="both"/>
        <w:rPr>
          <w:rFonts w:ascii="Arial" w:hAnsi="Arial" w:cs="Arial"/>
          <w:b/>
          <w:bCs/>
          <w:sz w:val="28"/>
          <w:szCs w:val="28"/>
        </w:rPr>
      </w:pPr>
      <w:r w:rsidRPr="00E608B1">
        <w:rPr>
          <w:rFonts w:ascii="Arial" w:hAnsi="Arial" w:cs="Arial"/>
          <w:b/>
          <w:bCs/>
          <w:sz w:val="28"/>
          <w:szCs w:val="28"/>
        </w:rPr>
        <w:t>Reliability and Validity</w:t>
      </w:r>
    </w:p>
    <w:p w14:paraId="4F005E4F" w14:textId="77777777" w:rsidR="00E608B1" w:rsidRPr="00E608B1" w:rsidRDefault="00E608B1" w:rsidP="00E608B1">
      <w:pPr>
        <w:numPr>
          <w:ilvl w:val="0"/>
          <w:numId w:val="14"/>
        </w:numPr>
        <w:ind w:right="57"/>
        <w:jc w:val="both"/>
        <w:rPr>
          <w:rFonts w:ascii="Arial" w:hAnsi="Arial" w:cs="Arial"/>
          <w:sz w:val="28"/>
          <w:szCs w:val="28"/>
        </w:rPr>
      </w:pPr>
      <w:r w:rsidRPr="00E608B1">
        <w:rPr>
          <w:rFonts w:ascii="Arial" w:hAnsi="Arial" w:cs="Arial"/>
          <w:sz w:val="28"/>
          <w:szCs w:val="28"/>
        </w:rPr>
        <w:t>An interview guide ensures consistency across interviews.</w:t>
      </w:r>
    </w:p>
    <w:p w14:paraId="5C2EECB7" w14:textId="77777777" w:rsidR="00E608B1" w:rsidRPr="00E608B1" w:rsidRDefault="00E608B1" w:rsidP="00E608B1">
      <w:pPr>
        <w:numPr>
          <w:ilvl w:val="0"/>
          <w:numId w:val="14"/>
        </w:numPr>
        <w:ind w:right="57"/>
        <w:jc w:val="both"/>
        <w:rPr>
          <w:rFonts w:ascii="Arial" w:hAnsi="Arial" w:cs="Arial"/>
          <w:sz w:val="28"/>
          <w:szCs w:val="28"/>
        </w:rPr>
      </w:pPr>
      <w:r w:rsidRPr="00E608B1">
        <w:rPr>
          <w:rFonts w:ascii="Arial" w:hAnsi="Arial" w:cs="Arial"/>
          <w:sz w:val="28"/>
          <w:szCs w:val="28"/>
        </w:rPr>
        <w:t>Member checking enhances credibility (Lincoln &amp; Guba, 1985).</w:t>
      </w:r>
    </w:p>
    <w:p w14:paraId="0F3C1787" w14:textId="77777777" w:rsidR="00E608B1" w:rsidRPr="00E608B1" w:rsidRDefault="00E608B1" w:rsidP="00E608B1">
      <w:pPr>
        <w:numPr>
          <w:ilvl w:val="0"/>
          <w:numId w:val="14"/>
        </w:numPr>
        <w:ind w:right="57"/>
        <w:jc w:val="both"/>
        <w:rPr>
          <w:rFonts w:ascii="Arial" w:hAnsi="Arial" w:cs="Arial"/>
          <w:sz w:val="28"/>
          <w:szCs w:val="28"/>
        </w:rPr>
      </w:pPr>
      <w:r w:rsidRPr="00E608B1">
        <w:rPr>
          <w:rFonts w:ascii="Arial" w:hAnsi="Arial" w:cs="Arial"/>
          <w:sz w:val="28"/>
          <w:szCs w:val="28"/>
        </w:rPr>
        <w:t>Transparent coding procedures strengthen dependability.</w:t>
      </w:r>
    </w:p>
    <w:p w14:paraId="0F5F50DD" w14:textId="77777777" w:rsidR="00E608B1" w:rsidRPr="00E608B1" w:rsidRDefault="00E608B1" w:rsidP="00E608B1">
      <w:pPr>
        <w:ind w:right="57"/>
        <w:jc w:val="both"/>
        <w:rPr>
          <w:rFonts w:ascii="Arial" w:hAnsi="Arial" w:cs="Arial"/>
          <w:b/>
          <w:bCs/>
          <w:sz w:val="28"/>
          <w:szCs w:val="28"/>
        </w:rPr>
      </w:pPr>
      <w:r w:rsidRPr="00E608B1">
        <w:rPr>
          <w:rFonts w:ascii="Arial" w:hAnsi="Arial" w:cs="Arial"/>
          <w:b/>
          <w:bCs/>
          <w:sz w:val="28"/>
          <w:szCs w:val="28"/>
        </w:rPr>
        <w:t>Research Ethics</w:t>
      </w:r>
    </w:p>
    <w:p w14:paraId="56ADF850" w14:textId="77777777" w:rsidR="00E608B1" w:rsidRPr="00E608B1" w:rsidRDefault="00E608B1" w:rsidP="00E608B1">
      <w:pPr>
        <w:ind w:right="57"/>
        <w:jc w:val="both"/>
        <w:rPr>
          <w:rFonts w:ascii="Arial" w:hAnsi="Arial" w:cs="Arial"/>
          <w:sz w:val="28"/>
          <w:szCs w:val="28"/>
        </w:rPr>
      </w:pPr>
      <w:r w:rsidRPr="00E608B1">
        <w:rPr>
          <w:rFonts w:ascii="Arial" w:hAnsi="Arial" w:cs="Arial"/>
          <w:sz w:val="28"/>
          <w:szCs w:val="28"/>
        </w:rPr>
        <w:t>The study will follow standard ethical principles:</w:t>
      </w:r>
    </w:p>
    <w:p w14:paraId="6B1C0095" w14:textId="77777777" w:rsidR="00E608B1" w:rsidRPr="00E608B1" w:rsidRDefault="00E608B1" w:rsidP="00E608B1">
      <w:pPr>
        <w:numPr>
          <w:ilvl w:val="0"/>
          <w:numId w:val="15"/>
        </w:numPr>
        <w:ind w:right="57"/>
        <w:jc w:val="both"/>
        <w:rPr>
          <w:rFonts w:ascii="Arial" w:hAnsi="Arial" w:cs="Arial"/>
          <w:sz w:val="28"/>
          <w:szCs w:val="28"/>
        </w:rPr>
      </w:pPr>
      <w:r w:rsidRPr="00E608B1">
        <w:rPr>
          <w:rFonts w:ascii="Arial" w:hAnsi="Arial" w:cs="Arial"/>
          <w:sz w:val="28"/>
          <w:szCs w:val="28"/>
        </w:rPr>
        <w:t>Informed consent and voluntary participation (BERA, 2018).</w:t>
      </w:r>
    </w:p>
    <w:p w14:paraId="2C4F4712" w14:textId="77777777" w:rsidR="00E608B1" w:rsidRPr="00E608B1" w:rsidRDefault="00E608B1" w:rsidP="00E608B1">
      <w:pPr>
        <w:numPr>
          <w:ilvl w:val="0"/>
          <w:numId w:val="15"/>
        </w:numPr>
        <w:ind w:right="57"/>
        <w:jc w:val="both"/>
        <w:rPr>
          <w:rFonts w:ascii="Arial" w:hAnsi="Arial" w:cs="Arial"/>
          <w:sz w:val="28"/>
          <w:szCs w:val="28"/>
        </w:rPr>
      </w:pPr>
      <w:r w:rsidRPr="00E608B1">
        <w:rPr>
          <w:rFonts w:ascii="Arial" w:hAnsi="Arial" w:cs="Arial"/>
          <w:sz w:val="28"/>
          <w:szCs w:val="28"/>
        </w:rPr>
        <w:t>Anonymisation of all personal data.</w:t>
      </w:r>
    </w:p>
    <w:p w14:paraId="78664997" w14:textId="77777777" w:rsidR="00E608B1" w:rsidRPr="00E608B1" w:rsidRDefault="00E608B1" w:rsidP="00E608B1">
      <w:pPr>
        <w:numPr>
          <w:ilvl w:val="0"/>
          <w:numId w:val="15"/>
        </w:numPr>
        <w:ind w:right="57"/>
        <w:jc w:val="both"/>
        <w:rPr>
          <w:rFonts w:ascii="Arial" w:hAnsi="Arial" w:cs="Arial"/>
          <w:sz w:val="28"/>
          <w:szCs w:val="28"/>
        </w:rPr>
      </w:pPr>
      <w:r w:rsidRPr="00E608B1">
        <w:rPr>
          <w:rFonts w:ascii="Arial" w:hAnsi="Arial" w:cs="Arial"/>
          <w:sz w:val="28"/>
          <w:szCs w:val="28"/>
        </w:rPr>
        <w:t>Secure data storage in compliance with institutional guidelines.</w:t>
      </w:r>
    </w:p>
    <w:p w14:paraId="07220DB6" w14:textId="77777777" w:rsidR="00E608B1" w:rsidRDefault="00E608B1" w:rsidP="00E608B1">
      <w:pPr>
        <w:numPr>
          <w:ilvl w:val="0"/>
          <w:numId w:val="15"/>
        </w:numPr>
        <w:ind w:right="57"/>
        <w:jc w:val="both"/>
        <w:rPr>
          <w:rFonts w:ascii="Arial" w:hAnsi="Arial" w:cs="Arial"/>
          <w:sz w:val="28"/>
          <w:szCs w:val="28"/>
        </w:rPr>
      </w:pPr>
      <w:r w:rsidRPr="00E608B1">
        <w:rPr>
          <w:rFonts w:ascii="Arial" w:hAnsi="Arial" w:cs="Arial"/>
          <w:sz w:val="28"/>
          <w:szCs w:val="28"/>
        </w:rPr>
        <w:t>Avoidance of harm, coercion or disclosure of commercially sensitive information.</w:t>
      </w:r>
    </w:p>
    <w:p w14:paraId="28D95BA1" w14:textId="77777777" w:rsidR="00E27EA0" w:rsidRDefault="00E27EA0" w:rsidP="00E27EA0">
      <w:pPr>
        <w:ind w:right="57"/>
        <w:jc w:val="both"/>
        <w:rPr>
          <w:rFonts w:ascii="Arial" w:hAnsi="Arial" w:cs="Arial"/>
          <w:sz w:val="28"/>
          <w:szCs w:val="28"/>
        </w:rPr>
      </w:pPr>
    </w:p>
    <w:p w14:paraId="60261F1B" w14:textId="77777777" w:rsidR="00E27EA0" w:rsidRPr="00E608B1" w:rsidRDefault="00E27EA0" w:rsidP="00E27EA0">
      <w:pPr>
        <w:ind w:right="57"/>
        <w:jc w:val="both"/>
        <w:rPr>
          <w:rFonts w:ascii="Arial" w:hAnsi="Arial" w:cs="Arial"/>
          <w:sz w:val="28"/>
          <w:szCs w:val="28"/>
        </w:rPr>
      </w:pPr>
    </w:p>
    <w:p w14:paraId="4074A94D" w14:textId="77777777" w:rsidR="00E608B1" w:rsidRPr="00E608B1" w:rsidRDefault="00E608B1" w:rsidP="00E608B1">
      <w:pPr>
        <w:ind w:right="57"/>
        <w:jc w:val="both"/>
        <w:rPr>
          <w:rFonts w:ascii="Arial" w:hAnsi="Arial" w:cs="Arial"/>
          <w:b/>
          <w:bCs/>
          <w:sz w:val="28"/>
          <w:szCs w:val="28"/>
        </w:rPr>
      </w:pPr>
      <w:r w:rsidRPr="00E608B1">
        <w:rPr>
          <w:rFonts w:ascii="Arial" w:hAnsi="Arial" w:cs="Arial"/>
          <w:b/>
          <w:bCs/>
          <w:sz w:val="28"/>
          <w:szCs w:val="28"/>
        </w:rPr>
        <w:t>Overall Justification</w:t>
      </w:r>
    </w:p>
    <w:p w14:paraId="568FD2ED" w14:textId="77777777" w:rsidR="00E608B1" w:rsidRPr="00E608B1" w:rsidRDefault="00E608B1" w:rsidP="00E608B1">
      <w:pPr>
        <w:ind w:right="57"/>
        <w:jc w:val="both"/>
        <w:rPr>
          <w:rFonts w:ascii="Arial" w:hAnsi="Arial" w:cs="Arial"/>
          <w:sz w:val="28"/>
          <w:szCs w:val="28"/>
        </w:rPr>
      </w:pPr>
      <w:r w:rsidRPr="00E608B1">
        <w:rPr>
          <w:rFonts w:ascii="Arial" w:hAnsi="Arial" w:cs="Arial"/>
          <w:sz w:val="28"/>
          <w:szCs w:val="28"/>
        </w:rPr>
        <w:t>A mixed</w:t>
      </w:r>
      <w:r w:rsidRPr="00E608B1">
        <w:rPr>
          <w:rFonts w:ascii="Arial" w:hAnsi="Arial" w:cs="Arial"/>
          <w:sz w:val="28"/>
          <w:szCs w:val="28"/>
        </w:rPr>
        <w:noBreakHyphen/>
        <w:t>methods design is justified because it allows the study to integrate:</w:t>
      </w:r>
    </w:p>
    <w:p w14:paraId="669BB3C6" w14:textId="77777777" w:rsidR="00E608B1" w:rsidRPr="00E608B1" w:rsidRDefault="00E608B1" w:rsidP="00E608B1">
      <w:pPr>
        <w:numPr>
          <w:ilvl w:val="0"/>
          <w:numId w:val="16"/>
        </w:numPr>
        <w:ind w:right="57"/>
        <w:jc w:val="both"/>
        <w:rPr>
          <w:rFonts w:ascii="Arial" w:hAnsi="Arial" w:cs="Arial"/>
          <w:sz w:val="28"/>
          <w:szCs w:val="28"/>
        </w:rPr>
      </w:pPr>
      <w:r w:rsidRPr="00E608B1">
        <w:rPr>
          <w:rFonts w:ascii="Arial" w:hAnsi="Arial" w:cs="Arial"/>
          <w:sz w:val="28"/>
          <w:szCs w:val="28"/>
        </w:rPr>
        <w:t>Quantitative evidence of behavioural trends</w:t>
      </w:r>
    </w:p>
    <w:p w14:paraId="7E4C9F6C" w14:textId="77777777" w:rsidR="00E608B1" w:rsidRPr="00E608B1" w:rsidRDefault="00E608B1" w:rsidP="00E608B1">
      <w:pPr>
        <w:numPr>
          <w:ilvl w:val="0"/>
          <w:numId w:val="16"/>
        </w:numPr>
        <w:ind w:right="57"/>
        <w:jc w:val="both"/>
        <w:rPr>
          <w:rFonts w:ascii="Arial" w:hAnsi="Arial" w:cs="Arial"/>
          <w:sz w:val="28"/>
          <w:szCs w:val="28"/>
        </w:rPr>
      </w:pPr>
      <w:r w:rsidRPr="00E608B1">
        <w:rPr>
          <w:rFonts w:ascii="Arial" w:hAnsi="Arial" w:cs="Arial"/>
          <w:sz w:val="28"/>
          <w:szCs w:val="28"/>
        </w:rPr>
        <w:t>Qualitative insight into perceptions, motivations and strategic interpretations</w:t>
      </w:r>
    </w:p>
    <w:p w14:paraId="5C8CF309" w14:textId="77777777" w:rsidR="00E608B1" w:rsidRDefault="00E608B1" w:rsidP="00E608B1">
      <w:pPr>
        <w:ind w:right="57"/>
        <w:jc w:val="both"/>
        <w:rPr>
          <w:rFonts w:ascii="Arial" w:hAnsi="Arial" w:cs="Arial"/>
          <w:sz w:val="28"/>
          <w:szCs w:val="28"/>
        </w:rPr>
      </w:pPr>
      <w:r w:rsidRPr="00E608B1">
        <w:rPr>
          <w:rFonts w:ascii="Arial" w:hAnsi="Arial" w:cs="Arial"/>
          <w:sz w:val="28"/>
          <w:szCs w:val="28"/>
        </w:rPr>
        <w:t>This combination provides a more comprehensive and theoretically grounded explanation of Waitrose’s market decline than either method alone.</w:t>
      </w:r>
    </w:p>
    <w:p w14:paraId="0F383877" w14:textId="77777777" w:rsidR="00D643AF" w:rsidRDefault="00D643AF" w:rsidP="00E608B1">
      <w:pPr>
        <w:ind w:right="57"/>
        <w:jc w:val="both"/>
        <w:rPr>
          <w:rFonts w:ascii="Arial" w:hAnsi="Arial" w:cs="Arial"/>
          <w:sz w:val="28"/>
          <w:szCs w:val="28"/>
        </w:rPr>
      </w:pPr>
    </w:p>
    <w:p w14:paraId="3CDC6F8B" w14:textId="1BFDC59D" w:rsidR="00D643AF" w:rsidRDefault="00241E3D" w:rsidP="00241E3D">
      <w:pPr>
        <w:ind w:left="432" w:right="57"/>
        <w:jc w:val="both"/>
        <w:rPr>
          <w:rFonts w:ascii="Arial" w:hAnsi="Arial" w:cs="Arial"/>
          <w:sz w:val="28"/>
          <w:szCs w:val="28"/>
        </w:rPr>
      </w:pPr>
      <w:r w:rsidRPr="00241E3D">
        <w:rPr>
          <w:rFonts w:ascii="Arial" w:hAnsi="Arial" w:cs="Arial"/>
          <w:b/>
          <w:bCs/>
          <w:sz w:val="28"/>
          <w:szCs w:val="28"/>
        </w:rPr>
        <w:lastRenderedPageBreak/>
        <w:t>Business Relevance and practical Implications</w:t>
      </w:r>
      <w:r w:rsidRPr="00241E3D">
        <w:rPr>
          <w:rFonts w:ascii="Arial" w:hAnsi="Arial" w:cs="Arial"/>
          <w:sz w:val="28"/>
          <w:szCs w:val="28"/>
        </w:rPr>
        <w:t>.</w:t>
      </w:r>
    </w:p>
    <w:p w14:paraId="68934B37" w14:textId="77777777" w:rsidR="00686E98" w:rsidRPr="00686E98" w:rsidRDefault="00686E98" w:rsidP="00686E98">
      <w:pPr>
        <w:ind w:left="432" w:right="57"/>
        <w:jc w:val="both"/>
        <w:rPr>
          <w:rFonts w:ascii="Arial" w:hAnsi="Arial" w:cs="Arial"/>
          <w:sz w:val="28"/>
          <w:szCs w:val="28"/>
        </w:rPr>
      </w:pPr>
      <w:r w:rsidRPr="00686E98">
        <w:rPr>
          <w:rFonts w:ascii="Arial" w:hAnsi="Arial" w:cs="Arial"/>
          <w:sz w:val="28"/>
          <w:szCs w:val="28"/>
        </w:rPr>
        <w:t>The proposed research offers significant practical value to Waitrose and the John Lewis Partnership by generating evidence</w:t>
      </w:r>
      <w:r w:rsidRPr="00686E98">
        <w:rPr>
          <w:rFonts w:ascii="Arial" w:hAnsi="Arial" w:cs="Arial"/>
          <w:sz w:val="28"/>
          <w:szCs w:val="28"/>
        </w:rPr>
        <w:noBreakHyphen/>
        <w:t>based insights into the drivers of declining market performance. By integrating consumer behaviour theory (Zeithaml, 1988), competitive strategy frameworks (Porter, 1980) and organisational capability perspectives (Barney, 1991), the study enables more informed decision</w:t>
      </w:r>
      <w:r w:rsidRPr="00686E98">
        <w:rPr>
          <w:rFonts w:ascii="Arial" w:hAnsi="Arial" w:cs="Arial"/>
          <w:sz w:val="28"/>
          <w:szCs w:val="28"/>
        </w:rPr>
        <w:noBreakHyphen/>
        <w:t>making regarding pricing architecture, loyalty design, product tiering and digital investment. The mixed</w:t>
      </w:r>
      <w:r w:rsidRPr="00686E98">
        <w:rPr>
          <w:rFonts w:ascii="Arial" w:hAnsi="Arial" w:cs="Arial"/>
          <w:sz w:val="28"/>
          <w:szCs w:val="28"/>
        </w:rPr>
        <w:noBreakHyphen/>
        <w:t>methods approach provides both quantitative clarity on customer perceptions and qualitative depth on motivations and switching behaviour, supporting strategic choices grounded in empirical evidence rather than managerial intuition (Creswell &amp; Plano Clark, 2018).</w:t>
      </w:r>
    </w:p>
    <w:p w14:paraId="75B96BF2" w14:textId="77777777" w:rsidR="00686E98" w:rsidRPr="00686E98" w:rsidRDefault="00686E98" w:rsidP="00686E98">
      <w:pPr>
        <w:ind w:left="432" w:right="57"/>
        <w:jc w:val="both"/>
        <w:rPr>
          <w:rFonts w:ascii="Arial" w:hAnsi="Arial" w:cs="Arial"/>
          <w:sz w:val="28"/>
          <w:szCs w:val="28"/>
        </w:rPr>
      </w:pPr>
      <w:r w:rsidRPr="00686E98">
        <w:rPr>
          <w:rFonts w:ascii="Arial" w:hAnsi="Arial" w:cs="Arial"/>
          <w:sz w:val="28"/>
          <w:szCs w:val="28"/>
        </w:rPr>
        <w:t>The findings are likely to inform several strategic recommendations. Strengthening price perception through clearer value ranges and targeted price investment aligns with guidance that differentiated retailers must protect their price image during downturns (Burt &amp; Sparks, 2020). Re</w:t>
      </w:r>
      <w:r w:rsidRPr="00686E98">
        <w:rPr>
          <w:rFonts w:ascii="Arial" w:hAnsi="Arial" w:cs="Arial"/>
          <w:sz w:val="28"/>
          <w:szCs w:val="28"/>
        </w:rPr>
        <w:noBreakHyphen/>
        <w:t>emphasising core differentiation—quality, ethics and provenance—supports the Resource</w:t>
      </w:r>
      <w:r w:rsidRPr="00686E98">
        <w:rPr>
          <w:rFonts w:ascii="Arial" w:hAnsi="Arial" w:cs="Arial"/>
          <w:sz w:val="28"/>
          <w:szCs w:val="28"/>
        </w:rPr>
        <w:noBreakHyphen/>
        <w:t>Based View, which stresses leveraging unique, hard</w:t>
      </w:r>
      <w:r w:rsidRPr="00686E98">
        <w:rPr>
          <w:rFonts w:ascii="Arial" w:hAnsi="Arial" w:cs="Arial"/>
          <w:sz w:val="28"/>
          <w:szCs w:val="28"/>
        </w:rPr>
        <w:noBreakHyphen/>
        <w:t>to</w:t>
      </w:r>
      <w:r w:rsidRPr="00686E98">
        <w:rPr>
          <w:rFonts w:ascii="Arial" w:hAnsi="Arial" w:cs="Arial"/>
          <w:sz w:val="28"/>
          <w:szCs w:val="28"/>
        </w:rPr>
        <w:noBreakHyphen/>
        <w:t>imitate capabilities (Barney, 1991). Enhancing digital capability and omnichannel integration reflects multichannel retailing research emphasising convenience and reliability as central to perceived value (Hagberg et al., 2016).</w:t>
      </w:r>
    </w:p>
    <w:p w14:paraId="656F237D" w14:textId="77777777" w:rsidR="00686E98" w:rsidRPr="00686E98" w:rsidRDefault="00686E98" w:rsidP="00686E98">
      <w:pPr>
        <w:ind w:left="432" w:right="57"/>
        <w:jc w:val="both"/>
        <w:rPr>
          <w:rFonts w:ascii="Arial" w:hAnsi="Arial" w:cs="Arial"/>
          <w:sz w:val="28"/>
          <w:szCs w:val="28"/>
        </w:rPr>
      </w:pPr>
      <w:r w:rsidRPr="00686E98">
        <w:rPr>
          <w:rFonts w:ascii="Arial" w:hAnsi="Arial" w:cs="Arial"/>
          <w:sz w:val="28"/>
          <w:szCs w:val="28"/>
        </w:rPr>
        <w:t>Reflecting on the project, it deepens understanding of applied business research by demonstrating how theoretical frameworks can diagnose real organisational challenges and translate into actionable managerial recommendations, reinforcing the value of rigorous, evidence</w:t>
      </w:r>
      <w:r w:rsidRPr="00686E98">
        <w:rPr>
          <w:rFonts w:ascii="Arial" w:hAnsi="Arial" w:cs="Arial"/>
          <w:sz w:val="28"/>
          <w:szCs w:val="28"/>
        </w:rPr>
        <w:noBreakHyphen/>
        <w:t>driven analysis.</w:t>
      </w:r>
    </w:p>
    <w:p w14:paraId="5D464028" w14:textId="77777777" w:rsidR="00241E3D" w:rsidRPr="0045521B" w:rsidRDefault="00241E3D" w:rsidP="00241E3D">
      <w:pPr>
        <w:ind w:left="432" w:right="57"/>
        <w:jc w:val="both"/>
        <w:rPr>
          <w:rFonts w:ascii="Arial" w:hAnsi="Arial" w:cs="Arial"/>
          <w:sz w:val="28"/>
          <w:szCs w:val="28"/>
        </w:rPr>
      </w:pPr>
    </w:p>
    <w:p w14:paraId="2C02BF4F" w14:textId="77777777" w:rsidR="00241E3D" w:rsidRPr="0045521B" w:rsidRDefault="00241E3D" w:rsidP="00241E3D">
      <w:pPr>
        <w:ind w:left="432" w:right="57"/>
        <w:jc w:val="both"/>
        <w:rPr>
          <w:rFonts w:ascii="Arial" w:hAnsi="Arial" w:cs="Arial"/>
          <w:sz w:val="28"/>
          <w:szCs w:val="28"/>
        </w:rPr>
      </w:pPr>
    </w:p>
    <w:p w14:paraId="53797290" w14:textId="77777777" w:rsidR="003F0DB8" w:rsidRPr="0045521B" w:rsidRDefault="003F0DB8" w:rsidP="00B2253C">
      <w:pPr>
        <w:ind w:right="57"/>
        <w:jc w:val="both"/>
        <w:rPr>
          <w:rFonts w:ascii="Arial" w:hAnsi="Arial" w:cs="Arial"/>
          <w:sz w:val="28"/>
          <w:szCs w:val="28"/>
        </w:rPr>
      </w:pPr>
    </w:p>
    <w:p w14:paraId="45479E71" w14:textId="77777777" w:rsidR="00441E4E" w:rsidRPr="0045521B" w:rsidRDefault="00441E4E" w:rsidP="00B2253C">
      <w:pPr>
        <w:ind w:right="57"/>
        <w:jc w:val="both"/>
        <w:rPr>
          <w:rFonts w:ascii="Arial" w:hAnsi="Arial" w:cs="Arial"/>
          <w:sz w:val="28"/>
          <w:szCs w:val="28"/>
        </w:rPr>
      </w:pPr>
    </w:p>
    <w:p w14:paraId="725452F9" w14:textId="77777777" w:rsidR="00344624" w:rsidRPr="0045521B" w:rsidRDefault="00344624" w:rsidP="007C3571">
      <w:pPr>
        <w:ind w:right="57"/>
        <w:jc w:val="both"/>
        <w:rPr>
          <w:rFonts w:ascii="Arial" w:hAnsi="Arial" w:cs="Arial"/>
          <w:sz w:val="28"/>
          <w:szCs w:val="28"/>
        </w:rPr>
      </w:pPr>
    </w:p>
    <w:p w14:paraId="2F4F8CC4" w14:textId="77777777" w:rsidR="00010C31" w:rsidRPr="0045521B" w:rsidRDefault="00010C31" w:rsidP="007C3571">
      <w:pPr>
        <w:ind w:right="57"/>
        <w:jc w:val="both"/>
        <w:rPr>
          <w:rFonts w:ascii="Arial" w:hAnsi="Arial" w:cs="Arial"/>
          <w:sz w:val="28"/>
          <w:szCs w:val="28"/>
        </w:rPr>
      </w:pPr>
    </w:p>
    <w:p w14:paraId="0F1F9607" w14:textId="77777777" w:rsidR="00010C31" w:rsidRPr="003D02A2" w:rsidRDefault="00010C31" w:rsidP="007C3571">
      <w:pPr>
        <w:ind w:right="57"/>
        <w:jc w:val="both"/>
        <w:rPr>
          <w:rFonts w:ascii="Arial" w:hAnsi="Arial" w:cs="Arial"/>
          <w:sz w:val="28"/>
          <w:szCs w:val="28"/>
        </w:rPr>
      </w:pPr>
    </w:p>
    <w:p w14:paraId="7CFD2557" w14:textId="7124FDA8" w:rsidR="00F53E3B" w:rsidRPr="00423555" w:rsidRDefault="00F53E3B" w:rsidP="007C3571">
      <w:pPr>
        <w:ind w:right="57"/>
        <w:jc w:val="both"/>
        <w:rPr>
          <w:rFonts w:ascii="Arial" w:hAnsi="Arial" w:cs="Arial"/>
          <w:b/>
          <w:bCs/>
          <w:sz w:val="28"/>
          <w:szCs w:val="28"/>
          <w:u w:val="single"/>
        </w:rPr>
      </w:pPr>
      <w:r w:rsidRPr="00423555">
        <w:rPr>
          <w:rFonts w:ascii="Arial" w:hAnsi="Arial" w:cs="Arial"/>
          <w:b/>
          <w:bCs/>
          <w:sz w:val="28"/>
          <w:szCs w:val="28"/>
          <w:u w:val="single"/>
        </w:rPr>
        <w:lastRenderedPageBreak/>
        <w:t>REFERENCES</w:t>
      </w:r>
    </w:p>
    <w:p w14:paraId="0A4AAF6A" w14:textId="6BD3E638" w:rsidR="00F53E3B" w:rsidRDefault="00F53E3B" w:rsidP="007C3571">
      <w:pPr>
        <w:ind w:right="57"/>
        <w:jc w:val="both"/>
        <w:rPr>
          <w:rFonts w:ascii="Arial" w:hAnsi="Arial" w:cs="Arial"/>
          <w:sz w:val="28"/>
          <w:szCs w:val="28"/>
        </w:rPr>
      </w:pPr>
      <w:r w:rsidRPr="00F53E3B">
        <w:rPr>
          <w:rFonts w:ascii="Arial" w:hAnsi="Arial" w:cs="Arial"/>
          <w:sz w:val="28"/>
          <w:szCs w:val="28"/>
        </w:rPr>
        <w:t>Aithal, A. and Aithal, P.S., 2020. Development and validation of survey questionnaire &amp; experimental data–a systematical review-based statistical approach. </w:t>
      </w:r>
      <w:r w:rsidRPr="00F53E3B">
        <w:rPr>
          <w:rFonts w:ascii="Arial" w:hAnsi="Arial" w:cs="Arial"/>
          <w:i/>
          <w:iCs/>
          <w:sz w:val="28"/>
          <w:szCs w:val="28"/>
        </w:rPr>
        <w:t>International Journal of Management, Technology, and Social Sciences (IJMTS)</w:t>
      </w:r>
      <w:r w:rsidRPr="00F53E3B">
        <w:rPr>
          <w:rFonts w:ascii="Arial" w:hAnsi="Arial" w:cs="Arial"/>
          <w:sz w:val="28"/>
          <w:szCs w:val="28"/>
        </w:rPr>
        <w:t>, </w:t>
      </w:r>
      <w:r w:rsidRPr="00F53E3B">
        <w:rPr>
          <w:rFonts w:ascii="Arial" w:hAnsi="Arial" w:cs="Arial"/>
          <w:i/>
          <w:iCs/>
          <w:sz w:val="28"/>
          <w:szCs w:val="28"/>
        </w:rPr>
        <w:t>5</w:t>
      </w:r>
      <w:r w:rsidRPr="00F53E3B">
        <w:rPr>
          <w:rFonts w:ascii="Arial" w:hAnsi="Arial" w:cs="Arial"/>
          <w:sz w:val="28"/>
          <w:szCs w:val="28"/>
        </w:rPr>
        <w:t>(2), pp.233-251.</w:t>
      </w:r>
    </w:p>
    <w:p w14:paraId="5AC650F7" w14:textId="6A932F69" w:rsidR="00F53E3B" w:rsidRDefault="00442527" w:rsidP="007C3571">
      <w:pPr>
        <w:ind w:right="57"/>
        <w:jc w:val="both"/>
        <w:rPr>
          <w:rFonts w:ascii="Arial" w:hAnsi="Arial" w:cs="Arial"/>
          <w:sz w:val="28"/>
          <w:szCs w:val="28"/>
        </w:rPr>
      </w:pPr>
      <w:r w:rsidRPr="00442527">
        <w:rPr>
          <w:rFonts w:ascii="Arial" w:hAnsi="Arial" w:cs="Arial"/>
          <w:sz w:val="28"/>
          <w:szCs w:val="28"/>
        </w:rPr>
        <w:t>Gobiraj, V. and Nimalathasan, B., 2011. Customer Satisfaction and Customer Loyalty: A Case Study of Retail Super Markets in United Kingdom (UK). In </w:t>
      </w:r>
      <w:r w:rsidRPr="00442527">
        <w:rPr>
          <w:rFonts w:ascii="Arial" w:hAnsi="Arial" w:cs="Arial"/>
          <w:i/>
          <w:iCs/>
          <w:sz w:val="28"/>
          <w:szCs w:val="28"/>
        </w:rPr>
        <w:t>The International Conference on Leading beyond the Horizon: Engaging Future, Sri Sai Ram Institute of Management Studies, Tamparam, India</w:t>
      </w:r>
      <w:r w:rsidRPr="00442527">
        <w:rPr>
          <w:rFonts w:ascii="Arial" w:hAnsi="Arial" w:cs="Arial"/>
          <w:sz w:val="28"/>
          <w:szCs w:val="28"/>
        </w:rPr>
        <w:t> (pp. 1-14).</w:t>
      </w:r>
    </w:p>
    <w:p w14:paraId="1E5F40B0" w14:textId="130AC546" w:rsidR="00442527" w:rsidRDefault="005E75BB" w:rsidP="007C3571">
      <w:pPr>
        <w:ind w:right="57"/>
        <w:jc w:val="both"/>
        <w:rPr>
          <w:rFonts w:ascii="Arial" w:hAnsi="Arial" w:cs="Arial"/>
          <w:sz w:val="28"/>
          <w:szCs w:val="28"/>
        </w:rPr>
      </w:pPr>
      <w:r w:rsidRPr="005E75BB">
        <w:rPr>
          <w:rFonts w:ascii="Arial" w:hAnsi="Arial" w:cs="Arial"/>
          <w:sz w:val="28"/>
          <w:szCs w:val="28"/>
        </w:rPr>
        <w:t>Frances, J. and Garnsey, E., 1996. Supermarkets and suppliers in the United Kingdom: System integration, information and control. </w:t>
      </w:r>
      <w:r w:rsidRPr="005E75BB">
        <w:rPr>
          <w:rFonts w:ascii="Arial" w:hAnsi="Arial" w:cs="Arial"/>
          <w:i/>
          <w:iCs/>
          <w:sz w:val="28"/>
          <w:szCs w:val="28"/>
        </w:rPr>
        <w:t>Accounting, Organizations and Society</w:t>
      </w:r>
      <w:r w:rsidRPr="005E75BB">
        <w:rPr>
          <w:rFonts w:ascii="Arial" w:hAnsi="Arial" w:cs="Arial"/>
          <w:sz w:val="28"/>
          <w:szCs w:val="28"/>
        </w:rPr>
        <w:t>, </w:t>
      </w:r>
      <w:r w:rsidRPr="005E75BB">
        <w:rPr>
          <w:rFonts w:ascii="Arial" w:hAnsi="Arial" w:cs="Arial"/>
          <w:i/>
          <w:iCs/>
          <w:sz w:val="28"/>
          <w:szCs w:val="28"/>
        </w:rPr>
        <w:t>21</w:t>
      </w:r>
      <w:r w:rsidRPr="005E75BB">
        <w:rPr>
          <w:rFonts w:ascii="Arial" w:hAnsi="Arial" w:cs="Arial"/>
          <w:sz w:val="28"/>
          <w:szCs w:val="28"/>
        </w:rPr>
        <w:t>(6), pp.591-610.</w:t>
      </w:r>
    </w:p>
    <w:p w14:paraId="01171123" w14:textId="3352FEE4" w:rsidR="004D6A01" w:rsidRDefault="004D6A01" w:rsidP="007C3571">
      <w:pPr>
        <w:ind w:right="57"/>
        <w:jc w:val="both"/>
        <w:rPr>
          <w:rFonts w:ascii="Arial" w:hAnsi="Arial" w:cs="Arial"/>
          <w:sz w:val="28"/>
          <w:szCs w:val="28"/>
        </w:rPr>
      </w:pPr>
      <w:r w:rsidRPr="004D6A01">
        <w:rPr>
          <w:rFonts w:ascii="Arial" w:hAnsi="Arial" w:cs="Arial"/>
          <w:sz w:val="28"/>
          <w:szCs w:val="28"/>
        </w:rPr>
        <w:t>Mumford, C., Parker, C., Ntounis, N. and Dargan, E., 2021. Footfall signatures and volumes: Towards a classification of UK centres. </w:t>
      </w:r>
      <w:r w:rsidRPr="004D6A01">
        <w:rPr>
          <w:rFonts w:ascii="Arial" w:hAnsi="Arial" w:cs="Arial"/>
          <w:i/>
          <w:iCs/>
          <w:sz w:val="28"/>
          <w:szCs w:val="28"/>
        </w:rPr>
        <w:t>Environment and Planning B: Urban Analytics and City Science</w:t>
      </w:r>
      <w:r w:rsidRPr="004D6A01">
        <w:rPr>
          <w:rFonts w:ascii="Arial" w:hAnsi="Arial" w:cs="Arial"/>
          <w:sz w:val="28"/>
          <w:szCs w:val="28"/>
        </w:rPr>
        <w:t>, </w:t>
      </w:r>
      <w:r w:rsidRPr="004D6A01">
        <w:rPr>
          <w:rFonts w:ascii="Arial" w:hAnsi="Arial" w:cs="Arial"/>
          <w:i/>
          <w:iCs/>
          <w:sz w:val="28"/>
          <w:szCs w:val="28"/>
        </w:rPr>
        <w:t>48</w:t>
      </w:r>
      <w:r w:rsidRPr="004D6A01">
        <w:rPr>
          <w:rFonts w:ascii="Arial" w:hAnsi="Arial" w:cs="Arial"/>
          <w:sz w:val="28"/>
          <w:szCs w:val="28"/>
        </w:rPr>
        <w:t>(6), pp.1495-1510.</w:t>
      </w:r>
    </w:p>
    <w:p w14:paraId="7E2201C7" w14:textId="40269C20" w:rsidR="000B4455" w:rsidRDefault="000B4455" w:rsidP="007C3571">
      <w:pPr>
        <w:ind w:right="57"/>
        <w:jc w:val="both"/>
        <w:rPr>
          <w:rFonts w:ascii="Arial" w:hAnsi="Arial" w:cs="Arial"/>
          <w:sz w:val="28"/>
          <w:szCs w:val="28"/>
        </w:rPr>
      </w:pPr>
      <w:r w:rsidRPr="000B4455">
        <w:rPr>
          <w:rFonts w:ascii="Arial" w:hAnsi="Arial" w:cs="Arial"/>
          <w:sz w:val="28"/>
          <w:szCs w:val="28"/>
        </w:rPr>
        <w:t>Kumar, S., 2008. A study of the supermarket industry and its growing logistics capabilities. </w:t>
      </w:r>
      <w:r w:rsidRPr="000B4455">
        <w:rPr>
          <w:rFonts w:ascii="Arial" w:hAnsi="Arial" w:cs="Arial"/>
          <w:i/>
          <w:iCs/>
          <w:sz w:val="28"/>
          <w:szCs w:val="28"/>
        </w:rPr>
        <w:t>International Journal of Retail &amp; Distribution Management</w:t>
      </w:r>
      <w:r w:rsidRPr="000B4455">
        <w:rPr>
          <w:rFonts w:ascii="Arial" w:hAnsi="Arial" w:cs="Arial"/>
          <w:sz w:val="28"/>
          <w:szCs w:val="28"/>
        </w:rPr>
        <w:t>, </w:t>
      </w:r>
      <w:r w:rsidRPr="000B4455">
        <w:rPr>
          <w:rFonts w:ascii="Arial" w:hAnsi="Arial" w:cs="Arial"/>
          <w:i/>
          <w:iCs/>
          <w:sz w:val="28"/>
          <w:szCs w:val="28"/>
        </w:rPr>
        <w:t>36</w:t>
      </w:r>
      <w:r w:rsidRPr="000B4455">
        <w:rPr>
          <w:rFonts w:ascii="Arial" w:hAnsi="Arial" w:cs="Arial"/>
          <w:sz w:val="28"/>
          <w:szCs w:val="28"/>
        </w:rPr>
        <w:t>(3), pp.192-211.</w:t>
      </w:r>
    </w:p>
    <w:p w14:paraId="5F8E7020" w14:textId="7A053447" w:rsidR="000B4455" w:rsidRDefault="00B17DC2" w:rsidP="007C3571">
      <w:pPr>
        <w:ind w:right="57"/>
        <w:jc w:val="both"/>
        <w:rPr>
          <w:rFonts w:ascii="Arial" w:hAnsi="Arial" w:cs="Arial"/>
          <w:sz w:val="28"/>
          <w:szCs w:val="28"/>
        </w:rPr>
      </w:pPr>
      <w:r w:rsidRPr="00B17DC2">
        <w:rPr>
          <w:rFonts w:ascii="Arial" w:hAnsi="Arial" w:cs="Arial"/>
          <w:sz w:val="28"/>
          <w:szCs w:val="28"/>
        </w:rPr>
        <w:t>Spearpoint, M. and Hopkin, C., 2020. How dwell time affects the determination of occupant density in retail occupancies using footfall data. </w:t>
      </w:r>
      <w:r w:rsidRPr="00B17DC2">
        <w:rPr>
          <w:rFonts w:ascii="Arial" w:hAnsi="Arial" w:cs="Arial"/>
          <w:i/>
          <w:iCs/>
          <w:sz w:val="28"/>
          <w:szCs w:val="28"/>
        </w:rPr>
        <w:t>Safety Science</w:t>
      </w:r>
      <w:r w:rsidRPr="00B17DC2">
        <w:rPr>
          <w:rFonts w:ascii="Arial" w:hAnsi="Arial" w:cs="Arial"/>
          <w:sz w:val="28"/>
          <w:szCs w:val="28"/>
        </w:rPr>
        <w:t>, </w:t>
      </w:r>
      <w:r w:rsidRPr="00B17DC2">
        <w:rPr>
          <w:rFonts w:ascii="Arial" w:hAnsi="Arial" w:cs="Arial"/>
          <w:i/>
          <w:iCs/>
          <w:sz w:val="28"/>
          <w:szCs w:val="28"/>
        </w:rPr>
        <w:t>131</w:t>
      </w:r>
      <w:r w:rsidRPr="00B17DC2">
        <w:rPr>
          <w:rFonts w:ascii="Arial" w:hAnsi="Arial" w:cs="Arial"/>
          <w:sz w:val="28"/>
          <w:szCs w:val="28"/>
        </w:rPr>
        <w:t>, p.104916.</w:t>
      </w:r>
    </w:p>
    <w:p w14:paraId="66E8763B" w14:textId="61D22375" w:rsidR="00FA625F" w:rsidRDefault="00345FB1" w:rsidP="007C3571">
      <w:pPr>
        <w:ind w:right="57"/>
        <w:jc w:val="both"/>
        <w:rPr>
          <w:rFonts w:ascii="Arial" w:hAnsi="Arial" w:cs="Arial"/>
          <w:sz w:val="28"/>
          <w:szCs w:val="28"/>
        </w:rPr>
      </w:pPr>
      <w:r w:rsidRPr="00983A6D">
        <w:rPr>
          <w:rFonts w:ascii="Arial" w:hAnsi="Arial" w:cs="Arial"/>
          <w:sz w:val="28"/>
          <w:szCs w:val="28"/>
        </w:rPr>
        <w:t>© 2026 Latterly.org</w:t>
      </w:r>
    </w:p>
    <w:p w14:paraId="27F1D670" w14:textId="77777777" w:rsidR="00404CCF" w:rsidRDefault="00404CCF" w:rsidP="007C3571">
      <w:pPr>
        <w:ind w:right="57"/>
        <w:jc w:val="both"/>
        <w:rPr>
          <w:rFonts w:ascii="Arial" w:hAnsi="Arial" w:cs="Arial"/>
          <w:sz w:val="28"/>
          <w:szCs w:val="28"/>
        </w:rPr>
      </w:pPr>
    </w:p>
    <w:p w14:paraId="67FEC432" w14:textId="77777777" w:rsidR="00404CCF" w:rsidRDefault="00404CCF" w:rsidP="007C3571">
      <w:pPr>
        <w:ind w:right="57"/>
        <w:jc w:val="both"/>
        <w:rPr>
          <w:rFonts w:ascii="Arial" w:hAnsi="Arial" w:cs="Arial"/>
          <w:sz w:val="28"/>
          <w:szCs w:val="28"/>
        </w:rPr>
      </w:pPr>
    </w:p>
    <w:p w14:paraId="70A72F3F" w14:textId="77777777" w:rsidR="00404CCF" w:rsidRDefault="00404CCF" w:rsidP="007C3571">
      <w:pPr>
        <w:ind w:right="57"/>
        <w:jc w:val="both"/>
        <w:rPr>
          <w:rFonts w:ascii="Arial" w:hAnsi="Arial" w:cs="Arial"/>
          <w:sz w:val="28"/>
          <w:szCs w:val="28"/>
        </w:rPr>
      </w:pPr>
    </w:p>
    <w:p w14:paraId="39085746" w14:textId="77777777" w:rsidR="00404CCF" w:rsidRDefault="00404CCF" w:rsidP="007C3571">
      <w:pPr>
        <w:ind w:right="57"/>
        <w:jc w:val="both"/>
        <w:rPr>
          <w:rFonts w:ascii="Arial" w:hAnsi="Arial" w:cs="Arial"/>
          <w:sz w:val="28"/>
          <w:szCs w:val="28"/>
        </w:rPr>
      </w:pPr>
    </w:p>
    <w:p w14:paraId="3FF5CD40" w14:textId="77777777" w:rsidR="00404CCF" w:rsidRDefault="00404CCF" w:rsidP="007C3571">
      <w:pPr>
        <w:ind w:right="57"/>
        <w:jc w:val="both"/>
        <w:rPr>
          <w:rFonts w:ascii="Arial" w:hAnsi="Arial" w:cs="Arial"/>
          <w:sz w:val="28"/>
          <w:szCs w:val="28"/>
        </w:rPr>
      </w:pPr>
    </w:p>
    <w:p w14:paraId="6A62A561" w14:textId="77777777" w:rsidR="00404CCF" w:rsidRDefault="00404CCF" w:rsidP="007C3571">
      <w:pPr>
        <w:ind w:right="57"/>
        <w:jc w:val="both"/>
        <w:rPr>
          <w:rFonts w:ascii="Arial" w:hAnsi="Arial" w:cs="Arial"/>
          <w:sz w:val="28"/>
          <w:szCs w:val="28"/>
        </w:rPr>
      </w:pPr>
    </w:p>
    <w:p w14:paraId="7D91570F" w14:textId="77777777" w:rsidR="00404CCF" w:rsidRDefault="00404CCF" w:rsidP="007C3571">
      <w:pPr>
        <w:ind w:right="57"/>
        <w:jc w:val="both"/>
        <w:rPr>
          <w:rFonts w:ascii="Arial" w:hAnsi="Arial" w:cs="Arial"/>
          <w:sz w:val="28"/>
          <w:szCs w:val="28"/>
        </w:rPr>
      </w:pPr>
    </w:p>
    <w:p w14:paraId="0161DED5" w14:textId="77777777" w:rsidR="00404CCF" w:rsidRDefault="00404CCF" w:rsidP="007C3571">
      <w:pPr>
        <w:ind w:right="57"/>
        <w:jc w:val="both"/>
        <w:rPr>
          <w:rFonts w:ascii="Arial" w:hAnsi="Arial" w:cs="Arial"/>
          <w:sz w:val="28"/>
          <w:szCs w:val="28"/>
        </w:rPr>
      </w:pPr>
    </w:p>
    <w:sectPr w:rsidR="00404C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5787C" w14:textId="77777777" w:rsidR="007F6BDF" w:rsidRDefault="007F6BDF" w:rsidP="007B1EAA">
      <w:pPr>
        <w:spacing w:after="0" w:line="240" w:lineRule="auto"/>
      </w:pPr>
      <w:r>
        <w:separator/>
      </w:r>
    </w:p>
  </w:endnote>
  <w:endnote w:type="continuationSeparator" w:id="0">
    <w:p w14:paraId="2318E2CE" w14:textId="77777777" w:rsidR="007F6BDF" w:rsidRDefault="007F6BDF" w:rsidP="007B1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78D3C" w14:textId="77777777" w:rsidR="007F6BDF" w:rsidRDefault="007F6BDF" w:rsidP="007B1EAA">
      <w:pPr>
        <w:spacing w:after="0" w:line="240" w:lineRule="auto"/>
      </w:pPr>
      <w:r>
        <w:separator/>
      </w:r>
    </w:p>
  </w:footnote>
  <w:footnote w:type="continuationSeparator" w:id="0">
    <w:p w14:paraId="4149553D" w14:textId="77777777" w:rsidR="007F6BDF" w:rsidRDefault="007F6BDF" w:rsidP="007B1E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40EDC"/>
    <w:multiLevelType w:val="multilevel"/>
    <w:tmpl w:val="8758E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90081F"/>
    <w:multiLevelType w:val="multilevel"/>
    <w:tmpl w:val="6A80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A6F7D"/>
    <w:multiLevelType w:val="multilevel"/>
    <w:tmpl w:val="ACD05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BE1E0E"/>
    <w:multiLevelType w:val="multilevel"/>
    <w:tmpl w:val="869EF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021428"/>
    <w:multiLevelType w:val="hybridMultilevel"/>
    <w:tmpl w:val="00647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8C0CD7"/>
    <w:multiLevelType w:val="multilevel"/>
    <w:tmpl w:val="8968D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E82C74"/>
    <w:multiLevelType w:val="multilevel"/>
    <w:tmpl w:val="2BA48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6B02A3"/>
    <w:multiLevelType w:val="multilevel"/>
    <w:tmpl w:val="B3A66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BD56F2"/>
    <w:multiLevelType w:val="hybridMultilevel"/>
    <w:tmpl w:val="219A8E08"/>
    <w:lvl w:ilvl="0" w:tplc="0809000F">
      <w:start w:val="1"/>
      <w:numFmt w:val="decimal"/>
      <w:lvlText w:val="%1."/>
      <w:lvlJc w:val="left"/>
      <w:pPr>
        <w:ind w:left="792" w:hanging="360"/>
      </w:p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9" w15:restartNumberingAfterBreak="0">
    <w:nsid w:val="4CAA63E0"/>
    <w:multiLevelType w:val="multilevel"/>
    <w:tmpl w:val="A606B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D014F8"/>
    <w:multiLevelType w:val="multilevel"/>
    <w:tmpl w:val="3ABE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FC7CB1"/>
    <w:multiLevelType w:val="multilevel"/>
    <w:tmpl w:val="E382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1408D0"/>
    <w:multiLevelType w:val="multilevel"/>
    <w:tmpl w:val="6396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693760"/>
    <w:multiLevelType w:val="multilevel"/>
    <w:tmpl w:val="1438E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720625"/>
    <w:multiLevelType w:val="multilevel"/>
    <w:tmpl w:val="B2027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86267"/>
    <w:multiLevelType w:val="multilevel"/>
    <w:tmpl w:val="B35EB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9189070">
    <w:abstractNumId w:val="4"/>
  </w:num>
  <w:num w:numId="2" w16cid:durableId="1464158265">
    <w:abstractNumId w:val="3"/>
  </w:num>
  <w:num w:numId="3" w16cid:durableId="1217399683">
    <w:abstractNumId w:val="8"/>
  </w:num>
  <w:num w:numId="4" w16cid:durableId="701856320">
    <w:abstractNumId w:val="7"/>
  </w:num>
  <w:num w:numId="5" w16cid:durableId="850264350">
    <w:abstractNumId w:val="6"/>
  </w:num>
  <w:num w:numId="6" w16cid:durableId="577524187">
    <w:abstractNumId w:val="0"/>
  </w:num>
  <w:num w:numId="7" w16cid:durableId="633949753">
    <w:abstractNumId w:val="15"/>
  </w:num>
  <w:num w:numId="8" w16cid:durableId="2054305932">
    <w:abstractNumId w:val="5"/>
  </w:num>
  <w:num w:numId="9" w16cid:durableId="1670712660">
    <w:abstractNumId w:val="2"/>
  </w:num>
  <w:num w:numId="10" w16cid:durableId="1861813633">
    <w:abstractNumId w:val="1"/>
  </w:num>
  <w:num w:numId="11" w16cid:durableId="766386707">
    <w:abstractNumId w:val="11"/>
  </w:num>
  <w:num w:numId="12" w16cid:durableId="1474056379">
    <w:abstractNumId w:val="14"/>
  </w:num>
  <w:num w:numId="13" w16cid:durableId="974064225">
    <w:abstractNumId w:val="13"/>
  </w:num>
  <w:num w:numId="14" w16cid:durableId="1693455292">
    <w:abstractNumId w:val="12"/>
  </w:num>
  <w:num w:numId="15" w16cid:durableId="119881290">
    <w:abstractNumId w:val="9"/>
  </w:num>
  <w:num w:numId="16" w16cid:durableId="21408749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C6A"/>
    <w:rsid w:val="00007DB9"/>
    <w:rsid w:val="00010C31"/>
    <w:rsid w:val="00050E2D"/>
    <w:rsid w:val="000552FC"/>
    <w:rsid w:val="00063F32"/>
    <w:rsid w:val="00074A43"/>
    <w:rsid w:val="00076E7E"/>
    <w:rsid w:val="00081A40"/>
    <w:rsid w:val="00081B92"/>
    <w:rsid w:val="00082466"/>
    <w:rsid w:val="000A0580"/>
    <w:rsid w:val="000A3AC5"/>
    <w:rsid w:val="000B0670"/>
    <w:rsid w:val="000B4455"/>
    <w:rsid w:val="000C455E"/>
    <w:rsid w:val="000C705A"/>
    <w:rsid w:val="000F2378"/>
    <w:rsid w:val="00100DD2"/>
    <w:rsid w:val="001066B8"/>
    <w:rsid w:val="0012424A"/>
    <w:rsid w:val="0012574B"/>
    <w:rsid w:val="00135667"/>
    <w:rsid w:val="00144450"/>
    <w:rsid w:val="00144939"/>
    <w:rsid w:val="001652D0"/>
    <w:rsid w:val="00176B8B"/>
    <w:rsid w:val="00186A52"/>
    <w:rsid w:val="001C58E5"/>
    <w:rsid w:val="001C789B"/>
    <w:rsid w:val="001D3B96"/>
    <w:rsid w:val="00213C14"/>
    <w:rsid w:val="0024092D"/>
    <w:rsid w:val="00241E3D"/>
    <w:rsid w:val="00243D3A"/>
    <w:rsid w:val="00256463"/>
    <w:rsid w:val="002672FD"/>
    <w:rsid w:val="002D416F"/>
    <w:rsid w:val="002D7ED7"/>
    <w:rsid w:val="00310DCE"/>
    <w:rsid w:val="003250D9"/>
    <w:rsid w:val="00333864"/>
    <w:rsid w:val="00343303"/>
    <w:rsid w:val="00344624"/>
    <w:rsid w:val="00345FB1"/>
    <w:rsid w:val="00394346"/>
    <w:rsid w:val="0039523E"/>
    <w:rsid w:val="003D02A2"/>
    <w:rsid w:val="003D2060"/>
    <w:rsid w:val="003D6A71"/>
    <w:rsid w:val="003E7715"/>
    <w:rsid w:val="003F0DB8"/>
    <w:rsid w:val="003F0EFE"/>
    <w:rsid w:val="003F3182"/>
    <w:rsid w:val="00404CCF"/>
    <w:rsid w:val="00406AA8"/>
    <w:rsid w:val="00412A2A"/>
    <w:rsid w:val="00414F06"/>
    <w:rsid w:val="00420C6A"/>
    <w:rsid w:val="00423555"/>
    <w:rsid w:val="00434A26"/>
    <w:rsid w:val="00435D27"/>
    <w:rsid w:val="00440BE0"/>
    <w:rsid w:val="00441E4E"/>
    <w:rsid w:val="00442527"/>
    <w:rsid w:val="00451DE5"/>
    <w:rsid w:val="0045521B"/>
    <w:rsid w:val="00466605"/>
    <w:rsid w:val="00467AC5"/>
    <w:rsid w:val="0047283F"/>
    <w:rsid w:val="0047476B"/>
    <w:rsid w:val="004831DD"/>
    <w:rsid w:val="004A0EED"/>
    <w:rsid w:val="004B4B03"/>
    <w:rsid w:val="004C0A08"/>
    <w:rsid w:val="004C4B65"/>
    <w:rsid w:val="004D4A71"/>
    <w:rsid w:val="004D6A01"/>
    <w:rsid w:val="004D6C81"/>
    <w:rsid w:val="004E1A1F"/>
    <w:rsid w:val="004F36F7"/>
    <w:rsid w:val="004F5CEC"/>
    <w:rsid w:val="004F5FEE"/>
    <w:rsid w:val="005144B3"/>
    <w:rsid w:val="00537690"/>
    <w:rsid w:val="005413A5"/>
    <w:rsid w:val="005542ED"/>
    <w:rsid w:val="0056340B"/>
    <w:rsid w:val="005640AB"/>
    <w:rsid w:val="005C7428"/>
    <w:rsid w:val="005E75BB"/>
    <w:rsid w:val="005F2168"/>
    <w:rsid w:val="006038B8"/>
    <w:rsid w:val="00611A06"/>
    <w:rsid w:val="00622CA7"/>
    <w:rsid w:val="00645C2C"/>
    <w:rsid w:val="00686A4E"/>
    <w:rsid w:val="00686E98"/>
    <w:rsid w:val="0069206F"/>
    <w:rsid w:val="006D20BA"/>
    <w:rsid w:val="006D7F60"/>
    <w:rsid w:val="0072034A"/>
    <w:rsid w:val="00721B01"/>
    <w:rsid w:val="00726E3B"/>
    <w:rsid w:val="00732611"/>
    <w:rsid w:val="00794239"/>
    <w:rsid w:val="007966EE"/>
    <w:rsid w:val="00796DAF"/>
    <w:rsid w:val="00797D4F"/>
    <w:rsid w:val="007A0EA3"/>
    <w:rsid w:val="007A5117"/>
    <w:rsid w:val="007A647F"/>
    <w:rsid w:val="007A6EC3"/>
    <w:rsid w:val="007B1EAA"/>
    <w:rsid w:val="007B2DCE"/>
    <w:rsid w:val="007C3571"/>
    <w:rsid w:val="007C4B26"/>
    <w:rsid w:val="007D26E6"/>
    <w:rsid w:val="007D2C15"/>
    <w:rsid w:val="007D70F3"/>
    <w:rsid w:val="007E238D"/>
    <w:rsid w:val="007F2F1B"/>
    <w:rsid w:val="007F6BDF"/>
    <w:rsid w:val="007F6F2E"/>
    <w:rsid w:val="00804BC9"/>
    <w:rsid w:val="008050E8"/>
    <w:rsid w:val="00844601"/>
    <w:rsid w:val="00853B6C"/>
    <w:rsid w:val="00882080"/>
    <w:rsid w:val="008847B9"/>
    <w:rsid w:val="008943C5"/>
    <w:rsid w:val="00895541"/>
    <w:rsid w:val="00897216"/>
    <w:rsid w:val="008A4543"/>
    <w:rsid w:val="008C2088"/>
    <w:rsid w:val="008D12DA"/>
    <w:rsid w:val="008D2A80"/>
    <w:rsid w:val="008D3FA0"/>
    <w:rsid w:val="008E504D"/>
    <w:rsid w:val="00956B4E"/>
    <w:rsid w:val="00980423"/>
    <w:rsid w:val="00983A6D"/>
    <w:rsid w:val="009A1150"/>
    <w:rsid w:val="009B0019"/>
    <w:rsid w:val="009B5479"/>
    <w:rsid w:val="009B68B0"/>
    <w:rsid w:val="009B744C"/>
    <w:rsid w:val="009D77EC"/>
    <w:rsid w:val="009E0DFB"/>
    <w:rsid w:val="009F0ED0"/>
    <w:rsid w:val="009F15CA"/>
    <w:rsid w:val="009F1FEF"/>
    <w:rsid w:val="009F7771"/>
    <w:rsid w:val="00A115F0"/>
    <w:rsid w:val="00A1522F"/>
    <w:rsid w:val="00A42907"/>
    <w:rsid w:val="00A54896"/>
    <w:rsid w:val="00A6676A"/>
    <w:rsid w:val="00A76ED7"/>
    <w:rsid w:val="00A84047"/>
    <w:rsid w:val="00A85DB7"/>
    <w:rsid w:val="00A96670"/>
    <w:rsid w:val="00AA7191"/>
    <w:rsid w:val="00AD14B8"/>
    <w:rsid w:val="00B11F98"/>
    <w:rsid w:val="00B17DC2"/>
    <w:rsid w:val="00B2253C"/>
    <w:rsid w:val="00B2359D"/>
    <w:rsid w:val="00B256D7"/>
    <w:rsid w:val="00B27278"/>
    <w:rsid w:val="00B37B27"/>
    <w:rsid w:val="00B573E3"/>
    <w:rsid w:val="00B61AD7"/>
    <w:rsid w:val="00B82C2B"/>
    <w:rsid w:val="00B85521"/>
    <w:rsid w:val="00B95115"/>
    <w:rsid w:val="00BA67EB"/>
    <w:rsid w:val="00BB2CC7"/>
    <w:rsid w:val="00BD6B2B"/>
    <w:rsid w:val="00BE1597"/>
    <w:rsid w:val="00BE17D4"/>
    <w:rsid w:val="00C04A24"/>
    <w:rsid w:val="00C05630"/>
    <w:rsid w:val="00C13556"/>
    <w:rsid w:val="00C15B7E"/>
    <w:rsid w:val="00C16F16"/>
    <w:rsid w:val="00C21997"/>
    <w:rsid w:val="00C40E5F"/>
    <w:rsid w:val="00C447C4"/>
    <w:rsid w:val="00C64188"/>
    <w:rsid w:val="00C74442"/>
    <w:rsid w:val="00C87B8B"/>
    <w:rsid w:val="00C9580B"/>
    <w:rsid w:val="00CA18BE"/>
    <w:rsid w:val="00CA313A"/>
    <w:rsid w:val="00CB2100"/>
    <w:rsid w:val="00CC410E"/>
    <w:rsid w:val="00CE288F"/>
    <w:rsid w:val="00CE59BF"/>
    <w:rsid w:val="00CE7D5A"/>
    <w:rsid w:val="00D03D48"/>
    <w:rsid w:val="00D0697E"/>
    <w:rsid w:val="00D25227"/>
    <w:rsid w:val="00D46691"/>
    <w:rsid w:val="00D643AF"/>
    <w:rsid w:val="00D74864"/>
    <w:rsid w:val="00D74E86"/>
    <w:rsid w:val="00D810E2"/>
    <w:rsid w:val="00DB3EC5"/>
    <w:rsid w:val="00DB78E4"/>
    <w:rsid w:val="00DE102F"/>
    <w:rsid w:val="00DE326D"/>
    <w:rsid w:val="00DF152C"/>
    <w:rsid w:val="00DF16CC"/>
    <w:rsid w:val="00E17BB0"/>
    <w:rsid w:val="00E27EA0"/>
    <w:rsid w:val="00E3247B"/>
    <w:rsid w:val="00E608B1"/>
    <w:rsid w:val="00E67F68"/>
    <w:rsid w:val="00E768F4"/>
    <w:rsid w:val="00E93528"/>
    <w:rsid w:val="00EA0F6E"/>
    <w:rsid w:val="00EA3D13"/>
    <w:rsid w:val="00EC6613"/>
    <w:rsid w:val="00ED18A6"/>
    <w:rsid w:val="00ED61D2"/>
    <w:rsid w:val="00F004C1"/>
    <w:rsid w:val="00F101D4"/>
    <w:rsid w:val="00F31EB5"/>
    <w:rsid w:val="00F43DFC"/>
    <w:rsid w:val="00F53E3B"/>
    <w:rsid w:val="00F83519"/>
    <w:rsid w:val="00F90AD7"/>
    <w:rsid w:val="00F969B2"/>
    <w:rsid w:val="00FA625F"/>
    <w:rsid w:val="00FA634A"/>
    <w:rsid w:val="00FA6A87"/>
    <w:rsid w:val="00FB514A"/>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A95C1"/>
  <w15:chartTrackingRefBased/>
  <w15:docId w15:val="{62C687F9-2978-4C23-8400-0F5B9BF12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ta-IN"/>
        <w14:ligatures w14:val="standardContextual"/>
      </w:rPr>
    </w:rPrDefault>
    <w:pPrDefault>
      <w:pPr>
        <w:spacing w:after="160" w:line="259" w:lineRule="auto"/>
        <w:ind w:right="81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0C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0C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0C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0C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0C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0C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0C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0C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C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C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0C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0C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0C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0C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0C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0C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0C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C6A"/>
    <w:rPr>
      <w:rFonts w:eastAsiaTheme="majorEastAsia" w:cstheme="majorBidi"/>
      <w:color w:val="272727" w:themeColor="text1" w:themeTint="D8"/>
    </w:rPr>
  </w:style>
  <w:style w:type="paragraph" w:styleId="Title">
    <w:name w:val="Title"/>
    <w:basedOn w:val="Normal"/>
    <w:next w:val="Normal"/>
    <w:link w:val="TitleChar"/>
    <w:uiPriority w:val="10"/>
    <w:qFormat/>
    <w:rsid w:val="00420C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C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0C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0C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0C6A"/>
    <w:pPr>
      <w:spacing w:before="160"/>
      <w:jc w:val="center"/>
    </w:pPr>
    <w:rPr>
      <w:i/>
      <w:iCs/>
      <w:color w:val="404040" w:themeColor="text1" w:themeTint="BF"/>
    </w:rPr>
  </w:style>
  <w:style w:type="character" w:customStyle="1" w:styleId="QuoteChar">
    <w:name w:val="Quote Char"/>
    <w:basedOn w:val="DefaultParagraphFont"/>
    <w:link w:val="Quote"/>
    <w:uiPriority w:val="29"/>
    <w:rsid w:val="00420C6A"/>
    <w:rPr>
      <w:i/>
      <w:iCs/>
      <w:color w:val="404040" w:themeColor="text1" w:themeTint="BF"/>
    </w:rPr>
  </w:style>
  <w:style w:type="paragraph" w:styleId="ListParagraph">
    <w:name w:val="List Paragraph"/>
    <w:basedOn w:val="Normal"/>
    <w:uiPriority w:val="34"/>
    <w:qFormat/>
    <w:rsid w:val="00420C6A"/>
    <w:pPr>
      <w:ind w:left="720"/>
      <w:contextualSpacing/>
    </w:pPr>
  </w:style>
  <w:style w:type="character" w:styleId="IntenseEmphasis">
    <w:name w:val="Intense Emphasis"/>
    <w:basedOn w:val="DefaultParagraphFont"/>
    <w:uiPriority w:val="21"/>
    <w:qFormat/>
    <w:rsid w:val="00420C6A"/>
    <w:rPr>
      <w:i/>
      <w:iCs/>
      <w:color w:val="0F4761" w:themeColor="accent1" w:themeShade="BF"/>
    </w:rPr>
  </w:style>
  <w:style w:type="paragraph" w:styleId="IntenseQuote">
    <w:name w:val="Intense Quote"/>
    <w:basedOn w:val="Normal"/>
    <w:next w:val="Normal"/>
    <w:link w:val="IntenseQuoteChar"/>
    <w:uiPriority w:val="30"/>
    <w:qFormat/>
    <w:rsid w:val="00420C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0C6A"/>
    <w:rPr>
      <w:i/>
      <w:iCs/>
      <w:color w:val="0F4761" w:themeColor="accent1" w:themeShade="BF"/>
    </w:rPr>
  </w:style>
  <w:style w:type="character" w:styleId="IntenseReference">
    <w:name w:val="Intense Reference"/>
    <w:basedOn w:val="DefaultParagraphFont"/>
    <w:uiPriority w:val="32"/>
    <w:qFormat/>
    <w:rsid w:val="00420C6A"/>
    <w:rPr>
      <w:b/>
      <w:bCs/>
      <w:smallCaps/>
      <w:color w:val="0F4761" w:themeColor="accent1" w:themeShade="BF"/>
      <w:spacing w:val="5"/>
    </w:rPr>
  </w:style>
  <w:style w:type="paragraph" w:styleId="Header">
    <w:name w:val="header"/>
    <w:basedOn w:val="Normal"/>
    <w:link w:val="HeaderChar"/>
    <w:uiPriority w:val="99"/>
    <w:unhideWhenUsed/>
    <w:rsid w:val="007B1E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EAA"/>
  </w:style>
  <w:style w:type="paragraph" w:styleId="Footer">
    <w:name w:val="footer"/>
    <w:basedOn w:val="Normal"/>
    <w:link w:val="FooterChar"/>
    <w:uiPriority w:val="99"/>
    <w:unhideWhenUsed/>
    <w:rsid w:val="007B1E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EAA"/>
  </w:style>
  <w:style w:type="table" w:styleId="TableGrid">
    <w:name w:val="Table Grid"/>
    <w:basedOn w:val="TableNormal"/>
    <w:uiPriority w:val="39"/>
    <w:rsid w:val="00853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1484</TotalTime>
  <Pages>13</Pages>
  <Words>3019</Words>
  <Characters>17214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019vsrikumar (TWA)</dc:creator>
  <cp:keywords/>
  <dc:description/>
  <cp:lastModifiedBy>Jamuthra Srikumar</cp:lastModifiedBy>
  <cp:revision>223</cp:revision>
  <dcterms:created xsi:type="dcterms:W3CDTF">2026-02-28T13:36:00Z</dcterms:created>
  <dcterms:modified xsi:type="dcterms:W3CDTF">2026-03-15T16:17:00Z</dcterms:modified>
</cp:coreProperties>
</file>