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b/>
          <w:bCs/>
          <w:sz w:val="56"/>
          <w:szCs w:val="56"/>
          <w:lang w:eastAsia="zh-CN"/>
        </w:rPr>
      </w:pPr>
      <w:bookmarkStart w:id="0" w:name="_Toc45110158"/>
      <w:bookmarkStart w:id="1" w:name="_Toc45110160"/>
      <w:r>
        <w:rPr>
          <w:b/>
          <w:bCs/>
          <w:sz w:val="56"/>
          <w:szCs w:val="56"/>
          <w:lang w:eastAsia="zh-CN"/>
        </w:rPr>
        <w:t xml:space="preserve">An exploration of educational institutions in China based on the double reduction policy issued by the Chinese government </w:t>
      </w:r>
    </w:p>
    <w:p>
      <w:pPr>
        <w:spacing w:line="480" w:lineRule="auto"/>
        <w:jc w:val="right"/>
        <w:rPr>
          <w:i/>
          <w:sz w:val="56"/>
          <w:szCs w:val="56"/>
        </w:rPr>
      </w:pPr>
    </w:p>
    <w:p>
      <w:pPr>
        <w:spacing w:line="480" w:lineRule="auto"/>
        <w:jc w:val="right"/>
        <w:rPr>
          <w:i/>
        </w:rPr>
      </w:pPr>
    </w:p>
    <w:p>
      <w:pPr>
        <w:spacing w:line="480" w:lineRule="auto"/>
        <w:jc w:val="right"/>
        <w:rPr>
          <w:i/>
        </w:rPr>
      </w:pPr>
    </w:p>
    <w:p>
      <w:pPr>
        <w:spacing w:line="480" w:lineRule="auto"/>
        <w:jc w:val="right"/>
        <w:rPr>
          <w:i/>
        </w:rPr>
      </w:pPr>
    </w:p>
    <w:p>
      <w:pPr>
        <w:spacing w:line="480" w:lineRule="auto"/>
        <w:jc w:val="right"/>
        <w:rPr>
          <w:i/>
        </w:rPr>
      </w:pPr>
    </w:p>
    <w:p>
      <w:pPr>
        <w:spacing w:line="480" w:lineRule="auto"/>
        <w:jc w:val="right"/>
        <w:rPr>
          <w:i/>
        </w:rPr>
      </w:pPr>
    </w:p>
    <w:p>
      <w:pPr>
        <w:spacing w:line="480" w:lineRule="auto"/>
        <w:jc w:val="right"/>
        <w:rPr>
          <w:i/>
        </w:rPr>
      </w:pPr>
    </w:p>
    <w:p>
      <w:pPr>
        <w:wordWrap w:val="0"/>
        <w:spacing w:line="480" w:lineRule="auto"/>
        <w:jc w:val="right"/>
        <w:rPr>
          <w:rFonts w:eastAsia="宋体"/>
          <w:i/>
          <w:sz w:val="56"/>
          <w:szCs w:val="56"/>
          <w:lang w:eastAsia="zh-CN"/>
        </w:rPr>
      </w:pPr>
      <w:r>
        <w:rPr>
          <w:rFonts w:eastAsia="宋体"/>
          <w:i/>
          <w:sz w:val="56"/>
          <w:szCs w:val="56"/>
          <w:lang w:eastAsia="zh-CN"/>
        </w:rPr>
        <w:t>Shang Xia</w:t>
      </w:r>
    </w:p>
    <w:p>
      <w:pPr>
        <w:spacing w:line="480" w:lineRule="auto"/>
        <w:jc w:val="right"/>
        <w:rPr>
          <w:rFonts w:hint="eastAsia" w:eastAsia="宋体"/>
          <w:b/>
          <w:i/>
          <w:sz w:val="48"/>
          <w:szCs w:val="48"/>
          <w:lang w:eastAsia="zh-CN"/>
        </w:rPr>
      </w:pPr>
      <w:r>
        <w:rPr>
          <w:b/>
          <w:i/>
          <w:sz w:val="48"/>
          <w:szCs w:val="48"/>
        </w:rPr>
        <w:t>ECG</w:t>
      </w:r>
      <w:r>
        <w:rPr>
          <w:rFonts w:hint="eastAsia" w:eastAsia="宋体"/>
          <w:b/>
          <w:i/>
          <w:sz w:val="48"/>
          <w:szCs w:val="48"/>
          <w:lang w:val="en-US" w:eastAsia="zh-CN"/>
        </w:rPr>
        <w:t>E</w:t>
      </w:r>
      <w:bookmarkStart w:id="16" w:name="_GoBack"/>
      <w:bookmarkEnd w:id="16"/>
      <w:r>
        <w:rPr>
          <w:b/>
          <w:i/>
          <w:sz w:val="48"/>
          <w:szCs w:val="48"/>
        </w:rPr>
        <w:t>7002</w:t>
      </w:r>
      <w:r>
        <w:rPr>
          <w:rFonts w:hint="eastAsia" w:eastAsia="宋体"/>
          <w:b/>
          <w:i/>
          <w:sz w:val="48"/>
          <w:szCs w:val="48"/>
          <w:lang w:val="en-US" w:eastAsia="zh-CN"/>
        </w:rPr>
        <w:t>P</w:t>
      </w:r>
    </w:p>
    <w:p>
      <w:pPr>
        <w:spacing w:line="360" w:lineRule="auto"/>
        <w:jc w:val="right"/>
        <w:rPr>
          <w:i/>
        </w:rPr>
      </w:pPr>
    </w:p>
    <w:p>
      <w:pPr>
        <w:spacing w:line="360" w:lineRule="auto"/>
        <w:jc w:val="right"/>
        <w:rPr>
          <w:i/>
          <w:sz w:val="40"/>
          <w:szCs w:val="40"/>
        </w:rPr>
      </w:pPr>
      <w:r>
        <w:rPr>
          <w:rFonts w:eastAsia="宋体"/>
          <w:i/>
          <w:sz w:val="40"/>
          <w:szCs w:val="40"/>
          <w:lang w:eastAsia="zh-CN"/>
        </w:rPr>
        <w:t>1</w:t>
      </w:r>
      <w:r>
        <w:rPr>
          <w:i/>
          <w:sz w:val="40"/>
          <w:szCs w:val="40"/>
        </w:rPr>
        <w:t xml:space="preserve">5th </w:t>
      </w:r>
      <w:r>
        <w:rPr>
          <w:rFonts w:eastAsia="宋体"/>
          <w:i/>
          <w:sz w:val="40"/>
          <w:szCs w:val="40"/>
          <w:lang w:eastAsia="zh-CN"/>
        </w:rPr>
        <w:t>March</w:t>
      </w:r>
      <w:r>
        <w:rPr>
          <w:i/>
          <w:sz w:val="40"/>
          <w:szCs w:val="40"/>
        </w:rPr>
        <w:t xml:space="preserve"> 2022</w:t>
      </w:r>
    </w:p>
    <w:p>
      <w:pPr>
        <w:spacing w:line="360" w:lineRule="auto"/>
        <w:jc w:val="right"/>
        <w:rPr>
          <w:i/>
          <w:sz w:val="40"/>
          <w:szCs w:val="40"/>
        </w:rPr>
      </w:pPr>
      <w:r>
        <w:rPr>
          <w:i/>
          <w:sz w:val="40"/>
          <w:szCs w:val="40"/>
        </w:rPr>
        <w:t xml:space="preserve">Yr Athrofa: Education and Humanities </w:t>
      </w:r>
    </w:p>
    <w:p>
      <w:pPr>
        <w:spacing w:line="480" w:lineRule="auto"/>
        <w:outlineLvl w:val="0"/>
        <w:rPr>
          <w:b/>
        </w:rPr>
      </w:pPr>
      <w:r>
        <w:rPr>
          <w:i/>
          <w:sz w:val="40"/>
          <w:szCs w:val="40"/>
        </w:rPr>
        <w:br w:type="page"/>
      </w:r>
    </w:p>
    <w:p>
      <w:pPr>
        <w:spacing w:line="480" w:lineRule="auto"/>
        <w:outlineLvl w:val="0"/>
        <w:rPr>
          <w:b/>
        </w:rPr>
      </w:pPr>
      <w:bookmarkStart w:id="2" w:name="_Toc45110155"/>
      <w:r>
        <w:rPr>
          <w:b/>
        </w:rPr>
        <w:t>DECLARATION FORM</w:t>
      </w:r>
      <w:bookmarkEnd w:id="2"/>
    </w:p>
    <w:p>
      <w:r>
        <w:drawing>
          <wp:inline distT="0" distB="0" distL="114300" distR="114300">
            <wp:extent cx="2857500" cy="11811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2857500" cy="1181100"/>
                    </a:xfrm>
                    <a:prstGeom prst="rect">
                      <a:avLst/>
                    </a:prstGeom>
                    <a:noFill/>
                    <a:ln>
                      <a:noFill/>
                    </a:ln>
                  </pic:spPr>
                </pic:pic>
              </a:graphicData>
            </a:graphic>
          </wp:inline>
        </w:drawing>
      </w:r>
    </w:p>
    <w:p>
      <w:pPr>
        <w:jc w:val="center"/>
      </w:pPr>
    </w:p>
    <w:p>
      <w:pPr>
        <w:jc w:val="center"/>
      </w:pPr>
    </w:p>
    <w:p>
      <w:pPr>
        <w:rPr>
          <w:b/>
          <w:bCs/>
        </w:rPr>
      </w:pPr>
    </w:p>
    <w:p>
      <w:pPr>
        <w:rPr>
          <w:b/>
          <w:bCs/>
        </w:rPr>
      </w:pPr>
    </w:p>
    <w:p>
      <w:pPr>
        <w:rPr>
          <w:rFonts w:eastAsia="宋体"/>
          <w:b/>
          <w:bCs/>
          <w:lang w:eastAsia="zh-CN"/>
        </w:rPr>
      </w:pPr>
      <w:r>
        <w:rPr>
          <w:b/>
          <w:bCs/>
        </w:rPr>
        <w:t>Name of the Programme of Study:</w:t>
      </w:r>
      <w:r>
        <w:rPr>
          <w:rFonts w:eastAsia="宋体"/>
          <w:b/>
          <w:bCs/>
          <w:lang w:eastAsia="zh-CN"/>
        </w:rPr>
        <w:t xml:space="preserve"> MA Well-being, Learning&amp;Professional Development</w:t>
      </w:r>
    </w:p>
    <w:p>
      <w:pPr>
        <w:rPr>
          <w:b/>
          <w:bCs/>
        </w:rPr>
      </w:pPr>
    </w:p>
    <w:p>
      <w:pPr>
        <w:rPr>
          <w:rFonts w:eastAsia="宋体"/>
          <w:b/>
          <w:bCs/>
          <w:lang w:eastAsia="zh-CN"/>
        </w:rPr>
      </w:pPr>
      <w:r>
        <w:rPr>
          <w:b/>
          <w:bCs/>
        </w:rPr>
        <w:t>Name of Student (Capital Letters):</w:t>
      </w:r>
      <w:r>
        <w:rPr>
          <w:rFonts w:eastAsia="宋体"/>
          <w:b/>
          <w:bCs/>
          <w:lang w:eastAsia="zh-CN"/>
        </w:rPr>
        <w:t xml:space="preserve"> Shang Xia</w:t>
      </w:r>
    </w:p>
    <w:p>
      <w:pPr>
        <w:rPr>
          <w:b/>
          <w:bCs/>
        </w:rPr>
      </w:pPr>
    </w:p>
    <w:p>
      <w:pPr>
        <w:rPr>
          <w:b/>
          <w:bCs/>
        </w:rPr>
      </w:pPr>
    </w:p>
    <w:p>
      <w:pPr>
        <w:rPr>
          <w:b/>
          <w:bCs/>
        </w:rPr>
      </w:pPr>
    </w:p>
    <w:p>
      <w:pPr>
        <w:rPr>
          <w:b/>
          <w:bCs/>
        </w:rPr>
      </w:pPr>
      <w:r>
        <w:rPr>
          <w:b/>
          <w:bCs/>
        </w:rPr>
        <w:t>DECLARATION</w:t>
      </w:r>
    </w:p>
    <w:p>
      <w:pPr>
        <w:rPr>
          <w:b/>
          <w:bCs/>
        </w:rPr>
      </w:pPr>
    </w:p>
    <w:p>
      <w:pPr>
        <w:rPr>
          <w:b/>
          <w:bCs/>
        </w:rPr>
      </w:pPr>
      <w:r>
        <w:rPr>
          <w:b/>
          <w:bCs/>
        </w:rPr>
        <w:t>I certify that the whole of this work is the result of my individual effort, and that all sources have been acknowledged.</w:t>
      </w:r>
    </w:p>
    <w:p>
      <w:pPr>
        <w:rPr>
          <w:b/>
          <w:bCs/>
        </w:rPr>
      </w:pPr>
    </w:p>
    <w:p>
      <w:pPr>
        <w:rPr>
          <w:rFonts w:eastAsia="宋体"/>
          <w:b/>
          <w:bCs/>
          <w:lang w:eastAsia="zh-CN"/>
        </w:rPr>
      </w:pPr>
      <w:r>
        <w:rPr>
          <w:b/>
          <w:bCs/>
        </w:rPr>
        <w:t>Signed ...............................................................</w:t>
      </w:r>
      <w:r>
        <w:rPr>
          <w:rFonts w:eastAsia="宋体"/>
          <w:b/>
          <w:bCs/>
          <w:lang w:eastAsia="zh-CN"/>
        </w:rPr>
        <w:t xml:space="preserve"> Shang Xia</w:t>
      </w:r>
    </w:p>
    <w:p>
      <w:pPr>
        <w:rPr>
          <w:b/>
          <w:bCs/>
        </w:rPr>
      </w:pPr>
    </w:p>
    <w:p>
      <w:pPr>
        <w:rPr>
          <w:rFonts w:eastAsia="宋体"/>
          <w:b/>
          <w:bCs/>
          <w:lang w:eastAsia="zh-CN"/>
        </w:rPr>
      </w:pPr>
      <w:r>
        <w:rPr>
          <w:b/>
          <w:bCs/>
        </w:rPr>
        <w:t>Date     ...............................................................</w:t>
      </w:r>
      <w:r>
        <w:rPr>
          <w:rFonts w:eastAsia="宋体"/>
          <w:b/>
          <w:bCs/>
          <w:lang w:eastAsia="zh-CN"/>
        </w:rPr>
        <w:t xml:space="preserve"> 5/3/2022</w:t>
      </w:r>
    </w:p>
    <w:p>
      <w:pPr>
        <w:rPr>
          <w:b/>
          <w:bCs/>
        </w:rPr>
      </w:pPr>
    </w:p>
    <w:p>
      <w:pPr>
        <w:rPr>
          <w:b/>
          <w:bCs/>
        </w:rPr>
      </w:pPr>
    </w:p>
    <w:p>
      <w:pPr>
        <w:rPr>
          <w:b/>
          <w:bCs/>
        </w:rPr>
      </w:pPr>
    </w:p>
    <w:p>
      <w:pPr>
        <w:rPr>
          <w:b/>
          <w:bCs/>
        </w:rPr>
      </w:pPr>
    </w:p>
    <w:p>
      <w:pPr>
        <w:rPr>
          <w:b/>
          <w:bCs/>
        </w:rPr>
      </w:pPr>
      <w:r>
        <w:rPr>
          <w:b/>
          <w:bCs/>
        </w:rPr>
        <w:t>DECLARATION</w:t>
      </w:r>
    </w:p>
    <w:p>
      <w:pPr>
        <w:rPr>
          <w:b/>
          <w:bCs/>
        </w:rPr>
      </w:pPr>
    </w:p>
    <w:p>
      <w:pPr>
        <w:rPr>
          <w:b/>
          <w:bCs/>
        </w:rPr>
      </w:pPr>
      <w:r>
        <w:rPr>
          <w:b/>
          <w:bCs/>
        </w:rPr>
        <w:t>I am satisfied that this work is the result of the Student’s effort.</w:t>
      </w:r>
    </w:p>
    <w:p>
      <w:pPr>
        <w:rPr>
          <w:b/>
          <w:bCs/>
        </w:rPr>
      </w:pPr>
    </w:p>
    <w:p>
      <w:pPr>
        <w:rPr>
          <w:b/>
          <w:bCs/>
        </w:rPr>
      </w:pPr>
      <w:r>
        <w:rPr>
          <w:b/>
          <w:bCs/>
        </w:rPr>
        <w:t xml:space="preserve">Signed  </w:t>
      </w:r>
      <w:r>
        <w:rPr>
          <w:rFonts w:ascii="Arial" w:hAnsi="Arial" w:cs="Arial"/>
        </w:rPr>
        <w:drawing>
          <wp:inline distT="0" distB="0" distL="0" distR="0">
            <wp:extent cx="1425575" cy="286385"/>
            <wp:effectExtent l="0" t="0" r="6985" b="3175"/>
            <wp:docPr id="3"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picture containing text, clipart&#10;&#10;Description automatically generated"/>
                    <pic:cNvPicPr>
                      <a:picLocks noChangeAspect="1"/>
                    </pic:cNvPicPr>
                  </pic:nvPicPr>
                  <pic:blipFill>
                    <a:blip r:embed="rId7"/>
                    <a:stretch>
                      <a:fillRect/>
                    </a:stretch>
                  </pic:blipFill>
                  <pic:spPr>
                    <a:xfrm>
                      <a:off x="0" y="0"/>
                      <a:ext cx="1425701" cy="286803"/>
                    </a:xfrm>
                    <a:prstGeom prst="rect">
                      <a:avLst/>
                    </a:prstGeom>
                  </pic:spPr>
                </pic:pic>
              </a:graphicData>
            </a:graphic>
          </wp:inline>
        </w:drawing>
      </w:r>
    </w:p>
    <w:p>
      <w:pPr>
        <w:rPr>
          <w:b/>
          <w:bCs/>
        </w:rPr>
      </w:pPr>
    </w:p>
    <w:p>
      <w:pPr>
        <w:rPr>
          <w:b/>
          <w:bCs/>
        </w:rPr>
      </w:pPr>
      <w:r>
        <w:rPr>
          <w:b/>
          <w:bCs/>
        </w:rPr>
        <w:t>Date     24.03.2022</w:t>
      </w: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
      <w:pPr>
        <w:spacing w:line="360" w:lineRule="auto"/>
        <w:jc w:val="right"/>
        <w:rPr>
          <w:i/>
          <w:sz w:val="40"/>
          <w:szCs w:val="40"/>
        </w:rPr>
      </w:pPr>
    </w:p>
    <w:p>
      <w:pPr>
        <w:spacing w:line="360" w:lineRule="auto"/>
        <w:outlineLvl w:val="0"/>
        <w:rPr>
          <w:sz w:val="40"/>
          <w:szCs w:val="40"/>
        </w:rPr>
        <w:sectPr>
          <w:footerReference r:id="rId3" w:type="default"/>
          <w:footerReference r:id="rId4" w:type="even"/>
          <w:pgSz w:w="11906" w:h="16838"/>
          <w:pgMar w:top="1440" w:right="1134" w:bottom="1440" w:left="1701" w:header="709" w:footer="709" w:gutter="0"/>
          <w:cols w:space="720" w:num="1"/>
          <w:docGrid w:linePitch="360" w:charSpace="0"/>
        </w:sectPr>
      </w:pPr>
    </w:p>
    <w:p>
      <w:pPr>
        <w:spacing w:line="480" w:lineRule="auto"/>
        <w:outlineLvl w:val="0"/>
        <w:rPr>
          <w:b/>
        </w:rPr>
      </w:pPr>
      <w:bookmarkStart w:id="3" w:name="_Toc45110156"/>
      <w:r>
        <w:rPr>
          <w:b/>
        </w:rPr>
        <w:t>CONTENTS</w:t>
      </w:r>
      <w:bookmarkEnd w:id="3"/>
      <w:r>
        <w:rPr>
          <w:b/>
        </w:rPr>
        <w:t xml:space="preserve"> </w:t>
      </w:r>
    </w:p>
    <w:p>
      <w:pPr>
        <w:pStyle w:val="5"/>
        <w:tabs>
          <w:tab w:val="right" w:leader="dot" w:pos="8296"/>
        </w:tabs>
        <w:rPr>
          <w:rFonts w:ascii="Calibri" w:hAnsi="Calibri"/>
          <w:sz w:val="22"/>
          <w:szCs w:val="22"/>
        </w:rPr>
      </w:pPr>
      <w:r>
        <w:rPr>
          <w:b/>
        </w:rPr>
        <w:fldChar w:fldCharType="begin"/>
      </w:r>
      <w:r>
        <w:rPr>
          <w:b/>
        </w:rPr>
        <w:instrText xml:space="preserve"> TOC \o "1-3" \h \z \u </w:instrText>
      </w:r>
      <w:r>
        <w:rPr>
          <w:b/>
        </w:rPr>
        <w:fldChar w:fldCharType="separate"/>
      </w:r>
      <w:r>
        <w:fldChar w:fldCharType="begin"/>
      </w:r>
      <w:r>
        <w:instrText xml:space="preserve"> HYPERLINK \l "_Toc45110155" </w:instrText>
      </w:r>
      <w:r>
        <w:fldChar w:fldCharType="separate"/>
      </w:r>
      <w:r>
        <w:rPr>
          <w:rStyle w:val="14"/>
          <w:b/>
        </w:rPr>
        <w:t>DECLARATION FORM</w:t>
      </w:r>
      <w:r>
        <w:tab/>
      </w:r>
      <w:r>
        <w:fldChar w:fldCharType="begin"/>
      </w:r>
      <w:r>
        <w:instrText xml:space="preserve"> PAGEREF _Toc45110155 \h </w:instrText>
      </w:r>
      <w:r>
        <w:fldChar w:fldCharType="separate"/>
      </w:r>
      <w:r>
        <w:t>2</w:t>
      </w:r>
      <w:r>
        <w:fldChar w:fldCharType="end"/>
      </w:r>
      <w:r>
        <w:fldChar w:fldCharType="end"/>
      </w:r>
    </w:p>
    <w:p>
      <w:pPr>
        <w:pStyle w:val="5"/>
        <w:tabs>
          <w:tab w:val="right" w:leader="dot" w:pos="8296"/>
        </w:tabs>
        <w:rPr>
          <w:rFonts w:ascii="Calibri" w:hAnsi="Calibri"/>
          <w:sz w:val="22"/>
          <w:szCs w:val="22"/>
        </w:rPr>
      </w:pPr>
      <w:r>
        <w:fldChar w:fldCharType="begin"/>
      </w:r>
      <w:r>
        <w:instrText xml:space="preserve"> HYPERLINK \l "_Toc45110156" </w:instrText>
      </w:r>
      <w:r>
        <w:fldChar w:fldCharType="separate"/>
      </w:r>
      <w:r>
        <w:rPr>
          <w:rStyle w:val="14"/>
          <w:b/>
        </w:rPr>
        <w:t>CONTENTS</w:t>
      </w:r>
      <w:r>
        <w:tab/>
      </w:r>
      <w:r>
        <w:fldChar w:fldCharType="begin"/>
      </w:r>
      <w:r>
        <w:instrText xml:space="preserve"> PAGEREF _Toc45110156 \h </w:instrText>
      </w:r>
      <w:r>
        <w:fldChar w:fldCharType="separate"/>
      </w:r>
      <w:r>
        <w:t>3</w:t>
      </w:r>
      <w:r>
        <w:fldChar w:fldCharType="end"/>
      </w:r>
      <w:r>
        <w:fldChar w:fldCharType="end"/>
      </w:r>
    </w:p>
    <w:p>
      <w:pPr>
        <w:pStyle w:val="5"/>
        <w:tabs>
          <w:tab w:val="right" w:leader="dot" w:pos="8296"/>
        </w:tabs>
        <w:rPr>
          <w:rStyle w:val="14"/>
        </w:rPr>
      </w:pPr>
      <w:r>
        <w:fldChar w:fldCharType="begin"/>
      </w:r>
      <w:r>
        <w:instrText xml:space="preserve"> HYPERLINK \l "_Toc45110157" </w:instrText>
      </w:r>
      <w:r>
        <w:fldChar w:fldCharType="separate"/>
      </w:r>
      <w:r>
        <w:rPr>
          <w:rStyle w:val="14"/>
          <w:b/>
        </w:rPr>
        <w:t>ACKNOWLEDGEMENTS</w:t>
      </w:r>
      <w:r>
        <w:tab/>
      </w:r>
      <w:r>
        <w:rPr>
          <w:rFonts w:eastAsia="宋体"/>
          <w:lang w:eastAsia="zh-CN"/>
        </w:rPr>
        <w:t>4</w:t>
      </w:r>
      <w:r>
        <w:rPr>
          <w:rFonts w:eastAsia="宋体"/>
          <w:lang w:eastAsia="zh-CN"/>
        </w:rPr>
        <w:fldChar w:fldCharType="end"/>
      </w:r>
    </w:p>
    <w:p>
      <w:pPr>
        <w:pStyle w:val="5"/>
        <w:tabs>
          <w:tab w:val="right" w:leader="dot" w:pos="8296"/>
        </w:tabs>
        <w:rPr>
          <w:rFonts w:ascii="Calibri" w:hAnsi="Calibri"/>
          <w:sz w:val="22"/>
          <w:szCs w:val="22"/>
        </w:rPr>
      </w:pPr>
      <w:r>
        <w:fldChar w:fldCharType="begin"/>
      </w:r>
      <w:r>
        <w:instrText xml:space="preserve"> HYPERLINK \l "_Toc45110159" </w:instrText>
      </w:r>
      <w:r>
        <w:fldChar w:fldCharType="separate"/>
      </w:r>
      <w:r>
        <w:rPr>
          <w:rStyle w:val="14"/>
          <w:b/>
        </w:rPr>
        <w:t>ACRONYMS</w:t>
      </w:r>
      <w:r>
        <w:tab/>
      </w:r>
      <w:r>
        <w:rPr>
          <w:rFonts w:eastAsia="宋体"/>
          <w:lang w:eastAsia="zh-CN"/>
        </w:rPr>
        <w:t>5</w:t>
      </w:r>
      <w:r>
        <w:rPr>
          <w:rFonts w:eastAsia="宋体"/>
          <w:lang w:eastAsia="zh-CN"/>
        </w:rPr>
        <w:fldChar w:fldCharType="end"/>
      </w:r>
    </w:p>
    <w:p>
      <w:pPr>
        <w:pStyle w:val="5"/>
        <w:tabs>
          <w:tab w:val="right" w:leader="dot" w:pos="8296"/>
        </w:tabs>
        <w:rPr>
          <w:rFonts w:ascii="Calibri" w:hAnsi="Calibri"/>
          <w:sz w:val="22"/>
          <w:szCs w:val="22"/>
        </w:rPr>
      </w:pPr>
      <w:r>
        <w:fldChar w:fldCharType="begin"/>
      </w:r>
      <w:r>
        <w:instrText xml:space="preserve"> HYPERLINK \l "_Toc45110158" </w:instrText>
      </w:r>
      <w:r>
        <w:fldChar w:fldCharType="separate"/>
      </w:r>
      <w:r>
        <w:rPr>
          <w:rStyle w:val="14"/>
          <w:b/>
        </w:rPr>
        <w:t>ABSTRACT</w:t>
      </w:r>
      <w:r>
        <w:tab/>
      </w:r>
      <w:r>
        <w:rPr>
          <w:rFonts w:eastAsia="宋体"/>
          <w:lang w:eastAsia="zh-CN"/>
        </w:rPr>
        <w:t>6</w:t>
      </w:r>
      <w:r>
        <w:rPr>
          <w:rFonts w:eastAsia="宋体"/>
          <w:lang w:eastAsia="zh-CN"/>
        </w:rPr>
        <w:fldChar w:fldCharType="end"/>
      </w:r>
    </w:p>
    <w:p>
      <w:pPr>
        <w:pStyle w:val="5"/>
        <w:tabs>
          <w:tab w:val="left" w:pos="480"/>
          <w:tab w:val="right" w:leader="dot" w:pos="8296"/>
        </w:tabs>
        <w:rPr>
          <w:rFonts w:ascii="Calibri" w:hAnsi="Calibri"/>
          <w:sz w:val="22"/>
          <w:szCs w:val="22"/>
        </w:rPr>
      </w:pPr>
      <w:r>
        <w:fldChar w:fldCharType="begin"/>
      </w:r>
      <w:r>
        <w:instrText xml:space="preserve"> HYPERLINK \l "_Toc45110160" </w:instrText>
      </w:r>
      <w:r>
        <w:fldChar w:fldCharType="separate"/>
      </w:r>
      <w:r>
        <w:rPr>
          <w:rStyle w:val="14"/>
          <w:b/>
        </w:rPr>
        <w:t>1.</w:t>
      </w:r>
      <w:r>
        <w:rPr>
          <w:rFonts w:ascii="Calibri" w:hAnsi="Calibri"/>
          <w:sz w:val="22"/>
          <w:szCs w:val="22"/>
        </w:rPr>
        <w:tab/>
      </w:r>
      <w:r>
        <w:rPr>
          <w:rStyle w:val="14"/>
          <w:b/>
        </w:rPr>
        <w:t xml:space="preserve">INTRODUCTION </w:t>
      </w:r>
      <w:r>
        <w:tab/>
      </w:r>
      <w:r>
        <w:fldChar w:fldCharType="begin"/>
      </w:r>
      <w:r>
        <w:instrText xml:space="preserve"> PAGEREF _Toc45110160 \h </w:instrText>
      </w:r>
      <w:r>
        <w:fldChar w:fldCharType="separate"/>
      </w:r>
      <w:r>
        <w:t>7</w:t>
      </w:r>
      <w:r>
        <w:fldChar w:fldCharType="end"/>
      </w:r>
      <w:r>
        <w:fldChar w:fldCharType="end"/>
      </w:r>
    </w:p>
    <w:p>
      <w:pPr>
        <w:pStyle w:val="5"/>
        <w:tabs>
          <w:tab w:val="left" w:pos="480"/>
          <w:tab w:val="right" w:leader="dot" w:pos="8296"/>
        </w:tabs>
        <w:rPr>
          <w:rFonts w:ascii="Calibri" w:hAnsi="Calibri" w:eastAsia="宋体"/>
          <w:sz w:val="22"/>
          <w:szCs w:val="22"/>
          <w:lang w:eastAsia="zh-CN"/>
        </w:rPr>
      </w:pPr>
      <w:r>
        <w:fldChar w:fldCharType="begin"/>
      </w:r>
      <w:r>
        <w:instrText xml:space="preserve"> HYPERLINK \l "_Toc45110161" </w:instrText>
      </w:r>
      <w:r>
        <w:fldChar w:fldCharType="separate"/>
      </w:r>
      <w:r>
        <w:rPr>
          <w:rStyle w:val="14"/>
          <w:b/>
        </w:rPr>
        <w:t>2.</w:t>
      </w:r>
      <w:r>
        <w:rPr>
          <w:rFonts w:ascii="Calibri" w:hAnsi="Calibri"/>
          <w:sz w:val="22"/>
          <w:szCs w:val="22"/>
        </w:rPr>
        <w:tab/>
      </w:r>
      <w:r>
        <w:rPr>
          <w:rStyle w:val="14"/>
          <w:b/>
        </w:rPr>
        <w:t>LITERATURE REVIEW</w:t>
      </w:r>
      <w:r>
        <w:tab/>
      </w:r>
      <w:r>
        <w:rPr>
          <w:rFonts w:eastAsia="宋体"/>
          <w:lang w:eastAsia="zh-CN"/>
        </w:rPr>
        <w:t>1</w:t>
      </w:r>
      <w:r>
        <w:rPr>
          <w:rFonts w:eastAsia="宋体"/>
          <w:lang w:eastAsia="zh-CN"/>
        </w:rPr>
        <w:fldChar w:fldCharType="end"/>
      </w:r>
      <w:r>
        <w:rPr>
          <w:rStyle w:val="14"/>
          <w:rFonts w:eastAsia="宋体"/>
          <w:lang w:eastAsia="zh-CN"/>
        </w:rPr>
        <w:t>4</w:t>
      </w:r>
    </w:p>
    <w:p>
      <w:pPr>
        <w:pStyle w:val="6"/>
        <w:tabs>
          <w:tab w:val="left" w:pos="880"/>
          <w:tab w:val="right" w:leader="dot" w:pos="8296"/>
        </w:tabs>
        <w:ind w:left="0"/>
        <w:rPr>
          <w:rFonts w:ascii="Calibri" w:hAnsi="Calibri" w:eastAsia="宋体"/>
          <w:sz w:val="22"/>
          <w:szCs w:val="22"/>
          <w:lang w:eastAsia="zh-CN"/>
        </w:rPr>
      </w:pPr>
      <w:r>
        <w:fldChar w:fldCharType="begin"/>
      </w:r>
      <w:r>
        <w:instrText xml:space="preserve"> HYPERLINK \l "_Toc45110162" </w:instrText>
      </w:r>
      <w:r>
        <w:fldChar w:fldCharType="separate"/>
      </w:r>
      <w:r>
        <w:rPr>
          <w:rStyle w:val="14"/>
          <w:b/>
        </w:rPr>
        <w:t>2.1.</w:t>
      </w:r>
      <w:r>
        <w:rPr>
          <w:rStyle w:val="14"/>
          <w:rFonts w:eastAsia="宋体"/>
          <w:b/>
          <w:lang w:eastAsia="zh-CN"/>
        </w:rPr>
        <w:t xml:space="preserve"> </w:t>
      </w:r>
      <w:r>
        <w:rPr>
          <w:rStyle w:val="14"/>
          <w:b/>
        </w:rPr>
        <w:t>Introduction</w:t>
      </w:r>
      <w:r>
        <w:tab/>
      </w:r>
      <w:r>
        <w:rPr>
          <w:rFonts w:eastAsia="宋体"/>
          <w:lang w:eastAsia="zh-CN"/>
        </w:rPr>
        <w:t>1</w:t>
      </w:r>
      <w:r>
        <w:rPr>
          <w:rFonts w:eastAsia="宋体"/>
          <w:lang w:eastAsia="zh-CN"/>
        </w:rPr>
        <w:fldChar w:fldCharType="end"/>
      </w:r>
      <w:r>
        <w:rPr>
          <w:rStyle w:val="14"/>
          <w:rFonts w:eastAsia="宋体"/>
          <w:lang w:eastAsia="zh-CN"/>
        </w:rPr>
        <w:t>4</w:t>
      </w:r>
    </w:p>
    <w:p>
      <w:pPr>
        <w:spacing w:line="480" w:lineRule="auto"/>
        <w:outlineLvl w:val="1"/>
        <w:rPr>
          <w:rFonts w:eastAsia="宋体"/>
          <w:bCs/>
          <w:lang w:eastAsia="zh-CN"/>
        </w:rPr>
      </w:pPr>
      <w:r>
        <w:rPr>
          <w:rFonts w:eastAsia="宋体"/>
          <w:b/>
          <w:lang w:eastAsia="zh-CN"/>
        </w:rPr>
        <w:t xml:space="preserve">2.2. </w:t>
      </w:r>
      <w:r>
        <w:rPr>
          <w:b/>
        </w:rPr>
        <w:t>Shadow education in countries outside mainland China</w:t>
      </w:r>
      <w:r>
        <w:rPr>
          <w:rFonts w:eastAsia="宋体"/>
          <w:bCs/>
          <w:lang w:eastAsia="zh-CN"/>
        </w:rPr>
        <w:t>.................................15</w:t>
      </w:r>
    </w:p>
    <w:p>
      <w:pPr>
        <w:spacing w:line="480" w:lineRule="auto"/>
        <w:outlineLvl w:val="1"/>
        <w:rPr>
          <w:rFonts w:ascii="Calibri" w:hAnsi="Calibri" w:eastAsia="宋体"/>
          <w:sz w:val="22"/>
          <w:szCs w:val="22"/>
          <w:lang w:eastAsia="zh-CN"/>
        </w:rPr>
      </w:pPr>
      <w:r>
        <w:fldChar w:fldCharType="begin"/>
      </w:r>
      <w:r>
        <w:instrText xml:space="preserve"> HYPERLINK \l "_Toc45110164" </w:instrText>
      </w:r>
      <w:r>
        <w:fldChar w:fldCharType="separate"/>
      </w:r>
      <w:r>
        <w:rPr>
          <w:rStyle w:val="14"/>
          <w:b/>
        </w:rPr>
        <w:t>2.3.</w:t>
      </w:r>
      <w:r>
        <w:rPr>
          <w:rFonts w:ascii="Calibri" w:hAnsi="Calibri"/>
          <w:sz w:val="22"/>
          <w:szCs w:val="22"/>
        </w:rPr>
        <w:tab/>
      </w:r>
      <w:r>
        <w:rPr>
          <w:b/>
          <w:lang w:eastAsia="zh-CN" w:bidi="ar"/>
        </w:rPr>
        <w:t>Tuition institutions in mainland China</w:t>
      </w:r>
      <w:r>
        <w:rPr>
          <w:bCs/>
          <w:lang w:eastAsia="zh-CN" w:bidi="ar"/>
        </w:rPr>
        <w:t>............................................................</w:t>
      </w:r>
      <w:r>
        <w:tab/>
      </w:r>
      <w:r>
        <w:rPr>
          <w:rFonts w:eastAsia="宋体"/>
          <w:lang w:eastAsia="zh-CN"/>
        </w:rPr>
        <w:t>.2</w:t>
      </w:r>
      <w:r>
        <w:rPr>
          <w:rFonts w:eastAsia="宋体"/>
          <w:lang w:eastAsia="zh-CN"/>
        </w:rPr>
        <w:fldChar w:fldCharType="end"/>
      </w:r>
      <w:r>
        <w:rPr>
          <w:rStyle w:val="14"/>
          <w:rFonts w:hint="eastAsia" w:eastAsia="宋体"/>
          <w:lang w:val="en-US" w:eastAsia="zh-CN"/>
        </w:rPr>
        <w:t>4</w:t>
      </w:r>
    </w:p>
    <w:p>
      <w:pPr>
        <w:spacing w:line="480" w:lineRule="auto"/>
        <w:jc w:val="both"/>
        <w:rPr>
          <w:rFonts w:eastAsia="宋体"/>
          <w:bCs/>
          <w:lang w:eastAsia="zh-CN"/>
        </w:rPr>
      </w:pPr>
      <w:r>
        <w:rPr>
          <w:rStyle w:val="14"/>
          <w:rFonts w:eastAsia="宋体"/>
          <w:b/>
          <w:bCs/>
          <w:lang w:eastAsia="zh-CN"/>
        </w:rPr>
        <w:t>2.3.1.</w:t>
      </w:r>
      <w:r>
        <w:rPr>
          <w:rFonts w:eastAsia="宋体"/>
          <w:b/>
          <w:lang w:eastAsia="zh-CN"/>
        </w:rPr>
        <w:t>The reasons for the emergence of tuition providers in mainland China to the boom</w:t>
      </w:r>
      <w:r>
        <w:rPr>
          <w:rFonts w:eastAsia="宋体"/>
          <w:bCs/>
          <w:lang w:eastAsia="zh-CN"/>
        </w:rPr>
        <w:t>......................................................................................................................2</w:t>
      </w:r>
      <w:r>
        <w:rPr>
          <w:rFonts w:hint="eastAsia" w:eastAsia="宋体"/>
          <w:bCs/>
          <w:lang w:val="en-US" w:eastAsia="zh-CN"/>
        </w:rPr>
        <w:t>5</w:t>
      </w:r>
    </w:p>
    <w:p>
      <w:pPr>
        <w:spacing w:line="480" w:lineRule="auto"/>
        <w:jc w:val="both"/>
        <w:rPr>
          <w:rFonts w:eastAsia="宋体"/>
          <w:bCs/>
          <w:lang w:eastAsia="zh-CN"/>
        </w:rPr>
      </w:pPr>
      <w:r>
        <w:rPr>
          <w:rStyle w:val="14"/>
          <w:rFonts w:eastAsia="宋体"/>
          <w:b/>
          <w:bCs/>
          <w:lang w:eastAsia="zh-CN"/>
        </w:rPr>
        <w:t>2.3.2.</w:t>
      </w:r>
      <w:r>
        <w:rPr>
          <w:rFonts w:eastAsia="宋体"/>
          <w:b/>
          <w:lang w:eastAsia="zh-CN"/>
        </w:rPr>
        <w:t>The impact of the boom in the tuition market</w:t>
      </w:r>
      <w:r>
        <w:rPr>
          <w:rFonts w:eastAsia="宋体"/>
          <w:bCs/>
          <w:lang w:eastAsia="zh-CN"/>
        </w:rPr>
        <w:t>................................................28</w:t>
      </w:r>
    </w:p>
    <w:p>
      <w:pPr>
        <w:spacing w:line="480" w:lineRule="auto"/>
        <w:jc w:val="both"/>
        <w:rPr>
          <w:rFonts w:eastAsia="宋体"/>
          <w:bCs/>
          <w:lang w:eastAsia="zh-CN"/>
        </w:rPr>
      </w:pPr>
      <w:r>
        <w:rPr>
          <w:rFonts w:eastAsia="宋体"/>
          <w:b/>
          <w:bCs/>
          <w:lang w:eastAsia="zh-CN"/>
        </w:rPr>
        <w:t>2.3.3.</w:t>
      </w:r>
      <w:r>
        <w:rPr>
          <w:rFonts w:eastAsia="宋体"/>
          <w:b/>
          <w:lang w:eastAsia="zh-CN"/>
        </w:rPr>
        <w:t>The suggestions given for the development of shadow education in mainland China</w:t>
      </w:r>
      <w:r>
        <w:rPr>
          <w:rFonts w:eastAsia="宋体"/>
          <w:bCs/>
          <w:lang w:eastAsia="zh-CN"/>
        </w:rPr>
        <w:t>..........................................................................................................34</w:t>
      </w:r>
    </w:p>
    <w:p>
      <w:pPr>
        <w:pStyle w:val="5"/>
        <w:tabs>
          <w:tab w:val="left" w:pos="480"/>
          <w:tab w:val="right" w:leader="dot" w:pos="8296"/>
        </w:tabs>
        <w:rPr>
          <w:rFonts w:eastAsia="宋体"/>
          <w:b/>
          <w:bCs/>
          <w:lang w:eastAsia="zh-CN"/>
        </w:rPr>
      </w:pPr>
    </w:p>
    <w:p>
      <w:pPr>
        <w:pStyle w:val="5"/>
        <w:tabs>
          <w:tab w:val="left" w:pos="480"/>
          <w:tab w:val="right" w:leader="dot" w:pos="8296"/>
        </w:tabs>
        <w:rPr>
          <w:rFonts w:ascii="Calibri" w:hAnsi="Calibri" w:eastAsia="宋体"/>
          <w:sz w:val="22"/>
          <w:szCs w:val="22"/>
          <w:lang w:eastAsia="zh-CN"/>
        </w:rPr>
      </w:pPr>
      <w:r>
        <w:fldChar w:fldCharType="begin"/>
      </w:r>
      <w:r>
        <w:instrText xml:space="preserve"> HYPERLINK \l "_Toc45110170" </w:instrText>
      </w:r>
      <w:r>
        <w:fldChar w:fldCharType="separate"/>
      </w:r>
      <w:r>
        <w:rPr>
          <w:rStyle w:val="14"/>
          <w:b/>
        </w:rPr>
        <w:t>3.</w:t>
      </w:r>
      <w:r>
        <w:rPr>
          <w:rFonts w:ascii="Calibri" w:hAnsi="Calibri"/>
          <w:sz w:val="22"/>
          <w:szCs w:val="22"/>
        </w:rPr>
        <w:tab/>
      </w:r>
      <w:r>
        <w:rPr>
          <w:rStyle w:val="14"/>
          <w:b/>
        </w:rPr>
        <w:t>METHODOLO</w:t>
      </w:r>
      <w:bookmarkStart w:id="4" w:name="_Hlt45111841"/>
      <w:bookmarkStart w:id="5" w:name="_Hlt45111840"/>
      <w:r>
        <w:rPr>
          <w:rStyle w:val="14"/>
          <w:b/>
        </w:rPr>
        <w:t>G</w:t>
      </w:r>
      <w:bookmarkEnd w:id="4"/>
      <w:bookmarkEnd w:id="5"/>
      <w:r>
        <w:rPr>
          <w:rStyle w:val="14"/>
          <w:b/>
        </w:rPr>
        <w:t>Y REVIEW</w:t>
      </w:r>
      <w:r>
        <w:tab/>
      </w:r>
      <w:r>
        <w:rPr>
          <w:rFonts w:eastAsia="宋体"/>
          <w:lang w:eastAsia="zh-CN"/>
        </w:rPr>
        <w:t>3</w:t>
      </w:r>
      <w:r>
        <w:rPr>
          <w:rFonts w:eastAsia="宋体"/>
          <w:lang w:eastAsia="zh-CN"/>
        </w:rPr>
        <w:fldChar w:fldCharType="end"/>
      </w:r>
      <w:r>
        <w:rPr>
          <w:rStyle w:val="14"/>
          <w:rFonts w:hint="eastAsia" w:eastAsia="宋体"/>
          <w:lang w:val="en-US" w:eastAsia="zh-CN"/>
        </w:rPr>
        <w:t>6</w:t>
      </w:r>
    </w:p>
    <w:p>
      <w:pPr>
        <w:pStyle w:val="6"/>
        <w:tabs>
          <w:tab w:val="left" w:pos="880"/>
          <w:tab w:val="right" w:leader="dot" w:pos="8296"/>
        </w:tabs>
        <w:rPr>
          <w:rFonts w:ascii="Calibri" w:hAnsi="Calibri" w:eastAsia="宋体"/>
          <w:sz w:val="22"/>
          <w:szCs w:val="22"/>
          <w:lang w:eastAsia="zh-CN"/>
        </w:rPr>
      </w:pPr>
      <w:r>
        <w:fldChar w:fldCharType="begin"/>
      </w:r>
      <w:r>
        <w:instrText xml:space="preserve"> HYPERLINK \l "_Toc45110171" </w:instrText>
      </w:r>
      <w:r>
        <w:fldChar w:fldCharType="separate"/>
      </w:r>
      <w:r>
        <w:rPr>
          <w:rStyle w:val="14"/>
          <w:b/>
        </w:rPr>
        <w:t>3.1.</w:t>
      </w:r>
      <w:r>
        <w:rPr>
          <w:rFonts w:ascii="Calibri" w:hAnsi="Calibri"/>
          <w:sz w:val="22"/>
          <w:szCs w:val="22"/>
        </w:rPr>
        <w:tab/>
      </w:r>
      <w:r>
        <w:rPr>
          <w:rStyle w:val="14"/>
          <w:b/>
        </w:rPr>
        <w:t>Introduction</w:t>
      </w:r>
      <w:r>
        <w:tab/>
      </w:r>
      <w:r>
        <w:rPr>
          <w:rFonts w:eastAsia="宋体"/>
          <w:lang w:eastAsia="zh-CN"/>
        </w:rPr>
        <w:t>3</w:t>
      </w:r>
      <w:r>
        <w:rPr>
          <w:rFonts w:eastAsia="宋体"/>
          <w:lang w:eastAsia="zh-CN"/>
        </w:rPr>
        <w:fldChar w:fldCharType="end"/>
      </w:r>
      <w:r>
        <w:rPr>
          <w:rStyle w:val="14"/>
          <w:rFonts w:hint="eastAsia" w:eastAsia="宋体"/>
          <w:lang w:val="en-US" w:eastAsia="zh-CN"/>
        </w:rPr>
        <w:t>6</w:t>
      </w:r>
    </w:p>
    <w:p>
      <w:pPr>
        <w:pStyle w:val="6"/>
        <w:tabs>
          <w:tab w:val="left" w:pos="880"/>
          <w:tab w:val="right" w:leader="dot" w:pos="8296"/>
        </w:tabs>
        <w:rPr>
          <w:rFonts w:hint="default" w:ascii="Calibri" w:hAnsi="Calibri" w:eastAsia="宋体"/>
          <w:sz w:val="22"/>
          <w:szCs w:val="22"/>
          <w:lang w:val="en-US" w:eastAsia="zh-CN"/>
        </w:rPr>
      </w:pPr>
      <w:r>
        <w:fldChar w:fldCharType="begin"/>
      </w:r>
      <w:r>
        <w:instrText xml:space="preserve"> HYPERLINK \l "_Toc45110172" </w:instrText>
      </w:r>
      <w:r>
        <w:fldChar w:fldCharType="separate"/>
      </w:r>
      <w:r>
        <w:rPr>
          <w:rStyle w:val="14"/>
          <w:b/>
        </w:rPr>
        <w:t>3.2.</w:t>
      </w:r>
      <w:r>
        <w:rPr>
          <w:rFonts w:ascii="Calibri" w:hAnsi="Calibri"/>
          <w:sz w:val="22"/>
          <w:szCs w:val="22"/>
        </w:rPr>
        <w:tab/>
      </w:r>
      <w:r>
        <w:rPr>
          <w:rStyle w:val="14"/>
          <w:b/>
        </w:rPr>
        <w:t>Context of Study</w:t>
      </w:r>
      <w:r>
        <w:tab/>
      </w:r>
      <w:r>
        <w:rPr>
          <w:rFonts w:hint="eastAsia" w:eastAsia="宋体"/>
          <w:lang w:val="en-US" w:eastAsia="zh-CN"/>
        </w:rPr>
        <w:t>4</w:t>
      </w:r>
      <w:r>
        <w:rPr>
          <w:rFonts w:eastAsia="宋体"/>
          <w:lang w:eastAsia="zh-CN"/>
        </w:rPr>
        <w:fldChar w:fldCharType="end"/>
      </w:r>
      <w:r>
        <w:rPr>
          <w:rFonts w:hint="eastAsia" w:eastAsia="宋体"/>
          <w:lang w:val="en-US" w:eastAsia="zh-CN"/>
        </w:rPr>
        <w:t>2</w:t>
      </w:r>
    </w:p>
    <w:p>
      <w:pPr>
        <w:pStyle w:val="6"/>
        <w:tabs>
          <w:tab w:val="left" w:pos="880"/>
          <w:tab w:val="right" w:leader="dot" w:pos="8296"/>
        </w:tabs>
        <w:rPr>
          <w:rFonts w:ascii="Calibri" w:hAnsi="Calibri" w:eastAsia="宋体"/>
          <w:sz w:val="22"/>
          <w:szCs w:val="22"/>
          <w:lang w:eastAsia="zh-CN"/>
        </w:rPr>
      </w:pPr>
      <w:r>
        <w:fldChar w:fldCharType="begin"/>
      </w:r>
      <w:r>
        <w:instrText xml:space="preserve"> HYPERLINK \l "_Toc45110173" </w:instrText>
      </w:r>
      <w:r>
        <w:fldChar w:fldCharType="separate"/>
      </w:r>
      <w:r>
        <w:rPr>
          <w:rStyle w:val="14"/>
          <w:b/>
        </w:rPr>
        <w:t>3.3.</w:t>
      </w:r>
      <w:r>
        <w:rPr>
          <w:rFonts w:ascii="Calibri" w:hAnsi="Calibri"/>
          <w:sz w:val="22"/>
          <w:szCs w:val="22"/>
        </w:rPr>
        <w:tab/>
      </w:r>
      <w:r>
        <w:rPr>
          <w:rStyle w:val="14"/>
          <w:b/>
        </w:rPr>
        <w:t>Justification for Methodology</w:t>
      </w:r>
      <w:r>
        <w:tab/>
      </w:r>
      <w:r>
        <w:rPr>
          <w:rFonts w:eastAsia="宋体"/>
          <w:lang w:eastAsia="zh-CN"/>
        </w:rPr>
        <w:t>4</w:t>
      </w:r>
      <w:r>
        <w:rPr>
          <w:rFonts w:eastAsia="宋体"/>
          <w:lang w:eastAsia="zh-CN"/>
        </w:rPr>
        <w:fldChar w:fldCharType="end"/>
      </w:r>
      <w:r>
        <w:rPr>
          <w:rStyle w:val="14"/>
          <w:rFonts w:hint="eastAsia" w:eastAsia="宋体"/>
          <w:lang w:val="en-US" w:eastAsia="zh-CN"/>
        </w:rPr>
        <w:t>6</w:t>
      </w:r>
    </w:p>
    <w:p>
      <w:pPr>
        <w:spacing w:line="480" w:lineRule="auto"/>
        <w:ind w:firstLine="240" w:firstLineChars="100"/>
        <w:jc w:val="both"/>
        <w:outlineLvl w:val="1"/>
        <w:rPr>
          <w:rFonts w:eastAsia="宋体"/>
          <w:bCs/>
          <w:lang w:eastAsia="zh-CN"/>
        </w:rPr>
      </w:pPr>
      <w:r>
        <w:rPr>
          <w:rStyle w:val="14"/>
        </w:rPr>
        <w:fldChar w:fldCharType="begin"/>
      </w:r>
      <w:r>
        <w:rPr>
          <w:rStyle w:val="14"/>
        </w:rPr>
        <w:instrText xml:space="preserve"> </w:instrText>
      </w:r>
      <w:r>
        <w:instrText xml:space="preserve">HYPERLINK \l "_Toc45110174"</w:instrText>
      </w:r>
      <w:r>
        <w:rPr>
          <w:rStyle w:val="14"/>
        </w:rPr>
        <w:instrText xml:space="preserve"> </w:instrText>
      </w:r>
      <w:r>
        <w:rPr>
          <w:rStyle w:val="14"/>
        </w:rPr>
        <w:fldChar w:fldCharType="separate"/>
      </w:r>
      <w:r>
        <w:rPr>
          <w:rStyle w:val="14"/>
          <w:b/>
        </w:rPr>
        <w:t>3.4.</w:t>
      </w:r>
      <w:r>
        <w:rPr>
          <w:rFonts w:ascii="Calibri" w:hAnsi="Calibri"/>
          <w:sz w:val="22"/>
          <w:szCs w:val="22"/>
        </w:rPr>
        <w:tab/>
      </w:r>
      <w:r>
        <w:rPr>
          <w:b/>
        </w:rPr>
        <w:t>Population and Sample</w:t>
      </w:r>
      <w:r>
        <w:rPr>
          <w:rFonts w:eastAsia="宋体"/>
          <w:bCs/>
          <w:lang w:eastAsia="zh-CN"/>
        </w:rPr>
        <w:t>................................................................................4</w:t>
      </w:r>
      <w:r>
        <w:rPr>
          <w:rFonts w:hint="eastAsia" w:eastAsia="宋体"/>
          <w:bCs/>
          <w:lang w:val="en-US" w:eastAsia="zh-CN"/>
        </w:rPr>
        <w:t>8</w:t>
      </w:r>
    </w:p>
    <w:p>
      <w:pPr>
        <w:pStyle w:val="6"/>
        <w:tabs>
          <w:tab w:val="left" w:pos="880"/>
          <w:tab w:val="right" w:leader="dot" w:pos="8296"/>
        </w:tabs>
        <w:rPr>
          <w:rFonts w:ascii="Calibri" w:hAnsi="Calibri" w:eastAsia="宋体"/>
          <w:sz w:val="22"/>
          <w:szCs w:val="22"/>
          <w:lang w:eastAsia="zh-CN"/>
        </w:rPr>
      </w:pPr>
      <w:r>
        <w:rPr>
          <w:rStyle w:val="14"/>
        </w:rPr>
        <w:fldChar w:fldCharType="end"/>
      </w:r>
      <w:r>
        <w:fldChar w:fldCharType="begin"/>
      </w:r>
      <w:r>
        <w:instrText xml:space="preserve"> HYPERLINK \l "_Toc45110177" </w:instrText>
      </w:r>
      <w:r>
        <w:fldChar w:fldCharType="separate"/>
      </w:r>
      <w:r>
        <w:rPr>
          <w:rStyle w:val="14"/>
          <w:b/>
        </w:rPr>
        <w:t>3.</w:t>
      </w:r>
      <w:r>
        <w:rPr>
          <w:rStyle w:val="14"/>
          <w:rFonts w:eastAsia="宋体"/>
          <w:b/>
          <w:lang w:eastAsia="zh-CN"/>
        </w:rPr>
        <w:t>5</w:t>
      </w:r>
      <w:r>
        <w:rPr>
          <w:rStyle w:val="14"/>
          <w:b/>
        </w:rPr>
        <w:t>.</w:t>
      </w:r>
      <w:r>
        <w:rPr>
          <w:rFonts w:ascii="Calibri" w:hAnsi="Calibri"/>
          <w:sz w:val="22"/>
          <w:szCs w:val="22"/>
        </w:rPr>
        <w:tab/>
      </w:r>
      <w:r>
        <w:rPr>
          <w:b/>
        </w:rPr>
        <w:t>Interviews</w:t>
      </w:r>
      <w:r>
        <w:tab/>
      </w:r>
      <w:r>
        <w:rPr>
          <w:rFonts w:eastAsia="宋体"/>
          <w:lang w:eastAsia="zh-CN"/>
        </w:rPr>
        <w:t>4</w:t>
      </w:r>
      <w:r>
        <w:rPr>
          <w:rFonts w:eastAsia="宋体"/>
          <w:lang w:eastAsia="zh-CN"/>
        </w:rPr>
        <w:fldChar w:fldCharType="end"/>
      </w:r>
      <w:r>
        <w:rPr>
          <w:rStyle w:val="14"/>
          <w:rFonts w:eastAsia="宋体"/>
          <w:lang w:eastAsia="zh-CN"/>
        </w:rPr>
        <w:t>7</w:t>
      </w:r>
    </w:p>
    <w:p>
      <w:pPr>
        <w:pStyle w:val="6"/>
        <w:tabs>
          <w:tab w:val="left" w:pos="880"/>
          <w:tab w:val="right" w:leader="dot" w:pos="8296"/>
        </w:tabs>
        <w:rPr>
          <w:rFonts w:ascii="Calibri" w:hAnsi="Calibri" w:eastAsia="宋体"/>
          <w:sz w:val="22"/>
          <w:szCs w:val="22"/>
          <w:lang w:eastAsia="zh-CN"/>
        </w:rPr>
      </w:pPr>
      <w:r>
        <w:fldChar w:fldCharType="begin"/>
      </w:r>
      <w:r>
        <w:instrText xml:space="preserve"> HYPERLINK \l "_Toc45110178" </w:instrText>
      </w:r>
      <w:r>
        <w:fldChar w:fldCharType="separate"/>
      </w:r>
      <w:r>
        <w:rPr>
          <w:rStyle w:val="14"/>
          <w:b/>
        </w:rPr>
        <w:t>3.</w:t>
      </w:r>
      <w:r>
        <w:rPr>
          <w:rStyle w:val="14"/>
          <w:rFonts w:eastAsia="宋体"/>
          <w:b/>
          <w:lang w:eastAsia="zh-CN"/>
        </w:rPr>
        <w:t>6</w:t>
      </w:r>
      <w:r>
        <w:rPr>
          <w:rStyle w:val="14"/>
          <w:b/>
        </w:rPr>
        <w:t>.</w:t>
      </w:r>
      <w:r>
        <w:rPr>
          <w:rFonts w:ascii="Calibri" w:hAnsi="Calibri"/>
          <w:sz w:val="22"/>
          <w:szCs w:val="22"/>
        </w:rPr>
        <w:tab/>
      </w:r>
      <w:r>
        <w:rPr>
          <w:rStyle w:val="14"/>
          <w:b/>
        </w:rPr>
        <w:t>Ethics</w:t>
      </w:r>
      <w:r>
        <w:tab/>
      </w:r>
      <w:r>
        <w:rPr>
          <w:rFonts w:eastAsia="宋体"/>
          <w:lang w:eastAsia="zh-CN"/>
        </w:rPr>
        <w:t>5</w:t>
      </w:r>
      <w:r>
        <w:rPr>
          <w:rFonts w:eastAsia="宋体"/>
          <w:lang w:eastAsia="zh-CN"/>
        </w:rPr>
        <w:fldChar w:fldCharType="end"/>
      </w:r>
      <w:r>
        <w:rPr>
          <w:rStyle w:val="14"/>
          <w:rFonts w:hint="eastAsia" w:eastAsia="宋体"/>
          <w:lang w:val="en-US" w:eastAsia="zh-CN"/>
        </w:rPr>
        <w:t>2</w:t>
      </w:r>
    </w:p>
    <w:p>
      <w:pPr>
        <w:pStyle w:val="6"/>
        <w:tabs>
          <w:tab w:val="left" w:pos="880"/>
          <w:tab w:val="right" w:leader="dot" w:pos="8296"/>
        </w:tabs>
        <w:rPr>
          <w:rFonts w:ascii="Calibri" w:hAnsi="Calibri" w:eastAsia="宋体"/>
          <w:sz w:val="22"/>
          <w:szCs w:val="22"/>
          <w:lang w:eastAsia="zh-CN"/>
        </w:rPr>
      </w:pPr>
      <w:r>
        <w:fldChar w:fldCharType="begin"/>
      </w:r>
      <w:r>
        <w:instrText xml:space="preserve"> HYPERLINK \l "_Toc45110179" </w:instrText>
      </w:r>
      <w:r>
        <w:fldChar w:fldCharType="separate"/>
      </w:r>
      <w:r>
        <w:rPr>
          <w:rStyle w:val="14"/>
          <w:b/>
        </w:rPr>
        <w:t>3.</w:t>
      </w:r>
      <w:r>
        <w:rPr>
          <w:rStyle w:val="14"/>
          <w:rFonts w:eastAsia="宋体"/>
          <w:b/>
          <w:lang w:eastAsia="zh-CN"/>
        </w:rPr>
        <w:t>7</w:t>
      </w:r>
      <w:r>
        <w:rPr>
          <w:rStyle w:val="14"/>
          <w:b/>
        </w:rPr>
        <w:t>.</w:t>
      </w:r>
      <w:r>
        <w:rPr>
          <w:rFonts w:ascii="Calibri" w:hAnsi="Calibri"/>
          <w:sz w:val="22"/>
          <w:szCs w:val="22"/>
        </w:rPr>
        <w:tab/>
      </w:r>
      <w:r>
        <w:rPr>
          <w:b/>
        </w:rPr>
        <w:t xml:space="preserve">Analysis </w:t>
      </w:r>
      <w:r>
        <w:tab/>
      </w:r>
      <w:r>
        <w:rPr>
          <w:rFonts w:eastAsia="宋体"/>
          <w:lang w:eastAsia="zh-CN"/>
        </w:rPr>
        <w:t>5</w:t>
      </w:r>
      <w:r>
        <w:rPr>
          <w:rFonts w:eastAsia="宋体"/>
          <w:lang w:eastAsia="zh-CN"/>
        </w:rPr>
        <w:fldChar w:fldCharType="end"/>
      </w:r>
      <w:r>
        <w:rPr>
          <w:rStyle w:val="14"/>
          <w:rFonts w:hint="eastAsia" w:eastAsia="宋体"/>
          <w:lang w:val="en-US" w:eastAsia="zh-CN"/>
        </w:rPr>
        <w:t>3</w:t>
      </w:r>
    </w:p>
    <w:p>
      <w:pPr>
        <w:pStyle w:val="6"/>
        <w:tabs>
          <w:tab w:val="left" w:pos="1100"/>
          <w:tab w:val="right" w:leader="dot" w:pos="8296"/>
        </w:tabs>
        <w:rPr>
          <w:rFonts w:ascii="Calibri" w:hAnsi="Calibri" w:eastAsia="宋体"/>
          <w:sz w:val="22"/>
          <w:szCs w:val="22"/>
          <w:lang w:eastAsia="zh-CN"/>
        </w:rPr>
      </w:pPr>
      <w:r>
        <w:fldChar w:fldCharType="begin"/>
      </w:r>
      <w:r>
        <w:instrText xml:space="preserve"> HYPERLINK \l "_Toc45110180" </w:instrText>
      </w:r>
      <w:r>
        <w:fldChar w:fldCharType="separate"/>
      </w:r>
      <w:r>
        <w:rPr>
          <w:rStyle w:val="14"/>
          <w:b/>
        </w:rPr>
        <w:t>3.</w:t>
      </w:r>
      <w:r>
        <w:rPr>
          <w:rStyle w:val="14"/>
          <w:rFonts w:eastAsia="宋体"/>
          <w:b/>
          <w:lang w:eastAsia="zh-CN"/>
        </w:rPr>
        <w:t>8</w:t>
      </w:r>
      <w:r>
        <w:rPr>
          <w:rStyle w:val="14"/>
          <w:b/>
        </w:rPr>
        <w:t>.</w:t>
      </w:r>
      <w:r>
        <w:rPr>
          <w:rStyle w:val="14"/>
          <w:rFonts w:eastAsia="宋体"/>
          <w:b/>
          <w:lang w:eastAsia="zh-CN"/>
        </w:rPr>
        <w:t xml:space="preserve">  </w:t>
      </w:r>
      <w:r>
        <w:rPr>
          <w:rStyle w:val="14"/>
          <w:b/>
        </w:rPr>
        <w:t>Conclusion</w:t>
      </w:r>
      <w:r>
        <w:tab/>
      </w:r>
      <w:r>
        <w:rPr>
          <w:rFonts w:eastAsia="宋体"/>
          <w:lang w:eastAsia="zh-CN"/>
        </w:rPr>
        <w:t>5</w:t>
      </w:r>
      <w:r>
        <w:rPr>
          <w:rFonts w:eastAsia="宋体"/>
          <w:lang w:eastAsia="zh-CN"/>
        </w:rPr>
        <w:fldChar w:fldCharType="end"/>
      </w:r>
      <w:r>
        <w:rPr>
          <w:rStyle w:val="14"/>
          <w:rFonts w:eastAsia="宋体"/>
          <w:lang w:eastAsia="zh-CN"/>
        </w:rPr>
        <w:t>7</w:t>
      </w:r>
    </w:p>
    <w:p>
      <w:pPr>
        <w:pStyle w:val="5"/>
        <w:tabs>
          <w:tab w:val="left" w:pos="480"/>
          <w:tab w:val="right" w:leader="dot" w:pos="8296"/>
        </w:tabs>
        <w:rPr>
          <w:rFonts w:ascii="Calibri" w:hAnsi="Calibri" w:eastAsia="宋体"/>
          <w:sz w:val="22"/>
          <w:szCs w:val="22"/>
          <w:lang w:eastAsia="zh-CN"/>
        </w:rPr>
      </w:pPr>
      <w:r>
        <w:fldChar w:fldCharType="begin"/>
      </w:r>
      <w:r>
        <w:instrText xml:space="preserve"> HYPERLINK \l "_Toc45110181" </w:instrText>
      </w:r>
      <w:r>
        <w:fldChar w:fldCharType="separate"/>
      </w:r>
      <w:r>
        <w:rPr>
          <w:rStyle w:val="14"/>
          <w:b/>
        </w:rPr>
        <w:t>4.</w:t>
      </w:r>
      <w:r>
        <w:rPr>
          <w:rFonts w:ascii="Calibri" w:hAnsi="Calibri"/>
          <w:sz w:val="22"/>
          <w:szCs w:val="22"/>
        </w:rPr>
        <w:tab/>
      </w:r>
      <w:r>
        <w:rPr>
          <w:rStyle w:val="14"/>
          <w:b/>
        </w:rPr>
        <w:t>RESULTS</w:t>
      </w:r>
      <w:r>
        <w:tab/>
      </w:r>
      <w:r>
        <w:rPr>
          <w:rFonts w:eastAsia="宋体"/>
          <w:lang w:eastAsia="zh-CN"/>
        </w:rPr>
        <w:t>6</w:t>
      </w:r>
      <w:r>
        <w:rPr>
          <w:rFonts w:eastAsia="宋体"/>
          <w:lang w:eastAsia="zh-CN"/>
        </w:rPr>
        <w:fldChar w:fldCharType="end"/>
      </w:r>
      <w:r>
        <w:rPr>
          <w:rStyle w:val="14"/>
          <w:rFonts w:eastAsia="宋体"/>
          <w:lang w:eastAsia="zh-CN"/>
        </w:rPr>
        <w:t>1</w:t>
      </w:r>
    </w:p>
    <w:p>
      <w:pPr>
        <w:pStyle w:val="5"/>
        <w:tabs>
          <w:tab w:val="left" w:pos="480"/>
          <w:tab w:val="right" w:leader="dot" w:pos="8296"/>
        </w:tabs>
        <w:rPr>
          <w:rFonts w:ascii="Calibri" w:hAnsi="Calibri" w:eastAsia="宋体"/>
          <w:sz w:val="22"/>
          <w:szCs w:val="22"/>
          <w:lang w:eastAsia="zh-CN"/>
        </w:rPr>
      </w:pPr>
      <w:r>
        <w:fldChar w:fldCharType="begin"/>
      </w:r>
      <w:r>
        <w:instrText xml:space="preserve"> HYPERLINK \l "_Toc45110190" </w:instrText>
      </w:r>
      <w:r>
        <w:fldChar w:fldCharType="separate"/>
      </w:r>
      <w:r>
        <w:rPr>
          <w:rStyle w:val="14"/>
          <w:b/>
        </w:rPr>
        <w:t>5.</w:t>
      </w:r>
      <w:r>
        <w:rPr>
          <w:rFonts w:ascii="Calibri" w:hAnsi="Calibri"/>
          <w:sz w:val="22"/>
          <w:szCs w:val="22"/>
        </w:rPr>
        <w:tab/>
      </w:r>
      <w:r>
        <w:rPr>
          <w:rStyle w:val="14"/>
          <w:b/>
        </w:rPr>
        <w:t>DISCUSSION OF RESULTS</w:t>
      </w:r>
      <w:r>
        <w:tab/>
      </w:r>
      <w:r>
        <w:rPr>
          <w:rFonts w:eastAsia="宋体"/>
          <w:lang w:eastAsia="zh-CN"/>
        </w:rPr>
        <w:t>6</w:t>
      </w:r>
      <w:r>
        <w:rPr>
          <w:rFonts w:eastAsia="宋体"/>
          <w:lang w:eastAsia="zh-CN"/>
        </w:rPr>
        <w:fldChar w:fldCharType="end"/>
      </w:r>
      <w:r>
        <w:rPr>
          <w:rStyle w:val="14"/>
          <w:rFonts w:hint="eastAsia" w:eastAsia="宋体"/>
          <w:lang w:val="en-US" w:eastAsia="zh-CN"/>
        </w:rPr>
        <w:t>5</w:t>
      </w:r>
    </w:p>
    <w:p>
      <w:pPr>
        <w:pStyle w:val="5"/>
        <w:tabs>
          <w:tab w:val="left" w:pos="480"/>
          <w:tab w:val="right" w:leader="dot" w:pos="8296"/>
        </w:tabs>
        <w:rPr>
          <w:rFonts w:ascii="Calibri" w:hAnsi="Calibri" w:eastAsia="宋体"/>
          <w:sz w:val="22"/>
          <w:szCs w:val="22"/>
          <w:lang w:eastAsia="zh-CN"/>
        </w:rPr>
      </w:pPr>
      <w:r>
        <w:fldChar w:fldCharType="begin"/>
      </w:r>
      <w:r>
        <w:instrText xml:space="preserve"> HYPERLINK \l "_Toc45110191" </w:instrText>
      </w:r>
      <w:r>
        <w:fldChar w:fldCharType="separate"/>
      </w:r>
      <w:r>
        <w:rPr>
          <w:rStyle w:val="14"/>
          <w:b/>
        </w:rPr>
        <w:t>6.</w:t>
      </w:r>
      <w:r>
        <w:rPr>
          <w:rFonts w:ascii="Calibri" w:hAnsi="Calibri"/>
          <w:sz w:val="22"/>
          <w:szCs w:val="22"/>
        </w:rPr>
        <w:tab/>
      </w:r>
      <w:r>
        <w:rPr>
          <w:rStyle w:val="14"/>
          <w:b/>
        </w:rPr>
        <w:t>CONCLUSION AND RECOMMENDATIONS</w:t>
      </w:r>
      <w:r>
        <w:tab/>
      </w:r>
      <w:r>
        <w:rPr>
          <w:rFonts w:eastAsia="宋体"/>
          <w:lang w:eastAsia="zh-CN"/>
        </w:rPr>
        <w:t>6</w:t>
      </w:r>
      <w:r>
        <w:rPr>
          <w:rFonts w:eastAsia="宋体"/>
          <w:lang w:eastAsia="zh-CN"/>
        </w:rPr>
        <w:fldChar w:fldCharType="end"/>
      </w:r>
      <w:r>
        <w:rPr>
          <w:rStyle w:val="14"/>
          <w:rFonts w:eastAsia="宋体"/>
          <w:lang w:eastAsia="zh-CN"/>
        </w:rPr>
        <w:t>6</w:t>
      </w:r>
    </w:p>
    <w:p>
      <w:pPr>
        <w:pStyle w:val="5"/>
        <w:tabs>
          <w:tab w:val="left" w:pos="480"/>
          <w:tab w:val="right" w:leader="dot" w:pos="8296"/>
        </w:tabs>
        <w:rPr>
          <w:rFonts w:ascii="Calibri" w:hAnsi="Calibri" w:eastAsia="宋体"/>
          <w:sz w:val="22"/>
          <w:szCs w:val="22"/>
          <w:lang w:eastAsia="zh-CN"/>
        </w:rPr>
      </w:pPr>
      <w:r>
        <w:fldChar w:fldCharType="begin"/>
      </w:r>
      <w:r>
        <w:instrText xml:space="preserve"> HYPERLINK \l "_Toc45110192" </w:instrText>
      </w:r>
      <w:r>
        <w:fldChar w:fldCharType="separate"/>
      </w:r>
      <w:r>
        <w:rPr>
          <w:rStyle w:val="14"/>
          <w:b/>
        </w:rPr>
        <w:t>7.</w:t>
      </w:r>
      <w:r>
        <w:rPr>
          <w:rFonts w:ascii="Calibri" w:hAnsi="Calibri"/>
          <w:sz w:val="22"/>
          <w:szCs w:val="22"/>
        </w:rPr>
        <w:tab/>
      </w:r>
      <w:r>
        <w:rPr>
          <w:rStyle w:val="14"/>
          <w:b/>
        </w:rPr>
        <w:t>REFERENCES</w:t>
      </w:r>
      <w:r>
        <w:tab/>
      </w:r>
      <w:r>
        <w:rPr>
          <w:rFonts w:eastAsia="宋体"/>
          <w:lang w:eastAsia="zh-CN"/>
        </w:rPr>
        <w:t>6</w:t>
      </w:r>
      <w:r>
        <w:rPr>
          <w:rFonts w:eastAsia="宋体"/>
          <w:lang w:eastAsia="zh-CN"/>
        </w:rPr>
        <w:fldChar w:fldCharType="end"/>
      </w:r>
      <w:r>
        <w:rPr>
          <w:rStyle w:val="14"/>
          <w:rFonts w:hint="eastAsia" w:eastAsia="宋体"/>
          <w:lang w:val="en-US" w:eastAsia="zh-CN"/>
        </w:rPr>
        <w:t>8</w:t>
      </w:r>
    </w:p>
    <w:p>
      <w:pPr>
        <w:pStyle w:val="5"/>
        <w:tabs>
          <w:tab w:val="left" w:pos="480"/>
          <w:tab w:val="right" w:leader="dot" w:pos="8296"/>
        </w:tabs>
        <w:rPr>
          <w:rFonts w:hint="default" w:ascii="Calibri" w:hAnsi="Calibri" w:eastAsia="宋体"/>
          <w:sz w:val="22"/>
          <w:szCs w:val="22"/>
          <w:lang w:val="en-US" w:eastAsia="zh-CN"/>
        </w:rPr>
      </w:pPr>
      <w:r>
        <w:fldChar w:fldCharType="begin"/>
      </w:r>
      <w:r>
        <w:instrText xml:space="preserve"> HYPERLINK \l "_Toc45110193" </w:instrText>
      </w:r>
      <w:r>
        <w:fldChar w:fldCharType="separate"/>
      </w:r>
      <w:r>
        <w:rPr>
          <w:rStyle w:val="14"/>
          <w:b/>
        </w:rPr>
        <w:t>8.</w:t>
      </w:r>
      <w:r>
        <w:rPr>
          <w:rFonts w:ascii="Calibri" w:hAnsi="Calibri"/>
          <w:sz w:val="22"/>
          <w:szCs w:val="22"/>
        </w:rPr>
        <w:tab/>
      </w:r>
      <w:r>
        <w:rPr>
          <w:rStyle w:val="14"/>
          <w:b/>
        </w:rPr>
        <w:t>APPENDICES</w:t>
      </w:r>
      <w:r>
        <w:tab/>
      </w:r>
      <w:r>
        <w:rPr>
          <w:rFonts w:hint="eastAsia" w:eastAsia="宋体"/>
          <w:lang w:val="en-US" w:eastAsia="zh-CN"/>
        </w:rPr>
        <w:t>8</w:t>
      </w:r>
      <w:r>
        <w:rPr>
          <w:rFonts w:eastAsia="宋体"/>
          <w:lang w:eastAsia="zh-CN"/>
        </w:rPr>
        <w:fldChar w:fldCharType="end"/>
      </w:r>
      <w:r>
        <w:rPr>
          <w:rFonts w:hint="eastAsia" w:eastAsia="宋体"/>
          <w:lang w:val="en-US" w:eastAsia="zh-CN"/>
        </w:rPr>
        <w:t>1</w:t>
      </w:r>
    </w:p>
    <w:p>
      <w:pPr>
        <w:pStyle w:val="6"/>
        <w:tabs>
          <w:tab w:val="left" w:pos="880"/>
          <w:tab w:val="right" w:leader="dot" w:pos="8296"/>
        </w:tabs>
        <w:rPr>
          <w:rFonts w:hint="default" w:ascii="Calibri" w:hAnsi="Calibri" w:eastAsia="宋体"/>
          <w:sz w:val="22"/>
          <w:szCs w:val="22"/>
          <w:lang w:val="en-US" w:eastAsia="zh-CN"/>
        </w:rPr>
      </w:pPr>
      <w:r>
        <w:fldChar w:fldCharType="begin"/>
      </w:r>
      <w:r>
        <w:instrText xml:space="preserve"> HYPERLINK \l "_Toc45110194" </w:instrText>
      </w:r>
      <w:r>
        <w:fldChar w:fldCharType="separate"/>
      </w:r>
      <w:r>
        <w:rPr>
          <w:rStyle w:val="14"/>
          <w:b/>
        </w:rPr>
        <w:t>8.1.</w:t>
      </w:r>
      <w:r>
        <w:rPr>
          <w:rFonts w:ascii="Calibri" w:hAnsi="Calibri"/>
          <w:sz w:val="22"/>
          <w:szCs w:val="22"/>
        </w:rPr>
        <w:tab/>
      </w:r>
      <w:r>
        <w:rPr>
          <w:rStyle w:val="14"/>
          <w:b/>
        </w:rPr>
        <w:t>Appendices 1 Ethics Form</w:t>
      </w:r>
      <w:r>
        <w:tab/>
      </w:r>
      <w:r>
        <w:rPr>
          <w:rFonts w:hint="eastAsia" w:eastAsia="宋体"/>
          <w:lang w:val="en-US" w:eastAsia="zh-CN"/>
        </w:rPr>
        <w:t>8</w:t>
      </w:r>
      <w:r>
        <w:rPr>
          <w:rFonts w:eastAsia="宋体"/>
          <w:lang w:eastAsia="zh-CN"/>
        </w:rPr>
        <w:fldChar w:fldCharType="end"/>
      </w:r>
      <w:r>
        <w:rPr>
          <w:rFonts w:hint="eastAsia" w:eastAsia="宋体"/>
          <w:lang w:val="en-US" w:eastAsia="zh-CN"/>
        </w:rPr>
        <w:t>1</w:t>
      </w:r>
    </w:p>
    <w:p>
      <w:pPr>
        <w:spacing w:line="480" w:lineRule="auto"/>
        <w:rPr>
          <w:rFonts w:eastAsia="宋体"/>
          <w:b/>
          <w:lang w:eastAsia="zh-CN"/>
        </w:rPr>
      </w:pPr>
      <w:r>
        <w:rPr>
          <w:b/>
        </w:rPr>
        <w:fldChar w:fldCharType="end"/>
      </w:r>
      <w:r>
        <w:rPr>
          <w:rFonts w:eastAsia="宋体"/>
          <w:b/>
          <w:lang w:eastAsia="zh-CN"/>
        </w:rPr>
        <w:t xml:space="preserve">  8.2.  Appendices 2 Interview Questions</w:t>
      </w:r>
      <w:r>
        <w:rPr>
          <w:rFonts w:eastAsia="宋体"/>
          <w:bCs/>
          <w:lang w:eastAsia="zh-CN"/>
        </w:rPr>
        <w:t>..............................................................9</w:t>
      </w:r>
      <w:r>
        <w:rPr>
          <w:rFonts w:hint="eastAsia" w:eastAsia="宋体"/>
          <w:bCs/>
          <w:lang w:val="en-US" w:eastAsia="zh-CN"/>
        </w:rPr>
        <w:t>7</w:t>
      </w:r>
    </w:p>
    <w:p>
      <w:pPr>
        <w:spacing w:line="480" w:lineRule="auto"/>
        <w:rPr>
          <w:b/>
        </w:rPr>
      </w:pPr>
      <w:r>
        <w:rPr>
          <w:b/>
        </w:rPr>
        <w:br w:type="page"/>
      </w:r>
    </w:p>
    <w:p>
      <w:pPr>
        <w:spacing w:line="480" w:lineRule="auto"/>
        <w:outlineLvl w:val="0"/>
        <w:rPr>
          <w:b/>
        </w:rPr>
      </w:pPr>
      <w:r>
        <w:rPr>
          <w:b/>
        </w:rPr>
        <w:t xml:space="preserve">ACKNOWLEDGEMENTS </w:t>
      </w:r>
    </w:p>
    <w:p>
      <w:pPr>
        <w:spacing w:line="480" w:lineRule="auto"/>
        <w:jc w:val="both"/>
        <w:rPr>
          <w:bCs/>
        </w:rPr>
      </w:pPr>
      <w:r>
        <w:rPr>
          <w:bCs/>
        </w:rPr>
        <w:t>I would like to thank my supervisor because my dissertation has been greatly enhanced under her guidance. She not only helped me to check the language issues of my dissertation, but also gave me valuable advice on the content. With her help I was able to complete my dissertation quickly and with high quality. Overall, she has been the most supportive person in my academic field. Secondly, I would like to thank all the people involved in my research interview. Without their cooperation, I would not have been able to complete this huge interview. Also, all the participants were highly cooperative during the interview process and answered every question in detail. Finally, I would like to thank my parents and my boyfriend. They have always been there for me and assisted me with all my tasks throughout my Masters.</w:t>
      </w:r>
    </w:p>
    <w:p>
      <w:pPr>
        <w:spacing w:line="480" w:lineRule="auto"/>
        <w:rPr>
          <w:b/>
        </w:rPr>
      </w:pPr>
    </w:p>
    <w:p>
      <w:pPr>
        <w:spacing w:line="480" w:lineRule="auto"/>
        <w:rPr>
          <w:b/>
        </w:rPr>
      </w:pPr>
    </w:p>
    <w:p>
      <w:pPr>
        <w:spacing w:line="480" w:lineRule="auto"/>
        <w:rPr>
          <w:b/>
        </w:rPr>
      </w:pPr>
    </w:p>
    <w:p>
      <w:pPr>
        <w:spacing w:line="480" w:lineRule="auto"/>
        <w:rPr>
          <w:b/>
        </w:rPr>
      </w:pPr>
    </w:p>
    <w:p>
      <w:pPr>
        <w:spacing w:line="480" w:lineRule="auto"/>
        <w:rPr>
          <w:b/>
        </w:rPr>
      </w:pPr>
    </w:p>
    <w:p>
      <w:pPr>
        <w:spacing w:line="480" w:lineRule="auto"/>
        <w:rPr>
          <w:b/>
        </w:rPr>
      </w:pPr>
    </w:p>
    <w:p>
      <w:pPr>
        <w:spacing w:line="480" w:lineRule="auto"/>
        <w:rPr>
          <w:b/>
        </w:rPr>
      </w:pPr>
    </w:p>
    <w:p>
      <w:pPr>
        <w:spacing w:line="480" w:lineRule="auto"/>
        <w:rPr>
          <w:b/>
        </w:rPr>
      </w:pPr>
    </w:p>
    <w:p>
      <w:pPr>
        <w:spacing w:line="480" w:lineRule="auto"/>
        <w:rPr>
          <w:b/>
        </w:rPr>
      </w:pPr>
    </w:p>
    <w:p>
      <w:pPr>
        <w:spacing w:line="480" w:lineRule="auto"/>
        <w:rPr>
          <w:b/>
        </w:rPr>
      </w:pPr>
    </w:p>
    <w:p>
      <w:pPr>
        <w:spacing w:line="480" w:lineRule="auto"/>
        <w:rPr>
          <w:b/>
        </w:rPr>
      </w:pPr>
    </w:p>
    <w:p>
      <w:pPr>
        <w:spacing w:line="480" w:lineRule="auto"/>
        <w:rPr>
          <w:rStyle w:val="14"/>
          <w:b/>
          <w:color w:val="000000" w:themeColor="text1"/>
          <w:sz w:val="28"/>
          <w:szCs w:val="28"/>
          <w:u w:val="none"/>
          <w14:textFill>
            <w14:solidFill>
              <w14:schemeClr w14:val="tx1"/>
            </w14:solidFill>
          </w14:textFill>
        </w:rPr>
      </w:pPr>
      <w:r>
        <w:rPr>
          <w:rStyle w:val="14"/>
          <w:b/>
          <w:color w:val="000000" w:themeColor="text1"/>
          <w:sz w:val="28"/>
          <w:szCs w:val="28"/>
          <w:u w:val="none"/>
          <w14:textFill>
            <w14:solidFill>
              <w14:schemeClr w14:val="tx1"/>
            </w14:solidFill>
          </w14:textFill>
        </w:rPr>
        <w:t>ACRONYMS</w:t>
      </w:r>
    </w:p>
    <w:p>
      <w:pPr>
        <w:spacing w:line="480" w:lineRule="auto"/>
        <w:rPr>
          <w:rFonts w:eastAsia="宋体"/>
          <w:bCs/>
          <w:lang w:eastAsia="zh-CN"/>
        </w:rPr>
      </w:pPr>
      <w:r>
        <w:rPr>
          <w:rFonts w:eastAsia="宋体"/>
          <w:bCs/>
          <w:lang w:eastAsia="zh-CN"/>
        </w:rPr>
        <w:t>SAT</w:t>
      </w:r>
    </w:p>
    <w:p>
      <w:pPr>
        <w:spacing w:line="480" w:lineRule="auto"/>
        <w:rPr>
          <w:rFonts w:eastAsia="宋体"/>
          <w:bCs/>
          <w:lang w:eastAsia="zh-CN"/>
        </w:rPr>
      </w:pPr>
      <w:r>
        <w:rPr>
          <w:rFonts w:eastAsia="宋体"/>
          <w:bCs/>
          <w:lang w:eastAsia="zh-CN"/>
        </w:rPr>
        <w:t>Scholastic Assessment Test</w:t>
      </w:r>
    </w:p>
    <w:p>
      <w:pPr>
        <w:spacing w:line="480" w:lineRule="auto"/>
        <w:rPr>
          <w:rFonts w:eastAsia="宋体"/>
          <w:iCs/>
          <w:lang w:eastAsia="zh-CN"/>
        </w:rPr>
      </w:pPr>
      <w:r>
        <w:rPr>
          <w:rFonts w:eastAsia="宋体"/>
          <w:iCs/>
          <w:lang w:eastAsia="zh-CN"/>
        </w:rPr>
        <w:t>RMB</w:t>
      </w:r>
    </w:p>
    <w:p>
      <w:pPr>
        <w:spacing w:line="480" w:lineRule="auto"/>
        <w:rPr>
          <w:rFonts w:eastAsia="宋体"/>
          <w:iCs/>
          <w:lang w:eastAsia="zh-CN"/>
        </w:rPr>
      </w:pPr>
      <w:r>
        <w:rPr>
          <w:rFonts w:eastAsia="宋体"/>
          <w:iCs/>
          <w:lang w:eastAsia="zh-CN"/>
        </w:rPr>
        <w:t>Ren Min Bi</w:t>
      </w:r>
    </w:p>
    <w:p>
      <w:pPr>
        <w:spacing w:line="480" w:lineRule="auto"/>
        <w:rPr>
          <w:rFonts w:eastAsia="宋体"/>
          <w:iCs/>
          <w:lang w:eastAsia="zh-CN"/>
        </w:rPr>
      </w:pPr>
      <w:r>
        <w:rPr>
          <w:rFonts w:eastAsia="宋体"/>
          <w:iCs/>
          <w:lang w:eastAsia="zh-CN"/>
        </w:rPr>
        <w:t>CNKI</w:t>
      </w:r>
    </w:p>
    <w:p>
      <w:pPr>
        <w:spacing w:line="480" w:lineRule="auto"/>
        <w:rPr>
          <w:rFonts w:eastAsia="宋体"/>
          <w:iCs/>
          <w:lang w:eastAsia="zh-CN"/>
        </w:rPr>
      </w:pPr>
      <w:r>
        <w:rPr>
          <w:rFonts w:eastAsia="宋体"/>
          <w:iCs/>
          <w:lang w:eastAsia="zh-CN"/>
        </w:rPr>
        <w:t>China National Knowledge Infrastructure</w:t>
      </w:r>
    </w:p>
    <w:p>
      <w:pPr>
        <w:spacing w:line="480" w:lineRule="auto"/>
        <w:rPr>
          <w:bCs/>
        </w:rPr>
      </w:pPr>
      <w:r>
        <w:rPr>
          <w:bCs/>
        </w:rPr>
        <w:t>EU</w:t>
      </w:r>
    </w:p>
    <w:p>
      <w:pPr>
        <w:spacing w:line="480" w:lineRule="auto"/>
        <w:rPr>
          <w:rFonts w:eastAsia="宋体"/>
          <w:bCs/>
          <w:lang w:eastAsia="zh-CN"/>
        </w:rPr>
      </w:pPr>
      <w:r>
        <w:rPr>
          <w:rFonts w:eastAsia="宋体"/>
          <w:bCs/>
          <w:lang w:eastAsia="zh-CN"/>
        </w:rPr>
        <w:t>European Union</w:t>
      </w:r>
    </w:p>
    <w:p>
      <w:pPr>
        <w:spacing w:line="480" w:lineRule="auto"/>
        <w:rPr>
          <w:rFonts w:eastAsia="宋体"/>
          <w:bCs/>
          <w:lang w:eastAsia="zh-CN"/>
        </w:rPr>
      </w:pPr>
      <w:r>
        <w:rPr>
          <w:rFonts w:eastAsia="宋体"/>
          <w:bCs/>
          <w:lang w:eastAsia="zh-CN"/>
        </w:rPr>
        <w:t xml:space="preserve">OECD </w:t>
      </w:r>
    </w:p>
    <w:p>
      <w:pPr>
        <w:spacing w:line="480" w:lineRule="auto"/>
        <w:rPr>
          <w:rFonts w:eastAsia="宋体"/>
          <w:bCs/>
          <w:lang w:eastAsia="zh-CN"/>
        </w:rPr>
      </w:pPr>
      <w:r>
        <w:rPr>
          <w:rFonts w:eastAsia="宋体"/>
        </w:rPr>
        <w:t>Organization for Economic Co-operation and Development</w:t>
      </w:r>
    </w:p>
    <w:p>
      <w:pPr>
        <w:spacing w:line="480" w:lineRule="auto"/>
        <w:rPr>
          <w:rFonts w:eastAsia="宋体"/>
          <w:lang w:eastAsia="zh-CN"/>
        </w:rPr>
      </w:pPr>
      <w:r>
        <w:rPr>
          <w:rFonts w:eastAsia="宋体"/>
          <w:lang w:eastAsia="zh-CN"/>
        </w:rPr>
        <w:t>RWJF</w:t>
      </w:r>
    </w:p>
    <w:p>
      <w:pPr>
        <w:spacing w:line="480" w:lineRule="auto"/>
        <w:rPr>
          <w:rFonts w:eastAsia="宋体"/>
        </w:rPr>
      </w:pPr>
      <w:r>
        <w:rPr>
          <w:rFonts w:eastAsia="宋体"/>
        </w:rPr>
        <w:t>Robert Wood Johnson Foundation</w:t>
      </w:r>
    </w:p>
    <w:p>
      <w:pPr>
        <w:spacing w:line="480" w:lineRule="auto"/>
        <w:rPr>
          <w:rFonts w:eastAsia="宋体"/>
          <w:lang w:eastAsia="zh-CN"/>
        </w:rPr>
      </w:pPr>
      <w:r>
        <w:rPr>
          <w:rFonts w:eastAsia="宋体"/>
          <w:lang w:eastAsia="zh-CN"/>
        </w:rPr>
        <w:t>MEXT</w:t>
      </w:r>
    </w:p>
    <w:p>
      <w:pPr>
        <w:spacing w:line="480" w:lineRule="auto"/>
        <w:rPr>
          <w:rFonts w:eastAsia="宋体"/>
          <w:lang w:eastAsia="zh-CN"/>
        </w:rPr>
      </w:pPr>
      <w:r>
        <w:rPr>
          <w:rFonts w:eastAsia="宋体"/>
          <w:lang w:eastAsia="zh-CN"/>
        </w:rPr>
        <w:t>Ministry Education Culture Sports Science and Technology</w:t>
      </w:r>
    </w:p>
    <w:p>
      <w:pPr>
        <w:spacing w:line="480" w:lineRule="auto"/>
        <w:rPr>
          <w:rFonts w:eastAsia="宋体"/>
          <w:bCs/>
          <w:lang w:eastAsia="zh-CN"/>
        </w:rPr>
      </w:pPr>
    </w:p>
    <w:p>
      <w:pPr>
        <w:spacing w:line="480" w:lineRule="auto"/>
        <w:rPr>
          <w:b/>
        </w:rPr>
      </w:pPr>
    </w:p>
    <w:p>
      <w:pPr>
        <w:spacing w:line="480" w:lineRule="auto"/>
        <w:rPr>
          <w:b/>
        </w:rPr>
      </w:pPr>
    </w:p>
    <w:p>
      <w:pPr>
        <w:spacing w:line="480" w:lineRule="auto"/>
        <w:rPr>
          <w:b/>
        </w:rPr>
      </w:pPr>
    </w:p>
    <w:p>
      <w:pPr>
        <w:spacing w:line="480" w:lineRule="auto"/>
        <w:rPr>
          <w:b/>
        </w:rPr>
      </w:pPr>
    </w:p>
    <w:p>
      <w:pPr>
        <w:spacing w:line="480" w:lineRule="auto"/>
        <w:rPr>
          <w:b/>
        </w:rPr>
      </w:pPr>
    </w:p>
    <w:p>
      <w:pPr>
        <w:spacing w:line="480" w:lineRule="auto"/>
        <w:rPr>
          <w:b/>
        </w:rPr>
      </w:pPr>
    </w:p>
    <w:p>
      <w:pPr>
        <w:spacing w:line="480" w:lineRule="auto"/>
        <w:rPr>
          <w:b/>
        </w:rPr>
      </w:pPr>
      <w:r>
        <w:rPr>
          <w:b/>
        </w:rPr>
        <w:t>ABSTRACT</w:t>
      </w:r>
      <w:bookmarkEnd w:id="0"/>
    </w:p>
    <w:p>
      <w:pPr>
        <w:spacing w:line="480" w:lineRule="auto"/>
        <w:jc w:val="both"/>
        <w:outlineLvl w:val="0"/>
        <w:rPr>
          <w:bCs/>
        </w:rPr>
      </w:pPr>
      <w:r>
        <w:rPr>
          <w:bCs/>
        </w:rPr>
        <w:t>The Chinese government issued a double reduction policy on 24 July 2021 in the area of education. The promulgation of this policy brought about a major shock to the entire tuition industry in mainland China. The reason is that this policy has had a negative impact on the entire tuition market in mainland China.</w:t>
      </w:r>
      <w:r>
        <w:rPr>
          <w:rFonts w:eastAsia="宋体"/>
          <w:bCs/>
          <w:lang w:eastAsia="zh-CN"/>
        </w:rPr>
        <w:t xml:space="preserve"> As a result, m</w:t>
      </w:r>
      <w:r>
        <w:rPr>
          <w:bCs/>
        </w:rPr>
        <w:t>any private tuition providers have ceased operations and laid off their staff; others are at a loss as to how to sustain and prosper in the future. The aim of the study is to help these tuition providers to tide over the current situation and to make solid preparations for future prosperity. Also, can be a refreshing and vital force in advancing the education domain in China.</w:t>
      </w:r>
    </w:p>
    <w:p>
      <w:pPr>
        <w:spacing w:line="480" w:lineRule="auto"/>
        <w:outlineLvl w:val="0"/>
        <w:rPr>
          <w:b/>
        </w:rPr>
      </w:pPr>
    </w:p>
    <w:p>
      <w:pPr>
        <w:spacing w:line="480" w:lineRule="auto"/>
        <w:outlineLvl w:val="0"/>
        <w:rPr>
          <w:b/>
        </w:rPr>
      </w:pPr>
    </w:p>
    <w:p>
      <w:pPr>
        <w:spacing w:line="480" w:lineRule="auto"/>
        <w:outlineLvl w:val="0"/>
        <w:rPr>
          <w:b/>
        </w:rPr>
      </w:pPr>
    </w:p>
    <w:p>
      <w:pPr>
        <w:spacing w:line="480" w:lineRule="auto"/>
        <w:outlineLvl w:val="0"/>
        <w:rPr>
          <w:b/>
        </w:rPr>
      </w:pPr>
    </w:p>
    <w:p>
      <w:pPr>
        <w:spacing w:line="480" w:lineRule="auto"/>
        <w:outlineLvl w:val="0"/>
        <w:rPr>
          <w:b/>
        </w:rPr>
      </w:pPr>
    </w:p>
    <w:p>
      <w:pPr>
        <w:spacing w:line="480" w:lineRule="auto"/>
        <w:outlineLvl w:val="0"/>
        <w:rPr>
          <w:b/>
        </w:rPr>
      </w:pPr>
    </w:p>
    <w:p>
      <w:pPr>
        <w:spacing w:line="480" w:lineRule="auto"/>
        <w:outlineLvl w:val="0"/>
        <w:rPr>
          <w:b/>
        </w:rPr>
      </w:pPr>
    </w:p>
    <w:p>
      <w:pPr>
        <w:spacing w:line="480" w:lineRule="auto"/>
        <w:outlineLvl w:val="0"/>
        <w:rPr>
          <w:b/>
        </w:rPr>
      </w:pPr>
    </w:p>
    <w:p>
      <w:pPr>
        <w:spacing w:line="480" w:lineRule="auto"/>
        <w:outlineLvl w:val="0"/>
        <w:rPr>
          <w:b/>
        </w:rPr>
      </w:pPr>
    </w:p>
    <w:p>
      <w:pPr>
        <w:spacing w:line="480" w:lineRule="auto"/>
        <w:outlineLvl w:val="0"/>
        <w:rPr>
          <w:b/>
        </w:rPr>
      </w:pPr>
    </w:p>
    <w:p>
      <w:pPr>
        <w:spacing w:line="480" w:lineRule="auto"/>
        <w:outlineLvl w:val="0"/>
        <w:rPr>
          <w:rFonts w:eastAsia="宋体"/>
          <w:b/>
          <w:lang w:eastAsia="zh-CN"/>
        </w:rPr>
      </w:pPr>
    </w:p>
    <w:p>
      <w:pPr>
        <w:spacing w:line="480" w:lineRule="auto"/>
        <w:outlineLvl w:val="0"/>
        <w:rPr>
          <w:rFonts w:eastAsia="宋体"/>
          <w:b/>
          <w:lang w:eastAsia="zh-CN"/>
        </w:rPr>
      </w:pPr>
    </w:p>
    <w:p>
      <w:pPr>
        <w:numPr>
          <w:ilvl w:val="0"/>
          <w:numId w:val="1"/>
        </w:numPr>
        <w:spacing w:line="480" w:lineRule="auto"/>
        <w:outlineLvl w:val="0"/>
        <w:rPr>
          <w:b/>
        </w:rPr>
      </w:pPr>
      <w:r>
        <w:rPr>
          <w:b/>
        </w:rPr>
        <w:t xml:space="preserve">INTRODUCTION </w:t>
      </w:r>
      <w:bookmarkEnd w:id="1"/>
    </w:p>
    <w:p>
      <w:pPr>
        <w:spacing w:line="480" w:lineRule="auto"/>
        <w:jc w:val="both"/>
        <w:rPr>
          <w:rFonts w:eastAsia="宋体"/>
          <w:iCs/>
          <w:lang w:eastAsia="zh-CN"/>
        </w:rPr>
      </w:pPr>
      <w:r>
        <w:rPr>
          <w:iCs/>
        </w:rPr>
        <w:t>Education has a long history of development in China, stretching back to the earliest days of the Five Emperors</w:t>
      </w:r>
      <w:r>
        <w:rPr>
          <w:rFonts w:eastAsia="宋体"/>
          <w:iCs/>
          <w:lang w:eastAsia="zh-CN"/>
        </w:rPr>
        <w:t xml:space="preserve"> (Liu, 2012, p.140; Guo, 1997, p.8). Wu (2015, p. 247) argues that the succession of human societies is carried out by the continuous transmission of historical memories from education to future generations. Thus, the influence of the imperial examination system, which began in the Sui dynasty and flourished in the Tang and Song dynasties, on Chinese education continues to this present day (Yang, 2017, p.26).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Ko (2017, p.273) credits China with creating a system of imperial examinations that influenced the world and had a direct effect on neighbouring countries including Vietnam and Korea. Other countries also had imperial examinations, but this study selects only two countries close to China as evidence.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After-school tuition activities are also common in Vietnam and Korea (Peng, 2008, p.61-62). Such as, in South Korea, the Ministry of Education issued a plan in 1997 to alleviate the fever of extra-curricular tuition and to reduce families' expenditure on shadow education, in an attempt to alleviate the feverish tuition market (Zhou and Zhou, 2017, p.69). The imperial examination system can briefly be summarized as a mechanism for maintaining social justice and order through the use of examinations (Miao, 2014, p.44). The fact that the use of the imperial examination has continued to this day, despite constant innovation with the changing times, shows that the examination culture has had a significant role in the development of society (Yang, 2017, p.30).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In addition, it has become a major and important means of selecting academically outstanding students in modern China (Li and Liu, 2019, p. 105). Given China's long history of selecting talent through examinations, and the growing number of students and parents who realize that simply learning in the classroom is not enough to pass selection examinations, tuition institutions are emerging (Pan and Wang, 2020, p.13-14). The imperial examination system has continued to the present day and has become the national entrance examination for higher education in China (The Gao Kao) since the 20th century (Wang and Duan, 2010, p.112).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The Gao Kao examination has always been a national examination tool for scientific selection in China, so its existence is highly valued by thousands of parents and students (Hu, 2021, p.18). According to the statistics of the number of people taking higher education examinations since 2011, there are about 9 million people taking the entrance examinations in China every year, and in recent years, due to the expansion of university admissions, the admission rate has been increasing year by year. In 2015, for example, 6.98 million people were admitted to the university entrance examination, which means that 74% of high school students will enroll in university (Li, 2021, p.99). Although China's college entrance examination is an open examination, merit-based and fair competition talent selection system (Zhu, 2018, p.27), it uses test scores as the only marker for selecting talented students (Du and Liu, 2016. p.15).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Besides, with a shortage of quality higher education resources, students and parents are more inclined to do their best to get better grades so that they can get into a top university (Xue and Fang, 2020, p.173). However, in the current Chinese education system, the existing educational conditions are not sufficient to meet the needs of students who want to improve their test scores, and therefore the demand for extra-curricular tuition has increased (Yang and Zhang, 2021, p.34).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The market size of extra-curricular tutoring in mainland China is more than 800 billion yuan in 2014, with 137 million students attending tutoring sessions, accounting for 36.7% of the total number of students in school (Li, Deng, and Deng, 2020, p.134). In addition, the 2017 China Education Finance Household Survey Report shows that the cost of out-of-school training at primary, junior and senior secondary levels accounted for 86.9%, 81.3%, and 87.3% of household out-of-school expenditure respectively (Yang and Zhang, 2021, p.33).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It is apparent that spending on extracurricular tuition accounts for a large proportion of total household expenditure. This possibly indicates that the market for extra-curricular tuition is substantial in China and the importance that parents, and students place on extra-curricular tuition. On the surface, China has largely achieved its goal of universal education (all children are able to go to school and learn) (Long and Yi, 2017, p.14), and extra-curricular tuition market are flourishing.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However, on 24 July 2021, the Chinese government introduced a ‘double reduction policy’ (Jia and Wang, 2021, p.17). The policy is designed to reduce the amount of extra work assigned by extra-curricular tuition institutions </w:t>
      </w:r>
      <w:r>
        <w:rPr>
          <w:rFonts w:eastAsia="宋体"/>
          <w:color w:val="000000"/>
          <w:shd w:val="clear" w:color="auto" w:fill="FFFFFF"/>
        </w:rPr>
        <w:t>(Yang and Zhang, 2021, p.33)</w:t>
      </w:r>
      <w:r>
        <w:rPr>
          <w:rFonts w:eastAsia="宋体"/>
          <w:color w:val="000000"/>
          <w:shd w:val="clear" w:color="auto" w:fill="FFFFFF"/>
          <w:lang w:eastAsia="zh-CN"/>
        </w:rPr>
        <w:t xml:space="preserve"> </w:t>
      </w:r>
      <w:r>
        <w:rPr>
          <w:rFonts w:eastAsia="宋体"/>
          <w:iCs/>
          <w:lang w:eastAsia="zh-CN"/>
        </w:rPr>
        <w:t xml:space="preserve">and off-campus training on students in primary and secondary schools as well as senior secondary schools. Building a beneficial ecology in education, can significantly alleviate parents' anxiety and promote students' holistic development and healthy growth (Yang and Zhang, 2021, p.33).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Some parents want to increase their children's chances of getting into a top university through extra study, but this may trigger resistance from them, resulting in a drop in grades instead of a rise in performance, so parents may become anxious (Li and Xue, 2019, p.20; Liu, 2018, p.50).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As after-school tuition is only available for three subjects, Chinese, Mathematics and English, which are also the main subjects in schooling, the extra learning extrudes students from other areas of development, such as arts learning (Liu, 2014, p.20-21).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Therefore, it could be argued that this is not conducive to the overall development of students. Wang and Zhu (2018, p.50) believe that institutions deliver extra-curricular tuition give students too much of a burden of study and limit their time for out-of-school activities. The Chinese government has therefore resolved to cut many extra-curricular tuition providers. This dissertation is concerned with how, in the background of downsizing subject-based tuition institutions, tuition institutions can seek a way forward for themselves and become an unmissable auxiliary force in Chinese education in the future.</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In 2016, the market size of the tuition industry in mainland China has exceeded RMB 800 billion, with over 137 million students attending tuition sessions and 7 to 8.5 million teachers in tuition institutions (Pan and Wang, 2020, p.12; Song and Xue, 2018, p.145). This activity of tutoring outside the classroom for students from primary to high school is called supplementary education, and it is widely considered internationally to be called shadow education (Yang, 2018, p.5). </w:t>
      </w:r>
    </w:p>
    <w:p>
      <w:pPr>
        <w:spacing w:line="480" w:lineRule="auto"/>
        <w:jc w:val="both"/>
        <w:rPr>
          <w:rFonts w:eastAsia="宋体"/>
          <w:iCs/>
          <w:lang w:eastAsia="zh-CN"/>
        </w:rPr>
      </w:pPr>
    </w:p>
    <w:p>
      <w:pPr>
        <w:spacing w:line="480" w:lineRule="auto"/>
        <w:jc w:val="both"/>
        <w:rPr>
          <w:rFonts w:eastAsia="宋体"/>
          <w:iCs/>
          <w:lang w:eastAsia="zh-CN"/>
        </w:rPr>
      </w:pPr>
      <w:r>
        <w:rPr>
          <w:rFonts w:eastAsia="宋体"/>
          <w:iCs/>
          <w:lang w:eastAsia="zh-CN"/>
        </w:rPr>
        <w:t xml:space="preserve">Shadow education has been very popular in China in recent years. Based on a visual analysis of the CNKI journal database from 1997 to 2016, Wu (2018, p.42) concludes that research on shadow education is mainly clustered around interest development, for example, student academic performance, physical activity, globalization of education. Bray (2020, p.53-56) surveyed 28 countries in Europe, such as Ireland, Italy and Sweden, and concluded that shadow education is booming in most parts of Europe; although it raises the challenge of educational inequity, it contributes to the personalization of education and the human resources that governments expect. </w:t>
      </w:r>
    </w:p>
    <w:p>
      <w:pPr>
        <w:spacing w:line="480" w:lineRule="auto"/>
        <w:jc w:val="both"/>
        <w:rPr>
          <w:rFonts w:eastAsia="宋体"/>
          <w:iCs/>
          <w:lang w:eastAsia="zh-CN"/>
        </w:rPr>
      </w:pPr>
      <w:r>
        <w:rPr>
          <w:rFonts w:eastAsia="宋体"/>
          <w:iCs/>
          <w:lang w:eastAsia="zh-CN"/>
        </w:rPr>
        <w:t xml:space="preserve">As the double reduction policy was introduced in 2021, not much research has been undertaken on the topic and many aspects fall into a gap, so this thesis research is intended to fill one of these gaps (exploring how tutorial institutions can be transformed under the double reduction policy). The double reduction policy can be interpreted succinctly as building a high-quality education system in China, strengthening the role of school education in China, deepening the governance of out-of-school training institutions and building a benign education ecology (Yang, Yang, and Zhang, 2021, p.54). </w:t>
      </w:r>
    </w:p>
    <w:p>
      <w:pPr>
        <w:spacing w:line="480" w:lineRule="auto"/>
        <w:jc w:val="both"/>
        <w:rPr>
          <w:rFonts w:eastAsia="宋体"/>
          <w:iCs/>
          <w:lang w:eastAsia="zh-CN"/>
        </w:rPr>
      </w:pPr>
    </w:p>
    <w:p>
      <w:pPr>
        <w:spacing w:line="480" w:lineRule="auto"/>
        <w:jc w:val="both"/>
        <w:rPr>
          <w:lang w:eastAsia="zh-CN"/>
        </w:rPr>
      </w:pPr>
      <w:r>
        <w:rPr>
          <w:rFonts w:eastAsia="宋体"/>
          <w:iCs/>
          <w:lang w:eastAsia="zh-CN"/>
        </w:rPr>
        <w:t>According to the research question presented, the appropriate methodology for this dissertation is qualitative research. Qualitative research can be divided into two categories: firstly, qualitative research characterized by in-depth fieldwork, mainly consisting of field studies, participant observation and ethnography, based on the collection and analysis of observational data and interview data; and secondly, qualitative research with texts as the essential feature (</w:t>
      </w:r>
      <w:r>
        <w:rPr>
          <w:lang w:eastAsia="zh-CN"/>
        </w:rPr>
        <w:t xml:space="preserve">Feng, 2017, p.50-51). The method used in this research will be the interview. </w:t>
      </w:r>
    </w:p>
    <w:p>
      <w:pPr>
        <w:spacing w:line="480" w:lineRule="auto"/>
        <w:jc w:val="both"/>
        <w:rPr>
          <w:lang w:eastAsia="zh-CN"/>
        </w:rPr>
      </w:pPr>
    </w:p>
    <w:p>
      <w:pPr>
        <w:spacing w:line="480" w:lineRule="auto"/>
        <w:jc w:val="both"/>
        <w:rPr>
          <w:lang w:eastAsia="zh-CN"/>
        </w:rPr>
      </w:pPr>
      <w:r>
        <w:rPr>
          <w:lang w:eastAsia="zh-CN"/>
        </w:rPr>
        <w:t xml:space="preserve">Interviews are used to understand the experiences and lifestyles of particular social groups through in-depth dialogue with the interviewees, to explore the processes that shape particular social phenomena and to suggest ideas and approaches to solve social problems (Sun, 2012, p.101). </w:t>
      </w:r>
    </w:p>
    <w:p>
      <w:pPr>
        <w:spacing w:line="480" w:lineRule="auto"/>
        <w:jc w:val="both"/>
        <w:rPr>
          <w:lang w:eastAsia="zh-CN"/>
        </w:rPr>
      </w:pPr>
    </w:p>
    <w:p>
      <w:pPr>
        <w:spacing w:line="480" w:lineRule="auto"/>
        <w:jc w:val="both"/>
        <w:rPr>
          <w:lang w:eastAsia="zh-CN"/>
        </w:rPr>
      </w:pPr>
      <w:r>
        <w:rPr>
          <w:lang w:eastAsia="zh-CN"/>
        </w:rPr>
        <w:t xml:space="preserve">Interviews can be divided into direct and indirect interviews, depending on how they are conducted. Direct interviews, also known as face-to-face interviews, have the main advantage of low rejection rates and good validity. Indirect interviews include telephone interviews and online interviews. They have the advantage of being less time-consuming and less costly, but the disadvantage of having a high rejection rate, especially in online interviews (Sun, 2012, p. 101). </w:t>
      </w:r>
    </w:p>
    <w:p>
      <w:pPr>
        <w:spacing w:line="480" w:lineRule="auto"/>
        <w:jc w:val="both"/>
        <w:rPr>
          <w:lang w:eastAsia="zh-CN"/>
        </w:rPr>
      </w:pPr>
    </w:p>
    <w:p>
      <w:pPr>
        <w:spacing w:line="480" w:lineRule="auto"/>
        <w:jc w:val="both"/>
        <w:rPr>
          <w:lang w:eastAsia="zh-CN"/>
        </w:rPr>
      </w:pPr>
      <w:r>
        <w:rPr>
          <w:lang w:eastAsia="zh-CN"/>
        </w:rPr>
        <w:t>Therefore, the decision to use face-to-face interviews was made for this study. The study anticipates interviewing six individuals who have worked in after-school tuition for three years or more. This study tackles the gap between how tuition institutions can survive, transform and advance in the face of the Chinese government's rejection of tuition institutions. The significance of the study is not only for the vast tuition market, but also for the positive evolution of a more diverse and dynamic education in China, which will better produce quality talent for China and contribute to the development of society.</w:t>
      </w:r>
    </w:p>
    <w:p>
      <w:pPr>
        <w:spacing w:line="480" w:lineRule="auto"/>
        <w:jc w:val="both"/>
        <w:rPr>
          <w:lang w:eastAsia="zh-CN"/>
        </w:rPr>
      </w:pPr>
    </w:p>
    <w:p>
      <w:pPr>
        <w:spacing w:line="480" w:lineRule="auto"/>
        <w:jc w:val="both"/>
        <w:rPr>
          <w:lang w:eastAsia="zh-CN"/>
        </w:rPr>
      </w:pPr>
    </w:p>
    <w:p>
      <w:pPr>
        <w:spacing w:line="480" w:lineRule="auto"/>
        <w:jc w:val="both"/>
        <w:rPr>
          <w:lang w:eastAsia="zh-CN"/>
        </w:rPr>
      </w:pPr>
    </w:p>
    <w:p>
      <w:pPr>
        <w:spacing w:line="480" w:lineRule="auto"/>
        <w:jc w:val="both"/>
        <w:rPr>
          <w:lang w:eastAsia="zh-CN"/>
        </w:rPr>
      </w:pPr>
    </w:p>
    <w:p>
      <w:pPr>
        <w:spacing w:line="480" w:lineRule="auto"/>
        <w:jc w:val="both"/>
        <w:rPr>
          <w:lang w:eastAsia="zh-CN"/>
        </w:rPr>
      </w:pPr>
    </w:p>
    <w:p>
      <w:pPr>
        <w:spacing w:line="480" w:lineRule="auto"/>
        <w:jc w:val="both"/>
        <w:rPr>
          <w:lang w:eastAsia="zh-CN"/>
        </w:rPr>
      </w:pPr>
    </w:p>
    <w:p>
      <w:pPr>
        <w:spacing w:line="480" w:lineRule="auto"/>
        <w:jc w:val="both"/>
        <w:rPr>
          <w:lang w:eastAsia="zh-CN"/>
        </w:rPr>
      </w:pPr>
    </w:p>
    <w:p>
      <w:pPr>
        <w:numPr>
          <w:ilvl w:val="0"/>
          <w:numId w:val="2"/>
        </w:numPr>
        <w:spacing w:line="480" w:lineRule="auto"/>
        <w:outlineLvl w:val="0"/>
        <w:rPr>
          <w:b/>
        </w:rPr>
      </w:pPr>
      <w:bookmarkStart w:id="6" w:name="_Toc45110161"/>
      <w:r>
        <w:rPr>
          <w:b/>
        </w:rPr>
        <w:t>LITERATURE REVIEW</w:t>
      </w:r>
      <w:bookmarkEnd w:id="6"/>
      <w:r>
        <w:rPr>
          <w:b/>
        </w:rPr>
        <w:t xml:space="preserve"> </w:t>
      </w:r>
    </w:p>
    <w:p>
      <w:pPr>
        <w:numPr>
          <w:ilvl w:val="1"/>
          <w:numId w:val="2"/>
        </w:numPr>
        <w:spacing w:line="480" w:lineRule="auto"/>
        <w:ind w:left="360" w:leftChars="0" w:firstLineChars="0"/>
        <w:outlineLvl w:val="1"/>
        <w:rPr>
          <w:b/>
        </w:rPr>
      </w:pPr>
      <w:bookmarkStart w:id="7" w:name="_Toc45110162"/>
      <w:r>
        <w:rPr>
          <w:b/>
        </w:rPr>
        <w:t>Introduction</w:t>
      </w:r>
      <w:bookmarkEnd w:id="7"/>
      <w:r>
        <w:rPr>
          <w:b/>
        </w:rPr>
        <w:t xml:space="preserve"> </w:t>
      </w:r>
    </w:p>
    <w:p>
      <w:pPr>
        <w:spacing w:line="480" w:lineRule="auto"/>
        <w:jc w:val="both"/>
        <w:outlineLvl w:val="1"/>
        <w:rPr>
          <w:bCs/>
        </w:rPr>
      </w:pPr>
      <w:r>
        <w:rPr>
          <w:bCs/>
        </w:rPr>
        <w:t>Fraenkel, Wallen and Hyun (2012) describe a literature review as a process in which the researcher reviews the relevant literature intensively and summari</w:t>
      </w:r>
      <w:r>
        <w:rPr>
          <w:rFonts w:eastAsia="宋体"/>
          <w:bCs/>
          <w:lang w:eastAsia="zh-CN"/>
        </w:rPr>
        <w:t>z</w:t>
      </w:r>
      <w:r>
        <w:rPr>
          <w:bCs/>
        </w:rPr>
        <w:t>es it. Moreover, Randolph (2009,</w:t>
      </w:r>
      <w:r>
        <w:rPr>
          <w:rFonts w:eastAsia="宋体"/>
          <w:bCs/>
          <w:lang w:eastAsia="zh-CN"/>
        </w:rPr>
        <w:t xml:space="preserve"> </w:t>
      </w:r>
      <w:r>
        <w:rPr>
          <w:bCs/>
        </w:rPr>
        <w:t xml:space="preserve">p.2) adds that a literature review is an approach that exhibits the researcher's knowledge of a certain field of research, covering words, theories, crucial parameters and phenomena, as well as their methodology and history. </w:t>
      </w:r>
    </w:p>
    <w:p>
      <w:pPr>
        <w:spacing w:line="480" w:lineRule="auto"/>
        <w:jc w:val="both"/>
        <w:outlineLvl w:val="1"/>
        <w:rPr>
          <w:bCs/>
        </w:rPr>
      </w:pPr>
    </w:p>
    <w:p>
      <w:pPr>
        <w:spacing w:line="480" w:lineRule="auto"/>
        <w:jc w:val="both"/>
        <w:outlineLvl w:val="1"/>
        <w:rPr>
          <w:rFonts w:eastAsia="宋体"/>
          <w:bCs/>
          <w:lang w:eastAsia="zh-CN"/>
        </w:rPr>
      </w:pPr>
      <w:r>
        <w:rPr>
          <w:bCs/>
        </w:rPr>
        <w:t>Therefore, the literature review for this dissertation will separately elaborate as well as analyse research studies on shadow education according to the factors of geography.</w:t>
      </w:r>
      <w:r>
        <w:rPr>
          <w:rFonts w:eastAsia="宋体"/>
          <w:bCs/>
          <w:lang w:eastAsia="zh-CN"/>
        </w:rPr>
        <w:t xml:space="preserve"> Understanding what a double reduction policy is is equally important.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On 24 July 2021, the Chinese government issued the Opinions on Further Reducing the Burden of Homework and Out-of-School Training for Students at the Compulsory Education Stage (Guo </w:t>
      </w:r>
      <w:r>
        <w:rPr>
          <w:rFonts w:eastAsia="宋体"/>
          <w:bCs/>
          <w:i/>
          <w:iCs/>
          <w:lang w:eastAsia="zh-CN"/>
        </w:rPr>
        <w:t>et al</w:t>
      </w:r>
      <w:r>
        <w:rPr>
          <w:rFonts w:eastAsia="宋体"/>
          <w:bCs/>
          <w:lang w:eastAsia="zh-CN"/>
        </w:rPr>
        <w:t xml:space="preserve">, 2021, p. 25).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The main elements of this policy can be summarized as follows: firstly, the banning of unscrupulous, illegal and casually charging educational institutions; secondly, the requirement for schools to arrange after-school homework in a scientific and reasonable way, and to upgrade the quality of education and services provided by schools; thirdly, the establishment of a school-centred system, with the family and society playing a supporting role, in order to optimize the structure of students' lives and learning; fourthly, the emphasis on reducing the total amount of homework in schools, improving the quality of homework, strengthening teachers' responsibilities and reducing parents' burdens; and ultimately, the strict approval of out-of-school institutions and the establishment of relevant monitoring mechanisms to prevent them from becoming a field of unrestricted capital expansion (Guo</w:t>
      </w:r>
      <w:r>
        <w:rPr>
          <w:rFonts w:eastAsia="宋体"/>
          <w:bCs/>
          <w:i/>
          <w:iCs/>
          <w:lang w:eastAsia="zh-CN"/>
        </w:rPr>
        <w:t xml:space="preserve"> et al </w:t>
      </w:r>
      <w:r>
        <w:rPr>
          <w:rFonts w:eastAsia="宋体"/>
          <w:bCs/>
          <w:lang w:eastAsia="zh-CN"/>
        </w:rPr>
        <w:t xml:space="preserve">2021, p.25; Shen and Shen, 2021, p.29). </w:t>
      </w:r>
    </w:p>
    <w:p>
      <w:pPr>
        <w:spacing w:line="480" w:lineRule="auto"/>
        <w:jc w:val="both"/>
        <w:outlineLvl w:val="1"/>
        <w:rPr>
          <w:rFonts w:eastAsia="宋体"/>
          <w:bCs/>
          <w:lang w:eastAsia="zh-CN"/>
        </w:rPr>
      </w:pPr>
    </w:p>
    <w:p>
      <w:pPr>
        <w:numPr>
          <w:ilvl w:val="1"/>
          <w:numId w:val="2"/>
        </w:numPr>
        <w:spacing w:line="480" w:lineRule="auto"/>
        <w:ind w:left="360" w:leftChars="0" w:firstLineChars="0"/>
        <w:outlineLvl w:val="1"/>
        <w:rPr>
          <w:b/>
        </w:rPr>
      </w:pPr>
      <w:r>
        <w:rPr>
          <w:b/>
        </w:rPr>
        <w:t>Shadow education in countries outside mainland China</w:t>
      </w:r>
    </w:p>
    <w:p>
      <w:pPr>
        <w:spacing w:line="480" w:lineRule="auto"/>
        <w:jc w:val="both"/>
        <w:outlineLvl w:val="1"/>
        <w:rPr>
          <w:bCs/>
        </w:rPr>
      </w:pPr>
      <w:r>
        <w:rPr>
          <w:bCs/>
        </w:rPr>
        <w:t>This section is responsible for describing and analy</w:t>
      </w:r>
      <w:r>
        <w:rPr>
          <w:rFonts w:eastAsia="宋体"/>
          <w:bCs/>
          <w:lang w:eastAsia="zh-CN"/>
        </w:rPr>
        <w:t>s</w:t>
      </w:r>
      <w:r>
        <w:rPr>
          <w:bCs/>
        </w:rPr>
        <w:t>ing shadow education in non-mainland China, with Europe, East Asia and Hong Kong, Macau and Taiwan being the regions of focus in this section.</w:t>
      </w:r>
    </w:p>
    <w:p>
      <w:pPr>
        <w:spacing w:line="480" w:lineRule="auto"/>
        <w:jc w:val="both"/>
        <w:outlineLvl w:val="1"/>
        <w:rPr>
          <w:bCs/>
        </w:rPr>
      </w:pPr>
    </w:p>
    <w:p>
      <w:pPr>
        <w:spacing w:line="480" w:lineRule="auto"/>
        <w:jc w:val="both"/>
        <w:outlineLvl w:val="1"/>
        <w:rPr>
          <w:bCs/>
        </w:rPr>
      </w:pPr>
      <w:r>
        <w:rPr>
          <w:bCs/>
        </w:rPr>
        <w:t xml:space="preserve">Stevenson and Baker (1992) vividly compared the phenomenon of after-school tutoring and tuition to shadow education. </w:t>
      </w:r>
    </w:p>
    <w:p>
      <w:pPr>
        <w:spacing w:line="480" w:lineRule="auto"/>
        <w:jc w:val="both"/>
        <w:outlineLvl w:val="1"/>
        <w:rPr>
          <w:bCs/>
        </w:rPr>
      </w:pPr>
    </w:p>
    <w:p>
      <w:pPr>
        <w:spacing w:line="480" w:lineRule="auto"/>
        <w:jc w:val="both"/>
        <w:outlineLvl w:val="1"/>
        <w:rPr>
          <w:bCs/>
        </w:rPr>
      </w:pPr>
      <w:r>
        <w:rPr>
          <w:bCs/>
        </w:rPr>
        <w:t xml:space="preserve">Subsequently, Bray (1999) extended this concept to educational research and redefined shadow education: firstly, the complementary aspect of shadow education. The subjects tutored in shadow education are aligned with school subjects and act as a supplement to school rather than an additional creation; secondly, the private aspect of shadow education. Shadow education is not supported at public expense and the tutoring provided is for profit by individuals or businesses; thirdly, the academic aspect of shadow education. Shadow education focuses on subjects that are part of the school's academic curriculum, such as maths, languages and other subjects that are assessed through examinations, which bring more pressure on students to learn, thus distinguishing them from fun subjects such as music, art and sports. </w:t>
      </w:r>
    </w:p>
    <w:p>
      <w:pPr>
        <w:spacing w:line="480" w:lineRule="auto"/>
        <w:jc w:val="both"/>
        <w:outlineLvl w:val="1"/>
        <w:rPr>
          <w:bCs/>
        </w:rPr>
      </w:pPr>
    </w:p>
    <w:p>
      <w:pPr>
        <w:spacing w:line="480" w:lineRule="auto"/>
        <w:jc w:val="both"/>
        <w:outlineLvl w:val="1"/>
        <w:rPr>
          <w:bCs/>
        </w:rPr>
      </w:pPr>
      <w:r>
        <w:rPr>
          <w:bCs/>
        </w:rPr>
        <w:t>According to a report published by Bray (2011), shadow education is growing rapidly across the European Union</w:t>
      </w:r>
      <w:r>
        <w:rPr>
          <w:rFonts w:eastAsia="宋体"/>
          <w:bCs/>
          <w:lang w:eastAsia="zh-CN"/>
        </w:rPr>
        <w:t xml:space="preserve"> (EU)</w:t>
      </w:r>
      <w:r>
        <w:rPr>
          <w:bCs/>
        </w:rPr>
        <w:t xml:space="preserve">. It is </w:t>
      </w:r>
      <w:r>
        <w:rPr>
          <w:rFonts w:eastAsia="宋体"/>
          <w:bCs/>
          <w:lang w:eastAsia="zh-CN"/>
        </w:rPr>
        <w:t>also</w:t>
      </w:r>
      <w:r>
        <w:rPr>
          <w:bCs/>
        </w:rPr>
        <w:t xml:space="preserve"> becoming industriali</w:t>
      </w:r>
      <w:r>
        <w:rPr>
          <w:rFonts w:eastAsia="宋体"/>
          <w:bCs/>
          <w:lang w:eastAsia="zh-CN"/>
        </w:rPr>
        <w:t>z</w:t>
      </w:r>
      <w:r>
        <w:rPr>
          <w:bCs/>
        </w:rPr>
        <w:t xml:space="preserve">ed in some member states. </w:t>
      </w:r>
    </w:p>
    <w:p>
      <w:pPr>
        <w:spacing w:line="480" w:lineRule="auto"/>
        <w:jc w:val="both"/>
        <w:outlineLvl w:val="1"/>
        <w:rPr>
          <w:bCs/>
        </w:rPr>
      </w:pPr>
    </w:p>
    <w:p>
      <w:pPr>
        <w:spacing w:line="480" w:lineRule="auto"/>
        <w:jc w:val="both"/>
        <w:outlineLvl w:val="1"/>
        <w:rPr>
          <w:bCs/>
        </w:rPr>
      </w:pPr>
      <w:r>
        <w:rPr>
          <w:bCs/>
        </w:rPr>
        <w:t xml:space="preserve">On the other hand, the scale of shadow education in the EU varies considerably and is highly uneven across countries (Bray, 2011; Yang, 2012, p.13). The report explores the relationship between household economic group and shadow education: households in higher socio-economic groups have more opportunities to invest in tutoring and participate in it at a higher rate than working households </w:t>
      </w:r>
      <w:r>
        <w:rPr>
          <w:rFonts w:eastAsia="宋体"/>
          <w:bCs/>
          <w:lang w:eastAsia="zh-CN"/>
        </w:rPr>
        <w:t>(Bray, 2011, p.33-34).</w:t>
      </w:r>
      <w:r>
        <w:rPr>
          <w:bCs/>
        </w:rPr>
        <w:t xml:space="preserve"> For instance, according to 2005 data from the National Statistical Office of Korea, the top 10 per cent of income earners spent an average of 292,000 won per month on tuition institutions, while the bottom 10 per cent spent only 36,000 won per month</w:t>
      </w:r>
      <w:r>
        <w:rPr>
          <w:rFonts w:eastAsia="宋体"/>
          <w:bCs/>
          <w:lang w:eastAsia="zh-CN"/>
        </w:rPr>
        <w:t xml:space="preserve"> (Dawson, 2010, p.19)</w:t>
      </w:r>
      <w:r>
        <w:rPr>
          <w:bCs/>
        </w:rPr>
        <w:t xml:space="preserve">. </w:t>
      </w:r>
    </w:p>
    <w:p>
      <w:pPr>
        <w:spacing w:line="480" w:lineRule="auto"/>
        <w:jc w:val="both"/>
        <w:outlineLvl w:val="1"/>
        <w:rPr>
          <w:bCs/>
        </w:rPr>
      </w:pPr>
    </w:p>
    <w:p>
      <w:pPr>
        <w:spacing w:line="480" w:lineRule="auto"/>
        <w:jc w:val="both"/>
        <w:outlineLvl w:val="1"/>
        <w:rPr>
          <w:bCs/>
        </w:rPr>
      </w:pPr>
      <w:r>
        <w:rPr>
          <w:rFonts w:eastAsia="宋体"/>
          <w:bCs/>
          <w:lang w:eastAsia="zh-CN"/>
        </w:rPr>
        <w:t>S</w:t>
      </w:r>
      <w:r>
        <w:rPr>
          <w:bCs/>
        </w:rPr>
        <w:t>uch behaviour raises concerns about the equality of education and the polari</w:t>
      </w:r>
      <w:r>
        <w:rPr>
          <w:rFonts w:eastAsia="宋体"/>
          <w:bCs/>
          <w:lang w:eastAsia="zh-CN"/>
        </w:rPr>
        <w:t>z</w:t>
      </w:r>
      <w:r>
        <w:rPr>
          <w:bCs/>
        </w:rPr>
        <w:t>ation of social categories</w:t>
      </w:r>
      <w:r>
        <w:rPr>
          <w:rFonts w:eastAsia="宋体"/>
          <w:bCs/>
          <w:lang w:eastAsia="zh-CN"/>
        </w:rPr>
        <w:t xml:space="preserve"> (</w:t>
      </w:r>
      <w:r>
        <w:rPr>
          <w:rFonts w:eastAsia="宋体"/>
        </w:rPr>
        <w:t>Entrich</w:t>
      </w:r>
      <w:r>
        <w:rPr>
          <w:rFonts w:eastAsia="宋体"/>
          <w:lang w:eastAsia="zh-CN"/>
        </w:rPr>
        <w:t xml:space="preserve"> 2020, p.442)</w:t>
      </w:r>
      <w:r>
        <w:rPr>
          <w:bCs/>
        </w:rPr>
        <w:t>. Also, the results of Loyalka and Zakharov's (2014, p.19) study concluded that participation in shadow education had no positive impact on the achievement of underachieving students</w:t>
      </w:r>
      <w:r>
        <w:rPr>
          <w:rFonts w:eastAsia="宋体"/>
          <w:bCs/>
          <w:lang w:eastAsia="zh-CN"/>
        </w:rPr>
        <w:t xml:space="preserve"> </w:t>
      </w:r>
      <w:r>
        <w:rPr>
          <w:bCs/>
        </w:rPr>
        <w:t xml:space="preserve">but had a positive and noticeable impact on the achievement of overachieving students. This means that participation in supplementary institutions may further widen inequalities. </w:t>
      </w:r>
    </w:p>
    <w:p>
      <w:pPr>
        <w:spacing w:line="480" w:lineRule="auto"/>
        <w:jc w:val="both"/>
        <w:outlineLvl w:val="1"/>
        <w:rPr>
          <w:bCs/>
        </w:rPr>
      </w:pPr>
    </w:p>
    <w:p>
      <w:pPr>
        <w:spacing w:line="480" w:lineRule="auto"/>
        <w:jc w:val="both"/>
        <w:outlineLvl w:val="1"/>
        <w:rPr>
          <w:rFonts w:eastAsia="宋体"/>
          <w:bCs/>
          <w:lang w:eastAsia="zh-CN"/>
        </w:rPr>
      </w:pPr>
      <w:r>
        <w:rPr>
          <w:bCs/>
        </w:rPr>
        <w:t xml:space="preserve">Yang (2012, p.74) </w:t>
      </w:r>
      <w:r>
        <w:rPr>
          <w:rFonts w:eastAsia="宋体"/>
          <w:bCs/>
          <w:lang w:eastAsia="zh-CN"/>
        </w:rPr>
        <w:t xml:space="preserve">fervently </w:t>
      </w:r>
      <w:r>
        <w:rPr>
          <w:bCs/>
        </w:rPr>
        <w:t>argues that because of the privately funded nature of shadow education, which requires additional, even high, fees, only those with a certain level of financial means can afford to pay for extra-curricular tuition.</w:t>
      </w:r>
      <w:r>
        <w:rPr>
          <w:rFonts w:eastAsia="宋体"/>
          <w:bCs/>
          <w:lang w:eastAsia="zh-CN"/>
        </w:rPr>
        <w:t xml:space="preserve"> </w:t>
      </w:r>
      <w:r>
        <w:rPr>
          <w:bCs/>
        </w:rPr>
        <w:t>Combined with the above, it can also be understood that investment in education can cause higher levels of education and thus increase educational inequality (Seiyama 1981; Seiyama and Noguchi 1984; Konakayama and Matsui 2008).</w:t>
      </w:r>
      <w:r>
        <w:rPr>
          <w:rFonts w:eastAsia="宋体"/>
          <w:bCs/>
          <w:lang w:eastAsia="zh-CN"/>
        </w:rPr>
        <w:t xml:space="preserv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However</w:t>
      </w:r>
      <w:r>
        <w:rPr>
          <w:bCs/>
        </w:rPr>
        <w:t xml:space="preserve">, Choi and Park </w:t>
      </w:r>
      <w:r>
        <w:rPr>
          <w:rFonts w:eastAsia="宋体"/>
          <w:lang w:eastAsia="zh-CN"/>
        </w:rPr>
        <w:t>(2016, p.30-31)</w:t>
      </w:r>
      <w:r>
        <w:rPr>
          <w:bCs/>
        </w:rPr>
        <w:t xml:space="preserve"> maintain that students with relatively advantaged socio-economic, psycho-social</w:t>
      </w:r>
      <w:r>
        <w:rPr>
          <w:rFonts w:eastAsia="宋体"/>
          <w:bCs/>
          <w:lang w:eastAsia="zh-CN"/>
        </w:rPr>
        <w:t>,</w:t>
      </w:r>
      <w:r>
        <w:rPr>
          <w:bCs/>
        </w:rPr>
        <w:t xml:space="preserve"> and educational resources can still achieve high grades even without extra-curricular tutoring, and conversely, students with restricted educational resources, combined with their disadvantaged social position, may show extremely poor academic performance unless they use shadow education.</w:t>
      </w:r>
      <w:r>
        <w:rPr>
          <w:rFonts w:eastAsia="宋体"/>
          <w:bCs/>
          <w:lang w:eastAsia="zh-CN"/>
        </w:rPr>
        <w:t xml:space="preserve"> </w:t>
      </w:r>
    </w:p>
    <w:p>
      <w:pPr>
        <w:spacing w:line="480" w:lineRule="auto"/>
        <w:jc w:val="both"/>
        <w:outlineLvl w:val="1"/>
        <w:rPr>
          <w:rFonts w:eastAsia="宋体"/>
          <w:bCs/>
          <w:lang w:eastAsia="zh-CN"/>
        </w:rPr>
      </w:pPr>
    </w:p>
    <w:p>
      <w:pPr>
        <w:spacing w:line="480" w:lineRule="auto"/>
        <w:jc w:val="both"/>
        <w:outlineLvl w:val="1"/>
        <w:rPr>
          <w:bCs/>
        </w:rPr>
      </w:pPr>
      <w:r>
        <w:rPr>
          <w:rFonts w:eastAsia="宋体"/>
          <w:bCs/>
          <w:lang w:eastAsia="zh-CN"/>
        </w:rPr>
        <w:t xml:space="preserve">In relation to the shadow education investment theory proposed by Seiyama, parents who invest in tuition to improve their students' academic performance generally have a high socio-economic status, implying a cause-and-effect connection between socio-economic status, the amount of shadow education investment and academic performance (Seiyama, 1981, p.173-178). </w:t>
      </w:r>
      <w:r>
        <w:rPr>
          <w:bCs/>
        </w:rPr>
        <w:t xml:space="preserve">In other words, children from wealthy families can directly change the distribution of opportunities through the operation of economic capital to obtain a higher quality and quantity of tuition, resulting in differences in future academic performance and access to opportunities for children from rich and poor families, thus further amplifying the social stratification effect (Wang, 2017, p.57-58). </w:t>
      </w:r>
    </w:p>
    <w:p>
      <w:pPr>
        <w:spacing w:line="480" w:lineRule="auto"/>
        <w:jc w:val="both"/>
        <w:outlineLvl w:val="1"/>
        <w:rPr>
          <w:bCs/>
        </w:rPr>
      </w:pPr>
    </w:p>
    <w:p>
      <w:pPr>
        <w:spacing w:line="480" w:lineRule="auto"/>
        <w:jc w:val="both"/>
        <w:outlineLvl w:val="1"/>
        <w:rPr>
          <w:rFonts w:eastAsia="宋体"/>
          <w:bCs/>
          <w:lang w:eastAsia="zh-CN"/>
        </w:rPr>
      </w:pPr>
      <w:r>
        <w:rPr>
          <w:bCs/>
        </w:rPr>
        <w:t>However, shadow education does not necessarily bring about all negative effects; it may also have positive effects.</w:t>
      </w:r>
      <w:r>
        <w:rPr>
          <w:rFonts w:eastAsia="宋体"/>
          <w:bCs/>
          <w:lang w:eastAsia="zh-CN"/>
        </w:rPr>
        <w:t xml:space="preserv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Oller and Glasman (2013) contend that in a context where students acknowledge their knowledge gaps and are not penalized by school or family, effective tutoring can support them to bridge the gaps and ultimately take charge of their own learning. Meanwhile, effective tutoring arguably raises the overall level of human capital in society (Bray, 2013, p.20). This contention seems to contradict Choi and Park's argument above.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In fact, there is no conclusive evidence on whether shadow education can improve students' academic performance. Byun and Park (2011), for example, discovered no significant correlation between extracurricular tutoring and SAT scores (Scholastic Assessment Tests) for US high school students; Guimarães and Sampaio (2013) found a positive and strong association between extracurricular tutoring and college entrance exam scores for high school students in Brazil; Kuan (2011) observed that participation in tutoring classes had a less-than-significant but significant effect on the performance of ninth graders in Taiwan. While Dang (2007) recognizes the role of tuition in improving students' academic performance.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However, Dang also acknowledges that spending on extracurricular tutoring is positively correlated with academic performance. In summary, the association between shadow education and student achievement can be divided into two conclusions.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On the one hand, extracurricular tutoring may increase the academic gains of underachieving students (Lauer </w:t>
      </w:r>
      <w:r>
        <w:rPr>
          <w:rFonts w:eastAsia="宋体"/>
          <w:bCs/>
          <w:i/>
          <w:iCs/>
          <w:lang w:eastAsia="zh-CN"/>
        </w:rPr>
        <w:t>et al</w:t>
      </w:r>
      <w:r>
        <w:rPr>
          <w:rFonts w:eastAsia="宋体"/>
          <w:lang w:eastAsia="zh-CN"/>
        </w:rPr>
        <w:t xml:space="preserve">, </w:t>
      </w:r>
      <w:r>
        <w:rPr>
          <w:rFonts w:eastAsia="宋体"/>
          <w:bCs/>
          <w:lang w:eastAsia="zh-CN"/>
        </w:rPr>
        <w:t xml:space="preserve">2004). On the other hand, shadow education may have a greater impact on students with good grades and high socio-economic status than on students with poor grades and low socio-economic status (Buchmann </w:t>
      </w:r>
      <w:r>
        <w:rPr>
          <w:rFonts w:eastAsia="宋体"/>
          <w:bCs/>
          <w:i/>
          <w:iCs/>
          <w:lang w:eastAsia="zh-CN"/>
        </w:rPr>
        <w:t>et al</w:t>
      </w:r>
      <w:r>
        <w:rPr>
          <w:rFonts w:eastAsia="宋体"/>
          <w:bCs/>
          <w:lang w:eastAsia="zh-CN"/>
        </w:rPr>
        <w:t xml:space="preserve">, 2010; Domingue and Briggs, 2009).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Moreover, when private tuition providers develop into an industry, they can exacerbate the widening of social stratification and educational inequality. For example, Kim and Park (2012, p.278-279) considers that growth of the private tuition market depends on the income level of the population or the dynamism of the local economy, higher population density; and that the cluster of private tuition providers is more likely to be located in areas where affluent families live.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It can be argued that shadow education cannot be separated from the themes of economy, society and equality. Although many papers have explored various aspects of the relationship between shadow education and the economy, the search for research on the relationship between the tutorial institution industry and the national economy shows that there are fewer studies in Europe and more in East Asia. It is not easily retrieved in the European region, in contrast there are more studies investigated in East Asia.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Additionally, many research studies give less consideration to the role and function of teachers in the context of educational inequalities and social class divisions. If teachers are an educational resource, improving their professional skills would reverse educational inequality and have a positive impact on class stratification. The above is the relationship between economics, class, and educational equality.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However, Baker and LeTendre (2005, p.68) make the point that while shadow education expands formal education, it also expands inequality in formal education. Alternatively, shadow education is to some extent detrimental to the formal education system.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In Japan, Roesgaard (2006) indicated that public schools do not give students adequate tutoring, so tutorial organizations make up for this deficiency. In other words, tutorial institutions mirror the inadequacies of formal education. The government's initiative has also created a new situation in the tutorial market.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Between 1998 and 2002, the Japanese government endorsed relaxed education and aimed to reduce the burden on students by cutting the volume of textbook knowledge, adjusting the number of days students spent at school, and so on. (Bjork, 2011; Wei, 2005). This led to an increasing number of students seeking help from tutorial institutions and public schools to improve their competitiveness (</w:t>
      </w:r>
      <w:r>
        <w:rPr>
          <w:rFonts w:eastAsia="宋体"/>
        </w:rPr>
        <w:t>Sato</w:t>
      </w:r>
      <w:r>
        <w:rPr>
          <w:rFonts w:eastAsia="宋体"/>
          <w:lang w:eastAsia="zh-CN"/>
        </w:rPr>
        <w:t>, 2010, p.66</w:t>
      </w:r>
      <w:r>
        <w:rPr>
          <w:rFonts w:eastAsia="宋体"/>
          <w:bCs/>
          <w:lang w:eastAsia="zh-CN"/>
        </w:rPr>
        <w:t>). More than 50% of students in grades 3-9 in public schools prefer supplementary classes because they learn content that is not conveyed in school (</w:t>
      </w:r>
      <w:r>
        <w:rPr>
          <w:rFonts w:eastAsia="宋体"/>
        </w:rPr>
        <w:t>Dawson</w:t>
      </w:r>
      <w:r>
        <w:rPr>
          <w:rFonts w:eastAsia="宋体"/>
          <w:lang w:eastAsia="zh-CN"/>
        </w:rPr>
        <w:t>, 2010, p.18</w:t>
      </w:r>
      <w:r>
        <w:rPr>
          <w:rFonts w:eastAsia="宋体"/>
          <w:bCs/>
          <w:lang w:eastAsia="zh-CN"/>
        </w:rPr>
        <w:t xml:space="preserve">). When tutorials accelerate the rate at which schools are reduced to places of revision, it is a sign that shadow education is beginning to threaten the authority of public education and that the state system is no longer educationally dominant (Russell 2002).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All the above discussions are based on external conditions, and one element that is easily overlooked is the willingness of students to participate in extra-curricular tutoring. This willingness can also influence the implementation of shadow education. Lauterbach (2013) expects that students are seen as invested participants in education and that students' aspirations strongly influence shadow education. research by Southgate (2013) and Entrich (2015) suggests that students' educational aspirations and students' academic status show a positive correlation with their willingness to participate in extracurricular tutoring. </w:t>
      </w:r>
    </w:p>
    <w:p>
      <w:pPr>
        <w:spacing w:line="480" w:lineRule="auto"/>
        <w:jc w:val="both"/>
        <w:outlineLvl w:val="1"/>
        <w:rPr>
          <w:rFonts w:eastAsia="宋体"/>
          <w:bCs/>
          <w:lang w:eastAsia="zh-CN"/>
        </w:rPr>
      </w:pPr>
    </w:p>
    <w:p>
      <w:pPr>
        <w:spacing w:line="480" w:lineRule="auto"/>
        <w:jc w:val="both"/>
        <w:rPr>
          <w:rFonts w:eastAsia="宋体"/>
          <w:bCs/>
          <w:lang w:eastAsia="zh-CN"/>
        </w:rPr>
      </w:pPr>
      <w:r>
        <w:rPr>
          <w:rFonts w:eastAsia="宋体"/>
          <w:bCs/>
          <w:lang w:eastAsia="zh-CN"/>
        </w:rPr>
        <w:t>However, students' educational aspirations are strongly influenced by their social, economic, and cultural backgrounds as well as their parents' educational aspirations for primary and junior high school students, especially their mothers' aspirations (Hamajima and Takeuchi, 2002, p. 5). Unusually, high school students are more influenced by school ranking, academic achievement and gender (Mimizuka , 2008). In conclusion, according to Enrich (2015), it is confirmed that although the influence of the mother remains strong over time, the influence of the student on the decision to shadow education becomes stronger as the student grows older. Unusually, the 2008 MEXT report (</w:t>
      </w:r>
      <w:r>
        <w:rPr>
          <w:rFonts w:eastAsia="宋体"/>
          <w:lang w:eastAsia="zh-CN"/>
        </w:rPr>
        <w:t xml:space="preserve">Ministry Education Culture Sports Science and Technology) </w:t>
      </w:r>
      <w:r>
        <w:rPr>
          <w:rFonts w:eastAsia="宋体"/>
          <w:bCs/>
          <w:lang w:eastAsia="zh-CN"/>
        </w:rPr>
        <w:t xml:space="preserve">confirms that educational intentions are not the only factor influencing students' participation in remedial activities.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The report acknowledges that participation in shadow education is influenced by the grade level of the student: 50% of Grade 8 students attend extra classes because of the pressure to progress to higher grades, compared to 65% of Grade 9 students who attend extra classes (</w:t>
      </w:r>
      <w:r>
        <w:rPr>
          <w:rFonts w:eastAsia="宋体"/>
        </w:rPr>
        <w:t>Takashiro</w:t>
      </w:r>
      <w:r>
        <w:rPr>
          <w:rFonts w:eastAsia="宋体"/>
          <w:lang w:eastAsia="zh-CN"/>
        </w:rPr>
        <w:t>, 2021</w:t>
      </w:r>
      <w:r>
        <w:rPr>
          <w:rFonts w:eastAsia="宋体"/>
          <w:bCs/>
          <w:lang w:eastAsia="zh-CN"/>
        </w:rPr>
        <w:t xml:space="preserve">). It is not difficult to conclude from the analysis that it is not only the student's own willingness and academic performance that affects participation in shadowing, but also their grade level and parents, and that many studies have highlighted the association between the student's age and participation in extracurricular education.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Unfortunately, the author did not identify an effect of the combination of age, grade level and academic achievement on participation in shadowing. It could be hypothesised that if senior high school students attend extra-curricular tuition because of their own academic underachievement, will they attend extra-curricular tuition because of their mothers' educational intentions? Would the mother's wishes and her own wishes conflict in this case? Future research studies could explore the above directions. </w:t>
      </w:r>
    </w:p>
    <w:p>
      <w:pPr>
        <w:spacing w:line="480" w:lineRule="auto"/>
        <w:jc w:val="both"/>
        <w:outlineLvl w:val="1"/>
        <w:rPr>
          <w:rFonts w:eastAsia="宋体"/>
          <w:bCs/>
          <w:lang w:eastAsia="zh-CN"/>
        </w:rPr>
      </w:pPr>
    </w:p>
    <w:p>
      <w:pPr>
        <w:spacing w:line="480" w:lineRule="auto"/>
        <w:jc w:val="both"/>
        <w:rPr>
          <w:rFonts w:eastAsia="宋体"/>
          <w:bCs/>
          <w:lang w:eastAsia="zh-CN"/>
        </w:rPr>
      </w:pPr>
      <w:r>
        <w:rPr>
          <w:rFonts w:eastAsia="宋体"/>
          <w:bCs/>
          <w:lang w:eastAsia="zh-CN"/>
        </w:rPr>
        <w:t xml:space="preserve">The above is a review of the literature on shadow education outside of mainland China. The literature read by the author is far from adequate and that the research on shadow education goes far beyond what has been analyzed and explored in the article. The article explores only three areas: the role of tutoring institutions on students' academic performance; the relationship between shadow education and the economy (family and national economy), social status, and social class; and the correlation between participation in extracurricular tutoring and personal intentions (also including mothers' intentions).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These three areas are not explored in detail, but the role of tutoring institutions on students' academic performance, for example, could be investigated in depth, as could the role of tutoring institutions on the academic performance of students at different grades or ages; the influence of fathers' educational intentions on students' participation in tutoring is also worth exploring in terms of the association between participation in tutoring and personal intentions (also including mothers' intentions). However, as the subject of this paper is tutoring institutions in mainland China, the focus of the thesis should be on shadow education and tutoring institutions in mainland China. Moreover, as China is a large country with a large geographical area, its tutorial market is not to be ignored and therefore the tutorial institutions placed in mainland China deserve to be explored from different and diverse perspectives.</w:t>
      </w:r>
    </w:p>
    <w:p>
      <w:pPr>
        <w:spacing w:line="480" w:lineRule="auto"/>
        <w:jc w:val="both"/>
        <w:rPr>
          <w:rFonts w:eastAsia="宋体"/>
          <w:bCs/>
          <w:lang w:eastAsia="zh-CN"/>
        </w:rPr>
      </w:pPr>
    </w:p>
    <w:p>
      <w:pPr>
        <w:numPr>
          <w:ilvl w:val="1"/>
          <w:numId w:val="2"/>
        </w:numPr>
        <w:spacing w:line="480" w:lineRule="auto"/>
        <w:ind w:left="360" w:leftChars="0" w:firstLineChars="0"/>
        <w:jc w:val="both"/>
        <w:rPr>
          <w:rFonts w:eastAsia="宋体"/>
          <w:bCs/>
          <w:lang w:eastAsia="zh-CN"/>
        </w:rPr>
      </w:pPr>
      <w:r>
        <w:rPr>
          <w:b/>
          <w:lang w:eastAsia="zh-CN" w:bidi="ar"/>
        </w:rPr>
        <w:t>Tuition institutions in mainland China</w:t>
      </w:r>
    </w:p>
    <w:p>
      <w:pPr>
        <w:spacing w:line="480" w:lineRule="auto"/>
        <w:jc w:val="both"/>
        <w:rPr>
          <w:rFonts w:eastAsia="宋体"/>
          <w:bCs/>
          <w:lang w:eastAsia="zh-CN"/>
        </w:rPr>
      </w:pPr>
      <w:r>
        <w:rPr>
          <w:rFonts w:eastAsia="宋体"/>
          <w:bCs/>
          <w:lang w:eastAsia="zh-CN"/>
        </w:rPr>
        <w:t>Shadow education, as a form of education parallel to mainstream schooling, has become a common educational phenomenon worldwide (Song and Xue, 2018, p. 144). Research on shadow education began in the 1980s (Zhen, 2017, p. 32). The concept was introduced by Chinese scholar Peng Pai in 2008, and Chinese scholars have only begun to study shadow education (Li, 2015, p. 54). Therefore, from the introduction to the present, shadow education has not been developed for a long time in mainland China, but it has developed at a rapid speed (Ding, 2019, p.17). The author searched the literature on shadow education (private education) or tuition providers in mainland China and realized that research on shadow education in general can be classified into three sections: the reasons for the emergence of tuition providers in mainland China to the boom; the impact of the boom in the tuition market; and the suggestions given for the development of shadow education in mainland China. Hence the section will focus on these three respects to investigate and analyse.</w:t>
      </w:r>
    </w:p>
    <w:p>
      <w:pPr>
        <w:spacing w:line="480" w:lineRule="auto"/>
        <w:jc w:val="both"/>
        <w:rPr>
          <w:rFonts w:eastAsia="宋体"/>
          <w:bCs/>
          <w:lang w:eastAsia="zh-CN"/>
        </w:rPr>
      </w:pPr>
    </w:p>
    <w:p>
      <w:pPr>
        <w:numPr>
          <w:ilvl w:val="2"/>
          <w:numId w:val="2"/>
        </w:numPr>
        <w:spacing w:line="480" w:lineRule="auto"/>
        <w:jc w:val="both"/>
        <w:rPr>
          <w:rFonts w:eastAsia="宋体"/>
          <w:b/>
          <w:lang w:eastAsia="zh-CN"/>
        </w:rPr>
      </w:pPr>
      <w:r>
        <w:rPr>
          <w:rFonts w:eastAsia="宋体"/>
          <w:b/>
          <w:lang w:eastAsia="zh-CN"/>
        </w:rPr>
        <w:t>The reasons for the emergence of tuition providers in mainland China to the boom</w:t>
      </w:r>
    </w:p>
    <w:p>
      <w:pPr>
        <w:spacing w:line="480" w:lineRule="auto"/>
        <w:jc w:val="both"/>
        <w:rPr>
          <w:rFonts w:eastAsia="宋体"/>
          <w:bCs/>
          <w:lang w:eastAsia="zh-CN"/>
        </w:rPr>
      </w:pPr>
      <w:r>
        <w:rPr>
          <w:rFonts w:eastAsia="宋体"/>
          <w:bCs/>
          <w:lang w:eastAsia="zh-CN"/>
        </w:rPr>
        <w:t>According to the Blue Book for Children: China's Child Development Report (2019) released by the China Children's Centre, 60.4% of children participate in extracurricular classes on school days; in terms of the percentage of participation in extracurricular classes, the highest percentage of children participate in subject tutoring on school days, at 66.5% (He and Lou, 2020, p.143). The report shows that subject-based tutoring institutions are a booming presence in mainland China. The next section reveals the reasons for the rise to prosperity of these tutoring institutions.</w:t>
      </w:r>
    </w:p>
    <w:p>
      <w:pPr>
        <w:spacing w:line="480" w:lineRule="auto"/>
        <w:jc w:val="both"/>
        <w:rPr>
          <w:rFonts w:eastAsia="宋体"/>
          <w:bCs/>
          <w:lang w:eastAsia="zh-CN"/>
        </w:rPr>
      </w:pPr>
      <w:r>
        <w:rPr>
          <w:rFonts w:eastAsia="宋体"/>
          <w:bCs/>
          <w:lang w:eastAsia="zh-CN"/>
        </w:rPr>
        <w:t xml:space="preserve">China resumed the Higher Education Entrance Examination (hereinafter referred to as Gao Kao) in 1977 and has continued to do so ever since (Pan and Wang, 2020, p.14).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The introduction of this initiative rekindled the desire for education (Ding, 2019, p.18). This meant that the state recognized the importance of education. After that, influenced by the concept of marketization and industrialization of education, the state recognized the role of teachers and social forces in running schools, respectively through the regulations on social forces in running schools promulgated on 31 July 1997, and the Law of the People's Republic of China on Teachers, which was introduced on 1 January 1994 and mentioned educational institutions for the first time (Ding, 2019, p.19; Pan and Wang, 2020, p.14).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This demonstrates that China has allowed tutorial institutions to survive. Between 1999 and 2003, under the vigorous influence of quality education, China enacted a series of regulations prohibiting extended teaching hours in public schools, in other words the practice of tuition in public schools was stifled; not only that, but the state also strongly encouraged social participation in running schools and recognized that tuition providers could develop alongside public schools (Pan and Wang, 2020, p.14-15). This implies a boom for tuition organizations in mainland China. The above is an analysis of the policy reasons for the rise to prosperity of extra-curricular tutoring by tracing the history of the development of tutoring institutions in China. As there are many policies on tutoring institutions, the author can only select the most important ones for analysis.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Bray (1999) suggested that extra-curricular tuition is more prevalent in countries that emphasize effort. Many Asian countries, influenced by traditional Confucianism, believe that effort is important for future success, and, in many Asian countries, learning is considered to be competitive and identity-conscious, which influences the demand for out-of-school education (Weng, 2017, p. 116). This perception that hard work creates success is most influential on parents, especially mothers (Tansel and Bircan, 2006; Weng, 2017, p.117 ). Which has led Chinese parents to have elevated expectations of their children's academic performance in an exam-dominated and competitive society (Wang, 2008, p.29).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Besides, China has always been a test-based education country, where test scores are paramount and college entrance examination serves as an important mechanism for national talent selection, which leads to students being quantified through their scores (Yan, 2018, p. 43-44; Wang, 2007, p.136). This has almost dictated that parents and students are ‘fanatical’ about marks.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According to the social hierarchy based on the three indicators of wealth, prestige and power, these three indicators are the level and quality of education a person has received (Ye and Ding, 2015, p. 217-218). Therefore, from the point of view of students' future employment, their access to jobs, positions and subsequent promotion opportunities are closely related to their prior higher education (Li, 2015, p. 54).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However, as public schools must adhere to quality education, they do not provide additional educational services for students, leaving parents to seek out off-campus training to make up for the shortcomings of mainstream public schools (He and Lou, 2020, p.144; Li, 2015, p. 54). One example is that the content taught in public schools is simpler and parents want something challenging for their children to learn (Lao, 2010, p.17-18). Returning to marks as a barrier to entry into higher education, it must be acknowledged that parents seek to maximize their students' academic performance through out-of-school learning in order to achieve quality employment for their children later in life. (Li, 2015, p. 54; Chen, 2018, p.326).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The above is an analysis of the reasons for the boom of tuition providers in mainland China at the level of demand. However, the focus is on the needs of parents and the authors did not retrieve much literature on the needs of students. All of the above is about the reasons why tuition providers have been able to rise to prosperity. One is the policy support; the other is the growth in demand.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In short, the above two factors are the most researched studies on the boom of tuition agencies that the author has retrieved. It cannot be denied that there can be many reasons affecting the boom of extra-curricular tutoring, such as whether the strength of the relevance of the test questions in the college entrance examination to the content taught in the textbook has a direct or indirect relationship to the thriving of tutoring institutions. This factor could be investigated in future research studies.</w:t>
      </w:r>
    </w:p>
    <w:p>
      <w:pPr>
        <w:spacing w:line="480" w:lineRule="auto"/>
        <w:jc w:val="both"/>
        <w:rPr>
          <w:rFonts w:eastAsia="宋体"/>
          <w:bCs/>
          <w:lang w:eastAsia="zh-CN"/>
        </w:rPr>
      </w:pPr>
    </w:p>
    <w:p>
      <w:pPr>
        <w:numPr>
          <w:ilvl w:val="2"/>
          <w:numId w:val="2"/>
        </w:numPr>
        <w:spacing w:line="480" w:lineRule="auto"/>
        <w:jc w:val="both"/>
        <w:rPr>
          <w:rFonts w:eastAsia="宋体"/>
          <w:b/>
          <w:lang w:eastAsia="zh-CN"/>
        </w:rPr>
      </w:pPr>
      <w:r>
        <w:rPr>
          <w:rFonts w:eastAsia="宋体"/>
          <w:b/>
          <w:lang w:eastAsia="zh-CN"/>
        </w:rPr>
        <w:t>The impact of the boom in the tuition market</w:t>
      </w:r>
    </w:p>
    <w:p>
      <w:pPr>
        <w:spacing w:line="480" w:lineRule="auto"/>
        <w:jc w:val="both"/>
        <w:rPr>
          <w:rFonts w:eastAsia="宋体"/>
          <w:bCs/>
          <w:lang w:eastAsia="zh-CN"/>
        </w:rPr>
      </w:pPr>
      <w:r>
        <w:rPr>
          <w:rFonts w:eastAsia="宋体"/>
          <w:bCs/>
          <w:lang w:eastAsia="zh-CN"/>
        </w:rPr>
        <w:t xml:space="preserve">Despite the rapid growth of extra-curricular organizations, their existence has brought with it both positive and negative effects. The author has examined most of the literature and realized that researchers generally agree that the negative effects outweigh the positive ones. The first is the positive impact. The teaching method of teaching to the individual has been proposed in China since ancient times, which is simply explained as giving the most appropriate teaching method to each individual's strengths and personality (Lu, 1997; Jiang, 2019, p.135). Public schools in mainland China are class-centred, and teachers can only teach to most students in the classroom, making it difficult for public schools to meet the goals of better-based students who want to over-achieve and lesser-based students who want to use their time outside of class to bridge the gap (You, 2018, p.16). </w:t>
      </w:r>
    </w:p>
    <w:p>
      <w:pPr>
        <w:spacing w:line="480" w:lineRule="auto"/>
        <w:jc w:val="both"/>
        <w:rPr>
          <w:rFonts w:eastAsia="宋体"/>
          <w:bCs/>
          <w:lang w:eastAsia="zh-CN"/>
        </w:rPr>
      </w:pPr>
      <w:r>
        <w:rPr>
          <w:rFonts w:eastAsia="宋体"/>
          <w:bCs/>
          <w:lang w:eastAsia="zh-CN"/>
        </w:rPr>
        <w:t xml:space="preserve">In contrast to mainstream education, however, private tuition institutions can overcome this deficiency, where students are the main learners in the classroom and teachers are able to teach around their students' actual needs, effectively building on their strengths and avoiding their weaknesses so that students can develop optimally (Lv, 2016, p.17).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As a result, extra-curricular tutoring can reduce the gap between the academic levels of the best and the worst students; in other words, extra-curricular tutoring has a positive effect on improving students' performance (Zhao, 2020, p.16-17). Significantly, the trend in education after 1988 was towards the development of talents in the arts, sports and technology (Shi and Luo, 2015, p. 230). Tutorial institutions were keen to capture this market and quickly took a leading role in this trend, which led to a more diversified market for tutorial education (Lv, 2016, p.18). </w:t>
      </w:r>
    </w:p>
    <w:p>
      <w:pPr>
        <w:spacing w:line="480" w:lineRule="auto"/>
        <w:jc w:val="both"/>
        <w:rPr>
          <w:rFonts w:eastAsia="宋体"/>
          <w:bCs/>
          <w:lang w:eastAsia="zh-CN"/>
        </w:rPr>
      </w:pPr>
    </w:p>
    <w:p>
      <w:pPr>
        <w:spacing w:line="480" w:lineRule="auto"/>
        <w:jc w:val="both"/>
        <w:rPr>
          <w:rFonts w:hint="eastAsia" w:eastAsia="宋体"/>
          <w:bCs/>
          <w:lang w:eastAsia="zh-CN"/>
        </w:rPr>
      </w:pPr>
      <w:r>
        <w:rPr>
          <w:rFonts w:eastAsia="宋体"/>
          <w:bCs/>
          <w:lang w:eastAsia="zh-CN"/>
        </w:rPr>
        <w:t xml:space="preserve">The second is the negative impact. The foremost of negative effects is the rapid expansion of capital in the tuition market. Ma and Liu (2021, p.50-51) argue that the expansion of capital in education is manifested in two main forms: first, explicitly, through the increase in the number of private education institutions, the expansion of the online education market and the prevalence of various educational advertising and marketing, and more prominently, the active listing of many private education institutions; second, </w:t>
      </w:r>
      <w:r>
        <w:rPr>
          <w:rFonts w:hint="eastAsia" w:eastAsia="宋体"/>
          <w:bCs/>
          <w:lang w:eastAsia="zh-CN"/>
        </w:rPr>
        <w:t>and implicitly, through the influence of neoliberal ideology on the concept of public education.</w:t>
      </w:r>
    </w:p>
    <w:p>
      <w:pPr>
        <w:spacing w:line="480" w:lineRule="auto"/>
        <w:jc w:val="both"/>
        <w:rPr>
          <w:rFonts w:hint="eastAsia" w:eastAsia="宋体"/>
          <w:bCs/>
          <w:lang w:eastAsia="zh-CN"/>
        </w:rPr>
      </w:pPr>
    </w:p>
    <w:p>
      <w:pPr>
        <w:spacing w:line="480" w:lineRule="auto"/>
        <w:jc w:val="both"/>
        <w:rPr>
          <w:rFonts w:eastAsia="宋体"/>
          <w:bCs/>
          <w:lang w:eastAsia="zh-CN"/>
        </w:rPr>
      </w:pPr>
      <w:r>
        <w:rPr>
          <w:rFonts w:eastAsia="宋体"/>
          <w:bCs/>
          <w:lang w:eastAsia="zh-CN"/>
        </w:rPr>
        <w:t xml:space="preserve">Explicit performance: according to the Education Industry Development Report 2020, the total number of education-related enterprises in China has risen from 780,000 to 4.12 million over the past ten years; as of October 2020, there was a net increase of 340,000 education-related enterprises during the year, up 22.5 per cent year-on-year (Ma and Liu, 2021, p.51); the size of China's online education market was 156.02 billion yuan in 2016, and is expected to reach 269.26 billion yuan in 2019 269.26 billion yuan in 2016 and is expected to reach 269.26 billion yuan in 2019, as of December 2016 (Yang and Zhou, 2017, p. 63); In the first nine months of 2020, three education companies spent a total of approximately $5.5 billion on advertising and sales, more than twice as much as in the same period of 2019.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Further, numerous commercial platforms have resorted to various irresponsible marketing techniques in order to make a profit, such as false and exaggerated advertisements, bottomless low prices, making tuition fees an investment, and even the use of financial instruments such as loans by some institutions to attract customers (Ma and Liu, 2021, p.51).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In 2010, China produced a trend of out-of-school education and training institutions going public, with a number of educational institutions listing on the New York Stock Exchange and the NASDAQ market exchange in the United States one after another. As of December 2013, the eight Chinese private education institutions listed in the US had a combined market capitalisation of US$7.559 billion, up 37.6% from US$5.493 billion in December 2012 (Liu, 2015, p. 78).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Implicit manifestations: beginning in the 1980s, capital adopted a series of strategies to keep the government and the public step by step in the vortex of ideas promoted by neoliberalism (Ma and Liu, 2021, p.51). Capital trafficked in solutions while creating new social demands through various tactics, emphasising the efficacy of following the logic of the market as the most effective solution and instilling a specific set of discourses and thinking in the masses (Jiang, 2020, p. 4).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On the hottest short video platform in China in 2020, the percentage of experts employed by the platform among the anchors of short video content marketing for companies in the education sector was as high as 70.3%, which is because that experts are more likely to gain the trust of the public and thus achieve a rapid conversion of capital. In short, capital has intervened in the field of people's livelihood in the name of effectiveness, and education, a public cause of people's livelihood, has gradually become a territory for capital to grab profits (Ma and Liu, 2021, p.53; Katz, Wang, and Yue, 2021, p.111).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There is no doubt that the expansion of capital in the private education sector by the means described above has had a negative impact. The overall impact can be divided into negative effects on students and parents, on schools and on society. The adverse effects on students and parents can be grouped into those on the physical health of students and those on the financial burden on parents. The proliferation of tuition agencies has heightened the amount of time students spend on subject-based learning and tends to cause them to feel fatigued in their studies (Lv, 2016, p.18).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In a survey conducted by Sun (2017, p. 36) in four Chinese provinces and cities in 2015, it was found that students spent an average of 27 hours per week on extracurricular learning, ranking 2nd among the participating OECD (</w:t>
      </w:r>
      <w:r>
        <w:rPr>
          <w:rFonts w:eastAsia="宋体"/>
        </w:rPr>
        <w:t>Organization for Economic Co-operation and Development</w:t>
      </w:r>
      <w:r>
        <w:rPr>
          <w:rFonts w:eastAsia="宋体"/>
          <w:bCs/>
          <w:lang w:eastAsia="zh-CN"/>
        </w:rPr>
        <w:t xml:space="preserve">) countries (regions); the amount of time spent on extracurricular learning in science, mathematics, languages, foreign languages, and other subjects was 4. 4 hours, 6. 6 hours, 5. 6 hours, 5. 2 hours and 5. 2 hours respectively,  all far above the average for OECD countries (regions). Extremely long study hours are a red flag for students' health. The total myopia rate among children and adolescents in China was 53.6% in 2018. Among them, the detection rate of poor visual acuity was 14.5% for 6-year-old children, 36.0% for primary school students, 71.6% for junior high school students and 81.0% for high school students (Zhao, Wang, Guan, Shi, Li, and Rozelle, 2020, p. 117).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For parents, in 2012, the private cost of extracurricular tuition accounted for 10.41% of annual net household income and 44.29% of total education expenditure, with almost half of total education expenditure attributable to participation in extracurricular tuition (Qu and Xue, 2015, p. 22). Based on the above data, private tuition is not only detrimental to students' health but also to parents' economic situation. Capital is willing to hire quality teachers from public schools at high salaries to upgrade the quality of private education, and this is causing public schools to lose talent, which leads to a decrease in the quality of education in public schools (Dai and Guo, 2020, p. 47). This is the danger to the schools. As in other countries (and regions), private education in China undermines educational equity. Cultural capital reproduction theory suggests that cultural capital is higher in upper class families and that children from upper class families can acquire more cultural capital in the family and socialization learning process than children from lower class families (Xie, 2021, p. 6; Xu and Zhou, 2018, p.160).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As an example, in 2017, urban households spent RMB 16,201 per year on their children's education, 2.5 times more than rural households, of which 41% was spent on out-of-school education, twice as much as rural households (Wei, 2020, p. 107). In the long-term, China's social class will become more entrenched and students from poor families will be less able to compete with students from well-off families (Ma and Liu, 2021, p.57).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 xml:space="preserve">Even more alarming is the influx of capital into the education sector, which has led to involution." Involution" means that when things reach a certain stage of development, they simply repeat themselves internally, and despite increasing refinement and complexity, they ultimately remain internally repetitive and fail to develop beyond boundaries (Chen, 2020, p. 144). On the one hand, the influx of capital into the market for extra-curricular tuition has led to disorderly and vicious competition to capture market share, resulting in serious internal conflict in the private education sector, which is useless for promoting the development of education (Ma and Liu, 2021, p.56). On the other hand, to capture more of the market, capital has put forward many vague and confusing educational ideas, such as intensive training camps for poor students and private tailor-made teaching. These new educational concepts reflect the encroachment of market logic on the educational discourse, which has become increasingly vulgarized as a result (Ma and Liu, 2021, p.56). </w:t>
      </w:r>
    </w:p>
    <w:p>
      <w:pPr>
        <w:spacing w:line="480" w:lineRule="auto"/>
        <w:jc w:val="both"/>
        <w:rPr>
          <w:rFonts w:eastAsia="宋体"/>
          <w:bCs/>
          <w:lang w:eastAsia="zh-CN"/>
        </w:rPr>
      </w:pPr>
    </w:p>
    <w:p>
      <w:pPr>
        <w:numPr>
          <w:ilvl w:val="2"/>
          <w:numId w:val="2"/>
        </w:numPr>
        <w:spacing w:line="480" w:lineRule="auto"/>
        <w:jc w:val="both"/>
        <w:rPr>
          <w:rFonts w:eastAsia="宋体"/>
          <w:b/>
          <w:lang w:eastAsia="zh-CN"/>
        </w:rPr>
      </w:pPr>
      <w:r>
        <w:rPr>
          <w:rFonts w:eastAsia="宋体"/>
          <w:b/>
          <w:lang w:eastAsia="zh-CN"/>
        </w:rPr>
        <w:t>The suggestions given for the development of shadow education in mainland China</w:t>
      </w:r>
    </w:p>
    <w:p>
      <w:pPr>
        <w:spacing w:line="480" w:lineRule="auto"/>
        <w:jc w:val="both"/>
        <w:rPr>
          <w:rFonts w:eastAsia="宋体"/>
          <w:bCs/>
          <w:lang w:eastAsia="zh-CN"/>
        </w:rPr>
      </w:pPr>
      <w:r>
        <w:rPr>
          <w:rFonts w:eastAsia="宋体"/>
          <w:bCs/>
          <w:lang w:eastAsia="zh-CN"/>
        </w:rPr>
        <w:t xml:space="preserve">Before 2021, several suggestions for improvement regarding private education in mainland China can be segmented into three areas. The first is to establish laws and regulations to monitor tuition institutions and set up relevant enforcement and supervision departments to guarantee the effective functioning of the education and training market (Song and Xue, 2018, p. 85; Zhang, 2019, p.107). Second, the government and schools should work together to enhance the quality of education in public schools, change the notion of grade above all, and sufficiently consider students' interests and strengths in teaching (Yang, 2018, p.11; Lu, 2019, p.80; Wang, Gong, and Pei, 2019, p.80-81). Finally, the government should encourage tuition institutions to form partnerships with non-profit organisations, families, communities, businesses, and networks to strengthen social participation in the governance of the tuition market, so as to make shadow education transparent and open, and collaborate to create a healthy ecology for the development of shadow education (Yang, 2018, p. 12; Zheng, Ren, and Liu, 2020, p. 63). </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However, the double reduction policy was released on 24 July 2021 and the supplementary market in mainland China was devastated, and the above recommendations may not be applicable to the current study. The author did not retrieve much relevant literature due to the short time frame of the release, so the current research study was able to fill this gap.</w:t>
      </w:r>
    </w:p>
    <w:p>
      <w:pPr>
        <w:spacing w:line="480" w:lineRule="auto"/>
        <w:jc w:val="both"/>
        <w:rPr>
          <w:rFonts w:eastAsia="宋体"/>
          <w:bCs/>
          <w:lang w:eastAsia="zh-CN"/>
        </w:rPr>
      </w:pPr>
    </w:p>
    <w:p>
      <w:pPr>
        <w:spacing w:line="480" w:lineRule="auto"/>
        <w:jc w:val="both"/>
        <w:rPr>
          <w:rFonts w:eastAsia="宋体"/>
          <w:bCs/>
          <w:lang w:eastAsia="zh-CN"/>
        </w:rPr>
      </w:pPr>
      <w:r>
        <w:rPr>
          <w:rFonts w:eastAsia="宋体"/>
          <w:bCs/>
          <w:lang w:eastAsia="zh-CN"/>
        </w:rPr>
        <w:t>Admittedly, the author's search for literature related to shadow education in mainland China was incomplete and did not analyse and study all the contents of the search, but was selective. For example, with regard to the causes of the rise to prosperity of shadow education in mainland China, the authors only selected the concerns of most researchers, while others found causes from different perspectives when studying the causes, such as the pressure of peer competition leading to the popularity of tutoring behaviour. As the author's research study is in a blank field, there is not much literature available. In future research studies it is possible to focus not only on the development path of tuition providers but also to examine the positive and negative effects that tuition organizations under the double reduction policy have had on the education sector in China in response to the implementation of the policy.</w:t>
      </w:r>
    </w:p>
    <w:p>
      <w:pPr>
        <w:spacing w:line="480" w:lineRule="auto"/>
        <w:jc w:val="both"/>
        <w:rPr>
          <w:rFonts w:eastAsia="宋体"/>
          <w:bCs/>
          <w:lang w:eastAsia="zh-CN"/>
        </w:rPr>
      </w:pPr>
    </w:p>
    <w:p>
      <w:pPr>
        <w:numPr>
          <w:ilvl w:val="0"/>
          <w:numId w:val="2"/>
        </w:numPr>
        <w:spacing w:line="480" w:lineRule="auto"/>
        <w:outlineLvl w:val="0"/>
        <w:rPr>
          <w:b/>
        </w:rPr>
      </w:pPr>
      <w:bookmarkStart w:id="8" w:name="_Toc45110170"/>
      <w:r>
        <w:rPr>
          <w:b/>
          <w:sz w:val="28"/>
          <w:szCs w:val="28"/>
        </w:rPr>
        <w:t>METHODOLOGY REVIEW</w:t>
      </w:r>
      <w:bookmarkEnd w:id="8"/>
      <w:bookmarkStart w:id="9" w:name="_Toc45110171"/>
    </w:p>
    <w:p>
      <w:pPr>
        <w:numPr>
          <w:ilvl w:val="0"/>
          <w:numId w:val="0"/>
        </w:numPr>
        <w:spacing w:line="480" w:lineRule="auto"/>
        <w:outlineLvl w:val="0"/>
        <w:rPr>
          <w:b/>
        </w:rPr>
      </w:pPr>
      <w:r>
        <w:rPr>
          <w:rFonts w:hint="eastAsia" w:eastAsia="宋体"/>
          <w:b/>
          <w:sz w:val="28"/>
          <w:szCs w:val="28"/>
          <w:lang w:val="en-US" w:eastAsia="zh-CN"/>
        </w:rPr>
        <w:t>3.1.</w:t>
      </w:r>
      <w:r>
        <w:rPr>
          <w:rFonts w:hint="eastAsia" w:eastAsia="宋体"/>
          <w:b/>
          <w:lang w:val="en-US" w:eastAsia="zh-CN"/>
        </w:rPr>
        <w:t xml:space="preserve">  </w:t>
      </w:r>
      <w:r>
        <w:rPr>
          <w:b/>
        </w:rPr>
        <w:t>Introduction</w:t>
      </w:r>
      <w:bookmarkEnd w:id="9"/>
    </w:p>
    <w:p>
      <w:pPr>
        <w:spacing w:line="480" w:lineRule="auto"/>
        <w:jc w:val="both"/>
        <w:outlineLvl w:val="1"/>
        <w:rPr>
          <w:rFonts w:eastAsia="宋体"/>
          <w:bCs/>
          <w:lang w:eastAsia="zh-CN"/>
        </w:rPr>
      </w:pPr>
      <w:r>
        <w:rPr>
          <w:bCs/>
        </w:rPr>
        <w:t>This research will examine the future viability of China's after-school tutoring institutions in the context of the double reduction policy. The most applicable methodological approach for this study is qualitative research</w:t>
      </w:r>
      <w:r>
        <w:rPr>
          <w:rFonts w:eastAsia="宋体"/>
          <w:bCs/>
          <w:lang w:eastAsia="zh-CN"/>
        </w:rPr>
        <w:t xml:space="preserve">.  Devetak, Glažar, and Vogrinc (2010, p.77-78) argue that qualitative research is not a uniform phenomenon from an epistemological, methodological and ontological point of view and that it accommodates various types of research, such as life histories, case studies and action research. Wang (1995) further maintains that qualitative research is a research method that involves the collection of qualitative data in natural contexts and the use of interpretation and empathy to reveal and understand social phenomena and their internal meanings, and is "a paradigm consisting of cultural anthropological methods, action research, and fieldwork methods as opposed to quantitative research.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Devetak, Glažar, and Vogrinc (2010, p.78) also embrace the concept that qualitative research should stress the literal rather than the quantitative in the collection and analysis of data, and that it should be an exploratory method. Bryman (2004) extends the concept of qualitative research by recognising that it is an inductive, constructivist and interpretive approach to inquiry, while suggesting that qualitative research should also emphasise process rather than just ultimate outcomes, and that it should be flexible in evolving notions and theories as a consequence of the research process. Chen (1996) adds to the analytical approach of qualitative research by endorsing an inductive approach, collecting at the time local The researcher himself is the primary research instrument and his personal background and relationship with the researched person must be considered in terms of its impact on the research process and findings; the research process is an The research process is an integral part of the research findings and must be well documented and reported.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On the basis of the theories of other researchers, Feng (2017, p.50-51) divides qualitative research into two categories according to its basic qualities: qualitative research that is essentially characterized by in-depth fieldwork, including mainly field studies, participant observation and ethnography, which are based on the collection and analysis of observational data and interview data; and qualitative research that is essentially characterized by a focus on texts, although some of these approaches also use the field-type approaches mentioned above.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The other is qualitative research with a focus on the basic features of the text, although some of these approaches also use some of the specific methods of the field-based approach described above. These include various forms of textual research, such as discourse analysis, narrative analysis, conversation analysis, and historical-comparative analysis (Bryman, 2004; Babble, 2004; Lawrence, 2014). Nachmia and Nachmia (2000, p.257) consider field research to be the most important data collection strategy in qualitative research methodology; the other type of approach can be referred to as textual, as this classification better distinguishes and highlights the characteristics of in-depth fieldwork and textual focus. and text-focused characteristics, it is a relatively clear and relatively important classification for learning and using qualitative research (Feng, 2017, p.51).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This study attempts to use the first category of qualitative research. Qualitative research requires the collection of data, which can be sourced from interviews and observations or from diverse documents, such as birth certificates, passports, photographs (Devetak, Glažar, and Vogrinc, 2010, p.78; Feng, 2017, p.50). The methods used in this research will be interviews. Interviews are conducted through in-depth conversations with respondents to understand the experiences and lifestyles of a particular social group experiences and lifestyles of a particular social group, to explore the processes that shape a particular social phenomenon and to suggest ideas and methods for solving social problems (Sun, 2012, p.101). Therefore, this study decided to use face-to-face interviews. </w:t>
      </w:r>
    </w:p>
    <w:p>
      <w:pPr>
        <w:numPr>
          <w:ilvl w:val="0"/>
          <w:numId w:val="0"/>
        </w:numPr>
        <w:spacing w:line="480" w:lineRule="auto"/>
        <w:ind w:leftChars="0"/>
        <w:outlineLvl w:val="1"/>
        <w:rPr>
          <w:b/>
        </w:rPr>
      </w:pPr>
      <w:bookmarkStart w:id="10" w:name="_Toc45110172"/>
      <w:r>
        <w:rPr>
          <w:rFonts w:hint="eastAsia" w:eastAsia="宋体"/>
          <w:b/>
          <w:lang w:val="en-US" w:eastAsia="zh-CN"/>
        </w:rPr>
        <w:t xml:space="preserve">3.2. </w:t>
      </w:r>
      <w:r>
        <w:rPr>
          <w:b/>
        </w:rPr>
        <w:t>Context of Study</w:t>
      </w:r>
      <w:bookmarkEnd w:id="10"/>
    </w:p>
    <w:p>
      <w:pPr>
        <w:spacing w:line="480" w:lineRule="auto"/>
        <w:jc w:val="both"/>
        <w:outlineLvl w:val="1"/>
        <w:rPr>
          <w:rFonts w:eastAsia="宋体"/>
          <w:bCs/>
          <w:lang w:eastAsia="zh-CN"/>
        </w:rPr>
      </w:pPr>
      <w:r>
        <w:rPr>
          <w:bCs/>
        </w:rPr>
        <w:t>What needs to be clarified before the study can begin is the context of this study.</w:t>
      </w:r>
      <w:r>
        <w:rPr>
          <w:rFonts w:eastAsia="宋体"/>
          <w:bCs/>
          <w:lang w:eastAsia="zh-CN"/>
        </w:rPr>
        <w:t xml:space="preserve"> There is a reason for the release of the double reduction policy. What can be gained from the literature review is that the uncontrolled expansion of educational institutions has messed up the education market. Yet, it is worth wondering what has led to the unchecked growth of educational institutions.</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Following the launch of the Double Reduction Policy, its overall objective is to reduce the excessive burden of homework and out-of-school training on students, and to reduce family education expenses and the corresponding energy burden on parents, thereby enhancing the people's satisfaction with education (Liu, 2021, p.85). Among these burdens, the most fundamental one is actually the pursuit of academic achievement, which can also be interpreted as the academic burden that creates them (Long, 2021, p.146-147).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Although the double reduction seeks to overcome the problem of overburden, in an online survey conducted in June 2021 with 822 participants, 75.2 per cent of parents did not support a ban on extracurricular training institutions running classes on weekends and during summer and winter holidays, and 63.8 per cent of parents said they would hire private individual tutors for their children if a ban were imposed (Liu, 2021, p.86). It is generally accepted that the double reduction policy has not achieved its objectives for the time being. Exploring the reasons behind the situation is probably deeply linked to peer pressure.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Meng (2017, p.21) insists that peer pressure is the subjective experience of pressure felt by an individual to think and act in a way that is not the individual's intention because they are influenced by their peers or peers to think and act in a way that is prescribed by their peers. Li (2016, p.260) supplements that peer pressure is also a form of subordination pressure, which can be very strong but has a silent effect on the psychology of young people. Gulati (2017) further adds and acknowledges that peer pressure can have both positive and negative effects on a person, but because peer pressure is an ongoing learning, the effect on the individual is invisible.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Peer pressure becomes even more difficult to ignore when it is placed on the academic performance of students. According to a study by Moldes, Biton, Gonzaga, and Moneva (2019, p.304), the presence of peers helped students to complete their studies and to have a greater desire to learn; moreover, students' academic satisfaction was more likely to be derived from their peers. Superficially, peer pressure seems this has a positive impact on students' academic performance. However, in reality, in the context of Chinese education, it is the Gao Kao examination that is the main way in which the Chinese government selects talents (Yuan, 2018, p. 1); academic performance is the almost sole basis for admissions evaluation, and success in the college entrance exam becomes almost the only thing that students care about throughout their academic career (Liu, 2016, p.73).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As a result, peer pressure in such a context easily causes students to compare themselves to each other in terms of academic performance. For this phenomenon, it might be called the involution of the Chinese educational community (Huang, 2021, p.157). The upside of the wave of involution is the general increase in test scores, but it gradually forces a rise in competitive difficulty for the sake of differentiation (Xu and Ma, 2021, p.2). From a capital perspective the involution of education is a large untapped market into which capital is pouring to develop and expand private training schools or institutions (Qiao and Li, 2021, p.63).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In addition, many capitals choose illegal methods to gain access to more markets. Based on a 2018 survey report, extracurricular tuition organizations licensed by the market regulator account for only about 30% of the overall extracurricular tuition market (Xue and Diao, 2021, p.157).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Apart from capturing the tuition market, capital has found another way to set its sights on real estate. Under the slogan of "choosing schools by houses", they build properties near prestigious schools and tuition institutions and give these properties the name "school district houses" (Liu and Sun, 2015, p.91). he association of school district housing with quality educational resources has led to a justifiable increase in property prices, which has increased the financial burden on families (Chen and Miao, 2021, p.56-57). What is even more disturbing is that the involution of education has transformed students into examination machines. Involution imposes an additional clamp on the subjectivity and literacy of students (Xu and Ma, 2021, p.2). It makes students confused, exhausted and in a constant state of endless comparison (Xu and Ma, 2021, p.2). Clearly, this is a negative consequences of the involution of education.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The release of the double reduction policy has unleashed a signal to address the involution of education. Consequently, private educational institutions have been the target of a crackdown. But tuition institutions are not all flawed. Firstly, their existence can improve the academic performance of students, especially for those who are lacking in academic performance (Li and Pan, 2021, p.51). Secondly, it boosts consumption and economic growth (Diao, Zhao, Wang, and Shi, 2021, p.82-82). Hence, in this environment, it is particularly important to find a sustainable path for educational institutions.</w:t>
      </w:r>
    </w:p>
    <w:p>
      <w:pPr>
        <w:spacing w:line="480" w:lineRule="auto"/>
        <w:jc w:val="both"/>
        <w:outlineLvl w:val="1"/>
        <w:rPr>
          <w:rFonts w:eastAsia="宋体"/>
          <w:bCs/>
          <w:lang w:eastAsia="zh-CN"/>
        </w:rPr>
      </w:pPr>
    </w:p>
    <w:p>
      <w:pPr>
        <w:numPr>
          <w:ilvl w:val="0"/>
          <w:numId w:val="0"/>
        </w:numPr>
        <w:spacing w:line="480" w:lineRule="auto"/>
        <w:ind w:leftChars="0"/>
        <w:outlineLvl w:val="1"/>
        <w:rPr>
          <w:b/>
        </w:rPr>
      </w:pPr>
      <w:bookmarkStart w:id="11" w:name="_Toc45110173"/>
      <w:r>
        <w:rPr>
          <w:rFonts w:hint="eastAsia" w:eastAsia="宋体"/>
          <w:b/>
          <w:lang w:val="en-US" w:eastAsia="zh-CN"/>
        </w:rPr>
        <w:t xml:space="preserve">3.3. </w:t>
      </w:r>
      <w:r>
        <w:rPr>
          <w:b/>
        </w:rPr>
        <w:t>Justification for Methodology</w:t>
      </w:r>
      <w:bookmarkEnd w:id="11"/>
      <w:r>
        <w:rPr>
          <w:b/>
        </w:rPr>
        <w:t xml:space="preserve"> </w:t>
      </w:r>
    </w:p>
    <w:p>
      <w:pPr>
        <w:spacing w:line="480" w:lineRule="auto"/>
        <w:jc w:val="both"/>
        <w:outlineLvl w:val="1"/>
        <w:rPr>
          <w:rFonts w:eastAsia="宋体"/>
          <w:bCs/>
          <w:lang w:eastAsia="zh-CN"/>
        </w:rPr>
      </w:pPr>
      <w:r>
        <w:rPr>
          <w:bCs/>
        </w:rPr>
        <w:t>Qualitative interviews can be classified loosely into unstructured interviews, semi-structured interviews and structured interviews</w:t>
      </w:r>
      <w:r>
        <w:rPr>
          <w:rFonts w:eastAsia="宋体"/>
          <w:bCs/>
          <w:lang w:eastAsia="zh-CN"/>
        </w:rPr>
        <w:t xml:space="preserve"> (</w:t>
      </w:r>
      <w:r>
        <w:rPr>
          <w:rFonts w:eastAsia="宋体"/>
        </w:rPr>
        <w:t>Bernard</w:t>
      </w:r>
      <w:r>
        <w:rPr>
          <w:rFonts w:eastAsia="宋体"/>
          <w:lang w:eastAsia="zh-CN"/>
        </w:rPr>
        <w:t xml:space="preserve">, 1988; </w:t>
      </w:r>
      <w:r>
        <w:rPr>
          <w:rFonts w:eastAsia="宋体"/>
        </w:rPr>
        <w:t>Crabtree</w:t>
      </w:r>
      <w:r>
        <w:rPr>
          <w:rFonts w:eastAsia="宋体"/>
          <w:lang w:eastAsia="zh-CN"/>
        </w:rPr>
        <w:t xml:space="preserve"> and </w:t>
      </w:r>
      <w:r>
        <w:rPr>
          <w:rFonts w:eastAsia="宋体"/>
        </w:rPr>
        <w:t>Miller</w:t>
      </w:r>
      <w:r>
        <w:rPr>
          <w:rFonts w:eastAsia="宋体"/>
          <w:lang w:eastAsia="zh-CN"/>
        </w:rPr>
        <w:t xml:space="preserve">, 1999; and, </w:t>
      </w:r>
      <w:r>
        <w:rPr>
          <w:rFonts w:eastAsia="宋体"/>
        </w:rPr>
        <w:t>Fontana</w:t>
      </w:r>
      <w:r>
        <w:rPr>
          <w:rFonts w:eastAsia="宋体"/>
          <w:lang w:eastAsia="zh-CN"/>
        </w:rPr>
        <w:t xml:space="preserve"> and </w:t>
      </w:r>
      <w:r>
        <w:rPr>
          <w:rFonts w:eastAsia="宋体"/>
        </w:rPr>
        <w:t>Frey</w:t>
      </w:r>
      <w:r>
        <w:rPr>
          <w:rFonts w:eastAsia="宋体"/>
          <w:lang w:eastAsia="zh-CN"/>
        </w:rPr>
        <w:t>, 2005</w:t>
      </w:r>
      <w:r>
        <w:rPr>
          <w:rFonts w:eastAsia="宋体"/>
          <w:bCs/>
          <w:lang w:eastAsia="zh-CN"/>
        </w:rPr>
        <w:t>)</w:t>
      </w:r>
      <w:r>
        <w:rPr>
          <w:bCs/>
        </w:rPr>
        <w:t>.</w:t>
      </w:r>
      <w:r>
        <w:rPr>
          <w:rFonts w:eastAsia="宋体"/>
          <w:bCs/>
          <w:lang w:eastAsia="zh-CN"/>
        </w:rPr>
        <w:t xml:space="preserve"> The decision to use semi-structured interviews was made for this study and the rationale for using this interview format is described next.</w:t>
      </w:r>
    </w:p>
    <w:p>
      <w:pPr>
        <w:spacing w:line="480" w:lineRule="auto"/>
        <w:jc w:val="both"/>
        <w:outlineLvl w:val="1"/>
        <w:rPr>
          <w:rFonts w:eastAsia="宋体"/>
          <w:bCs/>
          <w:lang w:eastAsia="zh-CN"/>
        </w:rPr>
      </w:pPr>
    </w:p>
    <w:p>
      <w:pPr>
        <w:spacing w:line="480" w:lineRule="auto"/>
        <w:jc w:val="both"/>
        <w:outlineLvl w:val="1"/>
        <w:rPr>
          <w:bCs/>
        </w:rPr>
      </w:pPr>
      <w:r>
        <w:rPr>
          <w:rFonts w:eastAsia="宋体"/>
          <w:bCs/>
          <w:lang w:eastAsia="zh-CN"/>
        </w:rPr>
        <w:t xml:space="preserve">Streubert and Carpenter (1999) believe that an unstructured interview is one in which the interviewer asks an open-ended question and then engages in a conversation with the respondent on a particular topic, leading to a response from the participant. </w:t>
      </w:r>
      <w:r>
        <w:rPr>
          <w:bCs/>
        </w:rPr>
        <w:t>For example, the interviewer poses an open-ended question to the participant, "Please describe your experience in the teaching profession". There is no set answer to this type of open-ended question and the interviewee is required to respond based on his or her own actual experiences and experiences (</w:t>
      </w:r>
      <w:r>
        <w:rPr>
          <w:rFonts w:eastAsia="宋体"/>
          <w:color w:val="222222"/>
          <w:shd w:val="clear" w:color="auto" w:fill="FFFFFF"/>
          <w:lang w:eastAsia="zh-CN"/>
        </w:rPr>
        <w:t>Moyle, 2002, p.267</w:t>
      </w:r>
      <w:r>
        <w:rPr>
          <w:bCs/>
        </w:rPr>
        <w:t>). The interviewer avoids using a clear framework to guide the questions asked and instead follows the direction of the participant's storytelling to answer the questions posed, a narrative approach that is beneficial in that it is not influenced by the interviewer, but rather from the participant's perspective (</w:t>
      </w:r>
      <w:r>
        <w:rPr>
          <w:rFonts w:eastAsia="宋体"/>
          <w:color w:val="000000" w:themeColor="text1"/>
          <w14:textFill>
            <w14:solidFill>
              <w14:schemeClr w14:val="tx1"/>
            </w14:solidFill>
          </w14:textFill>
        </w:rPr>
        <w:t>Mueller,</w:t>
      </w:r>
      <w:r>
        <w:rPr>
          <w:rFonts w:eastAsia="宋体"/>
          <w:color w:val="000000" w:themeColor="text1"/>
          <w:lang w:eastAsia="zh-CN"/>
          <w14:textFill>
            <w14:solidFill>
              <w14:schemeClr w14:val="tx1"/>
            </w14:solidFill>
          </w14:textFill>
        </w:rPr>
        <w:t xml:space="preserve"> and </w:t>
      </w:r>
      <w:r>
        <w:fldChar w:fldCharType="begin"/>
      </w:r>
      <w:r>
        <w:instrText xml:space="preserve"> HYPERLINK "https://scholar.lanfanshu.cn/citations?user=h-irCvIAAAAJ&amp;hl=zh-CN&amp;oi=sra" </w:instrText>
      </w:r>
      <w:r>
        <w:fldChar w:fldCharType="separate"/>
      </w:r>
      <w:r>
        <w:rPr>
          <w:rStyle w:val="14"/>
          <w:rFonts w:eastAsia="宋体"/>
          <w:color w:val="000000" w:themeColor="text1"/>
          <w:u w:val="none"/>
          <w14:textFill>
            <w14:solidFill>
              <w14:schemeClr w14:val="tx1"/>
            </w14:solidFill>
          </w14:textFill>
        </w:rPr>
        <w:t>Segal</w:t>
      </w:r>
      <w:r>
        <w:rPr>
          <w:rStyle w:val="14"/>
          <w:rFonts w:eastAsia="宋体"/>
          <w:color w:val="000000" w:themeColor="text1"/>
          <w:u w:val="none"/>
          <w14:textFill>
            <w14:solidFill>
              <w14:schemeClr w14:val="tx1"/>
            </w14:solidFill>
          </w14:textFill>
        </w:rPr>
        <w:fldChar w:fldCharType="end"/>
      </w:r>
      <w:r>
        <w:rPr>
          <w:rFonts w:eastAsia="宋体"/>
          <w:color w:val="000000" w:themeColor="text1"/>
          <w:lang w:eastAsia="zh-CN"/>
          <w14:textFill>
            <w14:solidFill>
              <w14:schemeClr w14:val="tx1"/>
            </w14:solidFill>
          </w14:textFill>
        </w:rPr>
        <w:t>, 2015, p.1</w:t>
      </w:r>
      <w:r>
        <w:rPr>
          <w:bCs/>
        </w:rPr>
        <w:t xml:space="preserve">). </w:t>
      </w:r>
    </w:p>
    <w:p>
      <w:pPr>
        <w:spacing w:line="480" w:lineRule="auto"/>
        <w:jc w:val="both"/>
        <w:outlineLvl w:val="1"/>
        <w:rPr>
          <w:bCs/>
        </w:rPr>
      </w:pPr>
    </w:p>
    <w:p>
      <w:pPr>
        <w:spacing w:line="480" w:lineRule="auto"/>
        <w:jc w:val="both"/>
        <w:outlineLvl w:val="1"/>
        <w:rPr>
          <w:rFonts w:eastAsia="宋体"/>
          <w:bCs/>
          <w:lang w:eastAsia="zh-CN"/>
        </w:rPr>
      </w:pPr>
      <w:r>
        <w:rPr>
          <w:bCs/>
        </w:rPr>
        <w:t>In practice, however, no interview can truly be considered unstructured and some are comparatively unstructured and more or less equivalent to guided conversations</w:t>
      </w:r>
      <w:r>
        <w:rPr>
          <w:rFonts w:eastAsia="宋体"/>
          <w:bCs/>
          <w:lang w:eastAsia="zh-CN"/>
        </w:rPr>
        <w:t xml:space="preserve"> (</w:t>
      </w:r>
      <w:r>
        <w:rPr>
          <w:rFonts w:eastAsia="serif"/>
        </w:rPr>
        <w:t>DiCicco-Bloom</w:t>
      </w:r>
      <w:r>
        <w:rPr>
          <w:rFonts w:eastAsia="宋体"/>
          <w:lang w:eastAsia="zh-CN"/>
        </w:rPr>
        <w:t xml:space="preserve"> and </w:t>
      </w:r>
      <w:r>
        <w:rPr>
          <w:rFonts w:eastAsia="serif"/>
        </w:rPr>
        <w:t>Crabtre</w:t>
      </w:r>
      <w:r>
        <w:rPr>
          <w:rFonts w:eastAsia="宋体"/>
          <w:lang w:eastAsia="zh-CN"/>
        </w:rPr>
        <w:t>e, 2006, p.315</w:t>
      </w:r>
      <w:r>
        <w:rPr>
          <w:rFonts w:eastAsia="宋体"/>
          <w:bCs/>
          <w:lang w:eastAsia="zh-CN"/>
        </w:rPr>
        <w:t>)</w:t>
      </w:r>
      <w:r>
        <w:rPr>
          <w:bCs/>
        </w:rPr>
        <w:t>.</w:t>
      </w:r>
      <w:r>
        <w:rPr>
          <w:rFonts w:eastAsia="宋体"/>
          <w:bCs/>
          <w:lang w:eastAsia="zh-CN"/>
        </w:rPr>
        <w:t xml:space="preserve"> A structured interview can also be referred to as a standardised interview (</w:t>
      </w:r>
      <w:r>
        <w:rPr>
          <w:rFonts w:eastAsia="宋体"/>
        </w:rPr>
        <w:t>Kumar</w:t>
      </w:r>
      <w:r>
        <w:rPr>
          <w:rFonts w:eastAsia="宋体"/>
          <w:lang w:eastAsia="zh-CN"/>
        </w:rPr>
        <w:t>, 2018</w:t>
      </w:r>
      <w:r>
        <w:rPr>
          <w:rFonts w:eastAsia="宋体"/>
          <w:bCs/>
          <w:lang w:eastAsia="zh-CN"/>
        </w:rPr>
        <w:t>). It consists of participants providing a series of questions with specific responses and always provides a fixed range of answers that are relatively quick and easy to administer (</w:t>
      </w:r>
      <w:r>
        <w:rPr>
          <w:rFonts w:eastAsia="serif"/>
        </w:rPr>
        <w:t>Fraenkel</w:t>
      </w:r>
      <w:r>
        <w:rPr>
          <w:rFonts w:eastAsia="宋体"/>
          <w:lang w:eastAsia="zh-CN"/>
        </w:rPr>
        <w:t xml:space="preserve"> and Wallen, 2012; </w:t>
      </w:r>
      <w:r>
        <w:rPr>
          <w:rFonts w:eastAsia="serif"/>
        </w:rPr>
        <w:t xml:space="preserve">Gill, Stewart, Treasure, </w:t>
      </w:r>
      <w:r>
        <w:rPr>
          <w:rFonts w:eastAsia="宋体"/>
          <w:lang w:eastAsia="zh-CN"/>
        </w:rPr>
        <w:t>and</w:t>
      </w:r>
      <w:r>
        <w:rPr>
          <w:rFonts w:eastAsia="serif"/>
        </w:rPr>
        <w:t xml:space="preserve"> Chadwick</w:t>
      </w:r>
      <w:r>
        <w:rPr>
          <w:rFonts w:eastAsia="宋体"/>
          <w:lang w:eastAsia="zh-CN"/>
        </w:rPr>
        <w:t>, 2008</w:t>
      </w:r>
      <w:r>
        <w:rPr>
          <w:rFonts w:eastAsia="宋体"/>
          <w:bCs/>
          <w:lang w:eastAsia="zh-CN"/>
        </w:rPr>
        <w:t xml:space="preserve">). The ultimate aim of a structured interview is to ensure that exactly similar or identical questions are asked in a similar order in each interview (Bryman, 2012; </w:t>
      </w:r>
      <w:r>
        <w:rPr>
          <w:rFonts w:eastAsia="serif"/>
        </w:rPr>
        <w:t>Abdul-Rahman</w:t>
      </w:r>
      <w:r>
        <w:rPr>
          <w:rFonts w:eastAsia="宋体"/>
          <w:lang w:eastAsia="zh-CN"/>
        </w:rPr>
        <w:t>, Wang, Wood, and Low, 2012</w:t>
      </w:r>
      <w:r>
        <w:rPr>
          <w:rFonts w:eastAsia="宋体"/>
          <w:bCs/>
          <w:lang w:eastAsia="zh-CN"/>
        </w:rPr>
        <w:t xml:space="preserv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Also, the context of the questions places the responses of all participants in the same question context, so responses can be aggregated for comparison and meaningful analysis (</w:t>
      </w:r>
      <w:r>
        <w:rPr>
          <w:rFonts w:eastAsia="serif"/>
        </w:rPr>
        <w:t>Abdul-Rahman</w:t>
      </w:r>
      <w:r>
        <w:rPr>
          <w:rFonts w:eastAsia="宋体"/>
          <w:lang w:eastAsia="zh-CN"/>
        </w:rPr>
        <w:t xml:space="preserve">, Wang, Wood, and Low, 2012; </w:t>
      </w:r>
      <w:r>
        <w:rPr>
          <w:rFonts w:eastAsia="宋体"/>
        </w:rPr>
        <w:t>Rashidi</w:t>
      </w:r>
      <w:r>
        <w:rPr>
          <w:rFonts w:eastAsia="宋体"/>
          <w:lang w:eastAsia="zh-CN"/>
        </w:rPr>
        <w:t xml:space="preserve">, Begum, Mokhtar, and </w:t>
      </w:r>
      <w:r>
        <w:rPr>
          <w:rFonts w:eastAsia="宋体"/>
        </w:rPr>
        <w:t>Pereira</w:t>
      </w:r>
      <w:r>
        <w:rPr>
          <w:rFonts w:eastAsia="宋体"/>
          <w:lang w:eastAsia="zh-CN"/>
        </w:rPr>
        <w:t>, 2014, p.29</w:t>
      </w:r>
      <w:r>
        <w:rPr>
          <w:rFonts w:eastAsia="宋体"/>
          <w:bCs/>
          <w:lang w:eastAsia="zh-CN"/>
        </w:rPr>
        <w:t xml:space="preserve">). Bryman (2012) argues that structured interviews have some advantages despite: the ability to minimise error due to differences in the questions asked; the potential for variation in interviewer question responses; and the ability of closed-ended questions to aid data processing to reduce potential errors; and ease of completion, among other advantages.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However, there are also disadvantages: the answers to the questions are influenced by the characteristics and attributes of the participants; questions that are not relevant to the topic being tested may arise due to the uniformity of the interviewees' responses; spontaneity may be lost; and it is difficult to establish rapport between the interviewer and the participant (Bryman, 2012). Semi-structured interviews offer versatility and flexibility and are a popular method of data collection (</w:t>
      </w:r>
      <w:r>
        <w:rPr>
          <w:rFonts w:eastAsia="宋体"/>
        </w:rPr>
        <w:t>Kallio</w:t>
      </w:r>
      <w:r>
        <w:rPr>
          <w:rFonts w:eastAsia="宋体"/>
          <w:lang w:eastAsia="zh-CN"/>
        </w:rPr>
        <w:t xml:space="preserve">, </w:t>
      </w:r>
      <w:r>
        <w:rPr>
          <w:rFonts w:eastAsia="宋体"/>
        </w:rPr>
        <w:t>Pietilä</w:t>
      </w:r>
      <w:r>
        <w:rPr>
          <w:rFonts w:eastAsia="宋体"/>
          <w:lang w:eastAsia="zh-CN"/>
        </w:rPr>
        <w:t xml:space="preserve">, </w:t>
      </w:r>
      <w:r>
        <w:rPr>
          <w:rFonts w:eastAsia="宋体"/>
        </w:rPr>
        <w:t>Johnson</w:t>
      </w:r>
      <w:r>
        <w:rPr>
          <w:rFonts w:eastAsia="宋体"/>
          <w:lang w:eastAsia="zh-CN"/>
        </w:rPr>
        <w:t xml:space="preserve">, and </w:t>
      </w:r>
      <w:r>
        <w:rPr>
          <w:rFonts w:eastAsia="宋体"/>
        </w:rPr>
        <w:t>Kangasniemi</w:t>
      </w:r>
      <w:r>
        <w:rPr>
          <w:rFonts w:eastAsia="宋体"/>
          <w:lang w:eastAsia="zh-CN"/>
        </w:rPr>
        <w:t>, 2016, p.2954</w:t>
      </w:r>
      <w:r>
        <w:rPr>
          <w:rFonts w:eastAsia="宋体"/>
          <w:bCs/>
          <w:lang w:eastAsia="zh-CN"/>
        </w:rPr>
        <w:t xml:space="preserve">). DiCicco-Bloom and Crabtree (2006, p.315) suggest that it can be combined with individual and group interview methods and can change as the research aims and research questions change (Kelly, 2010). </w:t>
      </w:r>
    </w:p>
    <w:p>
      <w:pPr>
        <w:spacing w:line="480" w:lineRule="auto"/>
        <w:jc w:val="both"/>
        <w:outlineLvl w:val="1"/>
        <w:rPr>
          <w:rFonts w:eastAsia="宋体"/>
          <w:bCs/>
          <w:lang w:eastAsia="zh-CN"/>
        </w:rPr>
      </w:pPr>
      <w:r>
        <w:rPr>
          <w:rFonts w:eastAsia="宋体"/>
          <w:bCs/>
          <w:lang w:eastAsia="zh-CN"/>
        </w:rPr>
        <w:t xml:space="preserve">Further, Galletta (2012) found that the semi-structured interview method enables reciprocity between interviewer and participant. There is a degree of pre-research required for semi-structured interviews, however, on the subject area of the study (Wengraf 2001, RWJF 2008, Kelly 2010) and therefore an interview guide needs to be developed before the interview begins (Mason, 2004; Rubin, and Rubin, 2005; RWJF 2008).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Typically, semi-structured interviews are conducted in the form of face-to-face interviews (Vogl, 2013, p.133). Some argue, nonetheless, that the telephone format is less suitable for qualitative interviews (Vogl, 2013, p.134; Gilham 2005; Rubin and Rubin 2005). Furthermore, telephone interviews are often dismissed because of the importance of the personal element in qualitative interviews; and they are not suitable for interviewing children (Vogl, 2013, p.134-135). Face-to-face interviews are characterised by simultaneous communication in time and place (Opdenakker, 2006). It is this synchronous communication that allows face-to-face interviews to make full use of cues such as the interviewee's voice, tone of voice, and body language during the interview, as a way of giving the interviewer a lot of additional information that can be added to the interviewer's verbal response to a question (Opdenakker, 2006). More often than not, face-to-face interviews can be recorded with the consent of the interviewee, which may result in more accurate interview reports than written notes (Opdenakker, 2006).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In general, the study entailed interviews with teachers working in private educational institutions. and the format chosen was a face-to-face interview. It is not enough to just get answers from the interviewees, the process requires the participant's eyes, tone of voice, intonation, facial expressions and body language to be involved in the research. This is because it helps the researcher to make more accurate judgements when analysing the research. In addition, the theme of the study was how educational institutions should be sustainable in the future in the context of the double reduction policy. As the time period chosen for the study is future and predictive in nature, the research topic is somewhat open-ended and does not lend itself to the framing of specific questions and answers in advance.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However, it does not mean that the question guide is completely discarded, leaving the interview process in an unrestricted state. The researcher will ask the participants directions based on the research topic, and the specific responses will be based on each participant's own experiences, etc. Therefore, semi-structured face-to-face interviews are appropriate for this study.</w:t>
      </w:r>
    </w:p>
    <w:p>
      <w:pPr>
        <w:spacing w:line="480" w:lineRule="auto"/>
        <w:jc w:val="both"/>
        <w:outlineLvl w:val="1"/>
        <w:rPr>
          <w:rFonts w:eastAsia="宋体"/>
          <w:bCs/>
          <w:lang w:eastAsia="zh-CN"/>
        </w:rPr>
      </w:pPr>
    </w:p>
    <w:p>
      <w:pPr>
        <w:numPr>
          <w:ilvl w:val="0"/>
          <w:numId w:val="0"/>
        </w:numPr>
        <w:spacing w:line="480" w:lineRule="auto"/>
        <w:ind w:leftChars="0"/>
        <w:jc w:val="both"/>
        <w:outlineLvl w:val="1"/>
        <w:rPr>
          <w:rFonts w:eastAsia="宋体"/>
          <w:bCs/>
          <w:lang w:eastAsia="zh-CN"/>
        </w:rPr>
      </w:pPr>
      <w:r>
        <w:rPr>
          <w:rFonts w:hint="eastAsia" w:eastAsia="宋体"/>
          <w:b/>
          <w:lang w:val="en-US" w:eastAsia="zh-CN"/>
        </w:rPr>
        <w:t xml:space="preserve">3.4. </w:t>
      </w:r>
      <w:r>
        <w:rPr>
          <w:b/>
        </w:rPr>
        <w:t>Population and Sample</w:t>
      </w:r>
    </w:p>
    <w:p>
      <w:pPr>
        <w:spacing w:line="480" w:lineRule="auto"/>
        <w:jc w:val="both"/>
        <w:outlineLvl w:val="1"/>
        <w:rPr>
          <w:rFonts w:eastAsia="宋体"/>
          <w:bCs/>
          <w:lang w:eastAsia="zh-CN"/>
        </w:rPr>
      </w:pPr>
      <w:r>
        <w:rPr>
          <w:rFonts w:eastAsia="宋体"/>
          <w:bCs/>
          <w:lang w:eastAsia="zh-CN"/>
        </w:rPr>
        <w:t xml:space="preserve">A qualitative research interview method was used for this study. Targeted contacts and random chance encounters were used to obtain a total of 6 interviewees. Three of them were male and three were female.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In this study, the interviewer first edited the outline of the interview in advance. This interview will be governed by the interview outline. The interview outline contained three main areas such as the purpose of the interview, basic personal information about the interviewee and the direction of the interviewer's questions. The purpose of the interview is to explain the meaning and function of the interview and to inform the interviewees that all personal information will be protected and not in danger of being leaked, so as to dispel any unnecessary worries and ensure that the interviewees are comfortable with the interview. Basic personal information about the interviewee including his or her gender, age and years of experience.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The interviews mainly involved the interviewees' understanding of the double reduction policy, their attitudes towards the double reduction policy, their personal experiences after entering the workforce in educational institutions, and their plans for their future work. The interview process can be organized as follows: first, determine the purpose of the interview and draw up an outline of the interview; second, draw up the interview programme and organize the interview tasks; third, contact the interviewees and explain the purpose of the interview and the precautions to be taken; fourth, conduct the formal interview and collect the interview data; fifth, collate the interview data and find out the causes of the various problems related to the interview questions; sixth, analyse all the interview data and draw conclusions.</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p>
    <w:p>
      <w:pPr>
        <w:numPr>
          <w:ilvl w:val="0"/>
          <w:numId w:val="0"/>
        </w:numPr>
        <w:spacing w:line="480" w:lineRule="auto"/>
        <w:ind w:leftChars="0"/>
        <w:jc w:val="both"/>
        <w:outlineLvl w:val="1"/>
        <w:rPr>
          <w:rFonts w:eastAsia="宋体"/>
          <w:bCs/>
          <w:lang w:eastAsia="zh-CN"/>
        </w:rPr>
      </w:pPr>
      <w:r>
        <w:rPr>
          <w:rFonts w:hint="eastAsia" w:eastAsia="宋体"/>
          <w:b/>
          <w:lang w:val="en-US" w:eastAsia="zh-CN"/>
        </w:rPr>
        <w:t xml:space="preserve">3.5. </w:t>
      </w:r>
      <w:r>
        <w:rPr>
          <w:b/>
        </w:rPr>
        <w:t>Interviews</w:t>
      </w:r>
    </w:p>
    <w:p>
      <w:pPr>
        <w:spacing w:line="480" w:lineRule="auto"/>
        <w:jc w:val="both"/>
        <w:outlineLvl w:val="1"/>
        <w:rPr>
          <w:rFonts w:eastAsia="宋体"/>
          <w:bCs/>
          <w:lang w:eastAsia="zh-CN"/>
        </w:rPr>
      </w:pPr>
      <w:r>
        <w:rPr>
          <w:rFonts w:eastAsia="宋体"/>
          <w:bCs/>
          <w:lang w:eastAsia="zh-CN"/>
        </w:rPr>
        <w:t>The interview can now be conducted according to the interview procedure described above. The intention of the interview is to find a way for private education institutions to develop in the context of the double reduction policy enacted by the Chinese government, so that they can become a positive force in the Chinese education system.  The interviews are then grouped into tables based on the content of the interviews. There were six interviewees, three men and three women, aged between 25 and 30 years old, with a range of three to eight years in the field. In addition, the interview research activities ended on 15 February 2022.</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Table 1</w:t>
      </w:r>
      <w:r>
        <w:rPr>
          <w:rFonts w:eastAsia="宋体"/>
          <w:lang w:eastAsia="zh-CN"/>
        </w:rPr>
        <w:t xml:space="preserve"> </w:t>
      </w:r>
      <w:r>
        <w:rPr>
          <w:rFonts w:eastAsia="宋体"/>
          <w:i/>
          <w:iCs/>
          <w:lang w:eastAsia="zh-CN"/>
        </w:rPr>
        <w:t>Personal information about the participants</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spacing w:line="480" w:lineRule="auto"/>
              <w:jc w:val="both"/>
              <w:outlineLvl w:val="1"/>
              <w:rPr>
                <w:rFonts w:eastAsia="宋体"/>
                <w:bCs/>
                <w:lang w:eastAsia="zh-CN"/>
              </w:rPr>
            </w:pPr>
            <w:r>
              <w:rPr>
                <w:rFonts w:eastAsia="宋体"/>
                <w:bCs/>
                <w:lang w:eastAsia="zh-CN"/>
              </w:rPr>
              <w:t xml:space="preserve">    Name</w:t>
            </w:r>
          </w:p>
        </w:tc>
        <w:tc>
          <w:tcPr>
            <w:tcW w:w="2130" w:type="dxa"/>
          </w:tcPr>
          <w:p>
            <w:pPr>
              <w:widowControl w:val="0"/>
              <w:spacing w:line="480" w:lineRule="auto"/>
              <w:ind w:firstLine="720" w:firstLineChars="300"/>
              <w:jc w:val="both"/>
              <w:outlineLvl w:val="1"/>
              <w:rPr>
                <w:rFonts w:eastAsia="宋体"/>
                <w:bCs/>
                <w:lang w:eastAsia="zh-CN"/>
              </w:rPr>
            </w:pPr>
            <w:r>
              <w:rPr>
                <w:rFonts w:eastAsia="宋体"/>
                <w:bCs/>
                <w:lang w:eastAsia="zh-CN"/>
              </w:rPr>
              <w:t>Age</w:t>
            </w:r>
          </w:p>
        </w:tc>
        <w:tc>
          <w:tcPr>
            <w:tcW w:w="2131" w:type="dxa"/>
          </w:tcPr>
          <w:p>
            <w:pPr>
              <w:widowControl w:val="0"/>
              <w:spacing w:line="480" w:lineRule="auto"/>
              <w:ind w:firstLine="480" w:firstLineChars="200"/>
              <w:jc w:val="both"/>
              <w:outlineLvl w:val="1"/>
              <w:rPr>
                <w:rFonts w:eastAsia="宋体"/>
                <w:bCs/>
                <w:lang w:eastAsia="zh-CN"/>
              </w:rPr>
            </w:pPr>
            <w:r>
              <w:rPr>
                <w:rFonts w:eastAsia="宋体"/>
                <w:bCs/>
                <w:lang w:eastAsia="zh-CN"/>
              </w:rPr>
              <w:t>Gender</w:t>
            </w:r>
          </w:p>
        </w:tc>
        <w:tc>
          <w:tcPr>
            <w:tcW w:w="2131" w:type="dxa"/>
          </w:tcPr>
          <w:p>
            <w:pPr>
              <w:widowControl w:val="0"/>
              <w:spacing w:line="480" w:lineRule="auto"/>
              <w:jc w:val="both"/>
              <w:outlineLvl w:val="1"/>
              <w:rPr>
                <w:rFonts w:eastAsia="宋体"/>
                <w:bCs/>
                <w:lang w:eastAsia="zh-CN"/>
              </w:rPr>
            </w:pPr>
            <w:r>
              <w:rPr>
                <w:rFonts w:eastAsia="宋体"/>
                <w:bCs/>
                <w:lang w:eastAsia="zh-CN"/>
              </w:rPr>
              <w:t>Years of experience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spacing w:line="480" w:lineRule="auto"/>
              <w:ind w:firstLine="480" w:firstLineChars="200"/>
              <w:jc w:val="both"/>
              <w:outlineLvl w:val="1"/>
              <w:rPr>
                <w:rFonts w:eastAsia="宋体"/>
                <w:bCs/>
                <w:lang w:eastAsia="zh-CN"/>
              </w:rPr>
            </w:pPr>
            <w:r>
              <w:rPr>
                <w:rFonts w:eastAsia="宋体"/>
                <w:bCs/>
                <w:lang w:eastAsia="zh-CN"/>
              </w:rPr>
              <w:t>D</w:t>
            </w:r>
          </w:p>
        </w:tc>
        <w:tc>
          <w:tcPr>
            <w:tcW w:w="2130" w:type="dxa"/>
          </w:tcPr>
          <w:p>
            <w:pPr>
              <w:widowControl w:val="0"/>
              <w:spacing w:line="480" w:lineRule="auto"/>
              <w:jc w:val="both"/>
              <w:outlineLvl w:val="1"/>
              <w:rPr>
                <w:rFonts w:eastAsia="宋体"/>
                <w:bCs/>
                <w:lang w:eastAsia="zh-CN"/>
              </w:rPr>
            </w:pPr>
            <w:r>
              <w:rPr>
                <w:rFonts w:eastAsia="宋体"/>
                <w:bCs/>
                <w:lang w:eastAsia="zh-CN"/>
              </w:rPr>
              <w:t xml:space="preserve"> 25</w:t>
            </w:r>
          </w:p>
        </w:tc>
        <w:tc>
          <w:tcPr>
            <w:tcW w:w="2131" w:type="dxa"/>
          </w:tcPr>
          <w:p>
            <w:pPr>
              <w:widowControl w:val="0"/>
              <w:spacing w:line="480" w:lineRule="auto"/>
              <w:jc w:val="both"/>
              <w:outlineLvl w:val="1"/>
              <w:rPr>
                <w:rFonts w:eastAsia="宋体"/>
                <w:bCs/>
                <w:lang w:eastAsia="zh-CN"/>
              </w:rPr>
            </w:pPr>
            <w:r>
              <w:rPr>
                <w:rFonts w:eastAsia="宋体"/>
                <w:bCs/>
                <w:lang w:eastAsia="zh-CN"/>
              </w:rPr>
              <w:t>Female</w:t>
            </w:r>
          </w:p>
        </w:tc>
        <w:tc>
          <w:tcPr>
            <w:tcW w:w="2131" w:type="dxa"/>
          </w:tcPr>
          <w:p>
            <w:pPr>
              <w:widowControl w:val="0"/>
              <w:spacing w:line="480" w:lineRule="auto"/>
              <w:jc w:val="both"/>
              <w:outlineLvl w:val="1"/>
              <w:rPr>
                <w:rFonts w:eastAsia="宋体"/>
                <w:bCs/>
                <w:lang w:eastAsia="zh-CN"/>
              </w:rPr>
            </w:pPr>
            <w:r>
              <w:rPr>
                <w:rFonts w:eastAsia="宋体"/>
                <w:bCs/>
                <w:lang w:eastAsia="zh-CN"/>
              </w:rPr>
              <w:t>3 years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spacing w:line="480" w:lineRule="auto"/>
              <w:ind w:firstLine="480" w:firstLineChars="200"/>
              <w:jc w:val="both"/>
              <w:outlineLvl w:val="1"/>
              <w:rPr>
                <w:rFonts w:eastAsia="宋体"/>
                <w:bCs/>
                <w:lang w:eastAsia="zh-CN"/>
              </w:rPr>
            </w:pPr>
            <w:r>
              <w:rPr>
                <w:rFonts w:eastAsia="宋体"/>
                <w:bCs/>
                <w:lang w:eastAsia="zh-CN"/>
              </w:rPr>
              <w:t>Y</w:t>
            </w:r>
          </w:p>
        </w:tc>
        <w:tc>
          <w:tcPr>
            <w:tcW w:w="2130" w:type="dxa"/>
          </w:tcPr>
          <w:p>
            <w:pPr>
              <w:widowControl w:val="0"/>
              <w:spacing w:line="480" w:lineRule="auto"/>
              <w:jc w:val="both"/>
              <w:outlineLvl w:val="1"/>
              <w:rPr>
                <w:rFonts w:eastAsia="宋体"/>
                <w:bCs/>
                <w:lang w:eastAsia="zh-CN"/>
              </w:rPr>
            </w:pPr>
            <w:r>
              <w:rPr>
                <w:rFonts w:eastAsia="宋体"/>
                <w:bCs/>
                <w:lang w:eastAsia="zh-CN"/>
              </w:rPr>
              <w:t xml:space="preserve"> 25</w:t>
            </w:r>
          </w:p>
        </w:tc>
        <w:tc>
          <w:tcPr>
            <w:tcW w:w="2131" w:type="dxa"/>
          </w:tcPr>
          <w:p>
            <w:pPr>
              <w:widowControl w:val="0"/>
              <w:spacing w:line="480" w:lineRule="auto"/>
              <w:jc w:val="both"/>
              <w:outlineLvl w:val="1"/>
              <w:rPr>
                <w:rFonts w:eastAsia="宋体"/>
                <w:bCs/>
                <w:lang w:eastAsia="zh-CN"/>
              </w:rPr>
            </w:pPr>
            <w:r>
              <w:rPr>
                <w:rFonts w:eastAsia="宋体"/>
                <w:bCs/>
                <w:lang w:eastAsia="zh-CN"/>
              </w:rPr>
              <w:t>Female</w:t>
            </w:r>
          </w:p>
        </w:tc>
        <w:tc>
          <w:tcPr>
            <w:tcW w:w="2131" w:type="dxa"/>
          </w:tcPr>
          <w:p>
            <w:pPr>
              <w:widowControl w:val="0"/>
              <w:spacing w:line="480" w:lineRule="auto"/>
              <w:jc w:val="both"/>
              <w:outlineLvl w:val="1"/>
              <w:rPr>
                <w:rFonts w:eastAsia="宋体"/>
                <w:bCs/>
                <w:lang w:eastAsia="zh-CN"/>
              </w:rPr>
            </w:pPr>
            <w:r>
              <w:rPr>
                <w:rFonts w:eastAsia="宋体"/>
                <w:bCs/>
                <w:lang w:eastAsia="zh-CN"/>
              </w:rPr>
              <w:t>3 years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spacing w:line="480" w:lineRule="auto"/>
              <w:ind w:firstLine="480" w:firstLineChars="200"/>
              <w:jc w:val="both"/>
              <w:outlineLvl w:val="1"/>
              <w:rPr>
                <w:rFonts w:eastAsia="宋体"/>
                <w:bCs/>
                <w:lang w:eastAsia="zh-CN"/>
              </w:rPr>
            </w:pPr>
            <w:r>
              <w:rPr>
                <w:rFonts w:eastAsia="宋体"/>
                <w:bCs/>
                <w:lang w:eastAsia="zh-CN"/>
              </w:rPr>
              <w:t>W</w:t>
            </w:r>
          </w:p>
        </w:tc>
        <w:tc>
          <w:tcPr>
            <w:tcW w:w="2130" w:type="dxa"/>
          </w:tcPr>
          <w:p>
            <w:pPr>
              <w:widowControl w:val="0"/>
              <w:spacing w:line="480" w:lineRule="auto"/>
              <w:jc w:val="both"/>
              <w:outlineLvl w:val="1"/>
              <w:rPr>
                <w:rFonts w:eastAsia="宋体"/>
                <w:bCs/>
                <w:lang w:eastAsia="zh-CN"/>
              </w:rPr>
            </w:pPr>
            <w:r>
              <w:rPr>
                <w:rFonts w:eastAsia="宋体"/>
                <w:bCs/>
                <w:lang w:eastAsia="zh-CN"/>
              </w:rPr>
              <w:t xml:space="preserve"> 30</w:t>
            </w:r>
          </w:p>
        </w:tc>
        <w:tc>
          <w:tcPr>
            <w:tcW w:w="2131" w:type="dxa"/>
          </w:tcPr>
          <w:p>
            <w:pPr>
              <w:widowControl w:val="0"/>
              <w:spacing w:line="480" w:lineRule="auto"/>
              <w:jc w:val="both"/>
              <w:outlineLvl w:val="1"/>
              <w:rPr>
                <w:rFonts w:eastAsia="宋体"/>
                <w:bCs/>
                <w:lang w:eastAsia="zh-CN"/>
              </w:rPr>
            </w:pPr>
            <w:r>
              <w:rPr>
                <w:rFonts w:eastAsia="宋体"/>
                <w:bCs/>
                <w:lang w:eastAsia="zh-CN"/>
              </w:rPr>
              <w:t>Female</w:t>
            </w:r>
          </w:p>
        </w:tc>
        <w:tc>
          <w:tcPr>
            <w:tcW w:w="2131" w:type="dxa"/>
          </w:tcPr>
          <w:p>
            <w:pPr>
              <w:widowControl w:val="0"/>
              <w:spacing w:line="480" w:lineRule="auto"/>
              <w:jc w:val="both"/>
              <w:outlineLvl w:val="1"/>
              <w:rPr>
                <w:rFonts w:eastAsia="宋体"/>
                <w:bCs/>
                <w:lang w:eastAsia="zh-CN"/>
              </w:rPr>
            </w:pPr>
            <w:r>
              <w:rPr>
                <w:rFonts w:eastAsia="宋体"/>
                <w:bCs/>
                <w:lang w:eastAsia="zh-CN"/>
              </w:rPr>
              <w:t>8 years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spacing w:line="480" w:lineRule="auto"/>
              <w:ind w:firstLine="480" w:firstLineChars="200"/>
              <w:jc w:val="both"/>
              <w:outlineLvl w:val="1"/>
              <w:rPr>
                <w:rFonts w:eastAsia="宋体"/>
                <w:bCs/>
                <w:lang w:eastAsia="zh-CN"/>
              </w:rPr>
            </w:pPr>
            <w:r>
              <w:rPr>
                <w:rFonts w:eastAsia="宋体"/>
                <w:bCs/>
                <w:lang w:eastAsia="zh-CN"/>
              </w:rPr>
              <w:t>T</w:t>
            </w:r>
          </w:p>
        </w:tc>
        <w:tc>
          <w:tcPr>
            <w:tcW w:w="2130" w:type="dxa"/>
          </w:tcPr>
          <w:p>
            <w:pPr>
              <w:widowControl w:val="0"/>
              <w:spacing w:line="480" w:lineRule="auto"/>
              <w:jc w:val="both"/>
              <w:outlineLvl w:val="1"/>
              <w:rPr>
                <w:rFonts w:eastAsia="宋体"/>
                <w:bCs/>
                <w:lang w:eastAsia="zh-CN"/>
              </w:rPr>
            </w:pPr>
            <w:r>
              <w:rPr>
                <w:rFonts w:eastAsia="宋体"/>
                <w:bCs/>
                <w:lang w:eastAsia="zh-CN"/>
              </w:rPr>
              <w:t xml:space="preserve"> 27</w:t>
            </w:r>
          </w:p>
        </w:tc>
        <w:tc>
          <w:tcPr>
            <w:tcW w:w="2131" w:type="dxa"/>
          </w:tcPr>
          <w:p>
            <w:pPr>
              <w:widowControl w:val="0"/>
              <w:spacing w:line="480" w:lineRule="auto"/>
              <w:jc w:val="both"/>
              <w:outlineLvl w:val="1"/>
              <w:rPr>
                <w:rFonts w:eastAsia="宋体"/>
                <w:bCs/>
                <w:lang w:eastAsia="zh-CN"/>
              </w:rPr>
            </w:pPr>
            <w:r>
              <w:rPr>
                <w:rFonts w:eastAsia="宋体"/>
                <w:bCs/>
                <w:lang w:eastAsia="zh-CN"/>
              </w:rPr>
              <w:t>Male</w:t>
            </w:r>
          </w:p>
        </w:tc>
        <w:tc>
          <w:tcPr>
            <w:tcW w:w="2131" w:type="dxa"/>
          </w:tcPr>
          <w:p>
            <w:pPr>
              <w:widowControl w:val="0"/>
              <w:spacing w:line="480" w:lineRule="auto"/>
              <w:jc w:val="both"/>
              <w:outlineLvl w:val="1"/>
              <w:rPr>
                <w:rFonts w:eastAsia="宋体"/>
                <w:bCs/>
                <w:lang w:eastAsia="zh-CN"/>
              </w:rPr>
            </w:pPr>
            <w:r>
              <w:rPr>
                <w:rFonts w:eastAsia="宋体"/>
                <w:bCs/>
                <w:lang w:eastAsia="zh-CN"/>
              </w:rPr>
              <w:t>5 years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spacing w:line="480" w:lineRule="auto"/>
              <w:ind w:firstLine="480" w:firstLineChars="200"/>
              <w:jc w:val="both"/>
              <w:outlineLvl w:val="1"/>
              <w:rPr>
                <w:rFonts w:eastAsia="宋体"/>
                <w:bCs/>
                <w:lang w:eastAsia="zh-CN"/>
              </w:rPr>
            </w:pPr>
            <w:r>
              <w:rPr>
                <w:rFonts w:eastAsia="宋体"/>
                <w:bCs/>
                <w:lang w:eastAsia="zh-CN"/>
              </w:rPr>
              <w:t>C</w:t>
            </w:r>
          </w:p>
        </w:tc>
        <w:tc>
          <w:tcPr>
            <w:tcW w:w="2130" w:type="dxa"/>
          </w:tcPr>
          <w:p>
            <w:pPr>
              <w:widowControl w:val="0"/>
              <w:spacing w:line="480" w:lineRule="auto"/>
              <w:jc w:val="both"/>
              <w:outlineLvl w:val="1"/>
              <w:rPr>
                <w:rFonts w:eastAsia="宋体"/>
                <w:bCs/>
                <w:lang w:eastAsia="zh-CN"/>
              </w:rPr>
            </w:pPr>
            <w:r>
              <w:rPr>
                <w:rFonts w:eastAsia="宋体"/>
                <w:bCs/>
                <w:lang w:eastAsia="zh-CN"/>
              </w:rPr>
              <w:t xml:space="preserve"> 26</w:t>
            </w:r>
          </w:p>
        </w:tc>
        <w:tc>
          <w:tcPr>
            <w:tcW w:w="2131" w:type="dxa"/>
          </w:tcPr>
          <w:p>
            <w:pPr>
              <w:widowControl w:val="0"/>
              <w:spacing w:line="480" w:lineRule="auto"/>
              <w:jc w:val="both"/>
              <w:outlineLvl w:val="1"/>
              <w:rPr>
                <w:rFonts w:eastAsia="宋体"/>
                <w:bCs/>
                <w:lang w:eastAsia="zh-CN"/>
              </w:rPr>
            </w:pPr>
            <w:r>
              <w:rPr>
                <w:rFonts w:eastAsia="宋体"/>
                <w:bCs/>
                <w:lang w:eastAsia="zh-CN"/>
              </w:rPr>
              <w:t>Male</w:t>
            </w:r>
          </w:p>
        </w:tc>
        <w:tc>
          <w:tcPr>
            <w:tcW w:w="2131" w:type="dxa"/>
          </w:tcPr>
          <w:p>
            <w:pPr>
              <w:widowControl w:val="0"/>
              <w:spacing w:line="480" w:lineRule="auto"/>
              <w:jc w:val="both"/>
              <w:outlineLvl w:val="1"/>
              <w:rPr>
                <w:rFonts w:eastAsia="宋体"/>
                <w:bCs/>
                <w:lang w:eastAsia="zh-CN"/>
              </w:rPr>
            </w:pPr>
            <w:r>
              <w:rPr>
                <w:rFonts w:eastAsia="宋体"/>
                <w:bCs/>
                <w:lang w:eastAsia="zh-CN"/>
              </w:rPr>
              <w:t>4 years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spacing w:line="480" w:lineRule="auto"/>
              <w:jc w:val="both"/>
              <w:outlineLvl w:val="1"/>
              <w:rPr>
                <w:rFonts w:eastAsia="宋体"/>
                <w:bCs/>
                <w:lang w:eastAsia="zh-CN"/>
              </w:rPr>
            </w:pPr>
            <w:r>
              <w:rPr>
                <w:rFonts w:eastAsia="宋体"/>
                <w:bCs/>
                <w:lang w:eastAsia="zh-CN"/>
              </w:rPr>
              <w:t xml:space="preserve">    S</w:t>
            </w:r>
          </w:p>
        </w:tc>
        <w:tc>
          <w:tcPr>
            <w:tcW w:w="2130" w:type="dxa"/>
          </w:tcPr>
          <w:p>
            <w:pPr>
              <w:widowControl w:val="0"/>
              <w:spacing w:line="480" w:lineRule="auto"/>
              <w:jc w:val="both"/>
              <w:outlineLvl w:val="1"/>
              <w:rPr>
                <w:rFonts w:eastAsia="宋体"/>
                <w:bCs/>
                <w:lang w:eastAsia="zh-CN"/>
              </w:rPr>
            </w:pPr>
            <w:r>
              <w:rPr>
                <w:rFonts w:eastAsia="宋体"/>
                <w:bCs/>
                <w:lang w:eastAsia="zh-CN"/>
              </w:rPr>
              <w:t xml:space="preserve"> 30</w:t>
            </w:r>
          </w:p>
        </w:tc>
        <w:tc>
          <w:tcPr>
            <w:tcW w:w="2131" w:type="dxa"/>
          </w:tcPr>
          <w:p>
            <w:pPr>
              <w:widowControl w:val="0"/>
              <w:spacing w:line="480" w:lineRule="auto"/>
              <w:jc w:val="both"/>
              <w:outlineLvl w:val="1"/>
              <w:rPr>
                <w:rFonts w:eastAsia="宋体"/>
                <w:bCs/>
                <w:lang w:eastAsia="zh-CN"/>
              </w:rPr>
            </w:pPr>
            <w:r>
              <w:rPr>
                <w:rFonts w:eastAsia="宋体"/>
                <w:bCs/>
                <w:lang w:eastAsia="zh-CN"/>
              </w:rPr>
              <w:t>Male</w:t>
            </w:r>
          </w:p>
        </w:tc>
        <w:tc>
          <w:tcPr>
            <w:tcW w:w="2131" w:type="dxa"/>
          </w:tcPr>
          <w:p>
            <w:pPr>
              <w:widowControl w:val="0"/>
              <w:spacing w:line="480" w:lineRule="auto"/>
              <w:jc w:val="both"/>
              <w:outlineLvl w:val="1"/>
              <w:rPr>
                <w:rFonts w:eastAsia="宋体"/>
                <w:bCs/>
                <w:lang w:eastAsia="zh-CN"/>
              </w:rPr>
            </w:pPr>
            <w:r>
              <w:rPr>
                <w:rFonts w:eastAsia="宋体"/>
                <w:bCs/>
                <w:lang w:eastAsia="zh-CN"/>
              </w:rPr>
              <w:t>8 years</w:t>
            </w:r>
          </w:p>
        </w:tc>
      </w:tr>
    </w:tbl>
    <w:p>
      <w:pPr>
        <w:spacing w:line="480" w:lineRule="auto"/>
        <w:jc w:val="both"/>
        <w:outlineLvl w:val="1"/>
        <w:rPr>
          <w:rFonts w:eastAsia="宋体"/>
          <w:bCs/>
          <w:lang w:eastAsia="zh-CN"/>
        </w:rPr>
      </w:pPr>
    </w:p>
    <w:p>
      <w:pPr>
        <w:spacing w:line="480" w:lineRule="auto"/>
        <w:jc w:val="both"/>
        <w:outlineLvl w:val="1"/>
        <w:rPr>
          <w:rFonts w:eastAsia="宋体"/>
          <w:lang w:eastAsia="zh-CN"/>
        </w:rPr>
      </w:pPr>
      <w:r>
        <w:rPr>
          <w:rFonts w:eastAsia="宋体"/>
          <w:lang w:eastAsia="zh-CN"/>
        </w:rPr>
        <w:t>The interviews were conducted according to the three questions in the interview outline. The interviewer respected the participants' personal ideas during the interviews and only suggested the direction of the questions. For example, the researcher asked:</w:t>
      </w:r>
    </w:p>
    <w:p>
      <w:pPr>
        <w:ind w:left="720" w:right="720"/>
        <w:jc w:val="both"/>
        <w:outlineLvl w:val="1"/>
        <w:rPr>
          <w:rFonts w:eastAsia="宋体"/>
          <w:lang w:eastAsia="zh-CN"/>
        </w:rPr>
      </w:pPr>
      <w:r>
        <w:rPr>
          <w:rFonts w:eastAsia="宋体"/>
          <w:lang w:eastAsia="zh-CN"/>
        </w:rPr>
        <w:t xml:space="preserve"> "What is your attitude towards the double reduction policy implemented by the Chinese government? Can you tell us why you hold this attitude?" ; "Can you share your future career plans?" </w:t>
      </w:r>
    </w:p>
    <w:p>
      <w:pPr>
        <w:ind w:left="720" w:right="720"/>
        <w:jc w:val="both"/>
        <w:outlineLvl w:val="1"/>
        <w:rPr>
          <w:lang w:eastAsia="zh-CN"/>
        </w:rPr>
      </w:pPr>
    </w:p>
    <w:p>
      <w:pPr>
        <w:ind w:left="720" w:right="720"/>
        <w:jc w:val="both"/>
        <w:outlineLvl w:val="1"/>
        <w:rPr>
          <w:lang w:eastAsia="zh-CN"/>
        </w:rPr>
      </w:pPr>
    </w:p>
    <w:p>
      <w:pPr>
        <w:spacing w:line="480" w:lineRule="auto"/>
        <w:jc w:val="both"/>
        <w:outlineLvl w:val="1"/>
        <w:rPr>
          <w:rFonts w:eastAsia="宋体"/>
          <w:bCs/>
          <w:lang w:eastAsia="zh-CN"/>
        </w:rPr>
      </w:pPr>
      <w:r>
        <w:rPr>
          <w:rFonts w:eastAsia="宋体"/>
          <w:bCs/>
          <w:lang w:eastAsia="zh-CN"/>
        </w:rPr>
        <w:t>Respondents' answers were largely based on their own experiences. For example, when answering the question about their attitude towards the double reduction policy, they answered:</w:t>
      </w:r>
    </w:p>
    <w:p>
      <w:pPr>
        <w:ind w:left="720" w:right="720"/>
        <w:jc w:val="both"/>
        <w:outlineLvl w:val="1"/>
        <w:rPr>
          <w:rFonts w:eastAsia="宋体"/>
          <w:lang w:eastAsia="zh-CN"/>
        </w:rPr>
      </w:pPr>
      <w:r>
        <w:rPr>
          <w:rFonts w:eastAsia="宋体"/>
          <w:lang w:eastAsia="zh-CN"/>
        </w:rPr>
        <w:t xml:space="preserve"> "I am actually a strong supporter of this policy. Because students nowadays spend too much money on their studies. I've seen the data and it's almost half of the total family expenses. Secondly, spending too much time on studies is not good for students' physical and mental health. A student is not perfect if he/she does not have a good body and a healthy mind if he/she only gets good grades". </w:t>
      </w:r>
    </w:p>
    <w:p>
      <w:pPr>
        <w:spacing w:line="480" w:lineRule="auto"/>
        <w:jc w:val="both"/>
        <w:outlineLvl w:val="1"/>
        <w:rPr>
          <w:rFonts w:eastAsia="宋体"/>
          <w:bCs/>
          <w:lang w:eastAsia="zh-CN"/>
        </w:rPr>
      </w:pPr>
      <w:r>
        <w:rPr>
          <w:rFonts w:eastAsia="宋体"/>
          <w:lang w:eastAsia="zh-CN"/>
        </w:rPr>
        <w:t>In response to a question about how the double reduction policy was interpreted, the respondent answered:</w:t>
      </w:r>
      <w:r>
        <w:rPr>
          <w:rFonts w:eastAsia="宋体"/>
          <w:bCs/>
          <w:lang w:eastAsia="zh-CN"/>
        </w:rPr>
        <w:t xml:space="preserve"> </w:t>
      </w:r>
    </w:p>
    <w:p>
      <w:pPr>
        <w:ind w:left="720" w:right="720"/>
        <w:jc w:val="both"/>
        <w:outlineLvl w:val="1"/>
        <w:rPr>
          <w:rFonts w:eastAsia="宋体"/>
          <w:lang w:eastAsia="zh-CN"/>
        </w:rPr>
      </w:pPr>
      <w:r>
        <w:rPr>
          <w:rFonts w:eastAsia="宋体"/>
          <w:lang w:eastAsia="zh-CN"/>
        </w:rPr>
        <w:t xml:space="preserve"> "The double reduction policy is actually a useful policy. Because the current tuition market is so disorganized, many tuition providers are operating without a licence. Most of the owners of tuition providers are only interested in making money from their students' parents and do not put improving students' performance first. These institutions spend a lot of money on advertising to attract students' parents to enroll, but once enrolled they don't give the services they advertise". </w:t>
      </w:r>
    </w:p>
    <w:p>
      <w:pPr>
        <w:spacing w:line="480" w:lineRule="auto"/>
        <w:jc w:val="both"/>
        <w:outlineLvl w:val="1"/>
        <w:rPr>
          <w:rFonts w:eastAsia="宋体"/>
          <w:bCs/>
          <w:lang w:eastAsia="zh-CN"/>
        </w:rPr>
      </w:pPr>
      <w:r>
        <w:rPr>
          <w:rFonts w:eastAsia="宋体"/>
          <w:bCs/>
          <w:lang w:eastAsia="zh-CN"/>
        </w:rPr>
        <w:t>As all respondents gave a supportive attitude response to the question about their attitude towards the double reduction policy, they will not be particularly marked when compiling the summary interview material.</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Table 2 </w:t>
      </w:r>
      <w:r>
        <w:rPr>
          <w:rFonts w:eastAsia="宋体"/>
          <w:i/>
          <w:iCs/>
          <w:lang w:eastAsia="zh-CN"/>
        </w:rPr>
        <w:t>Aggregated Responses from Respondents</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261" w:type="dxa"/>
          </w:tcPr>
          <w:p>
            <w:pPr>
              <w:widowControl w:val="0"/>
              <w:spacing w:line="480" w:lineRule="auto"/>
              <w:jc w:val="both"/>
              <w:outlineLvl w:val="1"/>
              <w:rPr>
                <w:rFonts w:eastAsia="宋体"/>
                <w:bCs/>
                <w:lang w:eastAsia="zh-CN"/>
              </w:rPr>
            </w:pPr>
            <w:r>
              <w:rPr>
                <w:rFonts w:eastAsia="宋体"/>
                <w:bCs/>
                <w:lang w:eastAsia="zh-CN"/>
              </w:rPr>
              <w:t>Reasons for being supportive of the double reduction policy</w:t>
            </w:r>
          </w:p>
        </w:tc>
        <w:tc>
          <w:tcPr>
            <w:tcW w:w="4261" w:type="dxa"/>
          </w:tcPr>
          <w:p>
            <w:pPr>
              <w:widowControl w:val="0"/>
              <w:spacing w:line="480" w:lineRule="auto"/>
              <w:jc w:val="both"/>
              <w:outlineLvl w:val="1"/>
              <w:rPr>
                <w:rFonts w:eastAsia="宋体"/>
                <w:bCs/>
                <w:lang w:eastAsia="zh-CN"/>
              </w:rPr>
            </w:pPr>
            <w:r>
              <w:rPr>
                <w:rFonts w:eastAsia="宋体"/>
                <w:bCs/>
                <w:lang w:eastAsia="zh-CN"/>
              </w:rPr>
              <w:t>1. the cost of tuition is too high, taking up about half of the total family expenses; 2. the length of study time is too long, compressing the time for students' activities and adversely affecting their physical and mental health; 3. private tuition institutions have led to an increase in property prices in the neighbourhood, causing problems in buying a home; 4. the industry lacks a complete regulatory system for the time being, and their disorderly and rapid development has had a negative impact on the industry 5. tutorial institutions keep marketing anxiety in order to recruit students to enrol and make money, which exacerbates the severity of in-rolling and invariably raises the competitive bar for higher education examinations.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widowControl w:val="0"/>
              <w:spacing w:line="480" w:lineRule="auto"/>
              <w:jc w:val="both"/>
              <w:outlineLvl w:val="1"/>
              <w:rPr>
                <w:rFonts w:eastAsia="宋体"/>
                <w:bCs/>
                <w:lang w:eastAsia="zh-CN"/>
              </w:rPr>
            </w:pPr>
            <w:r>
              <w:rPr>
                <w:rFonts w:eastAsia="宋体"/>
                <w:bCs/>
                <w:lang w:eastAsia="zh-CN"/>
              </w:rPr>
              <w:t>Understanding of the double reduction policy</w:t>
            </w:r>
          </w:p>
        </w:tc>
        <w:tc>
          <w:tcPr>
            <w:tcW w:w="4261" w:type="dxa"/>
          </w:tcPr>
          <w:p>
            <w:pPr>
              <w:widowControl w:val="0"/>
              <w:spacing w:line="480" w:lineRule="auto"/>
              <w:jc w:val="both"/>
              <w:outlineLvl w:val="1"/>
              <w:rPr>
                <w:rFonts w:eastAsia="宋体"/>
                <w:bCs/>
                <w:lang w:eastAsia="zh-CN"/>
              </w:rPr>
            </w:pPr>
            <w:r>
              <w:rPr>
                <w:rFonts w:eastAsia="宋体"/>
                <w:bCs/>
                <w:lang w:eastAsia="zh-CN"/>
              </w:rPr>
              <w:t>1. solve the current situation of educational in-rolls as much as possible and make reasonable use of educational resources; 2. rectify the tutorial market which has entered in a disorderly manner due to capital and create a normal tutorial market; 3. break the rules of examinations which are based on marks, and gradually tilt the focus of selecting talents from attaching importance to marks to students' physical and mental qualities; 4. suppress the property prices which have been raised by the tutorial market, so that more families can buy houses.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widowControl w:val="0"/>
              <w:spacing w:line="480" w:lineRule="auto"/>
              <w:jc w:val="both"/>
              <w:outlineLvl w:val="1"/>
              <w:rPr>
                <w:rFonts w:eastAsia="宋体"/>
                <w:bCs/>
                <w:lang w:eastAsia="zh-CN"/>
              </w:rPr>
            </w:pPr>
            <w:r>
              <w:rPr>
                <w:rFonts w:eastAsia="宋体"/>
                <w:bCs/>
                <w:lang w:eastAsia="zh-CN"/>
              </w:rPr>
              <w:t>Reflections on future career planning</w:t>
            </w:r>
          </w:p>
        </w:tc>
        <w:tc>
          <w:tcPr>
            <w:tcW w:w="4261" w:type="dxa"/>
          </w:tcPr>
          <w:p>
            <w:pPr>
              <w:widowControl w:val="0"/>
              <w:spacing w:line="480" w:lineRule="auto"/>
              <w:jc w:val="both"/>
              <w:outlineLvl w:val="1"/>
              <w:rPr>
                <w:rFonts w:eastAsia="宋体"/>
                <w:bCs/>
                <w:lang w:eastAsia="zh-CN"/>
              </w:rPr>
            </w:pPr>
            <w:r>
              <w:rPr>
                <w:rFonts w:eastAsia="宋体"/>
                <w:bCs/>
                <w:lang w:eastAsia="zh-CN"/>
              </w:rPr>
              <w:t>Three of the six people interviewed wanted to continue their careers in government-run schools, so they would need to take a government-run recruitment test to do so; two participants wanted to learn a skill such as painting, singing, dancing, etc., so that they could work in non-disciplinary tuition institutions, which are not restricted by the double reduction policy; and one interviewee wanted to become a private tuition teacher, out of the control of the institution, so that she would have the time and space to decide what kind of students she would take on and when, depending on her preferences.</w:t>
            </w:r>
          </w:p>
        </w:tc>
      </w:tr>
    </w:tbl>
    <w:p>
      <w:pPr>
        <w:spacing w:line="480" w:lineRule="auto"/>
        <w:outlineLvl w:val="1"/>
        <w:rPr>
          <w:rFonts w:eastAsia="宋体"/>
          <w:b/>
          <w:lang w:eastAsia="zh-CN"/>
        </w:rPr>
      </w:pPr>
    </w:p>
    <w:p>
      <w:pPr>
        <w:spacing w:line="480" w:lineRule="auto"/>
        <w:outlineLvl w:val="1"/>
        <w:rPr>
          <w:b/>
        </w:rPr>
      </w:pPr>
      <w:r>
        <w:rPr>
          <w:rFonts w:eastAsia="宋体"/>
          <w:b/>
          <w:lang w:eastAsia="zh-CN"/>
        </w:rPr>
        <w:t>3.</w:t>
      </w:r>
      <w:r>
        <w:rPr>
          <w:rFonts w:hint="eastAsia" w:eastAsia="宋体"/>
          <w:b/>
          <w:lang w:val="en-US" w:eastAsia="zh-CN"/>
        </w:rPr>
        <w:t>6</w:t>
      </w:r>
      <w:r>
        <w:rPr>
          <w:rFonts w:eastAsia="宋体"/>
          <w:b/>
          <w:lang w:eastAsia="zh-CN"/>
        </w:rPr>
        <w:t xml:space="preserve">. </w:t>
      </w:r>
      <w:r>
        <w:rPr>
          <w:b/>
        </w:rPr>
        <w:t>Ethics</w:t>
      </w:r>
    </w:p>
    <w:p>
      <w:pPr>
        <w:spacing w:line="480" w:lineRule="auto"/>
        <w:jc w:val="both"/>
        <w:outlineLvl w:val="1"/>
        <w:rPr>
          <w:rFonts w:eastAsia="宋体"/>
          <w:bCs/>
          <w:lang w:eastAsia="zh-CN"/>
        </w:rPr>
      </w:pPr>
      <w:r>
        <w:rPr>
          <w:rFonts w:eastAsia="宋体"/>
          <w:bCs/>
          <w:lang w:eastAsia="zh-CN"/>
        </w:rPr>
        <w:t xml:space="preserve">In order for the research to be conducted smoothly, for it to produce useful results and for the risks involved in the research process to be minimal, the research must be conducted ethically. This research is conducted in strict accordance with the UWTSD Research Ethics &amp; Integrity Code of Practice, the UWTSD Research Data Management Policy, and the BERA Ethical Guidelines (2018).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All participants are voluntary and there is no fee. Interviews were conducted in mainland China. The study will protect all privacy of each interviewee. The names of volunteers who participate in the interviews will appear implicitly in the final feedback from survey respondents. All recorded interviews will be silenced whenever the privacy of the volunteers is involved. The data generated by the study will be protected. All interview data will be stored on the interviewer's personal computer at the end of the interview and will not be stored anywhere other than the interviewer's personal computer. All data will be archived. All data will be in strict compliance with the GDPR and the Data Protection Act (2018). Volunteers' names, genders, emails, phone numbers and other private confidence will be securely hidden. Data breaches will be reported immediately to the supervisory authority and appropriate accountability mechanisms will be initiated.</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
          <w:lang w:eastAsia="zh-CN"/>
        </w:rPr>
        <w:t>3.7.</w:t>
      </w:r>
      <w:r>
        <w:rPr>
          <w:b/>
        </w:rPr>
        <w:t xml:space="preserve">Analysis </w:t>
      </w:r>
    </w:p>
    <w:p>
      <w:pPr>
        <w:spacing w:line="480" w:lineRule="auto"/>
        <w:jc w:val="both"/>
        <w:outlineLvl w:val="1"/>
        <w:rPr>
          <w:rFonts w:eastAsia="宋体"/>
          <w:bCs/>
          <w:lang w:eastAsia="zh-CN"/>
        </w:rPr>
      </w:pPr>
      <w:r>
        <w:rPr>
          <w:rFonts w:eastAsia="宋体"/>
          <w:bCs/>
          <w:lang w:eastAsia="zh-CN"/>
        </w:rPr>
        <w:t xml:space="preserve">On the basis of the interviews, it is evident that, firstly, in terms of the reasons for supporting the double reduction policy, the interviewees' responses were mainly focused on property prices, students' physical and mental health, family expenses, the tutorial market and the phenomenon of the internalization of education.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It is interesting to note that the focus of the participants' answers was more on the social aspect and not so much on the students themselves. In particular, respondents were much more concerned about the price of housing and the tuition market than the rest of the areas. The high level of concern for these two areas may be related to the age of the respondents. As respondents are in the 25-30 age range, they are likely to be more concerned about areas of interest to them, such as house prices and job opportunities arising from the boom in the tuition market. Secondly, participants were only second to the above two areas of concern in the area of household expenses. In particular, the two 30-year-old interviewees who participated in the study talked more about the area of household expenses. For example, the interviewee said </w:t>
      </w:r>
    </w:p>
    <w:p>
      <w:pPr>
        <w:ind w:left="720" w:right="720"/>
        <w:jc w:val="both"/>
        <w:outlineLvl w:val="1"/>
        <w:rPr>
          <w:rFonts w:eastAsia="宋体"/>
          <w:lang w:eastAsia="zh-CN"/>
        </w:rPr>
      </w:pPr>
      <w:r>
        <w:rPr>
          <w:rFonts w:eastAsia="宋体"/>
          <w:lang w:eastAsia="zh-CN"/>
        </w:rPr>
        <w:t xml:space="preserve">"my children also take maths tuition in private institutions".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In the course of the interviews, both 30 year olds mentioned that they had started a family and had children who were students. However, the grade, gender and name of the children were not disclosed. In order to protect the privacy of the interviewees, the study did not pursue the details of the children. It can be assumed that the focus on the area of household expenses was positively correlated with the participants' family formation. Finally, the aspects of students' physical and mental health and educational involution were in fact covered by all participants, but not by much. And, the researcher found that the main source of participants' concerns about these two areas were news reports and enquiries into relevant literature. All participants did not actively investigate the reality of these two areas.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However, it can be clearly known from participants’ descriptions.</w:t>
      </w:r>
    </w:p>
    <w:p>
      <w:pPr>
        <w:ind w:left="720" w:right="720"/>
        <w:jc w:val="both"/>
        <w:outlineLvl w:val="1"/>
        <w:rPr>
          <w:rFonts w:eastAsia="宋体"/>
          <w:lang w:eastAsia="zh-CN"/>
        </w:rPr>
      </w:pPr>
      <w:r>
        <w:rPr>
          <w:rFonts w:eastAsia="宋体"/>
          <w:lang w:eastAsia="zh-CN"/>
        </w:rPr>
        <w:t xml:space="preserve">"I often notice student fatigue in my classes. For example, they doze off in class and get distracted in class. When I talk to students after class, most of them say that they are tired after a long day at school and that they are physically exhausted from having to attend tutorials after school. And I find that this phenomenon is very common among the group of students facing entrance exams". </w:t>
      </w:r>
    </w:p>
    <w:p>
      <w:pPr>
        <w:spacing w:line="480" w:lineRule="auto"/>
        <w:jc w:val="both"/>
        <w:outlineLvl w:val="1"/>
        <w:rPr>
          <w:rFonts w:eastAsia="宋体"/>
          <w:bCs/>
          <w:lang w:eastAsia="zh-CN"/>
        </w:rPr>
      </w:pPr>
      <w:r>
        <w:rPr>
          <w:rFonts w:eastAsia="宋体"/>
          <w:bCs/>
          <w:lang w:eastAsia="zh-CN"/>
        </w:rPr>
        <w:t xml:space="preserve">What is not difficult to surmise from these interview data is that students are visualized in terms of their physical and mental health. Yet the point of information reception for all the participants in the field of educational involution was the reading of news reports and literature, suggesting that it is implicit.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In the interview material on understanding the double reduction policy, all respondents focused their concerns on suppressing house prices. Two of the interviewees who were already married and had children at the age of 30 were most involved in this area. The remaining participants were either married but had not had children, or not married and had not had children but were engaged and had done a lot of planning for the future.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Regardless of the participants' background conditions, one thing they all had in common was a high level of concern about house prices. For example, one respondent who was already engaged said, </w:t>
      </w:r>
    </w:p>
    <w:p>
      <w:pPr>
        <w:ind w:left="720" w:right="720"/>
        <w:jc w:val="both"/>
        <w:outlineLvl w:val="1"/>
        <w:rPr>
          <w:rFonts w:eastAsia="宋体"/>
          <w:lang w:eastAsia="zh-CN"/>
        </w:rPr>
      </w:pPr>
      <w:r>
        <w:rPr>
          <w:rFonts w:eastAsia="宋体"/>
          <w:lang w:eastAsia="zh-CN"/>
        </w:rPr>
        <w:t xml:space="preserve">"I am engaged and I am planning to have children in the future, so I want a house that can accommodate four people. But there are too many tuition providers and their presence gives house developers an excuse to inflate prices. The current prices are out of our reach and it would be nice if they could be lowered". </w:t>
      </w:r>
    </w:p>
    <w:p>
      <w:pPr>
        <w:ind w:left="720" w:right="720"/>
        <w:jc w:val="both"/>
        <w:outlineLvl w:val="1"/>
        <w:rPr>
          <w:rFonts w:eastAsia="宋体"/>
          <w:lang w:eastAsia="zh-CN"/>
        </w:rPr>
      </w:pPr>
      <w:r>
        <w:rPr>
          <w:rFonts w:eastAsia="宋体"/>
          <w:lang w:eastAsia="zh-CN"/>
        </w:rPr>
        <w:t xml:space="preserve">This shows that the understanding of the double reduction policy depends to a large extent on the level of house prices. </w:t>
      </w:r>
    </w:p>
    <w:p>
      <w:pPr>
        <w:ind w:left="720" w:right="720"/>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As for the other aspects of the material, the level of concern decreases from the tuition market to addressing the education in-roll and breaking the grade based pathway to higher education. Of these, addressing education in-rolls and breaking the mark-based pathway to higher education received the same level of attention, with the tutorial market being the second most highly regarded. More than half of the participants (four out of six) talked in the interviews about how their jobs would get better after the tutorial market was overhauled. They also described the current state of the tuition market, for example, the last two areas that the Chinese government would like to address are the inward rolls of education and the breaking of the score-based pathway to higher education, which all the participants felt were the most important areas to address.</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In the interview material reflecting on their future work, half of the respondents wanted to go to work in a government sponsored school. The reasons given by these three respondents were surprisingly consistent. They all felt that although working in a public school would pay much less than they currently earn in the private sector, it would be stable and they would not have to worry about being made redundant at any time. Both 30-year-olds interviewed spoke highly of the nature of public schools in not dismissing teachers at will. The 25-year-old respondent, on the other hand, did not show much interest in this feature. The rest of the respondents were neutral, both interested in the stability of public schools and not very willing to give up the high salaries in the private sector. This may have some correlation with age.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The two remaining career paths were either to learn new skills and work in a non-disciplinary institution or to work as a private teacher and dictate their own time. The choice of employment direction one was made by participants aged 25 and 26, who were still attracted by the high salaries in private institutions; the second choice was made by participants aged 25, and this participant had the highest quest for a high salary of all participants. Taken together, reflections on future work are more limited by age.</w:t>
      </w:r>
    </w:p>
    <w:p>
      <w:pPr>
        <w:spacing w:line="480" w:lineRule="auto"/>
        <w:jc w:val="both"/>
        <w:outlineLvl w:val="1"/>
        <w:rPr>
          <w:rFonts w:eastAsia="宋体"/>
          <w:bCs/>
          <w:lang w:eastAsia="zh-CN"/>
        </w:rPr>
      </w:pPr>
    </w:p>
    <w:p>
      <w:pPr>
        <w:spacing w:line="480" w:lineRule="auto"/>
        <w:outlineLvl w:val="1"/>
        <w:rPr>
          <w:b/>
        </w:rPr>
      </w:pPr>
      <w:bookmarkStart w:id="12" w:name="_Toc45110180"/>
      <w:r>
        <w:rPr>
          <w:rFonts w:eastAsia="宋体"/>
          <w:b/>
          <w:lang w:eastAsia="zh-CN"/>
        </w:rPr>
        <w:t xml:space="preserve">3.8. </w:t>
      </w:r>
      <w:r>
        <w:rPr>
          <w:b/>
        </w:rPr>
        <w:t>Conclusion</w:t>
      </w:r>
      <w:bookmarkEnd w:id="12"/>
    </w:p>
    <w:p>
      <w:pPr>
        <w:spacing w:line="480" w:lineRule="auto"/>
        <w:jc w:val="both"/>
        <w:outlineLvl w:val="1"/>
        <w:rPr>
          <w:rFonts w:eastAsia="宋体"/>
          <w:bCs/>
          <w:lang w:eastAsia="zh-CN"/>
        </w:rPr>
      </w:pPr>
      <w:r>
        <w:rPr>
          <w:bCs/>
        </w:rPr>
        <w:t>The research is anchored in the context of the Chinese government's policy of double reduction.</w:t>
      </w:r>
      <w:r>
        <w:rPr>
          <w:rFonts w:eastAsia="宋体"/>
          <w:bCs/>
          <w:lang w:eastAsia="zh-CN"/>
        </w:rPr>
        <w:t xml:space="preserve"> The study is based on the context of the double reduction policy implemented by the Chinese government. According to the section on the background of the study, it can be summarized that the uncontrolled competition in the tuition market triggered the involution of education and the rise of house prices. A qualitative rather than a quantitative approach was chosen for this study. This is because, regardless of the number of well-established and systematic approaches to qualitative research, the focus of qualitative research must be on clarifying the operation of a particular socio-cultural behaviour or phenomenon (</w:t>
      </w:r>
      <w:r>
        <w:rPr>
          <w:rFonts w:eastAsia="宋体"/>
        </w:rPr>
        <w:t>Tetnowski</w:t>
      </w:r>
      <w:r>
        <w:rPr>
          <w:rFonts w:eastAsia="宋体"/>
          <w:lang w:eastAsia="zh-CN"/>
        </w:rPr>
        <w:t xml:space="preserve"> and </w:t>
      </w:r>
      <w:r>
        <w:rPr>
          <w:rFonts w:eastAsia="宋体"/>
        </w:rPr>
        <w:t>Damico</w:t>
      </w:r>
      <w:r>
        <w:rPr>
          <w:rFonts w:eastAsia="宋体"/>
          <w:lang w:eastAsia="zh-CN"/>
        </w:rPr>
        <w:t>, 2001, p.22</w:t>
      </w:r>
      <w:r>
        <w:rPr>
          <w:rFonts w:eastAsia="宋体"/>
          <w:bCs/>
          <w:lang w:eastAsia="zh-CN"/>
        </w:rPr>
        <w:t xml:space="preserv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The double reduction policy is a social phenomenon that has already taken place, and its introduction has affected the entire tuition market in mainland China. Moreover, the object of qualitative research can be individual life experiences, behaviours, emotions and feelings, as well as organizational operations, social movements, cultural phenomena and interrelationships (</w:t>
      </w:r>
      <w:r>
        <w:rPr>
          <w:rFonts w:eastAsia="宋体"/>
        </w:rPr>
        <w:t>Rahman</w:t>
      </w:r>
      <w:r>
        <w:rPr>
          <w:rFonts w:eastAsia="宋体"/>
          <w:lang w:eastAsia="zh-CN"/>
        </w:rPr>
        <w:t>,2017, p.103</w:t>
      </w:r>
      <w:r>
        <w:rPr>
          <w:rFonts w:eastAsia="宋体"/>
          <w:bCs/>
          <w:lang w:eastAsia="zh-CN"/>
        </w:rPr>
        <w:t>). The results it produces cannot be derived through statistical procedures or other quantitative means (</w:t>
      </w:r>
      <w:r>
        <w:rPr>
          <w:rFonts w:eastAsia="宋体"/>
        </w:rPr>
        <w:t>Rahman</w:t>
      </w:r>
      <w:r>
        <w:rPr>
          <w:rFonts w:eastAsia="宋体"/>
          <w:lang w:eastAsia="zh-CN"/>
        </w:rPr>
        <w:t>,2017, p.104</w:t>
      </w:r>
      <w:r>
        <w:rPr>
          <w:rFonts w:eastAsia="宋体"/>
          <w:bCs/>
          <w:lang w:eastAsia="zh-CN"/>
        </w:rPr>
        <w:t xml:space="preserv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In terms of other advantages of qualitative research, Denzin (1989) maintains that qualitative research can elaborate on participants' feelings, opinions and experiences, and interpret the meaning of participants' behaviour. Plus, qualitative research can be subjective in the process of collecting data (</w:t>
      </w:r>
      <w:r>
        <w:rPr>
          <w:rFonts w:eastAsia="宋体"/>
        </w:rPr>
        <w:t>Rahman</w:t>
      </w:r>
      <w:r>
        <w:rPr>
          <w:rFonts w:eastAsia="宋体"/>
          <w:lang w:eastAsia="zh-CN"/>
        </w:rPr>
        <w:t>,2017, p.104</w:t>
      </w:r>
      <w:r>
        <w:rPr>
          <w:rFonts w:eastAsia="宋体"/>
          <w:bCs/>
          <w:lang w:eastAsia="zh-CN"/>
        </w:rPr>
        <w:t>). This is because qualitative research most often uses methods such as participant observation, unstructured interviews, direct observation, and descriptive notes to collect data (Cohen, Manion, and, Morrison, 2011). This is very fitting to the theme of this study and was the main reason for the decision to opt for qualitative research. In quantitative research the focus is on objectivity, the data it produces is quantifiable and disciplines such as mathematics and statistics play an important part in its inductive analysis (</w:t>
      </w:r>
      <w:r>
        <w:rPr>
          <w:rFonts w:eastAsia="宋体"/>
        </w:rPr>
        <w:t>Queirós</w:t>
      </w:r>
      <w:r>
        <w:rPr>
          <w:rFonts w:eastAsia="宋体"/>
          <w:lang w:eastAsia="zh-CN"/>
        </w:rPr>
        <w:t xml:space="preserve">, </w:t>
      </w:r>
      <w:r>
        <w:rPr>
          <w:rFonts w:eastAsia="宋体"/>
        </w:rPr>
        <w:t>Faria</w:t>
      </w:r>
      <w:r>
        <w:rPr>
          <w:rFonts w:eastAsia="宋体"/>
          <w:lang w:eastAsia="zh-CN"/>
        </w:rPr>
        <w:t xml:space="preserve">, and </w:t>
      </w:r>
      <w:r>
        <w:rPr>
          <w:rFonts w:eastAsia="宋体"/>
        </w:rPr>
        <w:t>Almeida</w:t>
      </w:r>
      <w:r>
        <w:rPr>
          <w:rFonts w:eastAsia="宋体"/>
          <w:lang w:eastAsia="zh-CN"/>
        </w:rPr>
        <w:t>, 2017, p.370</w:t>
      </w:r>
      <w:r>
        <w:rPr>
          <w:rFonts w:eastAsia="宋体"/>
          <w:bCs/>
          <w:lang w:eastAsia="zh-CN"/>
        </w:rPr>
        <w:t xml:space="preserve">).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Additionally, in order to ensure the objectivity, accuracy, reliability and replicability of the research process and results, as well as to achieve the goal of discovering the overall characteristics, interrelationships and general patterns of social phenomena, researchers usually need to carry out rigorous sampling and measurement of the phenomena under study, in line with the requirements of statistical analysis, as well as to use various standardized and highly reliable instruments such as questionnaires and scales (Feng, 2017, p.71). As quantitative analysis tends to be more objective, while the content of this study is more subjective, quantitative research is not a match for this study.</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Even if the choice of qualitative research is settled, the question of which specific method to choose is faced. According to a specific survey done by Queirós, Faria, and Almeida (2017, p. 374-379) on the methods within qualitative research it can be seen that there are advantages and limitations between the different methods.</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Table 4 </w:t>
      </w:r>
      <w:r>
        <w:rPr>
          <w:rFonts w:eastAsia="宋体"/>
          <w:bCs/>
          <w:i/>
          <w:iCs/>
          <w:lang w:eastAsia="zh-CN"/>
        </w:rPr>
        <w:t>Comparison of qualitative research methods</w:t>
      </w:r>
      <w:r>
        <w:rPr>
          <w:rFonts w:eastAsia="宋体"/>
          <w:bCs/>
          <w:lang w:eastAsia="zh-CN"/>
        </w:rPr>
        <w:t xml:space="preserve"> (Queirós, Faria, and Almeida , 2017, p. 374-379)</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widowControl w:val="0"/>
              <w:spacing w:line="480" w:lineRule="auto"/>
              <w:jc w:val="both"/>
              <w:outlineLvl w:val="1"/>
              <w:rPr>
                <w:rFonts w:eastAsia="宋体"/>
                <w:bCs/>
                <w:lang w:eastAsia="zh-CN"/>
              </w:rPr>
            </w:pPr>
            <w:r>
              <w:rPr>
                <w:rFonts w:eastAsia="宋体"/>
                <w:bCs/>
                <w:lang w:eastAsia="zh-CN"/>
              </w:rPr>
              <w:t>Qualitative Research Methods</w:t>
            </w:r>
          </w:p>
        </w:tc>
        <w:tc>
          <w:tcPr>
            <w:tcW w:w="2841" w:type="dxa"/>
          </w:tcPr>
          <w:p>
            <w:pPr>
              <w:widowControl w:val="0"/>
              <w:spacing w:line="480" w:lineRule="auto"/>
              <w:jc w:val="both"/>
              <w:outlineLvl w:val="1"/>
              <w:rPr>
                <w:rFonts w:eastAsia="宋体"/>
                <w:bCs/>
                <w:lang w:eastAsia="zh-CN"/>
              </w:rPr>
            </w:pPr>
            <w:r>
              <w:rPr>
                <w:rFonts w:eastAsia="宋体"/>
                <w:bCs/>
                <w:lang w:eastAsia="zh-CN"/>
              </w:rPr>
              <w:t xml:space="preserve">  Pros</w:t>
            </w:r>
          </w:p>
        </w:tc>
        <w:tc>
          <w:tcPr>
            <w:tcW w:w="2841" w:type="dxa"/>
          </w:tcPr>
          <w:p>
            <w:pPr>
              <w:widowControl w:val="0"/>
              <w:spacing w:line="480" w:lineRule="auto"/>
              <w:jc w:val="both"/>
              <w:outlineLvl w:val="1"/>
              <w:rPr>
                <w:rFonts w:eastAsia="宋体"/>
                <w:bCs/>
                <w:lang w:eastAsia="zh-CN"/>
              </w:rPr>
            </w:pPr>
            <w:r>
              <w:rPr>
                <w:rFonts w:eastAsia="宋体"/>
                <w:bCs/>
                <w:lang w:eastAsia="zh-CN"/>
              </w:rPr>
              <w:t xml:space="preserve">  Cons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widowControl w:val="0"/>
              <w:spacing w:line="480" w:lineRule="auto"/>
              <w:jc w:val="both"/>
              <w:outlineLvl w:val="1"/>
              <w:rPr>
                <w:rFonts w:eastAsia="宋体"/>
                <w:bCs/>
                <w:lang w:eastAsia="zh-CN"/>
              </w:rPr>
            </w:pPr>
            <w:r>
              <w:rPr>
                <w:rFonts w:eastAsia="宋体"/>
                <w:bCs/>
                <w:lang w:eastAsia="zh-CN"/>
              </w:rPr>
              <w:t>Case Study</w:t>
            </w:r>
          </w:p>
        </w:tc>
        <w:tc>
          <w:tcPr>
            <w:tcW w:w="2841" w:type="dxa"/>
          </w:tcPr>
          <w:p>
            <w:pPr>
              <w:widowControl w:val="0"/>
              <w:spacing w:line="480" w:lineRule="auto"/>
              <w:jc w:val="both"/>
              <w:outlineLvl w:val="1"/>
              <w:rPr>
                <w:rFonts w:eastAsia="宋体"/>
                <w:bCs/>
                <w:lang w:eastAsia="zh-CN"/>
              </w:rPr>
            </w:pPr>
            <w:r>
              <w:rPr>
                <w:rFonts w:eastAsia="宋体"/>
                <w:bCs/>
                <w:lang w:eastAsia="zh-CN"/>
              </w:rPr>
              <w:t>1. clear and detailed personal information about the participants; 2. the possibility of substituting or replacing each other with focus groups; 3. the possibility of coming up with new theories</w:t>
            </w:r>
          </w:p>
        </w:tc>
        <w:tc>
          <w:tcPr>
            <w:tcW w:w="2841" w:type="dxa"/>
          </w:tcPr>
          <w:p>
            <w:pPr>
              <w:widowControl w:val="0"/>
              <w:spacing w:line="480" w:lineRule="auto"/>
              <w:jc w:val="both"/>
              <w:outlineLvl w:val="1"/>
              <w:rPr>
                <w:rFonts w:eastAsia="宋体"/>
                <w:bCs/>
                <w:lang w:eastAsia="zh-CN"/>
              </w:rPr>
            </w:pPr>
            <w:r>
              <w:rPr>
                <w:rFonts w:eastAsia="宋体"/>
                <w:bCs/>
                <w:lang w:eastAsia="zh-CN"/>
              </w:rPr>
              <w:t>1. it can involve personal privacy and touch on ethical issues; 2. it is not easy to summarize by doing case studies; 3. it is difficult to establish causality; 4. case studies are more suitable for individual cases and lack generality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widowControl w:val="0"/>
              <w:spacing w:line="480" w:lineRule="auto"/>
              <w:jc w:val="both"/>
              <w:outlineLvl w:val="1"/>
              <w:rPr>
                <w:rFonts w:eastAsia="宋体"/>
                <w:bCs/>
                <w:lang w:eastAsia="zh-CN"/>
              </w:rPr>
            </w:pPr>
            <w:r>
              <w:rPr>
                <w:rFonts w:eastAsia="宋体"/>
                <w:bCs/>
                <w:lang w:eastAsia="zh-CN"/>
              </w:rPr>
              <w:t>Interview</w:t>
            </w:r>
          </w:p>
        </w:tc>
        <w:tc>
          <w:tcPr>
            <w:tcW w:w="2841" w:type="dxa"/>
          </w:tcPr>
          <w:p>
            <w:pPr>
              <w:widowControl w:val="0"/>
              <w:spacing w:line="480" w:lineRule="auto"/>
              <w:jc w:val="both"/>
              <w:outlineLvl w:val="1"/>
              <w:rPr>
                <w:rFonts w:eastAsia="宋体"/>
                <w:bCs/>
                <w:lang w:eastAsia="zh-CN"/>
              </w:rPr>
            </w:pPr>
            <w:r>
              <w:rPr>
                <w:rFonts w:eastAsia="宋体"/>
                <w:bCs/>
                <w:lang w:eastAsia="zh-CN"/>
              </w:rPr>
              <w:t>1. it is easy to engage respondents and get answers in an easy way; 2. interviews do not necessarily require a formal setting and can be easier to conduct; 3. it is possible to get useful answers that are needed in the field of investigation</w:t>
            </w:r>
          </w:p>
        </w:tc>
        <w:tc>
          <w:tcPr>
            <w:tcW w:w="2841" w:type="dxa"/>
          </w:tcPr>
          <w:p>
            <w:pPr>
              <w:widowControl w:val="0"/>
              <w:spacing w:line="480" w:lineRule="auto"/>
              <w:jc w:val="both"/>
              <w:outlineLvl w:val="1"/>
              <w:rPr>
                <w:rFonts w:eastAsia="宋体"/>
                <w:bCs/>
                <w:lang w:eastAsia="zh-CN"/>
              </w:rPr>
            </w:pPr>
            <w:r>
              <w:rPr>
                <w:rFonts w:eastAsia="宋体"/>
                <w:bCs/>
                <w:lang w:eastAsia="zh-CN"/>
              </w:rPr>
              <w:t>1. prone to prejudice; 2. more work up front; 3. lack of universality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widowControl w:val="0"/>
              <w:spacing w:line="480" w:lineRule="auto"/>
              <w:jc w:val="both"/>
              <w:outlineLvl w:val="1"/>
              <w:rPr>
                <w:rFonts w:eastAsia="宋体"/>
                <w:bCs/>
                <w:lang w:eastAsia="zh-CN"/>
              </w:rPr>
            </w:pPr>
            <w:r>
              <w:rPr>
                <w:rFonts w:eastAsia="宋体"/>
                <w:bCs/>
                <w:lang w:eastAsia="zh-CN"/>
              </w:rPr>
              <w:t>Field research</w:t>
            </w:r>
          </w:p>
        </w:tc>
        <w:tc>
          <w:tcPr>
            <w:tcW w:w="2841" w:type="dxa"/>
          </w:tcPr>
          <w:p>
            <w:pPr>
              <w:widowControl w:val="0"/>
              <w:spacing w:line="480" w:lineRule="auto"/>
              <w:jc w:val="both"/>
              <w:outlineLvl w:val="1"/>
              <w:rPr>
                <w:rFonts w:eastAsia="宋体"/>
                <w:bCs/>
                <w:lang w:eastAsia="zh-CN"/>
              </w:rPr>
            </w:pPr>
            <w:r>
              <w:rPr>
                <w:rFonts w:eastAsia="宋体"/>
                <w:bCs/>
                <w:lang w:eastAsia="zh-CN"/>
              </w:rPr>
              <w:t>1. access to detailed data; 2. ability to use social context</w:t>
            </w:r>
          </w:p>
        </w:tc>
        <w:tc>
          <w:tcPr>
            <w:tcW w:w="2841" w:type="dxa"/>
          </w:tcPr>
          <w:p>
            <w:pPr>
              <w:widowControl w:val="0"/>
              <w:spacing w:line="480" w:lineRule="auto"/>
              <w:jc w:val="both"/>
              <w:outlineLvl w:val="1"/>
              <w:rPr>
                <w:rFonts w:eastAsia="宋体"/>
                <w:bCs/>
                <w:lang w:eastAsia="zh-CN"/>
              </w:rPr>
            </w:pPr>
            <w:r>
              <w:rPr>
                <w:rFonts w:eastAsia="宋体"/>
                <w:bCs/>
                <w:lang w:eastAsia="zh-CN"/>
              </w:rPr>
              <w:t>1. takes a long time, making the process of field research difficult; 2. data is difficult to generalise; 3. the results of field research depend on the impartiality of the observer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widowControl w:val="0"/>
              <w:spacing w:line="480" w:lineRule="auto"/>
              <w:jc w:val="both"/>
              <w:outlineLvl w:val="1"/>
              <w:rPr>
                <w:rFonts w:eastAsia="宋体"/>
                <w:bCs/>
                <w:lang w:eastAsia="zh-CN"/>
              </w:rPr>
            </w:pPr>
            <w:r>
              <w:rPr>
                <w:rFonts w:eastAsia="宋体"/>
                <w:bCs/>
                <w:lang w:eastAsia="zh-CN"/>
              </w:rPr>
              <w:t>Focus Group</w:t>
            </w:r>
          </w:p>
        </w:tc>
        <w:tc>
          <w:tcPr>
            <w:tcW w:w="2841" w:type="dxa"/>
          </w:tcPr>
          <w:p>
            <w:pPr>
              <w:widowControl w:val="0"/>
              <w:spacing w:line="480" w:lineRule="auto"/>
              <w:jc w:val="both"/>
              <w:outlineLvl w:val="1"/>
              <w:rPr>
                <w:rFonts w:eastAsia="宋体"/>
                <w:bCs/>
                <w:lang w:eastAsia="zh-CN"/>
              </w:rPr>
            </w:pPr>
            <w:r>
              <w:rPr>
                <w:rFonts w:eastAsia="宋体"/>
                <w:bCs/>
                <w:lang w:eastAsia="zh-CN"/>
              </w:rPr>
              <w:t>Access to individual and group details</w:t>
            </w:r>
          </w:p>
        </w:tc>
        <w:tc>
          <w:tcPr>
            <w:tcW w:w="2841" w:type="dxa"/>
          </w:tcPr>
          <w:p>
            <w:pPr>
              <w:widowControl w:val="0"/>
              <w:spacing w:line="480" w:lineRule="auto"/>
              <w:jc w:val="both"/>
              <w:outlineLvl w:val="1"/>
              <w:rPr>
                <w:rFonts w:eastAsia="宋体"/>
                <w:bCs/>
                <w:lang w:eastAsia="zh-CN"/>
              </w:rPr>
            </w:pPr>
            <w:r>
              <w:rPr>
                <w:rFonts w:eastAsia="宋体"/>
                <w:bCs/>
                <w:lang w:eastAsia="zh-CN"/>
              </w:rPr>
              <w:t>Not easy to manage and control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widowControl w:val="0"/>
              <w:spacing w:line="480" w:lineRule="auto"/>
              <w:jc w:val="both"/>
              <w:outlineLvl w:val="1"/>
              <w:rPr>
                <w:rFonts w:eastAsia="宋体"/>
                <w:bCs/>
                <w:lang w:eastAsia="zh-CN"/>
              </w:rPr>
            </w:pPr>
            <w:r>
              <w:rPr>
                <w:rFonts w:eastAsia="宋体"/>
                <w:bCs/>
                <w:lang w:eastAsia="zh-CN"/>
              </w:rPr>
              <w:t>Observation</w:t>
            </w:r>
          </w:p>
        </w:tc>
        <w:tc>
          <w:tcPr>
            <w:tcW w:w="2841" w:type="dxa"/>
          </w:tcPr>
          <w:p>
            <w:pPr>
              <w:widowControl w:val="0"/>
              <w:spacing w:line="480" w:lineRule="auto"/>
              <w:jc w:val="both"/>
              <w:outlineLvl w:val="1"/>
              <w:rPr>
                <w:rFonts w:eastAsia="宋体"/>
                <w:bCs/>
                <w:lang w:eastAsia="zh-CN"/>
              </w:rPr>
            </w:pPr>
            <w:r>
              <w:rPr>
                <w:rFonts w:eastAsia="宋体"/>
                <w:bCs/>
                <w:lang w:eastAsia="zh-CN"/>
              </w:rPr>
              <w:t>1. the observation process is relatively quiet and less likely to attract the attention of the person being observed; 2. the observation process is flexible and versatile; 3. data and information can be collected in the process of observation</w:t>
            </w:r>
          </w:p>
        </w:tc>
        <w:tc>
          <w:tcPr>
            <w:tcW w:w="2841" w:type="dxa"/>
          </w:tcPr>
          <w:p>
            <w:pPr>
              <w:widowControl w:val="0"/>
              <w:spacing w:line="480" w:lineRule="auto"/>
              <w:jc w:val="both"/>
              <w:outlineLvl w:val="1"/>
              <w:rPr>
                <w:rFonts w:eastAsia="宋体"/>
                <w:bCs/>
                <w:lang w:eastAsia="zh-CN"/>
              </w:rPr>
            </w:pPr>
            <w:r>
              <w:rPr>
                <w:rFonts w:eastAsia="宋体"/>
                <w:bCs/>
                <w:lang w:eastAsia="zh-CN"/>
              </w:rPr>
              <w:t>1. the results of the observation depend on the impartiality of the observer; 2. it is quite time-consuming; 3. there is a lot of prep work</w:t>
            </w:r>
          </w:p>
        </w:tc>
      </w:tr>
    </w:tbl>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The selection of the interview method was also based on the topic of the study. The topic of this study is relatively new. It has not been a long time since the policy was enacted. Many tuition providers are still in a period of confusion and are not sure of the way forward, hence the subjectivity of the study occupies a larger part. The future can take a variety of paths and it is up to everyone in the tuition market to brainstorm and work together to reverse the current situation that is working against them. The study has been conducted with the voluntary consent of all participants and every effort has been made to protect the privacy of all information.</w:t>
      </w:r>
    </w:p>
    <w:p>
      <w:pPr>
        <w:spacing w:line="480" w:lineRule="auto"/>
        <w:jc w:val="both"/>
        <w:outlineLvl w:val="1"/>
        <w:rPr>
          <w:rFonts w:eastAsia="宋体"/>
          <w:bCs/>
          <w:lang w:eastAsia="zh-CN"/>
        </w:rPr>
      </w:pPr>
    </w:p>
    <w:p>
      <w:pPr>
        <w:numPr>
          <w:ilvl w:val="0"/>
          <w:numId w:val="2"/>
        </w:numPr>
        <w:spacing w:line="480" w:lineRule="auto"/>
        <w:jc w:val="both"/>
        <w:outlineLvl w:val="1"/>
        <w:rPr>
          <w:b/>
        </w:rPr>
      </w:pPr>
      <w:bookmarkStart w:id="13" w:name="_Toc45110181"/>
      <w:r>
        <w:rPr>
          <w:b/>
        </w:rPr>
        <w:t>RESULTS</w:t>
      </w:r>
      <w:bookmarkEnd w:id="13"/>
      <w:r>
        <w:rPr>
          <w:b/>
        </w:rPr>
        <w:t xml:space="preserve"> </w:t>
      </w:r>
    </w:p>
    <w:p>
      <w:pPr>
        <w:spacing w:line="480" w:lineRule="auto"/>
        <w:jc w:val="both"/>
        <w:outlineLvl w:val="1"/>
        <w:rPr>
          <w:rFonts w:eastAsia="宋体"/>
          <w:bCs/>
          <w:lang w:eastAsia="zh-CN"/>
        </w:rPr>
      </w:pPr>
      <w:r>
        <w:rPr>
          <w:rFonts w:eastAsia="宋体"/>
          <w:bCs/>
          <w:lang w:eastAsia="zh-CN"/>
        </w:rPr>
        <w:t xml:space="preserve">What needs to be done after the interview is to analyse and summarize what has been analysed in the final summary. Based on the above analysis a further summary will be made. The participants selected for the interview study were all from private tuition providers. Their ages were concentrated between 25 and 30 years. In fact, the researcher deliberately excluded people under the age of 25 when selecting the background conditions of the participants.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This is because, in Chinese tradition, the age range of 25 to 30 years is when families are formed and children are born. And the double reduction policy that the researcher learned about was a blow to private tuition providers. Those who are in the process of starting a family are likely to be affected more than those who are not in the process of starting a family. All the interviewees in the actual interviews were also at this stage. What is clear from their responses is that their concerns are highly focused on house prices and the survival of private tuition providers. As these two areas are of great relevance to their own interests, the areas on which all participants focused can be collectively referred to as the personal level. The remaining areas, the physical and mental health of students, the involution of education, and the breaking of the status quo of the mark-based system, can be referred to as the social level.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What can be concluded is that the participants value the individual dimension above the social dimension. Such a conclusion cannot be simply commented on as positive or negative. The personal dimension of the interviewees' concerns is also a social problem for China when considered in a different way. Rising house prices have made home ownership unaffordable for many people, and this is not a situation that the government of a country would like to see. The government of a country should strive for the well-being of its people. The double reduction policy is the result of the government's action in the area of education. In the tuition market, the influx of capital has made the market less clean, and this was mentioned in the feedback from respondents who wanted a transparent and orderly market with laws to regulate it. These are the results of the first two questions and answers of the interview.</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In response to the last interview question and answer, half of the participants wanted to work in a government sponsored school. In China, when a school is funded by the government, the teachers it recruits are generally tenured and are not normally dismissed unless the appointee breaks the law. This was the best option for participants in their 30s, as they wanted stable employment, as they were in the process of starting a family and having children. The rest of the respondents chose to learn new skills or to become private tutors. Perhaps these choices can shed some light on the future path of private tuition providers. Although the double reduction policy was released only a short time after the author finished writing the dissertation, there is not much literature on the research on the policy. However some links can still be made to what is explored in the literature review section. The literature review section describes the reasons why Chinese government departments suppressed the tutorial market and the boom in tutorial institutions. What can be explicitly predicted from the results of the interviews is that if the tutorial market follows its previous pattern of development, it will gradually be reduced to no space for survival in mainland China. The interviewees also made their own choices for their future development based on this prediction. It can be understood that all the elements explored in the literature review section can be summarized as reasons for the transformation of the tutorial market in mainland China, while the conclusions drawn from the interviews can be taken as directions for the transformation of the tutorial market. In other words, the two sections are causally related to each other.</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The researcher can give some advice based on the respondent's answers. 1. Private tuition providers seek help from the government. Lobby the government to be willing to fund these and help the tuition providers to undergo transformation into government sponsored schools. At the same time, the government should introduce incentives to support tuition providers who wish to convert to public schools. In short, there is a lot of scope for private tuition providers to work with the government. 2. Private tuition providers continue to be privately funded in nature, but no longer provide tuition services. Instead, it is transformed into an intermediary agency that provides work resources for private tutors. The private tuition agency, having been involved in providing subject-based tuition for students, must have accumulated a lot of student and parental resources which can be put to good use. Students and parents who have a need for tuition seek resources from the agency, and the agency can pass these resources on to the private tutor. In short, private tuition agencies no longer provide tuition services but sell resources. 3. Tuition providers can expand or change their range of services. Private tuition providers can offer non-disciplinary teaching services, introducing music, singing, dancing and other training programmes. Together with the government, they can expand the interests of students and gradually break the status quo of the mark-based approach. The three suggestions above are based on interview information.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p>
    <w:p>
      <w:pPr>
        <w:spacing w:line="480" w:lineRule="auto"/>
        <w:jc w:val="both"/>
        <w:outlineLvl w:val="1"/>
        <w:rPr>
          <w:rFonts w:eastAsia="宋体"/>
          <w:bCs/>
          <w:lang w:eastAsia="zh-CN"/>
        </w:rPr>
      </w:pPr>
    </w:p>
    <w:p>
      <w:pPr>
        <w:numPr>
          <w:ilvl w:val="0"/>
          <w:numId w:val="2"/>
        </w:numPr>
        <w:spacing w:line="480" w:lineRule="auto"/>
        <w:outlineLvl w:val="0"/>
        <w:rPr>
          <w:b/>
        </w:rPr>
      </w:pPr>
      <w:bookmarkStart w:id="14" w:name="_Toc45110190"/>
      <w:r>
        <w:rPr>
          <w:b/>
        </w:rPr>
        <w:t>DISCUSSION OF RESULTS</w:t>
      </w:r>
      <w:bookmarkEnd w:id="14"/>
      <w:r>
        <w:rPr>
          <w:b/>
        </w:rPr>
        <w:t xml:space="preserve"> </w:t>
      </w:r>
    </w:p>
    <w:p>
      <w:pPr>
        <w:spacing w:line="480" w:lineRule="auto"/>
        <w:jc w:val="both"/>
        <w:outlineLvl w:val="1"/>
        <w:rPr>
          <w:rFonts w:eastAsia="宋体"/>
          <w:bCs/>
          <w:lang w:eastAsia="zh-CN"/>
        </w:rPr>
      </w:pPr>
      <w:r>
        <w:rPr>
          <w:rFonts w:eastAsia="宋体"/>
          <w:bCs/>
          <w:lang w:eastAsia="zh-CN"/>
        </w:rPr>
        <w:t xml:space="preserve">In response to the conclusion given in the results section, it can be assumed that tuition institutions have not been completely wiped out by the double reduction policy, and that there is still space for them to survive, and that this space is not very narrow. If private tuition organizations can switch their mindset and adjust their direction of development promptly, then the tuition industry will have wireless possibilities, even under the double reduction policy. While it is predictable that the tuition market will have a bright future, unfortunately, this study is not perfect. In other words, it is not enough to rely on this study to find a sustainable path for tuition providers.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The study selected respondents only from the 25 to 30 age group, a group that is in the process of starting a family and having children, and therefore lacks representation of employees working in the tuition industry. It is merely representative of one group. This is one of the shortcomings of this study. Different groups should be selected for future research. Different age groups have different perspectives and conclusions, and research should all be considered inclusive and respectful of differences. It is sensible to look at the differences in research findings due to group differences.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 xml:space="preserve">Secondly, while this study places emphasis on exploring the future path of tuition providers, it does not do enough to explore the reasons why the tuition sector has been hit. Whereas the study of causes is fundamental to the exploration of pathways, this study did not do enough to examine the causes. </w:t>
      </w:r>
    </w:p>
    <w:p>
      <w:pPr>
        <w:spacing w:line="480" w:lineRule="auto"/>
        <w:jc w:val="both"/>
        <w:outlineLvl w:val="1"/>
        <w:rPr>
          <w:rFonts w:eastAsia="宋体"/>
          <w:bCs/>
          <w:lang w:eastAsia="zh-CN"/>
        </w:rPr>
      </w:pPr>
      <w:r>
        <w:rPr>
          <w:rFonts w:eastAsia="宋体"/>
          <w:bCs/>
          <w:lang w:eastAsia="zh-CN"/>
        </w:rPr>
        <w:t xml:space="preserve">Future research could make more effort in exploring the causes dimension, looking at different dimensions such as social and personal. When the causes are analyzed enough, a more accurate and detailed analysis can be made for future research. More than that, research methods can be diverse. Future research should go beyond interviews as a research method and perhaps consider quantitative research methods, such as questionnaires. Qualitative research could also continue to be used, but with a different approach, such as a case study. The use of different research methods can be more insightful to the research and can be useful in developing future policy. </w:t>
      </w:r>
    </w:p>
    <w:p>
      <w:pPr>
        <w:spacing w:line="480" w:lineRule="auto"/>
        <w:jc w:val="both"/>
        <w:outlineLvl w:val="1"/>
        <w:rPr>
          <w:rFonts w:eastAsia="宋体"/>
          <w:bCs/>
          <w:lang w:eastAsia="zh-CN"/>
        </w:rPr>
      </w:pPr>
    </w:p>
    <w:p>
      <w:pPr>
        <w:spacing w:line="480" w:lineRule="auto"/>
        <w:jc w:val="both"/>
        <w:outlineLvl w:val="1"/>
        <w:rPr>
          <w:rFonts w:eastAsia="宋体"/>
          <w:bCs/>
          <w:lang w:eastAsia="zh-CN"/>
        </w:rPr>
      </w:pPr>
      <w:r>
        <w:rPr>
          <w:rFonts w:eastAsia="宋体"/>
          <w:bCs/>
          <w:lang w:eastAsia="zh-CN"/>
        </w:rPr>
        <w:t>The Chinese government's policy makers on the education sector should be involved in relevant research projects to develop relevant policies based on the actual situation. Moreover, they should understand the actual situation from different perspectives of society to ensure that the policies formulated are in the fundamental interests of the people. Although it has only been a short time since the double reduction policy was announced, more and more research will be conducted on the policy in the future, and those doing research projects on the policy and those refining or developing other related policies should have the well-being of the people as their main concern.</w:t>
      </w:r>
    </w:p>
    <w:p>
      <w:pPr>
        <w:spacing w:line="480" w:lineRule="auto"/>
        <w:outlineLvl w:val="0"/>
        <w:rPr>
          <w:b/>
        </w:rPr>
      </w:pPr>
      <w:bookmarkStart w:id="15" w:name="_Toc45110191"/>
    </w:p>
    <w:p>
      <w:pPr>
        <w:numPr>
          <w:ilvl w:val="0"/>
          <w:numId w:val="2"/>
        </w:numPr>
        <w:spacing w:line="480" w:lineRule="auto"/>
        <w:outlineLvl w:val="0"/>
        <w:rPr>
          <w:b/>
        </w:rPr>
      </w:pPr>
      <w:r>
        <w:rPr>
          <w:b/>
        </w:rPr>
        <w:t>CONCLUSION AND RECOMMENDATIONS</w:t>
      </w:r>
      <w:bookmarkEnd w:id="15"/>
      <w:r>
        <w:rPr>
          <w:b/>
        </w:rPr>
        <w:t xml:space="preserve"> </w:t>
      </w:r>
    </w:p>
    <w:p>
      <w:pPr>
        <w:spacing w:line="480" w:lineRule="auto"/>
        <w:jc w:val="both"/>
        <w:outlineLvl w:val="0"/>
        <w:rPr>
          <w:bCs/>
        </w:rPr>
      </w:pPr>
      <w:r>
        <w:rPr>
          <w:bCs/>
        </w:rPr>
        <w:t>The research method used in this study was the qualitative research interview. The interview valued the questions and answers of the participants and the researcher. This research method produces results in words, not numbers, so in future studies numerical analysis can be added to make the study more objective. Future research could begin with an investigation into the reasons for the double reduction policy. More representative groups of people working in the tuition sector could also be selected and quantitative research methods could be used to produce objective results based on statistical data to determine the future direction of the tuition industry.</w:t>
      </w:r>
    </w:p>
    <w:p>
      <w:pPr>
        <w:spacing w:line="480" w:lineRule="auto"/>
        <w:jc w:val="both"/>
        <w:outlineLvl w:val="0"/>
        <w:rPr>
          <w:bCs/>
        </w:rPr>
      </w:pPr>
    </w:p>
    <w:p>
      <w:pPr>
        <w:spacing w:line="480" w:lineRule="auto"/>
        <w:jc w:val="both"/>
        <w:outlineLvl w:val="0"/>
        <w:rPr>
          <w:bCs/>
        </w:rPr>
      </w:pPr>
    </w:p>
    <w:p>
      <w:pPr>
        <w:spacing w:line="480" w:lineRule="auto"/>
        <w:jc w:val="both"/>
        <w:outlineLvl w:val="0"/>
        <w:rPr>
          <w:bCs/>
        </w:rPr>
      </w:pPr>
    </w:p>
    <w:p>
      <w:pPr>
        <w:spacing w:line="480" w:lineRule="auto"/>
        <w:jc w:val="both"/>
        <w:outlineLvl w:val="0"/>
        <w:rPr>
          <w:bCs/>
        </w:rPr>
      </w:pPr>
    </w:p>
    <w:p>
      <w:pPr>
        <w:spacing w:line="480" w:lineRule="auto"/>
        <w:jc w:val="both"/>
        <w:outlineLvl w:val="0"/>
        <w:rPr>
          <w:bCs/>
        </w:rPr>
      </w:pPr>
    </w:p>
    <w:p>
      <w:pPr>
        <w:spacing w:line="480" w:lineRule="auto"/>
        <w:jc w:val="both"/>
        <w:outlineLvl w:val="0"/>
        <w:rPr>
          <w:bCs/>
        </w:rPr>
      </w:pPr>
    </w:p>
    <w:p>
      <w:pPr>
        <w:spacing w:line="480" w:lineRule="auto"/>
        <w:jc w:val="both"/>
        <w:outlineLvl w:val="0"/>
        <w:rPr>
          <w:bCs/>
        </w:rPr>
      </w:pPr>
    </w:p>
    <w:p>
      <w:pPr>
        <w:spacing w:line="480" w:lineRule="auto"/>
        <w:jc w:val="both"/>
        <w:outlineLvl w:val="0"/>
        <w:rPr>
          <w:bCs/>
        </w:rPr>
      </w:pPr>
    </w:p>
    <w:p>
      <w:pPr>
        <w:spacing w:line="480" w:lineRule="auto"/>
        <w:jc w:val="both"/>
        <w:outlineLvl w:val="0"/>
        <w:rPr>
          <w:bCs/>
        </w:rPr>
      </w:pPr>
    </w:p>
    <w:p>
      <w:pPr>
        <w:spacing w:line="480" w:lineRule="auto"/>
        <w:jc w:val="both"/>
        <w:outlineLvl w:val="0"/>
        <w:rPr>
          <w:bCs/>
        </w:rPr>
      </w:pPr>
    </w:p>
    <w:p>
      <w:pPr>
        <w:spacing w:line="480" w:lineRule="auto"/>
        <w:jc w:val="both"/>
        <w:outlineLvl w:val="0"/>
        <w:rPr>
          <w:bCs/>
        </w:rPr>
      </w:pPr>
    </w:p>
    <w:p>
      <w:pPr>
        <w:spacing w:line="480" w:lineRule="auto"/>
        <w:jc w:val="both"/>
        <w:outlineLvl w:val="0"/>
        <w:rPr>
          <w:bCs/>
        </w:rPr>
      </w:pPr>
    </w:p>
    <w:p>
      <w:pPr>
        <w:numPr>
          <w:ilvl w:val="0"/>
          <w:numId w:val="2"/>
        </w:numPr>
        <w:rPr>
          <w:b/>
          <w:bCs/>
          <w:lang w:eastAsia="zh-CN"/>
        </w:rPr>
      </w:pPr>
      <w:r>
        <w:rPr>
          <w:b/>
          <w:bCs/>
          <w:lang w:eastAsia="zh-CN"/>
        </w:rPr>
        <w:t>Reference List</w:t>
      </w:r>
    </w:p>
    <w:p>
      <w:pPr>
        <w:rPr>
          <w:b/>
          <w:bCs/>
          <w:lang w:eastAsia="zh-CN"/>
        </w:rPr>
      </w:pPr>
    </w:p>
    <w:p>
      <w:pPr>
        <w:rPr>
          <w:rFonts w:eastAsia="serif"/>
        </w:rPr>
      </w:pPr>
      <w:r>
        <w:rPr>
          <w:rFonts w:eastAsia="serif"/>
        </w:rPr>
        <w:t xml:space="preserve">Abdul-Rahman, </w:t>
      </w:r>
      <w:r>
        <w:rPr>
          <w:rFonts w:eastAsia="宋体"/>
          <w:lang w:eastAsia="zh-CN"/>
        </w:rPr>
        <w:t xml:space="preserve">H., </w:t>
      </w:r>
      <w:r>
        <w:rPr>
          <w:rFonts w:eastAsia="serif"/>
        </w:rPr>
        <w:t xml:space="preserve">Wang, C. </w:t>
      </w:r>
      <w:r>
        <w:rPr>
          <w:rFonts w:eastAsia="宋体"/>
          <w:lang w:eastAsia="zh-CN"/>
        </w:rPr>
        <w:t xml:space="preserve">, </w:t>
      </w:r>
      <w:r>
        <w:rPr>
          <w:rFonts w:eastAsia="serif"/>
        </w:rPr>
        <w:t>Wood, L.C.</w:t>
      </w:r>
      <w:r>
        <w:rPr>
          <w:rFonts w:eastAsia="宋体"/>
          <w:lang w:eastAsia="zh-CN"/>
        </w:rPr>
        <w:t xml:space="preserve">, and </w:t>
      </w:r>
      <w:r>
        <w:rPr>
          <w:rFonts w:eastAsia="serif"/>
        </w:rPr>
        <w:t>Low, S.F. (2012)</w:t>
      </w:r>
      <w:r>
        <w:rPr>
          <w:rFonts w:eastAsia="宋体"/>
          <w:lang w:eastAsia="zh-CN"/>
        </w:rPr>
        <w:t xml:space="preserve"> ‘</w:t>
      </w:r>
      <w:r>
        <w:rPr>
          <w:rFonts w:eastAsia="serif"/>
        </w:rPr>
        <w:t>Negative impact induced by</w:t>
      </w:r>
      <w:r>
        <w:rPr>
          <w:rFonts w:eastAsia="宋体"/>
          <w:lang w:eastAsia="zh-CN"/>
        </w:rPr>
        <w:t xml:space="preserve"> </w:t>
      </w:r>
      <w:r>
        <w:rPr>
          <w:rFonts w:eastAsia="serif"/>
        </w:rPr>
        <w:t>foreign workers: Evidence in Malaysian construction sector</w:t>
      </w:r>
      <w:r>
        <w:rPr>
          <w:rFonts w:eastAsia="宋体"/>
          <w:lang w:eastAsia="zh-CN"/>
        </w:rPr>
        <w:t>’,</w:t>
      </w:r>
      <w:r>
        <w:rPr>
          <w:rFonts w:eastAsia="serif"/>
        </w:rPr>
        <w:t xml:space="preserve"> </w:t>
      </w:r>
      <w:r>
        <w:rPr>
          <w:rFonts w:eastAsia="serif"/>
          <w:i/>
          <w:iCs/>
        </w:rPr>
        <w:t>Habitat International,</w:t>
      </w:r>
      <w:r>
        <w:rPr>
          <w:rFonts w:eastAsia="宋体"/>
          <w:i/>
          <w:iCs/>
          <w:lang w:eastAsia="zh-CN"/>
        </w:rPr>
        <w:t xml:space="preserve"> </w:t>
      </w:r>
      <w:r>
        <w:rPr>
          <w:rFonts w:eastAsia="serif"/>
        </w:rPr>
        <w:t>36(4)</w:t>
      </w:r>
      <w:r>
        <w:rPr>
          <w:rFonts w:eastAsia="宋体"/>
          <w:lang w:eastAsia="zh-CN"/>
        </w:rPr>
        <w:t>, pp.</w:t>
      </w:r>
      <w:r>
        <w:rPr>
          <w:rFonts w:eastAsia="serif"/>
        </w:rPr>
        <w:t>433–443.</w:t>
      </w:r>
    </w:p>
    <w:p>
      <w:pPr>
        <w:rPr>
          <w:b/>
          <w:bCs/>
          <w:lang w:eastAsia="zh-CN"/>
        </w:rPr>
      </w:pPr>
    </w:p>
    <w:p>
      <w:pPr>
        <w:rPr>
          <w:rFonts w:eastAsia="宋体"/>
          <w:lang w:eastAsia="zh-CN" w:bidi="ar"/>
        </w:rPr>
      </w:pPr>
      <w:r>
        <w:rPr>
          <w:rFonts w:eastAsia="宋体"/>
          <w:lang w:eastAsia="zh-CN" w:bidi="ar"/>
        </w:rPr>
        <w:t xml:space="preserve">Bray, M. (2020) ‘Shadow education in Europe: Growing prevalence, underlying forces, and policy implications’, </w:t>
      </w:r>
      <w:r>
        <w:rPr>
          <w:rFonts w:eastAsia="宋体"/>
          <w:i/>
          <w:iCs/>
          <w:lang w:eastAsia="zh-CN" w:bidi="ar"/>
        </w:rPr>
        <w:t>ECNU Review of Education</w:t>
      </w:r>
      <w:r>
        <w:rPr>
          <w:rFonts w:eastAsia="宋体"/>
          <w:lang w:eastAsia="zh-CN" w:bidi="ar"/>
        </w:rPr>
        <w:t>, 49(2), pp.36-56.</w:t>
      </w:r>
    </w:p>
    <w:p>
      <w:pPr>
        <w:rPr>
          <w:rFonts w:eastAsia="宋体"/>
          <w:lang w:eastAsia="zh-CN" w:bidi="ar"/>
        </w:rPr>
      </w:pPr>
    </w:p>
    <w:p>
      <w:pPr>
        <w:jc w:val="both"/>
        <w:rPr>
          <w:rFonts w:eastAsia="宋体"/>
          <w:lang w:eastAsia="zh-CN" w:bidi="ar"/>
        </w:rPr>
      </w:pPr>
      <w:r>
        <w:rPr>
          <w:rFonts w:eastAsia="宋体"/>
        </w:rPr>
        <w:t>Bray</w:t>
      </w:r>
      <w:r>
        <w:rPr>
          <w:rFonts w:eastAsia="宋体"/>
          <w:lang w:eastAsia="zh-CN"/>
        </w:rPr>
        <w:t xml:space="preserve">, </w:t>
      </w:r>
      <w:r>
        <w:rPr>
          <w:rFonts w:eastAsia="宋体"/>
        </w:rPr>
        <w:t>M</w:t>
      </w:r>
      <w:r>
        <w:rPr>
          <w:rFonts w:eastAsia="宋体"/>
          <w:lang w:eastAsia="zh-CN"/>
        </w:rPr>
        <w:t>. (1999)</w:t>
      </w:r>
      <w:r>
        <w:rPr>
          <w:rFonts w:eastAsia="宋体"/>
        </w:rPr>
        <w:t xml:space="preserve"> </w:t>
      </w:r>
      <w:r>
        <w:rPr>
          <w:rFonts w:eastAsia="宋体"/>
          <w:lang w:eastAsia="zh-CN"/>
        </w:rPr>
        <w:t>‘</w:t>
      </w:r>
      <w:r>
        <w:rPr>
          <w:rFonts w:eastAsia="宋体"/>
        </w:rPr>
        <w:t>The Shadow Education System: Private Tutoring and its Implications for Planners</w:t>
      </w:r>
      <w:r>
        <w:rPr>
          <w:rFonts w:eastAsia="宋体"/>
          <w:lang w:eastAsia="zh-CN"/>
        </w:rPr>
        <w:t>’,</w:t>
      </w:r>
      <w:r>
        <w:rPr>
          <w:rFonts w:eastAsia="宋体"/>
        </w:rPr>
        <w:t xml:space="preserve"> Paris: International Institute for Educational Planning</w:t>
      </w:r>
      <w:r>
        <w:rPr>
          <w:rFonts w:eastAsia="宋体"/>
          <w:lang w:eastAsia="zh-CN"/>
        </w:rPr>
        <w:t>.</w:t>
      </w:r>
    </w:p>
    <w:p>
      <w:pPr>
        <w:rPr>
          <w:rFonts w:eastAsia="宋体"/>
          <w:lang w:eastAsia="zh-CN" w:bidi="ar"/>
        </w:rPr>
      </w:pPr>
    </w:p>
    <w:p>
      <w:pPr>
        <w:rPr>
          <w:rFonts w:eastAsia="宋体"/>
          <w:lang w:eastAsia="zh-CN"/>
        </w:rPr>
      </w:pPr>
      <w:r>
        <w:rPr>
          <w:rFonts w:eastAsia="宋体"/>
        </w:rPr>
        <w:t xml:space="preserve">Bray, M. (2013) </w:t>
      </w:r>
      <w:r>
        <w:rPr>
          <w:rFonts w:eastAsia="宋体"/>
          <w:lang w:eastAsia="zh-CN"/>
        </w:rPr>
        <w:t>‘</w:t>
      </w:r>
      <w:r>
        <w:rPr>
          <w:rFonts w:eastAsia="宋体"/>
        </w:rPr>
        <w:t>Benefits and tensions of shadow education: Comparative perspectives on the roles and impact of private supplementary tutoring in the lives of Hong Kong students</w:t>
      </w:r>
      <w:r>
        <w:rPr>
          <w:rFonts w:eastAsia="宋体"/>
          <w:lang w:eastAsia="zh-CN"/>
        </w:rPr>
        <w:t>’,</w:t>
      </w:r>
      <w:r>
        <w:rPr>
          <w:rFonts w:eastAsia="宋体"/>
        </w:rPr>
        <w:t xml:space="preserve"> </w:t>
      </w:r>
      <w:r>
        <w:rPr>
          <w:rFonts w:eastAsia="宋体"/>
          <w:i/>
          <w:iCs/>
        </w:rPr>
        <w:t>Journal of International and Comparative Education (JICE)</w:t>
      </w:r>
      <w:r>
        <w:rPr>
          <w:rFonts w:eastAsia="宋体"/>
        </w:rPr>
        <w:t xml:space="preserve">, </w:t>
      </w:r>
      <w:r>
        <w:rPr>
          <w:rFonts w:eastAsia="宋体"/>
          <w:lang w:eastAsia="zh-CN"/>
        </w:rPr>
        <w:t>2(1), pp.</w:t>
      </w:r>
      <w:r>
        <w:rPr>
          <w:rFonts w:eastAsia="宋体"/>
        </w:rPr>
        <w:t>18-30.</w:t>
      </w:r>
    </w:p>
    <w:p>
      <w:pPr>
        <w:rPr>
          <w:rFonts w:eastAsia="宋体"/>
          <w:lang w:eastAsia="zh-CN" w:bidi="ar"/>
        </w:rPr>
      </w:pPr>
    </w:p>
    <w:p>
      <w:pPr>
        <w:rPr>
          <w:rFonts w:eastAsia="serif"/>
        </w:rPr>
      </w:pPr>
      <w:r>
        <w:rPr>
          <w:rFonts w:eastAsia="serif"/>
        </w:rPr>
        <w:t>Baker, D. P.,</w:t>
      </w:r>
      <w:r>
        <w:rPr>
          <w:rFonts w:eastAsia="宋体"/>
          <w:lang w:eastAsia="zh-CN"/>
        </w:rPr>
        <w:t xml:space="preserve"> and</w:t>
      </w:r>
      <w:r>
        <w:rPr>
          <w:rFonts w:eastAsia="serif"/>
        </w:rPr>
        <w:t xml:space="preserve"> LeTendre, G. K. (2005)</w:t>
      </w:r>
      <w:r>
        <w:rPr>
          <w:rFonts w:eastAsia="宋体"/>
          <w:lang w:eastAsia="zh-CN"/>
        </w:rPr>
        <w:t xml:space="preserve"> </w:t>
      </w:r>
      <w:r>
        <w:rPr>
          <w:rFonts w:eastAsia="serif"/>
        </w:rPr>
        <w:t>National differences, global</w:t>
      </w:r>
      <w:r>
        <w:rPr>
          <w:rFonts w:eastAsia="宋体"/>
          <w:lang w:eastAsia="zh-CN"/>
        </w:rPr>
        <w:t xml:space="preserve"> </w:t>
      </w:r>
      <w:r>
        <w:rPr>
          <w:rFonts w:eastAsia="serif"/>
        </w:rPr>
        <w:t>similarities: World culture and the future of schooling. Stanford:</w:t>
      </w:r>
      <w:r>
        <w:rPr>
          <w:rFonts w:eastAsia="宋体"/>
          <w:lang w:eastAsia="zh-CN"/>
        </w:rPr>
        <w:t xml:space="preserve"> </w:t>
      </w:r>
      <w:r>
        <w:rPr>
          <w:rFonts w:eastAsia="serif"/>
        </w:rPr>
        <w:t>Stanford University Press.</w:t>
      </w:r>
    </w:p>
    <w:p>
      <w:pPr>
        <w:rPr>
          <w:rFonts w:eastAsia="serif"/>
        </w:rPr>
      </w:pPr>
    </w:p>
    <w:p>
      <w:pPr>
        <w:rPr>
          <w:rFonts w:eastAsia="宋体"/>
        </w:rPr>
      </w:pPr>
      <w:r>
        <w:rPr>
          <w:rFonts w:eastAsia="宋体"/>
        </w:rPr>
        <w:t xml:space="preserve">Byun, S. Y., </w:t>
      </w:r>
      <w:r>
        <w:rPr>
          <w:rFonts w:eastAsia="宋体"/>
          <w:lang w:eastAsia="zh-CN"/>
        </w:rPr>
        <w:t>and</w:t>
      </w:r>
      <w:r>
        <w:rPr>
          <w:rFonts w:eastAsia="宋体"/>
        </w:rPr>
        <w:t xml:space="preserve"> Park, H. (2012) </w:t>
      </w:r>
      <w:r>
        <w:rPr>
          <w:rFonts w:eastAsia="宋体"/>
          <w:lang w:eastAsia="zh-CN"/>
        </w:rPr>
        <w:t>‘</w:t>
      </w:r>
      <w:r>
        <w:rPr>
          <w:rFonts w:eastAsia="宋体"/>
        </w:rPr>
        <w:t>The academic success of East Asian American youth: The role of shadow education</w:t>
      </w:r>
      <w:r>
        <w:rPr>
          <w:rFonts w:eastAsia="宋体"/>
          <w:lang w:eastAsia="zh-CN"/>
        </w:rPr>
        <w:t>’,</w:t>
      </w:r>
      <w:r>
        <w:rPr>
          <w:rFonts w:eastAsia="宋体"/>
        </w:rPr>
        <w:t xml:space="preserve"> </w:t>
      </w:r>
      <w:r>
        <w:rPr>
          <w:rFonts w:eastAsia="宋体"/>
          <w:i/>
          <w:iCs/>
        </w:rPr>
        <w:t>Sociology of education</w:t>
      </w:r>
      <w:r>
        <w:rPr>
          <w:rFonts w:eastAsia="宋体"/>
        </w:rPr>
        <w:t xml:space="preserve">, </w:t>
      </w:r>
      <w:r>
        <w:rPr>
          <w:rFonts w:eastAsia="宋体"/>
          <w:i/>
          <w:iCs/>
        </w:rPr>
        <w:t>85</w:t>
      </w:r>
      <w:r>
        <w:rPr>
          <w:rFonts w:eastAsia="宋体"/>
        </w:rPr>
        <w:t xml:space="preserve">(1), </w:t>
      </w:r>
      <w:r>
        <w:rPr>
          <w:rFonts w:eastAsia="宋体"/>
          <w:lang w:eastAsia="zh-CN"/>
        </w:rPr>
        <w:t>pp.</w:t>
      </w:r>
      <w:r>
        <w:rPr>
          <w:rFonts w:eastAsia="宋体"/>
        </w:rPr>
        <w:t>40-60.</w:t>
      </w:r>
    </w:p>
    <w:p>
      <w:pPr>
        <w:rPr>
          <w:rFonts w:eastAsia="serif"/>
          <w:lang w:eastAsia="zh-CN"/>
        </w:rPr>
      </w:pPr>
    </w:p>
    <w:p>
      <w:pPr>
        <w:rPr>
          <w:rFonts w:eastAsia="宋体"/>
        </w:rPr>
      </w:pPr>
      <w:r>
        <w:rPr>
          <w:rFonts w:eastAsia="宋体"/>
        </w:rPr>
        <w:t xml:space="preserve">Buchmann, C., Condron, D. J., </w:t>
      </w:r>
      <w:r>
        <w:rPr>
          <w:rFonts w:eastAsia="宋体"/>
          <w:lang w:eastAsia="zh-CN"/>
        </w:rPr>
        <w:t>and</w:t>
      </w:r>
      <w:r>
        <w:rPr>
          <w:rFonts w:eastAsia="宋体"/>
        </w:rPr>
        <w:t xml:space="preserve"> Roscigno, V. J. (2010) </w:t>
      </w:r>
      <w:r>
        <w:rPr>
          <w:rFonts w:eastAsia="宋体"/>
          <w:lang w:eastAsia="zh-CN"/>
        </w:rPr>
        <w:t>‘</w:t>
      </w:r>
      <w:r>
        <w:rPr>
          <w:rFonts w:eastAsia="宋体"/>
        </w:rPr>
        <w:t>Shadow education, American style: Test preparation, the SAT and college enrollment</w:t>
      </w:r>
      <w:r>
        <w:rPr>
          <w:rFonts w:eastAsia="宋体"/>
          <w:lang w:eastAsia="zh-CN"/>
        </w:rPr>
        <w:t>’,</w:t>
      </w:r>
      <w:r>
        <w:rPr>
          <w:rFonts w:eastAsia="宋体"/>
        </w:rPr>
        <w:t xml:space="preserve"> </w:t>
      </w:r>
      <w:r>
        <w:rPr>
          <w:rFonts w:eastAsia="宋体"/>
          <w:i/>
          <w:iCs/>
        </w:rPr>
        <w:t>Social forces</w:t>
      </w:r>
      <w:r>
        <w:rPr>
          <w:rFonts w:eastAsia="宋体"/>
        </w:rPr>
        <w:t xml:space="preserve">, </w:t>
      </w:r>
      <w:r>
        <w:rPr>
          <w:rFonts w:eastAsia="宋体"/>
          <w:i/>
          <w:iCs/>
        </w:rPr>
        <w:t>89</w:t>
      </w:r>
      <w:r>
        <w:rPr>
          <w:rFonts w:eastAsia="宋体"/>
        </w:rPr>
        <w:t xml:space="preserve">(2), </w:t>
      </w:r>
      <w:r>
        <w:rPr>
          <w:rFonts w:eastAsia="宋体"/>
          <w:lang w:eastAsia="zh-CN"/>
        </w:rPr>
        <w:t>pp.</w:t>
      </w:r>
      <w:r>
        <w:rPr>
          <w:rFonts w:eastAsia="宋体"/>
        </w:rPr>
        <w:t>435-461.</w:t>
      </w:r>
    </w:p>
    <w:p>
      <w:pPr>
        <w:jc w:val="both"/>
        <w:rPr>
          <w:rFonts w:eastAsia="宋体"/>
        </w:rPr>
      </w:pPr>
      <w:r>
        <w:rPr>
          <w:rFonts w:eastAsia="宋体"/>
        </w:rPr>
        <w:t xml:space="preserve">Bray, T. M. (1999) </w:t>
      </w:r>
      <w:r>
        <w:rPr>
          <w:rFonts w:eastAsia="宋体"/>
          <w:i/>
          <w:iCs/>
        </w:rPr>
        <w:t>The shadow education system: Private tutoring and its implications for planners</w:t>
      </w:r>
      <w:r>
        <w:rPr>
          <w:rFonts w:eastAsia="宋体"/>
        </w:rPr>
        <w:t>. UNESCO International Institute for Educational Planning.</w:t>
      </w:r>
    </w:p>
    <w:p>
      <w:pPr>
        <w:rPr>
          <w:lang w:eastAsia="zh-CN"/>
        </w:rPr>
      </w:pPr>
    </w:p>
    <w:p>
      <w:pPr>
        <w:rPr>
          <w:rFonts w:eastAsia="宋体"/>
          <w:color w:val="222222"/>
          <w:shd w:val="clear" w:color="auto" w:fill="FFFFFF"/>
        </w:rPr>
      </w:pPr>
      <w:r>
        <w:rPr>
          <w:lang w:eastAsia="zh-CN"/>
        </w:rPr>
        <w:t xml:space="preserve">Bryman, A. (2004) </w:t>
      </w:r>
      <w:r>
        <w:rPr>
          <w:rFonts w:eastAsia="宋体"/>
          <w:i/>
          <w:iCs/>
          <w:color w:val="222222"/>
          <w:shd w:val="clear" w:color="auto" w:fill="FFFFFF"/>
        </w:rPr>
        <w:t>Social research methods</w:t>
      </w:r>
      <w:r>
        <w:rPr>
          <w:rFonts w:eastAsia="宋体"/>
          <w:color w:val="222222"/>
          <w:shd w:val="clear" w:color="auto" w:fill="FFFFFF"/>
        </w:rPr>
        <w:t>. Oxford university press.</w:t>
      </w:r>
    </w:p>
    <w:p>
      <w:pPr>
        <w:rPr>
          <w:rFonts w:eastAsia="宋体"/>
          <w:color w:val="222222"/>
          <w:shd w:val="clear" w:color="auto" w:fill="FFFFFF"/>
        </w:rPr>
      </w:pPr>
    </w:p>
    <w:p>
      <w:pPr>
        <w:rPr>
          <w:rFonts w:eastAsia="宋体"/>
          <w:color w:val="222222"/>
          <w:shd w:val="clear" w:color="auto" w:fill="FFFFFF"/>
        </w:rPr>
      </w:pPr>
      <w:r>
        <w:rPr>
          <w:rFonts w:eastAsia="宋体"/>
          <w:color w:val="222222"/>
          <w:shd w:val="clear" w:color="auto" w:fill="FFFFFF"/>
        </w:rPr>
        <w:t>Babble, E. (2004). The practice of social research, lOth edition.</w:t>
      </w:r>
    </w:p>
    <w:p>
      <w:pPr>
        <w:rPr>
          <w:rFonts w:eastAsia="宋体"/>
          <w:color w:val="222222"/>
          <w:shd w:val="clear" w:color="auto" w:fill="FFFFFF"/>
        </w:rPr>
      </w:pPr>
    </w:p>
    <w:p>
      <w:pPr>
        <w:jc w:val="both"/>
        <w:rPr>
          <w:rFonts w:eastAsia="宋体"/>
        </w:rPr>
      </w:pPr>
      <w:r>
        <w:rPr>
          <w:rFonts w:eastAsia="宋体"/>
        </w:rPr>
        <w:t>Bernard</w:t>
      </w:r>
      <w:r>
        <w:rPr>
          <w:rFonts w:eastAsia="宋体"/>
          <w:lang w:eastAsia="zh-CN"/>
        </w:rPr>
        <w:t>,</w:t>
      </w:r>
      <w:r>
        <w:rPr>
          <w:rFonts w:eastAsia="宋体"/>
        </w:rPr>
        <w:t xml:space="preserve"> H. </w:t>
      </w:r>
      <w:r>
        <w:rPr>
          <w:rFonts w:eastAsia="宋体"/>
          <w:lang w:eastAsia="zh-CN"/>
        </w:rPr>
        <w:t xml:space="preserve">(1988) </w:t>
      </w:r>
      <w:r>
        <w:rPr>
          <w:rFonts w:eastAsia="宋体"/>
        </w:rPr>
        <w:t>Research Methods in Cultural Anthropology. Newbury Park, California: Sage 1988.</w:t>
      </w:r>
    </w:p>
    <w:p>
      <w:pPr>
        <w:jc w:val="both"/>
        <w:rPr>
          <w:rFonts w:eastAsia="宋体"/>
        </w:rPr>
      </w:pPr>
    </w:p>
    <w:p>
      <w:pPr>
        <w:rPr>
          <w:rFonts w:eastAsia="宋体"/>
          <w:lang w:eastAsia="zh-CN"/>
        </w:rPr>
      </w:pPr>
      <w:r>
        <w:rPr>
          <w:rFonts w:eastAsia="serif"/>
        </w:rPr>
        <w:t xml:space="preserve">Bryman, </w:t>
      </w:r>
      <w:r>
        <w:rPr>
          <w:rFonts w:eastAsia="宋体"/>
          <w:lang w:eastAsia="zh-CN"/>
        </w:rPr>
        <w:t xml:space="preserve">A. </w:t>
      </w:r>
      <w:r>
        <w:rPr>
          <w:rFonts w:eastAsia="serif"/>
        </w:rPr>
        <w:t>Social Research Methods, fourth edition, Oxford University Press, 2012</w:t>
      </w:r>
      <w:r>
        <w:rPr>
          <w:rFonts w:eastAsia="宋体"/>
          <w:lang w:eastAsia="zh-CN"/>
        </w:rPr>
        <w:t>.</w:t>
      </w:r>
    </w:p>
    <w:p>
      <w:pPr>
        <w:rPr>
          <w:rFonts w:eastAsia="宋体"/>
          <w:lang w:eastAsia="zh-CN"/>
        </w:rPr>
      </w:pPr>
    </w:p>
    <w:p>
      <w:pPr>
        <w:rPr>
          <w:rFonts w:eastAsia="宋体"/>
          <w:i/>
          <w:iCs/>
          <w:lang w:eastAsia="zh-CN"/>
        </w:rPr>
      </w:pPr>
      <w:r>
        <w:rPr>
          <w:rFonts w:eastAsia="宋体"/>
        </w:rPr>
        <w:t xml:space="preserve">Bjork, C. (2011) </w:t>
      </w:r>
      <w:r>
        <w:rPr>
          <w:rFonts w:eastAsia="宋体"/>
          <w:lang w:eastAsia="zh-CN"/>
        </w:rPr>
        <w:t>‘</w:t>
      </w:r>
      <w:r>
        <w:rPr>
          <w:rFonts w:eastAsia="宋体"/>
        </w:rPr>
        <w:t>Imagining Japan’s ‘relaxed education’curriculum: Continuity or change</w:t>
      </w:r>
      <w:r>
        <w:rPr>
          <w:rFonts w:eastAsia="宋体"/>
          <w:lang w:eastAsia="zh-CN"/>
        </w:rPr>
        <w:t>’,</w:t>
      </w:r>
      <w:r>
        <w:rPr>
          <w:rFonts w:eastAsia="宋体"/>
        </w:rPr>
        <w:t xml:space="preserve"> </w:t>
      </w:r>
      <w:r>
        <w:rPr>
          <w:rFonts w:eastAsia="宋体"/>
          <w:i/>
          <w:iCs/>
        </w:rPr>
        <w:t>Reimagining Japanese Education: Borders, Transfers, Circulations, and the Comparative</w:t>
      </w:r>
      <w:r>
        <w:rPr>
          <w:rFonts w:eastAsia="宋体"/>
        </w:rPr>
        <w:t xml:space="preserve">, </w:t>
      </w:r>
      <w:r>
        <w:rPr>
          <w:rFonts w:eastAsia="宋体"/>
          <w:lang w:eastAsia="zh-CN"/>
        </w:rPr>
        <w:t>pp.</w:t>
      </w:r>
      <w:r>
        <w:rPr>
          <w:rFonts w:eastAsia="宋体"/>
        </w:rPr>
        <w:t>147-169.</w:t>
      </w:r>
    </w:p>
    <w:p>
      <w:pPr>
        <w:rPr>
          <w:rFonts w:eastAsia="宋体"/>
          <w:lang w:eastAsia="zh-CN"/>
        </w:rPr>
      </w:pPr>
    </w:p>
    <w:p>
      <w:pPr>
        <w:rPr>
          <w:rFonts w:eastAsia="宋体"/>
        </w:rPr>
      </w:pPr>
      <w:r>
        <w:rPr>
          <w:rFonts w:eastAsia="宋体"/>
        </w:rPr>
        <w:t xml:space="preserve">Choi, Y., </w:t>
      </w:r>
      <w:r>
        <w:rPr>
          <w:rFonts w:eastAsia="宋体"/>
          <w:lang w:eastAsia="zh-CN"/>
        </w:rPr>
        <w:t>and</w:t>
      </w:r>
      <w:r>
        <w:rPr>
          <w:rFonts w:eastAsia="宋体"/>
        </w:rPr>
        <w:t xml:space="preserve"> Park, H. (2016) </w:t>
      </w:r>
      <w:r>
        <w:rPr>
          <w:rFonts w:eastAsia="宋体"/>
          <w:lang w:eastAsia="zh-CN"/>
        </w:rPr>
        <w:t>‘</w:t>
      </w:r>
      <w:r>
        <w:rPr>
          <w:rFonts w:eastAsia="宋体"/>
        </w:rPr>
        <w:t>Shadow education and educational inequality in South Korea: Examining effect heterogeneity of shadow education on middle school seniors’ achievement test scores</w:t>
      </w:r>
      <w:r>
        <w:rPr>
          <w:rFonts w:eastAsia="宋体"/>
          <w:lang w:eastAsia="zh-CN"/>
        </w:rPr>
        <w:t>’,</w:t>
      </w:r>
      <w:r>
        <w:rPr>
          <w:rFonts w:eastAsia="宋体"/>
        </w:rPr>
        <w:t xml:space="preserve"> </w:t>
      </w:r>
      <w:r>
        <w:rPr>
          <w:rFonts w:eastAsia="宋体"/>
          <w:i/>
          <w:iCs/>
        </w:rPr>
        <w:t>Research in Social Stratification and Mobility</w:t>
      </w:r>
      <w:r>
        <w:rPr>
          <w:rFonts w:eastAsia="宋体"/>
        </w:rPr>
        <w:t xml:space="preserve">, </w:t>
      </w:r>
      <w:r>
        <w:rPr>
          <w:rFonts w:eastAsia="宋体"/>
          <w:i/>
          <w:iCs/>
        </w:rPr>
        <w:t>44</w:t>
      </w:r>
      <w:r>
        <w:rPr>
          <w:rFonts w:eastAsia="宋体"/>
        </w:rPr>
        <w:t xml:space="preserve">, </w:t>
      </w:r>
      <w:r>
        <w:rPr>
          <w:rFonts w:eastAsia="宋体"/>
          <w:lang w:eastAsia="zh-CN"/>
        </w:rPr>
        <w:t>pp.</w:t>
      </w:r>
      <w:r>
        <w:rPr>
          <w:rFonts w:eastAsia="宋体"/>
        </w:rPr>
        <w:t>22-32.</w:t>
      </w:r>
    </w:p>
    <w:p>
      <w:pPr>
        <w:jc w:val="both"/>
        <w:rPr>
          <w:rFonts w:eastAsia="宋体"/>
        </w:rPr>
      </w:pPr>
    </w:p>
    <w:p>
      <w:pPr>
        <w:rPr>
          <w:rFonts w:eastAsia="宋体"/>
          <w:lang w:eastAsia="zh-CN"/>
        </w:rPr>
      </w:pPr>
      <w:r>
        <w:rPr>
          <w:rFonts w:eastAsia="宋体"/>
          <w:lang w:eastAsia="zh-CN"/>
        </w:rPr>
        <w:t>Chen, Y. (2018) ‘</w:t>
      </w:r>
      <w:r>
        <w:rPr>
          <w:rFonts w:eastAsia="宋体"/>
        </w:rPr>
        <w:t>Analysis and Countermeasures of the Causes of the Educational Supplement in the Compulsory Education Stage in China</w:t>
      </w:r>
      <w:r>
        <w:rPr>
          <w:rFonts w:eastAsia="宋体"/>
          <w:lang w:eastAsia="zh-CN"/>
        </w:rPr>
        <w:t xml:space="preserve">’, </w:t>
      </w:r>
      <w:r>
        <w:rPr>
          <w:rFonts w:eastAsia="宋体"/>
        </w:rPr>
        <w:t>Education</w:t>
      </w:r>
      <w:r>
        <w:rPr>
          <w:rFonts w:eastAsia="宋体"/>
          <w:lang w:eastAsia="zh-CN"/>
        </w:rPr>
        <w:t xml:space="preserve"> M</w:t>
      </w:r>
      <w:r>
        <w:rPr>
          <w:rFonts w:eastAsia="宋体"/>
        </w:rPr>
        <w:t>odernization</w:t>
      </w:r>
      <w:r>
        <w:rPr>
          <w:rFonts w:eastAsia="宋体"/>
          <w:lang w:eastAsia="zh-CN"/>
        </w:rPr>
        <w:t>, 5(14), pp.325-328.</w:t>
      </w:r>
    </w:p>
    <w:p>
      <w:pPr>
        <w:jc w:val="both"/>
        <w:rPr>
          <w:rFonts w:eastAsia="宋体"/>
        </w:rPr>
      </w:pPr>
    </w:p>
    <w:p>
      <w:pPr>
        <w:rPr>
          <w:rFonts w:eastAsia="宋体"/>
          <w:lang w:eastAsia="zh-CN"/>
        </w:rPr>
      </w:pPr>
      <w:r>
        <w:rPr>
          <w:rFonts w:eastAsia="宋体"/>
          <w:lang w:eastAsia="zh-CN"/>
        </w:rPr>
        <w:t>Chen, S. Q. (2020) ‘</w:t>
      </w:r>
      <w:r>
        <w:rPr>
          <w:rFonts w:eastAsia="宋体"/>
        </w:rPr>
        <w:t>Involution and its value under the contemporary perspective</w:t>
      </w:r>
      <w:r>
        <w:rPr>
          <w:rFonts w:eastAsia="宋体"/>
          <w:lang w:eastAsia="zh-CN"/>
        </w:rPr>
        <w:t xml:space="preserve">’, </w:t>
      </w:r>
      <w:r>
        <w:rPr>
          <w:rFonts w:eastAsia="宋体"/>
          <w:i/>
          <w:iCs/>
        </w:rPr>
        <w:t>People's Forum</w:t>
      </w:r>
      <w:r>
        <w:rPr>
          <w:rFonts w:eastAsia="宋体"/>
          <w:i/>
          <w:iCs/>
          <w:lang w:eastAsia="zh-CN"/>
        </w:rPr>
        <w:t xml:space="preserve">, </w:t>
      </w:r>
      <w:r>
        <w:rPr>
          <w:rFonts w:eastAsia="宋体"/>
          <w:lang w:eastAsia="zh-CN"/>
        </w:rPr>
        <w:t>2, pp.144-146.</w:t>
      </w:r>
    </w:p>
    <w:p>
      <w:pPr>
        <w:jc w:val="both"/>
        <w:rPr>
          <w:rFonts w:eastAsia="宋体"/>
        </w:rPr>
      </w:pPr>
    </w:p>
    <w:p>
      <w:pPr>
        <w:rPr>
          <w:rFonts w:eastAsia="宋体"/>
          <w:color w:val="222222"/>
          <w:shd w:val="clear" w:color="auto" w:fill="FFFFFF"/>
          <w:lang w:eastAsia="zh-CN"/>
        </w:rPr>
      </w:pPr>
      <w:r>
        <w:rPr>
          <w:rFonts w:eastAsia="宋体"/>
          <w:color w:val="222222"/>
          <w:shd w:val="clear" w:color="auto" w:fill="FFFFFF"/>
          <w:lang w:eastAsia="zh-CN"/>
        </w:rPr>
        <w:t xml:space="preserve">Chen, X. M. (1996) ‘Review of Qualitative Research Methods’, </w:t>
      </w:r>
      <w:r>
        <w:rPr>
          <w:rFonts w:eastAsia="宋体"/>
          <w:i/>
          <w:iCs/>
          <w:color w:val="222222"/>
          <w:shd w:val="clear" w:color="auto" w:fill="FFFFFF"/>
          <w:lang w:eastAsia="zh-CN"/>
        </w:rPr>
        <w:t>Educational research in experiments</w:t>
      </w:r>
      <w:r>
        <w:rPr>
          <w:rFonts w:eastAsia="宋体"/>
          <w:color w:val="222222"/>
          <w:shd w:val="clear" w:color="auto" w:fill="FFFFFF"/>
          <w:lang w:eastAsia="zh-CN"/>
        </w:rPr>
        <w:t>, 39(8), pp.62-68.</w:t>
      </w:r>
    </w:p>
    <w:p>
      <w:pPr>
        <w:jc w:val="both"/>
        <w:rPr>
          <w:rFonts w:eastAsia="宋体"/>
        </w:rPr>
      </w:pPr>
    </w:p>
    <w:p>
      <w:pPr>
        <w:rPr>
          <w:rFonts w:eastAsia="宋体"/>
          <w:lang w:eastAsia="zh-CN"/>
        </w:rPr>
      </w:pPr>
      <w:r>
        <w:rPr>
          <w:rFonts w:eastAsia="宋体"/>
          <w:lang w:eastAsia="zh-CN"/>
        </w:rPr>
        <w:t>Chen, Y. H., and Miao, G. (2021) ‘</w:t>
      </w:r>
      <w:r>
        <w:rPr>
          <w:rFonts w:eastAsia="sans-serif"/>
        </w:rPr>
        <w:t>Enrollment Tournament</w:t>
      </w:r>
      <w:r>
        <w:rPr>
          <w:rFonts w:eastAsia="宋体"/>
          <w:lang w:eastAsia="zh-CN"/>
        </w:rPr>
        <w:t xml:space="preserve">, </w:t>
      </w:r>
      <w:r>
        <w:rPr>
          <w:rFonts w:eastAsia="sans-serif"/>
        </w:rPr>
        <w:t>Educational</w:t>
      </w:r>
      <w:r>
        <w:rPr>
          <w:rFonts w:eastAsia="宋体"/>
          <w:lang w:eastAsia="zh-CN"/>
        </w:rPr>
        <w:t xml:space="preserve"> </w:t>
      </w:r>
      <w:r>
        <w:rPr>
          <w:rFonts w:eastAsia="sans-serif"/>
        </w:rPr>
        <w:t>Involution and Stratification of</w:t>
      </w:r>
      <w:r>
        <w:rPr>
          <w:rFonts w:eastAsia="宋体"/>
          <w:lang w:eastAsia="zh-CN"/>
        </w:rPr>
        <w:t xml:space="preserve"> </w:t>
      </w:r>
      <w:r>
        <w:rPr>
          <w:rFonts w:eastAsia="sans-serif"/>
        </w:rPr>
        <w:t>School District</w:t>
      </w:r>
      <w:r>
        <w:rPr>
          <w:rFonts w:eastAsia="宋体"/>
          <w:lang w:eastAsia="zh-CN"/>
        </w:rPr>
        <w:t xml:space="preserve">’, </w:t>
      </w:r>
      <w:r>
        <w:rPr>
          <w:rFonts w:eastAsia="sans-serif"/>
          <w:i/>
          <w:iCs/>
        </w:rPr>
        <w:t>Journal of Jiangsu Administration Institute</w:t>
      </w:r>
      <w:r>
        <w:rPr>
          <w:rFonts w:eastAsia="宋体"/>
          <w:i/>
          <w:iCs/>
          <w:lang w:eastAsia="zh-CN"/>
        </w:rPr>
        <w:t xml:space="preserve">, </w:t>
      </w:r>
      <w:r>
        <w:rPr>
          <w:rFonts w:eastAsia="宋体"/>
          <w:lang w:eastAsia="zh-CN"/>
        </w:rPr>
        <w:t>117(3), pp.55-63.</w:t>
      </w:r>
    </w:p>
    <w:p>
      <w:pPr>
        <w:jc w:val="both"/>
        <w:rPr>
          <w:rFonts w:eastAsia="宋体"/>
        </w:rPr>
      </w:pPr>
    </w:p>
    <w:p>
      <w:pPr>
        <w:rPr>
          <w:rFonts w:eastAsia="宋体"/>
        </w:rPr>
      </w:pPr>
      <w:r>
        <w:rPr>
          <w:rFonts w:eastAsia="宋体"/>
        </w:rPr>
        <w:t>Crabtree</w:t>
      </w:r>
      <w:r>
        <w:rPr>
          <w:rFonts w:eastAsia="宋体"/>
          <w:lang w:eastAsia="zh-CN"/>
        </w:rPr>
        <w:t>,</w:t>
      </w:r>
      <w:r>
        <w:rPr>
          <w:rFonts w:eastAsia="宋体"/>
        </w:rPr>
        <w:t xml:space="preserve"> B</w:t>
      </w:r>
      <w:r>
        <w:rPr>
          <w:rFonts w:eastAsia="宋体"/>
          <w:lang w:eastAsia="zh-CN"/>
        </w:rPr>
        <w:t>.,</w:t>
      </w:r>
      <w:r>
        <w:rPr>
          <w:rFonts w:eastAsia="宋体"/>
        </w:rPr>
        <w:t xml:space="preserve"> </w:t>
      </w:r>
      <w:r>
        <w:rPr>
          <w:rFonts w:eastAsia="宋体"/>
          <w:lang w:eastAsia="zh-CN"/>
        </w:rPr>
        <w:t xml:space="preserve">and </w:t>
      </w:r>
      <w:r>
        <w:rPr>
          <w:rFonts w:eastAsia="宋体"/>
        </w:rPr>
        <w:t>Miller</w:t>
      </w:r>
      <w:r>
        <w:rPr>
          <w:rFonts w:eastAsia="宋体"/>
          <w:lang w:eastAsia="zh-CN"/>
        </w:rPr>
        <w:t>,</w:t>
      </w:r>
      <w:r>
        <w:rPr>
          <w:rFonts w:eastAsia="宋体"/>
        </w:rPr>
        <w:t xml:space="preserve"> W. </w:t>
      </w:r>
      <w:r>
        <w:rPr>
          <w:rFonts w:eastAsia="宋体"/>
          <w:lang w:eastAsia="zh-CN"/>
        </w:rPr>
        <w:t xml:space="preserve">(1999) </w:t>
      </w:r>
      <w:r>
        <w:rPr>
          <w:rFonts w:eastAsia="宋体"/>
        </w:rPr>
        <w:t>Doing Qualitative Research. 2nd edn. Thousand Oaks, California: Sage 1999; 18– 20 .</w:t>
      </w:r>
    </w:p>
    <w:p>
      <w:pPr>
        <w:rPr>
          <w:rFonts w:eastAsia="宋体"/>
        </w:rPr>
      </w:pPr>
    </w:p>
    <w:p>
      <w:pPr>
        <w:rPr>
          <w:rFonts w:eastAsia="serif"/>
        </w:rPr>
      </w:pPr>
      <w:r>
        <w:rPr>
          <w:rFonts w:eastAsia="serif"/>
        </w:rPr>
        <w:t xml:space="preserve">Cohen, L., Manion, L., </w:t>
      </w:r>
      <w:r>
        <w:rPr>
          <w:rFonts w:eastAsia="宋体"/>
          <w:lang w:eastAsia="zh-CN"/>
        </w:rPr>
        <w:t>and</w:t>
      </w:r>
      <w:r>
        <w:rPr>
          <w:rFonts w:eastAsia="serif"/>
        </w:rPr>
        <w:t xml:space="preserve"> Morrison, K. (2011). Research methods in education (7th ed.). London: Routledge.</w:t>
      </w:r>
    </w:p>
    <w:p>
      <w:pPr>
        <w:rPr>
          <w:rFonts w:eastAsia="宋体"/>
        </w:rPr>
      </w:pPr>
      <w:r>
        <w:rPr>
          <w:rFonts w:eastAsia="宋体"/>
        </w:rPr>
        <w:t xml:space="preserve">Dang, H. A. (2007) </w:t>
      </w:r>
      <w:r>
        <w:rPr>
          <w:rFonts w:eastAsia="宋体"/>
          <w:lang w:eastAsia="zh-CN"/>
        </w:rPr>
        <w:t>‘</w:t>
      </w:r>
      <w:r>
        <w:rPr>
          <w:rFonts w:eastAsia="宋体"/>
        </w:rPr>
        <w:t>The determinants and impact of private tutoring classes in Vietnam</w:t>
      </w:r>
      <w:r>
        <w:rPr>
          <w:rFonts w:eastAsia="宋体"/>
          <w:lang w:eastAsia="zh-CN"/>
        </w:rPr>
        <w:t>’,</w:t>
      </w:r>
      <w:r>
        <w:rPr>
          <w:rFonts w:eastAsia="宋体"/>
        </w:rPr>
        <w:t xml:space="preserve"> </w:t>
      </w:r>
      <w:r>
        <w:rPr>
          <w:rFonts w:eastAsia="宋体"/>
          <w:i/>
          <w:iCs/>
        </w:rPr>
        <w:t>Economics of education review</w:t>
      </w:r>
      <w:r>
        <w:rPr>
          <w:rFonts w:eastAsia="宋体"/>
        </w:rPr>
        <w:t>, 2</w:t>
      </w:r>
      <w:r>
        <w:rPr>
          <w:rFonts w:eastAsia="宋体"/>
          <w:lang w:eastAsia="zh-CN"/>
        </w:rPr>
        <w:t>6</w:t>
      </w:r>
      <w:r>
        <w:rPr>
          <w:rFonts w:eastAsia="宋体"/>
        </w:rPr>
        <w:t xml:space="preserve">(6), </w:t>
      </w:r>
      <w:r>
        <w:rPr>
          <w:rFonts w:eastAsia="宋体"/>
          <w:lang w:eastAsia="zh-CN"/>
        </w:rPr>
        <w:t>pp.</w:t>
      </w:r>
      <w:r>
        <w:rPr>
          <w:rFonts w:eastAsia="宋体"/>
        </w:rPr>
        <w:t>683-698.</w:t>
      </w:r>
    </w:p>
    <w:p>
      <w:pPr>
        <w:rPr>
          <w:rFonts w:eastAsia="宋体"/>
        </w:rPr>
      </w:pPr>
    </w:p>
    <w:p>
      <w:pPr>
        <w:rPr>
          <w:rFonts w:eastAsia="宋体"/>
        </w:rPr>
      </w:pPr>
      <w:r>
        <w:rPr>
          <w:rFonts w:eastAsia="宋体"/>
        </w:rPr>
        <w:t xml:space="preserve">Dawson, W. (2010) </w:t>
      </w:r>
      <w:r>
        <w:rPr>
          <w:rFonts w:eastAsia="宋体"/>
          <w:lang w:eastAsia="zh-CN"/>
        </w:rPr>
        <w:t>‘</w:t>
      </w:r>
      <w:r>
        <w:rPr>
          <w:rFonts w:eastAsia="宋体"/>
        </w:rPr>
        <w:t>Private tutoring and mass schooling in East Asia: Reflections of inequality in Japan, South Korea, and Cambodia</w:t>
      </w:r>
      <w:r>
        <w:rPr>
          <w:rFonts w:eastAsia="宋体"/>
          <w:lang w:eastAsia="zh-CN"/>
        </w:rPr>
        <w:t xml:space="preserve">’, </w:t>
      </w:r>
      <w:r>
        <w:rPr>
          <w:rFonts w:eastAsia="宋体"/>
          <w:i/>
          <w:iCs/>
        </w:rPr>
        <w:t>Asia pacific education review</w:t>
      </w:r>
      <w:r>
        <w:rPr>
          <w:rFonts w:eastAsia="宋体"/>
        </w:rPr>
        <w:t xml:space="preserve">, </w:t>
      </w:r>
      <w:r>
        <w:rPr>
          <w:rFonts w:eastAsia="宋体"/>
          <w:i/>
          <w:iCs/>
        </w:rPr>
        <w:t>11</w:t>
      </w:r>
      <w:r>
        <w:rPr>
          <w:rFonts w:eastAsia="宋体"/>
        </w:rPr>
        <w:t xml:space="preserve">(1), </w:t>
      </w:r>
      <w:r>
        <w:rPr>
          <w:rFonts w:eastAsia="宋体"/>
          <w:lang w:eastAsia="zh-CN"/>
        </w:rPr>
        <w:t>pp.</w:t>
      </w:r>
      <w:r>
        <w:rPr>
          <w:rFonts w:eastAsia="宋体"/>
        </w:rPr>
        <w:t>14-24.</w:t>
      </w:r>
    </w:p>
    <w:p>
      <w:pPr>
        <w:rPr>
          <w:rFonts w:eastAsia="宋体"/>
        </w:rPr>
      </w:pPr>
    </w:p>
    <w:p>
      <w:pPr>
        <w:jc w:val="both"/>
        <w:rPr>
          <w:rFonts w:eastAsia="宋体"/>
        </w:rPr>
      </w:pPr>
      <w:r>
        <w:rPr>
          <w:rFonts w:eastAsia="宋体"/>
        </w:rPr>
        <w:t xml:space="preserve">Domingue, B., </w:t>
      </w:r>
      <w:r>
        <w:rPr>
          <w:rFonts w:eastAsia="宋体"/>
          <w:lang w:eastAsia="zh-CN"/>
        </w:rPr>
        <w:t>and</w:t>
      </w:r>
      <w:r>
        <w:rPr>
          <w:rFonts w:eastAsia="宋体"/>
        </w:rPr>
        <w:t xml:space="preserve"> Briggs, D. C. (2009) </w:t>
      </w:r>
      <w:r>
        <w:rPr>
          <w:rFonts w:eastAsia="宋体"/>
          <w:lang w:eastAsia="zh-CN"/>
        </w:rPr>
        <w:t>‘</w:t>
      </w:r>
      <w:r>
        <w:rPr>
          <w:rFonts w:eastAsia="宋体"/>
        </w:rPr>
        <w:t>Using linear regression and propensity score matching to estimate the effect of coaching on the SAT.</w:t>
      </w:r>
      <w:r>
        <w:rPr>
          <w:rFonts w:eastAsia="宋体"/>
          <w:lang w:eastAsia="zh-CN"/>
        </w:rPr>
        <w:t>’,</w:t>
      </w:r>
      <w:r>
        <w:rPr>
          <w:rFonts w:eastAsia="宋体"/>
          <w:i/>
          <w:iCs/>
        </w:rPr>
        <w:t>Multiple Linear</w:t>
      </w:r>
      <w:r>
        <w:rPr>
          <w:rFonts w:eastAsia="宋体"/>
          <w:i/>
          <w:iCs/>
          <w:lang w:eastAsia="zh-CN"/>
        </w:rPr>
        <w:t xml:space="preserve"> </w:t>
      </w:r>
      <w:r>
        <w:rPr>
          <w:rFonts w:eastAsia="宋体"/>
          <w:i/>
          <w:iCs/>
        </w:rPr>
        <w:t>Regression Viewpoints</w:t>
      </w:r>
      <w:r>
        <w:rPr>
          <w:rFonts w:eastAsia="宋体"/>
        </w:rPr>
        <w:t xml:space="preserve">, </w:t>
      </w:r>
      <w:r>
        <w:rPr>
          <w:rFonts w:eastAsia="宋体"/>
          <w:i/>
          <w:iCs/>
        </w:rPr>
        <w:t>35</w:t>
      </w:r>
      <w:r>
        <w:rPr>
          <w:rFonts w:eastAsia="宋体"/>
        </w:rPr>
        <w:t xml:space="preserve">(1), </w:t>
      </w:r>
      <w:r>
        <w:rPr>
          <w:rFonts w:eastAsia="宋体"/>
          <w:lang w:eastAsia="zh-CN"/>
        </w:rPr>
        <w:t>pp.</w:t>
      </w:r>
      <w:r>
        <w:rPr>
          <w:rFonts w:eastAsia="宋体"/>
        </w:rPr>
        <w:t>12-29.</w:t>
      </w:r>
    </w:p>
    <w:p>
      <w:pPr>
        <w:jc w:val="both"/>
        <w:rPr>
          <w:rFonts w:eastAsia="宋体"/>
        </w:rPr>
      </w:pPr>
    </w:p>
    <w:p>
      <w:pPr>
        <w:jc w:val="both"/>
        <w:rPr>
          <w:rFonts w:eastAsia="宋体"/>
          <w:lang w:eastAsia="zh-CN"/>
        </w:rPr>
      </w:pPr>
      <w:r>
        <w:rPr>
          <w:rFonts w:eastAsia="宋体"/>
          <w:lang w:eastAsia="zh-CN"/>
        </w:rPr>
        <w:t>Ding, Y. D. (2019) ‘Value and Resistance: Development Stage and Governance Path of Extracurricular Tuition Institutions in China’, Form of Contemporary Education, 18(9), pp.17-24.</w:t>
      </w:r>
    </w:p>
    <w:p>
      <w:pPr>
        <w:jc w:val="both"/>
        <w:rPr>
          <w:rFonts w:eastAsia="宋体"/>
          <w:lang w:eastAsia="zh-CN"/>
        </w:rPr>
      </w:pPr>
    </w:p>
    <w:p>
      <w:pPr>
        <w:rPr>
          <w:rFonts w:eastAsia="宋体"/>
          <w:lang w:eastAsia="zh-CN"/>
        </w:rPr>
      </w:pPr>
      <w:r>
        <w:rPr>
          <w:rFonts w:eastAsia="宋体"/>
          <w:lang w:eastAsia="zh-CN"/>
        </w:rPr>
        <w:t>Dai, R. H., and Guo, Z. M. (2020) ‘</w:t>
      </w:r>
      <w:r>
        <w:rPr>
          <w:rFonts w:eastAsia="宋体"/>
        </w:rPr>
        <w:t>What Kind of School has a Higher Ｒate of Teacher Turnover?</w:t>
      </w:r>
      <w:r>
        <w:rPr>
          <w:rFonts w:eastAsia="宋体"/>
          <w:lang w:eastAsia="zh-CN"/>
        </w:rPr>
        <w:t xml:space="preserve">’, </w:t>
      </w:r>
      <w:r>
        <w:rPr>
          <w:rFonts w:eastAsia="宋体"/>
          <w:i/>
          <w:iCs/>
        </w:rPr>
        <w:t xml:space="preserve">Teacher Education </w:t>
      </w:r>
      <w:r>
        <w:rPr>
          <w:rFonts w:eastAsia="宋体"/>
          <w:i/>
          <w:iCs/>
          <w:lang w:eastAsia="zh-CN"/>
        </w:rPr>
        <w:t>R</w:t>
      </w:r>
      <w:r>
        <w:rPr>
          <w:rFonts w:eastAsia="宋体"/>
          <w:i/>
          <w:iCs/>
        </w:rPr>
        <w:t>esearch</w:t>
      </w:r>
      <w:r>
        <w:rPr>
          <w:rFonts w:eastAsia="宋体"/>
          <w:lang w:eastAsia="zh-CN"/>
        </w:rPr>
        <w:t>, 32(5), pp.46-53.</w:t>
      </w:r>
    </w:p>
    <w:p>
      <w:pPr>
        <w:jc w:val="both"/>
        <w:rPr>
          <w:rFonts w:eastAsia="宋体"/>
          <w:lang w:eastAsia="zh-CN"/>
        </w:rPr>
      </w:pPr>
    </w:p>
    <w:p>
      <w:pPr>
        <w:rPr>
          <w:rFonts w:eastAsia="宋体"/>
          <w:lang w:eastAsia="zh-CN"/>
        </w:rPr>
      </w:pPr>
      <w:r>
        <w:rPr>
          <w:rFonts w:eastAsia="宋体"/>
          <w:lang w:eastAsia="zh-CN"/>
        </w:rPr>
        <w:t>Du, X. M., and Liu, Y. (2016) ‘</w:t>
      </w:r>
      <w:r>
        <w:rPr>
          <w:rFonts w:eastAsia="sans-serif"/>
        </w:rPr>
        <w:t>An Exploratory Analysis of the Scientific and Social Nature of</w:t>
      </w:r>
      <w:r>
        <w:rPr>
          <w:rFonts w:eastAsia="宋体"/>
          <w:lang w:eastAsia="zh-CN"/>
        </w:rPr>
        <w:t xml:space="preserve"> </w:t>
      </w:r>
      <w:r>
        <w:rPr>
          <w:rFonts w:eastAsia="sans-serif"/>
        </w:rPr>
        <w:t>the Examination and Admission System Reform</w:t>
      </w:r>
      <w:r>
        <w:rPr>
          <w:rFonts w:eastAsia="宋体"/>
          <w:lang w:eastAsia="zh-CN"/>
        </w:rPr>
        <w:t xml:space="preserve">’, </w:t>
      </w:r>
      <w:r>
        <w:rPr>
          <w:rFonts w:eastAsia="sans-serif"/>
          <w:i/>
          <w:iCs/>
        </w:rPr>
        <w:t>China Examinations</w:t>
      </w:r>
      <w:r>
        <w:rPr>
          <w:rFonts w:eastAsia="宋体"/>
          <w:lang w:eastAsia="zh-CN"/>
        </w:rPr>
        <w:t>, 2016(9), pp.9-17.</w:t>
      </w:r>
    </w:p>
    <w:p>
      <w:pPr>
        <w:rPr>
          <w:rFonts w:eastAsia="宋体"/>
          <w:lang w:eastAsia="zh-CN"/>
        </w:rPr>
      </w:pPr>
    </w:p>
    <w:p>
      <w:pPr>
        <w:rPr>
          <w:rFonts w:eastAsia="宋体"/>
          <w:color w:val="222222"/>
          <w:shd w:val="clear" w:color="auto" w:fill="FFFFFF"/>
        </w:rPr>
      </w:pPr>
      <w:r>
        <w:rPr>
          <w:rFonts w:eastAsia="宋体"/>
          <w:color w:val="222222"/>
          <w:shd w:val="clear" w:color="auto" w:fill="FFFFFF"/>
        </w:rPr>
        <w:t xml:space="preserve">Devetak, I., Glažar, S. A., </w:t>
      </w:r>
      <w:r>
        <w:rPr>
          <w:rFonts w:eastAsia="宋体"/>
          <w:color w:val="222222"/>
          <w:shd w:val="clear" w:color="auto" w:fill="FFFFFF"/>
          <w:lang w:eastAsia="zh-CN"/>
        </w:rPr>
        <w:t>and</w:t>
      </w:r>
      <w:r>
        <w:rPr>
          <w:rFonts w:eastAsia="宋体"/>
          <w:color w:val="222222"/>
          <w:shd w:val="clear" w:color="auto" w:fill="FFFFFF"/>
        </w:rPr>
        <w:t xml:space="preserve"> Vogrinc, J. (2010) </w:t>
      </w:r>
      <w:r>
        <w:rPr>
          <w:rFonts w:eastAsia="宋体"/>
          <w:color w:val="222222"/>
          <w:shd w:val="clear" w:color="auto" w:fill="FFFFFF"/>
          <w:lang w:eastAsia="zh-CN"/>
        </w:rPr>
        <w:t>‘</w:t>
      </w:r>
      <w:r>
        <w:rPr>
          <w:rFonts w:eastAsia="宋体"/>
          <w:color w:val="222222"/>
          <w:shd w:val="clear" w:color="auto" w:fill="FFFFFF"/>
        </w:rPr>
        <w:t>The role of qualitative research in science education</w:t>
      </w:r>
      <w:r>
        <w:rPr>
          <w:rFonts w:eastAsia="宋体"/>
          <w:color w:val="222222"/>
          <w:shd w:val="clear" w:color="auto" w:fill="FFFFFF"/>
          <w:lang w:eastAsia="zh-CN"/>
        </w:rPr>
        <w:t>’,</w:t>
      </w:r>
      <w:r>
        <w:rPr>
          <w:rFonts w:eastAsia="宋体"/>
          <w:color w:val="222222"/>
          <w:shd w:val="clear" w:color="auto" w:fill="FFFFFF"/>
        </w:rPr>
        <w:t> </w:t>
      </w:r>
      <w:r>
        <w:rPr>
          <w:rFonts w:eastAsia="宋体"/>
          <w:i/>
          <w:iCs/>
          <w:color w:val="222222"/>
          <w:shd w:val="clear" w:color="auto" w:fill="FFFFFF"/>
        </w:rPr>
        <w:t>Eurasia Journal of Mathematics, Science and Technology Education</w:t>
      </w:r>
      <w:r>
        <w:rPr>
          <w:rFonts w:eastAsia="宋体"/>
          <w:color w:val="222222"/>
          <w:shd w:val="clear" w:color="auto" w:fill="FFFFFF"/>
        </w:rPr>
        <w:t xml:space="preserve">, 6(1), </w:t>
      </w:r>
      <w:r>
        <w:rPr>
          <w:rFonts w:eastAsia="宋体"/>
          <w:color w:val="222222"/>
          <w:shd w:val="clear" w:color="auto" w:fill="FFFFFF"/>
          <w:lang w:eastAsia="zh-CN"/>
        </w:rPr>
        <w:t>pp.</w:t>
      </w:r>
      <w:r>
        <w:rPr>
          <w:rFonts w:eastAsia="宋体"/>
          <w:color w:val="222222"/>
          <w:shd w:val="clear" w:color="auto" w:fill="FFFFFF"/>
        </w:rPr>
        <w:t>77-84.</w:t>
      </w:r>
    </w:p>
    <w:p>
      <w:pPr>
        <w:rPr>
          <w:rFonts w:eastAsia="宋体"/>
          <w:lang w:eastAsia="zh-CN"/>
        </w:rPr>
      </w:pPr>
    </w:p>
    <w:p>
      <w:pPr>
        <w:rPr>
          <w:rFonts w:eastAsia="宋体"/>
          <w:lang w:eastAsia="zh-CN"/>
        </w:rPr>
      </w:pPr>
      <w:r>
        <w:rPr>
          <w:rFonts w:eastAsia="宋体"/>
          <w:lang w:eastAsia="zh-CN"/>
        </w:rPr>
        <w:t>Diao, L., Zhao, Y., Wang, Y. F., and Shi, X. Z. (2021) ‘</w:t>
      </w:r>
      <w:r>
        <w:rPr>
          <w:rFonts w:eastAsia="sans-serif"/>
        </w:rPr>
        <w:t>Influence of Public Opinion on China's Private Tutoring Governance</w:t>
      </w:r>
      <w:r>
        <w:rPr>
          <w:rFonts w:eastAsia="宋体"/>
          <w:lang w:eastAsia="zh-CN"/>
        </w:rPr>
        <w:t xml:space="preserve"> </w:t>
      </w:r>
      <w:r>
        <w:rPr>
          <w:rFonts w:eastAsia="sans-serif"/>
        </w:rPr>
        <w:t>Policy Formulation</w:t>
      </w:r>
      <w:r>
        <w:rPr>
          <w:rFonts w:eastAsia="monospace"/>
        </w:rPr>
        <w:t>———</w:t>
      </w:r>
      <w:r>
        <w:rPr>
          <w:rFonts w:eastAsia="sans-serif"/>
        </w:rPr>
        <w:t>Based on Big Data Analysis of Multiple Stream Theory</w:t>
      </w:r>
      <w:r>
        <w:rPr>
          <w:rFonts w:eastAsia="宋体"/>
          <w:lang w:eastAsia="zh-CN"/>
        </w:rPr>
        <w:t xml:space="preserve">’, </w:t>
      </w:r>
      <w:r>
        <w:rPr>
          <w:rFonts w:eastAsia="宋体"/>
          <w:i/>
          <w:iCs/>
          <w:lang w:eastAsia="zh-CN"/>
        </w:rPr>
        <w:t xml:space="preserve">Contemporary Educational Sciences, </w:t>
      </w:r>
      <w:r>
        <w:rPr>
          <w:rFonts w:eastAsia="宋体"/>
          <w:lang w:eastAsia="zh-CN"/>
        </w:rPr>
        <w:t>8, pp.77-86.</w:t>
      </w:r>
    </w:p>
    <w:p>
      <w:pPr>
        <w:rPr>
          <w:rFonts w:eastAsia="宋体"/>
          <w:lang w:eastAsia="zh-CN"/>
        </w:rPr>
      </w:pPr>
    </w:p>
    <w:p>
      <w:pPr>
        <w:rPr>
          <w:rFonts w:eastAsia="宋体"/>
          <w:lang w:eastAsia="zh-CN"/>
        </w:rPr>
      </w:pPr>
      <w:r>
        <w:rPr>
          <w:rFonts w:eastAsia="serif"/>
        </w:rPr>
        <w:t>DiCicco-Bloom</w:t>
      </w:r>
      <w:r>
        <w:rPr>
          <w:rFonts w:eastAsia="宋体"/>
          <w:lang w:eastAsia="zh-CN"/>
        </w:rPr>
        <w:t>, B.,</w:t>
      </w:r>
      <w:r>
        <w:rPr>
          <w:rFonts w:eastAsia="serif"/>
        </w:rPr>
        <w:t xml:space="preserve"> </w:t>
      </w:r>
      <w:r>
        <w:rPr>
          <w:rFonts w:eastAsia="宋体"/>
          <w:lang w:eastAsia="zh-CN"/>
        </w:rPr>
        <w:t>and</w:t>
      </w:r>
      <w:r>
        <w:rPr>
          <w:rFonts w:eastAsia="serif"/>
        </w:rPr>
        <w:t xml:space="preserve"> Crabtre</w:t>
      </w:r>
      <w:r>
        <w:rPr>
          <w:rFonts w:eastAsia="宋体"/>
          <w:lang w:eastAsia="zh-CN"/>
        </w:rPr>
        <w:t>e, B. F. (2006) ‘</w:t>
      </w:r>
      <w:r>
        <w:rPr>
          <w:rFonts w:eastAsia="serif"/>
        </w:rPr>
        <w:t>The qualitative research interview</w:t>
      </w:r>
      <w:r>
        <w:rPr>
          <w:rFonts w:eastAsia="宋体"/>
          <w:lang w:eastAsia="zh-CN"/>
        </w:rPr>
        <w:t xml:space="preserve">’, </w:t>
      </w:r>
      <w:r>
        <w:rPr>
          <w:rFonts w:eastAsia="宋体"/>
          <w:i/>
          <w:iCs/>
          <w:lang w:eastAsia="zh-CN"/>
        </w:rPr>
        <w:t xml:space="preserve">Medical Education, </w:t>
      </w:r>
      <w:r>
        <w:rPr>
          <w:rFonts w:eastAsia="宋体"/>
          <w:lang w:eastAsia="zh-CN"/>
        </w:rPr>
        <w:t>40(4), pp.314-321.</w:t>
      </w:r>
    </w:p>
    <w:p>
      <w:pPr>
        <w:rPr>
          <w:rFonts w:eastAsia="宋体"/>
          <w:lang w:eastAsia="zh-CN"/>
        </w:rPr>
      </w:pPr>
    </w:p>
    <w:p>
      <w:pPr>
        <w:rPr>
          <w:rFonts w:eastAsia="宋体"/>
          <w:lang w:eastAsia="zh-CN"/>
        </w:rPr>
      </w:pPr>
      <w:r>
        <w:rPr>
          <w:rFonts w:eastAsia="serif"/>
        </w:rPr>
        <w:t>Denzin, N. K. (1989). Interpretive interactionism. Newbury Park, CA: Sage.</w:t>
      </w:r>
    </w:p>
    <w:p>
      <w:pPr>
        <w:jc w:val="both"/>
        <w:rPr>
          <w:rFonts w:eastAsia="宋体"/>
          <w:lang w:eastAsia="zh-CN"/>
        </w:rPr>
      </w:pPr>
    </w:p>
    <w:p>
      <w:pPr>
        <w:rPr>
          <w:rFonts w:eastAsia="宋体"/>
          <w:lang w:eastAsia="zh-CN"/>
        </w:rPr>
      </w:pPr>
      <w:r>
        <w:rPr>
          <w:rFonts w:eastAsia="宋体"/>
        </w:rPr>
        <w:t xml:space="preserve">Entrich, S. R. (2020) </w:t>
      </w:r>
      <w:r>
        <w:rPr>
          <w:rFonts w:eastAsia="宋体"/>
          <w:lang w:eastAsia="zh-CN"/>
        </w:rPr>
        <w:t>‘</w:t>
      </w:r>
      <w:r>
        <w:rPr>
          <w:rFonts w:eastAsia="宋体"/>
        </w:rPr>
        <w:t>Worldwide shadow education and social inequality: Explaining differences in the socioeconomic gap in access to shadow education across 63 societies</w:t>
      </w:r>
      <w:r>
        <w:rPr>
          <w:rFonts w:eastAsia="宋体"/>
          <w:lang w:eastAsia="zh-CN"/>
        </w:rPr>
        <w:t xml:space="preserve">’, </w:t>
      </w:r>
      <w:r>
        <w:rPr>
          <w:rFonts w:eastAsia="宋体"/>
          <w:i/>
          <w:iCs/>
        </w:rPr>
        <w:t>International Journal of Comparative Sociology</w:t>
      </w:r>
      <w:r>
        <w:rPr>
          <w:rFonts w:eastAsia="宋体"/>
        </w:rPr>
        <w:t xml:space="preserve">, 61(6), </w:t>
      </w:r>
      <w:r>
        <w:rPr>
          <w:rFonts w:eastAsia="宋体"/>
          <w:lang w:eastAsia="zh-CN"/>
        </w:rPr>
        <w:t>pp.</w:t>
      </w:r>
      <w:r>
        <w:rPr>
          <w:rFonts w:eastAsia="宋体"/>
        </w:rPr>
        <w:t>441-475.</w:t>
      </w:r>
    </w:p>
    <w:p>
      <w:pPr>
        <w:jc w:val="both"/>
        <w:rPr>
          <w:rFonts w:eastAsia="宋体"/>
          <w:lang w:eastAsia="zh-CN"/>
        </w:rPr>
      </w:pPr>
    </w:p>
    <w:p>
      <w:pPr>
        <w:rPr>
          <w:rFonts w:eastAsia="宋体"/>
        </w:rPr>
      </w:pPr>
      <w:r>
        <w:rPr>
          <w:rFonts w:eastAsia="宋体"/>
        </w:rPr>
        <w:t xml:space="preserve">Entrich, R. S. (2015). The decision for shadow education in Japan: Students’ choice or parents’ pressure? </w:t>
      </w:r>
      <w:r>
        <w:rPr>
          <w:rFonts w:eastAsia="宋体"/>
          <w:i/>
          <w:iCs/>
        </w:rPr>
        <w:t>Social Science Japan Journal,</w:t>
      </w:r>
      <w:r>
        <w:rPr>
          <w:rFonts w:eastAsia="宋体"/>
        </w:rPr>
        <w:t xml:space="preserve"> </w:t>
      </w:r>
      <w:r>
        <w:rPr>
          <w:rFonts w:eastAsia="宋体"/>
          <w:i/>
          <w:iCs/>
        </w:rPr>
        <w:t>18</w:t>
      </w:r>
      <w:r>
        <w:rPr>
          <w:rFonts w:eastAsia="宋体"/>
        </w:rPr>
        <w:t>(2), 193–216.</w:t>
      </w:r>
    </w:p>
    <w:p>
      <w:pPr>
        <w:rPr>
          <w:rFonts w:eastAsia="宋体"/>
        </w:rPr>
      </w:pPr>
    </w:p>
    <w:p>
      <w:pPr>
        <w:rPr>
          <w:rFonts w:eastAsia="宋体"/>
          <w:color w:val="222222"/>
          <w:shd w:val="clear" w:color="auto" w:fill="FFFFFF"/>
          <w:lang w:eastAsia="zh-CN"/>
        </w:rPr>
      </w:pPr>
      <w:r>
        <w:rPr>
          <w:rFonts w:eastAsia="宋体"/>
          <w:color w:val="222222"/>
          <w:shd w:val="clear" w:color="auto" w:fill="FFFFFF"/>
          <w:lang w:eastAsia="zh-CN"/>
        </w:rPr>
        <w:t xml:space="preserve">Feng, X. T. (2017) ‘Exploration of concepts and types of qualitative research’, </w:t>
      </w:r>
      <w:r>
        <w:rPr>
          <w:rFonts w:eastAsia="宋体"/>
          <w:i/>
          <w:iCs/>
          <w:color w:val="222222"/>
          <w:shd w:val="clear" w:color="auto" w:fill="FFFFFF"/>
          <w:lang w:eastAsia="zh-CN"/>
        </w:rPr>
        <w:t xml:space="preserve">Social Sciences, </w:t>
      </w:r>
      <w:r>
        <w:rPr>
          <w:rFonts w:eastAsia="宋体"/>
          <w:color w:val="222222"/>
          <w:shd w:val="clear" w:color="auto" w:fill="FFFFFF"/>
          <w:lang w:eastAsia="zh-CN"/>
        </w:rPr>
        <w:t>230(3), pp.45-52.</w:t>
      </w:r>
    </w:p>
    <w:p>
      <w:pPr>
        <w:rPr>
          <w:rFonts w:eastAsia="宋体"/>
          <w:lang w:eastAsia="zh-CN"/>
        </w:rPr>
      </w:pPr>
    </w:p>
    <w:p>
      <w:pPr>
        <w:rPr>
          <w:rFonts w:eastAsia="宋体"/>
          <w:lang w:eastAsia="zh-CN"/>
        </w:rPr>
      </w:pPr>
      <w:r>
        <w:rPr>
          <w:rFonts w:eastAsia="宋体"/>
        </w:rPr>
        <w:t xml:space="preserve">Fraenkel, J. R., Wallen, N. E., </w:t>
      </w:r>
      <w:r>
        <w:rPr>
          <w:rFonts w:eastAsia="宋体"/>
          <w:lang w:eastAsia="zh-CN"/>
        </w:rPr>
        <w:t>and</w:t>
      </w:r>
      <w:r>
        <w:rPr>
          <w:rFonts w:eastAsia="宋体"/>
        </w:rPr>
        <w:t xml:space="preserve"> Hyun, H. H. (2012) How to design and evaluate research in education</w:t>
      </w:r>
      <w:r>
        <w:rPr>
          <w:rFonts w:eastAsia="宋体"/>
          <w:lang w:eastAsia="zh-CN"/>
        </w:rPr>
        <w:t>.</w:t>
      </w:r>
    </w:p>
    <w:p>
      <w:pPr>
        <w:rPr>
          <w:rFonts w:eastAsia="宋体"/>
          <w:lang w:eastAsia="zh-CN"/>
        </w:rPr>
      </w:pPr>
    </w:p>
    <w:p>
      <w:pPr>
        <w:rPr>
          <w:rFonts w:eastAsia="宋体"/>
        </w:rPr>
      </w:pPr>
      <w:r>
        <w:rPr>
          <w:rFonts w:eastAsia="宋体"/>
        </w:rPr>
        <w:t>Fontana</w:t>
      </w:r>
      <w:r>
        <w:rPr>
          <w:rFonts w:eastAsia="宋体"/>
          <w:lang w:eastAsia="zh-CN"/>
        </w:rPr>
        <w:t>,</w:t>
      </w:r>
      <w:r>
        <w:rPr>
          <w:rFonts w:eastAsia="宋体"/>
        </w:rPr>
        <w:t xml:space="preserve"> A</w:t>
      </w:r>
      <w:r>
        <w:rPr>
          <w:rFonts w:eastAsia="宋体"/>
          <w:lang w:eastAsia="zh-CN"/>
        </w:rPr>
        <w:t>.</w:t>
      </w:r>
      <w:r>
        <w:rPr>
          <w:rFonts w:eastAsia="宋体"/>
        </w:rPr>
        <w:t xml:space="preserve">, </w:t>
      </w:r>
      <w:r>
        <w:rPr>
          <w:rFonts w:eastAsia="宋体"/>
          <w:lang w:eastAsia="zh-CN"/>
        </w:rPr>
        <w:t xml:space="preserve">and </w:t>
      </w:r>
      <w:r>
        <w:rPr>
          <w:rFonts w:eastAsia="宋体"/>
        </w:rPr>
        <w:t>Frey</w:t>
      </w:r>
      <w:r>
        <w:rPr>
          <w:rFonts w:eastAsia="宋体"/>
          <w:lang w:eastAsia="zh-CN"/>
        </w:rPr>
        <w:t>,</w:t>
      </w:r>
      <w:r>
        <w:rPr>
          <w:rFonts w:eastAsia="宋体"/>
        </w:rPr>
        <w:t xml:space="preserve"> J. </w:t>
      </w:r>
      <w:r>
        <w:rPr>
          <w:rFonts w:eastAsia="宋体"/>
          <w:lang w:eastAsia="zh-CN"/>
        </w:rPr>
        <w:t xml:space="preserve">(2005) </w:t>
      </w:r>
      <w:r>
        <w:rPr>
          <w:rFonts w:eastAsia="宋体"/>
        </w:rPr>
        <w:t>The interview: from neutral stance to political involvement. In: N Denzin, Y Lincoln, eds. The Sage Handbook of Qualitative Research. 3rd edn. Thousand Oaks, California: Sage 2005; 695– 727.</w:t>
      </w:r>
    </w:p>
    <w:p>
      <w:pPr>
        <w:rPr>
          <w:rFonts w:eastAsia="宋体"/>
        </w:rPr>
      </w:pPr>
    </w:p>
    <w:p>
      <w:pPr>
        <w:rPr>
          <w:rFonts w:eastAsia="宋体"/>
          <w:lang w:eastAsia="zh-CN"/>
        </w:rPr>
      </w:pPr>
      <w:r>
        <w:rPr>
          <w:rFonts w:eastAsia="宋体"/>
          <w:lang w:eastAsia="zh-CN"/>
        </w:rPr>
        <w:t>Feng, X. T. (2017) ‘</w:t>
      </w:r>
      <w:r>
        <w:rPr>
          <w:rFonts w:eastAsia="sans-serif"/>
        </w:rPr>
        <w:t>Difference between and Combination of</w:t>
      </w:r>
      <w:r>
        <w:rPr>
          <w:rFonts w:eastAsia="宋体"/>
          <w:lang w:eastAsia="zh-CN"/>
        </w:rPr>
        <w:t xml:space="preserve"> </w:t>
      </w:r>
      <w:r>
        <w:rPr>
          <w:rFonts w:eastAsia="sans-serif"/>
        </w:rPr>
        <w:t xml:space="preserve">Qualitative Ｒesearch and Quantitative </w:t>
      </w:r>
      <w:r>
        <w:rPr>
          <w:rFonts w:eastAsia="宋体"/>
          <w:lang w:eastAsia="zh-CN"/>
        </w:rPr>
        <w:t>R</w:t>
      </w:r>
      <w:r>
        <w:rPr>
          <w:rFonts w:eastAsia="sans-serif"/>
        </w:rPr>
        <w:t>esearch</w:t>
      </w:r>
      <w:r>
        <w:rPr>
          <w:rFonts w:eastAsia="宋体"/>
          <w:lang w:eastAsia="zh-CN"/>
        </w:rPr>
        <w:t xml:space="preserve">’, </w:t>
      </w:r>
      <w:r>
        <w:rPr>
          <w:rFonts w:eastAsia="sans-serif"/>
          <w:i/>
          <w:iCs/>
        </w:rPr>
        <w:t>Journal of Jiangsu Administration Institute</w:t>
      </w:r>
      <w:r>
        <w:rPr>
          <w:rFonts w:eastAsia="宋体"/>
          <w:lang w:eastAsia="zh-CN"/>
        </w:rPr>
        <w:t>, 92(2), pp.68-74.</w:t>
      </w:r>
    </w:p>
    <w:p>
      <w:pPr>
        <w:rPr>
          <w:rFonts w:eastAsia="宋体"/>
        </w:rPr>
      </w:pPr>
    </w:p>
    <w:p>
      <w:pPr>
        <w:rPr>
          <w:rFonts w:eastAsia="宋体"/>
          <w:lang w:eastAsia="zh-CN"/>
        </w:rPr>
      </w:pPr>
      <w:r>
        <w:rPr>
          <w:rFonts w:eastAsia="宋体"/>
          <w:lang w:eastAsia="zh-CN"/>
        </w:rPr>
        <w:t>Guo, Q. J. (1997) ‘</w:t>
      </w:r>
      <w:r>
        <w:rPr>
          <w:rFonts w:eastAsia="宋体"/>
        </w:rPr>
        <w:t>Inherit and Carry Forward the Essence of Ancient Chinese Education</w:t>
      </w:r>
      <w:r>
        <w:rPr>
          <w:rFonts w:eastAsia="宋体"/>
          <w:lang w:eastAsia="zh-CN"/>
        </w:rPr>
        <w:t xml:space="preserve">’, </w:t>
      </w:r>
      <w:r>
        <w:rPr>
          <w:rFonts w:eastAsia="宋体"/>
          <w:i/>
          <w:iCs/>
        </w:rPr>
        <w:t>Journal of North China University of Technology</w:t>
      </w:r>
      <w:r>
        <w:rPr>
          <w:rFonts w:eastAsia="宋体"/>
          <w:i/>
          <w:iCs/>
          <w:lang w:eastAsia="zh-CN"/>
        </w:rPr>
        <w:t xml:space="preserve">, </w:t>
      </w:r>
      <w:r>
        <w:rPr>
          <w:rFonts w:eastAsia="宋体"/>
          <w:lang w:eastAsia="zh-CN"/>
        </w:rPr>
        <w:t>4(4), pp.8-16.</w:t>
      </w:r>
    </w:p>
    <w:p>
      <w:pPr>
        <w:rPr>
          <w:rFonts w:eastAsia="宋体"/>
          <w:lang w:eastAsia="zh-CN"/>
        </w:rPr>
      </w:pPr>
    </w:p>
    <w:p>
      <w:pPr>
        <w:rPr>
          <w:rFonts w:eastAsia="宋体"/>
          <w:lang w:eastAsia="zh-CN"/>
        </w:rPr>
      </w:pPr>
      <w:r>
        <w:rPr>
          <w:rFonts w:eastAsia="宋体"/>
        </w:rPr>
        <w:t>Guimarães, J.,</w:t>
      </w:r>
      <w:r>
        <w:rPr>
          <w:rFonts w:eastAsia="宋体"/>
          <w:lang w:eastAsia="zh-CN"/>
        </w:rPr>
        <w:t>and</w:t>
      </w:r>
      <w:r>
        <w:rPr>
          <w:rFonts w:eastAsia="宋体"/>
        </w:rPr>
        <w:t xml:space="preserve"> Sampaio, B. (2013) </w:t>
      </w:r>
      <w:r>
        <w:rPr>
          <w:rFonts w:eastAsia="宋体"/>
          <w:lang w:eastAsia="zh-CN"/>
        </w:rPr>
        <w:t>‘</w:t>
      </w:r>
      <w:r>
        <w:rPr>
          <w:rFonts w:eastAsia="宋体"/>
        </w:rPr>
        <w:t>Family background and students’ achievement on a university entrance exam in Brazil</w:t>
      </w:r>
      <w:r>
        <w:rPr>
          <w:rFonts w:eastAsia="宋体"/>
          <w:lang w:eastAsia="zh-CN"/>
        </w:rPr>
        <w:t>’,</w:t>
      </w:r>
      <w:r>
        <w:rPr>
          <w:rFonts w:eastAsia="宋体"/>
        </w:rPr>
        <w:t xml:space="preserve"> </w:t>
      </w:r>
      <w:r>
        <w:rPr>
          <w:rFonts w:eastAsia="宋体"/>
          <w:i/>
          <w:iCs/>
        </w:rPr>
        <w:t>Education Economics</w:t>
      </w:r>
      <w:r>
        <w:rPr>
          <w:rFonts w:eastAsia="宋体"/>
        </w:rPr>
        <w:t xml:space="preserve">, </w:t>
      </w:r>
      <w:r>
        <w:rPr>
          <w:rFonts w:eastAsia="宋体"/>
          <w:i/>
          <w:iCs/>
        </w:rPr>
        <w:t>21</w:t>
      </w:r>
      <w:r>
        <w:rPr>
          <w:rFonts w:eastAsia="宋体"/>
        </w:rPr>
        <w:t xml:space="preserve">(1), </w:t>
      </w:r>
      <w:r>
        <w:rPr>
          <w:rFonts w:eastAsia="宋体"/>
          <w:lang w:eastAsia="zh-CN"/>
        </w:rPr>
        <w:t>pp.</w:t>
      </w:r>
      <w:r>
        <w:rPr>
          <w:rFonts w:eastAsia="宋体"/>
        </w:rPr>
        <w:t>38-59.</w:t>
      </w:r>
    </w:p>
    <w:p>
      <w:pPr>
        <w:rPr>
          <w:rFonts w:eastAsia="宋体"/>
          <w:lang w:eastAsia="zh-CN"/>
        </w:rPr>
      </w:pPr>
    </w:p>
    <w:p>
      <w:pPr>
        <w:rPr>
          <w:rFonts w:eastAsia="宋体"/>
          <w:lang w:eastAsia="zh-CN"/>
        </w:rPr>
      </w:pPr>
      <w:r>
        <w:rPr>
          <w:lang w:eastAsia="zh-CN"/>
        </w:rPr>
        <w:t xml:space="preserve">Guo, J., Yuan, J. F., Mao, J. L., Li, Y. W., Cheng, Y. Y., and Li, D. (2021) ‘The "double reduction" policy has made me change the way I educate my children’, </w:t>
      </w:r>
      <w:r>
        <w:rPr>
          <w:rFonts w:eastAsia="宋体"/>
          <w:i/>
          <w:iCs/>
        </w:rPr>
        <w:t>A VIEW OF LABOUR UNIONS</w:t>
      </w:r>
      <w:r>
        <w:rPr>
          <w:rFonts w:eastAsia="宋体"/>
          <w:i/>
          <w:iCs/>
          <w:lang w:eastAsia="zh-CN"/>
        </w:rPr>
        <w:t xml:space="preserve">, </w:t>
      </w:r>
      <w:r>
        <w:rPr>
          <w:rFonts w:eastAsia="宋体"/>
          <w:lang w:eastAsia="zh-CN"/>
        </w:rPr>
        <w:t>84(9), pp.25-29.</w:t>
      </w:r>
    </w:p>
    <w:p>
      <w:pPr>
        <w:rPr>
          <w:rFonts w:eastAsia="宋体"/>
          <w:lang w:eastAsia="zh-CN"/>
        </w:rPr>
      </w:pPr>
    </w:p>
    <w:p>
      <w:pPr>
        <w:rPr>
          <w:rFonts w:eastAsia="宋体"/>
          <w:lang w:eastAsia="zh-CN"/>
        </w:rPr>
      </w:pPr>
      <w:r>
        <w:rPr>
          <w:rFonts w:eastAsia="serif"/>
        </w:rPr>
        <w:t>Gulati,</w:t>
      </w:r>
      <w:r>
        <w:rPr>
          <w:rFonts w:eastAsia="宋体"/>
          <w:lang w:eastAsia="zh-CN"/>
        </w:rPr>
        <w:t xml:space="preserve"> </w:t>
      </w:r>
      <w:r>
        <w:rPr>
          <w:rFonts w:eastAsia="serif"/>
        </w:rPr>
        <w:t xml:space="preserve">S.(2017). </w:t>
      </w:r>
      <w:r>
        <w:rPr>
          <w:rFonts w:eastAsia="宋体"/>
          <w:lang w:eastAsia="zh-CN"/>
        </w:rPr>
        <w:t>‘</w:t>
      </w:r>
      <w:r>
        <w:rPr>
          <w:rFonts w:eastAsia="serif"/>
        </w:rPr>
        <w:t>Impact of peer pressure on buying behaviour</w:t>
      </w:r>
      <w:r>
        <w:rPr>
          <w:rFonts w:eastAsia="宋体"/>
          <w:lang w:eastAsia="zh-CN"/>
        </w:rPr>
        <w:t xml:space="preserve">’, </w:t>
      </w:r>
      <w:r>
        <w:rPr>
          <w:rFonts w:eastAsia="serif"/>
          <w:i/>
          <w:iCs/>
        </w:rPr>
        <w:t>INTERNATIONAL</w:t>
      </w:r>
      <w:r>
        <w:rPr>
          <w:rFonts w:eastAsia="宋体"/>
          <w:i/>
          <w:iCs/>
          <w:lang w:eastAsia="zh-CN"/>
        </w:rPr>
        <w:t xml:space="preserve"> </w:t>
      </w:r>
      <w:r>
        <w:rPr>
          <w:rFonts w:eastAsia="serif"/>
          <w:i/>
          <w:iCs/>
        </w:rPr>
        <w:t>JOURNAL</w:t>
      </w:r>
      <w:r>
        <w:rPr>
          <w:rFonts w:eastAsia="宋体"/>
          <w:i/>
          <w:iCs/>
          <w:lang w:eastAsia="zh-CN"/>
        </w:rPr>
        <w:t xml:space="preserve"> </w:t>
      </w:r>
      <w:r>
        <w:rPr>
          <w:rFonts w:eastAsia="serif"/>
          <w:i/>
          <w:iCs/>
        </w:rPr>
        <w:t>OF</w:t>
      </w:r>
      <w:r>
        <w:rPr>
          <w:rFonts w:eastAsia="宋体"/>
          <w:i/>
          <w:iCs/>
          <w:lang w:eastAsia="zh-CN"/>
        </w:rPr>
        <w:t xml:space="preserve"> </w:t>
      </w:r>
      <w:r>
        <w:rPr>
          <w:rFonts w:eastAsia="serif"/>
          <w:i/>
          <w:iCs/>
        </w:rPr>
        <w:t>RESEARCH-GRANTHAALAYAH,</w:t>
      </w:r>
      <w:r>
        <w:rPr>
          <w:rFonts w:eastAsia="serif"/>
        </w:rPr>
        <w:t xml:space="preserve"> 5(6),</w:t>
      </w:r>
      <w:r>
        <w:rPr>
          <w:rFonts w:eastAsia="宋体"/>
          <w:lang w:eastAsia="zh-CN"/>
        </w:rPr>
        <w:t xml:space="preserve"> pp.280-291.</w:t>
      </w:r>
    </w:p>
    <w:p>
      <w:pPr>
        <w:rPr>
          <w:rFonts w:eastAsia="宋体"/>
          <w:lang w:eastAsia="zh-CN"/>
        </w:rPr>
      </w:pPr>
    </w:p>
    <w:p>
      <w:pPr>
        <w:rPr>
          <w:rFonts w:eastAsia="宋体"/>
          <w:lang w:eastAsia="zh-CN"/>
        </w:rPr>
      </w:pPr>
      <w:r>
        <w:rPr>
          <w:rFonts w:eastAsia="serif"/>
        </w:rPr>
        <w:t xml:space="preserve">Gill, </w:t>
      </w:r>
      <w:r>
        <w:rPr>
          <w:rFonts w:eastAsia="宋体"/>
          <w:lang w:eastAsia="zh-CN"/>
        </w:rPr>
        <w:t>P,</w:t>
      </w:r>
      <w:r>
        <w:rPr>
          <w:rFonts w:eastAsia="serif"/>
        </w:rPr>
        <w:t xml:space="preserve"> Stewart, </w:t>
      </w:r>
      <w:r>
        <w:rPr>
          <w:rFonts w:eastAsia="宋体"/>
          <w:lang w:eastAsia="zh-CN"/>
        </w:rPr>
        <w:t xml:space="preserve">K., </w:t>
      </w:r>
      <w:r>
        <w:rPr>
          <w:rFonts w:eastAsia="serif"/>
        </w:rPr>
        <w:t xml:space="preserve">Treasure, </w:t>
      </w:r>
      <w:r>
        <w:rPr>
          <w:rFonts w:eastAsia="宋体"/>
          <w:lang w:eastAsia="zh-CN"/>
        </w:rPr>
        <w:t xml:space="preserve">E., and </w:t>
      </w:r>
      <w:r>
        <w:rPr>
          <w:rFonts w:eastAsia="serif"/>
        </w:rPr>
        <w:t xml:space="preserve">Chadwick, </w:t>
      </w:r>
      <w:r>
        <w:rPr>
          <w:rFonts w:eastAsia="宋体"/>
          <w:lang w:eastAsia="zh-CN"/>
        </w:rPr>
        <w:t>B. (2008) ‘</w:t>
      </w:r>
      <w:r>
        <w:rPr>
          <w:rFonts w:eastAsia="serif"/>
        </w:rPr>
        <w:t>Methods of data collection in</w:t>
      </w:r>
      <w:r>
        <w:rPr>
          <w:rFonts w:eastAsia="宋体"/>
          <w:lang w:eastAsia="zh-CN"/>
        </w:rPr>
        <w:t xml:space="preserve"> </w:t>
      </w:r>
      <w:r>
        <w:rPr>
          <w:rFonts w:eastAsia="serif"/>
        </w:rPr>
        <w:t>qualitative research: Interviews and focus groups</w:t>
      </w:r>
      <w:r>
        <w:rPr>
          <w:rFonts w:eastAsia="宋体"/>
          <w:lang w:eastAsia="zh-CN"/>
        </w:rPr>
        <w:t>’,</w:t>
      </w:r>
      <w:r>
        <w:rPr>
          <w:rFonts w:eastAsia="serif"/>
        </w:rPr>
        <w:t xml:space="preserve"> British Dental Journal, 204(6)</w:t>
      </w:r>
      <w:r>
        <w:rPr>
          <w:rFonts w:eastAsia="宋体"/>
          <w:lang w:eastAsia="zh-CN"/>
        </w:rPr>
        <w:t>, pp.</w:t>
      </w:r>
      <w:r>
        <w:rPr>
          <w:rFonts w:eastAsia="serif"/>
        </w:rPr>
        <w:t>291–295</w:t>
      </w:r>
      <w:r>
        <w:rPr>
          <w:rFonts w:eastAsia="宋体"/>
          <w:lang w:eastAsia="zh-CN"/>
        </w:rPr>
        <w:t>.</w:t>
      </w:r>
    </w:p>
    <w:p>
      <w:pPr>
        <w:rPr>
          <w:rFonts w:eastAsia="宋体"/>
          <w:lang w:eastAsia="zh-CN"/>
        </w:rPr>
      </w:pPr>
    </w:p>
    <w:p>
      <w:pPr>
        <w:rPr>
          <w:rFonts w:eastAsia="宋体"/>
        </w:rPr>
      </w:pPr>
      <w:r>
        <w:rPr>
          <w:rFonts w:eastAsia="宋体"/>
        </w:rPr>
        <w:t>Galletta</w:t>
      </w:r>
      <w:r>
        <w:rPr>
          <w:rFonts w:eastAsia="宋体"/>
          <w:lang w:eastAsia="zh-CN"/>
        </w:rPr>
        <w:t>,</w:t>
      </w:r>
      <w:r>
        <w:rPr>
          <w:rFonts w:eastAsia="宋体"/>
        </w:rPr>
        <w:t xml:space="preserve"> A. (2012) Mastering the Semi-structured Interview and Beyond: From Research Design to Analysis and Publication. New York University Press, New York.</w:t>
      </w:r>
    </w:p>
    <w:p>
      <w:pPr>
        <w:rPr>
          <w:rFonts w:eastAsia="宋体"/>
          <w:lang w:eastAsia="zh-CN"/>
        </w:rPr>
      </w:pPr>
    </w:p>
    <w:p>
      <w:pPr>
        <w:rPr>
          <w:rFonts w:eastAsia="宋体"/>
          <w:lang w:eastAsia="zh-CN" w:bidi="ar"/>
        </w:rPr>
      </w:pPr>
      <w:r>
        <w:rPr>
          <w:rFonts w:eastAsia="宋体"/>
          <w:lang w:eastAsia="zh-CN" w:bidi="ar"/>
        </w:rPr>
        <w:t xml:space="preserve">Gillham, B. (2005) “Research Interviewing: The Range of Techniques.” Berkshire, UK: Open University Press. </w:t>
      </w:r>
    </w:p>
    <w:p>
      <w:pPr>
        <w:rPr>
          <w:rFonts w:eastAsia="宋体"/>
          <w:lang w:eastAsia="zh-CN"/>
        </w:rPr>
      </w:pPr>
    </w:p>
    <w:p>
      <w:pPr>
        <w:rPr>
          <w:rFonts w:eastAsia="宋体"/>
          <w:lang w:eastAsia="zh-CN"/>
        </w:rPr>
      </w:pPr>
      <w:r>
        <w:rPr>
          <w:rFonts w:eastAsia="宋体"/>
          <w:lang w:eastAsia="zh-CN"/>
        </w:rPr>
        <w:t>He, W. H., and Lou, Y. Y. (2020) ‘</w:t>
      </w:r>
      <w:r>
        <w:rPr>
          <w:rFonts w:eastAsia="宋体"/>
        </w:rPr>
        <w:t>Chinese-style "shadow education" and its normative development</w:t>
      </w:r>
      <w:r>
        <w:rPr>
          <w:rFonts w:eastAsia="宋体"/>
          <w:lang w:eastAsia="zh-CN"/>
        </w:rPr>
        <w:t xml:space="preserve">’, </w:t>
      </w:r>
      <w:r>
        <w:rPr>
          <w:rFonts w:eastAsia="宋体"/>
          <w:i/>
          <w:iCs/>
        </w:rPr>
        <w:t>ZHEJIANG SOCIAL SCIENCES</w:t>
      </w:r>
      <w:r>
        <w:rPr>
          <w:rFonts w:eastAsia="宋体"/>
          <w:i/>
          <w:iCs/>
          <w:lang w:eastAsia="zh-CN"/>
        </w:rPr>
        <w:t xml:space="preserve">, </w:t>
      </w:r>
      <w:r>
        <w:rPr>
          <w:rFonts w:eastAsia="宋体"/>
          <w:lang w:eastAsia="zh-CN"/>
        </w:rPr>
        <w:t>7, pp.142-150.</w:t>
      </w:r>
    </w:p>
    <w:p>
      <w:pPr>
        <w:rPr>
          <w:rFonts w:eastAsia="宋体"/>
          <w:lang w:eastAsia="zh-CN"/>
        </w:rPr>
      </w:pPr>
    </w:p>
    <w:p>
      <w:pPr>
        <w:rPr>
          <w:rFonts w:eastAsia="宋体"/>
          <w:lang w:eastAsia="zh-CN"/>
        </w:rPr>
      </w:pPr>
      <w:r>
        <w:rPr>
          <w:rFonts w:eastAsia="宋体"/>
          <w:lang w:eastAsia="zh-CN"/>
        </w:rPr>
        <w:t xml:space="preserve">Hu, D. X. (2021) ‘On the Value Implications, Institutional Dilemmas of the New College Entrance Examination Reform and the Way Forward’, </w:t>
      </w:r>
      <w:r>
        <w:rPr>
          <w:rFonts w:eastAsia="宋体"/>
          <w:i/>
          <w:iCs/>
          <w:lang w:eastAsia="zh-CN"/>
        </w:rPr>
        <w:t xml:space="preserve">Educational Science Research, </w:t>
      </w:r>
      <w:r>
        <w:rPr>
          <w:rFonts w:eastAsia="宋体"/>
          <w:lang w:eastAsia="zh-CN"/>
        </w:rPr>
        <w:t>4</w:t>
      </w:r>
      <w:r>
        <w:rPr>
          <w:rFonts w:eastAsia="宋体"/>
          <w:i/>
          <w:iCs/>
          <w:lang w:eastAsia="zh-CN"/>
        </w:rPr>
        <w:t xml:space="preserve">, </w:t>
      </w:r>
      <w:r>
        <w:rPr>
          <w:rFonts w:eastAsia="宋体"/>
          <w:lang w:eastAsia="zh-CN"/>
        </w:rPr>
        <w:t>pp.18-23.</w:t>
      </w:r>
    </w:p>
    <w:p>
      <w:pPr>
        <w:rPr>
          <w:rFonts w:eastAsia="宋体"/>
          <w:lang w:eastAsia="zh-CN"/>
        </w:rPr>
      </w:pPr>
    </w:p>
    <w:p>
      <w:pPr>
        <w:rPr>
          <w:rFonts w:eastAsia="宋体"/>
          <w:lang w:eastAsia="zh-CN"/>
        </w:rPr>
      </w:pPr>
      <w:r>
        <w:rPr>
          <w:rFonts w:eastAsia="宋体"/>
          <w:lang w:eastAsia="zh-CN"/>
        </w:rPr>
        <w:t>Huang, C. P. C. (2021) ‘</w:t>
      </w:r>
      <w:r>
        <w:rPr>
          <w:rFonts w:eastAsia="sans-serif"/>
        </w:rPr>
        <w:t>ECONOMY AND SOCIETY</w:t>
      </w:r>
      <w:r>
        <w:rPr>
          <w:rFonts w:eastAsia="宋体"/>
          <w:lang w:eastAsia="zh-CN"/>
        </w:rPr>
        <w:t xml:space="preserve"> </w:t>
      </w:r>
      <w:r>
        <w:rPr>
          <w:rFonts w:eastAsia="sans-serif"/>
        </w:rPr>
        <w:t>Re-thinking Involution and De-involution</w:t>
      </w:r>
      <w:r>
        <w:rPr>
          <w:rFonts w:eastAsia="宋体"/>
          <w:lang w:eastAsia="zh-CN"/>
        </w:rPr>
        <w:t xml:space="preserve">’, </w:t>
      </w:r>
      <w:r>
        <w:rPr>
          <w:rFonts w:eastAsia="宋体"/>
          <w:i/>
          <w:iCs/>
          <w:lang w:eastAsia="zh-CN"/>
        </w:rPr>
        <w:t>The Age of Openness</w:t>
      </w:r>
      <w:r>
        <w:rPr>
          <w:rFonts w:eastAsia="宋体"/>
          <w:lang w:eastAsia="zh-CN"/>
        </w:rPr>
        <w:t>, 1, pp.157-168.</w:t>
      </w:r>
    </w:p>
    <w:p>
      <w:pPr>
        <w:rPr>
          <w:rFonts w:eastAsia="宋体"/>
          <w:lang w:eastAsia="zh-CN"/>
        </w:rPr>
      </w:pPr>
    </w:p>
    <w:p>
      <w:r>
        <w:rPr>
          <w:rFonts w:eastAsia="宋体"/>
          <w:lang w:eastAsia="zh-CN" w:bidi="ar"/>
        </w:rPr>
        <w:t>Hamajima, K., and Takeuchi, K. (2002) ‘</w:t>
      </w:r>
      <w:r>
        <w:rPr>
          <w:rStyle w:val="13"/>
          <w:rFonts w:eastAsia="宋体"/>
          <w:lang w:eastAsia="zh-CN" w:bidi="ar"/>
        </w:rPr>
        <w:t>Kodomo no Shingaku Asupirēshon no Kitei Yōin ni kansuru Kenkyū: Toshi Shōchūgakusei no 15 Nenkan no Henyō’</w:t>
      </w:r>
      <w:r>
        <w:rPr>
          <w:rFonts w:eastAsia="宋体"/>
          <w:lang w:eastAsia="zh-CN" w:bidi="ar"/>
        </w:rPr>
        <w:t xml:space="preserve"> (A Study About the Determinants of Children’s Aspirations Regarding the Transition to a Higher School Level: The Transformation of Urban Primary and Middle School Students over 15 Years).Paper prepared for the 54th Annual Meeting of the Japan Society of Educational Sociology Hiroshima.</w:t>
      </w:r>
    </w:p>
    <w:p>
      <w:pPr>
        <w:rPr>
          <w:rFonts w:eastAsia="宋体"/>
          <w:lang w:eastAsia="zh-CN"/>
        </w:rPr>
      </w:pPr>
    </w:p>
    <w:p>
      <w:pPr>
        <w:rPr>
          <w:rFonts w:eastAsia="宋体"/>
          <w:color w:val="000000" w:themeColor="text1"/>
          <w:lang w:eastAsia="zh-CN"/>
          <w14:textFill>
            <w14:solidFill>
              <w14:schemeClr w14:val="tx1"/>
            </w14:solidFill>
          </w14:textFill>
        </w:rPr>
      </w:pPr>
      <w:r>
        <w:rPr>
          <w:rFonts w:eastAsia="宋体"/>
          <w:lang w:eastAsia="zh-CN"/>
        </w:rPr>
        <w:t>Jia, Y., and Wang, L. G. (2021) ‘</w:t>
      </w:r>
      <w:r>
        <w:rPr>
          <w:rFonts w:eastAsia="宋体"/>
        </w:rPr>
        <w:t>Research on the Countermeasures to Improve the Quality of School Education after the "Double Reduction" Policy</w:t>
      </w:r>
      <w:r>
        <w:rPr>
          <w:rFonts w:eastAsia="宋体"/>
          <w:lang w:eastAsia="zh-CN"/>
        </w:rPr>
        <w:t>’,</w:t>
      </w:r>
      <w:r>
        <w:rPr>
          <w:rFonts w:eastAsia="宋体"/>
          <w:i/>
          <w:iCs/>
          <w:lang w:eastAsia="zh-CN"/>
        </w:rPr>
        <w:t xml:space="preserve"> </w:t>
      </w:r>
      <w:r>
        <w:rPr>
          <w:rFonts w:eastAsia="宋体"/>
          <w:i/>
          <w:iCs/>
        </w:rPr>
        <w:t>Teacher Education Forum</w:t>
      </w:r>
      <w:r>
        <w:rPr>
          <w:rFonts w:eastAsia="宋体"/>
          <w:i/>
          <w:iCs/>
          <w:lang w:eastAsia="zh-CN"/>
        </w:rPr>
        <w:t xml:space="preserve">, </w:t>
      </w:r>
      <w:r>
        <w:rPr>
          <w:rFonts w:eastAsia="宋体"/>
          <w:lang w:eastAsia="zh-CN"/>
        </w:rPr>
        <w:t>34(10), pp.17-20.</w:t>
      </w:r>
    </w:p>
    <w:p>
      <w:pPr>
        <w:rPr>
          <w:rFonts w:eastAsia="宋体"/>
          <w:lang w:eastAsia="zh-CN"/>
        </w:rPr>
      </w:pPr>
    </w:p>
    <w:p>
      <w:pPr>
        <w:rPr>
          <w:rFonts w:eastAsia="宋体"/>
          <w:lang w:eastAsia="zh-CN"/>
        </w:rPr>
      </w:pPr>
      <w:r>
        <w:rPr>
          <w:rFonts w:eastAsia="宋体"/>
          <w:lang w:eastAsia="zh-CN"/>
        </w:rPr>
        <w:t>Jiang, Q. C. (2019) ‘</w:t>
      </w:r>
      <w:r>
        <w:rPr>
          <w:rFonts w:eastAsia="宋体"/>
        </w:rPr>
        <w:t>On Teaching Students in Accordance with Their Aptitude and the Development of Students' Personality in Primary School Mathematics Classroom Teaching</w:t>
      </w:r>
      <w:r>
        <w:rPr>
          <w:rFonts w:eastAsia="宋体"/>
          <w:lang w:eastAsia="zh-CN"/>
        </w:rPr>
        <w:t xml:space="preserve">’, </w:t>
      </w:r>
      <w:r>
        <w:rPr>
          <w:rFonts w:eastAsia="宋体"/>
          <w:i/>
          <w:iCs/>
        </w:rPr>
        <w:t>Intellect</w:t>
      </w:r>
      <w:r>
        <w:rPr>
          <w:rFonts w:eastAsia="宋体"/>
          <w:lang w:eastAsia="zh-CN"/>
        </w:rPr>
        <w:t>, 12, pp.135.</w:t>
      </w:r>
    </w:p>
    <w:p>
      <w:pPr>
        <w:rPr>
          <w:rFonts w:eastAsia="宋体"/>
          <w:lang w:eastAsia="zh-CN"/>
        </w:rPr>
      </w:pPr>
    </w:p>
    <w:p>
      <w:pPr>
        <w:rPr>
          <w:rFonts w:eastAsia="宋体"/>
        </w:rPr>
      </w:pPr>
      <w:r>
        <w:rPr>
          <w:rFonts w:eastAsia="宋体"/>
        </w:rPr>
        <w:t xml:space="preserve">Jin, Z., Huan, W., Hongyu, G., Yaojiang, S., Li, R., </w:t>
      </w:r>
      <w:r>
        <w:rPr>
          <w:rFonts w:eastAsia="宋体"/>
          <w:lang w:eastAsia="zh-CN"/>
        </w:rPr>
        <w:t>and</w:t>
      </w:r>
      <w:r>
        <w:rPr>
          <w:rFonts w:eastAsia="宋体"/>
        </w:rPr>
        <w:t xml:space="preserve"> Rozelle, S. (2020)</w:t>
      </w:r>
      <w:r>
        <w:rPr>
          <w:rFonts w:eastAsia="宋体"/>
          <w:lang w:eastAsia="zh-CN"/>
        </w:rPr>
        <w:t xml:space="preserve"> ‘</w:t>
      </w:r>
      <w:r>
        <w:rPr>
          <w:rFonts w:eastAsia="宋体"/>
        </w:rPr>
        <w:t>Targeted Poverty Alleviation through Education: A Study of Myopia Among Rural Students in China and Prevention and Control Policy Recommendations</w:t>
      </w:r>
      <w:r>
        <w:rPr>
          <w:rFonts w:eastAsia="宋体"/>
          <w:lang w:eastAsia="zh-CN"/>
        </w:rPr>
        <w:t>’,</w:t>
      </w:r>
      <w:r>
        <w:rPr>
          <w:rFonts w:eastAsia="宋体"/>
        </w:rPr>
        <w:t xml:space="preserve"> </w:t>
      </w:r>
      <w:r>
        <w:rPr>
          <w:rFonts w:eastAsia="宋体"/>
          <w:i/>
          <w:iCs/>
        </w:rPr>
        <w:t>Journal of East China Normal University (Educational Sciences)</w:t>
      </w:r>
      <w:r>
        <w:rPr>
          <w:rFonts w:eastAsia="宋体"/>
        </w:rPr>
        <w:t xml:space="preserve">, </w:t>
      </w:r>
      <w:r>
        <w:rPr>
          <w:rFonts w:eastAsia="宋体"/>
          <w:i/>
          <w:iCs/>
        </w:rPr>
        <w:t>38</w:t>
      </w:r>
      <w:r>
        <w:rPr>
          <w:rFonts w:eastAsia="宋体"/>
        </w:rPr>
        <w:t xml:space="preserve">(3), </w:t>
      </w:r>
      <w:r>
        <w:rPr>
          <w:rFonts w:eastAsia="宋体"/>
          <w:lang w:eastAsia="zh-CN"/>
        </w:rPr>
        <w:t>pp.</w:t>
      </w:r>
      <w:r>
        <w:rPr>
          <w:rFonts w:eastAsia="宋体"/>
        </w:rPr>
        <w:t>117</w:t>
      </w:r>
      <w:r>
        <w:rPr>
          <w:rFonts w:eastAsia="宋体"/>
          <w:lang w:eastAsia="zh-CN"/>
        </w:rPr>
        <w:t>-125</w:t>
      </w:r>
      <w:r>
        <w:rPr>
          <w:rFonts w:eastAsia="宋体"/>
        </w:rPr>
        <w:t>.</w:t>
      </w:r>
    </w:p>
    <w:p>
      <w:pPr>
        <w:rPr>
          <w:rFonts w:eastAsia="宋体"/>
        </w:rPr>
      </w:pPr>
    </w:p>
    <w:p>
      <w:pPr>
        <w:rPr>
          <w:rFonts w:eastAsia="宋体"/>
          <w:i/>
          <w:iCs/>
          <w:color w:val="000000" w:themeColor="text1"/>
          <w:lang w:eastAsia="zh-CN"/>
          <w14:textFill>
            <w14:solidFill>
              <w14:schemeClr w14:val="tx1"/>
            </w14:solidFill>
          </w14:textFill>
        </w:rPr>
      </w:pPr>
      <w:r>
        <w:rPr>
          <w:rFonts w:eastAsia="宋体"/>
        </w:rPr>
        <w:t>Ko, K. H. (2017)</w:t>
      </w:r>
      <w:r>
        <w:rPr>
          <w:rFonts w:eastAsia="宋体"/>
          <w:lang w:eastAsia="zh-CN"/>
        </w:rPr>
        <w:t xml:space="preserve"> ‘</w:t>
      </w:r>
      <w:r>
        <w:rPr>
          <w:rFonts w:eastAsia="宋体"/>
        </w:rPr>
        <w:t>A Brief History of Imperial Examination and Its Influences</w:t>
      </w:r>
      <w:r>
        <w:rPr>
          <w:rFonts w:eastAsia="宋体"/>
          <w:lang w:eastAsia="zh-CN"/>
        </w:rPr>
        <w:t xml:space="preserve">’, </w:t>
      </w:r>
      <w:r>
        <w:rPr>
          <w:rFonts w:eastAsia="宋体"/>
          <w:i/>
          <w:iCs/>
        </w:rPr>
        <w:t>Society</w:t>
      </w:r>
      <w:r>
        <w:rPr>
          <w:rFonts w:eastAsia="宋体"/>
        </w:rPr>
        <w:t xml:space="preserve">, 54(3), </w:t>
      </w:r>
      <w:r>
        <w:rPr>
          <w:rFonts w:eastAsia="宋体"/>
          <w:lang w:eastAsia="zh-CN"/>
        </w:rPr>
        <w:t>pp.</w:t>
      </w:r>
      <w:r>
        <w:rPr>
          <w:rFonts w:eastAsia="宋体"/>
        </w:rPr>
        <w:t>272-278.</w:t>
      </w:r>
    </w:p>
    <w:p>
      <w:pPr>
        <w:rPr>
          <w:rFonts w:eastAsia="宋体"/>
        </w:rPr>
      </w:pPr>
    </w:p>
    <w:p>
      <w:pPr>
        <w:rPr>
          <w:rFonts w:eastAsia="宋体"/>
          <w:lang w:eastAsia="zh-CN"/>
        </w:rPr>
      </w:pPr>
      <w:r>
        <w:rPr>
          <w:rFonts w:eastAsia="宋体"/>
        </w:rPr>
        <w:t xml:space="preserve">Kim, K. M., </w:t>
      </w:r>
      <w:r>
        <w:rPr>
          <w:rFonts w:eastAsia="宋体"/>
          <w:lang w:eastAsia="zh-CN"/>
        </w:rPr>
        <w:t>and</w:t>
      </w:r>
      <w:r>
        <w:rPr>
          <w:rFonts w:eastAsia="宋体"/>
        </w:rPr>
        <w:t xml:space="preserve"> Park, D. (2012) </w:t>
      </w:r>
      <w:r>
        <w:rPr>
          <w:rFonts w:eastAsia="宋体"/>
          <w:lang w:eastAsia="zh-CN"/>
        </w:rPr>
        <w:t>‘</w:t>
      </w:r>
      <w:r>
        <w:rPr>
          <w:rFonts w:eastAsia="宋体"/>
        </w:rPr>
        <w:t>Impacts of urban economic factors on private tutoring industry</w:t>
      </w:r>
      <w:r>
        <w:rPr>
          <w:rFonts w:eastAsia="宋体"/>
          <w:lang w:eastAsia="zh-CN"/>
        </w:rPr>
        <w:t>’</w:t>
      </w:r>
      <w:r>
        <w:rPr>
          <w:rFonts w:eastAsia="宋体"/>
        </w:rPr>
        <w:t xml:space="preserve"> </w:t>
      </w:r>
      <w:r>
        <w:rPr>
          <w:rFonts w:eastAsia="宋体"/>
          <w:i/>
          <w:iCs/>
        </w:rPr>
        <w:t>Asia Pacific Education Review</w:t>
      </w:r>
      <w:r>
        <w:rPr>
          <w:rFonts w:eastAsia="宋体"/>
        </w:rPr>
        <w:t xml:space="preserve">, </w:t>
      </w:r>
      <w:r>
        <w:rPr>
          <w:rFonts w:eastAsia="宋体"/>
          <w:i/>
          <w:iCs/>
        </w:rPr>
        <w:t>13</w:t>
      </w:r>
      <w:r>
        <w:rPr>
          <w:rFonts w:eastAsia="宋体"/>
        </w:rPr>
        <w:t xml:space="preserve">(2), </w:t>
      </w:r>
      <w:r>
        <w:rPr>
          <w:rFonts w:eastAsia="宋体"/>
          <w:lang w:eastAsia="zh-CN"/>
        </w:rPr>
        <w:t>pp.</w:t>
      </w:r>
      <w:r>
        <w:rPr>
          <w:rFonts w:eastAsia="宋体"/>
        </w:rPr>
        <w:t>273-280</w:t>
      </w:r>
      <w:r>
        <w:rPr>
          <w:rFonts w:eastAsia="宋体"/>
          <w:lang w:eastAsia="zh-CN"/>
        </w:rPr>
        <w:t>.</w:t>
      </w:r>
    </w:p>
    <w:p>
      <w:pPr>
        <w:rPr>
          <w:rFonts w:eastAsia="宋体"/>
          <w:lang w:eastAsia="zh-CN"/>
        </w:rPr>
      </w:pPr>
    </w:p>
    <w:p>
      <w:pPr>
        <w:rPr>
          <w:rFonts w:eastAsia="宋体"/>
          <w:lang w:eastAsia="zh-CN" w:bidi="ar"/>
        </w:rPr>
      </w:pPr>
      <w:r>
        <w:rPr>
          <w:rFonts w:eastAsia="宋体"/>
          <w:lang w:eastAsia="zh-CN" w:bidi="ar"/>
        </w:rPr>
        <w:t xml:space="preserve">Konakayama. A., and Matsui, T. (2008) ‘Gakkōgai Kyōiku Tōshi no Gakuryoku ni Oyobosu Eikyō ni kansuru Ikkōsatsu’ (An Empirical Study on how Extra School Education Affects Academic Achievement of Students). </w:t>
      </w:r>
      <w:r>
        <w:rPr>
          <w:rStyle w:val="13"/>
          <w:rFonts w:eastAsia="宋体"/>
          <w:lang w:eastAsia="zh-CN" w:bidi="ar"/>
        </w:rPr>
        <w:t>Tōkaidaigaku Seiji Keizaigakubu Kiyō</w:t>
      </w:r>
      <w:r>
        <w:rPr>
          <w:rFonts w:eastAsia="宋体"/>
          <w:lang w:eastAsia="zh-CN" w:bidi="ar"/>
        </w:rPr>
        <w:t xml:space="preserve"> (Tokai University School of Political Science and Economics Bulletin),40, PP.131–158.</w:t>
      </w:r>
    </w:p>
    <w:p>
      <w:pPr>
        <w:rPr>
          <w:rFonts w:eastAsia="宋体"/>
          <w:lang w:eastAsia="zh-CN" w:bidi="ar"/>
        </w:rPr>
      </w:pPr>
    </w:p>
    <w:p>
      <w:pPr>
        <w:rPr>
          <w:rFonts w:eastAsia="宋体"/>
        </w:rPr>
      </w:pPr>
      <w:r>
        <w:rPr>
          <w:rFonts w:eastAsia="宋体"/>
        </w:rPr>
        <w:t xml:space="preserve">Kuan, P. Y. (2011) </w:t>
      </w:r>
      <w:r>
        <w:rPr>
          <w:rFonts w:eastAsia="宋体"/>
          <w:lang w:eastAsia="zh-CN"/>
        </w:rPr>
        <w:t>‘</w:t>
      </w:r>
      <w:r>
        <w:rPr>
          <w:rFonts w:eastAsia="宋体"/>
        </w:rPr>
        <w:t>Effects of cram schooling on mathematics performance: Evidence from junior high students in Taiwan</w:t>
      </w:r>
      <w:r>
        <w:rPr>
          <w:rFonts w:eastAsia="宋体"/>
          <w:lang w:eastAsia="zh-CN"/>
        </w:rPr>
        <w:t>’,</w:t>
      </w:r>
      <w:r>
        <w:rPr>
          <w:rFonts w:eastAsia="宋体"/>
        </w:rPr>
        <w:t xml:space="preserve"> </w:t>
      </w:r>
      <w:r>
        <w:rPr>
          <w:rFonts w:eastAsia="宋体"/>
          <w:i/>
          <w:iCs/>
        </w:rPr>
        <w:t>Comparative education review</w:t>
      </w:r>
      <w:r>
        <w:rPr>
          <w:rFonts w:eastAsia="宋体"/>
        </w:rPr>
        <w:t xml:space="preserve">, </w:t>
      </w:r>
      <w:r>
        <w:rPr>
          <w:rFonts w:eastAsia="宋体"/>
          <w:i/>
          <w:iCs/>
        </w:rPr>
        <w:t>55</w:t>
      </w:r>
      <w:r>
        <w:rPr>
          <w:rFonts w:eastAsia="宋体"/>
        </w:rPr>
        <w:t xml:space="preserve">(3), </w:t>
      </w:r>
      <w:r>
        <w:rPr>
          <w:rFonts w:eastAsia="宋体"/>
          <w:lang w:eastAsia="zh-CN"/>
        </w:rPr>
        <w:t>pp.</w:t>
      </w:r>
      <w:r>
        <w:rPr>
          <w:rFonts w:eastAsia="宋体"/>
        </w:rPr>
        <w:t>342-368.</w:t>
      </w:r>
    </w:p>
    <w:p>
      <w:pPr>
        <w:rPr>
          <w:rFonts w:eastAsia="宋体"/>
        </w:rPr>
      </w:pPr>
    </w:p>
    <w:p>
      <w:pPr>
        <w:rPr>
          <w:rFonts w:eastAsia="宋体"/>
          <w:lang w:eastAsia="zh-CN"/>
        </w:rPr>
      </w:pPr>
      <w:r>
        <w:rPr>
          <w:rFonts w:eastAsia="宋体"/>
          <w:lang w:eastAsia="zh-CN"/>
        </w:rPr>
        <w:t>Katz, I., Wang, J., and Yue, J. L. (2021) ‘</w:t>
      </w:r>
      <w:r>
        <w:rPr>
          <w:rFonts w:eastAsia="宋体"/>
        </w:rPr>
        <w:t>Quality education policy, neoliberalism and shadow The rise of education in China</w:t>
      </w:r>
      <w:r>
        <w:rPr>
          <w:rFonts w:eastAsia="宋体"/>
          <w:lang w:eastAsia="zh-CN"/>
        </w:rPr>
        <w:t xml:space="preserve">’, </w:t>
      </w:r>
      <w:r>
        <w:rPr>
          <w:rFonts w:eastAsia="宋体"/>
          <w:i/>
          <w:iCs/>
        </w:rPr>
        <w:t>Youth education</w:t>
      </w:r>
      <w:r>
        <w:rPr>
          <w:rFonts w:eastAsia="宋体"/>
          <w:lang w:eastAsia="zh-CN"/>
        </w:rPr>
        <w:t>, 7, pp.110-119.</w:t>
      </w:r>
    </w:p>
    <w:p>
      <w:pPr>
        <w:rPr>
          <w:rFonts w:eastAsia="宋体"/>
          <w:lang w:eastAsia="zh-CN"/>
        </w:rPr>
      </w:pPr>
    </w:p>
    <w:p>
      <w:pPr>
        <w:rPr>
          <w:rFonts w:eastAsia="宋体"/>
        </w:rPr>
      </w:pPr>
      <w:r>
        <w:rPr>
          <w:rFonts w:eastAsia="宋体"/>
        </w:rPr>
        <w:t xml:space="preserve">Kumar, R. (2018). </w:t>
      </w:r>
      <w:r>
        <w:rPr>
          <w:rFonts w:eastAsia="宋体"/>
          <w:i/>
          <w:iCs/>
        </w:rPr>
        <w:t>Research methodology: A step-by-step guide for beginners</w:t>
      </w:r>
      <w:r>
        <w:rPr>
          <w:rFonts w:eastAsia="宋体"/>
        </w:rPr>
        <w:t>. Sage.</w:t>
      </w:r>
    </w:p>
    <w:p>
      <w:pPr>
        <w:rPr>
          <w:rFonts w:eastAsia="宋体"/>
          <w:lang w:eastAsia="zh-CN"/>
        </w:rPr>
      </w:pPr>
    </w:p>
    <w:p>
      <w:pPr>
        <w:rPr>
          <w:rFonts w:eastAsia="宋体"/>
        </w:rPr>
      </w:pPr>
      <w:r>
        <w:rPr>
          <w:rFonts w:eastAsia="宋体"/>
        </w:rPr>
        <w:t xml:space="preserve">Kallio, H., Pietilä, A. M., Johnson, M., </w:t>
      </w:r>
      <w:r>
        <w:rPr>
          <w:rFonts w:eastAsia="宋体"/>
          <w:lang w:eastAsia="zh-CN"/>
        </w:rPr>
        <w:t>and</w:t>
      </w:r>
      <w:r>
        <w:rPr>
          <w:rFonts w:eastAsia="宋体"/>
        </w:rPr>
        <w:t xml:space="preserve"> Kangasniemi, M. (2016). </w:t>
      </w:r>
      <w:r>
        <w:rPr>
          <w:rFonts w:eastAsia="宋体"/>
          <w:lang w:eastAsia="zh-CN"/>
        </w:rPr>
        <w:t>‘</w:t>
      </w:r>
      <w:r>
        <w:rPr>
          <w:rFonts w:eastAsia="宋体"/>
        </w:rPr>
        <w:t>Systematic methodological review: developing a framework for a qualitative semi‐structured interview guide.</w:t>
      </w:r>
      <w:r>
        <w:rPr>
          <w:rFonts w:eastAsia="宋体"/>
          <w:lang w:eastAsia="zh-CN"/>
        </w:rPr>
        <w:t xml:space="preserve">’, </w:t>
      </w:r>
      <w:r>
        <w:rPr>
          <w:rFonts w:eastAsia="宋体"/>
          <w:i/>
          <w:iCs/>
        </w:rPr>
        <w:t>Journal of advanced nursing</w:t>
      </w:r>
      <w:r>
        <w:rPr>
          <w:rFonts w:eastAsia="宋体"/>
        </w:rPr>
        <w:t xml:space="preserve">, 72(12), </w:t>
      </w:r>
      <w:r>
        <w:rPr>
          <w:rFonts w:eastAsia="宋体"/>
          <w:lang w:eastAsia="zh-CN"/>
        </w:rPr>
        <w:t>pp.</w:t>
      </w:r>
      <w:r>
        <w:rPr>
          <w:rFonts w:eastAsia="宋体"/>
        </w:rPr>
        <w:t>2954-2965.</w:t>
      </w:r>
    </w:p>
    <w:p>
      <w:pPr>
        <w:rPr>
          <w:rFonts w:eastAsia="宋体"/>
          <w:lang w:eastAsia="zh-CN"/>
        </w:rPr>
      </w:pPr>
    </w:p>
    <w:p>
      <w:pPr>
        <w:rPr>
          <w:rFonts w:eastAsia="宋体"/>
        </w:rPr>
      </w:pPr>
      <w:r>
        <w:rPr>
          <w:rFonts w:eastAsia="宋体"/>
        </w:rPr>
        <w:t>Kelly S.E. (2010) Qualitative interviewing techniques and styles. In The SAGE Handbook of Qualitative Methods in Health Research ( I. Bourgeault, R. Dingwall &amp; R. Vries, eds), SAGE, London, pp. 307– 327.</w:t>
      </w:r>
    </w:p>
    <w:p>
      <w:pPr>
        <w:rPr>
          <w:rFonts w:eastAsia="宋体"/>
          <w:lang w:eastAsia="zh-CN"/>
        </w:rPr>
      </w:pPr>
    </w:p>
    <w:p>
      <w:pPr>
        <w:rPr>
          <w:rFonts w:eastAsia="宋体"/>
          <w:lang w:eastAsia="zh-CN"/>
        </w:rPr>
      </w:pPr>
      <w:r>
        <w:rPr>
          <w:lang w:eastAsia="zh-CN"/>
        </w:rPr>
        <w:t>Liu, Y. (2012) ‘</w:t>
      </w:r>
      <w:r>
        <w:rPr>
          <w:rFonts w:eastAsia="宋体"/>
        </w:rPr>
        <w:t>Major Events, Characteristics and Enlightenment of Educational Reform in Ancient China</w:t>
      </w:r>
      <w:r>
        <w:rPr>
          <w:rFonts w:eastAsia="宋体"/>
          <w:lang w:eastAsia="zh-CN"/>
        </w:rPr>
        <w:t>’,</w:t>
      </w:r>
      <w:r>
        <w:rPr>
          <w:rFonts w:eastAsia="宋体"/>
          <w:i/>
          <w:iCs/>
          <w:lang w:eastAsia="zh-CN"/>
        </w:rPr>
        <w:t>Theory Research</w:t>
      </w:r>
      <w:r>
        <w:rPr>
          <w:rFonts w:eastAsia="宋体"/>
          <w:lang w:eastAsia="zh-CN"/>
        </w:rPr>
        <w:t xml:space="preserve"> ,63(7), pp.140-141.</w:t>
      </w:r>
    </w:p>
    <w:p>
      <w:pPr>
        <w:rPr>
          <w:rFonts w:eastAsia="宋体"/>
          <w:lang w:eastAsia="zh-CN"/>
        </w:rPr>
      </w:pPr>
    </w:p>
    <w:p>
      <w:pPr>
        <w:rPr>
          <w:rFonts w:eastAsia="宋体"/>
          <w:lang w:eastAsia="zh-CN"/>
        </w:rPr>
      </w:pPr>
      <w:r>
        <w:rPr>
          <w:rFonts w:eastAsia="宋体"/>
          <w:lang w:eastAsia="zh-CN"/>
        </w:rPr>
        <w:t>Li, Q., and Liu, W. H. (2019) ‘</w:t>
      </w:r>
      <w:r>
        <w:rPr>
          <w:rFonts w:eastAsia="宋体"/>
        </w:rPr>
        <w:t>Changes and Variations of Examination Culture in China: Reflections from a Historical Perspective</w:t>
      </w:r>
      <w:r>
        <w:rPr>
          <w:rFonts w:eastAsia="宋体"/>
          <w:lang w:eastAsia="zh-CN"/>
        </w:rPr>
        <w:t xml:space="preserve">’, </w:t>
      </w:r>
      <w:r>
        <w:rPr>
          <w:rFonts w:ascii="宋体" w:hAnsi="宋体" w:eastAsia="宋体" w:cs="宋体"/>
          <w:i/>
          <w:iCs/>
        </w:rPr>
        <w:t>Examination research</w:t>
      </w:r>
      <w:r>
        <w:rPr>
          <w:rFonts w:ascii="宋体" w:hAnsi="宋体" w:eastAsia="宋体" w:cs="宋体"/>
          <w:lang w:eastAsia="zh-CN"/>
        </w:rPr>
        <w:t xml:space="preserve">, </w:t>
      </w:r>
      <w:r>
        <w:rPr>
          <w:rFonts w:eastAsia="宋体"/>
          <w:lang w:eastAsia="zh-CN"/>
        </w:rPr>
        <w:t>77(6), pp.101-105.</w:t>
      </w:r>
    </w:p>
    <w:p>
      <w:pPr>
        <w:rPr>
          <w:rFonts w:eastAsia="宋体"/>
          <w:lang w:eastAsia="zh-CN"/>
        </w:rPr>
      </w:pPr>
    </w:p>
    <w:p>
      <w:pPr>
        <w:rPr>
          <w:rFonts w:eastAsia="宋体"/>
          <w:color w:val="000000" w:themeColor="text1"/>
          <w:lang w:eastAsia="zh-CN"/>
          <w14:textFill>
            <w14:solidFill>
              <w14:schemeClr w14:val="tx1"/>
            </w14:solidFill>
          </w14:textFill>
        </w:rPr>
      </w:pPr>
      <w:r>
        <w:rPr>
          <w:rFonts w:eastAsia="宋体"/>
          <w:color w:val="000000" w:themeColor="text1"/>
          <w:lang w:eastAsia="zh-CN"/>
          <w14:textFill>
            <w14:solidFill>
              <w14:schemeClr w14:val="tx1"/>
            </w14:solidFill>
          </w14:textFill>
        </w:rPr>
        <w:t>Li, J. L. (2019) ‘</w:t>
      </w:r>
      <w:r>
        <w:rPr>
          <w:rFonts w:eastAsia="宋体"/>
        </w:rPr>
        <w:t>The Feasibility Study of the Educational Distribution System under the "Double Reduction" Policy</w:t>
      </w:r>
      <w:r>
        <w:rPr>
          <w:rFonts w:eastAsia="宋体"/>
          <w:lang w:eastAsia="zh-CN"/>
        </w:rPr>
        <w:t xml:space="preserve">’, </w:t>
      </w:r>
      <w:r>
        <w:rPr>
          <w:rFonts w:eastAsia="宋体"/>
          <w:i/>
          <w:iCs/>
        </w:rPr>
        <w:t>Ability And Wisdom</w:t>
      </w:r>
      <w:r>
        <w:rPr>
          <w:rFonts w:eastAsia="宋体"/>
          <w:lang w:eastAsia="zh-CN"/>
        </w:rPr>
        <w:t>, 2021(9), pp.99-102.</w:t>
      </w:r>
    </w:p>
    <w:p>
      <w:pPr>
        <w:rPr>
          <w:rFonts w:eastAsia="serif"/>
        </w:rPr>
      </w:pPr>
    </w:p>
    <w:p>
      <w:pPr>
        <w:rPr>
          <w:rFonts w:eastAsia="宋体"/>
          <w:lang w:eastAsia="zh-CN"/>
        </w:rPr>
      </w:pPr>
      <w:r>
        <w:rPr>
          <w:rFonts w:eastAsia="宋体"/>
          <w:lang w:eastAsia="zh-CN"/>
        </w:rPr>
        <w:t>Li, H., Deng, Y., and Deng, Y. P. (2020) ‘</w:t>
      </w:r>
      <w:r>
        <w:rPr>
          <w:rFonts w:eastAsia="宋体"/>
        </w:rPr>
        <w:t xml:space="preserve">An Empirical </w:t>
      </w:r>
      <w:r>
        <w:rPr>
          <w:rFonts w:eastAsia="宋体"/>
          <w:lang w:eastAsia="zh-CN"/>
        </w:rPr>
        <w:t>R</w:t>
      </w:r>
      <w:r>
        <w:rPr>
          <w:rFonts w:eastAsia="宋体"/>
        </w:rPr>
        <w:t>esearch of Middle School Students＇Extra-curricular Tutoring Based on China Education Panel Survey</w:t>
      </w:r>
      <w:r>
        <w:rPr>
          <w:rFonts w:eastAsia="宋体"/>
          <w:lang w:eastAsia="zh-CN"/>
        </w:rPr>
        <w:t xml:space="preserve">’, </w:t>
      </w:r>
      <w:r>
        <w:rPr>
          <w:rFonts w:eastAsia="宋体"/>
          <w:i/>
          <w:iCs/>
        </w:rPr>
        <w:t>Journal of Gannan Normal University</w:t>
      </w:r>
      <w:r>
        <w:rPr>
          <w:rFonts w:eastAsia="宋体"/>
          <w:lang w:eastAsia="zh-CN"/>
        </w:rPr>
        <w:t>, 6, pp.134-140.</w:t>
      </w:r>
    </w:p>
    <w:p>
      <w:pPr>
        <w:rPr>
          <w:rFonts w:eastAsia="serif"/>
        </w:rPr>
      </w:pPr>
    </w:p>
    <w:p>
      <w:pPr>
        <w:rPr>
          <w:rFonts w:eastAsia="宋体"/>
          <w:lang w:eastAsia="zh-CN"/>
        </w:rPr>
      </w:pPr>
      <w:r>
        <w:rPr>
          <w:rFonts w:eastAsia="宋体"/>
        </w:rPr>
        <w:t xml:space="preserve">Loyalka, P. K., </w:t>
      </w:r>
      <w:r>
        <w:rPr>
          <w:rFonts w:eastAsia="宋体"/>
          <w:lang w:eastAsia="zh-CN"/>
        </w:rPr>
        <w:t>and</w:t>
      </w:r>
      <w:r>
        <w:rPr>
          <w:rFonts w:eastAsia="宋体"/>
        </w:rPr>
        <w:t xml:space="preserve"> Zakharov, A. (2014) </w:t>
      </w:r>
      <w:r>
        <w:rPr>
          <w:rFonts w:eastAsia="宋体"/>
          <w:lang w:eastAsia="zh-CN"/>
        </w:rPr>
        <w:t>‘</w:t>
      </w:r>
      <w:r>
        <w:rPr>
          <w:rFonts w:eastAsia="宋体"/>
        </w:rPr>
        <w:t>Does shadow education help students prepare for college?</w:t>
      </w:r>
      <w:r>
        <w:rPr>
          <w:rFonts w:eastAsia="宋体"/>
          <w:lang w:eastAsia="zh-CN"/>
        </w:rPr>
        <w:t>’,</w:t>
      </w:r>
      <w:r>
        <w:rPr>
          <w:rFonts w:eastAsia="宋体"/>
        </w:rPr>
        <w:t xml:space="preserve"> </w:t>
      </w:r>
      <w:r>
        <w:rPr>
          <w:rFonts w:eastAsia="宋体"/>
          <w:i/>
          <w:iCs/>
        </w:rPr>
        <w:t>Higher School of Economics Research Paper No. WP BRP</w:t>
      </w:r>
      <w:r>
        <w:rPr>
          <w:rFonts w:eastAsia="宋体"/>
        </w:rPr>
        <w:t xml:space="preserve">, </w:t>
      </w:r>
      <w:r>
        <w:rPr>
          <w:rFonts w:eastAsia="宋体"/>
          <w:i/>
          <w:iCs/>
        </w:rPr>
        <w:t>15</w:t>
      </w:r>
      <w:r>
        <w:rPr>
          <w:rFonts w:eastAsia="宋体"/>
          <w:i/>
          <w:iCs/>
          <w:lang w:eastAsia="zh-CN"/>
        </w:rPr>
        <w:t xml:space="preserve">, </w:t>
      </w:r>
      <w:r>
        <w:rPr>
          <w:rFonts w:eastAsia="宋体"/>
          <w:lang w:eastAsia="zh-CN"/>
        </w:rPr>
        <w:t>pp.1-20.</w:t>
      </w:r>
    </w:p>
    <w:p>
      <w:pPr>
        <w:rPr>
          <w:rFonts w:eastAsia="宋体"/>
          <w:lang w:eastAsia="zh-CN"/>
        </w:rPr>
      </w:pPr>
    </w:p>
    <w:p>
      <w:pPr>
        <w:rPr>
          <w:rFonts w:eastAsia="宋体"/>
          <w:lang w:eastAsia="zh-CN"/>
        </w:rPr>
      </w:pPr>
      <w:r>
        <w:rPr>
          <w:rFonts w:eastAsia="宋体"/>
          <w:lang w:eastAsia="zh-CN" w:bidi="ar"/>
        </w:rPr>
        <w:t>Lauterbach. W. (2013) Is It Always the Family of Origin? The Influence of Parental and Teenage Aspirations on Status Attainment in Young Adulthood. Presentation held at the 2nd International Conference on Transitions in Youth and Young Adulthood, Basel, 28 November 2013.</w:t>
      </w:r>
    </w:p>
    <w:p>
      <w:pPr>
        <w:jc w:val="both"/>
        <w:rPr>
          <w:rFonts w:eastAsia="宋体"/>
        </w:rPr>
      </w:pPr>
    </w:p>
    <w:p>
      <w:pPr>
        <w:jc w:val="both"/>
        <w:rPr>
          <w:rFonts w:eastAsia="宋体"/>
        </w:rPr>
      </w:pPr>
      <w:r>
        <w:rPr>
          <w:rFonts w:eastAsia="宋体"/>
        </w:rPr>
        <w:t xml:space="preserve">Lauer, P. A., Akiba, M., Wilkerson, S. B., Apthorp, H. S., Snow, D., </w:t>
      </w:r>
      <w:r>
        <w:rPr>
          <w:rFonts w:eastAsia="宋体"/>
          <w:lang w:eastAsia="zh-CN"/>
        </w:rPr>
        <w:t>and</w:t>
      </w:r>
      <w:r>
        <w:rPr>
          <w:rFonts w:eastAsia="宋体"/>
        </w:rPr>
        <w:t xml:space="preserve"> Martin-Glenn, M. (2004). The Effectiveness of Out-of-School-Time Strategies in Assisting Low-Achieving Students in Reading and Mathematics: A Research Synthesis. Updated.</w:t>
      </w:r>
    </w:p>
    <w:p>
      <w:pPr>
        <w:jc w:val="both"/>
        <w:rPr>
          <w:rFonts w:eastAsia="宋体"/>
        </w:rPr>
      </w:pPr>
    </w:p>
    <w:p>
      <w:pPr>
        <w:rPr>
          <w:rFonts w:eastAsia="宋体"/>
          <w:lang w:eastAsia="zh-CN"/>
        </w:rPr>
      </w:pPr>
      <w:r>
        <w:rPr>
          <w:rFonts w:eastAsia="宋体"/>
          <w:lang w:eastAsia="zh-CN"/>
        </w:rPr>
        <w:t>Li, N. (2015) ‘</w:t>
      </w:r>
      <w:r>
        <w:rPr>
          <w:rFonts w:eastAsia="宋体"/>
        </w:rPr>
        <w:t>The development trend of shadow education in our country</w:t>
      </w:r>
      <w:r>
        <w:rPr>
          <w:rFonts w:eastAsia="宋体"/>
          <w:lang w:eastAsia="zh-CN"/>
        </w:rPr>
        <w:t xml:space="preserve">’, </w:t>
      </w:r>
      <w:r>
        <w:rPr>
          <w:rFonts w:eastAsia="宋体"/>
          <w:i/>
          <w:iCs/>
        </w:rPr>
        <w:t>Chinese Journal of Education</w:t>
      </w:r>
      <w:r>
        <w:rPr>
          <w:rFonts w:eastAsia="宋体"/>
          <w:i/>
          <w:iCs/>
          <w:lang w:eastAsia="zh-CN"/>
        </w:rPr>
        <w:t>,</w:t>
      </w:r>
      <w:r>
        <w:rPr>
          <w:rFonts w:eastAsia="宋体"/>
          <w:lang w:eastAsia="zh-CN"/>
        </w:rPr>
        <w:t xml:space="preserve"> 36(5), pp.54-57.</w:t>
      </w:r>
    </w:p>
    <w:p>
      <w:pPr>
        <w:jc w:val="both"/>
        <w:rPr>
          <w:rFonts w:eastAsia="宋体"/>
        </w:rPr>
      </w:pPr>
    </w:p>
    <w:p>
      <w:pPr>
        <w:rPr>
          <w:rFonts w:eastAsia="宋体"/>
          <w:lang w:eastAsia="zh-CN"/>
        </w:rPr>
      </w:pPr>
      <w:r>
        <w:rPr>
          <w:rFonts w:eastAsia="宋体"/>
          <w:lang w:eastAsia="zh-CN"/>
        </w:rPr>
        <w:t>Lu, B. X. (1997) ‘</w:t>
      </w:r>
      <w:r>
        <w:rPr>
          <w:rFonts w:eastAsia="宋体"/>
        </w:rPr>
        <w:t>Talking about the current misunderstandings and</w:t>
      </w:r>
      <w:r>
        <w:rPr>
          <w:rFonts w:eastAsia="宋体"/>
          <w:lang w:eastAsia="zh-CN"/>
        </w:rPr>
        <w:t xml:space="preserve"> </w:t>
      </w:r>
      <w:r>
        <w:rPr>
          <w:rFonts w:eastAsia="宋体"/>
        </w:rPr>
        <w:t>countermeasures of teaching students in accordance with their aptitude</w:t>
      </w:r>
      <w:r>
        <w:rPr>
          <w:rFonts w:eastAsia="宋体"/>
          <w:lang w:eastAsia="zh-CN"/>
        </w:rPr>
        <w:t xml:space="preserve">’, </w:t>
      </w:r>
      <w:r>
        <w:rPr>
          <w:rFonts w:eastAsia="宋体"/>
          <w:i/>
          <w:iCs/>
        </w:rPr>
        <w:t>Journal of Guangxi Normal University</w:t>
      </w:r>
      <w:r>
        <w:rPr>
          <w:rFonts w:eastAsia="宋体"/>
          <w:lang w:eastAsia="zh-CN"/>
        </w:rPr>
        <w:t>, 33(2), pp.57-60.</w:t>
      </w:r>
    </w:p>
    <w:p>
      <w:pPr>
        <w:rPr>
          <w:rFonts w:eastAsia="宋体"/>
          <w:lang w:eastAsia="zh-CN"/>
        </w:rPr>
      </w:pPr>
    </w:p>
    <w:p>
      <w:pPr>
        <w:rPr>
          <w:rFonts w:eastAsia="宋体"/>
          <w:lang w:eastAsia="zh-CN"/>
        </w:rPr>
      </w:pPr>
    </w:p>
    <w:p>
      <w:pPr>
        <w:rPr>
          <w:rFonts w:eastAsia="宋体"/>
          <w:lang w:eastAsia="zh-CN"/>
        </w:rPr>
      </w:pPr>
      <w:r>
        <w:rPr>
          <w:rFonts w:eastAsia="宋体"/>
          <w:lang w:eastAsia="zh-CN"/>
        </w:rPr>
        <w:t>Lv, Y. N. (2016) ‘</w:t>
      </w:r>
      <w:r>
        <w:rPr>
          <w:rFonts w:eastAsia="宋体"/>
        </w:rPr>
        <w:t>Analysis of the Advantages and Disadvantages of Shadow Education and Its Countermeasures</w:t>
      </w:r>
      <w:r>
        <w:rPr>
          <w:rFonts w:eastAsia="宋体"/>
          <w:lang w:eastAsia="zh-CN"/>
        </w:rPr>
        <w:t xml:space="preserve">’, </w:t>
      </w:r>
      <w:r>
        <w:rPr>
          <w:rFonts w:eastAsia="宋体"/>
          <w:i/>
          <w:iCs/>
          <w:lang w:eastAsia="zh-CN"/>
        </w:rPr>
        <w:t>Education and Teaching Research</w:t>
      </w:r>
      <w:r>
        <w:rPr>
          <w:rFonts w:eastAsia="宋体"/>
          <w:lang w:eastAsia="zh-CN"/>
        </w:rPr>
        <w:t>, 30(5), pp.16-20.</w:t>
      </w:r>
    </w:p>
    <w:p>
      <w:pPr>
        <w:rPr>
          <w:rFonts w:eastAsia="宋体"/>
          <w:lang w:eastAsia="zh-CN"/>
        </w:rPr>
      </w:pPr>
    </w:p>
    <w:p>
      <w:pPr>
        <w:rPr>
          <w:rFonts w:eastAsia="宋体"/>
          <w:lang w:eastAsia="zh-CN"/>
        </w:rPr>
      </w:pPr>
      <w:r>
        <w:rPr>
          <w:rFonts w:eastAsia="宋体"/>
          <w:lang w:eastAsia="zh-CN"/>
        </w:rPr>
        <w:t>Liu, F. M. (2015) ‘</w:t>
      </w:r>
      <w:r>
        <w:rPr>
          <w:rFonts w:eastAsia="宋体"/>
        </w:rPr>
        <w:t>The Situation and Ｒisks of China's Private Educational Institutions Listed Overseas</w:t>
      </w:r>
      <w:r>
        <w:rPr>
          <w:rFonts w:eastAsia="宋体"/>
          <w:lang w:eastAsia="zh-CN"/>
        </w:rPr>
        <w:t xml:space="preserve">’, </w:t>
      </w:r>
      <w:r>
        <w:rPr>
          <w:rFonts w:eastAsia="宋体"/>
          <w:i/>
          <w:iCs/>
        </w:rPr>
        <w:t>Academic Exploration</w:t>
      </w:r>
      <w:r>
        <w:rPr>
          <w:rFonts w:eastAsia="宋体"/>
          <w:i/>
          <w:iCs/>
          <w:lang w:eastAsia="zh-CN"/>
        </w:rPr>
        <w:t>,</w:t>
      </w:r>
      <w:r>
        <w:rPr>
          <w:rFonts w:eastAsia="宋体"/>
          <w:lang w:eastAsia="zh-CN"/>
        </w:rPr>
        <w:t xml:space="preserve"> 8, pp.77-80.</w:t>
      </w:r>
    </w:p>
    <w:p>
      <w:pPr>
        <w:rPr>
          <w:rFonts w:eastAsia="宋体"/>
          <w:lang w:eastAsia="zh-CN"/>
        </w:rPr>
      </w:pPr>
    </w:p>
    <w:p>
      <w:pPr>
        <w:rPr>
          <w:rFonts w:eastAsia="宋体"/>
          <w:lang w:eastAsia="zh-CN"/>
        </w:rPr>
      </w:pPr>
      <w:r>
        <w:rPr>
          <w:rFonts w:eastAsia="宋体"/>
          <w:lang w:eastAsia="zh-CN"/>
        </w:rPr>
        <w:t xml:space="preserve">Lu, W. (2019) ‘ </w:t>
      </w:r>
      <w:r>
        <w:rPr>
          <w:rFonts w:eastAsia="宋体"/>
        </w:rPr>
        <w:t>Public Policies and Participation in Shadow Education</w:t>
      </w:r>
      <w:r>
        <w:rPr>
          <w:rFonts w:eastAsia="宋体"/>
          <w:lang w:eastAsia="zh-CN"/>
        </w:rPr>
        <w:t xml:space="preserve">’, </w:t>
      </w:r>
    </w:p>
    <w:p>
      <w:pPr>
        <w:rPr>
          <w:rFonts w:eastAsia="宋体"/>
          <w:lang w:eastAsia="zh-CN"/>
        </w:rPr>
      </w:pPr>
      <w:r>
        <w:rPr>
          <w:rFonts w:eastAsia="宋体"/>
          <w:i/>
          <w:iCs/>
        </w:rPr>
        <w:t>International and Comparative Education</w:t>
      </w:r>
      <w:r>
        <w:rPr>
          <w:rFonts w:eastAsia="宋体"/>
          <w:lang w:eastAsia="zh-CN"/>
        </w:rPr>
        <w:t>, 355(8), pp.77-85.</w:t>
      </w:r>
    </w:p>
    <w:p>
      <w:pPr>
        <w:rPr>
          <w:rFonts w:eastAsia="宋体"/>
          <w:lang w:eastAsia="zh-CN"/>
        </w:rPr>
      </w:pPr>
    </w:p>
    <w:p>
      <w:pPr>
        <w:rPr>
          <w:rFonts w:eastAsia="宋体"/>
          <w:lang w:eastAsia="zh-CN"/>
        </w:rPr>
      </w:pPr>
      <w:r>
        <w:rPr>
          <w:rFonts w:eastAsia="宋体"/>
          <w:lang w:eastAsia="zh-CN"/>
        </w:rPr>
        <w:t>Long, C. H., and Y, C. Z. (2017) ‘</w:t>
      </w:r>
      <w:r>
        <w:rPr>
          <w:rFonts w:eastAsia="sans-serif"/>
        </w:rPr>
        <w:t>Equalization of Basic Public Services，Balanced Development of Compulsory Education and</w:t>
      </w:r>
      <w:r>
        <w:rPr>
          <w:rFonts w:eastAsia="宋体"/>
          <w:lang w:eastAsia="zh-CN"/>
        </w:rPr>
        <w:t xml:space="preserve"> </w:t>
      </w:r>
      <w:r>
        <w:rPr>
          <w:rFonts w:eastAsia="sans-serif"/>
        </w:rPr>
        <w:t>Optimization of Public Policy－Analysis on the Change and Path of Compulsory Education in China</w:t>
      </w:r>
      <w:r>
        <w:rPr>
          <w:rFonts w:eastAsia="宋体"/>
          <w:lang w:eastAsia="zh-CN"/>
        </w:rPr>
        <w:t>’,</w:t>
      </w:r>
      <w:r>
        <w:rPr>
          <w:rFonts w:eastAsia="宋体"/>
          <w:i/>
          <w:iCs/>
          <w:lang w:eastAsia="zh-CN"/>
        </w:rPr>
        <w:t xml:space="preserve"> </w:t>
      </w:r>
      <w:r>
        <w:rPr>
          <w:rFonts w:eastAsia="sans-serif"/>
          <w:i/>
          <w:iCs/>
        </w:rPr>
        <w:t>Journal of Xiangtan University( Philosophy and Social Sciences)</w:t>
      </w:r>
      <w:r>
        <w:rPr>
          <w:rFonts w:eastAsia="宋体"/>
          <w:i/>
          <w:iCs/>
          <w:lang w:eastAsia="zh-CN"/>
        </w:rPr>
        <w:t>,</w:t>
      </w:r>
      <w:r>
        <w:rPr>
          <w:rFonts w:eastAsia="宋体"/>
          <w:lang w:eastAsia="zh-CN"/>
        </w:rPr>
        <w:t xml:space="preserve"> 41(6), pp.14-20.</w:t>
      </w:r>
    </w:p>
    <w:p>
      <w:pPr>
        <w:rPr>
          <w:rFonts w:eastAsia="宋体"/>
          <w:lang w:eastAsia="zh-CN"/>
        </w:rPr>
      </w:pPr>
    </w:p>
    <w:p>
      <w:pPr>
        <w:rPr>
          <w:rFonts w:eastAsia="宋体"/>
          <w:lang w:eastAsia="zh-CN"/>
        </w:rPr>
      </w:pPr>
      <w:r>
        <w:rPr>
          <w:rFonts w:eastAsia="宋体"/>
          <w:lang w:eastAsia="zh-CN"/>
        </w:rPr>
        <w:t>Li, J. L., and Xue, H. P. (2019) ‘</w:t>
      </w:r>
      <w:r>
        <w:rPr>
          <w:rFonts w:eastAsia="sans-serif"/>
        </w:rPr>
        <w:t>The Relationship among Parental Involvement, Private Tutoring and Secondary Students' Academic Achievement</w:t>
      </w:r>
      <w:r>
        <w:rPr>
          <w:rFonts w:eastAsia="宋体"/>
          <w:lang w:eastAsia="zh-CN"/>
        </w:rPr>
        <w:t xml:space="preserve">’, </w:t>
      </w:r>
      <w:r>
        <w:rPr>
          <w:rFonts w:eastAsia="宋体"/>
          <w:i/>
          <w:iCs/>
          <w:lang w:eastAsia="zh-CN"/>
        </w:rPr>
        <w:t>Education Development Research</w:t>
      </w:r>
      <w:r>
        <w:rPr>
          <w:rFonts w:eastAsia="宋体"/>
          <w:lang w:eastAsia="zh-CN"/>
        </w:rPr>
        <w:t>, 2, pp.15-22.</w:t>
      </w:r>
    </w:p>
    <w:p>
      <w:pPr>
        <w:rPr>
          <w:rFonts w:eastAsia="宋体"/>
          <w:lang w:eastAsia="zh-CN"/>
        </w:rPr>
      </w:pPr>
    </w:p>
    <w:p>
      <w:pPr>
        <w:rPr>
          <w:rFonts w:eastAsia="宋体"/>
          <w:lang w:eastAsia="zh-CN"/>
        </w:rPr>
      </w:pPr>
      <w:r>
        <w:rPr>
          <w:rFonts w:eastAsia="宋体"/>
          <w:lang w:eastAsia="zh-CN"/>
        </w:rPr>
        <w:t>Liu, Y. (2018) ‘</w:t>
      </w:r>
      <w:r>
        <w:rPr>
          <w:rFonts w:eastAsia="sans-serif"/>
        </w:rPr>
        <w:t>Analysis on Primary and Middle School Students＇Extracurricular Tutoring from the Perspective of Sociology</w:t>
      </w:r>
      <w:r>
        <w:rPr>
          <w:rFonts w:eastAsia="宋体"/>
          <w:lang w:eastAsia="zh-CN"/>
        </w:rPr>
        <w:t xml:space="preserve">’, </w:t>
      </w:r>
      <w:r>
        <w:rPr>
          <w:rFonts w:eastAsia="宋体"/>
          <w:i/>
          <w:iCs/>
          <w:lang w:eastAsia="zh-CN"/>
        </w:rPr>
        <w:t>Education and Teaching Research</w:t>
      </w:r>
      <w:r>
        <w:rPr>
          <w:rFonts w:eastAsia="宋体"/>
          <w:lang w:eastAsia="zh-CN"/>
        </w:rPr>
        <w:t>, 39(2), pp.46-52.</w:t>
      </w:r>
    </w:p>
    <w:p>
      <w:pPr>
        <w:rPr>
          <w:rFonts w:eastAsia="宋体"/>
          <w:lang w:eastAsia="zh-CN"/>
        </w:rPr>
      </w:pPr>
    </w:p>
    <w:p>
      <w:pPr>
        <w:rPr>
          <w:rFonts w:eastAsia="宋体"/>
          <w:i/>
          <w:iCs/>
          <w:lang w:eastAsia="zh-CN"/>
        </w:rPr>
      </w:pPr>
      <w:r>
        <w:rPr>
          <w:rFonts w:eastAsia="宋体"/>
          <w:lang w:eastAsia="zh-CN"/>
        </w:rPr>
        <w:t xml:space="preserve">Liu, D. Z. (2014) ‘Extra-curricular tuition for primary school students does more harm than good’, </w:t>
      </w:r>
      <w:r>
        <w:rPr>
          <w:rFonts w:eastAsia="宋体"/>
          <w:i/>
          <w:iCs/>
          <w:lang w:eastAsia="zh-CN"/>
        </w:rPr>
        <w:t>Journal of Chinese Education</w:t>
      </w:r>
      <w:r>
        <w:rPr>
          <w:rFonts w:eastAsia="宋体"/>
          <w:lang w:eastAsia="zh-CN"/>
        </w:rPr>
        <w:t>, 11, pp.19-23.</w:t>
      </w:r>
    </w:p>
    <w:p>
      <w:pPr>
        <w:rPr>
          <w:rFonts w:eastAsia="宋体"/>
          <w:lang w:eastAsia="zh-CN"/>
        </w:rPr>
      </w:pPr>
    </w:p>
    <w:p>
      <w:pPr>
        <w:rPr>
          <w:rFonts w:eastAsia="宋体"/>
          <w:color w:val="222222"/>
          <w:shd w:val="clear" w:color="auto" w:fill="FFFFFF"/>
        </w:rPr>
      </w:pPr>
      <w:r>
        <w:rPr>
          <w:rFonts w:eastAsia="宋体"/>
          <w:color w:val="222222"/>
          <w:shd w:val="clear" w:color="auto" w:fill="FFFFFF"/>
        </w:rPr>
        <w:t>Lawrence</w:t>
      </w:r>
      <w:r>
        <w:rPr>
          <w:rFonts w:eastAsia="宋体"/>
          <w:color w:val="222222"/>
          <w:shd w:val="clear" w:color="auto" w:fill="FFFFFF"/>
          <w:lang w:eastAsia="zh-CN"/>
        </w:rPr>
        <w:t>,</w:t>
      </w:r>
      <w:r>
        <w:rPr>
          <w:rFonts w:eastAsia="宋体"/>
          <w:color w:val="222222"/>
          <w:shd w:val="clear" w:color="auto" w:fill="FFFFFF"/>
        </w:rPr>
        <w:t xml:space="preserve"> N</w:t>
      </w:r>
      <w:r>
        <w:rPr>
          <w:rFonts w:eastAsia="宋体"/>
          <w:color w:val="222222"/>
          <w:shd w:val="clear" w:color="auto" w:fill="FFFFFF"/>
          <w:lang w:eastAsia="zh-CN"/>
        </w:rPr>
        <w:t>.</w:t>
      </w:r>
      <w:r>
        <w:rPr>
          <w:rFonts w:eastAsia="宋体"/>
          <w:color w:val="222222"/>
          <w:shd w:val="clear" w:color="auto" w:fill="FFFFFF"/>
        </w:rPr>
        <w:t xml:space="preserve"> W. (2014). Social research methods: Qualitative and quantitative approaches.</w:t>
      </w:r>
    </w:p>
    <w:p>
      <w:pPr>
        <w:rPr>
          <w:rFonts w:eastAsia="宋体"/>
          <w:color w:val="222222"/>
          <w:shd w:val="clear" w:color="auto" w:fill="FFFFFF"/>
        </w:rPr>
      </w:pPr>
    </w:p>
    <w:p>
      <w:pPr>
        <w:rPr>
          <w:rFonts w:eastAsia="宋体"/>
          <w:lang w:eastAsia="zh-CN"/>
        </w:rPr>
      </w:pPr>
      <w:r>
        <w:rPr>
          <w:rFonts w:eastAsia="宋体"/>
          <w:lang w:eastAsia="zh-CN"/>
        </w:rPr>
        <w:t xml:space="preserve">Liu, J. Y. (2021) ‘Motivation Underlying the Demand for Private Tutoring and Its Implications for Policy Implementation’, </w:t>
      </w:r>
      <w:r>
        <w:rPr>
          <w:rFonts w:eastAsia="宋体"/>
          <w:i/>
          <w:iCs/>
          <w:lang w:eastAsia="zh-CN"/>
        </w:rPr>
        <w:t>Global Education</w:t>
      </w:r>
      <w:r>
        <w:rPr>
          <w:rFonts w:eastAsia="宋体"/>
          <w:lang w:eastAsia="zh-CN"/>
        </w:rPr>
        <w:t>, 50(11), pp.85-98.</w:t>
      </w:r>
    </w:p>
    <w:p>
      <w:pPr>
        <w:rPr>
          <w:rFonts w:eastAsia="宋体"/>
          <w:lang w:eastAsia="zh-CN"/>
        </w:rPr>
      </w:pPr>
    </w:p>
    <w:p>
      <w:pPr>
        <w:rPr>
          <w:rFonts w:eastAsia="宋体"/>
          <w:lang w:eastAsia="zh-CN"/>
        </w:rPr>
      </w:pPr>
      <w:r>
        <w:rPr>
          <w:rFonts w:eastAsia="宋体"/>
          <w:lang w:eastAsia="zh-CN"/>
        </w:rPr>
        <w:t>Long, B. X. (2021) ‘</w:t>
      </w:r>
      <w:r>
        <w:rPr>
          <w:rFonts w:eastAsia="sans-serif"/>
        </w:rPr>
        <w:t>Studying Burden’s Increasing Mechanism</w:t>
      </w:r>
      <w:r>
        <w:rPr>
          <w:rFonts w:eastAsia="宋体"/>
          <w:lang w:eastAsia="zh-CN"/>
        </w:rPr>
        <w:t xml:space="preserve"> </w:t>
      </w:r>
      <w:r>
        <w:rPr>
          <w:rFonts w:eastAsia="sans-serif"/>
        </w:rPr>
        <w:t>and</w:t>
      </w:r>
      <w:r>
        <w:rPr>
          <w:rFonts w:eastAsia="宋体"/>
          <w:lang w:eastAsia="zh-CN"/>
        </w:rPr>
        <w:t xml:space="preserve"> R</w:t>
      </w:r>
      <w:r>
        <w:rPr>
          <w:rFonts w:eastAsia="sans-serif"/>
        </w:rPr>
        <w:t>adical Control Path in Basici Schools</w:t>
      </w:r>
      <w:r>
        <w:rPr>
          <w:rFonts w:eastAsia="宋体"/>
          <w:lang w:eastAsia="zh-CN"/>
        </w:rPr>
        <w:t xml:space="preserve">’, </w:t>
      </w:r>
      <w:r>
        <w:rPr>
          <w:rFonts w:eastAsia="宋体"/>
          <w:i/>
          <w:iCs/>
          <w:lang w:eastAsia="zh-CN"/>
        </w:rPr>
        <w:t>Nanjing Social Sciences</w:t>
      </w:r>
      <w:r>
        <w:rPr>
          <w:rFonts w:eastAsia="宋体"/>
          <w:lang w:eastAsia="zh-CN"/>
        </w:rPr>
        <w:t>, 33(10), pp.146-155.</w:t>
      </w:r>
    </w:p>
    <w:p>
      <w:pPr>
        <w:rPr>
          <w:rFonts w:eastAsia="宋体"/>
          <w:color w:val="222222"/>
          <w:shd w:val="clear" w:color="auto" w:fill="FFFFFF"/>
        </w:rPr>
      </w:pPr>
    </w:p>
    <w:p>
      <w:pPr>
        <w:rPr>
          <w:rFonts w:eastAsia="宋体"/>
          <w:lang w:eastAsia="zh-CN"/>
        </w:rPr>
      </w:pPr>
      <w:r>
        <w:rPr>
          <w:rFonts w:eastAsia="宋体"/>
          <w:lang w:eastAsia="zh-CN"/>
        </w:rPr>
        <w:t xml:space="preserve">Li, P. (2016) ‘A Review of Peer Pressure Research’, </w:t>
      </w:r>
      <w:r>
        <w:rPr>
          <w:rFonts w:eastAsia="sans-serif"/>
          <w:i/>
          <w:iCs/>
        </w:rPr>
        <w:t>Journal of Campus Life &amp; Mental Health</w:t>
      </w:r>
      <w:r>
        <w:rPr>
          <w:rFonts w:eastAsia="宋体"/>
          <w:lang w:eastAsia="zh-CN"/>
        </w:rPr>
        <w:t>, 14(4), pp.259-262.</w:t>
      </w:r>
    </w:p>
    <w:p>
      <w:pPr>
        <w:rPr>
          <w:rFonts w:eastAsia="宋体"/>
          <w:lang w:eastAsia="zh-CN"/>
        </w:rPr>
      </w:pPr>
    </w:p>
    <w:p>
      <w:pPr>
        <w:rPr>
          <w:rFonts w:eastAsia="宋体"/>
          <w:lang w:eastAsia="zh-CN"/>
        </w:rPr>
      </w:pPr>
      <w:r>
        <w:rPr>
          <w:rFonts w:eastAsia="宋体"/>
          <w:lang w:eastAsia="zh-CN"/>
        </w:rPr>
        <w:t>Liu, B. (2016) ‘</w:t>
      </w:r>
      <w:r>
        <w:rPr>
          <w:rFonts w:eastAsia="sans-serif"/>
        </w:rPr>
        <w:t>Selectivity：Opportunities and Challenges of College Entrance Examination Reform</w:t>
      </w:r>
      <w:r>
        <w:rPr>
          <w:rFonts w:eastAsia="宋体"/>
          <w:lang w:eastAsia="zh-CN"/>
        </w:rPr>
        <w:t xml:space="preserve">’, </w:t>
      </w:r>
      <w:r>
        <w:rPr>
          <w:rFonts w:eastAsia="宋体"/>
          <w:i/>
          <w:iCs/>
          <w:lang w:eastAsia="zh-CN"/>
        </w:rPr>
        <w:t>Educational Research,</w:t>
      </w:r>
      <w:r>
        <w:rPr>
          <w:rFonts w:eastAsia="宋体"/>
          <w:lang w:eastAsia="zh-CN"/>
        </w:rPr>
        <w:t xml:space="preserve"> 6(437)</w:t>
      </w:r>
      <w:r>
        <w:rPr>
          <w:rFonts w:eastAsia="宋体"/>
          <w:i/>
          <w:iCs/>
          <w:lang w:eastAsia="zh-CN"/>
        </w:rPr>
        <w:t xml:space="preserve">, </w:t>
      </w:r>
      <w:r>
        <w:rPr>
          <w:rFonts w:eastAsia="宋体"/>
          <w:lang w:eastAsia="zh-CN"/>
        </w:rPr>
        <w:t>pp.72-80.</w:t>
      </w:r>
    </w:p>
    <w:p>
      <w:pPr>
        <w:rPr>
          <w:rFonts w:eastAsia="宋体"/>
          <w:lang w:eastAsia="zh-CN"/>
        </w:rPr>
      </w:pPr>
    </w:p>
    <w:p>
      <w:pPr>
        <w:rPr>
          <w:rFonts w:eastAsia="宋体"/>
          <w:lang w:eastAsia="zh-CN"/>
        </w:rPr>
      </w:pPr>
      <w:r>
        <w:rPr>
          <w:rFonts w:eastAsia="宋体"/>
          <w:lang w:eastAsia="zh-CN"/>
        </w:rPr>
        <w:t>Liu, R. Q., and Sun, X. Y. (2015) ‘</w:t>
      </w:r>
      <w:r>
        <w:rPr>
          <w:rFonts w:eastAsia="sans-serif"/>
        </w:rPr>
        <w:t>The Effect of Education Quality Capitalization on Housing Prices Based on</w:t>
      </w:r>
      <w:r>
        <w:rPr>
          <w:rFonts w:eastAsia="宋体"/>
          <w:lang w:eastAsia="zh-CN"/>
        </w:rPr>
        <w:t xml:space="preserve"> </w:t>
      </w:r>
      <w:r>
        <w:rPr>
          <w:rFonts w:eastAsia="sans-serif"/>
        </w:rPr>
        <w:t>Empirical Analysis of Elementary School District of Wuhou District in Chengdu</w:t>
      </w:r>
      <w:r>
        <w:rPr>
          <w:rFonts w:eastAsia="宋体"/>
          <w:lang w:eastAsia="zh-CN"/>
        </w:rPr>
        <w:t>’,</w:t>
      </w:r>
      <w:r>
        <w:rPr>
          <w:rFonts w:eastAsia="宋体"/>
          <w:i/>
          <w:iCs/>
          <w:lang w:eastAsia="zh-CN"/>
        </w:rPr>
        <w:t xml:space="preserve"> Financial Sciences</w:t>
      </w:r>
      <w:r>
        <w:rPr>
          <w:rFonts w:eastAsia="宋体"/>
          <w:lang w:eastAsia="zh-CN"/>
        </w:rPr>
        <w:t>, 329(8), pp.91-99.</w:t>
      </w:r>
    </w:p>
    <w:p>
      <w:pPr>
        <w:rPr>
          <w:rFonts w:eastAsia="宋体"/>
          <w:lang w:eastAsia="zh-CN"/>
        </w:rPr>
      </w:pPr>
      <w:r>
        <w:rPr>
          <w:rFonts w:eastAsia="宋体"/>
          <w:lang w:eastAsia="zh-CN"/>
        </w:rPr>
        <w:t>Li, J. L., and Pan, D. D. (2021) ‘The Determinants and Impacts of Private Tutoring in and out of School in Hongkong’,</w:t>
      </w:r>
      <w:r>
        <w:rPr>
          <w:rFonts w:eastAsia="宋体"/>
          <w:i/>
          <w:iCs/>
          <w:lang w:eastAsia="zh-CN"/>
        </w:rPr>
        <w:t xml:space="preserve"> Education &amp;Economy,</w:t>
      </w:r>
      <w:r>
        <w:rPr>
          <w:rFonts w:eastAsia="宋体"/>
          <w:lang w:eastAsia="zh-CN"/>
        </w:rPr>
        <w:t xml:space="preserve"> 36(2), pp.49-58.</w:t>
      </w:r>
    </w:p>
    <w:p>
      <w:pPr>
        <w:rPr>
          <w:rFonts w:eastAsia="宋体"/>
          <w:lang w:eastAsia="zh-CN"/>
        </w:rPr>
      </w:pPr>
    </w:p>
    <w:p>
      <w:pPr>
        <w:rPr>
          <w:rFonts w:eastAsia="宋体"/>
          <w:lang w:eastAsia="zh-CN"/>
        </w:rPr>
      </w:pPr>
      <w:r>
        <w:rPr>
          <w:rFonts w:eastAsia="宋体"/>
          <w:lang w:eastAsia="zh-CN"/>
        </w:rPr>
        <w:t>Lao, K. S. (2010) ‘</w:t>
      </w:r>
      <w:r>
        <w:rPr>
          <w:rFonts w:eastAsia="宋体"/>
        </w:rPr>
        <w:t>The Issue of Chinese Education Is the Issue of Public School</w:t>
      </w:r>
      <w:r>
        <w:rPr>
          <w:rFonts w:eastAsia="宋体"/>
          <w:lang w:eastAsia="zh-CN"/>
        </w:rPr>
        <w:t xml:space="preserve">’, </w:t>
      </w:r>
      <w:r>
        <w:rPr>
          <w:rFonts w:eastAsia="宋体"/>
          <w:i/>
          <w:iCs/>
        </w:rPr>
        <w:t>EDUCATIONAL RESEARCH</w:t>
      </w:r>
      <w:r>
        <w:rPr>
          <w:rFonts w:eastAsia="宋体"/>
          <w:i/>
          <w:iCs/>
          <w:lang w:eastAsia="zh-CN"/>
        </w:rPr>
        <w:t>,</w:t>
      </w:r>
      <w:r>
        <w:rPr>
          <w:rFonts w:eastAsia="宋体"/>
          <w:lang w:eastAsia="zh-CN"/>
        </w:rPr>
        <w:t xml:space="preserve"> 2(362), pp.15-21.</w:t>
      </w:r>
    </w:p>
    <w:p>
      <w:pPr>
        <w:rPr>
          <w:rFonts w:eastAsia="宋体"/>
          <w:lang w:eastAsia="zh-CN"/>
        </w:rPr>
      </w:pPr>
    </w:p>
    <w:p>
      <w:pPr>
        <w:rPr>
          <w:rFonts w:eastAsia="宋体"/>
          <w:lang w:eastAsia="zh-CN"/>
        </w:rPr>
      </w:pPr>
      <w:r>
        <w:rPr>
          <w:rFonts w:eastAsia="宋体"/>
          <w:lang w:eastAsia="zh-CN"/>
        </w:rPr>
        <w:t xml:space="preserve">Miao, Y. Q. (2014) ‘The Reform and Abolition of The </w:t>
      </w:r>
      <w:r>
        <w:rPr>
          <w:rFonts w:eastAsia="宋体"/>
        </w:rPr>
        <w:t>Imperial Examinations</w:t>
      </w:r>
      <w:r>
        <w:rPr>
          <w:rFonts w:eastAsia="宋体"/>
          <w:lang w:eastAsia="zh-CN"/>
        </w:rPr>
        <w:t xml:space="preserve"> System and The Modern Transformation of Chinese Civilization’, </w:t>
      </w:r>
      <w:r>
        <w:rPr>
          <w:rFonts w:eastAsia="宋体"/>
        </w:rPr>
        <w:t>Shan Dong University</w:t>
      </w:r>
      <w:r>
        <w:rPr>
          <w:rFonts w:eastAsia="宋体"/>
          <w:lang w:eastAsia="zh-CN"/>
        </w:rPr>
        <w:t xml:space="preserve">, </w:t>
      </w:r>
      <w:r>
        <w:rPr>
          <w:rFonts w:eastAsia="宋体"/>
          <w:i/>
          <w:iCs/>
          <w:lang w:eastAsia="zh-CN"/>
        </w:rPr>
        <w:t xml:space="preserve">2014, </w:t>
      </w:r>
      <w:r>
        <w:rPr>
          <w:rFonts w:eastAsia="宋体"/>
          <w:lang w:eastAsia="zh-CN"/>
        </w:rPr>
        <w:t>pp. 1-239.</w:t>
      </w:r>
    </w:p>
    <w:p>
      <w:pPr>
        <w:rPr>
          <w:rFonts w:eastAsia="宋体"/>
          <w:lang w:eastAsia="zh-CN"/>
        </w:rPr>
      </w:pPr>
    </w:p>
    <w:p>
      <w:pPr>
        <w:rPr>
          <w:rFonts w:eastAsia="宋体"/>
          <w:lang w:eastAsia="zh-CN"/>
        </w:rPr>
      </w:pPr>
      <w:r>
        <w:rPr>
          <w:rFonts w:eastAsia="宋体"/>
          <w:lang w:eastAsia="zh-CN"/>
        </w:rPr>
        <w:t xml:space="preserve">Ma, J. S., and Liu, Y. H. (2021) ‘Capital Expansion in Education: Harm and Governance’, </w:t>
      </w:r>
      <w:r>
        <w:rPr>
          <w:rFonts w:eastAsia="宋体"/>
          <w:i/>
          <w:iCs/>
          <w:lang w:eastAsia="zh-CN"/>
        </w:rPr>
        <w:t>TSINGHUA JOURNAL OF EDUCATION</w:t>
      </w:r>
      <w:r>
        <w:rPr>
          <w:rFonts w:eastAsia="宋体"/>
          <w:lang w:eastAsia="zh-CN"/>
        </w:rPr>
        <w:t>, 42(4), pp.50-61.</w:t>
      </w:r>
    </w:p>
    <w:p>
      <w:pPr>
        <w:rPr>
          <w:rFonts w:eastAsia="宋体"/>
          <w:lang w:eastAsia="zh-CN"/>
        </w:rPr>
      </w:pPr>
    </w:p>
    <w:p>
      <w:pPr>
        <w:rPr>
          <w:rFonts w:eastAsia="宋体"/>
          <w:lang w:eastAsia="zh-CN"/>
        </w:rPr>
      </w:pPr>
      <w:r>
        <w:rPr>
          <w:rFonts w:eastAsia="宋体"/>
          <w:lang w:eastAsia="zh-CN"/>
        </w:rPr>
        <w:t xml:space="preserve">Meng, Y. F. (2017) ‘The impact of negative peer pressure on school violence among high school students’, </w:t>
      </w:r>
      <w:r>
        <w:rPr>
          <w:rFonts w:eastAsia="宋体"/>
          <w:i/>
          <w:iCs/>
          <w:lang w:eastAsia="zh-CN"/>
        </w:rPr>
        <w:t>Mental Health Education in Primary and Secondary Schools</w:t>
      </w:r>
      <w:r>
        <w:rPr>
          <w:rFonts w:eastAsia="宋体"/>
          <w:lang w:eastAsia="zh-CN"/>
        </w:rPr>
        <w:t>, 34(345), pp.20-23.</w:t>
      </w:r>
    </w:p>
    <w:p>
      <w:pPr>
        <w:rPr>
          <w:rFonts w:eastAsia="宋体"/>
          <w:lang w:eastAsia="zh-CN"/>
        </w:rPr>
      </w:pPr>
    </w:p>
    <w:p>
      <w:pPr>
        <w:rPr>
          <w:rFonts w:eastAsia="宋体"/>
          <w:lang w:eastAsia="zh-CN"/>
        </w:rPr>
      </w:pPr>
      <w:r>
        <w:rPr>
          <w:rFonts w:eastAsia="宋体"/>
        </w:rPr>
        <w:t xml:space="preserve">Moldes, V. M., Biton, C. L., Gonzaga, D. J., </w:t>
      </w:r>
      <w:r>
        <w:rPr>
          <w:rFonts w:eastAsia="宋体"/>
          <w:lang w:eastAsia="zh-CN"/>
        </w:rPr>
        <w:t xml:space="preserve">and </w:t>
      </w:r>
      <w:r>
        <w:rPr>
          <w:rFonts w:eastAsia="宋体"/>
        </w:rPr>
        <w:t xml:space="preserve">Moneva, J. C. (2019) </w:t>
      </w:r>
      <w:r>
        <w:rPr>
          <w:rFonts w:eastAsia="宋体"/>
          <w:lang w:eastAsia="zh-CN"/>
        </w:rPr>
        <w:t>‘</w:t>
      </w:r>
      <w:r>
        <w:rPr>
          <w:rFonts w:eastAsia="宋体"/>
        </w:rPr>
        <w:t>Students, peer pressure and their academic performance in school</w:t>
      </w:r>
      <w:r>
        <w:rPr>
          <w:rFonts w:eastAsia="宋体"/>
          <w:lang w:eastAsia="zh-CN"/>
        </w:rPr>
        <w:t>’,</w:t>
      </w:r>
      <w:r>
        <w:rPr>
          <w:rFonts w:eastAsia="宋体"/>
        </w:rPr>
        <w:t xml:space="preserve"> </w:t>
      </w:r>
      <w:r>
        <w:rPr>
          <w:rFonts w:eastAsia="宋体"/>
          <w:i/>
          <w:iCs/>
        </w:rPr>
        <w:t xml:space="preserve">International Journal of Scientific and Research Publications, </w:t>
      </w:r>
      <w:r>
        <w:rPr>
          <w:rFonts w:eastAsia="宋体"/>
          <w:lang w:eastAsia="zh-CN"/>
        </w:rPr>
        <w:t>9(1), pp.300-312.</w:t>
      </w:r>
    </w:p>
    <w:p>
      <w:pPr>
        <w:rPr>
          <w:rFonts w:eastAsia="宋体"/>
          <w:lang w:eastAsia="zh-CN"/>
        </w:rPr>
      </w:pPr>
    </w:p>
    <w:p>
      <w:pPr>
        <w:rPr>
          <w:rFonts w:eastAsia="宋体"/>
          <w:lang w:eastAsia="zh-CN"/>
        </w:rPr>
      </w:pPr>
      <w:r>
        <w:rPr>
          <w:rFonts w:eastAsia="宋体"/>
          <w:color w:val="222222"/>
          <w:shd w:val="clear" w:color="auto" w:fill="FFFFFF"/>
          <w:lang w:eastAsia="zh-CN"/>
        </w:rPr>
        <w:t>Moyle, W. (2002) ‘</w:t>
      </w:r>
      <w:r>
        <w:rPr>
          <w:rFonts w:eastAsia="serif"/>
        </w:rPr>
        <w:t>Unstructured interviews: challenges when participants have a major</w:t>
      </w:r>
      <w:r>
        <w:rPr>
          <w:rFonts w:eastAsia="宋体"/>
          <w:lang w:eastAsia="zh-CN"/>
        </w:rPr>
        <w:t xml:space="preserve"> </w:t>
      </w:r>
      <w:r>
        <w:rPr>
          <w:rFonts w:eastAsia="serif"/>
        </w:rPr>
        <w:t>depressive illness</w:t>
      </w:r>
      <w:r>
        <w:rPr>
          <w:rFonts w:eastAsia="宋体"/>
          <w:lang w:eastAsia="zh-CN"/>
        </w:rPr>
        <w:t xml:space="preserve">’, </w:t>
      </w:r>
      <w:r>
        <w:rPr>
          <w:rFonts w:eastAsia="宋体"/>
          <w:i/>
          <w:iCs/>
        </w:rPr>
        <w:t>Journal of advanced nursing</w:t>
      </w:r>
      <w:r>
        <w:rPr>
          <w:rFonts w:eastAsia="宋体"/>
          <w:lang w:eastAsia="zh-CN"/>
        </w:rPr>
        <w:t>, 39(3), pp.266-273.</w:t>
      </w:r>
    </w:p>
    <w:p>
      <w:pPr>
        <w:rPr>
          <w:rFonts w:eastAsia="宋体"/>
          <w:lang w:eastAsia="zh-CN"/>
        </w:rPr>
      </w:pPr>
    </w:p>
    <w:p>
      <w:pPr>
        <w:rPr>
          <w:lang w:eastAsia="zh-CN"/>
        </w:rPr>
      </w:pPr>
      <w:r>
        <w:rPr>
          <w:rFonts w:eastAsia="宋体"/>
          <w:color w:val="000000" w:themeColor="text1"/>
          <w14:textFill>
            <w14:solidFill>
              <w14:schemeClr w14:val="tx1"/>
            </w14:solidFill>
          </w14:textFill>
        </w:rPr>
        <w:t xml:space="preserve">Mueller, </w:t>
      </w:r>
      <w:r>
        <w:rPr>
          <w:rFonts w:eastAsia="宋体"/>
          <w:color w:val="000000" w:themeColor="text1"/>
          <w:lang w:eastAsia="zh-CN"/>
          <w14:textFill>
            <w14:solidFill>
              <w14:schemeClr w14:val="tx1"/>
            </w14:solidFill>
          </w14:textFill>
        </w:rPr>
        <w:t xml:space="preserve">A. E., and </w:t>
      </w:r>
      <w:r>
        <w:fldChar w:fldCharType="begin"/>
      </w:r>
      <w:r>
        <w:instrText xml:space="preserve"> HYPERLINK "https://scholar.lanfanshu.cn/citations?user=h-irCvIAAAAJ&amp;hl=zh-CN&amp;oi=sra" </w:instrText>
      </w:r>
      <w:r>
        <w:fldChar w:fldCharType="separate"/>
      </w:r>
      <w:r>
        <w:rPr>
          <w:rStyle w:val="14"/>
          <w:rFonts w:eastAsia="宋体"/>
          <w:color w:val="000000" w:themeColor="text1"/>
          <w:u w:val="none"/>
          <w14:textFill>
            <w14:solidFill>
              <w14:schemeClr w14:val="tx1"/>
            </w14:solidFill>
          </w14:textFill>
        </w:rPr>
        <w:t>Segal</w:t>
      </w:r>
      <w:r>
        <w:rPr>
          <w:rStyle w:val="14"/>
          <w:rFonts w:eastAsia="宋体"/>
          <w:color w:val="000000" w:themeColor="text1"/>
          <w:u w:val="none"/>
          <w14:textFill>
            <w14:solidFill>
              <w14:schemeClr w14:val="tx1"/>
            </w14:solidFill>
          </w14:textFill>
        </w:rPr>
        <w:fldChar w:fldCharType="end"/>
      </w:r>
      <w:r>
        <w:rPr>
          <w:rFonts w:eastAsia="宋体"/>
          <w:color w:val="000000" w:themeColor="text1"/>
          <w:lang w:eastAsia="zh-CN"/>
          <w14:textFill>
            <w14:solidFill>
              <w14:schemeClr w14:val="tx1"/>
            </w14:solidFill>
          </w14:textFill>
        </w:rPr>
        <w:t>, D. L. (2015) ‘</w:t>
      </w:r>
      <w:r>
        <w:fldChar w:fldCharType="begin"/>
      </w:r>
      <w:r>
        <w:instrText xml:space="preserve"> HYPERLINK "https://www.researchgate.net/profile/Daniel-Segal-6/publication/313966231_Structured_versus_Semistructured_versus_Unstructured_Interviews/links/599a13bcaca272e41d3ec727/Structured-versus-Semistructured-versus-Unstructured-Interviews.pdf" \t "https://scholar.lanfanshu.cn/_blank" </w:instrText>
      </w:r>
      <w:r>
        <w:fldChar w:fldCharType="separate"/>
      </w:r>
      <w:r>
        <w:rPr>
          <w:rStyle w:val="14"/>
          <w:color w:val="000000" w:themeColor="text1"/>
          <w:u w:val="none"/>
          <w14:textFill>
            <w14:solidFill>
              <w14:schemeClr w14:val="tx1"/>
            </w14:solidFill>
          </w14:textFill>
        </w:rPr>
        <w:t>Structured versus semistructured versus unstructured interviews</w:t>
      </w:r>
      <w:r>
        <w:rPr>
          <w:rStyle w:val="14"/>
          <w:color w:val="000000" w:themeColor="text1"/>
          <w:u w:val="none"/>
          <w14:textFill>
            <w14:solidFill>
              <w14:schemeClr w14:val="tx1"/>
            </w14:solidFill>
          </w14:textFill>
        </w:rPr>
        <w:fldChar w:fldCharType="end"/>
      </w:r>
      <w:r>
        <w:rPr>
          <w:color w:val="000000" w:themeColor="text1"/>
          <w:lang w:eastAsia="zh-CN"/>
          <w14:textFill>
            <w14:solidFill>
              <w14:schemeClr w14:val="tx1"/>
            </w14:solidFill>
          </w14:textFill>
        </w:rPr>
        <w:t xml:space="preserve">’, </w:t>
      </w:r>
      <w:r>
        <w:rPr>
          <w:rFonts w:eastAsia="宋体"/>
          <w:i/>
          <w:iCs/>
        </w:rPr>
        <w:t>The Encyclopedia of Clinical Psychology</w:t>
      </w:r>
      <w:r>
        <w:rPr>
          <w:lang w:eastAsia="zh-CN"/>
        </w:rPr>
        <w:t xml:space="preserve">, </w:t>
      </w:r>
    </w:p>
    <w:p>
      <w:pPr>
        <w:rPr>
          <w:lang w:eastAsia="zh-CN"/>
        </w:rPr>
      </w:pPr>
    </w:p>
    <w:p>
      <w:pPr>
        <w:rPr>
          <w:rFonts w:eastAsia="宋体"/>
        </w:rPr>
      </w:pPr>
      <w:r>
        <w:rPr>
          <w:rFonts w:eastAsia="宋体"/>
        </w:rPr>
        <w:t>Mason</w:t>
      </w:r>
      <w:r>
        <w:rPr>
          <w:rFonts w:eastAsia="宋体"/>
          <w:lang w:eastAsia="zh-CN"/>
        </w:rPr>
        <w:t>,</w:t>
      </w:r>
      <w:r>
        <w:rPr>
          <w:rFonts w:eastAsia="宋体"/>
        </w:rPr>
        <w:t xml:space="preserve"> J. (2004) Semistructured interview. In The SAGE Encyclopedia of Social Science Research Methods ( M.S. Lewis-Beck, A. Bryman &amp; E. Futin Liao, eds), SAGE, Thousand Oaks, London, pp. 1021– 1022.</w:t>
      </w:r>
    </w:p>
    <w:p>
      <w:pPr>
        <w:rPr>
          <w:rFonts w:eastAsia="宋体"/>
        </w:rPr>
      </w:pPr>
    </w:p>
    <w:p>
      <w:pPr>
        <w:rPr>
          <w:rFonts w:eastAsia="宋体"/>
        </w:rPr>
      </w:pPr>
      <w:r>
        <w:rPr>
          <w:rFonts w:eastAsia="宋体"/>
        </w:rPr>
        <w:t>MIMIZUKA, H. (2008) Tackling Academic Achievement Gaps among Elementary Schools.</w:t>
      </w:r>
    </w:p>
    <w:p>
      <w:pPr>
        <w:rPr>
          <w:rFonts w:eastAsia="宋体"/>
        </w:rPr>
      </w:pPr>
    </w:p>
    <w:p>
      <w:pPr>
        <w:rPr>
          <w:rFonts w:eastAsia="宋体"/>
        </w:rPr>
      </w:pPr>
      <w:r>
        <w:rPr>
          <w:rFonts w:eastAsia="宋体"/>
        </w:rPr>
        <w:t>Nachmias</w:t>
      </w:r>
      <w:r>
        <w:rPr>
          <w:rFonts w:eastAsia="宋体"/>
          <w:lang w:eastAsia="zh-CN"/>
        </w:rPr>
        <w:t xml:space="preserve">, </w:t>
      </w:r>
      <w:r>
        <w:rPr>
          <w:rFonts w:eastAsia="宋体"/>
        </w:rPr>
        <w:t>C.F.</w:t>
      </w:r>
      <w:r>
        <w:rPr>
          <w:rFonts w:eastAsia="宋体"/>
          <w:lang w:eastAsia="zh-CN"/>
        </w:rPr>
        <w:t>, and</w:t>
      </w:r>
      <w:r>
        <w:rPr>
          <w:rFonts w:eastAsia="宋体"/>
        </w:rPr>
        <w:t xml:space="preserve"> Nachmias</w:t>
      </w:r>
      <w:r>
        <w:rPr>
          <w:rFonts w:eastAsia="宋体"/>
          <w:lang w:eastAsia="zh-CN"/>
        </w:rPr>
        <w:t xml:space="preserve">. </w:t>
      </w:r>
      <w:r>
        <w:rPr>
          <w:rFonts w:eastAsia="宋体"/>
        </w:rPr>
        <w:t xml:space="preserve">D.，Research Methods in the Social Science </w:t>
      </w:r>
      <w:r>
        <w:rPr>
          <w:rFonts w:eastAsia="宋体"/>
          <w:lang w:eastAsia="zh-CN"/>
        </w:rPr>
        <w:t>(</w:t>
      </w:r>
      <w:r>
        <w:rPr>
          <w:rFonts w:eastAsia="宋体"/>
        </w:rPr>
        <w:t>6th ed</w:t>
      </w:r>
      <w:r>
        <w:rPr>
          <w:rFonts w:eastAsia="宋体"/>
          <w:lang w:eastAsia="zh-CN"/>
        </w:rPr>
        <w:t xml:space="preserve">), </w:t>
      </w:r>
      <w:r>
        <w:rPr>
          <w:rFonts w:eastAsia="宋体"/>
        </w:rPr>
        <w:t>Longdon：Worth Publishers</w:t>
      </w:r>
      <w:r>
        <w:rPr>
          <w:rFonts w:eastAsia="宋体"/>
          <w:lang w:eastAsia="zh-CN"/>
        </w:rPr>
        <w:t>,</w:t>
      </w:r>
      <w:r>
        <w:rPr>
          <w:rFonts w:eastAsia="宋体"/>
        </w:rPr>
        <w:t xml:space="preserve"> 2000</w:t>
      </w:r>
      <w:r>
        <w:rPr>
          <w:rFonts w:eastAsia="宋体"/>
          <w:lang w:eastAsia="zh-CN"/>
        </w:rPr>
        <w:t xml:space="preserve">, </w:t>
      </w:r>
      <w:r>
        <w:rPr>
          <w:rFonts w:eastAsia="宋体"/>
        </w:rPr>
        <w:t>p.257.</w:t>
      </w:r>
    </w:p>
    <w:p>
      <w:pPr>
        <w:rPr>
          <w:lang w:eastAsia="zh-CN"/>
        </w:rPr>
      </w:pPr>
    </w:p>
    <w:p>
      <w:pPr>
        <w:rPr>
          <w:rFonts w:eastAsia="宋体"/>
        </w:rPr>
      </w:pPr>
      <w:r>
        <w:rPr>
          <w:rFonts w:eastAsia="宋体"/>
        </w:rPr>
        <w:t xml:space="preserve">Oller, A. C., </w:t>
      </w:r>
      <w:r>
        <w:rPr>
          <w:rFonts w:eastAsia="宋体"/>
          <w:lang w:eastAsia="zh-CN"/>
        </w:rPr>
        <w:t>anf</w:t>
      </w:r>
      <w:r>
        <w:rPr>
          <w:rFonts w:eastAsia="宋体"/>
        </w:rPr>
        <w:t xml:space="preserve"> Glasman, D. (2013)</w:t>
      </w:r>
      <w:r>
        <w:rPr>
          <w:rFonts w:eastAsia="宋体"/>
          <w:lang w:eastAsia="zh-CN"/>
        </w:rPr>
        <w:t xml:space="preserve"> ‘</w:t>
      </w:r>
      <w:r>
        <w:rPr>
          <w:rFonts w:eastAsia="宋体"/>
        </w:rPr>
        <w:t>Education as a market in France: Forms and stakes of private tutoring</w:t>
      </w:r>
      <w:r>
        <w:rPr>
          <w:rFonts w:eastAsia="宋体"/>
          <w:lang w:eastAsia="zh-CN"/>
        </w:rPr>
        <w:t xml:space="preserve">’, </w:t>
      </w:r>
      <w:r>
        <w:rPr>
          <w:rFonts w:eastAsia="宋体"/>
        </w:rPr>
        <w:t xml:space="preserve">In </w:t>
      </w:r>
      <w:r>
        <w:rPr>
          <w:rFonts w:eastAsia="宋体"/>
          <w:i/>
          <w:iCs/>
        </w:rPr>
        <w:t>Private tutoring across the Mediterranean</w:t>
      </w:r>
      <w:r>
        <w:rPr>
          <w:rFonts w:eastAsia="宋体"/>
        </w:rPr>
        <w:t xml:space="preserve"> (pp. 77-91). Brill Sense.</w:t>
      </w:r>
    </w:p>
    <w:p>
      <w:pPr>
        <w:rPr>
          <w:rFonts w:eastAsia="宋体"/>
        </w:rPr>
      </w:pPr>
    </w:p>
    <w:p>
      <w:pPr>
        <w:rPr>
          <w:rFonts w:eastAsia="宋体"/>
          <w:lang w:eastAsia="zh-CN"/>
        </w:rPr>
      </w:pPr>
      <w:r>
        <w:rPr>
          <w:rFonts w:eastAsia="宋体"/>
        </w:rPr>
        <w:t xml:space="preserve">Opdenakker, R. (2006). Advantages and disadvantages of four interview techniques in qualitative research. In </w:t>
      </w:r>
      <w:r>
        <w:rPr>
          <w:rFonts w:eastAsia="宋体"/>
          <w:i/>
          <w:iCs/>
        </w:rPr>
        <w:t>Forum qualitative sozialforschung/forum: Qualitative social research</w:t>
      </w:r>
      <w:r>
        <w:rPr>
          <w:rFonts w:eastAsia="宋体"/>
          <w:i/>
          <w:iCs/>
          <w:lang w:eastAsia="zh-CN"/>
        </w:rPr>
        <w:t>,</w:t>
      </w:r>
      <w:r>
        <w:rPr>
          <w:rFonts w:eastAsia="宋体"/>
        </w:rPr>
        <w:t xml:space="preserve"> </w:t>
      </w:r>
      <w:r>
        <w:rPr>
          <w:rFonts w:eastAsia="宋体"/>
          <w:lang w:eastAsia="zh-CN"/>
        </w:rPr>
        <w:t>7(</w:t>
      </w:r>
      <w:r>
        <w:rPr>
          <w:rFonts w:eastAsia="宋体"/>
        </w:rPr>
        <w:t>4)</w:t>
      </w:r>
      <w:r>
        <w:rPr>
          <w:rFonts w:eastAsia="宋体"/>
          <w:lang w:eastAsia="zh-CN"/>
        </w:rPr>
        <w:t>.</w:t>
      </w:r>
    </w:p>
    <w:p>
      <w:pPr>
        <w:rPr>
          <w:rFonts w:eastAsia="宋体"/>
        </w:rPr>
      </w:pPr>
    </w:p>
    <w:p>
      <w:pPr>
        <w:rPr>
          <w:rFonts w:eastAsia="宋体"/>
        </w:rPr>
      </w:pPr>
    </w:p>
    <w:p>
      <w:pPr>
        <w:rPr>
          <w:rFonts w:eastAsia="宋体"/>
          <w:lang w:eastAsia="zh-CN"/>
        </w:rPr>
      </w:pPr>
      <w:r>
        <w:rPr>
          <w:rFonts w:eastAsia="宋体"/>
          <w:lang w:eastAsia="zh-CN"/>
        </w:rPr>
        <w:t>Pan, D. D., and Wang, M. (2020) ‘</w:t>
      </w:r>
      <w:r>
        <w:rPr>
          <w:rFonts w:eastAsia="宋体"/>
        </w:rPr>
        <w:t>The evolution and reflection of my country's shadow education since the reform and opening up</w:t>
      </w:r>
      <w:r>
        <w:rPr>
          <w:rFonts w:eastAsia="宋体"/>
          <w:lang w:eastAsia="zh-CN"/>
        </w:rPr>
        <w:t>’,</w:t>
      </w:r>
      <w:r>
        <w:rPr>
          <w:rFonts w:eastAsia="宋体"/>
          <w:i/>
          <w:iCs/>
          <w:lang w:eastAsia="zh-CN"/>
        </w:rPr>
        <w:t xml:space="preserve"> </w:t>
      </w:r>
      <w:r>
        <w:rPr>
          <w:rFonts w:eastAsia="宋体"/>
          <w:i/>
          <w:iCs/>
        </w:rPr>
        <w:t>EDUCATION RESEARCH MONTHLY</w:t>
      </w:r>
      <w:r>
        <w:rPr>
          <w:rFonts w:eastAsia="宋体"/>
          <w:i/>
          <w:iCs/>
          <w:lang w:eastAsia="zh-CN"/>
        </w:rPr>
        <w:t xml:space="preserve">, </w:t>
      </w:r>
      <w:r>
        <w:rPr>
          <w:rFonts w:eastAsia="宋体"/>
          <w:lang w:eastAsia="zh-CN"/>
        </w:rPr>
        <w:t>37(9), pp.12-18.</w:t>
      </w:r>
    </w:p>
    <w:p>
      <w:pPr>
        <w:rPr>
          <w:rFonts w:eastAsia="宋体"/>
          <w:lang w:eastAsia="zh-CN"/>
        </w:rPr>
      </w:pPr>
    </w:p>
    <w:p>
      <w:pPr>
        <w:rPr>
          <w:rFonts w:eastAsia="宋体"/>
          <w:i/>
          <w:iCs/>
          <w:lang w:eastAsia="zh-CN"/>
        </w:rPr>
      </w:pPr>
      <w:r>
        <w:rPr>
          <w:rFonts w:eastAsia="宋体"/>
          <w:lang w:eastAsia="zh-CN"/>
        </w:rPr>
        <w:t xml:space="preserve">Peng, P. (2008) ‘Shadow Education: Foreign Research on Private Tutoring and Its Inspiration’, </w:t>
      </w:r>
      <w:r>
        <w:rPr>
          <w:rFonts w:eastAsia="宋体"/>
          <w:i/>
          <w:iCs/>
          <w:lang w:eastAsia="zh-CN"/>
        </w:rPr>
        <w:t>Comparative Education Review,</w:t>
      </w:r>
      <w:r>
        <w:rPr>
          <w:rFonts w:eastAsia="宋体"/>
          <w:lang w:eastAsia="zh-CN"/>
        </w:rPr>
        <w:t xml:space="preserve"> 216(1), pp.61-65.</w:t>
      </w:r>
    </w:p>
    <w:p>
      <w:pPr>
        <w:rPr>
          <w:rFonts w:eastAsia="宋体"/>
          <w:lang w:eastAsia="zh-CN"/>
        </w:rPr>
      </w:pPr>
      <w:r>
        <w:rPr>
          <w:rFonts w:eastAsia="宋体"/>
          <w:lang w:eastAsia="zh-CN"/>
        </w:rPr>
        <w:t>Qu, Y., and Xue, H. P. (2015) ‘</w:t>
      </w:r>
      <w:r>
        <w:rPr>
          <w:rFonts w:eastAsia="宋体"/>
        </w:rPr>
        <w:t>A Study on the Private Cost of Extracurricular Tuition in my country's Compulsory Education</w:t>
      </w:r>
      <w:r>
        <w:rPr>
          <w:rFonts w:eastAsia="宋体"/>
          <w:lang w:eastAsia="zh-CN"/>
        </w:rPr>
        <w:t xml:space="preserve">’, </w:t>
      </w:r>
      <w:r>
        <w:rPr>
          <w:rFonts w:eastAsia="宋体"/>
          <w:i/>
          <w:iCs/>
        </w:rPr>
        <w:t>Shanghai Educational Research</w:t>
      </w:r>
      <w:r>
        <w:rPr>
          <w:rFonts w:eastAsia="宋体"/>
          <w:lang w:eastAsia="zh-CN"/>
        </w:rPr>
        <w:t>, 4, pp.21-26.</w:t>
      </w:r>
    </w:p>
    <w:p>
      <w:pPr>
        <w:rPr>
          <w:rFonts w:eastAsia="宋体"/>
          <w:lang w:eastAsia="zh-CN"/>
        </w:rPr>
      </w:pPr>
    </w:p>
    <w:p>
      <w:pPr>
        <w:rPr>
          <w:rFonts w:eastAsia="宋体"/>
          <w:lang w:eastAsia="zh-CN"/>
        </w:rPr>
      </w:pPr>
      <w:r>
        <w:rPr>
          <w:rFonts w:eastAsia="宋体"/>
          <w:lang w:eastAsia="zh-CN"/>
        </w:rPr>
        <w:t>Qiao, Y. X., and Li, J. (2021) ‘</w:t>
      </w:r>
      <w:r>
        <w:rPr>
          <w:rFonts w:eastAsia="sans-serif"/>
        </w:rPr>
        <w:t>Institutional Factors of "Involution" of Rural Basic Education</w:t>
      </w:r>
      <w:r>
        <w:rPr>
          <w:rFonts w:eastAsia="宋体"/>
          <w:lang w:eastAsia="zh-CN"/>
        </w:rPr>
        <w:t xml:space="preserve">’, </w:t>
      </w:r>
      <w:r>
        <w:rPr>
          <w:rFonts w:eastAsia="宋体"/>
          <w:i/>
          <w:iCs/>
          <w:lang w:eastAsia="zh-CN"/>
        </w:rPr>
        <w:t>Contemporary Educational Sciences</w:t>
      </w:r>
      <w:r>
        <w:rPr>
          <w:rFonts w:eastAsia="宋体"/>
          <w:lang w:eastAsia="zh-CN"/>
        </w:rPr>
        <w:t>, 2, pp.59-66.</w:t>
      </w:r>
    </w:p>
    <w:p>
      <w:pPr>
        <w:rPr>
          <w:rFonts w:eastAsia="宋体"/>
          <w:lang w:eastAsia="zh-CN"/>
        </w:rPr>
      </w:pPr>
    </w:p>
    <w:p>
      <w:pPr>
        <w:rPr>
          <w:rFonts w:eastAsia="宋体"/>
          <w:lang w:eastAsia="zh-CN"/>
        </w:rPr>
      </w:pPr>
      <w:r>
        <w:rPr>
          <w:rFonts w:eastAsia="宋体"/>
        </w:rPr>
        <w:t xml:space="preserve">Queirós, A., Faria, D., </w:t>
      </w:r>
      <w:r>
        <w:rPr>
          <w:rFonts w:eastAsia="宋体"/>
          <w:lang w:eastAsia="zh-CN"/>
        </w:rPr>
        <w:t>and</w:t>
      </w:r>
      <w:r>
        <w:rPr>
          <w:rFonts w:eastAsia="宋体"/>
        </w:rPr>
        <w:t xml:space="preserve"> Almeida, F. (2017) </w:t>
      </w:r>
      <w:r>
        <w:rPr>
          <w:rFonts w:eastAsia="宋体"/>
          <w:lang w:eastAsia="zh-CN"/>
        </w:rPr>
        <w:t>‘</w:t>
      </w:r>
      <w:r>
        <w:rPr>
          <w:rFonts w:eastAsia="宋体"/>
        </w:rPr>
        <w:t>Strengths and limitations of qualitative and quantitative research methods.</w:t>
      </w:r>
      <w:r>
        <w:rPr>
          <w:rFonts w:eastAsia="宋体"/>
          <w:lang w:eastAsia="zh-CN"/>
        </w:rPr>
        <w:t>’,</w:t>
      </w:r>
      <w:r>
        <w:rPr>
          <w:rFonts w:eastAsia="宋体"/>
          <w:i/>
          <w:iCs/>
        </w:rPr>
        <w:t>European journal of education studies</w:t>
      </w:r>
      <w:r>
        <w:rPr>
          <w:rFonts w:eastAsia="宋体"/>
          <w:i/>
          <w:iCs/>
          <w:lang w:eastAsia="zh-CN"/>
        </w:rPr>
        <w:t xml:space="preserve">, </w:t>
      </w:r>
      <w:r>
        <w:rPr>
          <w:rFonts w:eastAsia="宋体"/>
          <w:lang w:eastAsia="zh-CN"/>
        </w:rPr>
        <w:t>3(9), pp.369-386.</w:t>
      </w:r>
    </w:p>
    <w:p>
      <w:pPr>
        <w:rPr>
          <w:rFonts w:eastAsia="宋体"/>
          <w:lang w:eastAsia="zh-CN"/>
        </w:rPr>
      </w:pPr>
    </w:p>
    <w:p>
      <w:pPr>
        <w:rPr>
          <w:rFonts w:eastAsia="宋体"/>
          <w:i/>
          <w:iCs/>
          <w:color w:val="222222"/>
          <w:shd w:val="clear" w:color="auto" w:fill="FFFFFF"/>
          <w:lang w:eastAsia="zh-CN"/>
        </w:rPr>
      </w:pPr>
      <w:r>
        <w:rPr>
          <w:rFonts w:eastAsia="宋体"/>
        </w:rPr>
        <w:t xml:space="preserve">Randolph, J. (2009) </w:t>
      </w:r>
      <w:r>
        <w:rPr>
          <w:rFonts w:eastAsia="宋体"/>
          <w:lang w:eastAsia="zh-CN"/>
        </w:rPr>
        <w:t>‘</w:t>
      </w:r>
      <w:r>
        <w:rPr>
          <w:rFonts w:eastAsia="宋体"/>
        </w:rPr>
        <w:t>A guide to writing the dissertation literature review</w:t>
      </w:r>
      <w:r>
        <w:rPr>
          <w:rFonts w:eastAsia="宋体"/>
          <w:lang w:eastAsia="zh-CN"/>
        </w:rPr>
        <w:t>’,</w:t>
      </w:r>
      <w:r>
        <w:rPr>
          <w:rFonts w:eastAsia="宋体"/>
        </w:rPr>
        <w:t xml:space="preserve"> </w:t>
      </w:r>
      <w:r>
        <w:rPr>
          <w:rFonts w:eastAsia="宋体"/>
          <w:i/>
          <w:iCs/>
        </w:rPr>
        <w:t>Practical Assessment, Research, and Evaluation</w:t>
      </w:r>
      <w:r>
        <w:rPr>
          <w:rFonts w:eastAsia="宋体"/>
        </w:rPr>
        <w:t xml:space="preserve">, 14(1), </w:t>
      </w:r>
      <w:r>
        <w:rPr>
          <w:rFonts w:eastAsia="宋体"/>
          <w:lang w:eastAsia="zh-CN"/>
        </w:rPr>
        <w:t>pp.1-</w:t>
      </w:r>
      <w:r>
        <w:rPr>
          <w:rFonts w:eastAsia="宋体"/>
        </w:rPr>
        <w:t>13.</w:t>
      </w:r>
    </w:p>
    <w:p>
      <w:pPr>
        <w:rPr>
          <w:rFonts w:eastAsia="宋体"/>
          <w:lang w:eastAsia="zh-CN"/>
        </w:rPr>
      </w:pPr>
    </w:p>
    <w:p>
      <w:pPr>
        <w:rPr>
          <w:rFonts w:eastAsia="serif"/>
        </w:rPr>
      </w:pPr>
      <w:r>
        <w:rPr>
          <w:rFonts w:eastAsia="serif"/>
        </w:rPr>
        <w:t>Roesgaard, M. H. (2006). Japanese education and the cram school</w:t>
      </w:r>
      <w:r>
        <w:rPr>
          <w:rFonts w:eastAsia="宋体"/>
          <w:lang w:eastAsia="zh-CN"/>
        </w:rPr>
        <w:t xml:space="preserve"> </w:t>
      </w:r>
      <w:r>
        <w:rPr>
          <w:rFonts w:eastAsia="serif"/>
        </w:rPr>
        <w:t>business: Functions, challenges and perspectives of the Juku.</w:t>
      </w:r>
      <w:r>
        <w:rPr>
          <w:rFonts w:eastAsia="宋体"/>
          <w:lang w:eastAsia="zh-CN"/>
        </w:rPr>
        <w:t xml:space="preserve"> </w:t>
      </w:r>
      <w:r>
        <w:rPr>
          <w:rFonts w:eastAsia="serif"/>
        </w:rPr>
        <w:t>Copenhagen: NIAS Press.</w:t>
      </w:r>
    </w:p>
    <w:p>
      <w:pPr>
        <w:rPr>
          <w:rFonts w:eastAsia="serif"/>
          <w:lang w:eastAsia="zh-CN"/>
        </w:rPr>
      </w:pPr>
    </w:p>
    <w:p>
      <w:pPr>
        <w:rPr>
          <w:rFonts w:eastAsia="serif"/>
        </w:rPr>
      </w:pPr>
      <w:r>
        <w:rPr>
          <w:rFonts w:eastAsia="serif"/>
        </w:rPr>
        <w:t>Russell, N. U. (2002). The role of the private sector in determining national</w:t>
      </w:r>
      <w:r>
        <w:rPr>
          <w:rFonts w:eastAsia="宋体"/>
          <w:lang w:eastAsia="zh-CN"/>
        </w:rPr>
        <w:t xml:space="preserve"> </w:t>
      </w:r>
      <w:r>
        <w:rPr>
          <w:rFonts w:eastAsia="serif"/>
        </w:rPr>
        <w:t>standards: How Juku undermine Japanese educational authority. In G.</w:t>
      </w:r>
      <w:r>
        <w:rPr>
          <w:rFonts w:eastAsia="宋体"/>
          <w:lang w:eastAsia="zh-CN"/>
        </w:rPr>
        <w:t xml:space="preserve"> </w:t>
      </w:r>
      <w:r>
        <w:rPr>
          <w:rFonts w:eastAsia="serif"/>
        </w:rPr>
        <w:t>Decoker (Ed.),</w:t>
      </w:r>
      <w:r>
        <w:rPr>
          <w:rFonts w:eastAsia="宋体"/>
          <w:lang w:eastAsia="zh-CN"/>
        </w:rPr>
        <w:t xml:space="preserve"> </w:t>
      </w:r>
      <w:r>
        <w:rPr>
          <w:rFonts w:eastAsia="serif"/>
        </w:rPr>
        <w:t>National standards and school reform in Japan and</w:t>
      </w:r>
      <w:r>
        <w:rPr>
          <w:rFonts w:eastAsia="宋体"/>
          <w:lang w:eastAsia="zh-CN"/>
        </w:rPr>
        <w:t xml:space="preserve"> </w:t>
      </w:r>
      <w:r>
        <w:rPr>
          <w:rFonts w:eastAsia="serif"/>
        </w:rPr>
        <w:t>the United States. New York: Teachers College Press.</w:t>
      </w:r>
    </w:p>
    <w:p>
      <w:pPr>
        <w:rPr>
          <w:rFonts w:eastAsia="serif"/>
        </w:rPr>
      </w:pPr>
    </w:p>
    <w:p>
      <w:pPr>
        <w:rPr>
          <w:rFonts w:eastAsia="宋体"/>
          <w:lang w:eastAsia="zh-CN"/>
        </w:rPr>
      </w:pPr>
      <w:r>
        <w:rPr>
          <w:rFonts w:eastAsia="宋体"/>
        </w:rPr>
        <w:t xml:space="preserve">Rashidi, M. N., Begum, R. A., Mokhtar, M., </w:t>
      </w:r>
      <w:r>
        <w:rPr>
          <w:rFonts w:eastAsia="宋体"/>
          <w:lang w:eastAsia="zh-CN"/>
        </w:rPr>
        <w:t>and</w:t>
      </w:r>
      <w:r>
        <w:rPr>
          <w:rFonts w:eastAsia="宋体"/>
        </w:rPr>
        <w:t xml:space="preserve"> Pereira, J. J. (2014). The conduct of structured interviews as research implementation method. </w:t>
      </w:r>
      <w:r>
        <w:rPr>
          <w:rFonts w:eastAsia="宋体"/>
          <w:i/>
          <w:iCs/>
        </w:rPr>
        <w:t>Journal of Advanced Research Design</w:t>
      </w:r>
      <w:r>
        <w:rPr>
          <w:rFonts w:eastAsia="宋体"/>
        </w:rPr>
        <w:t xml:space="preserve">, 1(1), </w:t>
      </w:r>
      <w:r>
        <w:rPr>
          <w:rFonts w:eastAsia="宋体"/>
          <w:lang w:eastAsia="zh-CN"/>
        </w:rPr>
        <w:t>pp.</w:t>
      </w:r>
      <w:r>
        <w:rPr>
          <w:rFonts w:eastAsia="宋体"/>
        </w:rPr>
        <w:t>28-34.</w:t>
      </w:r>
    </w:p>
    <w:p>
      <w:pPr>
        <w:rPr>
          <w:rFonts w:eastAsia="serif"/>
          <w:lang w:eastAsia="zh-CN"/>
        </w:rPr>
      </w:pPr>
    </w:p>
    <w:p>
      <w:pPr>
        <w:rPr>
          <w:rFonts w:eastAsia="宋体"/>
        </w:rPr>
      </w:pPr>
      <w:r>
        <w:rPr>
          <w:rFonts w:eastAsia="宋体"/>
        </w:rPr>
        <w:t xml:space="preserve">RWJF (Robert Wood Johnson Foundation) (2008) Semi-structured Interviews. Retrieved from </w:t>
      </w:r>
      <w:r>
        <w:fldChar w:fldCharType="begin"/>
      </w:r>
      <w:r>
        <w:instrText xml:space="preserve"> HYPERLINK "http://www.qualres.org/HomeSemi-3629.html" </w:instrText>
      </w:r>
      <w:r>
        <w:fldChar w:fldCharType="separate"/>
      </w:r>
      <w:r>
        <w:rPr>
          <w:rStyle w:val="14"/>
          <w:rFonts w:eastAsia="宋体"/>
          <w:color w:val="auto"/>
          <w:u w:val="none"/>
        </w:rPr>
        <w:t>http://www.qualres.org/HomeSemi-3629.html</w:t>
      </w:r>
      <w:r>
        <w:rPr>
          <w:rStyle w:val="14"/>
          <w:rFonts w:eastAsia="宋体"/>
          <w:color w:val="auto"/>
          <w:u w:val="none"/>
        </w:rPr>
        <w:fldChar w:fldCharType="end"/>
      </w:r>
      <w:r>
        <w:rPr>
          <w:rFonts w:eastAsia="宋体"/>
        </w:rPr>
        <w:t xml:space="preserve"> on 16 April 2015.</w:t>
      </w:r>
    </w:p>
    <w:p>
      <w:pPr>
        <w:rPr>
          <w:rFonts w:eastAsia="宋体"/>
        </w:rPr>
      </w:pPr>
    </w:p>
    <w:p>
      <w:pPr>
        <w:rPr>
          <w:rFonts w:eastAsia="宋体"/>
        </w:rPr>
      </w:pPr>
      <w:r>
        <w:rPr>
          <w:rFonts w:eastAsia="宋体"/>
        </w:rPr>
        <w:t>Rubin</w:t>
      </w:r>
      <w:r>
        <w:rPr>
          <w:rFonts w:eastAsia="宋体"/>
          <w:lang w:eastAsia="zh-CN"/>
        </w:rPr>
        <w:t>,</w:t>
      </w:r>
      <w:r>
        <w:rPr>
          <w:rFonts w:eastAsia="宋体"/>
        </w:rPr>
        <w:t xml:space="preserve"> H.</w:t>
      </w:r>
      <w:r>
        <w:rPr>
          <w:rFonts w:eastAsia="宋体"/>
          <w:lang w:eastAsia="zh-CN"/>
        </w:rPr>
        <w:t xml:space="preserve">, </w:t>
      </w:r>
      <w:r>
        <w:rPr>
          <w:rFonts w:eastAsia="宋体"/>
        </w:rPr>
        <w:t>J.</w:t>
      </w:r>
      <w:r>
        <w:rPr>
          <w:rFonts w:eastAsia="宋体"/>
          <w:lang w:eastAsia="zh-CN"/>
        </w:rPr>
        <w:t>,</w:t>
      </w:r>
      <w:r>
        <w:rPr>
          <w:rFonts w:eastAsia="宋体"/>
        </w:rPr>
        <w:t xml:space="preserve"> </w:t>
      </w:r>
      <w:r>
        <w:rPr>
          <w:rFonts w:eastAsia="宋体"/>
          <w:lang w:eastAsia="zh-CN"/>
        </w:rPr>
        <w:t>and</w:t>
      </w:r>
      <w:r>
        <w:rPr>
          <w:rFonts w:eastAsia="宋体"/>
        </w:rPr>
        <w:t xml:space="preserve"> Rubin</w:t>
      </w:r>
      <w:r>
        <w:rPr>
          <w:rFonts w:eastAsia="宋体"/>
          <w:lang w:eastAsia="zh-CN"/>
        </w:rPr>
        <w:t>,</w:t>
      </w:r>
      <w:r>
        <w:rPr>
          <w:rFonts w:eastAsia="宋体"/>
        </w:rPr>
        <w:t xml:space="preserve"> I.</w:t>
      </w:r>
      <w:r>
        <w:rPr>
          <w:rFonts w:eastAsia="宋体"/>
          <w:lang w:eastAsia="zh-CN"/>
        </w:rPr>
        <w:t xml:space="preserve">, </w:t>
      </w:r>
      <w:r>
        <w:rPr>
          <w:rFonts w:eastAsia="宋体"/>
        </w:rPr>
        <w:t>S. (2005) Qualitative Interviewing: The Art of Hearing the Data, 2ndedn. SAGE, Thousand Oaks, CA.</w:t>
      </w:r>
    </w:p>
    <w:p>
      <w:pPr>
        <w:rPr>
          <w:rFonts w:eastAsia="宋体"/>
        </w:rPr>
      </w:pPr>
    </w:p>
    <w:p>
      <w:pPr>
        <w:rPr>
          <w:rFonts w:eastAsia="宋体"/>
          <w:lang w:eastAsia="zh-CN"/>
        </w:rPr>
      </w:pPr>
      <w:r>
        <w:rPr>
          <w:rFonts w:eastAsia="宋体"/>
        </w:rPr>
        <w:t>Rahman, M. S. (20</w:t>
      </w:r>
      <w:r>
        <w:rPr>
          <w:rFonts w:eastAsia="宋体"/>
          <w:lang w:eastAsia="zh-CN"/>
        </w:rPr>
        <w:t>17</w:t>
      </w:r>
      <w:r>
        <w:rPr>
          <w:rFonts w:eastAsia="宋体"/>
        </w:rPr>
        <w:t xml:space="preserve">) </w:t>
      </w:r>
      <w:r>
        <w:rPr>
          <w:rFonts w:eastAsia="宋体"/>
          <w:lang w:eastAsia="zh-CN"/>
        </w:rPr>
        <w:t>‘</w:t>
      </w:r>
      <w:r>
        <w:rPr>
          <w:rFonts w:eastAsia="宋体"/>
        </w:rPr>
        <w:t>The advantages and disadvantages of using qualitative and quantitative approaches and methods in language “testing and assessment” research: A literature review</w:t>
      </w:r>
      <w:r>
        <w:rPr>
          <w:rFonts w:eastAsia="宋体"/>
          <w:lang w:eastAsia="zh-CN"/>
        </w:rPr>
        <w:t xml:space="preserve">’, </w:t>
      </w:r>
      <w:r>
        <w:rPr>
          <w:rFonts w:eastAsia="sans-serif"/>
          <w:i/>
          <w:iCs/>
        </w:rPr>
        <w:t>Journal of Education and Learning</w:t>
      </w:r>
      <w:r>
        <w:rPr>
          <w:rFonts w:eastAsia="宋体"/>
          <w:lang w:eastAsia="zh-CN"/>
        </w:rPr>
        <w:t>, 6(1), pp.102-112.</w:t>
      </w:r>
    </w:p>
    <w:p>
      <w:pPr>
        <w:rPr>
          <w:rFonts w:eastAsia="宋体"/>
        </w:rPr>
      </w:pPr>
    </w:p>
    <w:p>
      <w:pPr>
        <w:rPr>
          <w:rFonts w:eastAsia="宋体"/>
          <w:lang w:eastAsia="zh-CN"/>
        </w:rPr>
      </w:pPr>
      <w:r>
        <w:rPr>
          <w:rFonts w:eastAsia="宋体"/>
          <w:lang w:eastAsia="zh-CN"/>
        </w:rPr>
        <w:t>Song, H. S., and Xue, H. P. (2018) ‘</w:t>
      </w:r>
      <w:r>
        <w:rPr>
          <w:rFonts w:eastAsia="宋体"/>
        </w:rPr>
        <w:t>The Actuality，Hotspot and Problems of Shadow Education Ｒesearch in China</w:t>
      </w:r>
      <w:r>
        <w:rPr>
          <w:rFonts w:eastAsia="宋体"/>
          <w:lang w:eastAsia="zh-CN"/>
        </w:rPr>
        <w:t xml:space="preserve">’, </w:t>
      </w:r>
      <w:r>
        <w:rPr>
          <w:rFonts w:eastAsia="宋体"/>
          <w:i/>
          <w:iCs/>
        </w:rPr>
        <w:t>Modern Education Science</w:t>
      </w:r>
      <w:r>
        <w:rPr>
          <w:rFonts w:eastAsia="宋体"/>
          <w:lang w:eastAsia="zh-CN"/>
        </w:rPr>
        <w:t>, 12, pp.144-150.</w:t>
      </w:r>
    </w:p>
    <w:p>
      <w:pPr>
        <w:rPr>
          <w:rFonts w:eastAsia="宋体"/>
          <w:lang w:eastAsia="zh-CN"/>
        </w:rPr>
      </w:pPr>
      <w:r>
        <w:rPr>
          <w:rFonts w:eastAsia="宋体"/>
          <w:lang w:eastAsia="zh-CN"/>
        </w:rPr>
        <w:t>Sun, X. E. (2012) ‘</w:t>
      </w:r>
      <w:r>
        <w:rPr>
          <w:rFonts w:eastAsia="宋体"/>
        </w:rPr>
        <w:t>In － Depth Interview Research: Method and Techniques</w:t>
      </w:r>
      <w:r>
        <w:rPr>
          <w:rFonts w:eastAsia="宋体"/>
          <w:lang w:eastAsia="zh-CN"/>
        </w:rPr>
        <w:t xml:space="preserve">’, </w:t>
      </w:r>
      <w:r>
        <w:rPr>
          <w:rFonts w:eastAsia="宋体"/>
          <w:i/>
          <w:iCs/>
          <w:lang w:eastAsia="zh-CN"/>
        </w:rPr>
        <w:t>Journal of Xi'an Jiaotong University (Social Science Edition), 1</w:t>
      </w:r>
      <w:r>
        <w:rPr>
          <w:rFonts w:eastAsia="宋体"/>
          <w:lang w:eastAsia="zh-CN"/>
        </w:rPr>
        <w:t>13(3), pp.101-106.</w:t>
      </w:r>
    </w:p>
    <w:p>
      <w:pPr>
        <w:rPr>
          <w:rFonts w:eastAsia="宋体"/>
          <w:lang w:eastAsia="zh-CN"/>
        </w:rPr>
      </w:pPr>
    </w:p>
    <w:p>
      <w:pPr>
        <w:rPr>
          <w:rFonts w:eastAsia="宋体"/>
          <w:i/>
          <w:iCs/>
          <w:color w:val="222222"/>
          <w:shd w:val="clear" w:color="auto" w:fill="FFFFFF"/>
          <w:lang w:eastAsia="zh-CN"/>
        </w:rPr>
      </w:pPr>
      <w:r>
        <w:rPr>
          <w:rFonts w:eastAsia="宋体"/>
        </w:rPr>
        <w:t xml:space="preserve">Stevenson, D. L., </w:t>
      </w:r>
      <w:r>
        <w:rPr>
          <w:rFonts w:eastAsia="宋体"/>
          <w:lang w:eastAsia="zh-CN"/>
        </w:rPr>
        <w:t>and</w:t>
      </w:r>
      <w:r>
        <w:rPr>
          <w:rFonts w:eastAsia="宋体"/>
        </w:rPr>
        <w:t xml:space="preserve"> Baker, D. P. (1992) </w:t>
      </w:r>
      <w:r>
        <w:rPr>
          <w:rFonts w:eastAsia="宋体"/>
          <w:lang w:eastAsia="zh-CN"/>
        </w:rPr>
        <w:t>‘</w:t>
      </w:r>
      <w:r>
        <w:rPr>
          <w:rFonts w:eastAsia="宋体"/>
        </w:rPr>
        <w:t>Shadow education and allocation in formal schooling: Transition to university in Japan</w:t>
      </w:r>
      <w:r>
        <w:rPr>
          <w:rFonts w:eastAsia="宋体"/>
          <w:lang w:eastAsia="zh-CN"/>
        </w:rPr>
        <w:t>’,</w:t>
      </w:r>
      <w:r>
        <w:rPr>
          <w:rFonts w:eastAsia="宋体"/>
        </w:rPr>
        <w:t xml:space="preserve"> </w:t>
      </w:r>
      <w:r>
        <w:rPr>
          <w:rFonts w:eastAsia="宋体"/>
          <w:i/>
          <w:iCs/>
        </w:rPr>
        <w:t>American Journal of sociology</w:t>
      </w:r>
      <w:r>
        <w:rPr>
          <w:rFonts w:eastAsia="宋体"/>
        </w:rPr>
        <w:t xml:space="preserve">, </w:t>
      </w:r>
      <w:r>
        <w:rPr>
          <w:rFonts w:eastAsia="宋体"/>
          <w:i/>
          <w:iCs/>
        </w:rPr>
        <w:t>97</w:t>
      </w:r>
      <w:r>
        <w:rPr>
          <w:rFonts w:eastAsia="宋体"/>
        </w:rPr>
        <w:t xml:space="preserve">(6), </w:t>
      </w:r>
      <w:r>
        <w:rPr>
          <w:rFonts w:eastAsia="宋体"/>
          <w:lang w:eastAsia="zh-CN"/>
        </w:rPr>
        <w:t>pp.</w:t>
      </w:r>
      <w:r>
        <w:rPr>
          <w:rFonts w:eastAsia="宋体"/>
        </w:rPr>
        <w:t>1639-1657.</w:t>
      </w:r>
    </w:p>
    <w:p>
      <w:pPr>
        <w:rPr>
          <w:rFonts w:eastAsia="宋体"/>
          <w:lang w:eastAsia="zh-CN"/>
        </w:rPr>
      </w:pPr>
    </w:p>
    <w:p>
      <w:pPr>
        <w:rPr>
          <w:rFonts w:eastAsia="宋体"/>
          <w:lang w:eastAsia="zh-CN"/>
        </w:rPr>
      </w:pPr>
      <w:r>
        <w:rPr>
          <w:rFonts w:eastAsia="宋体"/>
          <w:lang w:eastAsia="zh-CN"/>
        </w:rPr>
        <w:t>Sato, T. (2010) ‘</w:t>
      </w:r>
      <w:r>
        <w:rPr>
          <w:rFonts w:eastAsia="宋体"/>
        </w:rPr>
        <w:t>Educational Inequality P roblem in Japan</w:t>
      </w:r>
      <w:r>
        <w:rPr>
          <w:rFonts w:eastAsia="宋体"/>
          <w:lang w:eastAsia="zh-CN"/>
        </w:rPr>
        <w:t xml:space="preserve">’, </w:t>
      </w:r>
      <w:r>
        <w:rPr>
          <w:rFonts w:eastAsia="宋体"/>
          <w:i/>
          <w:iCs/>
        </w:rPr>
        <w:t>Foreign Educational Economics Research</w:t>
      </w:r>
      <w:r>
        <w:rPr>
          <w:rFonts w:eastAsia="宋体"/>
          <w:lang w:eastAsia="zh-CN"/>
        </w:rPr>
        <w:t>, 2, pp.64-68.</w:t>
      </w:r>
    </w:p>
    <w:p>
      <w:pPr>
        <w:rPr>
          <w:rFonts w:eastAsia="宋体"/>
          <w:lang w:eastAsia="zh-CN"/>
        </w:rPr>
      </w:pPr>
    </w:p>
    <w:p>
      <w:pPr>
        <w:rPr>
          <w:rFonts w:eastAsia="宋体"/>
          <w:lang w:eastAsia="zh-CN" w:bidi="ar"/>
        </w:rPr>
      </w:pPr>
      <w:r>
        <w:rPr>
          <w:bCs/>
        </w:rPr>
        <w:t>Seiyama</w:t>
      </w:r>
      <w:r>
        <w:rPr>
          <w:bCs/>
          <w:lang w:eastAsia="zh-CN"/>
        </w:rPr>
        <w:t xml:space="preserve">, K. (1981) </w:t>
      </w:r>
      <w:r>
        <w:rPr>
          <w:rFonts w:eastAsia="宋体"/>
          <w:lang w:eastAsia="zh-CN" w:bidi="ar"/>
        </w:rPr>
        <w:t xml:space="preserve">‘Gakkō-gai Kyōiku Tōshi no Kōka ni Kansuru Ichikōsatsu’ (A Study of the Effects of Out-of-School Educational Investment), </w:t>
      </w:r>
      <w:r>
        <w:rPr>
          <w:rStyle w:val="13"/>
          <w:rFonts w:eastAsia="宋体"/>
          <w:lang w:eastAsia="zh-CN" w:bidi="ar"/>
        </w:rPr>
        <w:t>Hokkaidō Daigaku Bungaku-bu Kiyō</w:t>
      </w:r>
      <w:r>
        <w:rPr>
          <w:rFonts w:eastAsia="宋体"/>
          <w:lang w:eastAsia="zh-CN" w:bidi="ar"/>
        </w:rPr>
        <w:t xml:space="preserve"> (The Annual Reports on Cultural Science)30(1), pp.171–221.</w:t>
      </w:r>
    </w:p>
    <w:p>
      <w:pPr>
        <w:rPr>
          <w:rFonts w:eastAsia="宋体"/>
          <w:lang w:eastAsia="zh-CN" w:bidi="ar"/>
        </w:rPr>
      </w:pPr>
    </w:p>
    <w:p>
      <w:pPr>
        <w:rPr>
          <w:rFonts w:eastAsia="宋体"/>
          <w:lang w:eastAsia="zh-CN" w:bidi="ar"/>
        </w:rPr>
      </w:pPr>
      <w:r>
        <w:rPr>
          <w:rFonts w:eastAsia="宋体"/>
          <w:lang w:eastAsia="zh-CN" w:bidi="ar"/>
        </w:rPr>
        <w:t>Seiyama. K., and Noguchi. Y. J. (1984) ‘Kōkō Shingaku ni okeru Gakkōgai Kyōiku Tōshi no Kōka’ (Extra-School Educational Investment and the Opportunity of Entering Higher Ranking High Schools),</w:t>
      </w:r>
      <w:r>
        <w:rPr>
          <w:rFonts w:eastAsia="宋体"/>
          <w:i/>
          <w:iCs/>
          <w:lang w:eastAsia="zh-CN" w:bidi="ar"/>
        </w:rPr>
        <w:t xml:space="preserve"> Kyōiku Shakaigaku Kenkyū (Journal of Educational Sociology)</w:t>
      </w:r>
      <w:r>
        <w:rPr>
          <w:rFonts w:eastAsia="宋体"/>
          <w:lang w:eastAsia="zh-CN" w:bidi="ar"/>
        </w:rPr>
        <w:t>,39, pp.113–126.</w:t>
      </w:r>
    </w:p>
    <w:p>
      <w:pPr>
        <w:rPr>
          <w:rFonts w:eastAsia="宋体"/>
          <w:lang w:eastAsia="zh-CN"/>
        </w:rPr>
      </w:pPr>
    </w:p>
    <w:p>
      <w:pPr>
        <w:rPr>
          <w:rFonts w:eastAsia="宋体"/>
        </w:rPr>
      </w:pPr>
      <w:r>
        <w:rPr>
          <w:rFonts w:eastAsia="宋体"/>
        </w:rPr>
        <w:t xml:space="preserve">Southgate, D. E. (2013). Family capital: A determinant of supplementary education in 17 nations. In </w:t>
      </w:r>
      <w:r>
        <w:rPr>
          <w:rFonts w:eastAsia="宋体"/>
          <w:i/>
          <w:iCs/>
        </w:rPr>
        <w:t>Out of the shadows: The global intensification of supplementary education</w:t>
      </w:r>
      <w:r>
        <w:rPr>
          <w:rFonts w:eastAsia="宋体"/>
        </w:rPr>
        <w:t>. Emerald Group Publishing Limited.</w:t>
      </w:r>
    </w:p>
    <w:p>
      <w:pPr>
        <w:rPr>
          <w:rFonts w:eastAsia="宋体"/>
        </w:rPr>
      </w:pPr>
    </w:p>
    <w:p>
      <w:pPr>
        <w:rPr>
          <w:rFonts w:eastAsia="宋体"/>
          <w:lang w:eastAsia="zh-CN"/>
        </w:rPr>
      </w:pPr>
      <w:r>
        <w:rPr>
          <w:rFonts w:eastAsia="宋体"/>
          <w:lang w:eastAsia="zh-CN"/>
        </w:rPr>
        <w:t>Shi, P., and Luo, W. F. (2015) ‘</w:t>
      </w:r>
      <w:r>
        <w:rPr>
          <w:rFonts w:eastAsia="宋体"/>
        </w:rPr>
        <w:t>Thoughts on the Prosperity of Social Counseling Organizations in Primary and Secondary Schools</w:t>
      </w:r>
      <w:r>
        <w:rPr>
          <w:rFonts w:eastAsia="宋体"/>
          <w:lang w:eastAsia="zh-CN"/>
        </w:rPr>
        <w:t xml:space="preserve">’, </w:t>
      </w:r>
      <w:r>
        <w:rPr>
          <w:rFonts w:eastAsia="宋体"/>
          <w:i/>
          <w:iCs/>
        </w:rPr>
        <w:t>Journal of Guangxi Institute of Education</w:t>
      </w:r>
      <w:r>
        <w:rPr>
          <w:rFonts w:eastAsia="宋体"/>
          <w:lang w:eastAsia="zh-CN"/>
        </w:rPr>
        <w:t>, 137(3), pp.229-232.</w:t>
      </w:r>
    </w:p>
    <w:p>
      <w:pPr>
        <w:rPr>
          <w:rFonts w:eastAsia="宋体"/>
          <w:lang w:eastAsia="zh-CN"/>
        </w:rPr>
      </w:pPr>
    </w:p>
    <w:p>
      <w:pPr>
        <w:rPr>
          <w:rFonts w:eastAsia="宋体"/>
          <w:lang w:eastAsia="zh-CN"/>
        </w:rPr>
      </w:pPr>
      <w:r>
        <w:rPr>
          <w:rFonts w:eastAsia="宋体"/>
          <w:lang w:eastAsia="zh-CN"/>
        </w:rPr>
        <w:t>Sun, T. C. (2017) ‘</w:t>
      </w:r>
      <w:r>
        <w:rPr>
          <w:rFonts w:eastAsia="宋体"/>
        </w:rPr>
        <w:t>Research on the rationality of students' study time based on PISA 2015</w:t>
      </w:r>
      <w:r>
        <w:rPr>
          <w:rFonts w:eastAsia="宋体"/>
          <w:lang w:eastAsia="zh-CN"/>
        </w:rPr>
        <w:t>’, Journal of Educational Development, 35(8), pp.35-38.</w:t>
      </w:r>
    </w:p>
    <w:p>
      <w:pPr>
        <w:rPr>
          <w:rFonts w:eastAsia="宋体"/>
          <w:lang w:eastAsia="zh-CN"/>
        </w:rPr>
      </w:pPr>
    </w:p>
    <w:p>
      <w:pPr>
        <w:rPr>
          <w:rFonts w:eastAsia="宋体"/>
          <w:lang w:eastAsia="zh-CN"/>
        </w:rPr>
      </w:pPr>
      <w:r>
        <w:rPr>
          <w:rFonts w:eastAsia="宋体"/>
          <w:lang w:eastAsia="zh-CN"/>
        </w:rPr>
        <w:t>Song, H. S., and Xue, H. P. (2018) ‘</w:t>
      </w:r>
      <w:r>
        <w:rPr>
          <w:rFonts w:eastAsia="宋体"/>
        </w:rPr>
        <w:t>Regulations and Governance of Shadow Education Institutions in China: —— Based on the Perspective of Game Theory</w:t>
      </w:r>
      <w:r>
        <w:rPr>
          <w:rFonts w:eastAsia="宋体"/>
          <w:lang w:eastAsia="zh-CN"/>
        </w:rPr>
        <w:t xml:space="preserve">’, </w:t>
      </w:r>
      <w:r>
        <w:rPr>
          <w:rFonts w:eastAsia="宋体"/>
          <w:i/>
          <w:iCs/>
        </w:rPr>
        <w:t>FORUM ON CONTEMPORARY EDUCATION</w:t>
      </w:r>
      <w:r>
        <w:rPr>
          <w:rFonts w:eastAsia="宋体"/>
          <w:lang w:eastAsia="zh-CN"/>
        </w:rPr>
        <w:t>, 1, pp.79-87.</w:t>
      </w:r>
    </w:p>
    <w:p>
      <w:pPr>
        <w:rPr>
          <w:rFonts w:eastAsia="宋体"/>
          <w:lang w:eastAsia="zh-CN"/>
        </w:rPr>
      </w:pPr>
    </w:p>
    <w:p>
      <w:pPr>
        <w:rPr>
          <w:rFonts w:eastAsia="宋体"/>
          <w:lang w:eastAsia="zh-CN"/>
        </w:rPr>
      </w:pPr>
      <w:r>
        <w:rPr>
          <w:rFonts w:eastAsia="宋体"/>
          <w:lang w:eastAsia="zh-CN"/>
        </w:rPr>
        <w:t xml:space="preserve">Shen, G. C., and Shen, H. N. (2021) ‘How to reduce the burden scientifically?’, </w:t>
      </w:r>
      <w:r>
        <w:rPr>
          <w:rFonts w:eastAsia="宋体"/>
          <w:i/>
          <w:iCs/>
          <w:lang w:eastAsia="zh-CN"/>
        </w:rPr>
        <w:t>Educator</w:t>
      </w:r>
      <w:r>
        <w:rPr>
          <w:rFonts w:eastAsia="宋体"/>
          <w:lang w:eastAsia="zh-CN"/>
        </w:rPr>
        <w:t>, 10(8), pp.28-29.</w:t>
      </w:r>
    </w:p>
    <w:p>
      <w:pPr>
        <w:rPr>
          <w:rFonts w:eastAsia="宋体"/>
          <w:lang w:eastAsia="zh-CN"/>
        </w:rPr>
      </w:pPr>
    </w:p>
    <w:p>
      <w:pPr>
        <w:rPr>
          <w:rFonts w:eastAsia="宋体"/>
          <w:lang w:eastAsia="zh-CN"/>
        </w:rPr>
      </w:pPr>
      <w:r>
        <w:rPr>
          <w:rFonts w:eastAsia="宋体"/>
          <w:lang w:eastAsia="zh-CN"/>
        </w:rPr>
        <w:t>Sun, X. E. (2012) ‘</w:t>
      </w:r>
      <w:r>
        <w:rPr>
          <w:rFonts w:eastAsia="宋体"/>
        </w:rPr>
        <w:t>In － Depth Interview Research: Method and Techniques</w:t>
      </w:r>
      <w:r>
        <w:rPr>
          <w:rFonts w:eastAsia="宋体"/>
          <w:lang w:eastAsia="zh-CN"/>
        </w:rPr>
        <w:t xml:space="preserve">’, </w:t>
      </w:r>
      <w:r>
        <w:rPr>
          <w:rFonts w:eastAsia="宋体"/>
          <w:i/>
          <w:iCs/>
          <w:lang w:eastAsia="zh-CN"/>
        </w:rPr>
        <w:t xml:space="preserve">Journal of Xi'an Jiaotong University (Social Science Edition), </w:t>
      </w:r>
      <w:r>
        <w:rPr>
          <w:rFonts w:eastAsia="宋体"/>
          <w:lang w:eastAsia="zh-CN"/>
        </w:rPr>
        <w:t>113(3), pp.101-106.</w:t>
      </w:r>
    </w:p>
    <w:p>
      <w:pPr>
        <w:rPr>
          <w:rFonts w:eastAsia="宋体"/>
          <w:lang w:eastAsia="zh-CN"/>
        </w:rPr>
      </w:pPr>
    </w:p>
    <w:p>
      <w:pPr>
        <w:rPr>
          <w:rFonts w:eastAsia="宋体"/>
        </w:rPr>
      </w:pPr>
      <w:r>
        <w:rPr>
          <w:rFonts w:eastAsia="宋体"/>
        </w:rPr>
        <w:t>Streubert</w:t>
      </w:r>
      <w:r>
        <w:rPr>
          <w:rFonts w:eastAsia="宋体"/>
          <w:lang w:eastAsia="zh-CN"/>
        </w:rPr>
        <w:t>,</w:t>
      </w:r>
      <w:r>
        <w:rPr>
          <w:rFonts w:eastAsia="宋体"/>
        </w:rPr>
        <w:t xml:space="preserve"> H.</w:t>
      </w:r>
      <w:r>
        <w:rPr>
          <w:rFonts w:eastAsia="宋体"/>
          <w:lang w:eastAsia="zh-CN"/>
        </w:rPr>
        <w:t xml:space="preserve"> </w:t>
      </w:r>
      <w:r>
        <w:rPr>
          <w:rFonts w:eastAsia="宋体"/>
        </w:rPr>
        <w:t>J.</w:t>
      </w:r>
      <w:r>
        <w:rPr>
          <w:rFonts w:eastAsia="宋体"/>
          <w:lang w:eastAsia="zh-CN"/>
        </w:rPr>
        <w:t>,</w:t>
      </w:r>
      <w:r>
        <w:rPr>
          <w:rFonts w:eastAsia="宋体"/>
        </w:rPr>
        <w:t xml:space="preserve"> </w:t>
      </w:r>
      <w:r>
        <w:rPr>
          <w:rFonts w:eastAsia="宋体"/>
          <w:lang w:eastAsia="zh-CN"/>
        </w:rPr>
        <w:t>and</w:t>
      </w:r>
      <w:r>
        <w:rPr>
          <w:rFonts w:eastAsia="宋体"/>
        </w:rPr>
        <w:t xml:space="preserve"> Carpenter</w:t>
      </w:r>
      <w:r>
        <w:rPr>
          <w:rFonts w:eastAsia="宋体"/>
          <w:lang w:eastAsia="zh-CN"/>
        </w:rPr>
        <w:t>,</w:t>
      </w:r>
      <w:r>
        <w:rPr>
          <w:rFonts w:eastAsia="宋体"/>
        </w:rPr>
        <w:t xml:space="preserve"> D.</w:t>
      </w:r>
      <w:r>
        <w:rPr>
          <w:rFonts w:eastAsia="宋体"/>
          <w:lang w:eastAsia="zh-CN"/>
        </w:rPr>
        <w:t xml:space="preserve">, </w:t>
      </w:r>
      <w:r>
        <w:rPr>
          <w:rFonts w:eastAsia="宋体"/>
        </w:rPr>
        <w:t>R. (1999) Qualitative Research in Nursing Advancing the Humanistic Imperative. Lippincott, Philadelphia.</w:t>
      </w:r>
    </w:p>
    <w:p>
      <w:pPr>
        <w:rPr>
          <w:rFonts w:eastAsia="宋体"/>
        </w:rPr>
      </w:pPr>
    </w:p>
    <w:p>
      <w:pPr>
        <w:rPr>
          <w:rFonts w:eastAsia="宋体"/>
        </w:rPr>
      </w:pPr>
      <w:r>
        <w:rPr>
          <w:rFonts w:eastAsia="宋体"/>
        </w:rPr>
        <w:t xml:space="preserve">Takashiro, N. (2021) </w:t>
      </w:r>
      <w:r>
        <w:rPr>
          <w:rFonts w:eastAsia="宋体"/>
          <w:lang w:eastAsia="zh-CN"/>
        </w:rPr>
        <w:t>‘</w:t>
      </w:r>
      <w:r>
        <w:rPr>
          <w:rFonts w:eastAsia="宋体"/>
        </w:rPr>
        <w:t>Determinants of Middle School Students’ Participation in Shadow Education in Japan</w:t>
      </w:r>
      <w:r>
        <w:rPr>
          <w:rFonts w:eastAsia="宋体"/>
          <w:lang w:eastAsia="zh-CN"/>
        </w:rPr>
        <w:t>’,</w:t>
      </w:r>
      <w:r>
        <w:rPr>
          <w:rFonts w:eastAsia="宋体"/>
        </w:rPr>
        <w:t xml:space="preserve"> </w:t>
      </w:r>
      <w:r>
        <w:rPr>
          <w:rFonts w:eastAsia="宋体"/>
          <w:i/>
          <w:iCs/>
        </w:rPr>
        <w:t>Social Indicators Research</w:t>
      </w:r>
      <w:r>
        <w:rPr>
          <w:rFonts w:eastAsia="宋体"/>
        </w:rPr>
        <w:t xml:space="preserve">, </w:t>
      </w:r>
      <w:r>
        <w:rPr>
          <w:rFonts w:eastAsia="宋体"/>
          <w:i/>
          <w:iCs/>
        </w:rPr>
        <w:t>155</w:t>
      </w:r>
      <w:r>
        <w:rPr>
          <w:rFonts w:eastAsia="宋体"/>
        </w:rPr>
        <w:t xml:space="preserve">(3), </w:t>
      </w:r>
      <w:r>
        <w:rPr>
          <w:rFonts w:eastAsia="宋体"/>
          <w:lang w:eastAsia="zh-CN"/>
        </w:rPr>
        <w:t>pp.</w:t>
      </w:r>
      <w:r>
        <w:rPr>
          <w:rFonts w:eastAsia="宋体"/>
        </w:rPr>
        <w:t>1119-1136.</w:t>
      </w:r>
    </w:p>
    <w:p>
      <w:pPr>
        <w:rPr>
          <w:rFonts w:eastAsia="宋体"/>
          <w:lang w:eastAsia="zh-CN"/>
        </w:rPr>
      </w:pPr>
    </w:p>
    <w:p>
      <w:pPr>
        <w:rPr>
          <w:rFonts w:eastAsia="宋体"/>
        </w:rPr>
      </w:pPr>
      <w:r>
        <w:rPr>
          <w:rFonts w:eastAsia="宋体"/>
        </w:rPr>
        <w:t xml:space="preserve">Tansel, A., </w:t>
      </w:r>
      <w:r>
        <w:rPr>
          <w:rFonts w:eastAsia="宋体"/>
          <w:lang w:eastAsia="zh-CN"/>
        </w:rPr>
        <w:t>and</w:t>
      </w:r>
      <w:r>
        <w:rPr>
          <w:rFonts w:eastAsia="宋体"/>
        </w:rPr>
        <w:t xml:space="preserve"> Bircan, F. (2006) </w:t>
      </w:r>
      <w:r>
        <w:rPr>
          <w:rFonts w:eastAsia="宋体"/>
          <w:lang w:eastAsia="zh-CN"/>
        </w:rPr>
        <w:t>‘</w:t>
      </w:r>
      <w:r>
        <w:rPr>
          <w:rFonts w:eastAsia="宋体"/>
        </w:rPr>
        <w:t>Demand for education in Turkey: A tobit analysis of private tutoring expenditures</w:t>
      </w:r>
      <w:r>
        <w:rPr>
          <w:rFonts w:eastAsia="宋体"/>
          <w:lang w:eastAsia="zh-CN"/>
        </w:rPr>
        <w:t>’</w:t>
      </w:r>
      <w:r>
        <w:rPr>
          <w:rFonts w:eastAsia="宋体"/>
        </w:rPr>
        <w:t xml:space="preserve"> </w:t>
      </w:r>
      <w:r>
        <w:rPr>
          <w:rFonts w:eastAsia="宋体"/>
          <w:i/>
          <w:iCs/>
        </w:rPr>
        <w:t>Economics of education review</w:t>
      </w:r>
      <w:r>
        <w:rPr>
          <w:rFonts w:eastAsia="宋体"/>
        </w:rPr>
        <w:t xml:space="preserve">, </w:t>
      </w:r>
      <w:r>
        <w:rPr>
          <w:rFonts w:eastAsia="宋体"/>
          <w:i/>
          <w:iCs/>
        </w:rPr>
        <w:t>25</w:t>
      </w:r>
      <w:r>
        <w:rPr>
          <w:rFonts w:eastAsia="宋体"/>
        </w:rPr>
        <w:t xml:space="preserve">(3), </w:t>
      </w:r>
      <w:r>
        <w:rPr>
          <w:rFonts w:eastAsia="宋体"/>
          <w:lang w:eastAsia="zh-CN"/>
        </w:rPr>
        <w:t>pp.</w:t>
      </w:r>
      <w:r>
        <w:rPr>
          <w:rFonts w:eastAsia="宋体"/>
        </w:rPr>
        <w:t>303-313.</w:t>
      </w:r>
    </w:p>
    <w:p>
      <w:pPr>
        <w:rPr>
          <w:rFonts w:eastAsia="宋体"/>
          <w:lang w:eastAsia="zh-CN"/>
        </w:rPr>
      </w:pPr>
    </w:p>
    <w:p>
      <w:pPr>
        <w:rPr>
          <w:rFonts w:eastAsia="宋体"/>
        </w:rPr>
      </w:pPr>
      <w:r>
        <w:rPr>
          <w:rFonts w:eastAsia="宋体"/>
        </w:rPr>
        <w:t xml:space="preserve">Tetnowski, J. A., </w:t>
      </w:r>
      <w:r>
        <w:rPr>
          <w:rFonts w:eastAsia="宋体"/>
          <w:lang w:eastAsia="zh-CN"/>
        </w:rPr>
        <w:t>and</w:t>
      </w:r>
      <w:r>
        <w:rPr>
          <w:rFonts w:eastAsia="宋体"/>
        </w:rPr>
        <w:t xml:space="preserve"> Damico, J. S. (2001)</w:t>
      </w:r>
      <w:r>
        <w:rPr>
          <w:rFonts w:eastAsia="宋体"/>
          <w:lang w:eastAsia="zh-CN"/>
        </w:rPr>
        <w:t xml:space="preserve"> ‘</w:t>
      </w:r>
      <w:r>
        <w:rPr>
          <w:rFonts w:eastAsia="宋体"/>
        </w:rPr>
        <w:t>A demonstration of the advantages of qualitative methodologies in stuttering research</w:t>
      </w:r>
      <w:r>
        <w:rPr>
          <w:rFonts w:eastAsia="宋体"/>
          <w:lang w:eastAsia="zh-CN"/>
        </w:rPr>
        <w:t>’,</w:t>
      </w:r>
      <w:r>
        <w:rPr>
          <w:rFonts w:eastAsia="宋体"/>
        </w:rPr>
        <w:t xml:space="preserve"> </w:t>
      </w:r>
      <w:r>
        <w:rPr>
          <w:rFonts w:eastAsia="宋体"/>
          <w:i/>
          <w:iCs/>
        </w:rPr>
        <w:t>Journal of Fluency Disorders</w:t>
      </w:r>
      <w:r>
        <w:rPr>
          <w:rFonts w:eastAsia="宋体"/>
        </w:rPr>
        <w:t>, 2</w:t>
      </w:r>
      <w:r>
        <w:rPr>
          <w:rFonts w:eastAsia="宋体"/>
          <w:i/>
          <w:iCs/>
        </w:rPr>
        <w:t>6</w:t>
      </w:r>
      <w:r>
        <w:rPr>
          <w:rFonts w:eastAsia="宋体"/>
        </w:rPr>
        <w:t xml:space="preserve">(1), </w:t>
      </w:r>
      <w:r>
        <w:rPr>
          <w:rFonts w:eastAsia="宋体"/>
          <w:lang w:eastAsia="zh-CN"/>
        </w:rPr>
        <w:t>pp.</w:t>
      </w:r>
      <w:r>
        <w:rPr>
          <w:rFonts w:eastAsia="宋体"/>
        </w:rPr>
        <w:t>17-42.</w:t>
      </w:r>
    </w:p>
    <w:p>
      <w:pPr>
        <w:rPr>
          <w:rFonts w:eastAsia="宋体"/>
          <w:lang w:eastAsia="zh-CN"/>
        </w:rPr>
      </w:pPr>
    </w:p>
    <w:p>
      <w:pPr>
        <w:rPr>
          <w:rFonts w:eastAsia="宋体"/>
          <w:lang w:eastAsia="zh-CN"/>
        </w:rPr>
      </w:pPr>
      <w:r>
        <w:rPr>
          <w:rFonts w:eastAsia="宋体"/>
          <w:lang w:eastAsia="zh-CN"/>
        </w:rPr>
        <w:t>Veng, Q. Y. (2017) ‘A Literature Review on Shadow Education’, China Economics of Education Review, pp.115-128.</w:t>
      </w:r>
    </w:p>
    <w:p>
      <w:pPr>
        <w:rPr>
          <w:rFonts w:eastAsia="宋体"/>
          <w:lang w:eastAsia="zh-CN"/>
        </w:rPr>
      </w:pPr>
    </w:p>
    <w:p>
      <w:pPr>
        <w:rPr>
          <w:rFonts w:eastAsia="宋体"/>
        </w:rPr>
      </w:pPr>
      <w:r>
        <w:rPr>
          <w:rFonts w:eastAsia="宋体"/>
        </w:rPr>
        <w:t xml:space="preserve">Vogl, S. (2013) </w:t>
      </w:r>
      <w:r>
        <w:rPr>
          <w:rFonts w:eastAsia="宋体"/>
          <w:lang w:eastAsia="zh-CN"/>
        </w:rPr>
        <w:t>‘</w:t>
      </w:r>
      <w:r>
        <w:rPr>
          <w:rFonts w:eastAsia="宋体"/>
        </w:rPr>
        <w:t>Telephone versus face-to-face interviews: Mode effect on semistructured interviews with children.</w:t>
      </w:r>
      <w:r>
        <w:rPr>
          <w:rFonts w:eastAsia="宋体"/>
          <w:lang w:eastAsia="zh-CN"/>
        </w:rPr>
        <w:t xml:space="preserve">’, </w:t>
      </w:r>
      <w:r>
        <w:rPr>
          <w:rFonts w:eastAsia="宋体"/>
          <w:i/>
          <w:iCs/>
        </w:rPr>
        <w:t>Sociological Methodology</w:t>
      </w:r>
      <w:r>
        <w:rPr>
          <w:rFonts w:eastAsia="宋体"/>
        </w:rPr>
        <w:t>, 4</w:t>
      </w:r>
      <w:r>
        <w:rPr>
          <w:rFonts w:eastAsia="宋体"/>
          <w:i/>
          <w:iCs/>
        </w:rPr>
        <w:t>3</w:t>
      </w:r>
      <w:r>
        <w:rPr>
          <w:rFonts w:eastAsia="宋体"/>
        </w:rPr>
        <w:t xml:space="preserve">(1), </w:t>
      </w:r>
      <w:r>
        <w:rPr>
          <w:rFonts w:eastAsia="宋体"/>
          <w:lang w:eastAsia="zh-CN"/>
        </w:rPr>
        <w:t xml:space="preserve">pp. </w:t>
      </w:r>
      <w:r>
        <w:rPr>
          <w:rFonts w:eastAsia="宋体"/>
        </w:rPr>
        <w:t>133-177.</w:t>
      </w:r>
    </w:p>
    <w:p>
      <w:pPr>
        <w:rPr>
          <w:rFonts w:eastAsia="宋体"/>
          <w:lang w:eastAsia="zh-CN"/>
        </w:rPr>
      </w:pPr>
    </w:p>
    <w:p>
      <w:pPr>
        <w:rPr>
          <w:rFonts w:eastAsia="宋体"/>
          <w:i/>
          <w:iCs/>
          <w:color w:val="000000" w:themeColor="text1"/>
          <w:lang w:eastAsia="zh-CN"/>
          <w14:textFill>
            <w14:solidFill>
              <w14:schemeClr w14:val="tx1"/>
            </w14:solidFill>
          </w14:textFill>
        </w:rPr>
      </w:pPr>
      <w:r>
        <w:rPr>
          <w:rFonts w:eastAsia="宋体"/>
          <w:lang w:eastAsia="zh-CN"/>
        </w:rPr>
        <w:t>Wu, M. Y. (2015) ‘</w:t>
      </w:r>
      <w:r>
        <w:rPr>
          <w:rFonts w:eastAsia="宋体"/>
        </w:rPr>
        <w:t>Education and social selection in ancient China: semantics, conceptual transformation and social change</w:t>
      </w:r>
      <w:r>
        <w:rPr>
          <w:rFonts w:eastAsia="宋体"/>
          <w:lang w:eastAsia="zh-CN"/>
        </w:rPr>
        <w:t xml:space="preserve">’, </w:t>
      </w:r>
      <w:r>
        <w:rPr>
          <w:rFonts w:eastAsia="Helvetica"/>
          <w:i/>
          <w:iCs/>
          <w:color w:val="000000" w:themeColor="text1"/>
          <w:shd w:val="clear" w:color="auto" w:fill="F5F5F5"/>
          <w14:textFill>
            <w14:solidFill>
              <w14:schemeClr w14:val="tx1"/>
            </w14:solidFill>
          </w14:textFill>
        </w:rPr>
        <w:t>Paedagogica Historica</w:t>
      </w:r>
      <w:r>
        <w:rPr>
          <w:rFonts w:eastAsia="Helvetica"/>
          <w:color w:val="000000" w:themeColor="text1"/>
          <w:shd w:val="clear" w:color="auto" w:fill="F5F5F5"/>
          <w14:textFill>
            <w14:solidFill>
              <w14:schemeClr w14:val="tx1"/>
            </w14:solidFill>
          </w14:textFill>
        </w:rPr>
        <w:t>, 51(3), pp. 247–263.</w:t>
      </w:r>
    </w:p>
    <w:p>
      <w:pPr>
        <w:rPr>
          <w:rFonts w:eastAsia="宋体"/>
          <w:lang w:eastAsia="zh-CN"/>
        </w:rPr>
      </w:pPr>
    </w:p>
    <w:p>
      <w:pPr>
        <w:rPr>
          <w:rFonts w:eastAsia="宋体"/>
          <w:color w:val="222222"/>
          <w:shd w:val="clear" w:color="auto" w:fill="FFFFFF"/>
          <w:lang w:eastAsia="zh-CN"/>
        </w:rPr>
      </w:pPr>
      <w:r>
        <w:rPr>
          <w:rFonts w:eastAsia="宋体"/>
          <w:lang w:eastAsia="zh-CN"/>
        </w:rPr>
        <w:t>Wu, F. (2018) ‘</w:t>
      </w:r>
      <w:r>
        <w:rPr>
          <w:rFonts w:eastAsia="宋体"/>
        </w:rPr>
        <w:t>Shadow Education”Struggling for 20 Years — Analysis of Visualization Based on CNKI Journal Database from 1997 to 2016</w:t>
      </w:r>
      <w:r>
        <w:rPr>
          <w:rFonts w:eastAsia="宋体"/>
          <w:lang w:eastAsia="zh-CN"/>
        </w:rPr>
        <w:t xml:space="preserve">’, </w:t>
      </w:r>
      <w:r>
        <w:rPr>
          <w:rFonts w:eastAsia="宋体"/>
          <w:i/>
          <w:iCs/>
          <w:color w:val="222222"/>
          <w:shd w:val="clear" w:color="auto" w:fill="FFFFFF"/>
          <w:lang w:eastAsia="zh-CN"/>
        </w:rPr>
        <w:t>Education reference</w:t>
      </w:r>
      <w:r>
        <w:rPr>
          <w:rFonts w:eastAsia="宋体"/>
          <w:color w:val="222222"/>
          <w:shd w:val="clear" w:color="auto" w:fill="FFFFFF"/>
          <w:lang w:eastAsia="zh-CN"/>
        </w:rPr>
        <w:t>, 42(3), pp.38-45.</w:t>
      </w:r>
    </w:p>
    <w:p>
      <w:pPr>
        <w:rPr>
          <w:rFonts w:eastAsia="宋体"/>
          <w:color w:val="222222"/>
          <w:shd w:val="clear" w:color="auto" w:fill="FFFFFF"/>
          <w:lang w:eastAsia="zh-CN"/>
        </w:rPr>
      </w:pPr>
    </w:p>
    <w:p>
      <w:pPr>
        <w:rPr>
          <w:rFonts w:eastAsia="宋体"/>
          <w:lang w:eastAsia="zh-CN"/>
        </w:rPr>
      </w:pPr>
      <w:r>
        <w:rPr>
          <w:rFonts w:eastAsia="宋体"/>
          <w:lang w:eastAsia="zh-CN"/>
        </w:rPr>
        <w:t>Wang, X. L. (2017) ‘</w:t>
      </w:r>
      <w:r>
        <w:rPr>
          <w:rFonts w:eastAsia="宋体"/>
        </w:rPr>
        <w:t>The Quality of Junior Middle School and the Inequality of Shadow Education Opportunity ———Taking CEPS 2013－2014 Data as an Example</w:t>
      </w:r>
      <w:r>
        <w:rPr>
          <w:rFonts w:eastAsia="宋体"/>
          <w:lang w:eastAsia="zh-CN"/>
        </w:rPr>
        <w:t xml:space="preserve">’, </w:t>
      </w:r>
      <w:r>
        <w:rPr>
          <w:rFonts w:eastAsia="宋体"/>
          <w:i/>
          <w:iCs/>
        </w:rPr>
        <w:t>Beijing Social Sciences</w:t>
      </w:r>
      <w:r>
        <w:rPr>
          <w:rFonts w:eastAsia="宋体"/>
          <w:lang w:eastAsia="zh-CN"/>
        </w:rPr>
        <w:t>, 32(9), pp.50-60.</w:t>
      </w:r>
    </w:p>
    <w:p>
      <w:pPr>
        <w:rPr>
          <w:rFonts w:eastAsia="宋体"/>
          <w:color w:val="222222"/>
          <w:shd w:val="clear" w:color="auto" w:fill="FFFFFF"/>
          <w:lang w:eastAsia="zh-CN"/>
        </w:rPr>
      </w:pPr>
    </w:p>
    <w:p>
      <w:pPr>
        <w:rPr>
          <w:rFonts w:eastAsia="宋体"/>
          <w:i/>
          <w:iCs/>
          <w:lang w:eastAsia="zh-CN"/>
        </w:rPr>
      </w:pPr>
      <w:r>
        <w:rPr>
          <w:rFonts w:eastAsia="宋体"/>
          <w:lang w:eastAsia="zh-CN"/>
        </w:rPr>
        <w:t>Wei, W. Q. (2005) ‘</w:t>
      </w:r>
      <w:r>
        <w:rPr>
          <w:rFonts w:eastAsia="宋体"/>
        </w:rPr>
        <w:t>Educational Reform in Japan: Advancing or Retreating in Difficulties</w:t>
      </w:r>
      <w:r>
        <w:rPr>
          <w:rFonts w:eastAsia="宋体"/>
          <w:lang w:eastAsia="zh-CN"/>
        </w:rPr>
        <w:t xml:space="preserve">’, </w:t>
      </w:r>
      <w:r>
        <w:rPr>
          <w:rFonts w:eastAsia="宋体"/>
          <w:i/>
          <w:iCs/>
        </w:rPr>
        <w:t>Guangdong Education</w:t>
      </w:r>
      <w:r>
        <w:rPr>
          <w:rFonts w:eastAsia="宋体"/>
          <w:lang w:eastAsia="zh-CN"/>
        </w:rPr>
        <w:t>, 10, pp.61.</w:t>
      </w:r>
    </w:p>
    <w:p>
      <w:pPr>
        <w:rPr>
          <w:rFonts w:eastAsia="宋体"/>
          <w:lang w:eastAsia="zh-CN"/>
        </w:rPr>
      </w:pPr>
    </w:p>
    <w:p>
      <w:pPr>
        <w:rPr>
          <w:rFonts w:eastAsia="宋体"/>
          <w:lang w:eastAsia="zh-CN"/>
        </w:rPr>
      </w:pPr>
      <w:r>
        <w:rPr>
          <w:rFonts w:eastAsia="宋体"/>
          <w:lang w:eastAsia="zh-CN"/>
        </w:rPr>
        <w:t>Wang, J. (2008) ‘</w:t>
      </w:r>
      <w:r>
        <w:rPr>
          <w:rFonts w:eastAsia="宋体"/>
        </w:rPr>
        <w:t>Meditations of the head start tutoring</w:t>
      </w:r>
      <w:r>
        <w:rPr>
          <w:rFonts w:eastAsia="宋体"/>
          <w:lang w:eastAsia="zh-CN"/>
        </w:rPr>
        <w:t xml:space="preserve">’, </w:t>
      </w:r>
      <w:r>
        <w:rPr>
          <w:rFonts w:eastAsia="宋体"/>
          <w:i/>
          <w:iCs/>
        </w:rPr>
        <w:t>JOURNAL OF HEBEI NORMAL UNIVERSITY/ Educational Science Edition</w:t>
      </w:r>
      <w:r>
        <w:rPr>
          <w:rFonts w:eastAsia="宋体"/>
          <w:i/>
          <w:iCs/>
          <w:lang w:eastAsia="zh-CN"/>
        </w:rPr>
        <w:t xml:space="preserve">, </w:t>
      </w:r>
      <w:r>
        <w:rPr>
          <w:rFonts w:eastAsia="宋体"/>
          <w:lang w:eastAsia="zh-CN"/>
        </w:rPr>
        <w:t>10(8), pp.28-53.</w:t>
      </w:r>
    </w:p>
    <w:p>
      <w:pPr>
        <w:rPr>
          <w:rFonts w:eastAsia="宋体"/>
          <w:lang w:eastAsia="zh-CN"/>
        </w:rPr>
      </w:pPr>
    </w:p>
    <w:p>
      <w:pPr>
        <w:rPr>
          <w:rFonts w:eastAsia="宋体"/>
          <w:lang w:eastAsia="zh-CN"/>
        </w:rPr>
      </w:pPr>
      <w:r>
        <w:rPr>
          <w:rFonts w:eastAsia="宋体"/>
          <w:lang w:eastAsia="zh-CN"/>
        </w:rPr>
        <w:t>Wang, Q. H. (2007) ‘</w:t>
      </w:r>
      <w:r>
        <w:rPr>
          <w:rFonts w:eastAsia="宋体"/>
        </w:rPr>
        <w:t>On the Cause, Current Situation and Prospect of Remedial Education</w:t>
      </w:r>
      <w:r>
        <w:rPr>
          <w:rFonts w:eastAsia="宋体"/>
          <w:lang w:eastAsia="zh-CN"/>
        </w:rPr>
        <w:t xml:space="preserve">’, </w:t>
      </w:r>
      <w:r>
        <w:rPr>
          <w:rFonts w:eastAsia="宋体"/>
          <w:i/>
          <w:iCs/>
        </w:rPr>
        <w:t>Journal of Hotan Teachers College</w:t>
      </w:r>
      <w:r>
        <w:rPr>
          <w:rFonts w:eastAsia="宋体"/>
          <w:i/>
          <w:iCs/>
          <w:lang w:eastAsia="zh-CN"/>
        </w:rPr>
        <w:t xml:space="preserve">, </w:t>
      </w:r>
      <w:r>
        <w:rPr>
          <w:rFonts w:eastAsia="宋体"/>
          <w:lang w:eastAsia="zh-CN"/>
        </w:rPr>
        <w:t>27(5), pp.135-136.</w:t>
      </w:r>
    </w:p>
    <w:p>
      <w:pPr>
        <w:rPr>
          <w:rFonts w:eastAsia="宋体"/>
          <w:lang w:eastAsia="zh-CN"/>
        </w:rPr>
      </w:pPr>
    </w:p>
    <w:p>
      <w:pPr>
        <w:rPr>
          <w:rFonts w:eastAsia="宋体"/>
        </w:rPr>
      </w:pPr>
      <w:r>
        <w:rPr>
          <w:rFonts w:eastAsia="宋体"/>
          <w:lang w:eastAsia="zh-CN"/>
        </w:rPr>
        <w:t>Wei, Y. (2020) ‘</w:t>
      </w:r>
      <w:r>
        <w:rPr>
          <w:rFonts w:eastAsia="宋体"/>
        </w:rPr>
        <w:t>In-school or Out-of-school: Household Spending on Children’s Basic Education in China</w:t>
      </w:r>
      <w:r>
        <w:rPr>
          <w:rFonts w:eastAsia="宋体"/>
          <w:lang w:eastAsia="zh-CN"/>
        </w:rPr>
        <w:t xml:space="preserve">’, </w:t>
      </w:r>
      <w:r>
        <w:rPr>
          <w:rFonts w:eastAsia="宋体"/>
          <w:i/>
          <w:iCs/>
        </w:rPr>
        <w:t>Journal of East China Normal University (Educational Sciences)</w:t>
      </w:r>
      <w:r>
        <w:rPr>
          <w:rFonts w:eastAsia="宋体"/>
        </w:rPr>
        <w:t xml:space="preserve">, </w:t>
      </w:r>
      <w:r>
        <w:rPr>
          <w:rFonts w:eastAsia="宋体"/>
          <w:i/>
          <w:iCs/>
        </w:rPr>
        <w:t>38</w:t>
      </w:r>
      <w:r>
        <w:rPr>
          <w:rFonts w:eastAsia="宋体"/>
        </w:rPr>
        <w:t xml:space="preserve">(5), </w:t>
      </w:r>
      <w:r>
        <w:rPr>
          <w:rFonts w:eastAsia="宋体"/>
          <w:lang w:eastAsia="zh-CN"/>
        </w:rPr>
        <w:t>pp.</w:t>
      </w:r>
      <w:r>
        <w:rPr>
          <w:rFonts w:eastAsia="宋体"/>
        </w:rPr>
        <w:t>103</w:t>
      </w:r>
      <w:r>
        <w:rPr>
          <w:rFonts w:eastAsia="宋体"/>
          <w:lang w:eastAsia="zh-CN"/>
        </w:rPr>
        <w:t>-116</w:t>
      </w:r>
      <w:r>
        <w:rPr>
          <w:rFonts w:eastAsia="宋体"/>
        </w:rPr>
        <w:t>.</w:t>
      </w:r>
    </w:p>
    <w:p>
      <w:pPr>
        <w:rPr>
          <w:rFonts w:eastAsia="宋体"/>
          <w:lang w:eastAsia="zh-CN"/>
        </w:rPr>
      </w:pPr>
    </w:p>
    <w:p>
      <w:pPr>
        <w:rPr>
          <w:rFonts w:eastAsia="宋体"/>
          <w:lang w:eastAsia="zh-CN"/>
        </w:rPr>
      </w:pPr>
      <w:r>
        <w:rPr>
          <w:rFonts w:eastAsia="宋体"/>
          <w:lang w:eastAsia="zh-CN"/>
        </w:rPr>
        <w:t>Wang, L. D., Gong, X., and Pei, C. G. (2019) ‘</w:t>
      </w:r>
      <w:r>
        <w:rPr>
          <w:rFonts w:eastAsia="宋体"/>
        </w:rPr>
        <w:t>Shadow Education Research With Mathematics Education: Its Value and Future Research Area</w:t>
      </w:r>
      <w:r>
        <w:rPr>
          <w:rFonts w:eastAsia="宋体"/>
          <w:lang w:eastAsia="zh-CN"/>
        </w:rPr>
        <w:t xml:space="preserve">’, </w:t>
      </w:r>
      <w:r>
        <w:rPr>
          <w:rFonts w:eastAsia="宋体"/>
          <w:i/>
          <w:iCs/>
        </w:rPr>
        <w:t>JOURNAL OF MATHEMATICS EDUCATION</w:t>
      </w:r>
      <w:r>
        <w:rPr>
          <w:rFonts w:eastAsia="宋体"/>
          <w:lang w:eastAsia="zh-CN"/>
        </w:rPr>
        <w:t>, 28(1), pp.79-82.</w:t>
      </w:r>
    </w:p>
    <w:p>
      <w:pPr>
        <w:rPr>
          <w:rFonts w:eastAsia="宋体"/>
          <w:lang w:eastAsia="zh-CN"/>
        </w:rPr>
      </w:pPr>
    </w:p>
    <w:p>
      <w:pPr>
        <w:rPr>
          <w:rFonts w:eastAsia="宋体"/>
          <w:lang w:eastAsia="zh-CN"/>
        </w:rPr>
      </w:pPr>
      <w:r>
        <w:rPr>
          <w:rFonts w:eastAsia="宋体"/>
          <w:lang w:eastAsia="zh-CN"/>
        </w:rPr>
        <w:t xml:space="preserve">Wang, H. L., and Duan, J. L. (2010) ‘The Inspiration of Imperial Civil Examination System to Current College Entrance Examination Reform’, </w:t>
      </w:r>
      <w:r>
        <w:rPr>
          <w:rFonts w:eastAsia="宋体"/>
          <w:i/>
          <w:iCs/>
          <w:lang w:eastAsia="zh-CN"/>
        </w:rPr>
        <w:t>Journal of ShangQiu Teachers College,</w:t>
      </w:r>
      <w:r>
        <w:rPr>
          <w:rFonts w:eastAsia="宋体"/>
          <w:lang w:eastAsia="zh-CN"/>
        </w:rPr>
        <w:t xml:space="preserve"> 26(11), pp.109-116.</w:t>
      </w:r>
    </w:p>
    <w:p>
      <w:pPr>
        <w:rPr>
          <w:rFonts w:eastAsia="宋体"/>
          <w:lang w:eastAsia="zh-CN"/>
        </w:rPr>
      </w:pPr>
    </w:p>
    <w:p>
      <w:pPr>
        <w:rPr>
          <w:rFonts w:eastAsia="宋体"/>
          <w:lang w:eastAsia="zh-CN"/>
        </w:rPr>
      </w:pPr>
      <w:r>
        <w:rPr>
          <w:rFonts w:eastAsia="宋体"/>
          <w:lang w:eastAsia="zh-CN"/>
        </w:rPr>
        <w:t xml:space="preserve">Wang, J. Y. (1995) ‘Qualitative research and its application in educational research’, </w:t>
      </w:r>
      <w:r>
        <w:rPr>
          <w:rFonts w:eastAsia="宋体"/>
          <w:i/>
          <w:iCs/>
          <w:lang w:eastAsia="zh-CN"/>
        </w:rPr>
        <w:t>Northwest Normal Journal: Social Science Edition</w:t>
      </w:r>
      <w:r>
        <w:rPr>
          <w:rFonts w:eastAsia="宋体"/>
          <w:lang w:eastAsia="zh-CN"/>
        </w:rPr>
        <w:t>, 80(2), pp.69-74.</w:t>
      </w:r>
    </w:p>
    <w:p>
      <w:pPr>
        <w:rPr>
          <w:rFonts w:eastAsia="宋体"/>
          <w:lang w:eastAsia="zh-CN"/>
        </w:rPr>
      </w:pPr>
    </w:p>
    <w:p>
      <w:pPr>
        <w:rPr>
          <w:rFonts w:eastAsia="宋体"/>
        </w:rPr>
      </w:pPr>
      <w:r>
        <w:rPr>
          <w:rFonts w:eastAsia="宋体"/>
        </w:rPr>
        <w:t>Wengraf</w:t>
      </w:r>
      <w:r>
        <w:rPr>
          <w:rFonts w:eastAsia="宋体"/>
          <w:lang w:eastAsia="zh-CN"/>
        </w:rPr>
        <w:t>,</w:t>
      </w:r>
      <w:r>
        <w:rPr>
          <w:rFonts w:eastAsia="宋体"/>
        </w:rPr>
        <w:t xml:space="preserve"> T. (2001) Qualitative Research Interviewing: Biographic Narrative and Semi-structured Methods. SAGE, London.</w:t>
      </w:r>
    </w:p>
    <w:p>
      <w:pPr>
        <w:rPr>
          <w:rFonts w:eastAsia="宋体"/>
        </w:rPr>
      </w:pPr>
    </w:p>
    <w:p>
      <w:pPr>
        <w:rPr>
          <w:rFonts w:eastAsia="宋体"/>
          <w:i/>
          <w:iCs/>
          <w:lang w:eastAsia="zh-CN"/>
        </w:rPr>
      </w:pPr>
      <w:r>
        <w:rPr>
          <w:rFonts w:eastAsia="宋体"/>
          <w:lang w:eastAsia="zh-CN"/>
        </w:rPr>
        <w:t>Wang, S. B., and Zhu, Y. M. (2018) ‘</w:t>
      </w:r>
      <w:r>
        <w:rPr>
          <w:rFonts w:eastAsia="serif"/>
        </w:rPr>
        <w:t>On the Comprehensive Governance in Social Training Agencies</w:t>
      </w:r>
      <w:r>
        <w:rPr>
          <w:rFonts w:eastAsia="宋体"/>
          <w:lang w:eastAsia="zh-CN"/>
        </w:rPr>
        <w:t xml:space="preserve">’, </w:t>
      </w:r>
      <w:r>
        <w:rPr>
          <w:rFonts w:eastAsia="serif"/>
          <w:i/>
          <w:iCs/>
        </w:rPr>
        <w:t>Journal of Schooling Studies</w:t>
      </w:r>
      <w:r>
        <w:rPr>
          <w:rFonts w:eastAsia="宋体"/>
          <w:i/>
          <w:iCs/>
          <w:lang w:eastAsia="zh-CN"/>
        </w:rPr>
        <w:t xml:space="preserve">, </w:t>
      </w:r>
      <w:r>
        <w:rPr>
          <w:rFonts w:eastAsia="宋体"/>
          <w:lang w:eastAsia="zh-CN"/>
        </w:rPr>
        <w:t>15(2), pp.49-54.</w:t>
      </w:r>
    </w:p>
    <w:p>
      <w:pPr>
        <w:rPr>
          <w:rFonts w:eastAsia="宋体"/>
          <w:lang w:eastAsia="zh-CN"/>
        </w:rPr>
      </w:pPr>
    </w:p>
    <w:p>
      <w:pPr>
        <w:rPr>
          <w:rFonts w:eastAsia="宋体"/>
          <w:lang w:eastAsia="zh-CN"/>
        </w:rPr>
      </w:pPr>
      <w:r>
        <w:rPr>
          <w:rFonts w:eastAsia="宋体"/>
          <w:lang w:eastAsia="zh-CN"/>
        </w:rPr>
        <w:t>Xie, Y. X. (2021) ‘</w:t>
      </w:r>
      <w:r>
        <w:rPr>
          <w:rFonts w:ascii="宋体" w:hAnsi="宋体" w:eastAsia="宋体" w:cs="宋体"/>
        </w:rPr>
        <w:t>T</w:t>
      </w:r>
      <w:r>
        <w:rPr>
          <w:rFonts w:eastAsia="宋体"/>
        </w:rPr>
        <w:t>he cultural capital mechanism of stratum reproduction</w:t>
      </w:r>
      <w:r>
        <w:rPr>
          <w:rFonts w:eastAsia="宋体"/>
          <w:lang w:eastAsia="zh-CN"/>
        </w:rPr>
        <w:t xml:space="preserve">’, </w:t>
      </w:r>
      <w:r>
        <w:rPr>
          <w:rFonts w:eastAsia="宋体"/>
          <w:i/>
          <w:iCs/>
        </w:rPr>
        <w:t>Shanghai Educational Research</w:t>
      </w:r>
      <w:r>
        <w:rPr>
          <w:rFonts w:eastAsia="宋体"/>
          <w:i/>
          <w:iCs/>
          <w:lang w:eastAsia="zh-CN"/>
        </w:rPr>
        <w:t>,</w:t>
      </w:r>
      <w:r>
        <w:rPr>
          <w:rFonts w:eastAsia="宋体"/>
          <w:lang w:eastAsia="zh-CN"/>
        </w:rPr>
        <w:t xml:space="preserve"> 3, pp.5-11.</w:t>
      </w:r>
    </w:p>
    <w:p>
      <w:pPr>
        <w:rPr>
          <w:rFonts w:eastAsia="宋体"/>
          <w:lang w:eastAsia="zh-CN"/>
        </w:rPr>
      </w:pPr>
    </w:p>
    <w:p>
      <w:pPr>
        <w:rPr>
          <w:rFonts w:eastAsia="宋体"/>
          <w:lang w:eastAsia="zh-CN"/>
        </w:rPr>
      </w:pPr>
      <w:r>
        <w:rPr>
          <w:rFonts w:eastAsia="宋体"/>
          <w:lang w:eastAsia="zh-CN"/>
        </w:rPr>
        <w:t>Xu, J. Q., and Zhou, Y. X. (2018) ‘</w:t>
      </w:r>
      <w:r>
        <w:rPr>
          <w:rFonts w:eastAsia="宋体"/>
        </w:rPr>
        <w:t>Heterogeneity Level, Shadow Education and Educational Equity</w:t>
      </w:r>
      <w:r>
        <w:rPr>
          <w:rFonts w:eastAsia="宋体"/>
          <w:lang w:eastAsia="zh-CN"/>
        </w:rPr>
        <w:t>’,</w:t>
      </w:r>
      <w:r>
        <w:rPr>
          <w:rFonts w:eastAsia="宋体"/>
          <w:i/>
          <w:iCs/>
          <w:lang w:eastAsia="zh-CN"/>
        </w:rPr>
        <w:t xml:space="preserve"> </w:t>
      </w:r>
      <w:r>
        <w:rPr>
          <w:rFonts w:eastAsia="宋体"/>
          <w:i/>
          <w:iCs/>
        </w:rPr>
        <w:t>Journal of Nantong University Social Science Edition</w:t>
      </w:r>
      <w:r>
        <w:rPr>
          <w:rFonts w:eastAsia="宋体"/>
          <w:lang w:eastAsia="zh-CN"/>
        </w:rPr>
        <w:t>, 9, pp.154-160.</w:t>
      </w:r>
    </w:p>
    <w:p>
      <w:pPr>
        <w:rPr>
          <w:rFonts w:eastAsia="宋体"/>
          <w:lang w:eastAsia="zh-CN"/>
        </w:rPr>
      </w:pPr>
    </w:p>
    <w:p>
      <w:pPr>
        <w:rPr>
          <w:rFonts w:eastAsia="宋体"/>
          <w:lang w:eastAsia="zh-CN"/>
        </w:rPr>
      </w:pPr>
      <w:r>
        <w:rPr>
          <w:rFonts w:eastAsia="宋体"/>
          <w:lang w:eastAsia="zh-CN"/>
        </w:rPr>
        <w:t>Xue, H. P., and Fang, C. C. (2020) ‘Does the Competition for College Entrance Examination Affect Extracurricular Tutoring? An Empirical Analysis Based on Chinese Family Panel Studies’, Peking University Education Review, 18(3), pp.172-192.</w:t>
      </w:r>
    </w:p>
    <w:p>
      <w:pPr>
        <w:rPr>
          <w:rFonts w:eastAsia="宋体"/>
          <w:lang w:eastAsia="zh-CN"/>
        </w:rPr>
      </w:pPr>
    </w:p>
    <w:p>
      <w:pPr>
        <w:rPr>
          <w:rFonts w:eastAsia="宋体"/>
          <w:lang w:eastAsia="zh-CN"/>
        </w:rPr>
      </w:pPr>
      <w:r>
        <w:rPr>
          <w:rFonts w:eastAsia="宋体"/>
          <w:lang w:eastAsia="zh-CN"/>
        </w:rPr>
        <w:t>Xu, W. T., and Ma, L. Y. (2021) ‘</w:t>
      </w:r>
      <w:r>
        <w:rPr>
          <w:rFonts w:eastAsia="sans-serif"/>
        </w:rPr>
        <w:t>Beyond learnification: the educational dilemma and breakthrough of</w:t>
      </w:r>
      <w:r>
        <w:rPr>
          <w:rFonts w:eastAsia="宋体"/>
          <w:lang w:eastAsia="zh-CN"/>
        </w:rPr>
        <w:t xml:space="preserve"> </w:t>
      </w:r>
      <w:r>
        <w:rPr>
          <w:rFonts w:eastAsia="sans-serif"/>
        </w:rPr>
        <w:t>the phenomenon of involution</w:t>
      </w:r>
      <w:r>
        <w:rPr>
          <w:rFonts w:eastAsia="宋体"/>
          <w:lang w:eastAsia="zh-CN"/>
        </w:rPr>
        <w:t xml:space="preserve">’, </w:t>
      </w:r>
      <w:r>
        <w:rPr>
          <w:rFonts w:eastAsia="宋体"/>
          <w:i/>
          <w:iCs/>
          <w:lang w:eastAsia="zh-CN"/>
        </w:rPr>
        <w:t xml:space="preserve">Research in Teaching, </w:t>
      </w:r>
      <w:r>
        <w:rPr>
          <w:rFonts w:eastAsia="宋体"/>
          <w:lang w:eastAsia="zh-CN"/>
        </w:rPr>
        <w:t>44(4), pp.1-10.</w:t>
      </w:r>
    </w:p>
    <w:p>
      <w:pPr>
        <w:rPr>
          <w:rFonts w:eastAsia="宋体"/>
          <w:lang w:eastAsia="zh-CN"/>
        </w:rPr>
      </w:pPr>
    </w:p>
    <w:p>
      <w:pPr>
        <w:rPr>
          <w:rFonts w:eastAsia="宋体"/>
          <w:lang w:eastAsia="zh-CN"/>
        </w:rPr>
      </w:pPr>
      <w:r>
        <w:rPr>
          <w:rFonts w:eastAsia="宋体"/>
          <w:lang w:eastAsia="zh-CN"/>
        </w:rPr>
        <w:t xml:space="preserve">Xue, H. P.,and Diao, L. (2021) ‘China's basic education based on multi-stream theory Analysis of extra-curricular tuition governance policy’, </w:t>
      </w:r>
      <w:r>
        <w:rPr>
          <w:rFonts w:eastAsia="宋体"/>
          <w:i/>
          <w:iCs/>
          <w:lang w:eastAsia="zh-CN"/>
        </w:rPr>
        <w:t>J</w:t>
      </w:r>
      <w:r>
        <w:rPr>
          <w:rFonts w:eastAsia="sans-serif"/>
          <w:i/>
          <w:iCs/>
        </w:rPr>
        <w:t>ournal of Capital Normal University</w:t>
      </w:r>
      <w:r>
        <w:rPr>
          <w:rFonts w:eastAsia="monospace"/>
          <w:i/>
          <w:iCs/>
        </w:rPr>
        <w:t xml:space="preserve"> </w:t>
      </w:r>
      <w:r>
        <w:rPr>
          <w:rFonts w:eastAsia="sans-serif"/>
          <w:i/>
          <w:iCs/>
        </w:rPr>
        <w:t>( Social Sciences Edition)</w:t>
      </w:r>
      <w:r>
        <w:rPr>
          <w:rFonts w:eastAsia="宋体"/>
          <w:lang w:eastAsia="zh-CN"/>
        </w:rPr>
        <w:t>, 258(1), pp.153-166.</w:t>
      </w:r>
    </w:p>
    <w:p>
      <w:pPr>
        <w:rPr>
          <w:rFonts w:eastAsia="宋体"/>
          <w:lang w:eastAsia="zh-CN"/>
        </w:rPr>
      </w:pPr>
    </w:p>
    <w:p>
      <w:pPr>
        <w:rPr>
          <w:rFonts w:eastAsia="宋体"/>
          <w:i/>
          <w:iCs/>
          <w:color w:val="000000" w:themeColor="text1"/>
          <w:lang w:eastAsia="zh-CN"/>
          <w14:textFill>
            <w14:solidFill>
              <w14:schemeClr w14:val="tx1"/>
            </w14:solidFill>
          </w14:textFill>
        </w:rPr>
      </w:pPr>
      <w:r>
        <w:rPr>
          <w:rFonts w:eastAsia="宋体"/>
          <w:color w:val="000000" w:themeColor="text1"/>
          <w:shd w:val="clear" w:color="auto" w:fill="F5F5F5"/>
          <w:lang w:eastAsia="zh-CN"/>
          <w14:textFill>
            <w14:solidFill>
              <w14:schemeClr w14:val="tx1"/>
            </w14:solidFill>
          </w14:textFill>
        </w:rPr>
        <w:t>Yang, X. W. (2017) ‘</w:t>
      </w:r>
      <w:r>
        <w:rPr>
          <w:rFonts w:eastAsia="宋体"/>
        </w:rPr>
        <w:t>From the Abolishment of the Imperial Examinations to the Restoration of the National College Entrance Examination: A Look-back from the Perspective of China’s Modernization</w:t>
      </w:r>
      <w:r>
        <w:rPr>
          <w:rFonts w:eastAsia="宋体"/>
          <w:lang w:eastAsia="zh-CN"/>
        </w:rPr>
        <w:t xml:space="preserve">’, </w:t>
      </w:r>
      <w:r>
        <w:rPr>
          <w:rFonts w:eastAsia="宋体"/>
          <w:i/>
          <w:iCs/>
        </w:rPr>
        <w:t>CHINA EXAMINATIONS</w:t>
      </w:r>
      <w:r>
        <w:rPr>
          <w:rFonts w:eastAsia="宋体"/>
          <w:i/>
          <w:iCs/>
          <w:lang w:eastAsia="zh-CN"/>
        </w:rPr>
        <w:t xml:space="preserve">, </w:t>
      </w:r>
      <w:r>
        <w:rPr>
          <w:rFonts w:eastAsia="宋体"/>
          <w:lang w:eastAsia="zh-CN"/>
        </w:rPr>
        <w:t>297(1), pp.25-31.</w:t>
      </w:r>
    </w:p>
    <w:p>
      <w:pPr>
        <w:rPr>
          <w:rFonts w:eastAsia="宋体"/>
          <w:lang w:eastAsia="zh-CN"/>
        </w:rPr>
      </w:pPr>
    </w:p>
    <w:p>
      <w:pPr>
        <w:rPr>
          <w:rFonts w:eastAsia="宋体"/>
          <w:lang w:eastAsia="zh-CN"/>
        </w:rPr>
      </w:pPr>
    </w:p>
    <w:p>
      <w:pPr>
        <w:rPr>
          <w:rFonts w:eastAsia="宋体"/>
          <w:lang w:eastAsia="zh-CN"/>
        </w:rPr>
      </w:pPr>
    </w:p>
    <w:p>
      <w:pPr>
        <w:rPr>
          <w:rFonts w:eastAsia="宋体"/>
          <w:i/>
          <w:iCs/>
          <w:lang w:eastAsia="zh-CN"/>
        </w:rPr>
      </w:pPr>
      <w:r>
        <w:rPr>
          <w:rFonts w:eastAsia="宋体"/>
          <w:lang w:eastAsia="zh-CN"/>
        </w:rPr>
        <w:t>Yang, B. Y., and Zhang, J. (2021) ‘</w:t>
      </w:r>
      <w:r>
        <w:rPr>
          <w:rFonts w:eastAsia="宋体"/>
        </w:rPr>
        <w:t>Hope and Helplessness: A Qualitative Research of Image Theory on Motivation and Strategy of Parents’Enthusiasm for Supplementary Tutoring</w:t>
      </w:r>
      <w:r>
        <w:rPr>
          <w:rFonts w:eastAsia="宋体"/>
          <w:lang w:eastAsia="zh-CN"/>
        </w:rPr>
        <w:t xml:space="preserve">’, </w:t>
      </w:r>
      <w:r>
        <w:rPr>
          <w:rFonts w:eastAsia="宋体"/>
          <w:i/>
          <w:iCs/>
        </w:rPr>
        <w:t>JOURNAL OF NINGBO UNIVERSITY（EDUCATIONAL SCIENCE EDITION）</w:t>
      </w:r>
      <w:r>
        <w:rPr>
          <w:rFonts w:eastAsia="宋体"/>
          <w:lang w:eastAsia="zh-CN"/>
        </w:rPr>
        <w:t>, 43(5), pp.33-42.</w:t>
      </w:r>
    </w:p>
    <w:p>
      <w:pPr>
        <w:rPr>
          <w:rFonts w:eastAsia="宋体"/>
          <w:lang w:eastAsia="zh-CN"/>
        </w:rPr>
      </w:pPr>
    </w:p>
    <w:p>
      <w:pPr>
        <w:rPr>
          <w:rFonts w:eastAsia="宋体"/>
          <w:i/>
          <w:iCs/>
          <w:lang w:eastAsia="zh-CN"/>
        </w:rPr>
      </w:pPr>
      <w:r>
        <w:rPr>
          <w:rFonts w:eastAsia="宋体"/>
          <w:lang w:eastAsia="zh-CN"/>
        </w:rPr>
        <w:t>Yang, B. C. (2018) ‘</w:t>
      </w:r>
      <w:r>
        <w:rPr>
          <w:rFonts w:eastAsia="宋体"/>
        </w:rPr>
        <w:t>International Experience and Enlightenment of the Governance of Shadow Education</w:t>
      </w:r>
      <w:r>
        <w:rPr>
          <w:rFonts w:eastAsia="宋体"/>
          <w:lang w:eastAsia="zh-CN"/>
        </w:rPr>
        <w:t xml:space="preserve">’, </w:t>
      </w:r>
      <w:r>
        <w:rPr>
          <w:rFonts w:eastAsia="宋体"/>
          <w:i/>
          <w:iCs/>
        </w:rPr>
        <w:t>International and Comparative Education</w:t>
      </w:r>
      <w:r>
        <w:rPr>
          <w:rFonts w:eastAsia="宋体"/>
          <w:lang w:eastAsia="zh-CN"/>
        </w:rPr>
        <w:t>, 343(8), pp.5-13.</w:t>
      </w:r>
    </w:p>
    <w:p>
      <w:pPr>
        <w:rPr>
          <w:rFonts w:eastAsia="宋体"/>
          <w:lang w:eastAsia="zh-CN"/>
        </w:rPr>
      </w:pPr>
    </w:p>
    <w:p>
      <w:pPr>
        <w:rPr>
          <w:rFonts w:eastAsia="宋体"/>
          <w:lang w:eastAsia="zh-CN" w:bidi="ar"/>
        </w:rPr>
      </w:pPr>
      <w:r>
        <w:rPr>
          <w:rFonts w:eastAsia="宋体"/>
          <w:lang w:eastAsia="zh-CN" w:bidi="ar"/>
        </w:rPr>
        <w:t>Yang, H. L. (2012) ‘</w:t>
      </w:r>
      <w:r>
        <w:rPr>
          <w:rFonts w:eastAsia="宋体"/>
        </w:rPr>
        <w:t>On The Challenge of Shadow Education：Private Tutoring and Its Implication for Policy Makers in the European Union: Insights and Suggestions</w:t>
      </w:r>
      <w:r>
        <w:rPr>
          <w:rFonts w:eastAsia="宋体"/>
          <w:lang w:eastAsia="zh-CN"/>
        </w:rPr>
        <w:t xml:space="preserve">’, </w:t>
      </w:r>
      <w:r>
        <w:rPr>
          <w:rFonts w:eastAsia="宋体"/>
          <w:i/>
          <w:iCs/>
          <w:lang w:eastAsia="zh-CN"/>
        </w:rPr>
        <w:t>Foreign primary and secondary education</w:t>
      </w:r>
      <w:r>
        <w:rPr>
          <w:rFonts w:eastAsia="宋体"/>
          <w:lang w:eastAsia="zh-CN"/>
        </w:rPr>
        <w:t>, 31(2), pp.12-16.</w:t>
      </w:r>
    </w:p>
    <w:p>
      <w:pPr>
        <w:rPr>
          <w:rFonts w:eastAsia="宋体"/>
          <w:lang w:eastAsia="zh-CN"/>
        </w:rPr>
      </w:pPr>
    </w:p>
    <w:p>
      <w:pPr>
        <w:rPr>
          <w:rFonts w:eastAsia="宋体"/>
          <w:lang w:eastAsia="zh-CN"/>
        </w:rPr>
      </w:pPr>
      <w:r>
        <w:rPr>
          <w:rFonts w:eastAsia="宋体"/>
          <w:lang w:eastAsia="zh-CN"/>
        </w:rPr>
        <w:t>Yang, H. L. (2012) ‘An Analysis of European Union Shadow Education’, Education Science, 28(4), pp.72-75.</w:t>
      </w:r>
    </w:p>
    <w:p>
      <w:pPr>
        <w:rPr>
          <w:rFonts w:eastAsia="宋体"/>
          <w:lang w:eastAsia="zh-CN"/>
        </w:rPr>
      </w:pPr>
    </w:p>
    <w:p>
      <w:pPr>
        <w:rPr>
          <w:rFonts w:eastAsia="宋体"/>
          <w:lang w:eastAsia="zh-CN"/>
        </w:rPr>
      </w:pPr>
      <w:r>
        <w:rPr>
          <w:rFonts w:eastAsia="宋体"/>
          <w:lang w:eastAsia="zh-CN"/>
        </w:rPr>
        <w:t>Yan, C. (2018) ‘</w:t>
      </w:r>
      <w:r>
        <w:rPr>
          <w:rFonts w:eastAsia="宋体"/>
        </w:rPr>
        <w:t>A Study on the Inducing Factors of Students’ Participation in Tutorial Education Behavior from the Perspective of Collective Behavior Theory</w:t>
      </w:r>
      <w:r>
        <w:rPr>
          <w:rFonts w:eastAsia="宋体"/>
          <w:lang w:eastAsia="zh-CN"/>
        </w:rPr>
        <w:t xml:space="preserve">’, </w:t>
      </w:r>
      <w:r>
        <w:rPr>
          <w:rFonts w:eastAsia="宋体"/>
          <w:i/>
          <w:iCs/>
          <w:lang w:eastAsia="zh-CN"/>
        </w:rPr>
        <w:t xml:space="preserve">Contemporary Youth Research, </w:t>
      </w:r>
      <w:r>
        <w:rPr>
          <w:rFonts w:eastAsia="宋体"/>
          <w:lang w:eastAsia="zh-CN"/>
        </w:rPr>
        <w:t>355(4), pp.41-47.</w:t>
      </w:r>
    </w:p>
    <w:p>
      <w:pPr>
        <w:rPr>
          <w:rFonts w:eastAsia="宋体"/>
          <w:lang w:eastAsia="zh-CN"/>
        </w:rPr>
      </w:pPr>
    </w:p>
    <w:p>
      <w:pPr>
        <w:rPr>
          <w:rFonts w:eastAsia="宋体"/>
          <w:lang w:eastAsia="zh-CN"/>
        </w:rPr>
      </w:pPr>
      <w:r>
        <w:rPr>
          <w:rFonts w:eastAsia="宋体"/>
          <w:lang w:eastAsia="zh-CN"/>
        </w:rPr>
        <w:t>Ye, X. Y., and Ding, Y. Q. (2015) ‘</w:t>
      </w:r>
      <w:r>
        <w:rPr>
          <w:rFonts w:eastAsia="宋体"/>
        </w:rPr>
        <w:t>Expansion of Chinese Higher Education: Educational Quality and Social Stratification</w:t>
      </w:r>
      <w:r>
        <w:rPr>
          <w:rFonts w:eastAsia="宋体"/>
          <w:lang w:eastAsia="zh-CN"/>
        </w:rPr>
        <w:t xml:space="preserve">’, </w:t>
      </w:r>
      <w:r>
        <w:rPr>
          <w:rFonts w:eastAsia="宋体"/>
          <w:i/>
          <w:iCs/>
          <w:lang w:eastAsia="zh-CN"/>
        </w:rPr>
        <w:t>S</w:t>
      </w:r>
      <w:r>
        <w:rPr>
          <w:rFonts w:eastAsia="宋体"/>
          <w:i/>
          <w:iCs/>
        </w:rPr>
        <w:t>ociety</w:t>
      </w:r>
      <w:r>
        <w:rPr>
          <w:rFonts w:eastAsia="宋体"/>
          <w:lang w:eastAsia="zh-CN"/>
        </w:rPr>
        <w:t>, 35(3), pp.195-218.</w:t>
      </w:r>
    </w:p>
    <w:p>
      <w:pPr>
        <w:rPr>
          <w:rFonts w:eastAsia="宋体"/>
          <w:lang w:eastAsia="zh-CN"/>
        </w:rPr>
      </w:pPr>
    </w:p>
    <w:p>
      <w:pPr>
        <w:rPr>
          <w:rFonts w:eastAsia="宋体"/>
          <w:lang w:eastAsia="zh-CN"/>
        </w:rPr>
      </w:pPr>
      <w:r>
        <w:rPr>
          <w:rFonts w:eastAsia="宋体"/>
          <w:lang w:eastAsia="zh-CN"/>
        </w:rPr>
        <w:t>You, M. (2018) ‘</w:t>
      </w:r>
      <w:r>
        <w:rPr>
          <w:rFonts w:eastAsia="宋体"/>
        </w:rPr>
        <w:t>Research on the Development Status of "Shadow Education" in my country</w:t>
      </w:r>
      <w:r>
        <w:rPr>
          <w:rFonts w:eastAsia="宋体"/>
          <w:lang w:eastAsia="zh-CN"/>
        </w:rPr>
        <w:t xml:space="preserve">’, </w:t>
      </w:r>
      <w:r>
        <w:rPr>
          <w:rFonts w:eastAsia="宋体"/>
          <w:i/>
          <w:iCs/>
        </w:rPr>
        <w:t>Western Quality Education</w:t>
      </w:r>
      <w:r>
        <w:rPr>
          <w:rFonts w:eastAsia="宋体"/>
          <w:lang w:eastAsia="zh-CN"/>
        </w:rPr>
        <w:t>, 5(2), pp.16-17.</w:t>
      </w:r>
    </w:p>
    <w:p>
      <w:pPr>
        <w:rPr>
          <w:rFonts w:eastAsia="宋体"/>
          <w:lang w:eastAsia="zh-CN"/>
        </w:rPr>
      </w:pPr>
    </w:p>
    <w:p>
      <w:pPr>
        <w:rPr>
          <w:rFonts w:eastAsia="宋体"/>
          <w:lang w:eastAsia="zh-CN"/>
        </w:rPr>
      </w:pPr>
      <w:r>
        <w:rPr>
          <w:rFonts w:eastAsia="宋体"/>
          <w:lang w:eastAsia="zh-CN"/>
        </w:rPr>
        <w:t>Yang, X. H., and Zhou, X. Z. (2017) ‘</w:t>
      </w:r>
      <w:r>
        <w:rPr>
          <w:rFonts w:eastAsia="宋体"/>
        </w:rPr>
        <w:t>Research on Current Situation and Development Trend of Online Education in China: From Analysis of NetEase Open Class and Other 16 Online Education</w:t>
      </w:r>
      <w:r>
        <w:rPr>
          <w:rFonts w:eastAsia="宋体"/>
          <w:lang w:eastAsia="zh-CN"/>
        </w:rPr>
        <w:t xml:space="preserve">’, </w:t>
      </w:r>
      <w:r>
        <w:rPr>
          <w:rFonts w:eastAsia="宋体"/>
          <w:i/>
          <w:iCs/>
        </w:rPr>
        <w:t>Audio-visual Education Research</w:t>
      </w:r>
      <w:r>
        <w:rPr>
          <w:rFonts w:eastAsia="宋体"/>
          <w:i/>
          <w:iCs/>
          <w:lang w:eastAsia="zh-CN"/>
        </w:rPr>
        <w:t>,</w:t>
      </w:r>
      <w:r>
        <w:rPr>
          <w:rFonts w:eastAsia="宋体"/>
          <w:lang w:eastAsia="zh-CN"/>
        </w:rPr>
        <w:t xml:space="preserve"> 292(8), pp.63-69.</w:t>
      </w:r>
    </w:p>
    <w:p>
      <w:pPr>
        <w:rPr>
          <w:rFonts w:eastAsia="宋体"/>
          <w:lang w:eastAsia="zh-CN"/>
        </w:rPr>
      </w:pPr>
    </w:p>
    <w:p>
      <w:pPr>
        <w:rPr>
          <w:rFonts w:eastAsia="宋体"/>
          <w:lang w:eastAsia="zh-CN"/>
        </w:rPr>
      </w:pPr>
      <w:r>
        <w:rPr>
          <w:rFonts w:eastAsia="宋体"/>
          <w:lang w:eastAsia="zh-CN"/>
        </w:rPr>
        <w:t xml:space="preserve">Yang, X. M., Yang, K. F., and Zhang, Y. R. (2021) ‘Potential Dilemmas and Countermeasures for the Effective Implementation of The “Double Reduction” Policy: Also on the Construction of Online Public Education Service System’, </w:t>
      </w:r>
      <w:r>
        <w:rPr>
          <w:rFonts w:eastAsia="宋体"/>
          <w:i/>
          <w:iCs/>
          <w:lang w:eastAsia="zh-CN"/>
        </w:rPr>
        <w:t>Journal of Sichuan Normal University (Social Sciences Edition)</w:t>
      </w:r>
      <w:r>
        <w:rPr>
          <w:rFonts w:eastAsia="宋体"/>
          <w:lang w:eastAsia="zh-CN"/>
        </w:rPr>
        <w:t>, 48(6), pp.53-61.</w:t>
      </w:r>
    </w:p>
    <w:p>
      <w:pPr>
        <w:rPr>
          <w:rFonts w:eastAsia="宋体"/>
          <w:lang w:eastAsia="zh-CN"/>
        </w:rPr>
      </w:pPr>
    </w:p>
    <w:p>
      <w:pPr>
        <w:rPr>
          <w:rFonts w:eastAsia="宋体"/>
          <w:lang w:eastAsia="zh-CN"/>
        </w:rPr>
      </w:pPr>
      <w:r>
        <w:rPr>
          <w:rFonts w:eastAsia="宋体"/>
          <w:lang w:eastAsia="zh-CN"/>
        </w:rPr>
        <w:t>Yuan, Z. G. (2018) ‘</w:t>
      </w:r>
      <w:r>
        <w:rPr>
          <w:rFonts w:eastAsia="sans-serif"/>
        </w:rPr>
        <w:t xml:space="preserve">Exploration in </w:t>
      </w:r>
      <w:r>
        <w:rPr>
          <w:rFonts w:eastAsia="宋体"/>
          <w:lang w:eastAsia="zh-CN"/>
        </w:rPr>
        <w:t>R</w:t>
      </w:r>
      <w:r>
        <w:rPr>
          <w:rFonts w:eastAsia="sans-serif"/>
        </w:rPr>
        <w:t>eform Context: Improving Gaokao System</w:t>
      </w:r>
    </w:p>
    <w:p>
      <w:pPr>
        <w:rPr>
          <w:rFonts w:eastAsia="宋体"/>
          <w:lang w:eastAsia="zh-CN"/>
        </w:rPr>
      </w:pPr>
      <w:r>
        <w:rPr>
          <w:rFonts w:eastAsia="sans-serif"/>
        </w:rPr>
        <w:t>with Chinese Characteristics</w:t>
      </w:r>
      <w:r>
        <w:rPr>
          <w:rFonts w:eastAsia="宋体"/>
          <w:lang w:eastAsia="zh-CN"/>
        </w:rPr>
        <w:t xml:space="preserve">’, </w:t>
      </w:r>
      <w:r>
        <w:rPr>
          <w:rFonts w:eastAsia="宋体"/>
          <w:i/>
          <w:iCs/>
          <w:lang w:eastAsia="zh-CN"/>
        </w:rPr>
        <w:t xml:space="preserve">Journal of East China Normal University Educational Sciences, </w:t>
      </w:r>
      <w:r>
        <w:rPr>
          <w:rFonts w:eastAsia="宋体"/>
          <w:lang w:eastAsia="zh-CN"/>
        </w:rPr>
        <w:t>1, pp.1-12.</w:t>
      </w:r>
    </w:p>
    <w:p>
      <w:pPr>
        <w:rPr>
          <w:rFonts w:eastAsia="宋体"/>
          <w:lang w:eastAsia="zh-CN"/>
        </w:rPr>
      </w:pPr>
    </w:p>
    <w:p>
      <w:pPr>
        <w:rPr>
          <w:rFonts w:eastAsia="宋体"/>
          <w:lang w:eastAsia="zh-CN"/>
        </w:rPr>
      </w:pPr>
      <w:r>
        <w:rPr>
          <w:rFonts w:eastAsia="宋体"/>
          <w:lang w:eastAsia="zh-CN"/>
        </w:rPr>
        <w:t>Zhen, Y. (2017) ‘</w:t>
      </w:r>
      <w:r>
        <w:rPr>
          <w:rFonts w:eastAsia="宋体"/>
        </w:rPr>
        <w:t>Perspective of my country's Shadow Education</w:t>
      </w:r>
      <w:r>
        <w:rPr>
          <w:rFonts w:eastAsia="宋体"/>
          <w:lang w:eastAsia="zh-CN"/>
        </w:rPr>
        <w:t xml:space="preserve">’, </w:t>
      </w:r>
      <w:r>
        <w:rPr>
          <w:rFonts w:eastAsia="宋体"/>
          <w:i/>
          <w:iCs/>
        </w:rPr>
        <w:t>Teaching and management</w:t>
      </w:r>
      <w:r>
        <w:rPr>
          <w:rFonts w:eastAsia="宋体"/>
          <w:lang w:eastAsia="zh-CN"/>
        </w:rPr>
        <w:t>, 34(4), pp.32-35.</w:t>
      </w:r>
    </w:p>
    <w:p>
      <w:pPr>
        <w:rPr>
          <w:rFonts w:eastAsia="serif"/>
          <w:lang w:eastAsia="zh-CN"/>
        </w:rPr>
      </w:pPr>
    </w:p>
    <w:p>
      <w:pPr>
        <w:rPr>
          <w:rFonts w:eastAsia="宋体"/>
          <w:lang w:eastAsia="zh-CN"/>
        </w:rPr>
      </w:pPr>
      <w:r>
        <w:rPr>
          <w:rFonts w:eastAsia="宋体"/>
          <w:lang w:eastAsia="zh-CN"/>
        </w:rPr>
        <w:t>Zhao, Y. Z. (2020) ‘</w:t>
      </w:r>
      <w:r>
        <w:rPr>
          <w:rFonts w:eastAsia="宋体"/>
        </w:rPr>
        <w:t>The Influence of Shadow Education on my country's Mainstream Education from the Perspective of "Capital Theory"</w:t>
      </w:r>
      <w:r>
        <w:rPr>
          <w:rFonts w:eastAsia="宋体"/>
          <w:lang w:eastAsia="zh-CN"/>
        </w:rPr>
        <w:t xml:space="preserve">’, </w:t>
      </w:r>
      <w:r>
        <w:rPr>
          <w:rFonts w:eastAsia="宋体"/>
          <w:i/>
          <w:iCs/>
        </w:rPr>
        <w:t>Western Quality Education</w:t>
      </w:r>
      <w:r>
        <w:rPr>
          <w:rFonts w:eastAsia="宋体"/>
          <w:i/>
          <w:iCs/>
          <w:lang w:eastAsia="zh-CN"/>
        </w:rPr>
        <w:t xml:space="preserve">, </w:t>
      </w:r>
      <w:r>
        <w:rPr>
          <w:rFonts w:eastAsia="宋体"/>
          <w:lang w:eastAsia="zh-CN"/>
        </w:rPr>
        <w:t>8(2), pp.16-18.</w:t>
      </w:r>
    </w:p>
    <w:p>
      <w:pPr>
        <w:rPr>
          <w:rFonts w:eastAsia="serif"/>
          <w:lang w:eastAsia="zh-CN"/>
        </w:rPr>
      </w:pPr>
    </w:p>
    <w:p>
      <w:pPr>
        <w:rPr>
          <w:rFonts w:eastAsia="宋体"/>
          <w:lang w:eastAsia="zh-CN"/>
        </w:rPr>
      </w:pPr>
      <w:r>
        <w:rPr>
          <w:rFonts w:eastAsia="宋体"/>
          <w:lang w:eastAsia="zh-CN"/>
        </w:rPr>
        <w:t>Zheng, S. C., Ren, T., and Liu, J. W. (2020) ‘</w:t>
      </w:r>
      <w:r>
        <w:rPr>
          <w:rFonts w:eastAsia="宋体"/>
        </w:rPr>
        <w:t>Long-term Shadow Education Governance: Dilemma and Countermeasures</w:t>
      </w:r>
      <w:r>
        <w:rPr>
          <w:rFonts w:eastAsia="宋体"/>
          <w:lang w:eastAsia="zh-CN"/>
        </w:rPr>
        <w:t xml:space="preserve">’, </w:t>
      </w:r>
      <w:r>
        <w:rPr>
          <w:rFonts w:eastAsia="宋体"/>
          <w:i/>
          <w:iCs/>
        </w:rPr>
        <w:t>Chinese Journal of Education</w:t>
      </w:r>
      <w:r>
        <w:rPr>
          <w:rFonts w:eastAsia="宋体"/>
          <w:lang w:eastAsia="zh-CN"/>
        </w:rPr>
        <w:t>, 10, pp.58-63.</w:t>
      </w:r>
    </w:p>
    <w:p>
      <w:pPr>
        <w:rPr>
          <w:rFonts w:eastAsia="宋体"/>
          <w:lang w:eastAsia="zh-CN"/>
        </w:rPr>
      </w:pPr>
    </w:p>
    <w:p>
      <w:pPr>
        <w:rPr>
          <w:rFonts w:eastAsia="宋体"/>
          <w:lang w:eastAsia="zh-CN"/>
        </w:rPr>
      </w:pPr>
      <w:r>
        <w:rPr>
          <w:rFonts w:eastAsia="宋体"/>
          <w:lang w:eastAsia="zh-CN"/>
        </w:rPr>
        <w:t>Zhang, Y. W. (2019) ‘R</w:t>
      </w:r>
      <w:r>
        <w:rPr>
          <w:rFonts w:eastAsia="宋体"/>
        </w:rPr>
        <w:t>ational and Dilemma: the Contradiction of the Ｒole of Shadow Education in China and the Suggestion of Governance</w:t>
      </w:r>
      <w:r>
        <w:rPr>
          <w:rFonts w:eastAsia="宋体"/>
          <w:lang w:eastAsia="zh-CN"/>
        </w:rPr>
        <w:t xml:space="preserve">’, </w:t>
      </w:r>
      <w:r>
        <w:rPr>
          <w:rFonts w:eastAsia="宋体"/>
          <w:i/>
          <w:iCs/>
          <w:lang w:eastAsia="zh-CN"/>
        </w:rPr>
        <w:t>Hebei Normal University of Science &amp; Technology (Social Sciences),</w:t>
      </w:r>
      <w:r>
        <w:rPr>
          <w:rFonts w:eastAsia="宋体"/>
          <w:lang w:eastAsia="zh-CN"/>
        </w:rPr>
        <w:t xml:space="preserve"> 18(4), pp.104-108.</w:t>
      </w:r>
    </w:p>
    <w:p>
      <w:pPr>
        <w:rPr>
          <w:rFonts w:eastAsia="宋体"/>
          <w:lang w:eastAsia="zh-CN"/>
        </w:rPr>
      </w:pPr>
    </w:p>
    <w:p>
      <w:pPr>
        <w:rPr>
          <w:rFonts w:eastAsia="宋体"/>
          <w:lang w:eastAsia="zh-CN"/>
        </w:rPr>
      </w:pPr>
      <w:r>
        <w:rPr>
          <w:rFonts w:eastAsia="宋体"/>
          <w:lang w:eastAsia="zh-CN"/>
        </w:rPr>
        <w:t>Zhu, J. (2018) ‘A comparison of the "imperial examination" and the college entrance examination system and its inspiration’,</w:t>
      </w:r>
      <w:r>
        <w:rPr>
          <w:rFonts w:eastAsia="宋体"/>
          <w:i/>
          <w:iCs/>
          <w:lang w:eastAsia="zh-CN"/>
        </w:rPr>
        <w:t xml:space="preserve"> Science and Technology, </w:t>
      </w:r>
      <w:r>
        <w:rPr>
          <w:rFonts w:eastAsia="宋体"/>
          <w:lang w:eastAsia="zh-CN"/>
        </w:rPr>
        <w:t>6, pp.27-35.</w:t>
      </w:r>
    </w:p>
    <w:p>
      <w:pPr>
        <w:rPr>
          <w:rFonts w:eastAsia="serif"/>
          <w:lang w:eastAsia="zh-CN"/>
        </w:rPr>
      </w:pPr>
    </w:p>
    <w:p>
      <w:pPr>
        <w:rPr>
          <w:rFonts w:eastAsia="宋体"/>
          <w:lang w:eastAsia="zh-CN"/>
        </w:rPr>
      </w:pPr>
      <w:r>
        <w:rPr>
          <w:rFonts w:eastAsia="宋体"/>
          <w:lang w:eastAsia="zh-CN"/>
        </w:rPr>
        <w:t>Zhou, L., and Zhou, C. W. (2017) ‘</w:t>
      </w:r>
      <w:r>
        <w:rPr>
          <w:rFonts w:eastAsia="宋体"/>
        </w:rPr>
        <w:t>The Development and Its Implications of the Governance Policies of Shadow Education in Korea</w:t>
      </w:r>
      <w:r>
        <w:rPr>
          <w:rFonts w:eastAsia="宋体"/>
          <w:lang w:eastAsia="zh-CN"/>
        </w:rPr>
        <w:t xml:space="preserve">’, </w:t>
      </w:r>
      <w:r>
        <w:rPr>
          <w:rFonts w:eastAsia="宋体"/>
          <w:i/>
          <w:iCs/>
        </w:rPr>
        <w:t>Studies in Foreign Education</w:t>
      </w:r>
      <w:r>
        <w:rPr>
          <w:rFonts w:eastAsia="宋体"/>
          <w:lang w:eastAsia="zh-CN"/>
        </w:rPr>
        <w:t>, 44(323), pp.66-76.</w:t>
      </w:r>
    </w:p>
    <w:p>
      <w:pPr>
        <w:rPr>
          <w:rFonts w:eastAsia="serif"/>
          <w:lang w:eastAsia="zh-CN"/>
        </w:rPr>
      </w:pPr>
    </w:p>
    <w:p>
      <w:pPr>
        <w:rPr>
          <w:rFonts w:eastAsia="宋体"/>
        </w:rPr>
      </w:pPr>
    </w:p>
    <w:p>
      <w:pPr>
        <w:rPr>
          <w:rFonts w:eastAsia="宋体"/>
        </w:rPr>
      </w:pPr>
    </w:p>
    <w:p>
      <w:pPr>
        <w:rPr>
          <w:rFonts w:eastAsia="宋体"/>
        </w:rPr>
      </w:pPr>
    </w:p>
    <w:p>
      <w:pPr>
        <w:rPr>
          <w:rFonts w:eastAsia="宋体"/>
        </w:rPr>
      </w:pPr>
    </w:p>
    <w:p>
      <w:pPr>
        <w:rPr>
          <w:rFonts w:eastAsia="宋体"/>
        </w:rPr>
      </w:pPr>
    </w:p>
    <w:p>
      <w:pPr>
        <w:rPr>
          <w:rFonts w:eastAsia="宋体"/>
        </w:rPr>
      </w:pPr>
    </w:p>
    <w:p>
      <w:pPr>
        <w:rPr>
          <w:rFonts w:eastAsia="宋体"/>
        </w:rPr>
      </w:pPr>
    </w:p>
    <w:p>
      <w:pPr>
        <w:rPr>
          <w:rFonts w:eastAsia="宋体"/>
        </w:rPr>
      </w:pPr>
    </w:p>
    <w:p>
      <w:pPr>
        <w:rPr>
          <w:rFonts w:eastAsia="宋体"/>
        </w:rPr>
      </w:pPr>
    </w:p>
    <w:p>
      <w:pPr>
        <w:rPr>
          <w:rFonts w:eastAsia="宋体"/>
        </w:rPr>
      </w:pPr>
    </w:p>
    <w:p>
      <w:pPr>
        <w:rPr>
          <w:rFonts w:eastAsia="宋体"/>
        </w:rPr>
      </w:pPr>
    </w:p>
    <w:p>
      <w:pPr>
        <w:rPr>
          <w:rFonts w:eastAsia="宋体"/>
        </w:rPr>
      </w:pPr>
    </w:p>
    <w:p>
      <w:pPr>
        <w:rPr>
          <w:rFonts w:eastAsia="宋体"/>
          <w:lang w:eastAsia="zh-CN"/>
        </w:rPr>
      </w:pPr>
    </w:p>
    <w:p>
      <w:pPr>
        <w:rPr>
          <w:color w:val="000000" w:themeColor="text1"/>
          <w:lang w:eastAsia="zh-CN"/>
          <w14:textFill>
            <w14:solidFill>
              <w14:schemeClr w14:val="tx1"/>
            </w14:solidFill>
          </w14:textFill>
        </w:rPr>
      </w:pPr>
      <w:r>
        <w:rPr>
          <w:rStyle w:val="14"/>
          <w:b/>
          <w:color w:val="000000" w:themeColor="text1"/>
          <w:u w:val="none"/>
          <w14:textFill>
            <w14:solidFill>
              <w14:schemeClr w14:val="tx1"/>
            </w14:solidFill>
          </w14:textFill>
        </w:rPr>
        <w:t>8.</w:t>
      </w:r>
      <w:r>
        <w:rPr>
          <w:rFonts w:ascii="Calibri" w:hAnsi="Calibri"/>
          <w:color w:val="000000" w:themeColor="text1"/>
          <w:sz w:val="22"/>
          <w:szCs w:val="22"/>
          <w14:textFill>
            <w14:solidFill>
              <w14:schemeClr w14:val="tx1"/>
            </w14:solidFill>
          </w14:textFill>
        </w:rPr>
        <w:tab/>
      </w:r>
      <w:r>
        <w:rPr>
          <w:rStyle w:val="14"/>
          <w:b/>
          <w:color w:val="000000" w:themeColor="text1"/>
          <w:u w:val="none"/>
          <w14:textFill>
            <w14:solidFill>
              <w14:schemeClr w14:val="tx1"/>
            </w14:solidFill>
          </w14:textFill>
        </w:rPr>
        <w:t>APPENDICES</w:t>
      </w:r>
    </w:p>
    <w:p>
      <w:pPr>
        <w:rPr>
          <w:rFonts w:eastAsia="宋体"/>
          <w:lang w:eastAsia="zh-CN"/>
        </w:rPr>
      </w:pPr>
    </w:p>
    <w:p>
      <w:pPr>
        <w:rPr>
          <w:rFonts w:eastAsia="宋体"/>
          <w:lang w:eastAsia="zh-CN"/>
        </w:rPr>
      </w:pPr>
      <w:r>
        <w:rPr>
          <w:rFonts w:eastAsia="宋体"/>
          <w:lang w:eastAsia="zh-CN"/>
        </w:rPr>
        <w:t>8.1. Ethics Form</w:t>
      </w:r>
    </w:p>
    <w:p>
      <w:pPr>
        <w:rPr>
          <w:rFonts w:eastAsia="宋体"/>
          <w:lang w:eastAsia="zh-CN"/>
        </w:rPr>
      </w:pPr>
    </w:p>
    <w:p>
      <w:pPr>
        <w:tabs>
          <w:tab w:val="left" w:pos="5103"/>
        </w:tabs>
        <w:jc w:val="center"/>
        <w:rPr>
          <w:rFonts w:ascii="Arial" w:hAnsi="Arial" w:cs="Arial"/>
          <w:b/>
          <w:bCs/>
        </w:rPr>
      </w:pPr>
      <w:r>
        <w:rPr>
          <w:rFonts w:ascii="Arial" w:hAnsi="Arial" w:cs="Arial"/>
          <w:b/>
          <w:bCs/>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8"/>
        <w:tblW w:w="1001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36"/>
        <w:gridCol w:w="2439"/>
        <w:gridCol w:w="680"/>
        <w:gridCol w:w="2446"/>
        <w:gridCol w:w="679"/>
        <w:gridCol w:w="2422"/>
        <w:gridCol w:w="817"/>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48" w:hRule="atLeast"/>
        </w:trPr>
        <w:tc>
          <w:tcPr>
            <w:tcW w:w="53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119"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364" w:type="dxa"/>
            <w:gridSpan w:val="4"/>
            <w:vAlign w:val="center"/>
          </w:tcPr>
          <w:p>
            <w:pPr>
              <w:rPr>
                <w:rFonts w:ascii="Arial" w:hAnsi="Arial" w:eastAsia="宋体" w:cs="Arial"/>
                <w:sz w:val="22"/>
                <w:szCs w:val="22"/>
                <w:lang w:eastAsia="zh-CN"/>
              </w:rPr>
            </w:pPr>
            <w:r>
              <w:rPr>
                <w:rFonts w:ascii="Arial" w:hAnsi="Arial" w:eastAsia="宋体" w:cs="Arial"/>
                <w:sz w:val="22"/>
                <w:szCs w:val="22"/>
                <w:lang w:eastAsia="zh-CN"/>
              </w:rPr>
              <w:t>Shang Xia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631" w:hRule="atLeast"/>
        </w:trPr>
        <w:tc>
          <w:tcPr>
            <w:tcW w:w="536"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119"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44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679"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Arial"/>
                <w:sz w:val="22"/>
                <w:szCs w:val="22"/>
              </w:rPr>
              <w:t>☐</w:t>
            </w:r>
          </w:p>
        </w:tc>
        <w:tc>
          <w:tcPr>
            <w:tcW w:w="2422"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17"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646" w:hRule="atLeast"/>
        </w:trPr>
        <w:tc>
          <w:tcPr>
            <w:tcW w:w="536" w:type="dxa"/>
            <w:shd w:val="clear" w:color="auto" w:fill="F1F1F1" w:themeFill="background1" w:themeFillShade="F2"/>
            <w:vAlign w:val="center"/>
          </w:tcPr>
          <w:p>
            <w:pPr>
              <w:rPr>
                <w:rFonts w:ascii="Arial" w:hAnsi="Arial" w:cs="Arial"/>
                <w:sz w:val="22"/>
                <w:szCs w:val="22"/>
              </w:rPr>
            </w:pPr>
          </w:p>
        </w:tc>
        <w:tc>
          <w:tcPr>
            <w:tcW w:w="243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680"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Arial"/>
                    <w:sz w:val="22"/>
                    <w:szCs w:val="22"/>
                  </w:rPr>
                  <w:t>☐</w:t>
                </w:r>
              </w:p>
            </w:tc>
          </w:sdtContent>
        </w:sdt>
        <w:tc>
          <w:tcPr>
            <w:tcW w:w="244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679"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Arial"/>
                    <w:sz w:val="22"/>
                    <w:szCs w:val="22"/>
                  </w:rPr>
                  <w:t>☒</w:t>
                </w:r>
              </w:p>
            </w:tc>
          </w:sdtContent>
        </w:sdt>
        <w:tc>
          <w:tcPr>
            <w:tcW w:w="2422"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17"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Arial"/>
                    <w:sz w:val="22"/>
                    <w:szCs w:val="22"/>
                  </w:rPr>
                  <w:t>☐</w:t>
                </w:r>
              </w:p>
            </w:tc>
          </w:sdtContent>
        </w:sdt>
      </w:tr>
    </w:tbl>
    <w:p>
      <w:pPr>
        <w:rPr>
          <w:rFonts w:ascii="Arial" w:hAnsi="Arial" w:cs="Arial"/>
          <w:bCs/>
          <w:iCs/>
          <w:sz w:val="16"/>
          <w:szCs w:val="16"/>
        </w:rPr>
      </w:pPr>
    </w:p>
    <w:tbl>
      <w:tblPr>
        <w:tblStyle w:val="8"/>
        <w:tblW w:w="1001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36"/>
        <w:gridCol w:w="3119"/>
        <w:gridCol w:w="6364"/>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630" w:hRule="atLeast"/>
        </w:trPr>
        <w:tc>
          <w:tcPr>
            <w:tcW w:w="53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11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364" w:type="dxa"/>
            <w:vAlign w:val="center"/>
          </w:tcPr>
          <w:p>
            <w:pPr>
              <w:rPr>
                <w:rFonts w:ascii="Arial" w:hAnsi="Arial" w:cs="Arial"/>
                <w:sz w:val="22"/>
                <w:szCs w:val="22"/>
              </w:rPr>
            </w:pPr>
            <w:r>
              <w:rPr>
                <w:rFonts w:ascii="Arial" w:hAnsi="Arial" w:cs="Arial"/>
                <w:sz w:val="22"/>
                <w:szCs w:val="22"/>
              </w:rPr>
              <w:t>University of Wales Trinity Saint David</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50" w:hRule="atLeast"/>
        </w:trPr>
        <w:tc>
          <w:tcPr>
            <w:tcW w:w="53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11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364" w:type="dxa"/>
            <w:vAlign w:val="center"/>
          </w:tcPr>
          <w:p>
            <w:pPr>
              <w:rPr>
                <w:rFonts w:ascii="Arial" w:hAnsi="Arial" w:eastAsia="宋体" w:cs="Arial"/>
                <w:sz w:val="22"/>
                <w:szCs w:val="22"/>
                <w:lang w:eastAsia="zh-CN"/>
              </w:rPr>
            </w:pPr>
            <w:r>
              <w:rPr>
                <w:rFonts w:ascii="Arial" w:hAnsi="Arial" w:eastAsia="宋体" w:cs="Arial"/>
                <w:sz w:val="22"/>
                <w:szCs w:val="22"/>
                <w:lang w:eastAsia="zh-CN"/>
              </w:rPr>
              <w:t>Swansea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630" w:hRule="atLeast"/>
        </w:trPr>
        <w:tc>
          <w:tcPr>
            <w:tcW w:w="53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11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364" w:type="dxa"/>
            <w:vAlign w:val="center"/>
          </w:tcPr>
          <w:p>
            <w:pPr>
              <w:rPr>
                <w:rFonts w:ascii="Arial" w:hAnsi="Arial" w:eastAsia="宋体" w:cs="Arial"/>
                <w:sz w:val="22"/>
                <w:szCs w:val="22"/>
                <w:lang w:eastAsia="zh-CN"/>
              </w:rPr>
            </w:pPr>
            <w:r>
              <w:rPr>
                <w:rFonts w:ascii="Arial" w:hAnsi="Arial" w:eastAsia="宋体" w:cs="Arial"/>
                <w:sz w:val="22"/>
                <w:szCs w:val="22"/>
                <w:lang w:eastAsia="zh-CN"/>
              </w:rPr>
              <w:t>2006940@student.uwtsd.ac.uk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50" w:hRule="atLeast"/>
        </w:trPr>
        <w:tc>
          <w:tcPr>
            <w:tcW w:w="53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11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364" w:type="dxa"/>
            <w:vAlign w:val="center"/>
          </w:tcPr>
          <w:p>
            <w:pPr>
              <w:rPr>
                <w:rFonts w:ascii="Arial" w:hAnsi="Arial" w:eastAsia="宋体" w:cs="Arial"/>
                <w:sz w:val="22"/>
                <w:szCs w:val="22"/>
                <w:lang w:eastAsia="zh-CN"/>
              </w:rPr>
            </w:pPr>
            <w:r>
              <w:rPr>
                <w:rFonts w:ascii="Arial" w:hAnsi="Arial" w:eastAsia="宋体" w:cs="Arial"/>
                <w:sz w:val="22"/>
                <w:szCs w:val="22"/>
                <w:lang w:eastAsia="zh-CN"/>
              </w:rPr>
              <w:t>+447903685591</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323" w:hRule="atLeast"/>
        </w:trPr>
        <w:tc>
          <w:tcPr>
            <w:tcW w:w="536" w:type="dxa"/>
            <w:shd w:val="clear" w:color="auto" w:fill="BEBEBE" w:themeFill="background1" w:themeFillShade="BF"/>
            <w:vAlign w:val="center"/>
          </w:tcPr>
          <w:p>
            <w:pPr>
              <w:rPr>
                <w:rFonts w:ascii="Arial" w:hAnsi="Arial" w:cs="Arial"/>
                <w:b/>
                <w:i/>
                <w:sz w:val="22"/>
                <w:szCs w:val="22"/>
              </w:rPr>
            </w:pPr>
          </w:p>
        </w:tc>
        <w:tc>
          <w:tcPr>
            <w:tcW w:w="9483"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21" w:hRule="atLeast"/>
        </w:trPr>
        <w:tc>
          <w:tcPr>
            <w:tcW w:w="53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11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364" w:type="dxa"/>
            <w:vAlign w:val="center"/>
          </w:tcPr>
          <w:p>
            <w:pPr>
              <w:rPr>
                <w:rFonts w:ascii="Arial" w:hAnsi="Arial" w:eastAsia="宋体" w:cs="Arial"/>
                <w:sz w:val="22"/>
                <w:szCs w:val="22"/>
                <w:lang w:eastAsia="zh-CN"/>
              </w:rPr>
            </w:pPr>
            <w:r>
              <w:rPr>
                <w:rFonts w:ascii="Arial" w:hAnsi="Arial" w:eastAsia="宋体" w:cs="Arial"/>
                <w:sz w:val="22"/>
                <w:szCs w:val="22"/>
                <w:lang w:eastAsia="zh-CN"/>
              </w:rPr>
              <w:t>2006940</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6" w:hRule="atLeast"/>
        </w:trPr>
        <w:tc>
          <w:tcPr>
            <w:tcW w:w="53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11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364" w:type="dxa"/>
            <w:vAlign w:val="center"/>
          </w:tcPr>
          <w:p>
            <w:pPr>
              <w:rPr>
                <w:rFonts w:ascii="Arial" w:hAnsi="Arial" w:eastAsia="宋体" w:cs="Arial"/>
                <w:sz w:val="22"/>
                <w:szCs w:val="22"/>
                <w:lang w:eastAsia="zh-CN"/>
              </w:rPr>
            </w:pPr>
            <w:r>
              <w:rPr>
                <w:rFonts w:ascii="Arial" w:hAnsi="Arial" w:eastAsia="宋体" w:cs="Arial"/>
                <w:sz w:val="22"/>
                <w:szCs w:val="22"/>
                <w:lang w:eastAsia="zh-CN"/>
              </w:rPr>
              <w:t>MA Well-being, Learning&amp;Professional Development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79" w:hRule="atLeast"/>
        </w:trPr>
        <w:tc>
          <w:tcPr>
            <w:tcW w:w="53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11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364" w:type="dxa"/>
            <w:vAlign w:val="center"/>
          </w:tcPr>
          <w:p>
            <w:pPr>
              <w:rPr>
                <w:rFonts w:ascii="Arial" w:hAnsi="Arial" w:cs="Arial"/>
                <w:sz w:val="22"/>
                <w:szCs w:val="22"/>
              </w:rPr>
            </w:pPr>
            <w:r>
              <w:rPr>
                <w:rFonts w:ascii="Arial" w:hAnsi="Arial" w:cs="Arial"/>
                <w:sz w:val="22"/>
                <w:szCs w:val="22"/>
              </w:rPr>
              <w:t>Alison Rees Edwards</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B: Approval for Research Activity</w:t>
      </w:r>
    </w:p>
    <w:tbl>
      <w:tblPr>
        <w:tblStyle w:val="9"/>
        <w:tblW w:w="977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24"/>
        <w:gridCol w:w="3446"/>
        <w:gridCol w:w="2369"/>
        <w:gridCol w:w="926"/>
        <w:gridCol w:w="793"/>
        <w:gridCol w:w="925"/>
        <w:gridCol w:w="79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32" w:hRule="atLeast"/>
        </w:trPr>
        <w:tc>
          <w:tcPr>
            <w:tcW w:w="524"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1</w:t>
            </w:r>
          </w:p>
        </w:tc>
        <w:tc>
          <w:tcPr>
            <w:tcW w:w="5815" w:type="dxa"/>
            <w:gridSpan w:val="2"/>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Has the research activity received approval in principle?</w:t>
            </w:r>
          </w:p>
          <w:p>
            <w:pPr>
              <w:widowControl w:val="0"/>
              <w:autoSpaceDE w:val="0"/>
              <w:autoSpaceDN w:val="0"/>
              <w:adjustRightInd w:val="0"/>
              <w:jc w:val="both"/>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26" w:type="dxa"/>
            <w:shd w:val="clear" w:color="auto" w:fill="F1F1F1" w:themeFill="background1" w:themeFillShade="F2"/>
            <w:vAlign w:val="center"/>
          </w:tcPr>
          <w:p>
            <w:pPr>
              <w:widowControl w:val="0"/>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793" w:type="dxa"/>
                <w:shd w:val="clear" w:color="auto" w:fill="BEBEBE" w:themeFill="background1" w:themeFillShade="BF"/>
                <w:vAlign w:val="center"/>
              </w:tcPr>
              <w:p>
                <w:pPr>
                  <w:widowControl w:val="0"/>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25" w:type="dxa"/>
            <w:shd w:val="clear" w:color="auto" w:fill="F1F1F1" w:themeFill="background1" w:themeFillShade="F2"/>
            <w:vAlign w:val="center"/>
          </w:tcPr>
          <w:p>
            <w:pPr>
              <w:widowControl w:val="0"/>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794" w:type="dxa"/>
                <w:shd w:val="clear" w:color="auto" w:fill="BEBEBE" w:themeFill="background1" w:themeFillShade="BF"/>
                <w:vAlign w:val="center"/>
              </w:tcPr>
              <w:p>
                <w:pPr>
                  <w:widowControl w:val="0"/>
                  <w:autoSpaceDE w:val="0"/>
                  <w:autoSpaceDN w:val="0"/>
                  <w:adjustRightInd w:val="0"/>
                  <w:jc w:val="center"/>
                  <w:rPr>
                    <w:rFonts w:ascii="Arial" w:hAnsi="Arial" w:cs="Arial"/>
                    <w:b/>
                    <w:sz w:val="22"/>
                    <w:szCs w:val="22"/>
                  </w:rPr>
                </w:pPr>
                <w:r>
                  <w:rPr>
                    <w:rFonts w:ascii="MS Gothic" w:hAnsi="MS Gothic" w:eastAsia="MS Gothic" w:cs="Arial"/>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6" w:hRule="atLeast"/>
        </w:trPr>
        <w:tc>
          <w:tcPr>
            <w:tcW w:w="524" w:type="dxa"/>
            <w:shd w:val="clear" w:color="auto" w:fill="F1F1F1" w:themeFill="background1" w:themeFillShade="F2"/>
          </w:tcPr>
          <w:p>
            <w:pPr>
              <w:widowControl w:val="0"/>
              <w:autoSpaceDE w:val="0"/>
              <w:autoSpaceDN w:val="0"/>
              <w:adjustRightInd w:val="0"/>
              <w:jc w:val="both"/>
              <w:rPr>
                <w:rFonts w:ascii="Arial" w:hAnsi="Arial" w:cs="Arial"/>
                <w:b/>
                <w:bCs/>
                <w:sz w:val="22"/>
                <w:szCs w:val="22"/>
              </w:rPr>
            </w:pPr>
          </w:p>
        </w:tc>
        <w:tc>
          <w:tcPr>
            <w:tcW w:w="7534" w:type="dxa"/>
            <w:gridSpan w:val="4"/>
            <w:shd w:val="clear" w:color="auto" w:fill="F1F1F1" w:themeFill="background1" w:themeFillShade="F2"/>
          </w:tcPr>
          <w:p>
            <w:pPr>
              <w:widowControl w:val="0"/>
              <w:autoSpaceDE w:val="0"/>
              <w:autoSpaceDN w:val="0"/>
              <w:adjustRightInd w:val="0"/>
              <w:jc w:val="both"/>
              <w:rPr>
                <w:rFonts w:ascii="Arial" w:hAnsi="Arial" w:cs="Arial"/>
                <w:b/>
                <w:bCs/>
                <w:sz w:val="22"/>
                <w:szCs w:val="22"/>
              </w:rPr>
            </w:pPr>
          </w:p>
        </w:tc>
        <w:tc>
          <w:tcPr>
            <w:tcW w:w="1719" w:type="dxa"/>
            <w:gridSpan w:val="2"/>
            <w:shd w:val="clear" w:color="auto" w:fill="F1F1F1" w:themeFill="background1" w:themeFillShade="F2"/>
          </w:tcPr>
          <w:p>
            <w:pPr>
              <w:widowControl w:val="0"/>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8" w:hRule="atLeast"/>
        </w:trPr>
        <w:tc>
          <w:tcPr>
            <w:tcW w:w="524" w:type="dxa"/>
            <w:vMerge w:val="restart"/>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2</w:t>
            </w:r>
          </w:p>
        </w:tc>
        <w:tc>
          <w:tcPr>
            <w:tcW w:w="3446" w:type="dxa"/>
            <w:vMerge w:val="restart"/>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295" w:type="dxa"/>
            <w:gridSpan w:val="2"/>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793" w:type="dxa"/>
                <w:shd w:val="clear" w:color="auto" w:fill="BEBEBE" w:themeFill="background1" w:themeFillShade="BF"/>
                <w:vAlign w:val="center"/>
              </w:tcPr>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tc>
          </w:sdtContent>
        </w:sdt>
        <w:tc>
          <w:tcPr>
            <w:tcW w:w="1719" w:type="dxa"/>
            <w:gridSpan w:val="2"/>
            <w:vAlign w:val="center"/>
          </w:tcPr>
          <w:p>
            <w:pPr>
              <w:widowControl w:val="0"/>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24" w:type="dxa"/>
            <w:vMerge w:val="continue"/>
            <w:shd w:val="clear" w:color="auto" w:fill="F1F1F1" w:themeFill="background1" w:themeFillShade="F2"/>
          </w:tcPr>
          <w:p>
            <w:pPr>
              <w:widowControl w:val="0"/>
              <w:autoSpaceDE w:val="0"/>
              <w:autoSpaceDN w:val="0"/>
              <w:adjustRightInd w:val="0"/>
              <w:jc w:val="both"/>
              <w:rPr>
                <w:rFonts w:ascii="Arial" w:hAnsi="Arial" w:cs="Arial"/>
                <w:sz w:val="22"/>
                <w:szCs w:val="22"/>
              </w:rPr>
            </w:pPr>
          </w:p>
        </w:tc>
        <w:tc>
          <w:tcPr>
            <w:tcW w:w="3446" w:type="dxa"/>
            <w:vMerge w:val="continue"/>
            <w:shd w:val="clear" w:color="auto" w:fill="F1F1F1" w:themeFill="background1" w:themeFillShade="F2"/>
          </w:tcPr>
          <w:p>
            <w:pPr>
              <w:widowControl w:val="0"/>
              <w:autoSpaceDE w:val="0"/>
              <w:autoSpaceDN w:val="0"/>
              <w:adjustRightInd w:val="0"/>
              <w:jc w:val="both"/>
              <w:rPr>
                <w:rFonts w:ascii="Arial" w:hAnsi="Arial" w:cs="Arial"/>
                <w:sz w:val="22"/>
                <w:szCs w:val="22"/>
              </w:rPr>
            </w:pPr>
          </w:p>
        </w:tc>
        <w:tc>
          <w:tcPr>
            <w:tcW w:w="3295" w:type="dxa"/>
            <w:gridSpan w:val="2"/>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793" w:type="dxa"/>
                <w:shd w:val="clear" w:color="auto" w:fill="BEBEBE" w:themeFill="background1" w:themeFillShade="BF"/>
                <w:vAlign w:val="center"/>
              </w:tcPr>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tc>
          </w:sdtContent>
        </w:sdt>
        <w:tc>
          <w:tcPr>
            <w:tcW w:w="1719" w:type="dxa"/>
            <w:gridSpan w:val="2"/>
            <w:vAlign w:val="center"/>
          </w:tcPr>
          <w:p>
            <w:pPr>
              <w:widowControl w:val="0"/>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99" w:hRule="atLeast"/>
        </w:trPr>
        <w:tc>
          <w:tcPr>
            <w:tcW w:w="524" w:type="dxa"/>
            <w:vMerge w:val="continue"/>
            <w:shd w:val="clear" w:color="auto" w:fill="F1F1F1" w:themeFill="background1" w:themeFillShade="F2"/>
          </w:tcPr>
          <w:p>
            <w:pPr>
              <w:widowControl w:val="0"/>
              <w:autoSpaceDE w:val="0"/>
              <w:autoSpaceDN w:val="0"/>
              <w:adjustRightInd w:val="0"/>
              <w:jc w:val="both"/>
              <w:rPr>
                <w:rFonts w:ascii="Arial" w:hAnsi="Arial" w:cs="Arial"/>
                <w:sz w:val="22"/>
                <w:szCs w:val="22"/>
              </w:rPr>
            </w:pPr>
          </w:p>
        </w:tc>
        <w:tc>
          <w:tcPr>
            <w:tcW w:w="3446" w:type="dxa"/>
            <w:vMerge w:val="continue"/>
            <w:shd w:val="clear" w:color="auto" w:fill="F1F1F1" w:themeFill="background1" w:themeFillShade="F2"/>
          </w:tcPr>
          <w:p>
            <w:pPr>
              <w:widowControl w:val="0"/>
              <w:autoSpaceDE w:val="0"/>
              <w:autoSpaceDN w:val="0"/>
              <w:adjustRightInd w:val="0"/>
              <w:jc w:val="both"/>
              <w:rPr>
                <w:rFonts w:ascii="Arial" w:hAnsi="Arial" w:cs="Arial"/>
                <w:sz w:val="22"/>
                <w:szCs w:val="22"/>
              </w:rPr>
            </w:pPr>
          </w:p>
        </w:tc>
        <w:tc>
          <w:tcPr>
            <w:tcW w:w="3295" w:type="dxa"/>
            <w:gridSpan w:val="2"/>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Other (write in)</w:t>
            </w:r>
          </w:p>
          <w:p>
            <w:pPr>
              <w:widowControl w:val="0"/>
              <w:autoSpaceDE w:val="0"/>
              <w:autoSpaceDN w:val="0"/>
              <w:adjustRightInd w:val="0"/>
              <w:jc w:val="both"/>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793" w:type="dxa"/>
                <w:shd w:val="clear" w:color="auto" w:fill="BEBEBE" w:themeFill="background1" w:themeFillShade="BF"/>
                <w:vAlign w:val="center"/>
              </w:tcPr>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tc>
          </w:sdtContent>
        </w:sdt>
        <w:tc>
          <w:tcPr>
            <w:tcW w:w="1719" w:type="dxa"/>
            <w:gridSpan w:val="2"/>
            <w:vAlign w:val="center"/>
          </w:tcPr>
          <w:p>
            <w:pPr>
              <w:widowControl w:val="0"/>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9"/>
        <w:tblW w:w="1003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38"/>
        <w:gridCol w:w="8415"/>
        <w:gridCol w:w="10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0" w:hRule="atLeast"/>
        </w:trPr>
        <w:tc>
          <w:tcPr>
            <w:tcW w:w="538" w:type="dxa"/>
            <w:shd w:val="clear" w:color="auto" w:fill="F1F1F1" w:themeFill="background1" w:themeFillShade="F2"/>
          </w:tcPr>
          <w:p>
            <w:pPr>
              <w:widowControl w:val="0"/>
              <w:autoSpaceDE w:val="0"/>
              <w:autoSpaceDN w:val="0"/>
              <w:adjustRightInd w:val="0"/>
              <w:jc w:val="both"/>
              <w:rPr>
                <w:rFonts w:ascii="Arial" w:hAnsi="Arial" w:cs="Arial"/>
                <w:sz w:val="22"/>
                <w:szCs w:val="22"/>
              </w:rPr>
            </w:pPr>
          </w:p>
        </w:tc>
        <w:tc>
          <w:tcPr>
            <w:tcW w:w="9501" w:type="dxa"/>
            <w:gridSpan w:val="2"/>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6" w:hRule="atLeast"/>
        </w:trPr>
        <w:tc>
          <w:tcPr>
            <w:tcW w:w="538" w:type="dxa"/>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w:t>
            </w:r>
          </w:p>
        </w:tc>
        <w:tc>
          <w:tcPr>
            <w:tcW w:w="8415" w:type="dxa"/>
            <w:vAlign w:val="center"/>
          </w:tcPr>
          <w:p>
            <w:pPr>
              <w:widowControl w:val="0"/>
              <w:autoSpaceDE w:val="0"/>
              <w:autoSpaceDN w:val="0"/>
              <w:adjustRightInd w:val="0"/>
              <w:jc w:val="both"/>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086" w:type="dxa"/>
                <w:shd w:val="clear" w:color="auto" w:fill="BEBEBE" w:themeFill="background1" w:themeFillShade="BF"/>
                <w:vAlign w:val="center"/>
              </w:tcPr>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538" w:type="dxa"/>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2</w:t>
            </w:r>
          </w:p>
        </w:tc>
        <w:tc>
          <w:tcPr>
            <w:tcW w:w="8415" w:type="dxa"/>
            <w:vAlign w:val="center"/>
          </w:tcPr>
          <w:p>
            <w:pPr>
              <w:widowControl w:val="0"/>
              <w:autoSpaceDE w:val="0"/>
              <w:autoSpaceDN w:val="0"/>
              <w:adjustRightInd w:val="0"/>
              <w:jc w:val="both"/>
              <w:rPr>
                <w:rFonts w:ascii="Arial" w:hAnsi="Arial" w:cs="Arial"/>
                <w:b/>
                <w:bCs/>
                <w:color w:val="FF0000"/>
                <w:sz w:val="22"/>
                <w:szCs w:val="22"/>
              </w:rPr>
            </w:pPr>
            <w:r>
              <w:rPr>
                <w:rFonts w:ascii="Arial" w:hAnsi="Arial" w:cs="Arial"/>
                <w:b/>
                <w:bCs/>
                <w:sz w:val="22"/>
                <w:szCs w:val="22"/>
              </w:rPr>
              <w:t>UWTSD Research Data Management Policy</w:t>
            </w:r>
          </w:p>
        </w:tc>
        <w:tc>
          <w:tcPr>
            <w:tcW w:w="1086"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i/>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538" w:type="dxa"/>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3</w:t>
            </w:r>
          </w:p>
        </w:tc>
        <w:tc>
          <w:tcPr>
            <w:tcW w:w="8415" w:type="dxa"/>
            <w:vAlign w:val="center"/>
          </w:tcPr>
          <w:p>
            <w:pPr>
              <w:widowControl w:val="0"/>
              <w:autoSpaceDE w:val="0"/>
              <w:autoSpaceDN w:val="0"/>
              <w:adjustRightInd w:val="0"/>
              <w:jc w:val="both"/>
              <w:rPr>
                <w:rFonts w:ascii="Arial" w:hAnsi="Arial" w:cs="Arial"/>
                <w:i/>
                <w:sz w:val="22"/>
                <w:szCs w:val="22"/>
              </w:rPr>
            </w:pPr>
            <w:r>
              <w:rPr>
                <w:rFonts w:ascii="Arial" w:hAnsi="Arial" w:cs="Arial"/>
                <w:i/>
                <w:sz w:val="22"/>
                <w:szCs w:val="22"/>
              </w:rPr>
              <w:t>[List any other relevant documents here]</w:t>
            </w:r>
          </w:p>
        </w:tc>
        <w:tc>
          <w:tcPr>
            <w:tcW w:w="1086"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i/>
                    <w:sz w:val="22"/>
                    <w:szCs w:val="22"/>
                  </w:rPr>
                </w:pPr>
                <w:r>
                  <w:rPr>
                    <w:rFonts w:ascii="MS Gothic" w:hAnsi="MS Gothic" w:eastAsia="MS Gothic" w:cs="Arial"/>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9"/>
        <w:tblW w:w="999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36"/>
        <w:gridCol w:w="3647"/>
        <w:gridCol w:w="2299"/>
        <w:gridCol w:w="947"/>
        <w:gridCol w:w="811"/>
        <w:gridCol w:w="937"/>
        <w:gridCol w:w="9"/>
        <w:gridCol w:w="81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536"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1</w:t>
            </w:r>
          </w:p>
        </w:tc>
        <w:tc>
          <w:tcPr>
            <w:tcW w:w="3647"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Institution</w:t>
            </w:r>
          </w:p>
        </w:tc>
        <w:tc>
          <w:tcPr>
            <w:tcW w:w="5815" w:type="dxa"/>
            <w:gridSpan w:val="6"/>
          </w:tcPr>
          <w:p>
            <w:pPr>
              <w:widowControl w:val="0"/>
              <w:autoSpaceDE w:val="0"/>
              <w:autoSpaceDN w:val="0"/>
              <w:adjustRightInd w:val="0"/>
              <w:jc w:val="both"/>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536"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2</w:t>
            </w:r>
          </w:p>
        </w:tc>
        <w:tc>
          <w:tcPr>
            <w:tcW w:w="3647"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5815" w:type="dxa"/>
            <w:gridSpan w:val="6"/>
          </w:tcPr>
          <w:p>
            <w:pPr>
              <w:widowControl w:val="0"/>
              <w:autoSpaceDE w:val="0"/>
              <w:autoSpaceDN w:val="0"/>
              <w:adjustRightInd w:val="0"/>
              <w:jc w:val="both"/>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1" w:hRule="atLeast"/>
        </w:trPr>
        <w:tc>
          <w:tcPr>
            <w:tcW w:w="536"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3</w:t>
            </w:r>
          </w:p>
        </w:tc>
        <w:tc>
          <w:tcPr>
            <w:tcW w:w="3647"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widowControl w:val="0"/>
              <w:autoSpaceDE w:val="0"/>
              <w:autoSpaceDN w:val="0"/>
              <w:adjustRightInd w:val="0"/>
              <w:jc w:val="both"/>
              <w:rPr>
                <w:rFonts w:ascii="Arial" w:hAnsi="Arial" w:cs="Arial"/>
                <w:sz w:val="22"/>
                <w:szCs w:val="22"/>
              </w:rPr>
            </w:pPr>
          </w:p>
        </w:tc>
        <w:tc>
          <w:tcPr>
            <w:tcW w:w="5815" w:type="dxa"/>
            <w:gridSpan w:val="6"/>
          </w:tcPr>
          <w:p>
            <w:pPr>
              <w:widowControl w:val="0"/>
              <w:autoSpaceDE w:val="0"/>
              <w:autoSpaceDN w:val="0"/>
              <w:adjustRightInd w:val="0"/>
              <w:jc w:val="both"/>
              <w:rPr>
                <w:rFonts w:ascii="Arial" w:hAnsi="Arial" w:eastAsia="宋体" w:cs="Arial"/>
                <w:bCs/>
                <w:sz w:val="22"/>
                <w:szCs w:val="22"/>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536"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4</w:t>
            </w:r>
          </w:p>
        </w:tc>
        <w:tc>
          <w:tcPr>
            <w:tcW w:w="5946" w:type="dxa"/>
            <w:gridSpan w:val="2"/>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Is your research externally funded?</w:t>
            </w:r>
          </w:p>
        </w:tc>
        <w:tc>
          <w:tcPr>
            <w:tcW w:w="947" w:type="dxa"/>
            <w:shd w:val="clear" w:color="auto" w:fill="F1F1F1" w:themeFill="background1" w:themeFillShade="F2"/>
            <w:vAlign w:val="center"/>
          </w:tcPr>
          <w:p>
            <w:pPr>
              <w:widowControl w:val="0"/>
              <w:autoSpaceDE w:val="0"/>
              <w:autoSpaceDN w:val="0"/>
              <w:adjustRightInd w:val="0"/>
              <w:jc w:val="center"/>
              <w:rPr>
                <w:rFonts w:ascii="Arial" w:hAnsi="Arial" w:cs="Arial"/>
                <w:bCs/>
                <w:sz w:val="22"/>
                <w:szCs w:val="22"/>
              </w:rPr>
            </w:pPr>
            <w:r>
              <w:rPr>
                <w:rFonts w:ascii="Arial" w:hAnsi="Arial" w:cs="Arial"/>
                <w:b/>
                <w:sz w:val="22"/>
                <w:szCs w:val="22"/>
              </w:rPr>
              <w:t>YES</w:t>
            </w:r>
          </w:p>
        </w:tc>
        <w:tc>
          <w:tcPr>
            <w:tcW w:w="811" w:type="dxa"/>
            <w:shd w:val="clear" w:color="auto" w:fill="D8D8D8" w:themeFill="background1" w:themeFillShade="D9"/>
            <w:vAlign w:val="center"/>
          </w:tcPr>
          <w:p>
            <w:pPr>
              <w:widowControl w:val="0"/>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946" w:type="dxa"/>
            <w:gridSpan w:val="2"/>
            <w:shd w:val="clear" w:color="auto" w:fill="F1F1F1" w:themeFill="background1" w:themeFillShade="F2"/>
            <w:vAlign w:val="center"/>
          </w:tcPr>
          <w:p>
            <w:pPr>
              <w:widowControl w:val="0"/>
              <w:autoSpaceDE w:val="0"/>
              <w:autoSpaceDN w:val="0"/>
              <w:adjustRightInd w:val="0"/>
              <w:jc w:val="center"/>
              <w:rPr>
                <w:rFonts w:ascii="Arial" w:hAnsi="Arial" w:cs="Arial"/>
                <w:bCs/>
                <w:sz w:val="22"/>
                <w:szCs w:val="22"/>
              </w:rPr>
            </w:pPr>
            <w:r>
              <w:rPr>
                <w:rFonts w:ascii="Arial" w:hAnsi="Arial" w:cs="Arial"/>
                <w:b/>
                <w:sz w:val="22"/>
                <w:szCs w:val="22"/>
              </w:rPr>
              <w:t>NO</w:t>
            </w:r>
          </w:p>
        </w:tc>
        <w:tc>
          <w:tcPr>
            <w:tcW w:w="812"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widowControl w:val="0"/>
                  <w:autoSpaceDE w:val="0"/>
                  <w:autoSpaceDN w:val="0"/>
                  <w:adjustRightInd w:val="0"/>
                  <w:jc w:val="center"/>
                  <w:rPr>
                    <w:rFonts w:ascii="Arial" w:hAnsi="Arial" w:cs="Arial"/>
                    <w:bCs/>
                    <w:sz w:val="22"/>
                    <w:szCs w:val="22"/>
                  </w:rPr>
                </w:pPr>
                <w:r>
                  <w:rPr>
                    <w:rFonts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536"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5</w:t>
            </w:r>
          </w:p>
        </w:tc>
        <w:tc>
          <w:tcPr>
            <w:tcW w:w="5946" w:type="dxa"/>
            <w:gridSpan w:val="2"/>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Are you in receipt of a KESS scholarship?</w:t>
            </w:r>
          </w:p>
        </w:tc>
        <w:tc>
          <w:tcPr>
            <w:tcW w:w="947" w:type="dxa"/>
            <w:shd w:val="clear" w:color="auto" w:fill="F1F1F1" w:themeFill="background1" w:themeFillShade="F2"/>
            <w:vAlign w:val="center"/>
          </w:tcPr>
          <w:p>
            <w:pPr>
              <w:widowControl w:val="0"/>
              <w:autoSpaceDE w:val="0"/>
              <w:autoSpaceDN w:val="0"/>
              <w:adjustRightInd w:val="0"/>
              <w:jc w:val="center"/>
              <w:rPr>
                <w:rFonts w:ascii="Arial" w:hAnsi="Arial" w:cs="Arial"/>
                <w:bCs/>
                <w:sz w:val="22"/>
                <w:szCs w:val="22"/>
              </w:rPr>
            </w:pPr>
            <w:r>
              <w:rPr>
                <w:rFonts w:ascii="Arial" w:hAnsi="Arial" w:cs="Arial"/>
                <w:b/>
                <w:sz w:val="22"/>
                <w:szCs w:val="22"/>
              </w:rPr>
              <w:t>YES</w:t>
            </w:r>
          </w:p>
        </w:tc>
        <w:tc>
          <w:tcPr>
            <w:tcW w:w="811" w:type="dxa"/>
            <w:shd w:val="clear" w:color="auto" w:fill="D8D8D8" w:themeFill="background1" w:themeFillShade="D9"/>
            <w:vAlign w:val="center"/>
          </w:tcPr>
          <w:p>
            <w:pPr>
              <w:widowControl w:val="0"/>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946" w:type="dxa"/>
            <w:gridSpan w:val="2"/>
            <w:shd w:val="clear" w:color="auto" w:fill="F1F1F1" w:themeFill="background1" w:themeFillShade="F2"/>
            <w:vAlign w:val="center"/>
          </w:tcPr>
          <w:p>
            <w:pPr>
              <w:widowControl w:val="0"/>
              <w:autoSpaceDE w:val="0"/>
              <w:autoSpaceDN w:val="0"/>
              <w:adjustRightInd w:val="0"/>
              <w:jc w:val="center"/>
              <w:rPr>
                <w:rFonts w:ascii="Arial" w:hAnsi="Arial" w:cs="Arial"/>
                <w:bCs/>
                <w:sz w:val="22"/>
                <w:szCs w:val="22"/>
              </w:rPr>
            </w:pPr>
            <w:r>
              <w:rPr>
                <w:rFonts w:ascii="Arial" w:hAnsi="Arial" w:cs="Arial"/>
                <w:b/>
                <w:sz w:val="22"/>
                <w:szCs w:val="22"/>
              </w:rPr>
              <w:t>NO</w:t>
            </w:r>
          </w:p>
        </w:tc>
        <w:tc>
          <w:tcPr>
            <w:tcW w:w="812"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widowControl w:val="0"/>
                  <w:autoSpaceDE w:val="0"/>
                  <w:autoSpaceDN w:val="0"/>
                  <w:adjustRightInd w:val="0"/>
                  <w:jc w:val="center"/>
                  <w:rPr>
                    <w:rFonts w:ascii="Arial" w:hAnsi="Arial" w:cs="Arial"/>
                    <w:bCs/>
                    <w:sz w:val="22"/>
                    <w:szCs w:val="22"/>
                  </w:rPr>
                </w:pPr>
                <w:r>
                  <w:rPr>
                    <w:rFonts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2" w:hRule="atLeast"/>
        </w:trPr>
        <w:tc>
          <w:tcPr>
            <w:tcW w:w="536"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6</w:t>
            </w:r>
          </w:p>
        </w:tc>
        <w:tc>
          <w:tcPr>
            <w:tcW w:w="3647" w:type="dxa"/>
            <w:vMerge w:val="restart"/>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299" w:type="dxa"/>
          </w:tcPr>
          <w:p>
            <w:pPr>
              <w:widowControl w:val="0"/>
              <w:autoSpaceDE w:val="0"/>
              <w:autoSpaceDN w:val="0"/>
              <w:adjustRightInd w:val="0"/>
              <w:jc w:val="both"/>
              <w:rPr>
                <w:rFonts w:ascii="Arial" w:hAnsi="Arial" w:cs="Arial"/>
                <w:bCs/>
                <w:sz w:val="22"/>
                <w:szCs w:val="22"/>
              </w:rPr>
            </w:pPr>
            <w:r>
              <w:rPr>
                <w:rFonts w:ascii="Arial" w:hAnsi="Arial" w:cs="Arial"/>
                <w:bCs/>
                <w:sz w:val="22"/>
                <w:szCs w:val="22"/>
              </w:rPr>
              <w:t>Voluntary</w:t>
            </w:r>
          </w:p>
        </w:tc>
        <w:tc>
          <w:tcPr>
            <w:tcW w:w="947" w:type="dxa"/>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11"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37" w:type="dxa"/>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2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widowControl w:val="0"/>
                  <w:autoSpaceDE w:val="0"/>
                  <w:autoSpaceDN w:val="0"/>
                  <w:adjustRightInd w:val="0"/>
                  <w:jc w:val="center"/>
                  <w:rPr>
                    <w:rFonts w:ascii="Arial" w:hAnsi="Arial" w:cs="Arial"/>
                    <w:bCs/>
                    <w:sz w:val="22"/>
                    <w:szCs w:val="22"/>
                  </w:rPr>
                </w:pPr>
                <w:r>
                  <w:rPr>
                    <w:rFonts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0" w:hRule="atLeast"/>
        </w:trPr>
        <w:tc>
          <w:tcPr>
            <w:tcW w:w="536"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7</w:t>
            </w:r>
          </w:p>
        </w:tc>
        <w:tc>
          <w:tcPr>
            <w:tcW w:w="3647" w:type="dxa"/>
            <w:vMerge w:val="continue"/>
            <w:shd w:val="clear" w:color="auto" w:fill="F1F1F1" w:themeFill="background1" w:themeFillShade="F2"/>
          </w:tcPr>
          <w:p>
            <w:pPr>
              <w:widowControl w:val="0"/>
              <w:autoSpaceDE w:val="0"/>
              <w:autoSpaceDN w:val="0"/>
              <w:adjustRightInd w:val="0"/>
              <w:jc w:val="both"/>
              <w:rPr>
                <w:rFonts w:ascii="Arial" w:hAnsi="Arial" w:cs="Arial"/>
                <w:sz w:val="22"/>
                <w:szCs w:val="22"/>
              </w:rPr>
            </w:pPr>
          </w:p>
        </w:tc>
        <w:tc>
          <w:tcPr>
            <w:tcW w:w="2299" w:type="dxa"/>
          </w:tcPr>
          <w:p>
            <w:pPr>
              <w:widowControl w:val="0"/>
              <w:autoSpaceDE w:val="0"/>
              <w:autoSpaceDN w:val="0"/>
              <w:adjustRightInd w:val="0"/>
              <w:jc w:val="both"/>
              <w:rPr>
                <w:rFonts w:ascii="Arial" w:hAnsi="Arial" w:cs="Arial"/>
                <w:bCs/>
                <w:sz w:val="22"/>
                <w:szCs w:val="22"/>
              </w:rPr>
            </w:pPr>
            <w:r>
              <w:rPr>
                <w:rFonts w:ascii="Arial" w:hAnsi="Arial" w:cs="Arial"/>
                <w:bCs/>
                <w:sz w:val="22"/>
                <w:szCs w:val="22"/>
              </w:rPr>
              <w:t>Employed</w:t>
            </w:r>
          </w:p>
        </w:tc>
        <w:tc>
          <w:tcPr>
            <w:tcW w:w="947" w:type="dxa"/>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11"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37" w:type="dxa"/>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2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widowControl w:val="0"/>
                  <w:autoSpaceDE w:val="0"/>
                  <w:autoSpaceDN w:val="0"/>
                  <w:adjustRightInd w:val="0"/>
                  <w:jc w:val="center"/>
                  <w:rPr>
                    <w:rFonts w:ascii="Arial" w:hAnsi="Arial" w:cs="Arial"/>
                    <w:bCs/>
                    <w:sz w:val="22"/>
                    <w:szCs w:val="22"/>
                  </w:rPr>
                </w:pPr>
                <w:r>
                  <w:rPr>
                    <w:rFonts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1" w:hRule="atLeast"/>
        </w:trPr>
        <w:tc>
          <w:tcPr>
            <w:tcW w:w="536"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8</w:t>
            </w:r>
          </w:p>
        </w:tc>
        <w:tc>
          <w:tcPr>
            <w:tcW w:w="3647"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299" w:type="dxa"/>
          </w:tcPr>
          <w:p>
            <w:pPr>
              <w:widowControl w:val="0"/>
              <w:autoSpaceDE w:val="0"/>
              <w:autoSpaceDN w:val="0"/>
              <w:adjustRightInd w:val="0"/>
              <w:jc w:val="both"/>
              <w:rPr>
                <w:rFonts w:ascii="Arial" w:hAnsi="Arial" w:cs="Arial"/>
                <w:bCs/>
                <w:sz w:val="22"/>
                <w:szCs w:val="22"/>
              </w:rPr>
            </w:pPr>
            <w:r>
              <w:rPr>
                <w:rFonts w:ascii="Arial" w:hAnsi="Arial" w:cs="Arial"/>
                <w:bCs/>
                <w:sz w:val="22"/>
                <w:szCs w:val="22"/>
              </w:rPr>
              <w:t>If YES then the permission question below does not need to be answered.</w:t>
            </w:r>
          </w:p>
        </w:tc>
        <w:tc>
          <w:tcPr>
            <w:tcW w:w="947" w:type="dxa"/>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11" w:type="dxa"/>
            <w:shd w:val="clear" w:color="auto" w:fill="D8D8D8" w:themeFill="background1" w:themeFillShade="D9"/>
            <w:vAlign w:val="center"/>
          </w:tcPr>
          <w:p>
            <w:pPr>
              <w:widowControl w:val="0"/>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946" w:type="dxa"/>
            <w:gridSpan w:val="2"/>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12"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widowControl w:val="0"/>
                  <w:autoSpaceDE w:val="0"/>
                  <w:autoSpaceDN w:val="0"/>
                  <w:adjustRightInd w:val="0"/>
                  <w:jc w:val="center"/>
                  <w:rPr>
                    <w:rFonts w:ascii="Arial" w:hAnsi="Arial" w:cs="Arial"/>
                    <w:bCs/>
                    <w:sz w:val="22"/>
                    <w:szCs w:val="22"/>
                  </w:rPr>
                </w:pPr>
                <w:r>
                  <w:rPr>
                    <w:rFonts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21" w:hRule="atLeast"/>
        </w:trPr>
        <w:tc>
          <w:tcPr>
            <w:tcW w:w="536"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9</w:t>
            </w:r>
          </w:p>
        </w:tc>
        <w:tc>
          <w:tcPr>
            <w:tcW w:w="3647"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Has permission to undertake the research has been provided by the partner organisation?</w:t>
            </w:r>
          </w:p>
        </w:tc>
        <w:tc>
          <w:tcPr>
            <w:tcW w:w="2299" w:type="dxa"/>
          </w:tcPr>
          <w:p>
            <w:pPr>
              <w:widowControl w:val="0"/>
              <w:autoSpaceDE w:val="0"/>
              <w:autoSpaceDN w:val="0"/>
              <w:adjustRightInd w:val="0"/>
              <w:jc w:val="both"/>
              <w:rPr>
                <w:rFonts w:ascii="Arial" w:hAnsi="Arial" w:cs="Arial"/>
                <w:bCs/>
                <w:sz w:val="22"/>
                <w:szCs w:val="22"/>
              </w:rPr>
            </w:pPr>
            <w:r>
              <w:rPr>
                <w:rFonts w:ascii="Arial" w:hAnsi="Arial" w:cs="Arial"/>
                <w:bCs/>
                <w:sz w:val="22"/>
                <w:szCs w:val="22"/>
              </w:rPr>
              <w:t>(If YES attach copy)</w:t>
            </w:r>
          </w:p>
          <w:p>
            <w:pPr>
              <w:widowControl w:val="0"/>
              <w:autoSpaceDE w:val="0"/>
              <w:autoSpaceDN w:val="0"/>
              <w:adjustRightInd w:val="0"/>
              <w:jc w:val="both"/>
              <w:rPr>
                <w:rFonts w:ascii="Arial" w:hAnsi="Arial" w:cs="Arial"/>
                <w:bCs/>
                <w:sz w:val="22"/>
                <w:szCs w:val="22"/>
              </w:rPr>
            </w:pPr>
            <w:r>
              <w:rPr>
                <w:rFonts w:ascii="Arial" w:hAnsi="Arial" w:cs="Arial"/>
                <w:bCs/>
                <w:sz w:val="22"/>
                <w:szCs w:val="22"/>
              </w:rPr>
              <w:t>If NO the application cannot continue</w:t>
            </w:r>
          </w:p>
        </w:tc>
        <w:tc>
          <w:tcPr>
            <w:tcW w:w="947" w:type="dxa"/>
            <w:shd w:val="clear" w:color="auto" w:fill="F1F1F1" w:themeFill="background1" w:themeFillShade="F2"/>
            <w:vAlign w:val="center"/>
          </w:tcPr>
          <w:p>
            <w:pPr>
              <w:widowControl w:val="0"/>
              <w:autoSpaceDE w:val="0"/>
              <w:autoSpaceDN w:val="0"/>
              <w:adjustRightInd w:val="0"/>
              <w:jc w:val="center"/>
              <w:rPr>
                <w:rFonts w:ascii="Arial" w:hAnsi="Arial" w:cs="Arial"/>
                <w:b/>
                <w:sz w:val="22"/>
                <w:szCs w:val="22"/>
              </w:rPr>
            </w:pPr>
            <w:r>
              <w:rPr>
                <w:rFonts w:ascii="Arial" w:hAnsi="Arial" w:cs="Arial"/>
                <w:b/>
                <w:sz w:val="22"/>
                <w:szCs w:val="22"/>
              </w:rPr>
              <w:t>YES</w:t>
            </w:r>
          </w:p>
        </w:tc>
        <w:tc>
          <w:tcPr>
            <w:tcW w:w="811" w:type="dxa"/>
            <w:shd w:val="clear" w:color="auto" w:fill="D8D8D8" w:themeFill="background1" w:themeFillShade="D9"/>
            <w:vAlign w:val="center"/>
          </w:tcPr>
          <w:p>
            <w:pPr>
              <w:widowControl w:val="0"/>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946" w:type="dxa"/>
            <w:gridSpan w:val="2"/>
            <w:shd w:val="clear" w:color="auto" w:fill="F1F1F1" w:themeFill="background1" w:themeFillShade="F2"/>
            <w:vAlign w:val="center"/>
          </w:tcPr>
          <w:p>
            <w:pPr>
              <w:widowControl w:val="0"/>
              <w:autoSpaceDE w:val="0"/>
              <w:autoSpaceDN w:val="0"/>
              <w:adjustRightInd w:val="0"/>
              <w:jc w:val="center"/>
              <w:rPr>
                <w:rFonts w:ascii="Arial" w:hAnsi="Arial" w:cs="Arial"/>
                <w:b/>
                <w:sz w:val="22"/>
                <w:szCs w:val="22"/>
              </w:rPr>
            </w:pPr>
            <w:r>
              <w:rPr>
                <w:rFonts w:ascii="Arial" w:hAnsi="Arial" w:cs="Arial"/>
                <w:b/>
                <w:sz w:val="22"/>
                <w:szCs w:val="22"/>
              </w:rPr>
              <w:t>NO</w:t>
            </w:r>
          </w:p>
        </w:tc>
        <w:tc>
          <w:tcPr>
            <w:tcW w:w="812"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widowControl w:val="0"/>
                  <w:autoSpaceDE w:val="0"/>
                  <w:autoSpaceDN w:val="0"/>
                  <w:adjustRightInd w:val="0"/>
                  <w:jc w:val="center"/>
                  <w:rPr>
                    <w:rFonts w:ascii="Arial" w:hAnsi="Arial" w:cs="Arial"/>
                    <w:bCs/>
                    <w:sz w:val="22"/>
                    <w:szCs w:val="22"/>
                  </w:rPr>
                </w:pPr>
                <w:r>
                  <w:rPr>
                    <w:rFonts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9"/>
        <w:tblW w:w="999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0"/>
        <w:gridCol w:w="5945"/>
        <w:gridCol w:w="946"/>
        <w:gridCol w:w="853"/>
        <w:gridCol w:w="902"/>
        <w:gridCol w:w="8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40" w:type="dxa"/>
            <w:shd w:val="clear" w:color="auto" w:fill="F1F1F1" w:themeFill="background1" w:themeFillShade="F2"/>
            <w:vAlign w:val="center"/>
          </w:tcPr>
          <w:p>
            <w:pPr>
              <w:widowControl w:val="0"/>
              <w:autoSpaceDE w:val="0"/>
              <w:autoSpaceDN w:val="0"/>
              <w:adjustRightInd w:val="0"/>
              <w:jc w:val="both"/>
              <w:rPr>
                <w:rFonts w:ascii="Arial" w:hAnsi="Arial" w:cs="Arial"/>
                <w:bCs/>
                <w:sz w:val="22"/>
                <w:szCs w:val="22"/>
              </w:rPr>
            </w:pPr>
            <w:r>
              <w:rPr>
                <w:rFonts w:ascii="Arial" w:hAnsi="Arial" w:cs="Arial"/>
                <w:bCs/>
                <w:sz w:val="22"/>
                <w:szCs w:val="22"/>
              </w:rPr>
              <w:t>10</w:t>
            </w:r>
          </w:p>
        </w:tc>
        <w:tc>
          <w:tcPr>
            <w:tcW w:w="5945" w:type="dxa"/>
            <w:shd w:val="clear" w:color="auto" w:fill="F1F1F1" w:themeFill="background1" w:themeFillShade="F2"/>
            <w:vAlign w:val="center"/>
          </w:tcPr>
          <w:p>
            <w:pPr>
              <w:widowControl w:val="0"/>
              <w:autoSpaceDE w:val="0"/>
              <w:autoSpaceDN w:val="0"/>
              <w:adjustRightInd w:val="0"/>
              <w:jc w:val="both"/>
              <w:rPr>
                <w:rFonts w:ascii="Arial" w:hAnsi="Arial" w:cs="Arial"/>
                <w:bCs/>
                <w:sz w:val="22"/>
                <w:szCs w:val="22"/>
              </w:rPr>
            </w:pPr>
            <w:r>
              <w:rPr>
                <w:rFonts w:ascii="Arial" w:hAnsi="Arial" w:cs="Arial"/>
                <w:bCs/>
                <w:sz w:val="22"/>
                <w:szCs w:val="22"/>
              </w:rPr>
              <w:t>Does this organisation have its own ethics approval system?</w:t>
            </w:r>
          </w:p>
        </w:tc>
        <w:tc>
          <w:tcPr>
            <w:tcW w:w="946" w:type="dxa"/>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3"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bCs/>
                    <w:sz w:val="22"/>
                    <w:szCs w:val="22"/>
                  </w:rPr>
                </w:pPr>
                <w:r>
                  <w:rPr>
                    <w:rFonts w:ascii="MS Gothic" w:hAnsi="MS Gothic" w:eastAsia="MS Gothic" w:cs="Arial"/>
                    <w:sz w:val="22"/>
                    <w:szCs w:val="22"/>
                  </w:rPr>
                  <w:t>☐</w:t>
                </w:r>
              </w:p>
            </w:sdtContent>
          </w:sdt>
        </w:tc>
        <w:tc>
          <w:tcPr>
            <w:tcW w:w="902" w:type="dxa"/>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11" w:type="dxa"/>
            <w:shd w:val="clear" w:color="auto" w:fill="BEBEBE"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bCs/>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83" w:hRule="atLeast"/>
        </w:trPr>
        <w:tc>
          <w:tcPr>
            <w:tcW w:w="540" w:type="dxa"/>
          </w:tcPr>
          <w:p>
            <w:pPr>
              <w:widowControl w:val="0"/>
              <w:autoSpaceDE w:val="0"/>
              <w:autoSpaceDN w:val="0"/>
              <w:adjustRightInd w:val="0"/>
              <w:jc w:val="both"/>
              <w:rPr>
                <w:rFonts w:ascii="Arial" w:hAnsi="Arial" w:cs="Arial"/>
                <w:bCs/>
                <w:sz w:val="22"/>
                <w:szCs w:val="22"/>
              </w:rPr>
            </w:pPr>
          </w:p>
        </w:tc>
        <w:tc>
          <w:tcPr>
            <w:tcW w:w="9457" w:type="dxa"/>
            <w:gridSpan w:val="5"/>
          </w:tcPr>
          <w:p>
            <w:pPr>
              <w:widowControl w:val="0"/>
              <w:autoSpaceDE w:val="0"/>
              <w:autoSpaceDN w:val="0"/>
              <w:adjustRightInd w:val="0"/>
              <w:jc w:val="both"/>
              <w:rPr>
                <w:rFonts w:ascii="Arial" w:hAnsi="Arial" w:cs="Arial"/>
                <w:bCs/>
                <w:sz w:val="22"/>
                <w:szCs w:val="22"/>
              </w:rPr>
            </w:pPr>
          </w:p>
          <w:p>
            <w:pPr>
              <w:widowControl w:val="0"/>
              <w:autoSpaceDE w:val="0"/>
              <w:autoSpaceDN w:val="0"/>
              <w:adjustRightInd w:val="0"/>
              <w:jc w:val="both"/>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widowControl w:val="0"/>
              <w:autoSpaceDE w:val="0"/>
              <w:autoSpaceDN w:val="0"/>
              <w:adjustRightInd w:val="0"/>
              <w:jc w:val="both"/>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8"/>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00"/>
        <w:gridCol w:w="2136"/>
        <w:gridCol w:w="2164"/>
        <w:gridCol w:w="2164"/>
        <w:gridCol w:w="1438"/>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rPr>
                <w:rFonts w:asciiTheme="minorHAnsi" w:hAnsiTheme="minorHAnsi"/>
                <w:lang w:eastAsia="zh-CN"/>
              </w:rPr>
            </w:pPr>
            <w:r>
              <w:rPr>
                <w:rFonts w:asciiTheme="minorHAnsi" w:hAnsiTheme="minorHAnsi"/>
                <w:lang w:eastAsia="zh-CN"/>
              </w:rPr>
              <w:t>Based on the double reduction policy issued by the Chinese government, an exploration of educational institutions in China</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rPr>
                <w:rFonts w:ascii="Arial" w:hAnsi="Arial" w:eastAsia="宋体" w:cs="Arial"/>
                <w:sz w:val="22"/>
                <w:szCs w:val="22"/>
                <w:lang w:eastAsia="zh-CN"/>
              </w:rPr>
            </w:pPr>
            <w:r>
              <w:rPr>
                <w:rFonts w:ascii="Arial" w:hAnsi="Arial" w:eastAsia="宋体" w:cs="Arial"/>
                <w:sz w:val="22"/>
                <w:szCs w:val="22"/>
                <w:lang w:eastAsia="zh-CN"/>
              </w:rPr>
              <w:t>November 2021</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rPr>
                <w:rFonts w:ascii="Arial" w:hAnsi="Arial" w:eastAsia="宋体" w:cs="Arial"/>
                <w:sz w:val="22"/>
                <w:szCs w:val="22"/>
                <w:lang w:eastAsia="zh-CN"/>
              </w:rPr>
            </w:pPr>
            <w:r>
              <w:rPr>
                <w:rFonts w:ascii="Arial" w:hAnsi="Arial" w:eastAsia="宋体" w:cs="Arial"/>
                <w:sz w:val="22"/>
                <w:szCs w:val="22"/>
                <w:lang w:eastAsia="zh-CN"/>
              </w:rPr>
              <w:t>25/4/2022</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15"/>
              <w:numPr>
                <w:ilvl w:val="0"/>
                <w:numId w:val="3"/>
              </w:numPr>
              <w:ind w:left="0"/>
              <w:contextualSpacing w:val="0"/>
              <w:rPr>
                <w:rFonts w:ascii="Arial" w:hAnsi="Arial" w:cs="Arial"/>
                <w:i/>
              </w:rPr>
            </w:pPr>
            <w:r>
              <w:rPr>
                <w:rFonts w:ascii="Arial" w:hAnsi="Arial" w:cs="Arial"/>
                <w:i/>
              </w:rPr>
              <w:t>Purpose of Research Activity</w:t>
            </w:r>
          </w:p>
          <w:p>
            <w:pPr>
              <w:pStyle w:val="15"/>
              <w:numPr>
                <w:ilvl w:val="0"/>
                <w:numId w:val="3"/>
              </w:numPr>
              <w:ind w:left="0"/>
              <w:contextualSpacing w:val="0"/>
              <w:rPr>
                <w:rFonts w:ascii="Arial" w:hAnsi="Arial" w:cs="Arial"/>
                <w:i/>
              </w:rPr>
            </w:pPr>
            <w:r>
              <w:rPr>
                <w:rFonts w:ascii="Arial" w:hAnsi="Arial" w:cs="Arial"/>
                <w:i/>
              </w:rPr>
              <w:t>Proposed Research Question</w:t>
            </w:r>
          </w:p>
          <w:p>
            <w:pPr>
              <w:pStyle w:val="15"/>
              <w:numPr>
                <w:ilvl w:val="0"/>
                <w:numId w:val="3"/>
              </w:numPr>
              <w:ind w:left="0"/>
              <w:contextualSpacing w:val="0"/>
              <w:rPr>
                <w:rFonts w:ascii="Arial" w:hAnsi="Arial" w:cs="Arial"/>
                <w:i/>
              </w:rPr>
            </w:pPr>
            <w:r>
              <w:rPr>
                <w:rFonts w:ascii="Arial" w:hAnsi="Arial" w:cs="Arial"/>
                <w:i/>
              </w:rPr>
              <w:t>Aims of Research Activity</w:t>
            </w:r>
          </w:p>
          <w:p>
            <w:pPr>
              <w:pStyle w:val="15"/>
              <w:numPr>
                <w:ilvl w:val="0"/>
                <w:numId w:val="3"/>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15"/>
              <w:numPr>
                <w:ilvl w:val="0"/>
                <w:numId w:val="3"/>
              </w:numPr>
              <w:ind w:left="0"/>
              <w:contextualSpacing w:val="0"/>
              <w:rPr>
                <w:rFonts w:ascii="Arial" w:hAnsi="Arial" w:cs="Arial"/>
                <w:i/>
              </w:rPr>
            </w:pPr>
            <w:r>
              <w:rPr>
                <w:rFonts w:ascii="Arial" w:hAnsi="Arial" w:cs="Arial"/>
                <w:i/>
              </w:rPr>
              <w:t xml:space="preserve">What the research activity will add to the body of knowledge </w:t>
            </w:r>
          </w:p>
          <w:p>
            <w:pPr>
              <w:pStyle w:val="15"/>
              <w:numPr>
                <w:ilvl w:val="0"/>
                <w:numId w:val="3"/>
              </w:numPr>
              <w:ind w:left="0"/>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ascii="Arial" w:hAnsi="Arial" w:cs="Arial"/>
              </w:rPr>
            </w:pPr>
            <w:r>
              <w:rPr>
                <w:rFonts w:ascii="Arial" w:hAnsi="Arial" w:cs="Arial"/>
              </w:rPr>
              <w:t>Despite a once thriving private tutoring market in China, many educational institutions are now experiencing difficulties under policy pressure. Many after-school tutoring providers are currently experiencing a crisis of closures and layoffs, and shadow education no longer seems to be thriving in China. This study is an attempt to help China's current after-school tutoring providers find a sustainable space to grow and help them become a force to be reckoned with in China's current and future education boom.</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rPr>
                <w:rFonts w:ascii="Arial" w:hAnsi="Arial" w:cs="Arial"/>
              </w:rPr>
            </w:pPr>
            <w:r>
              <w:rPr>
                <w:rFonts w:ascii="Arial" w:hAnsi="Arial" w:cs="Arial"/>
              </w:rPr>
              <w:t>The Chinese government has implemented a double reduction policy for shadow education, and there is no doubt that there are different types of reasons why this policy is being implemented. One of the problems of this study is therefore to find these reasons in terms of the problems of Chinese educational institutions themselves and the attitudes held by the Chinese government towards them. Another research question is to find a sustainable way for Chinese educational institutions to become a power in Chinese education, based on their current situation.</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r>
              <w:rPr>
                <w:rFonts w:ascii="Arial" w:hAnsi="Arial" w:cs="Arial"/>
              </w:rPr>
              <w:t>The research dates back to July 24, 2021, when the Chinese government issued the “Opinions on Further Reducing the Burden of Students’ Homework and Off-campus Training in Compulsory Education” policy. From the overall point of view of the policy, the policy’s treatment of off-campus institutions is comprehensive and systematic, and the Chinese government has concentrated its efforts to solve these problems from the source. The main content of this policy can be summarized as follows. First, ban unhealthy, illegal, and arbitrary charging of educational institutions; second, require schools to arrange after-school homework scientifically and rationally to improve the quality of school education and services; third, establish a school-centered, family and society play a supporting role The system optimizes students’ life and learning structure. Fourth, it is emphasized to reduce the total amount of school homework, improve the quality of homework, strengthen teacher responsibilities, and reduce the burden on parents; finally, strictly approve off-campus institutions and establish relevant supervision mechanisms to prevent them from becoming an area of ​​unlimited capital expansion. In just 30 days after the implementation of the policy, private tutoring institutions suffered an unprecedented earthquake: the value of the education market plummeted, employees were laid off, companies closed down or changed service items. There is no doubt that China’s private tutoring agencies have been severely impacted and are currently struggling. Therefore, this research emphasizes how China’s educational guidance agencies should develop in the future to maintain their survival and have a positive impact on China’s education sector.</w:t>
            </w:r>
          </w:p>
          <w:p>
            <w:pPr>
              <w:rPr>
                <w:rFonts w:ascii="Arial" w:hAnsi="Arial" w:cs="Arial"/>
              </w:rPr>
            </w:pP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ascii="Arial" w:hAnsi="Arial" w:cs="Arial"/>
                <w:sz w:val="22"/>
                <w:szCs w:val="22"/>
              </w:rPr>
            </w:pPr>
            <w:r>
              <w:rPr>
                <w:rFonts w:ascii="Arial" w:hAnsi="Arial" w:cs="Arial"/>
                <w:sz w:val="22"/>
                <w:szCs w:val="22"/>
              </w:rPr>
              <w:t>Chinese elementary schools, junior high schools and high school educational institutions</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The most applicable methodological approach for this study is qualitative research. Qualitative research requires the collection of data, which can come from interviews and observations, or from various documents. The method used in this study will be interviews. Interviews are used to understand the experiences and lifestyles of particular social groups and the lifestyles of particular social groups through in-depth dialogue with the interviewees, to explore the processes that shape particular social phenomena and to suggest ideas and approaches to solve social problems. The decision for this study was to use face-to-face interviews. The study anticipates interviewing ten people who have worked in after-school tuition for three years or more. The interview questions can be broadly divided into three categories: firstly, they will be asked about what they have done at the after-school tuition agency, their work experience and their overall work experience. This is to gain a better understanding of the working environment in tutorial institutions and to better grasp the reasons for China's crackdown on tutorial institutions; secondly, to understand their current situation after the double reduction policy, including their current family, work and future plans; and finally, to assess their attitudes towards the policy, categorised as positive, negative and neutral.</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Fonts w:ascii="Arial" w:hAnsi="Arial" w:eastAsia="宋体" w:cs="Arial"/>
                <w:sz w:val="22"/>
                <w:szCs w:val="22"/>
                <w:lang w:eastAsia="zh-CN"/>
              </w:rPr>
            </w:pPr>
            <w:r>
              <w:rPr>
                <w:rFonts w:ascii="Arial" w:hAnsi="Arial" w:eastAsia="宋体" w:cs="Arial"/>
                <w:sz w:val="22"/>
                <w:szCs w:val="22"/>
                <w:lang w:eastAsia="zh-CN"/>
              </w:rPr>
              <w:t>China</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Fonts w:ascii="Arial" w:hAnsi="Arial" w:cs="Arial"/>
                <w:sz w:val="22"/>
                <w:szCs w:val="22"/>
              </w:rPr>
            </w:pPr>
            <w:r>
              <w:rPr>
                <w:rFonts w:ascii="Arial" w:hAnsi="Arial" w:cs="Arial"/>
                <w:sz w:val="22"/>
                <w:szCs w:val="22"/>
              </w:rPr>
              <w:t>All studies are in accordance with Chinese laws and policies and do not involve research with sensitive populations. The research procedures ensure that there will be legal and reasonable compliance.</w:t>
            </w: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9"/>
        <w:tblW w:w="983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31"/>
        <w:gridCol w:w="6914"/>
        <w:gridCol w:w="1196"/>
        <w:gridCol w:w="11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0" w:hRule="atLeast"/>
        </w:trPr>
        <w:tc>
          <w:tcPr>
            <w:tcW w:w="531" w:type="dxa"/>
            <w:vMerge w:val="restart"/>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10</w:t>
            </w:r>
          </w:p>
        </w:tc>
        <w:tc>
          <w:tcPr>
            <w:tcW w:w="6914" w:type="dxa"/>
            <w:vMerge w:val="restart"/>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widowControl w:val="0"/>
              <w:autoSpaceDE w:val="0"/>
              <w:autoSpaceDN w:val="0"/>
              <w:adjustRightInd w:val="0"/>
              <w:jc w:val="both"/>
              <w:rPr>
                <w:rFonts w:ascii="Arial" w:hAnsi="Arial" w:cs="Arial"/>
                <w:bCs/>
                <w:sz w:val="22"/>
                <w:szCs w:val="22"/>
              </w:rPr>
            </w:pPr>
          </w:p>
        </w:tc>
        <w:tc>
          <w:tcPr>
            <w:tcW w:w="1196" w:type="dxa"/>
            <w:shd w:val="clear" w:color="auto" w:fill="F1F1F1" w:themeFill="background1" w:themeFillShade="F2"/>
            <w:vAlign w:val="center"/>
          </w:tcPr>
          <w:p>
            <w:pPr>
              <w:widowControl w:val="0"/>
              <w:autoSpaceDE w:val="0"/>
              <w:autoSpaceDN w:val="0"/>
              <w:adjustRightInd w:val="0"/>
              <w:jc w:val="center"/>
              <w:rPr>
                <w:rFonts w:ascii="Arial" w:hAnsi="Arial" w:cs="Arial"/>
                <w:b/>
                <w:sz w:val="22"/>
                <w:szCs w:val="22"/>
              </w:rPr>
            </w:pPr>
            <w:r>
              <w:rPr>
                <w:rFonts w:ascii="Arial" w:hAnsi="Arial" w:cs="Arial"/>
                <w:b/>
                <w:sz w:val="22"/>
                <w:szCs w:val="22"/>
              </w:rPr>
              <w:t>NO</w:t>
            </w:r>
          </w:p>
        </w:tc>
        <w:tc>
          <w:tcPr>
            <w:tcW w:w="119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widowControl w:val="0"/>
                  <w:autoSpaceDE w:val="0"/>
                  <w:autoSpaceDN w:val="0"/>
                  <w:adjustRightInd w:val="0"/>
                  <w:jc w:val="center"/>
                  <w:rPr>
                    <w:rFonts w:ascii="Arial" w:hAnsi="Arial" w:cs="Arial"/>
                    <w:bCs/>
                    <w:sz w:val="22"/>
                    <w:szCs w:val="22"/>
                  </w:rPr>
                </w:pPr>
                <w:r>
                  <w:rPr>
                    <w:rFonts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5" w:hRule="atLeast"/>
        </w:trPr>
        <w:tc>
          <w:tcPr>
            <w:tcW w:w="531" w:type="dxa"/>
            <w:vMerge w:val="continue"/>
            <w:shd w:val="clear" w:color="auto" w:fill="F1F1F1" w:themeFill="background1" w:themeFillShade="F2"/>
            <w:vAlign w:val="center"/>
          </w:tcPr>
          <w:p>
            <w:pPr>
              <w:widowControl w:val="0"/>
              <w:autoSpaceDE w:val="0"/>
              <w:autoSpaceDN w:val="0"/>
              <w:adjustRightInd w:val="0"/>
              <w:jc w:val="both"/>
              <w:rPr>
                <w:rFonts w:ascii="Arial" w:hAnsi="Arial" w:cs="Arial"/>
                <w:bCs/>
                <w:sz w:val="22"/>
                <w:szCs w:val="22"/>
              </w:rPr>
            </w:pPr>
          </w:p>
        </w:tc>
        <w:tc>
          <w:tcPr>
            <w:tcW w:w="6914" w:type="dxa"/>
            <w:vMerge w:val="continue"/>
            <w:shd w:val="clear" w:color="auto" w:fill="F1F1F1" w:themeFill="background1" w:themeFillShade="F2"/>
          </w:tcPr>
          <w:p>
            <w:pPr>
              <w:widowControl w:val="0"/>
              <w:autoSpaceDE w:val="0"/>
              <w:autoSpaceDN w:val="0"/>
              <w:adjustRightInd w:val="0"/>
              <w:jc w:val="both"/>
              <w:rPr>
                <w:rFonts w:ascii="Arial" w:hAnsi="Arial" w:cs="Arial"/>
                <w:bCs/>
                <w:sz w:val="22"/>
                <w:szCs w:val="22"/>
              </w:rPr>
            </w:pPr>
          </w:p>
        </w:tc>
        <w:tc>
          <w:tcPr>
            <w:tcW w:w="1196" w:type="dxa"/>
            <w:shd w:val="clear" w:color="auto" w:fill="F1F1F1" w:themeFill="background1" w:themeFillShade="F2"/>
            <w:vAlign w:val="center"/>
          </w:tcPr>
          <w:p>
            <w:pPr>
              <w:widowControl w:val="0"/>
              <w:autoSpaceDE w:val="0"/>
              <w:autoSpaceDN w:val="0"/>
              <w:adjustRightInd w:val="0"/>
              <w:jc w:val="center"/>
              <w:rPr>
                <w:rFonts w:ascii="Arial" w:hAnsi="Arial" w:cs="Arial"/>
                <w:b/>
                <w:sz w:val="22"/>
                <w:szCs w:val="22"/>
              </w:rPr>
            </w:pPr>
            <w:r>
              <w:rPr>
                <w:rFonts w:ascii="Arial" w:hAnsi="Arial" w:cs="Arial"/>
                <w:b/>
                <w:sz w:val="22"/>
                <w:szCs w:val="22"/>
              </w:rPr>
              <w:t>YES</w:t>
            </w:r>
          </w:p>
        </w:tc>
        <w:tc>
          <w:tcPr>
            <w:tcW w:w="1196" w:type="dxa"/>
            <w:shd w:val="clear" w:color="auto" w:fill="D8D8D8" w:themeFill="background1" w:themeFillShade="D9"/>
            <w:vAlign w:val="center"/>
          </w:tcPr>
          <w:p>
            <w:pPr>
              <w:widowControl w:val="0"/>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29" w:hRule="atLeast"/>
        </w:trPr>
        <w:tc>
          <w:tcPr>
            <w:tcW w:w="531" w:type="dxa"/>
            <w:shd w:val="clear" w:color="auto" w:fill="FFFFFF" w:themeFill="background1"/>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11</w:t>
            </w:r>
          </w:p>
        </w:tc>
        <w:tc>
          <w:tcPr>
            <w:tcW w:w="9306" w:type="dxa"/>
            <w:gridSpan w:val="3"/>
            <w:shd w:val="clear" w:color="auto" w:fill="FFFFFF" w:themeFill="background1"/>
          </w:tcPr>
          <w:p>
            <w:pPr>
              <w:widowControl w:val="0"/>
              <w:autoSpaceDE w:val="0"/>
              <w:autoSpaceDN w:val="0"/>
              <w:adjustRightInd w:val="0"/>
              <w:jc w:val="both"/>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widowControl w:val="0"/>
              <w:jc w:val="both"/>
              <w:rPr>
                <w:rFonts w:ascii="Arial" w:hAnsi="Arial" w:cs="Arial"/>
                <w:sz w:val="22"/>
                <w:szCs w:val="22"/>
              </w:rPr>
            </w:pPr>
          </w:p>
          <w:p>
            <w:pPr>
              <w:widowControl w:val="0"/>
              <w:jc w:val="both"/>
              <w:rPr>
                <w:rFonts w:ascii="Arial" w:hAnsi="Arial" w:cs="Arial"/>
                <w:sz w:val="22"/>
                <w:szCs w:val="22"/>
              </w:rPr>
            </w:pPr>
          </w:p>
          <w:p>
            <w:pPr>
              <w:widowControl w:val="0"/>
              <w:jc w:val="both"/>
              <w:rPr>
                <w:rFonts w:ascii="Arial" w:hAnsi="Arial" w:cs="Arial"/>
                <w:sz w:val="22"/>
                <w:szCs w:val="22"/>
              </w:rPr>
            </w:pPr>
          </w:p>
          <w:p>
            <w:pPr>
              <w:widowControl w:val="0"/>
              <w:autoSpaceDE w:val="0"/>
              <w:autoSpaceDN w:val="0"/>
              <w:adjustRightInd w:val="0"/>
              <w:jc w:val="both"/>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9"/>
        <w:tblW w:w="983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9"/>
        <w:gridCol w:w="7736"/>
        <w:gridCol w:w="800"/>
        <w:gridCol w:w="7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4" w:hRule="atLeast"/>
        </w:trPr>
        <w:tc>
          <w:tcPr>
            <w:tcW w:w="529" w:type="dxa"/>
            <w:shd w:val="clear" w:color="auto" w:fill="F1F1F1" w:themeFill="background1" w:themeFillShade="F2"/>
            <w:vAlign w:val="center"/>
          </w:tcPr>
          <w:p>
            <w:pPr>
              <w:widowControl w:val="0"/>
              <w:autoSpaceDE w:val="0"/>
              <w:autoSpaceDN w:val="0"/>
              <w:adjustRightInd w:val="0"/>
              <w:jc w:val="center"/>
              <w:rPr>
                <w:rFonts w:ascii="Arial" w:hAnsi="Arial" w:cs="Arial"/>
                <w:b/>
                <w:sz w:val="22"/>
                <w:szCs w:val="22"/>
              </w:rPr>
            </w:pPr>
          </w:p>
        </w:tc>
        <w:tc>
          <w:tcPr>
            <w:tcW w:w="7736" w:type="dxa"/>
            <w:shd w:val="clear" w:color="auto" w:fill="F1F1F1" w:themeFill="background1" w:themeFillShade="F2"/>
          </w:tcPr>
          <w:p>
            <w:pPr>
              <w:widowControl w:val="0"/>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00" w:type="dxa"/>
            <w:shd w:val="clear" w:color="auto" w:fill="F1F1F1" w:themeFill="background1" w:themeFillShade="F2"/>
          </w:tcPr>
          <w:p>
            <w:pPr>
              <w:widowControl w:val="0"/>
              <w:autoSpaceDE w:val="0"/>
              <w:autoSpaceDN w:val="0"/>
              <w:adjustRightInd w:val="0"/>
              <w:jc w:val="center"/>
              <w:rPr>
                <w:rFonts w:ascii="Arial" w:hAnsi="Arial" w:cs="Arial"/>
                <w:b/>
                <w:bCs/>
                <w:sz w:val="22"/>
                <w:szCs w:val="22"/>
              </w:rPr>
            </w:pPr>
          </w:p>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73" w:type="dxa"/>
            <w:shd w:val="clear" w:color="auto" w:fill="F1F1F1" w:themeFill="background1" w:themeFillShade="F2"/>
          </w:tcPr>
          <w:p>
            <w:pPr>
              <w:widowControl w:val="0"/>
              <w:autoSpaceDE w:val="0"/>
              <w:autoSpaceDN w:val="0"/>
              <w:adjustRightInd w:val="0"/>
              <w:jc w:val="center"/>
              <w:rPr>
                <w:rFonts w:ascii="Arial" w:hAnsi="Arial" w:cs="Arial"/>
                <w:b/>
                <w:bCs/>
                <w:sz w:val="22"/>
                <w:szCs w:val="22"/>
              </w:rPr>
            </w:pPr>
          </w:p>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2" w:hRule="atLeast"/>
        </w:trPr>
        <w:tc>
          <w:tcPr>
            <w:tcW w:w="529"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12</w:t>
            </w:r>
          </w:p>
        </w:tc>
        <w:tc>
          <w:tcPr>
            <w:tcW w:w="773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 prosperous Wales</w:t>
            </w:r>
          </w:p>
        </w:tc>
        <w:tc>
          <w:tcPr>
            <w:tcW w:w="80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3"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7" w:hRule="atLeast"/>
        </w:trPr>
        <w:tc>
          <w:tcPr>
            <w:tcW w:w="529"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13</w:t>
            </w:r>
          </w:p>
        </w:tc>
        <w:tc>
          <w:tcPr>
            <w:tcW w:w="773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 resilient Wales</w:t>
            </w:r>
          </w:p>
        </w:tc>
        <w:tc>
          <w:tcPr>
            <w:tcW w:w="80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3"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2" w:hRule="atLeast"/>
        </w:trPr>
        <w:tc>
          <w:tcPr>
            <w:tcW w:w="529"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14</w:t>
            </w:r>
          </w:p>
        </w:tc>
        <w:tc>
          <w:tcPr>
            <w:tcW w:w="773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 healthier Wales</w:t>
            </w:r>
          </w:p>
        </w:tc>
        <w:tc>
          <w:tcPr>
            <w:tcW w:w="80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3"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7" w:hRule="atLeast"/>
        </w:trPr>
        <w:tc>
          <w:tcPr>
            <w:tcW w:w="529"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15</w:t>
            </w:r>
          </w:p>
        </w:tc>
        <w:tc>
          <w:tcPr>
            <w:tcW w:w="773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 more equal Wales</w:t>
            </w:r>
          </w:p>
        </w:tc>
        <w:tc>
          <w:tcPr>
            <w:tcW w:w="80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3"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7" w:hRule="atLeast"/>
        </w:trPr>
        <w:tc>
          <w:tcPr>
            <w:tcW w:w="529"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16</w:t>
            </w:r>
          </w:p>
        </w:tc>
        <w:tc>
          <w:tcPr>
            <w:tcW w:w="773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 Wales of cohesive communities</w:t>
            </w:r>
          </w:p>
        </w:tc>
        <w:tc>
          <w:tcPr>
            <w:tcW w:w="80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3"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2" w:hRule="atLeast"/>
        </w:trPr>
        <w:tc>
          <w:tcPr>
            <w:tcW w:w="529"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17</w:t>
            </w:r>
          </w:p>
        </w:tc>
        <w:tc>
          <w:tcPr>
            <w:tcW w:w="773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 Wales of vibrant culture and thriving Welsh language</w:t>
            </w:r>
          </w:p>
        </w:tc>
        <w:tc>
          <w:tcPr>
            <w:tcW w:w="80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3"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7" w:hRule="atLeast"/>
        </w:trPr>
        <w:tc>
          <w:tcPr>
            <w:tcW w:w="529"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18</w:t>
            </w:r>
          </w:p>
        </w:tc>
        <w:tc>
          <w:tcPr>
            <w:tcW w:w="773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 globally responsible Wales</w:t>
            </w:r>
          </w:p>
        </w:tc>
        <w:tc>
          <w:tcPr>
            <w:tcW w:w="80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3"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7" w:hRule="atLeast"/>
        </w:trPr>
        <w:tc>
          <w:tcPr>
            <w:tcW w:w="529"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19</w:t>
            </w:r>
          </w:p>
        </w:tc>
        <w:tc>
          <w:tcPr>
            <w:tcW w:w="9309" w:type="dxa"/>
            <w:gridSpan w:val="3"/>
            <w:shd w:val="clear" w:color="auto" w:fill="F1F1F1" w:themeFill="background1" w:themeFillShade="F2"/>
            <w:vAlign w:val="center"/>
          </w:tcPr>
          <w:p>
            <w:pPr>
              <w:widowControl w:val="0"/>
              <w:autoSpaceDE w:val="0"/>
              <w:autoSpaceDN w:val="0"/>
              <w:adjustRightInd w:val="0"/>
              <w:jc w:val="both"/>
              <w:rPr>
                <w:rFonts w:ascii="Arial" w:hAnsi="Arial" w:cs="Arial"/>
                <w:bCs/>
                <w:sz w:val="22"/>
                <w:szCs w:val="22"/>
              </w:rPr>
            </w:pPr>
            <w:r>
              <w:rPr>
                <w:rFonts w:ascii="Arial" w:hAnsi="Arial" w:cs="Arial"/>
                <w:sz w:val="22"/>
                <w:szCs w:val="22"/>
              </w:rPr>
              <w:t>If YES to any of the above, please give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8" w:hRule="atLeast"/>
        </w:trPr>
        <w:tc>
          <w:tcPr>
            <w:tcW w:w="529" w:type="dxa"/>
            <w:vAlign w:val="center"/>
          </w:tcPr>
          <w:p>
            <w:pPr>
              <w:widowControl w:val="0"/>
              <w:autoSpaceDE w:val="0"/>
              <w:autoSpaceDN w:val="0"/>
              <w:adjustRightInd w:val="0"/>
              <w:jc w:val="center"/>
              <w:rPr>
                <w:rFonts w:ascii="Arial" w:hAnsi="Arial" w:cs="Arial"/>
                <w:sz w:val="22"/>
                <w:szCs w:val="22"/>
              </w:rPr>
            </w:pPr>
          </w:p>
        </w:tc>
        <w:tc>
          <w:tcPr>
            <w:tcW w:w="9309" w:type="dxa"/>
            <w:gridSpan w:val="3"/>
            <w:shd w:val="clear" w:color="auto" w:fill="auto"/>
            <w:vAlign w:val="center"/>
          </w:tcPr>
          <w:p>
            <w:pPr>
              <w:widowControl w:val="0"/>
              <w:jc w:val="both"/>
              <w:rPr>
                <w:rFonts w:ascii="Arial" w:hAnsi="Arial" w:cs="Arial"/>
              </w:rPr>
            </w:pPr>
          </w:p>
          <w:p>
            <w:pPr>
              <w:widowControl w:val="0"/>
              <w:jc w:val="both"/>
              <w:rPr>
                <w:rFonts w:ascii="Arial" w:hAnsi="Arial" w:cs="Arial"/>
              </w:rPr>
            </w:pPr>
          </w:p>
          <w:p>
            <w:pPr>
              <w:widowControl w:val="0"/>
              <w:jc w:val="both"/>
              <w:rPr>
                <w:rFonts w:ascii="Arial" w:hAnsi="Arial" w:cs="Arial"/>
                <w:sz w:val="22"/>
                <w:szCs w:val="22"/>
              </w:rPr>
            </w:pPr>
          </w:p>
          <w:p>
            <w:pPr>
              <w:widowControl w:val="0"/>
              <w:autoSpaceDE w:val="0"/>
              <w:autoSpaceDN w:val="0"/>
              <w:adjustRightInd w:val="0"/>
              <w:jc w:val="both"/>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9"/>
        <w:tblW w:w="977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5"/>
        <w:gridCol w:w="7698"/>
        <w:gridCol w:w="791"/>
        <w:gridCol w:w="76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2"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b/>
                <w:sz w:val="22"/>
                <w:szCs w:val="22"/>
              </w:rPr>
            </w:pP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791" w:type="dxa"/>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63" w:type="dxa"/>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Use of a questionnaire or similar research instrument?</w:t>
            </w:r>
          </w:p>
        </w:tc>
        <w:tc>
          <w:tcPr>
            <w:tcW w:w="791"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2</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Use of interviews?</w:t>
            </w:r>
          </w:p>
        </w:tc>
        <w:tc>
          <w:tcPr>
            <w:tcW w:w="791" w:type="dxa"/>
            <w:shd w:val="clear" w:color="auto" w:fill="BEBEBE"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3</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Use of focus groups?</w:t>
            </w:r>
          </w:p>
        </w:tc>
        <w:tc>
          <w:tcPr>
            <w:tcW w:w="791"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4</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 xml:space="preserve">Use of participant diaries? </w:t>
            </w:r>
          </w:p>
        </w:tc>
        <w:tc>
          <w:tcPr>
            <w:tcW w:w="791"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5</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Use of video or audio recording?</w:t>
            </w:r>
          </w:p>
        </w:tc>
        <w:tc>
          <w:tcPr>
            <w:tcW w:w="791" w:type="dxa"/>
            <w:shd w:val="clear" w:color="auto" w:fill="BEBEBE"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6</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Use of computer-generated log files?</w:t>
            </w:r>
          </w:p>
        </w:tc>
        <w:tc>
          <w:tcPr>
            <w:tcW w:w="791"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7</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Participant observation with their knowledge?</w:t>
            </w:r>
          </w:p>
        </w:tc>
        <w:tc>
          <w:tcPr>
            <w:tcW w:w="791" w:type="dxa"/>
            <w:shd w:val="clear" w:color="auto" w:fill="BEBEBE"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8</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Participant observation without their knowledge?</w:t>
            </w:r>
          </w:p>
        </w:tc>
        <w:tc>
          <w:tcPr>
            <w:tcW w:w="791"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9</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Access to personal or confidential information without the participants’ specific consent?</w:t>
            </w:r>
          </w:p>
        </w:tc>
        <w:tc>
          <w:tcPr>
            <w:tcW w:w="791"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10</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791"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11</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Performance of any acts which may cause embarrassment or affect self-esteem?</w:t>
            </w:r>
          </w:p>
        </w:tc>
        <w:tc>
          <w:tcPr>
            <w:tcW w:w="791"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12</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Investigation of participants involved in illegal activities?</w:t>
            </w:r>
          </w:p>
        </w:tc>
        <w:tc>
          <w:tcPr>
            <w:tcW w:w="791"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13</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Use of procedures that involve deception?</w:t>
            </w:r>
          </w:p>
        </w:tc>
        <w:tc>
          <w:tcPr>
            <w:tcW w:w="791"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14</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Administration of any substance, agent or placebo?</w:t>
            </w:r>
          </w:p>
        </w:tc>
        <w:tc>
          <w:tcPr>
            <w:tcW w:w="791"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15</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Working with live vertebrate animals?</w:t>
            </w:r>
          </w:p>
        </w:tc>
        <w:tc>
          <w:tcPr>
            <w:tcW w:w="791"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16</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Procedures that may have a negative impact on the environment?</w:t>
            </w:r>
          </w:p>
        </w:tc>
        <w:tc>
          <w:tcPr>
            <w:tcW w:w="791"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52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17</w:t>
            </w:r>
          </w:p>
        </w:tc>
        <w:tc>
          <w:tcPr>
            <w:tcW w:w="769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791"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63"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0" w:hRule="atLeast"/>
        </w:trPr>
        <w:tc>
          <w:tcPr>
            <w:tcW w:w="525" w:type="dxa"/>
            <w:vAlign w:val="center"/>
          </w:tcPr>
          <w:p>
            <w:pPr>
              <w:widowControl w:val="0"/>
              <w:autoSpaceDE w:val="0"/>
              <w:autoSpaceDN w:val="0"/>
              <w:adjustRightInd w:val="0"/>
              <w:jc w:val="both"/>
              <w:rPr>
                <w:rFonts w:ascii="Arial" w:hAnsi="Arial" w:cs="Arial"/>
                <w:sz w:val="22"/>
                <w:szCs w:val="22"/>
              </w:rPr>
            </w:pPr>
          </w:p>
        </w:tc>
        <w:tc>
          <w:tcPr>
            <w:tcW w:w="7698" w:type="dxa"/>
            <w:shd w:val="clear" w:color="auto" w:fill="auto"/>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Details of any other primary data collection method:</w:t>
            </w:r>
          </w:p>
          <w:p>
            <w:pPr>
              <w:widowControl w:val="0"/>
              <w:jc w:val="both"/>
              <w:rPr>
                <w:rFonts w:ascii="Arial" w:hAnsi="Arial" w:cs="Arial"/>
              </w:rPr>
            </w:pPr>
          </w:p>
          <w:p>
            <w:pPr>
              <w:widowControl w:val="0"/>
              <w:jc w:val="both"/>
              <w:rPr>
                <w:rFonts w:ascii="Arial" w:hAnsi="Arial" w:cs="Arial"/>
              </w:rPr>
            </w:pPr>
            <w:r>
              <w:rPr>
                <w:rFonts w:ascii="Arial" w:hAnsi="Arial" w:cs="Arial"/>
              </w:rPr>
              <w:t>Six staff members will be interviewed at an educational institution in China. Interviews with them will be recorded and finally analysed on the basis of the content of the interviews.</w:t>
            </w:r>
          </w:p>
          <w:p>
            <w:pPr>
              <w:widowControl w:val="0"/>
              <w:jc w:val="both"/>
              <w:rPr>
                <w:rFonts w:ascii="Arial" w:hAnsi="Arial" w:cs="Arial"/>
                <w:sz w:val="22"/>
                <w:szCs w:val="22"/>
              </w:rPr>
            </w:pPr>
          </w:p>
          <w:p>
            <w:pPr>
              <w:widowControl w:val="0"/>
              <w:autoSpaceDE w:val="0"/>
              <w:autoSpaceDN w:val="0"/>
              <w:adjustRightInd w:val="0"/>
              <w:jc w:val="both"/>
              <w:rPr>
                <w:rFonts w:ascii="Arial" w:hAnsi="Arial" w:cs="Arial"/>
                <w:sz w:val="22"/>
                <w:szCs w:val="22"/>
              </w:rPr>
            </w:pPr>
            <w:r>
              <w:rPr>
                <w:rFonts w:ascii="Arial" w:hAnsi="Arial" w:cs="Arial"/>
                <w:sz w:val="18"/>
                <w:szCs w:val="18"/>
              </w:rPr>
              <w:t>(this box should expand as you type)</w:t>
            </w:r>
          </w:p>
        </w:tc>
        <w:tc>
          <w:tcPr>
            <w:tcW w:w="791" w:type="dxa"/>
            <w:vMerge w:val="continue"/>
            <w:shd w:val="clear" w:color="auto" w:fill="BEBEBE" w:themeFill="background1" w:themeFillShade="BF"/>
            <w:vAlign w:val="center"/>
          </w:tcPr>
          <w:p>
            <w:pPr>
              <w:widowControl w:val="0"/>
              <w:autoSpaceDE w:val="0"/>
              <w:autoSpaceDN w:val="0"/>
              <w:adjustRightInd w:val="0"/>
              <w:jc w:val="center"/>
              <w:rPr>
                <w:rFonts w:ascii="Arial" w:hAnsi="Arial" w:cs="Arial"/>
                <w:b/>
                <w:bCs/>
                <w:sz w:val="22"/>
                <w:szCs w:val="22"/>
              </w:rPr>
            </w:pPr>
          </w:p>
        </w:tc>
        <w:tc>
          <w:tcPr>
            <w:tcW w:w="763" w:type="dxa"/>
            <w:vMerge w:val="continue"/>
            <w:shd w:val="clear" w:color="auto" w:fill="BEBEBE" w:themeFill="background1" w:themeFillShade="BF"/>
            <w:vAlign w:val="center"/>
          </w:tcPr>
          <w:p>
            <w:pPr>
              <w:widowControl w:val="0"/>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rPr>
      </w:pPr>
      <w:r>
        <w:rPr>
          <w:rFonts w:ascii="Arial" w:hAnsi="Arial" w:cs="Arial"/>
          <w:bCs/>
        </w:rPr>
        <w:t>If there are no participants then do not complete this section, but go directly to section H.</w:t>
      </w:r>
    </w:p>
    <w:p>
      <w:pPr>
        <w:rPr>
          <w:rFonts w:ascii="Arial" w:hAnsi="Arial" w:cs="Arial"/>
          <w:bCs/>
        </w:rPr>
      </w:pPr>
    </w:p>
    <w:tbl>
      <w:tblPr>
        <w:tblStyle w:val="9"/>
        <w:tblW w:w="10398" w:type="dxa"/>
        <w:tblInd w:w="-61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07"/>
        <w:gridCol w:w="7721"/>
        <w:gridCol w:w="798"/>
        <w:gridCol w:w="77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1107" w:type="dxa"/>
            <w:shd w:val="clear" w:color="auto" w:fill="F1F1F1" w:themeFill="background1" w:themeFillShade="F2"/>
            <w:vAlign w:val="center"/>
          </w:tcPr>
          <w:p>
            <w:pPr>
              <w:widowControl w:val="0"/>
              <w:autoSpaceDE w:val="0"/>
              <w:autoSpaceDN w:val="0"/>
              <w:adjustRightInd w:val="0"/>
              <w:jc w:val="center"/>
              <w:rPr>
                <w:rFonts w:ascii="Arial" w:hAnsi="Arial" w:cs="Arial"/>
                <w:b/>
                <w:sz w:val="22"/>
                <w:szCs w:val="22"/>
              </w:rPr>
            </w:pPr>
          </w:p>
        </w:tc>
        <w:tc>
          <w:tcPr>
            <w:tcW w:w="7721" w:type="dxa"/>
            <w:shd w:val="clear" w:color="auto" w:fill="F1F1F1" w:themeFill="background1" w:themeFillShade="F2"/>
          </w:tcPr>
          <w:p>
            <w:pPr>
              <w:widowControl w:val="0"/>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798" w:type="dxa"/>
            <w:shd w:val="clear" w:color="auto" w:fill="F1F1F1" w:themeFill="background1" w:themeFillShade="F2"/>
          </w:tcPr>
          <w:p>
            <w:pPr>
              <w:widowControl w:val="0"/>
              <w:autoSpaceDE w:val="0"/>
              <w:autoSpaceDN w:val="0"/>
              <w:adjustRightInd w:val="0"/>
              <w:jc w:val="center"/>
              <w:rPr>
                <w:rFonts w:ascii="Arial" w:hAnsi="Arial" w:cs="Arial"/>
                <w:b/>
                <w:bCs/>
                <w:sz w:val="22"/>
                <w:szCs w:val="22"/>
              </w:rPr>
            </w:pPr>
          </w:p>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72" w:type="dxa"/>
            <w:shd w:val="clear" w:color="auto" w:fill="F1F1F1" w:themeFill="background1" w:themeFillShade="F2"/>
          </w:tcPr>
          <w:p>
            <w:pPr>
              <w:widowControl w:val="0"/>
              <w:autoSpaceDE w:val="0"/>
              <w:autoSpaceDN w:val="0"/>
              <w:adjustRightInd w:val="0"/>
              <w:jc w:val="center"/>
              <w:rPr>
                <w:rFonts w:ascii="Arial" w:hAnsi="Arial" w:cs="Arial"/>
                <w:b/>
                <w:bCs/>
                <w:sz w:val="22"/>
                <w:szCs w:val="22"/>
              </w:rPr>
            </w:pPr>
          </w:p>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1107"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w:t>
            </w:r>
          </w:p>
        </w:tc>
        <w:tc>
          <w:tcPr>
            <w:tcW w:w="77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Students or staff at the University?</w:t>
            </w:r>
          </w:p>
        </w:tc>
        <w:tc>
          <w:tcPr>
            <w:tcW w:w="798"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2" w:type="dxa"/>
            <w:shd w:val="clear" w:color="auto" w:fill="BEBEBE"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1107"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2</w:t>
            </w:r>
          </w:p>
        </w:tc>
        <w:tc>
          <w:tcPr>
            <w:tcW w:w="77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Adults (over the age of 18 and competent to give consent)?</w:t>
            </w:r>
          </w:p>
        </w:tc>
        <w:tc>
          <w:tcPr>
            <w:tcW w:w="798" w:type="dxa"/>
            <w:shd w:val="clear" w:color="auto" w:fill="BEBEBE"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1107"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3</w:t>
            </w:r>
          </w:p>
        </w:tc>
        <w:tc>
          <w:tcPr>
            <w:tcW w:w="77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Vulnerable adults?</w:t>
            </w:r>
          </w:p>
        </w:tc>
        <w:tc>
          <w:tcPr>
            <w:tcW w:w="798"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2" w:type="dxa"/>
            <w:shd w:val="clear" w:color="auto" w:fill="BEBEBE"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1107"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4</w:t>
            </w:r>
          </w:p>
        </w:tc>
        <w:tc>
          <w:tcPr>
            <w:tcW w:w="77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798"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1107"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5</w:t>
            </w:r>
          </w:p>
        </w:tc>
        <w:tc>
          <w:tcPr>
            <w:tcW w:w="77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Prisoners?</w:t>
            </w:r>
          </w:p>
        </w:tc>
        <w:tc>
          <w:tcPr>
            <w:tcW w:w="798"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1107"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6</w:t>
            </w:r>
          </w:p>
        </w:tc>
        <w:tc>
          <w:tcPr>
            <w:tcW w:w="77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Young offenders?</w:t>
            </w:r>
          </w:p>
        </w:tc>
        <w:tc>
          <w:tcPr>
            <w:tcW w:w="798"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2" w:type="dxa"/>
            <w:shd w:val="clear" w:color="auto" w:fill="BEBEBE"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1107"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7</w:t>
            </w:r>
          </w:p>
        </w:tc>
        <w:tc>
          <w:tcPr>
            <w:tcW w:w="77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798" w:type="dxa"/>
            <w:shd w:val="clear" w:color="auto" w:fill="BEBEBE" w:themeFill="background1" w:themeFillShade="BF"/>
            <w:vAlign w:val="center"/>
          </w:tcPr>
          <w:sdt>
            <w:sdtPr>
              <w:rPr>
                <w:rFonts w:ascii="Arial" w:hAnsi="Arial" w:cs="Arial"/>
                <w:sz w:val="22"/>
                <w:szCs w:val="22"/>
              </w:rPr>
              <w:id w:val="-1016453075"/>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1107"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8</w:t>
            </w:r>
          </w:p>
        </w:tc>
        <w:tc>
          <w:tcPr>
            <w:tcW w:w="77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People engaged in illegal activities?</w:t>
            </w:r>
          </w:p>
        </w:tc>
        <w:tc>
          <w:tcPr>
            <w:tcW w:w="798"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35" w:hRule="atLeast"/>
        </w:trPr>
        <w:tc>
          <w:tcPr>
            <w:tcW w:w="1107"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9</w:t>
            </w:r>
          </w:p>
        </w:tc>
        <w:tc>
          <w:tcPr>
            <w:tcW w:w="77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widowControl w:val="0"/>
              <w:autoSpaceDE w:val="0"/>
              <w:autoSpaceDN w:val="0"/>
              <w:adjustRightInd w:val="0"/>
              <w:jc w:val="both"/>
              <w:rPr>
                <w:rFonts w:ascii="Arial" w:hAnsi="Arial" w:cs="Arial"/>
                <w:sz w:val="22"/>
                <w:szCs w:val="22"/>
              </w:rPr>
            </w:pPr>
          </w:p>
        </w:tc>
        <w:tc>
          <w:tcPr>
            <w:tcW w:w="798"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772" w:type="dxa"/>
            <w:vMerge w:val="restart"/>
            <w:shd w:val="clear" w:color="auto" w:fill="BEBEBE"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62" w:hRule="atLeast"/>
        </w:trPr>
        <w:tc>
          <w:tcPr>
            <w:tcW w:w="1107" w:type="dxa"/>
            <w:vAlign w:val="center"/>
          </w:tcPr>
          <w:p>
            <w:pPr>
              <w:widowControl w:val="0"/>
              <w:autoSpaceDE w:val="0"/>
              <w:autoSpaceDN w:val="0"/>
              <w:adjustRightInd w:val="0"/>
              <w:jc w:val="center"/>
              <w:rPr>
                <w:rFonts w:ascii="Arial" w:hAnsi="Arial" w:cs="Arial"/>
                <w:sz w:val="22"/>
                <w:szCs w:val="22"/>
              </w:rPr>
            </w:pPr>
          </w:p>
        </w:tc>
        <w:tc>
          <w:tcPr>
            <w:tcW w:w="7721" w:type="dxa"/>
            <w:shd w:val="clear" w:color="auto" w:fill="auto"/>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Details of any other participant groups:</w:t>
            </w:r>
          </w:p>
          <w:p>
            <w:pPr>
              <w:widowControl w:val="0"/>
              <w:jc w:val="both"/>
              <w:rPr>
                <w:rFonts w:ascii="Arial" w:hAnsi="Arial" w:cs="Arial"/>
              </w:rPr>
            </w:pPr>
          </w:p>
          <w:p>
            <w:pPr>
              <w:widowControl w:val="0"/>
              <w:jc w:val="both"/>
              <w:rPr>
                <w:rFonts w:ascii="Arial" w:hAnsi="Arial" w:eastAsia="宋体" w:cs="Arial"/>
                <w:lang w:eastAsia="zh-CN"/>
              </w:rPr>
            </w:pPr>
            <w:r>
              <w:rPr>
                <w:rFonts w:ascii="Arial" w:hAnsi="Arial" w:eastAsia="宋体" w:cs="Arial"/>
                <w:lang w:eastAsia="zh-CN"/>
              </w:rPr>
              <w:t>No</w:t>
            </w:r>
          </w:p>
          <w:p>
            <w:pPr>
              <w:widowControl w:val="0"/>
              <w:jc w:val="both"/>
              <w:rPr>
                <w:rFonts w:ascii="Arial" w:hAnsi="Arial" w:cs="Arial"/>
                <w:sz w:val="22"/>
                <w:szCs w:val="22"/>
              </w:rPr>
            </w:pPr>
          </w:p>
          <w:p>
            <w:pPr>
              <w:widowControl w:val="0"/>
              <w:autoSpaceDE w:val="0"/>
              <w:autoSpaceDN w:val="0"/>
              <w:adjustRightInd w:val="0"/>
              <w:jc w:val="both"/>
              <w:rPr>
                <w:rFonts w:ascii="Arial" w:hAnsi="Arial" w:cs="Arial"/>
                <w:sz w:val="22"/>
                <w:szCs w:val="22"/>
              </w:rPr>
            </w:pPr>
            <w:r>
              <w:rPr>
                <w:rFonts w:ascii="Arial" w:hAnsi="Arial" w:cs="Arial"/>
                <w:color w:val="808080"/>
                <w:sz w:val="18"/>
                <w:szCs w:val="18"/>
              </w:rPr>
              <w:t>(this box should expand as you type)</w:t>
            </w:r>
          </w:p>
        </w:tc>
        <w:tc>
          <w:tcPr>
            <w:tcW w:w="798" w:type="dxa"/>
            <w:vMerge w:val="continue"/>
            <w:shd w:val="clear" w:color="auto" w:fill="BEBEBE" w:themeFill="background1" w:themeFillShade="BF"/>
            <w:vAlign w:val="center"/>
          </w:tcPr>
          <w:p>
            <w:pPr>
              <w:widowControl w:val="0"/>
              <w:autoSpaceDE w:val="0"/>
              <w:autoSpaceDN w:val="0"/>
              <w:adjustRightInd w:val="0"/>
              <w:jc w:val="center"/>
              <w:rPr>
                <w:rFonts w:ascii="Arial" w:hAnsi="Arial" w:cs="Arial"/>
                <w:b/>
                <w:bCs/>
                <w:sz w:val="22"/>
                <w:szCs w:val="22"/>
              </w:rPr>
            </w:pPr>
          </w:p>
        </w:tc>
        <w:tc>
          <w:tcPr>
            <w:tcW w:w="772" w:type="dxa"/>
            <w:vMerge w:val="continue"/>
            <w:shd w:val="clear" w:color="auto" w:fill="BEBEBE" w:themeFill="background1" w:themeFillShade="BF"/>
            <w:vAlign w:val="center"/>
          </w:tcPr>
          <w:p>
            <w:pPr>
              <w:widowControl w:val="0"/>
              <w:autoSpaceDE w:val="0"/>
              <w:autoSpaceDN w:val="0"/>
              <w:adjustRightInd w:val="0"/>
              <w:jc w:val="center"/>
              <w:rPr>
                <w:rFonts w:ascii="Arial" w:hAnsi="Arial" w:cs="Arial"/>
                <w:b/>
                <w:bCs/>
                <w:sz w:val="22"/>
                <w:szCs w:val="22"/>
              </w:rPr>
            </w:pPr>
          </w:p>
        </w:tc>
      </w:tr>
    </w:tbl>
    <w:p>
      <w:pPr>
        <w:rPr>
          <w:rFonts w:ascii="Arial" w:hAnsi="Arial" w:cs="Arial"/>
          <w:bCs/>
        </w:rPr>
      </w:pPr>
    </w:p>
    <w:tbl>
      <w:tblPr>
        <w:tblStyle w:val="9"/>
        <w:tblW w:w="10399" w:type="dxa"/>
        <w:tblInd w:w="-61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07"/>
        <w:gridCol w:w="3059"/>
        <w:gridCol w:w="62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21" w:hRule="atLeast"/>
        </w:trPr>
        <w:tc>
          <w:tcPr>
            <w:tcW w:w="1107" w:type="dxa"/>
            <w:tcBorders>
              <w:bottom w:val="single" w:color="auto" w:sz="4" w:space="0"/>
            </w:tcBorders>
            <w:shd w:val="clear" w:color="auto" w:fill="F1F1F1" w:themeFill="background1" w:themeFillShade="F2"/>
          </w:tcPr>
          <w:p>
            <w:pPr>
              <w:widowControl w:val="0"/>
              <w:jc w:val="both"/>
              <w:rPr>
                <w:rFonts w:ascii="Arial" w:hAnsi="Arial" w:cs="Arial"/>
                <w:bCs/>
                <w:sz w:val="22"/>
                <w:szCs w:val="22"/>
              </w:rPr>
            </w:pPr>
          </w:p>
        </w:tc>
        <w:tc>
          <w:tcPr>
            <w:tcW w:w="9292" w:type="dxa"/>
            <w:gridSpan w:val="2"/>
            <w:tcBorders>
              <w:bottom w:val="single" w:color="auto" w:sz="4" w:space="0"/>
            </w:tcBorders>
            <w:shd w:val="clear" w:color="auto" w:fill="F1F1F1" w:themeFill="background1" w:themeFillShade="F2"/>
            <w:vAlign w:val="center"/>
          </w:tcPr>
          <w:p>
            <w:pPr>
              <w:widowControl w:val="0"/>
              <w:jc w:val="both"/>
              <w:rPr>
                <w:rFonts w:ascii="Arial" w:hAnsi="Arial" w:cs="Arial"/>
                <w:b/>
                <w:sz w:val="22"/>
                <w:szCs w:val="22"/>
              </w:rPr>
            </w:pPr>
            <w:r>
              <w:rPr>
                <w:rFonts w:ascii="Arial" w:hAnsi="Arial" w:cs="Arial"/>
                <w:b/>
                <w:sz w:val="22"/>
                <w:szCs w:val="22"/>
              </w:rPr>
              <w:t>Participant numbers and source</w:t>
            </w:r>
          </w:p>
          <w:p>
            <w:pPr>
              <w:widowControl w:val="0"/>
              <w:autoSpaceDE w:val="0"/>
              <w:autoSpaceDN w:val="0"/>
              <w:adjustRightInd w:val="0"/>
              <w:jc w:val="both"/>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21" w:hRule="atLeast"/>
        </w:trPr>
        <w:tc>
          <w:tcPr>
            <w:tcW w:w="11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widowControl w:val="0"/>
              <w:jc w:val="center"/>
              <w:rPr>
                <w:rFonts w:ascii="Arial" w:hAnsi="Arial" w:cs="Arial"/>
                <w:sz w:val="22"/>
                <w:szCs w:val="22"/>
              </w:rPr>
            </w:pPr>
            <w:r>
              <w:rPr>
                <w:rFonts w:ascii="Arial" w:hAnsi="Arial" w:cs="Arial"/>
                <w:sz w:val="22"/>
                <w:szCs w:val="22"/>
              </w:rPr>
              <w:t>10</w:t>
            </w:r>
          </w:p>
        </w:tc>
        <w:tc>
          <w:tcPr>
            <w:tcW w:w="3059"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widowControl w:val="0"/>
              <w:jc w:val="both"/>
              <w:rPr>
                <w:rFonts w:ascii="Arial" w:hAnsi="Arial" w:cs="Arial"/>
                <w:sz w:val="22"/>
                <w:szCs w:val="22"/>
              </w:rPr>
            </w:pPr>
            <w:r>
              <w:rPr>
                <w:rFonts w:ascii="Arial" w:hAnsi="Arial" w:cs="Arial"/>
                <w:sz w:val="22"/>
                <w:szCs w:val="22"/>
              </w:rPr>
              <w:t>How many participants are expected?</w:t>
            </w:r>
          </w:p>
          <w:p>
            <w:pPr>
              <w:widowControl w:val="0"/>
              <w:jc w:val="both"/>
              <w:rPr>
                <w:rFonts w:ascii="Arial" w:hAnsi="Arial" w:cs="Arial"/>
                <w:sz w:val="22"/>
                <w:szCs w:val="22"/>
              </w:rPr>
            </w:pPr>
          </w:p>
        </w:tc>
        <w:tc>
          <w:tcPr>
            <w:tcW w:w="6233" w:type="dxa"/>
            <w:tcBorders>
              <w:top w:val="single" w:color="auto" w:sz="4" w:space="0"/>
              <w:left w:val="single" w:color="auto" w:sz="4" w:space="0"/>
              <w:bottom w:val="single" w:color="auto" w:sz="4" w:space="0"/>
              <w:right w:val="single" w:color="auto" w:sz="4" w:space="0"/>
            </w:tcBorders>
            <w:vAlign w:val="center"/>
          </w:tcPr>
          <w:p>
            <w:pPr>
              <w:widowControl w:val="0"/>
              <w:jc w:val="both"/>
              <w:rPr>
                <w:rFonts w:ascii="Arial" w:hAnsi="Arial" w:cs="Arial"/>
                <w:sz w:val="22"/>
                <w:szCs w:val="22"/>
              </w:rPr>
            </w:pPr>
          </w:p>
          <w:p>
            <w:pPr>
              <w:widowControl w:val="0"/>
              <w:jc w:val="both"/>
              <w:rPr>
                <w:rFonts w:ascii="Arial" w:hAnsi="Arial" w:cs="Arial"/>
                <w:sz w:val="22"/>
                <w:szCs w:val="22"/>
              </w:rPr>
            </w:pPr>
            <w:r>
              <w:rPr>
                <w:rFonts w:ascii="Arial" w:hAnsi="Arial" w:eastAsia="宋体" w:cs="Arial"/>
                <w:sz w:val="22"/>
                <w:szCs w:val="22"/>
                <w:lang w:eastAsia="zh-CN"/>
              </w:rPr>
              <w:t>6 people</w:t>
            </w:r>
          </w:p>
          <w:p>
            <w:pPr>
              <w:widowControl w:val="0"/>
              <w:jc w:val="both"/>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21" w:hRule="atLeast"/>
        </w:trPr>
        <w:tc>
          <w:tcPr>
            <w:tcW w:w="11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widowControl w:val="0"/>
              <w:jc w:val="center"/>
              <w:rPr>
                <w:rFonts w:ascii="Arial" w:hAnsi="Arial" w:cs="Arial"/>
                <w:sz w:val="22"/>
                <w:szCs w:val="22"/>
              </w:rPr>
            </w:pPr>
            <w:r>
              <w:rPr>
                <w:rFonts w:ascii="Arial" w:hAnsi="Arial" w:cs="Arial"/>
                <w:sz w:val="22"/>
                <w:szCs w:val="22"/>
              </w:rPr>
              <w:t>11</w:t>
            </w:r>
          </w:p>
        </w:tc>
        <w:tc>
          <w:tcPr>
            <w:tcW w:w="3059"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widowControl w:val="0"/>
              <w:jc w:val="both"/>
              <w:rPr>
                <w:rFonts w:ascii="Arial" w:hAnsi="Arial" w:cs="Arial"/>
                <w:sz w:val="22"/>
                <w:szCs w:val="22"/>
              </w:rPr>
            </w:pPr>
            <w:r>
              <w:rPr>
                <w:rFonts w:ascii="Arial" w:hAnsi="Arial" w:cs="Arial"/>
                <w:sz w:val="22"/>
                <w:szCs w:val="22"/>
              </w:rPr>
              <w:t>Who will the participants be?</w:t>
            </w:r>
          </w:p>
          <w:p>
            <w:pPr>
              <w:widowControl w:val="0"/>
              <w:jc w:val="both"/>
              <w:rPr>
                <w:rFonts w:ascii="Arial" w:hAnsi="Arial" w:cs="Arial"/>
                <w:sz w:val="22"/>
                <w:szCs w:val="22"/>
              </w:rPr>
            </w:pPr>
          </w:p>
        </w:tc>
        <w:tc>
          <w:tcPr>
            <w:tcW w:w="6233" w:type="dxa"/>
            <w:tcBorders>
              <w:top w:val="single" w:color="auto" w:sz="4" w:space="0"/>
              <w:left w:val="single" w:color="auto" w:sz="4" w:space="0"/>
              <w:bottom w:val="single" w:color="auto" w:sz="4" w:space="0"/>
              <w:right w:val="single" w:color="auto" w:sz="4" w:space="0"/>
            </w:tcBorders>
            <w:vAlign w:val="center"/>
          </w:tcPr>
          <w:p>
            <w:pPr>
              <w:widowControl w:val="0"/>
              <w:jc w:val="both"/>
              <w:rPr>
                <w:rFonts w:ascii="Arial" w:hAnsi="Arial" w:cs="Arial"/>
                <w:sz w:val="22"/>
                <w:szCs w:val="22"/>
              </w:rPr>
            </w:pPr>
          </w:p>
          <w:p>
            <w:pPr>
              <w:widowControl w:val="0"/>
              <w:jc w:val="both"/>
              <w:rPr>
                <w:rFonts w:ascii="Arial" w:hAnsi="Arial" w:cs="Arial"/>
                <w:sz w:val="22"/>
                <w:szCs w:val="22"/>
              </w:rPr>
            </w:pPr>
            <w:r>
              <w:rPr>
                <w:rFonts w:ascii="Arial" w:hAnsi="Arial" w:eastAsia="宋体" w:cs="Arial"/>
                <w:sz w:val="22"/>
                <w:szCs w:val="22"/>
                <w:lang w:eastAsia="zh-CN"/>
              </w:rPr>
              <w:t>6</w:t>
            </w:r>
            <w:r>
              <w:rPr>
                <w:rFonts w:ascii="Arial" w:hAnsi="Arial" w:cs="Arial"/>
                <w:sz w:val="22"/>
                <w:szCs w:val="22"/>
              </w:rPr>
              <w:t xml:space="preserve"> staff working in educational institutions in China</w:t>
            </w:r>
          </w:p>
          <w:p>
            <w:pPr>
              <w:widowControl w:val="0"/>
              <w:jc w:val="both"/>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7" w:hRule="atLeast"/>
        </w:trPr>
        <w:tc>
          <w:tcPr>
            <w:tcW w:w="1107" w:type="dxa"/>
            <w:tcBorders>
              <w:top w:val="single" w:color="auto" w:sz="4" w:space="0"/>
            </w:tcBorders>
            <w:shd w:val="clear" w:color="auto" w:fill="F1F1F1" w:themeFill="background1" w:themeFillShade="F2"/>
            <w:vAlign w:val="center"/>
          </w:tcPr>
          <w:p>
            <w:pPr>
              <w:widowControl w:val="0"/>
              <w:jc w:val="center"/>
              <w:rPr>
                <w:rFonts w:ascii="Arial" w:hAnsi="Arial" w:cs="Arial"/>
                <w:sz w:val="22"/>
                <w:szCs w:val="22"/>
              </w:rPr>
            </w:pPr>
            <w:r>
              <w:rPr>
                <w:rFonts w:ascii="Arial" w:hAnsi="Arial" w:cs="Arial"/>
                <w:sz w:val="22"/>
                <w:szCs w:val="22"/>
              </w:rPr>
              <w:t>12</w:t>
            </w:r>
          </w:p>
        </w:tc>
        <w:tc>
          <w:tcPr>
            <w:tcW w:w="3059" w:type="dxa"/>
            <w:tcBorders>
              <w:top w:val="single" w:color="auto" w:sz="4" w:space="0"/>
            </w:tcBorders>
            <w:shd w:val="clear" w:color="auto" w:fill="F1F1F1" w:themeFill="background1" w:themeFillShade="F2"/>
            <w:vAlign w:val="center"/>
          </w:tcPr>
          <w:p>
            <w:pPr>
              <w:widowControl w:val="0"/>
              <w:jc w:val="both"/>
              <w:rPr>
                <w:rFonts w:ascii="Arial" w:hAnsi="Arial" w:cs="Arial"/>
                <w:sz w:val="22"/>
                <w:szCs w:val="22"/>
              </w:rPr>
            </w:pPr>
            <w:r>
              <w:rPr>
                <w:rFonts w:ascii="Arial" w:hAnsi="Arial" w:cs="Arial"/>
                <w:sz w:val="22"/>
                <w:szCs w:val="22"/>
              </w:rPr>
              <w:t>How will you identify the participants?</w:t>
            </w:r>
          </w:p>
        </w:tc>
        <w:tc>
          <w:tcPr>
            <w:tcW w:w="6233" w:type="dxa"/>
            <w:tcBorders>
              <w:top w:val="single" w:color="auto" w:sz="4" w:space="0"/>
            </w:tcBorders>
            <w:vAlign w:val="center"/>
          </w:tcPr>
          <w:p>
            <w:pPr>
              <w:widowControl w:val="0"/>
              <w:jc w:val="both"/>
              <w:rPr>
                <w:rFonts w:ascii="Arial" w:hAnsi="Arial" w:cs="Arial"/>
                <w:sz w:val="22"/>
                <w:szCs w:val="22"/>
              </w:rPr>
            </w:pPr>
          </w:p>
          <w:p>
            <w:pPr>
              <w:widowControl w:val="0"/>
              <w:jc w:val="both"/>
              <w:rPr>
                <w:rFonts w:ascii="Arial" w:hAnsi="Arial" w:cs="Arial"/>
                <w:sz w:val="22"/>
                <w:szCs w:val="22"/>
              </w:rPr>
            </w:pPr>
            <w:r>
              <w:rPr>
                <w:rFonts w:ascii="Arial" w:hAnsi="Arial" w:cs="Arial"/>
                <w:sz w:val="22"/>
                <w:szCs w:val="22"/>
              </w:rPr>
              <w:t>Participant 1, 2</w:t>
            </w:r>
            <w:r>
              <w:rPr>
                <w:rFonts w:ascii="Arial" w:hAnsi="Arial" w:eastAsia="宋体" w:cs="Arial"/>
                <w:sz w:val="22"/>
                <w:szCs w:val="22"/>
                <w:lang w:eastAsia="zh-CN"/>
              </w:rPr>
              <w:t>, 3, 4, 5, 6</w:t>
            </w:r>
            <w:r>
              <w:rPr>
                <w:rFonts w:ascii="Arial" w:hAnsi="Arial" w:cs="Arial"/>
                <w:sz w:val="22"/>
                <w:szCs w:val="22"/>
              </w:rPr>
              <w:t xml:space="preserve"> </w:t>
            </w:r>
          </w:p>
          <w:p>
            <w:pPr>
              <w:widowControl w:val="0"/>
              <w:jc w:val="both"/>
              <w:rPr>
                <w:rFonts w:ascii="Arial" w:hAnsi="Arial" w:cs="Arial"/>
                <w:sz w:val="22"/>
                <w:szCs w:val="22"/>
              </w:rPr>
            </w:pPr>
          </w:p>
          <w:p>
            <w:pPr>
              <w:widowControl w:val="0"/>
              <w:jc w:val="both"/>
              <w:rPr>
                <w:rFonts w:ascii="Arial" w:hAnsi="Arial" w:cs="Arial"/>
                <w:sz w:val="22"/>
                <w:szCs w:val="22"/>
              </w:rPr>
            </w:pPr>
          </w:p>
          <w:p>
            <w:pPr>
              <w:widowControl w:val="0"/>
              <w:jc w:val="both"/>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rPr>
      </w:pPr>
    </w:p>
    <w:p/>
    <w:tbl>
      <w:tblPr>
        <w:tblStyle w:val="9"/>
        <w:tblW w:w="10658" w:type="dxa"/>
        <w:tblInd w:w="-61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31"/>
        <w:gridCol w:w="6806"/>
        <w:gridCol w:w="952"/>
        <w:gridCol w:w="817"/>
        <w:gridCol w:w="9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1131" w:type="dxa"/>
            <w:shd w:val="clear" w:color="auto" w:fill="F1F1F1" w:themeFill="background1" w:themeFillShade="F2"/>
            <w:vAlign w:val="center"/>
          </w:tcPr>
          <w:p>
            <w:pPr>
              <w:widowControl w:val="0"/>
              <w:autoSpaceDE w:val="0"/>
              <w:autoSpaceDN w:val="0"/>
              <w:adjustRightInd w:val="0"/>
              <w:jc w:val="center"/>
              <w:rPr>
                <w:rFonts w:ascii="Arial" w:hAnsi="Arial" w:cs="Arial"/>
                <w:bCs/>
                <w:sz w:val="22"/>
                <w:szCs w:val="22"/>
              </w:rPr>
            </w:pPr>
          </w:p>
        </w:tc>
        <w:tc>
          <w:tcPr>
            <w:tcW w:w="6806" w:type="dxa"/>
            <w:shd w:val="clear" w:color="auto" w:fill="F1F1F1" w:themeFill="background1" w:themeFillShade="F2"/>
          </w:tcPr>
          <w:p>
            <w:pPr>
              <w:widowControl w:val="0"/>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52" w:type="dxa"/>
            <w:shd w:val="clear" w:color="auto" w:fill="F1F1F1" w:themeFill="background1" w:themeFillShade="F2"/>
            <w:vAlign w:val="bottom"/>
          </w:tcPr>
          <w:p>
            <w:pPr>
              <w:widowControl w:val="0"/>
              <w:autoSpaceDE w:val="0"/>
              <w:autoSpaceDN w:val="0"/>
              <w:adjustRightInd w:val="0"/>
              <w:jc w:val="center"/>
              <w:rPr>
                <w:rFonts w:ascii="Arial" w:hAnsi="Arial" w:cs="Arial"/>
                <w:b/>
                <w:bCs/>
                <w:sz w:val="16"/>
                <w:szCs w:val="16"/>
              </w:rPr>
            </w:pPr>
          </w:p>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7" w:type="dxa"/>
            <w:shd w:val="clear" w:color="auto" w:fill="F1F1F1" w:themeFill="background1" w:themeFillShade="F2"/>
            <w:vAlign w:val="bottom"/>
          </w:tcPr>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52" w:type="dxa"/>
            <w:shd w:val="clear" w:color="auto" w:fill="F1F1F1" w:themeFill="background1" w:themeFillShade="F2"/>
          </w:tcPr>
          <w:p>
            <w:pPr>
              <w:widowControl w:val="0"/>
              <w:autoSpaceDE w:val="0"/>
              <w:autoSpaceDN w:val="0"/>
              <w:adjustRightInd w:val="0"/>
              <w:jc w:val="center"/>
              <w:rPr>
                <w:rFonts w:ascii="Arial" w:hAnsi="Arial" w:cs="Arial"/>
                <w:b/>
                <w:bCs/>
                <w:sz w:val="16"/>
                <w:szCs w:val="16"/>
              </w:rPr>
            </w:pPr>
          </w:p>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1131"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13</w:t>
            </w:r>
          </w:p>
        </w:tc>
        <w:tc>
          <w:tcPr>
            <w:tcW w:w="680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5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7"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5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1131"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14</w:t>
            </w:r>
          </w:p>
        </w:tc>
        <w:tc>
          <w:tcPr>
            <w:tcW w:w="680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Will you tell participants that their participation is voluntary?</w:t>
            </w:r>
          </w:p>
        </w:tc>
        <w:tc>
          <w:tcPr>
            <w:tcW w:w="95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7"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5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6" w:hRule="atLeast"/>
        </w:trPr>
        <w:tc>
          <w:tcPr>
            <w:tcW w:w="1131"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15</w:t>
            </w:r>
          </w:p>
        </w:tc>
        <w:tc>
          <w:tcPr>
            <w:tcW w:w="680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Will you obtain written consent for participation?</w:t>
            </w:r>
          </w:p>
        </w:tc>
        <w:tc>
          <w:tcPr>
            <w:tcW w:w="95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7"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5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1131"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16</w:t>
            </w:r>
          </w:p>
        </w:tc>
        <w:tc>
          <w:tcPr>
            <w:tcW w:w="680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5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7"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5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1131"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17</w:t>
            </w:r>
          </w:p>
        </w:tc>
        <w:tc>
          <w:tcPr>
            <w:tcW w:w="680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52" w:type="dxa"/>
            <w:shd w:val="clear" w:color="auto" w:fill="BEBEBE"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7"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5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1131"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18</w:t>
            </w:r>
          </w:p>
        </w:tc>
        <w:tc>
          <w:tcPr>
            <w:tcW w:w="680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52" w:type="dxa"/>
            <w:shd w:val="clear" w:color="auto" w:fill="BEBEBE"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7"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5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1131"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19</w:t>
            </w:r>
          </w:p>
        </w:tc>
        <w:tc>
          <w:tcPr>
            <w:tcW w:w="680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52" w:type="dxa"/>
            <w:shd w:val="clear" w:color="auto" w:fill="BEBEBE"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7"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5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1131"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20</w:t>
            </w:r>
          </w:p>
        </w:tc>
        <w:tc>
          <w:tcPr>
            <w:tcW w:w="680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5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7"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5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1131"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21</w:t>
            </w:r>
          </w:p>
        </w:tc>
        <w:tc>
          <w:tcPr>
            <w:tcW w:w="6806"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5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7"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5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1131" w:type="dxa"/>
            <w:tcBorders>
              <w:bottom w:val="single" w:color="auto" w:sz="4" w:space="0"/>
            </w:tcBorders>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22</w:t>
            </w:r>
          </w:p>
        </w:tc>
        <w:tc>
          <w:tcPr>
            <w:tcW w:w="9527" w:type="dxa"/>
            <w:gridSpan w:val="4"/>
            <w:tcBorders>
              <w:bottom w:val="single" w:color="auto" w:sz="4" w:space="0"/>
            </w:tcBorders>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49" w:hRule="atLeast"/>
        </w:trPr>
        <w:tc>
          <w:tcPr>
            <w:tcW w:w="1131" w:type="dxa"/>
            <w:vAlign w:val="center"/>
          </w:tcPr>
          <w:p>
            <w:pPr>
              <w:widowControl w:val="0"/>
              <w:jc w:val="center"/>
              <w:rPr>
                <w:rFonts w:ascii="Arial" w:hAnsi="Arial" w:cs="Arial"/>
                <w:sz w:val="22"/>
                <w:szCs w:val="22"/>
              </w:rPr>
            </w:pPr>
          </w:p>
        </w:tc>
        <w:tc>
          <w:tcPr>
            <w:tcW w:w="9527" w:type="dxa"/>
            <w:gridSpan w:val="4"/>
            <w:vAlign w:val="center"/>
          </w:tcPr>
          <w:p>
            <w:pPr>
              <w:widowControl w:val="0"/>
              <w:jc w:val="both"/>
              <w:rPr>
                <w:rFonts w:ascii="Arial" w:hAnsi="Arial" w:cs="Arial"/>
                <w:sz w:val="22"/>
                <w:szCs w:val="22"/>
              </w:rPr>
            </w:pPr>
          </w:p>
          <w:p>
            <w:pPr>
              <w:widowControl w:val="0"/>
              <w:jc w:val="both"/>
              <w:rPr>
                <w:rFonts w:ascii="Arial" w:hAnsi="Arial" w:cs="Arial"/>
                <w:sz w:val="22"/>
                <w:szCs w:val="22"/>
              </w:rPr>
            </w:pPr>
          </w:p>
          <w:p>
            <w:pPr>
              <w:widowControl w:val="0"/>
              <w:autoSpaceDE w:val="0"/>
              <w:autoSpaceDN w:val="0"/>
              <w:adjustRightInd w:val="0"/>
              <w:jc w:val="both"/>
              <w:rPr>
                <w:rFonts w:cs="Arial"/>
              </w:rPr>
            </w:pPr>
            <w:r>
              <w:rPr>
                <w:rFonts w:ascii="Arial" w:hAnsi="Arial" w:cs="Arial"/>
                <w:i/>
                <w:color w:val="808080"/>
                <w:sz w:val="18"/>
                <w:szCs w:val="18"/>
              </w:rPr>
              <w:t>(this box should expand as you type)</w:t>
            </w:r>
          </w:p>
        </w:tc>
      </w:tr>
    </w:tbl>
    <w:p/>
    <w:tbl>
      <w:tblPr>
        <w:tblStyle w:val="9"/>
        <w:tblW w:w="10598" w:type="dxa"/>
        <w:tblInd w:w="-60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14"/>
        <w:gridCol w:w="6775"/>
        <w:gridCol w:w="948"/>
        <w:gridCol w:w="813"/>
        <w:gridCol w:w="9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3" w:hRule="atLeast"/>
        </w:trPr>
        <w:tc>
          <w:tcPr>
            <w:tcW w:w="1114" w:type="dxa"/>
            <w:shd w:val="clear" w:color="auto" w:fill="F1F1F1" w:themeFill="background1" w:themeFillShade="F2"/>
          </w:tcPr>
          <w:p>
            <w:pPr>
              <w:widowControl w:val="0"/>
              <w:autoSpaceDE w:val="0"/>
              <w:autoSpaceDN w:val="0"/>
              <w:adjustRightInd w:val="0"/>
              <w:jc w:val="both"/>
              <w:rPr>
                <w:rFonts w:ascii="Arial" w:hAnsi="Arial" w:cs="Arial"/>
                <w:bCs/>
                <w:sz w:val="22"/>
                <w:szCs w:val="22"/>
              </w:rPr>
            </w:pPr>
          </w:p>
        </w:tc>
        <w:tc>
          <w:tcPr>
            <w:tcW w:w="6775" w:type="dxa"/>
            <w:shd w:val="clear" w:color="auto" w:fill="F1F1F1" w:themeFill="background1" w:themeFillShade="F2"/>
            <w:vAlign w:val="center"/>
          </w:tcPr>
          <w:p>
            <w:pPr>
              <w:widowControl w:val="0"/>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48" w:type="dxa"/>
            <w:shd w:val="clear" w:color="auto" w:fill="F1F1F1" w:themeFill="background1" w:themeFillShade="F2"/>
            <w:vAlign w:val="bottom"/>
          </w:tcPr>
          <w:p>
            <w:pPr>
              <w:widowControl w:val="0"/>
              <w:autoSpaceDE w:val="0"/>
              <w:autoSpaceDN w:val="0"/>
              <w:adjustRightInd w:val="0"/>
              <w:jc w:val="center"/>
              <w:rPr>
                <w:rFonts w:ascii="Arial" w:hAnsi="Arial" w:cs="Arial"/>
                <w:b/>
                <w:bCs/>
                <w:sz w:val="16"/>
                <w:szCs w:val="16"/>
              </w:rPr>
            </w:pPr>
          </w:p>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3" w:type="dxa"/>
            <w:shd w:val="clear" w:color="auto" w:fill="F1F1F1" w:themeFill="background1" w:themeFillShade="F2"/>
            <w:vAlign w:val="bottom"/>
          </w:tcPr>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48" w:type="dxa"/>
            <w:shd w:val="clear" w:color="auto" w:fill="F1F1F1" w:themeFill="background1" w:themeFillShade="F2"/>
            <w:vAlign w:val="bottom"/>
          </w:tcPr>
          <w:p>
            <w:pPr>
              <w:widowControl w:val="0"/>
              <w:autoSpaceDE w:val="0"/>
              <w:autoSpaceDN w:val="0"/>
              <w:adjustRightInd w:val="0"/>
              <w:jc w:val="center"/>
              <w:rPr>
                <w:rFonts w:ascii="Arial" w:hAnsi="Arial" w:cs="Arial"/>
                <w:b/>
                <w:bCs/>
                <w:sz w:val="16"/>
                <w:szCs w:val="16"/>
              </w:rPr>
            </w:pPr>
          </w:p>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1" w:hRule="atLeast"/>
        </w:trPr>
        <w:tc>
          <w:tcPr>
            <w:tcW w:w="1114"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24</w:t>
            </w:r>
          </w:p>
        </w:tc>
        <w:tc>
          <w:tcPr>
            <w:tcW w:w="677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Will participants be paid?</w:t>
            </w:r>
          </w:p>
        </w:tc>
        <w:tc>
          <w:tcPr>
            <w:tcW w:w="948"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3" w:type="dxa"/>
            <w:shd w:val="clear" w:color="auto" w:fill="BEBEBE"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8"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1114"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25</w:t>
            </w:r>
          </w:p>
        </w:tc>
        <w:tc>
          <w:tcPr>
            <w:tcW w:w="677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Is specialist electrical or other equipment to be used with participants?</w:t>
            </w:r>
          </w:p>
        </w:tc>
        <w:tc>
          <w:tcPr>
            <w:tcW w:w="948"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3"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8"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3" w:hRule="atLeast"/>
        </w:trPr>
        <w:tc>
          <w:tcPr>
            <w:tcW w:w="1114"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26</w:t>
            </w:r>
          </w:p>
        </w:tc>
        <w:tc>
          <w:tcPr>
            <w:tcW w:w="677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48"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3" w:type="dxa"/>
            <w:shd w:val="clear" w:color="auto" w:fill="BEBEBE"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8"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3" w:hRule="atLeast"/>
        </w:trPr>
        <w:tc>
          <w:tcPr>
            <w:tcW w:w="1114"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27</w:t>
            </w:r>
          </w:p>
        </w:tc>
        <w:tc>
          <w:tcPr>
            <w:tcW w:w="6775"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48"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813" w:type="dxa"/>
            <w:shd w:val="clear" w:color="auto" w:fill="BEBEBE"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8"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1114"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28</w:t>
            </w:r>
          </w:p>
        </w:tc>
        <w:tc>
          <w:tcPr>
            <w:tcW w:w="9484" w:type="dxa"/>
            <w:gridSpan w:val="4"/>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5" w:hRule="atLeast"/>
        </w:trPr>
        <w:tc>
          <w:tcPr>
            <w:tcW w:w="1114" w:type="dxa"/>
            <w:vAlign w:val="center"/>
          </w:tcPr>
          <w:p>
            <w:pPr>
              <w:widowControl w:val="0"/>
              <w:jc w:val="center"/>
              <w:rPr>
                <w:rFonts w:ascii="Arial" w:hAnsi="Arial" w:cs="Arial"/>
                <w:sz w:val="22"/>
                <w:szCs w:val="22"/>
              </w:rPr>
            </w:pPr>
          </w:p>
        </w:tc>
        <w:tc>
          <w:tcPr>
            <w:tcW w:w="9484" w:type="dxa"/>
            <w:gridSpan w:val="4"/>
            <w:vAlign w:val="center"/>
          </w:tcPr>
          <w:p>
            <w:pPr>
              <w:widowControl w:val="0"/>
              <w:jc w:val="both"/>
              <w:rPr>
                <w:rFonts w:ascii="Arial" w:hAnsi="Arial" w:cs="Arial"/>
                <w:sz w:val="22"/>
                <w:szCs w:val="22"/>
              </w:rPr>
            </w:pPr>
          </w:p>
          <w:p>
            <w:pPr>
              <w:widowControl w:val="0"/>
              <w:jc w:val="both"/>
              <w:rPr>
                <w:rFonts w:ascii="Arial" w:hAnsi="Arial" w:cs="Arial"/>
                <w:sz w:val="22"/>
                <w:szCs w:val="22"/>
              </w:rPr>
            </w:pPr>
          </w:p>
          <w:p>
            <w:pPr>
              <w:widowControl w:val="0"/>
              <w:jc w:val="both"/>
              <w:rPr>
                <w:rFonts w:ascii="Arial" w:hAnsi="Arial" w:cs="Arial"/>
                <w:sz w:val="22"/>
                <w:szCs w:val="22"/>
              </w:rPr>
            </w:pPr>
          </w:p>
          <w:p>
            <w:pPr>
              <w:widowControl w:val="0"/>
              <w:autoSpaceDE w:val="0"/>
              <w:autoSpaceDN w:val="0"/>
              <w:adjustRightInd w:val="0"/>
              <w:jc w:val="both"/>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8"/>
        <w:tblW w:w="10560" w:type="dxa"/>
        <w:tblInd w:w="-61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01"/>
        <w:gridCol w:w="4666"/>
        <w:gridCol w:w="3181"/>
        <w:gridCol w:w="794"/>
        <w:gridCol w:w="8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41" w:hRule="atLeast"/>
        </w:trPr>
        <w:tc>
          <w:tcPr>
            <w:tcW w:w="1101"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459"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6" w:hRule="atLeast"/>
        </w:trPr>
        <w:tc>
          <w:tcPr>
            <w:tcW w:w="1101"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7847"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794"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818"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6" w:hRule="atLeast"/>
        </w:trPr>
        <w:tc>
          <w:tcPr>
            <w:tcW w:w="1101"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7847"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794"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818"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29" w:hRule="atLeast"/>
        </w:trPr>
        <w:tc>
          <w:tcPr>
            <w:tcW w:w="1101"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459"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71" w:hRule="atLeast"/>
        </w:trPr>
        <w:tc>
          <w:tcPr>
            <w:tcW w:w="1101"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66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rPr>
                <w:rFonts w:cs="Arial" w:asciiTheme="minorHAnsi" w:hAnsiTheme="minorHAnsi"/>
                <w:sz w:val="22"/>
                <w:szCs w:val="22"/>
              </w:rPr>
            </w:pPr>
          </w:p>
          <w:p>
            <w:pPr>
              <w:rPr>
                <w:rFonts w:eastAsia="宋体" w:cs="Arial" w:asciiTheme="minorHAnsi" w:hAnsiTheme="minorHAnsi"/>
                <w:sz w:val="22"/>
                <w:szCs w:val="22"/>
                <w:lang w:eastAsia="zh-CN"/>
              </w:rPr>
            </w:pPr>
            <w:r>
              <w:rPr>
                <w:rFonts w:cs="Arial" w:asciiTheme="minorHAnsi" w:hAnsiTheme="minorHAnsi"/>
                <w:sz w:val="22"/>
                <w:szCs w:val="22"/>
              </w:rPr>
              <w:t>M</w:t>
            </w:r>
            <w:r>
              <w:rPr>
                <w:rFonts w:eastAsia="宋体" w:cs="Arial" w:asciiTheme="minorHAnsi" w:hAnsiTheme="minorHAnsi"/>
                <w:sz w:val="22"/>
                <w:szCs w:val="22"/>
                <w:lang w:eastAsia="zh-CN"/>
              </w:rPr>
              <w:t>ight share personal information</w:t>
            </w:r>
          </w:p>
          <w:p>
            <w:pPr>
              <w:rPr>
                <w:rFonts w:eastAsia="宋体" w:cs="Arial" w:asciiTheme="minorHAnsi" w:hAnsiTheme="minorHAnsi"/>
                <w:sz w:val="22"/>
                <w:szCs w:val="22"/>
                <w:lang w:eastAsia="zh-CN"/>
              </w:rPr>
            </w:pPr>
          </w:p>
          <w:p>
            <w:pPr>
              <w:rPr>
                <w:rFonts w:eastAsia="宋体" w:cs="Arial" w:asciiTheme="minorHAnsi" w:hAnsiTheme="minorHAnsi"/>
                <w:sz w:val="22"/>
                <w:szCs w:val="22"/>
                <w:lang w:eastAsia="zh-CN"/>
              </w:rPr>
            </w:pPr>
          </w:p>
          <w:p>
            <w:pPr>
              <w:rPr>
                <w:rFonts w:eastAsia="宋体" w:cs="Arial" w:asciiTheme="minorHAnsi" w:hAnsiTheme="minorHAnsi"/>
                <w:sz w:val="22"/>
                <w:szCs w:val="22"/>
                <w:lang w:eastAsia="zh-CN"/>
              </w:rPr>
            </w:pPr>
          </w:p>
          <w:p>
            <w:pPr>
              <w:rPr>
                <w:rFonts w:eastAsia="宋体" w:cs="Arial" w:asciiTheme="minorHAnsi" w:hAnsiTheme="minorHAnsi"/>
                <w:sz w:val="22"/>
                <w:szCs w:val="22"/>
                <w:lang w:eastAsia="zh-CN"/>
              </w:rPr>
            </w:pPr>
          </w:p>
          <w:p>
            <w:pPr>
              <w:rPr>
                <w:rFonts w:eastAsia="宋体" w:cs="Arial" w:asciiTheme="minorHAnsi" w:hAnsiTheme="minorHAnsi"/>
                <w:sz w:val="22"/>
                <w:szCs w:val="22"/>
                <w:lang w:eastAsia="zh-CN"/>
              </w:rPr>
            </w:pPr>
          </w:p>
          <w:p>
            <w:pPr>
              <w:autoSpaceDE w:val="0"/>
              <w:autoSpaceDN w:val="0"/>
              <w:adjustRightInd w:val="0"/>
              <w:rPr>
                <w:rFonts w:ascii="Arial" w:hAnsi="Arial" w:cs="Arial"/>
                <w:sz w:val="22"/>
                <w:szCs w:val="22"/>
                <w:highlight w:val="yellow"/>
              </w:rPr>
            </w:pPr>
            <w:r>
              <w:rPr>
                <w:rFonts w:ascii="Arial" w:hAnsi="Arial" w:cs="Arial"/>
                <w:i/>
                <w:color w:val="808080"/>
                <w:sz w:val="18"/>
                <w:szCs w:val="18"/>
              </w:rPr>
              <w:t>(this box should expand as you type)</w:t>
            </w:r>
          </w:p>
        </w:tc>
        <w:tc>
          <w:tcPr>
            <w:tcW w:w="4793"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Segoe UI" w:hAnsi="Segoe UI" w:eastAsia="Segoe UI" w:cs="Segoe UI"/>
                <w:color w:val="1B1E25"/>
                <w:highlight w:val="yellow"/>
              </w:rPr>
            </w:pPr>
          </w:p>
          <w:p>
            <w:pPr>
              <w:rPr>
                <w:rFonts w:ascii="Arial" w:hAnsi="Arial" w:cs="Arial"/>
                <w:sz w:val="22"/>
                <w:szCs w:val="22"/>
              </w:rPr>
            </w:pPr>
            <w:r>
              <w:rPr>
                <w:rFonts w:ascii="Arial" w:hAnsi="Arial" w:cs="Arial"/>
                <w:sz w:val="22"/>
                <w:szCs w:val="22"/>
              </w:rPr>
              <w:t xml:space="preserve"> Advice is recommended Direct them to some support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highlight w:val="yellow"/>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47" w:hRule="atLeast"/>
        </w:trPr>
        <w:tc>
          <w:tcPr>
            <w:tcW w:w="1101"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459"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35" w:hRule="atLeast"/>
        </w:trPr>
        <w:tc>
          <w:tcPr>
            <w:tcW w:w="1101" w:type="dxa"/>
            <w:tcBorders>
              <w:top w:val="single" w:color="auto" w:sz="4" w:space="0"/>
              <w:bottom w:val="single" w:color="auto" w:sz="4" w:space="0"/>
            </w:tcBorders>
            <w:vAlign w:val="center"/>
          </w:tcPr>
          <w:p>
            <w:pPr>
              <w:jc w:val="center"/>
              <w:rPr>
                <w:rFonts w:ascii="Arial" w:hAnsi="Arial" w:cs="Arial"/>
                <w:sz w:val="22"/>
                <w:szCs w:val="22"/>
              </w:rPr>
            </w:pPr>
          </w:p>
        </w:tc>
        <w:tc>
          <w:tcPr>
            <w:tcW w:w="9459"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29" w:hRule="atLeast"/>
        </w:trPr>
        <w:tc>
          <w:tcPr>
            <w:tcW w:w="1101"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459"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53" w:hRule="atLeast"/>
        </w:trPr>
        <w:tc>
          <w:tcPr>
            <w:tcW w:w="1101"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66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eastAsia="宋体" w:cs="Arial"/>
                <w:sz w:val="22"/>
                <w:szCs w:val="22"/>
                <w:lang w:eastAsia="zh-CN"/>
              </w:rPr>
            </w:pPr>
            <w:r>
              <w:rPr>
                <w:rFonts w:ascii="Arial" w:hAnsi="Arial" w:eastAsia="宋体" w:cs="Arial"/>
                <w:sz w:val="22"/>
                <w:szCs w:val="22"/>
                <w:lang w:eastAsia="zh-CN"/>
              </w:rPr>
              <w:t>Personal safety in interviews</w:t>
            </w:r>
          </w:p>
          <w:p>
            <w:pPr>
              <w:rPr>
                <w:rFonts w:ascii="Arial" w:hAnsi="Arial" w:eastAsia="宋体" w:cs="Arial"/>
                <w:sz w:val="22"/>
                <w:szCs w:val="22"/>
                <w:highlight w:val="yellow"/>
                <w:lang w:eastAsia="zh-CN"/>
              </w:rPr>
            </w:pPr>
            <w:r>
              <w:rPr>
                <w:rFonts w:ascii="Arial" w:hAnsi="Arial" w:eastAsia="宋体" w:cs="Arial"/>
                <w:sz w:val="22"/>
                <w:szCs w:val="22"/>
                <w:lang w:eastAsia="zh-CN"/>
              </w:rPr>
              <w:t>Too much screen time due to transcribing, analysing and typing out papers</w:t>
            </w:r>
          </w:p>
          <w:p>
            <w:pPr>
              <w:rPr>
                <w:rFonts w:ascii="Arial" w:hAnsi="Arial" w:cs="Arial"/>
                <w:sz w:val="22"/>
                <w:szCs w:val="22"/>
                <w:highlight w:val="yellow"/>
              </w:rPr>
            </w:pPr>
          </w:p>
          <w:p>
            <w:pPr>
              <w:rPr>
                <w:rFonts w:ascii="Arial" w:hAnsi="Arial" w:cs="Arial"/>
                <w:sz w:val="22"/>
                <w:szCs w:val="22"/>
                <w:highlight w:val="yellow"/>
              </w:rPr>
            </w:pPr>
          </w:p>
          <w:p>
            <w:pPr>
              <w:autoSpaceDE w:val="0"/>
              <w:autoSpaceDN w:val="0"/>
              <w:adjustRightInd w:val="0"/>
              <w:rPr>
                <w:rFonts w:ascii="Arial" w:hAnsi="Arial" w:cs="Arial"/>
                <w:sz w:val="22"/>
                <w:szCs w:val="22"/>
                <w:highlight w:val="yellow"/>
              </w:rPr>
            </w:pPr>
            <w:r>
              <w:rPr>
                <w:rFonts w:ascii="Arial" w:hAnsi="Arial" w:cs="Arial"/>
                <w:i/>
                <w:color w:val="808080"/>
                <w:sz w:val="18"/>
                <w:szCs w:val="18"/>
              </w:rPr>
              <w:t>(this box should expand as you type)</w:t>
            </w:r>
          </w:p>
        </w:tc>
        <w:tc>
          <w:tcPr>
            <w:tcW w:w="4793"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eastAsia="宋体" w:cs="Arial"/>
                <w:sz w:val="22"/>
                <w:szCs w:val="22"/>
                <w:lang w:eastAsia="zh-CN"/>
              </w:rPr>
            </w:pPr>
            <w:r>
              <w:rPr>
                <w:rFonts w:ascii="Arial" w:hAnsi="Arial" w:eastAsia="宋体" w:cs="Arial"/>
                <w:sz w:val="22"/>
                <w:szCs w:val="22"/>
                <w:lang w:eastAsia="zh-CN"/>
              </w:rPr>
              <w:t>Making sure my family knows my location</w:t>
            </w:r>
          </w:p>
          <w:p>
            <w:pPr>
              <w:rPr>
                <w:rFonts w:ascii="Arial" w:hAnsi="Arial" w:eastAsia="宋体" w:cs="Arial"/>
                <w:sz w:val="22"/>
                <w:szCs w:val="22"/>
                <w:lang w:eastAsia="zh-CN"/>
              </w:rPr>
            </w:pPr>
          </w:p>
          <w:p>
            <w:pPr>
              <w:rPr>
                <w:rFonts w:ascii="Arial" w:hAnsi="Arial" w:cs="Arial"/>
                <w:sz w:val="22"/>
                <w:szCs w:val="22"/>
              </w:rPr>
            </w:pPr>
            <w:r>
              <w:rPr>
                <w:rFonts w:ascii="Arial" w:hAnsi="Arial" w:eastAsia="宋体" w:cs="Arial"/>
                <w:sz w:val="22"/>
                <w:szCs w:val="22"/>
                <w:lang w:eastAsia="zh-CN"/>
              </w:rPr>
              <w:t>Take regular breaks away from the computer</w:t>
            </w:r>
          </w:p>
          <w:p>
            <w:pPr>
              <w:autoSpaceDE w:val="0"/>
              <w:autoSpaceDN w:val="0"/>
              <w:adjustRightInd w:val="0"/>
              <w:rPr>
                <w:rFonts w:cs="Arial"/>
                <w:highlight w:val="yellow"/>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2" w:hRule="atLeast"/>
        </w:trPr>
        <w:tc>
          <w:tcPr>
            <w:tcW w:w="1101"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459"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41" w:hRule="atLeast"/>
        </w:trPr>
        <w:tc>
          <w:tcPr>
            <w:tcW w:w="1101"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66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rPr>
                <w:rFonts w:ascii="Arial" w:hAnsi="Arial" w:eastAsia="宋体" w:cs="Arial"/>
                <w:sz w:val="22"/>
                <w:szCs w:val="22"/>
                <w:lang w:eastAsia="zh-CN"/>
              </w:rPr>
            </w:pPr>
            <w:r>
              <w:rPr>
                <w:rFonts w:ascii="Arial" w:hAnsi="Arial" w:eastAsia="宋体" w:cs="Arial"/>
                <w:sz w:val="22"/>
                <w:szCs w:val="22"/>
                <w:lang w:eastAsia="zh-CN"/>
              </w:rPr>
              <w:t>Reputation of University</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793"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eastAsia="宋体" w:cs="Arial"/>
                <w:sz w:val="22"/>
                <w:szCs w:val="22"/>
                <w:lang w:eastAsia="zh-CN"/>
              </w:rPr>
            </w:pPr>
          </w:p>
          <w:p>
            <w:pPr>
              <w:autoSpaceDE w:val="0"/>
              <w:autoSpaceDN w:val="0"/>
              <w:adjustRightInd w:val="0"/>
              <w:rPr>
                <w:rFonts w:ascii="Arial" w:hAnsi="Arial" w:cs="Arial"/>
                <w:sz w:val="22"/>
                <w:szCs w:val="22"/>
              </w:rPr>
            </w:pPr>
            <w:r>
              <w:rPr>
                <w:rFonts w:ascii="Arial" w:hAnsi="Arial" w:cs="Arial"/>
                <w:sz w:val="22"/>
                <w:szCs w:val="22"/>
              </w:rPr>
              <w:t>Comply with the code of ethics and maintain the confidentiality of participants</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2" w:hRule="atLeast"/>
        </w:trPr>
        <w:tc>
          <w:tcPr>
            <w:tcW w:w="1101"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459"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50" w:hRule="atLeast"/>
        </w:trPr>
        <w:tc>
          <w:tcPr>
            <w:tcW w:w="1101"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66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eastAsia="宋体" w:cs="Arial"/>
                <w:sz w:val="22"/>
                <w:szCs w:val="22"/>
                <w:lang w:eastAsia="zh-CN"/>
              </w:rPr>
            </w:pPr>
            <w:r>
              <w:rPr>
                <w:rFonts w:ascii="Arial" w:hAnsi="Arial" w:eastAsia="宋体" w:cs="Arial"/>
                <w:sz w:val="22"/>
                <w:szCs w:val="22"/>
                <w:lang w:eastAsia="zh-CN"/>
              </w:rPr>
              <w:t>No</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793"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eastAsia="宋体" w:cs="Arial"/>
                <w:sz w:val="22"/>
                <w:szCs w:val="22"/>
                <w:lang w:eastAsia="zh-CN"/>
              </w:rPr>
            </w:pPr>
            <w:r>
              <w:rPr>
                <w:rFonts w:ascii="Arial" w:hAnsi="Arial" w:eastAsia="宋体" w:cs="Arial"/>
                <w:sz w:val="22"/>
                <w:szCs w:val="22"/>
                <w:lang w:eastAsia="zh-CN"/>
              </w:rPr>
              <w:t>No</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8"/>
        <w:tblW w:w="10439" w:type="dxa"/>
        <w:tblInd w:w="-60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97"/>
        <w:gridCol w:w="6967"/>
        <w:gridCol w:w="772"/>
        <w:gridCol w:w="800"/>
        <w:gridCol w:w="8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7" w:hRule="atLeast"/>
        </w:trPr>
        <w:tc>
          <w:tcPr>
            <w:tcW w:w="1097"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342"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5" w:hRule="atLeast"/>
        </w:trPr>
        <w:tc>
          <w:tcPr>
            <w:tcW w:w="1097"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6967"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7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0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03"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6" w:hRule="atLeast"/>
        </w:trPr>
        <w:tc>
          <w:tcPr>
            <w:tcW w:w="1097"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6967"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77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80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803"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25" w:hRule="atLeast"/>
        </w:trPr>
        <w:tc>
          <w:tcPr>
            <w:tcW w:w="1097"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6967"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375"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eastAsia="宋体" w:cs="Arial"/>
                <w:b/>
                <w:bCs/>
                <w:sz w:val="22"/>
                <w:szCs w:val="22"/>
                <w:lang w:eastAsia="zh-CN"/>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8"/>
        <w:tblW w:w="10319" w:type="dxa"/>
        <w:tblInd w:w="-61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95"/>
        <w:gridCol w:w="922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95"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224"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95" w:type="dxa"/>
            <w:tcBorders>
              <w:top w:val="single" w:color="auto" w:sz="4" w:space="0"/>
              <w:bottom w:val="single" w:color="auto" w:sz="4" w:space="0"/>
            </w:tcBorders>
          </w:tcPr>
          <w:p>
            <w:pPr>
              <w:rPr>
                <w:rFonts w:ascii="Arial" w:hAnsi="Arial" w:cs="Arial"/>
                <w:bCs/>
                <w:sz w:val="22"/>
                <w:szCs w:val="22"/>
              </w:rPr>
            </w:pPr>
          </w:p>
        </w:tc>
        <w:tc>
          <w:tcPr>
            <w:tcW w:w="9224"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Once the data has been collated and analysed, the final results will be communicated to all interviewees.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95"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224"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rPr>
            </w:pPr>
            <w:r>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95" w:type="dxa"/>
            <w:tcBorders>
              <w:top w:val="single" w:color="auto" w:sz="4" w:space="0"/>
              <w:bottom w:val="single" w:color="auto" w:sz="4" w:space="0"/>
            </w:tcBorders>
          </w:tcPr>
          <w:p>
            <w:pPr>
              <w:rPr>
                <w:rFonts w:ascii="Arial" w:hAnsi="Arial" w:cs="Arial"/>
                <w:bCs/>
                <w:sz w:val="22"/>
                <w:szCs w:val="22"/>
              </w:rPr>
            </w:pPr>
          </w:p>
        </w:tc>
        <w:tc>
          <w:tcPr>
            <w:tcW w:w="9224"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All interviewers will be informed of the process before the interview begins and will be given feedback on the results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95"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224"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95" w:type="dxa"/>
            <w:tcBorders>
              <w:top w:val="single" w:color="auto" w:sz="4" w:space="0"/>
              <w:bottom w:val="single" w:color="auto" w:sz="4" w:space="0"/>
            </w:tcBorders>
          </w:tcPr>
          <w:p>
            <w:pPr>
              <w:rPr>
                <w:rFonts w:ascii="Arial" w:hAnsi="Arial" w:cs="Arial"/>
                <w:bCs/>
                <w:sz w:val="22"/>
                <w:szCs w:val="22"/>
              </w:rPr>
            </w:pPr>
          </w:p>
        </w:tc>
        <w:tc>
          <w:tcPr>
            <w:tcW w:w="9224" w:type="dxa"/>
            <w:tcBorders>
              <w:top w:val="single" w:color="auto" w:sz="4" w:space="0"/>
              <w:bottom w:val="single" w:color="auto" w:sz="4" w:space="0"/>
            </w:tcBorders>
          </w:tcPr>
          <w:p>
            <w:pPr>
              <w:rPr>
                <w:rFonts w:ascii="Arial" w:hAnsi="Arial" w:cs="Arial"/>
                <w:sz w:val="22"/>
                <w:szCs w:val="22"/>
              </w:rPr>
            </w:pPr>
            <w:r>
              <w:rPr>
                <w:rFonts w:ascii="Arial" w:hAnsi="Arial" w:cs="Arial"/>
                <w:sz w:val="22"/>
                <w:szCs w:val="22"/>
              </w:rPr>
              <w:t>This research will protect all the privacy of each respondent.</w:t>
            </w: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8"/>
        <w:tblW w:w="10258" w:type="dxa"/>
        <w:tblInd w:w="-604"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1078"/>
        <w:gridCol w:w="7314"/>
        <w:gridCol w:w="917"/>
        <w:gridCol w:w="949"/>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940" w:hRule="atLeast"/>
        </w:trPr>
        <w:tc>
          <w:tcPr>
            <w:tcW w:w="1078"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jc w:val="center"/>
              <w:rPr>
                <w:rFonts w:ascii="Arial" w:hAnsi="Arial" w:cs="Arial"/>
                <w:sz w:val="22"/>
                <w:szCs w:val="22"/>
              </w:rPr>
            </w:pPr>
          </w:p>
        </w:tc>
        <w:tc>
          <w:tcPr>
            <w:tcW w:w="7314"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1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jc w:val="center"/>
              <w:rPr>
                <w:rFonts w:ascii="MS Gothic" w:hAnsi="MS Gothic" w:eastAsia="MS Gothic" w:cs="Arial"/>
                <w:b/>
                <w:bCs/>
                <w:sz w:val="22"/>
                <w:szCs w:val="22"/>
              </w:rPr>
            </w:pPr>
            <w:r>
              <w:rPr>
                <w:rFonts w:ascii="Arial" w:hAnsi="Arial" w:cs="Arial"/>
                <w:b/>
                <w:bCs/>
                <w:sz w:val="22"/>
                <w:szCs w:val="22"/>
              </w:rPr>
              <w:t>YES</w:t>
            </w:r>
          </w:p>
        </w:tc>
        <w:tc>
          <w:tcPr>
            <w:tcW w:w="949"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jc w:val="center"/>
              <w:rPr>
                <w:rFonts w:ascii="MS Gothic" w:hAnsi="MS Gothic" w:eastAsia="MS Gothic"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2180" w:hRule="atLeast"/>
        </w:trPr>
        <w:tc>
          <w:tcPr>
            <w:tcW w:w="1078"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314"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358709367"/>
              <w14:checkbox>
                <w14:checked w14:val="1"/>
                <w14:checkedState w14:val="2612" w14:font="MS Gothic"/>
                <w14:uncheckedState w14:val="2610" w14:font="MS Gothic"/>
              </w14:checkbox>
            </w:sdtPr>
            <w:sdtEndPr>
              <w:rPr>
                <w:rFonts w:ascii="Arial" w:hAnsi="Arial" w:cs="Arial"/>
                <w:sz w:val="22"/>
                <w:szCs w:val="22"/>
              </w:rPr>
            </w:sdtEndPr>
            <w:sdtContent>
              <w:p>
                <w:pPr>
                  <w:pStyle w:val="7"/>
                  <w:autoSpaceDE w:val="0"/>
                  <w:autoSpaceDN w:val="0"/>
                  <w:adjustRightInd w:val="0"/>
                  <w:jc w:val="center"/>
                  <w:rPr>
                    <w:rFonts w:ascii="Arial" w:hAnsi="Arial" w:cs="Arial"/>
                    <w:sz w:val="22"/>
                    <w:szCs w:val="22"/>
                  </w:rPr>
                </w:pPr>
                <w:r>
                  <w:rPr>
                    <w:rFonts w:ascii="MS Gothic" w:hAnsi="MS Gothic" w:eastAsia="MS Gothic" w:cs="Arial"/>
                    <w:sz w:val="22"/>
                    <w:szCs w:val="22"/>
                    <w:lang w:eastAsia="en-US"/>
                  </w:rPr>
                  <w:t>☒</w:t>
                </w:r>
              </w:p>
            </w:sdtContent>
          </w:sdt>
          <w:p>
            <w:pPr>
              <w:pStyle w:val="7"/>
              <w:autoSpaceDE w:val="0"/>
              <w:autoSpaceDN w:val="0"/>
              <w:adjustRightInd w:val="0"/>
              <w:jc w:val="center"/>
              <w:rPr>
                <w:rFonts w:ascii="Arial" w:hAnsi="Arial" w:cs="Arial"/>
                <w:sz w:val="22"/>
                <w:szCs w:val="22"/>
              </w:rPr>
            </w:pPr>
          </w:p>
        </w:tc>
        <w:tc>
          <w:tcPr>
            <w:tcW w:w="949"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7"/>
              <w:autoSpaceDE w:val="0"/>
              <w:autoSpaceDN w:val="0"/>
              <w:adjustRightInd w:val="0"/>
              <w:jc w:val="center"/>
              <w:rPr>
                <w:rFonts w:ascii="MS Gothic" w:hAnsi="MS Gothic" w:eastAsia="MS Gothic" w:cs="Arial"/>
                <w:sz w:val="22"/>
                <w:szCs w:val="22"/>
              </w:rPr>
            </w:pPr>
            <w:r>
              <w:rPr>
                <w:rFonts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11" w:hRule="atLeast"/>
        </w:trPr>
        <w:tc>
          <w:tcPr>
            <w:tcW w:w="107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jc w:val="center"/>
              <w:rPr>
                <w:rFonts w:ascii="Arial" w:hAnsi="Arial" w:cs="Arial"/>
                <w:sz w:val="22"/>
                <w:szCs w:val="22"/>
              </w:rPr>
            </w:pPr>
          </w:p>
        </w:tc>
        <w:tc>
          <w:tcPr>
            <w:tcW w:w="9180"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1560" w:hRule="atLeast"/>
        </w:trPr>
        <w:tc>
          <w:tcPr>
            <w:tcW w:w="1078"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180"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This is because the interview will cover personal information, work experience, attitudes to policy and other personal details of the interviewees.</w:t>
            </w: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11" w:hRule="atLeast"/>
        </w:trPr>
        <w:tc>
          <w:tcPr>
            <w:tcW w:w="1078"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spacing w:before="0" w:beforeAutospacing="0" w:after="0" w:afterAutospacing="0"/>
              <w:jc w:val="center"/>
              <w:rPr>
                <w:rFonts w:ascii="Arial" w:hAnsi="Arial" w:cs="Arial"/>
                <w:sz w:val="22"/>
                <w:szCs w:val="22"/>
              </w:rPr>
            </w:pPr>
          </w:p>
        </w:tc>
        <w:tc>
          <w:tcPr>
            <w:tcW w:w="7314"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1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jc w:val="center"/>
              <w:rPr>
                <w:rFonts w:ascii="MS Gothic" w:hAnsi="MS Gothic" w:eastAsia="MS Gothic" w:cs="Arial"/>
                <w:b/>
                <w:bCs/>
                <w:sz w:val="22"/>
                <w:szCs w:val="22"/>
              </w:rPr>
            </w:pPr>
            <w:r>
              <w:rPr>
                <w:rFonts w:ascii="Arial" w:hAnsi="Arial" w:cs="Arial"/>
                <w:b/>
                <w:bCs/>
                <w:sz w:val="22"/>
                <w:szCs w:val="22"/>
              </w:rPr>
              <w:t>YES</w:t>
            </w:r>
          </w:p>
        </w:tc>
        <w:tc>
          <w:tcPr>
            <w:tcW w:w="949"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jc w:val="center"/>
              <w:rPr>
                <w:rFonts w:ascii="MS Gothic" w:hAnsi="MS Gothic" w:eastAsia="MS Gothic"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3420" w:hRule="atLeast"/>
        </w:trPr>
        <w:tc>
          <w:tcPr>
            <w:tcW w:w="107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7"/>
              <w:spacing w:before="0" w:beforeAutospacing="0" w:after="0" w:afterAutospacing="0"/>
              <w:jc w:val="center"/>
              <w:rPr>
                <w:rStyle w:val="11"/>
                <w:rFonts w:ascii="Arial" w:hAnsi="Arial" w:cs="Arial"/>
                <w:b w:val="0"/>
                <w:iCs/>
                <w:color w:val="000000"/>
                <w:sz w:val="20"/>
                <w:szCs w:val="23"/>
              </w:rPr>
            </w:pPr>
            <w:r>
              <w:rPr>
                <w:rStyle w:val="11"/>
                <w:rFonts w:ascii="Arial" w:hAnsi="Arial" w:cs="Arial"/>
                <w:b w:val="0"/>
                <w:iCs/>
                <w:color w:val="000000"/>
                <w:sz w:val="20"/>
                <w:szCs w:val="23"/>
              </w:rPr>
              <w:t>3</w:t>
            </w:r>
          </w:p>
        </w:tc>
        <w:tc>
          <w:tcPr>
            <w:tcW w:w="731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7"/>
              <w:spacing w:before="0" w:beforeAutospacing="0" w:after="0" w:afterAutospacing="0"/>
            </w:pPr>
            <w:r>
              <w:rPr>
                <w:rStyle w:val="11"/>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7"/>
              <w:spacing w:before="0" w:beforeAutospacing="0" w:after="0" w:afterAutospacing="0"/>
            </w:pPr>
            <w:r>
              <w:rPr>
                <w:rFonts w:ascii="Arial" w:hAnsi="Arial" w:cs="Arial"/>
                <w:i/>
                <w:iCs/>
                <w:color w:val="000000"/>
                <w:sz w:val="20"/>
                <w:szCs w:val="23"/>
              </w:rPr>
              <w:t>(a) racial or ethnic origin,</w:t>
            </w:r>
          </w:p>
          <w:p>
            <w:pPr>
              <w:pStyle w:val="7"/>
              <w:spacing w:before="0" w:beforeAutospacing="0" w:after="0" w:afterAutospacing="0"/>
            </w:pPr>
            <w:r>
              <w:rPr>
                <w:rFonts w:ascii="Arial" w:hAnsi="Arial" w:cs="Arial"/>
                <w:i/>
                <w:iCs/>
                <w:color w:val="000000"/>
                <w:sz w:val="20"/>
                <w:szCs w:val="23"/>
              </w:rPr>
              <w:t>(b) political opinions,</w:t>
            </w:r>
          </w:p>
          <w:p>
            <w:pPr>
              <w:pStyle w:val="7"/>
              <w:spacing w:before="0" w:beforeAutospacing="0" w:after="0" w:afterAutospacing="0"/>
            </w:pPr>
            <w:r>
              <w:rPr>
                <w:rFonts w:ascii="Arial" w:hAnsi="Arial" w:cs="Arial"/>
                <w:i/>
                <w:iCs/>
                <w:color w:val="000000"/>
                <w:sz w:val="20"/>
                <w:szCs w:val="23"/>
              </w:rPr>
              <w:t>(c ) religious beliefs or other beliefs of a similar nature,</w:t>
            </w:r>
          </w:p>
          <w:p>
            <w:pPr>
              <w:pStyle w:val="7"/>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pPr>
              <w:pStyle w:val="7"/>
              <w:spacing w:before="0" w:beforeAutospacing="0" w:after="0" w:afterAutospacing="0"/>
            </w:pPr>
            <w:r>
              <w:rPr>
                <w:rFonts w:ascii="Arial" w:hAnsi="Arial" w:cs="Arial"/>
                <w:i/>
                <w:iCs/>
                <w:color w:val="000000"/>
                <w:sz w:val="20"/>
                <w:szCs w:val="23"/>
              </w:rPr>
              <w:t>(e) physical or mental health or condition,</w:t>
            </w:r>
          </w:p>
          <w:p>
            <w:pPr>
              <w:pStyle w:val="7"/>
              <w:spacing w:before="0" w:beforeAutospacing="0" w:after="0" w:afterAutospacing="0"/>
            </w:pPr>
            <w:r>
              <w:rPr>
                <w:rFonts w:ascii="Arial" w:hAnsi="Arial" w:cs="Arial"/>
                <w:i/>
                <w:iCs/>
                <w:color w:val="000000"/>
                <w:sz w:val="20"/>
                <w:szCs w:val="23"/>
              </w:rPr>
              <w:t>(f) sexual life,</w:t>
            </w:r>
          </w:p>
          <w:p>
            <w:pPr>
              <w:pStyle w:val="7"/>
              <w:spacing w:before="0" w:beforeAutospacing="0" w:after="0" w:afterAutospacing="0"/>
            </w:pPr>
            <w:r>
              <w:rPr>
                <w:rFonts w:ascii="Arial" w:hAnsi="Arial" w:cs="Arial"/>
                <w:i/>
                <w:iCs/>
                <w:color w:val="000000"/>
                <w:sz w:val="20"/>
                <w:szCs w:val="23"/>
              </w:rPr>
              <w:t>(g) genetics,</w:t>
            </w:r>
          </w:p>
          <w:p>
            <w:pPr>
              <w:pStyle w:val="7"/>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1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7"/>
              <w:autoSpaceDE w:val="0"/>
              <w:autoSpaceDN w:val="0"/>
              <w:adjustRightInd w:val="0"/>
              <w:jc w:val="center"/>
            </w:pPr>
            <w:r>
              <w:rPr>
                <w:rFonts w:ascii="MS Gothic" w:hAnsi="MS Gothic" w:eastAsia="MS Gothic" w:cs="Arial"/>
                <w:sz w:val="22"/>
                <w:szCs w:val="22"/>
              </w:rPr>
              <w:t>☐</w:t>
            </w:r>
          </w:p>
        </w:tc>
        <w:tc>
          <w:tcPr>
            <w:tcW w:w="949"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679654627"/>
              <w14:checkbox>
                <w14:checked w14:val="1"/>
                <w14:checkedState w14:val="2612" w14:font="MS Gothic"/>
                <w14:uncheckedState w14:val="2610" w14:font="MS Gothic"/>
              </w14:checkbox>
            </w:sdtPr>
            <w:sdtEndPr>
              <w:rPr>
                <w:rFonts w:ascii="Arial" w:hAnsi="Arial" w:cs="Arial"/>
                <w:sz w:val="22"/>
                <w:szCs w:val="22"/>
              </w:rPr>
            </w:sdtEndPr>
            <w:sdtContent>
              <w:p>
                <w:pPr>
                  <w:pStyle w:val="7"/>
                  <w:autoSpaceDE w:val="0"/>
                  <w:autoSpaceDN w:val="0"/>
                  <w:adjustRightInd w:val="0"/>
                  <w:jc w:val="center"/>
                  <w:rPr>
                    <w:rFonts w:ascii="Arial" w:hAnsi="Arial" w:cs="Arial"/>
                    <w:sz w:val="22"/>
                    <w:szCs w:val="22"/>
                  </w:rPr>
                </w:pPr>
                <w:r>
                  <w:rPr>
                    <w:rFonts w:ascii="MS Gothic" w:hAnsi="MS Gothic" w:eastAsia="MS Gothic" w:cs="Arial"/>
                    <w:sz w:val="22"/>
                    <w:szCs w:val="22"/>
                    <w:lang w:eastAsia="en-US"/>
                  </w:rPr>
                  <w:t>☒</w:t>
                </w:r>
              </w:p>
            </w:sdtContent>
          </w:sdt>
          <w:p>
            <w:pPr>
              <w:pStyle w:val="7"/>
              <w:autoSpaceDE w:val="0"/>
              <w:autoSpaceDN w:val="0"/>
              <w:adjustRightInd w:val="0"/>
              <w:jc w:val="cente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630" w:hRule="atLeast"/>
        </w:trPr>
        <w:tc>
          <w:tcPr>
            <w:tcW w:w="107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jc w:val="center"/>
              <w:rPr>
                <w:rFonts w:ascii="Arial" w:hAnsi="Arial" w:cs="Arial"/>
                <w:sz w:val="22"/>
                <w:szCs w:val="22"/>
              </w:rPr>
            </w:pPr>
          </w:p>
        </w:tc>
        <w:tc>
          <w:tcPr>
            <w:tcW w:w="9180"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7"/>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1260" w:hRule="atLeast"/>
        </w:trPr>
        <w:tc>
          <w:tcPr>
            <w:tcW w:w="1078"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180"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9"/>
        <w:tblW w:w="10538" w:type="dxa"/>
        <w:tblInd w:w="-59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98"/>
        <w:gridCol w:w="7521"/>
        <w:gridCol w:w="943"/>
        <w:gridCol w:w="9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1098"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p>
        </w:tc>
        <w:tc>
          <w:tcPr>
            <w:tcW w:w="7521" w:type="dxa"/>
            <w:shd w:val="clear" w:color="auto" w:fill="F1F1F1" w:themeFill="background1" w:themeFillShade="F2"/>
          </w:tcPr>
          <w:p>
            <w:pPr>
              <w:widowControl w:val="0"/>
              <w:autoSpaceDE w:val="0"/>
              <w:autoSpaceDN w:val="0"/>
              <w:adjustRightInd w:val="0"/>
              <w:jc w:val="both"/>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43" w:type="dxa"/>
            <w:shd w:val="clear" w:color="auto" w:fill="F1F1F1" w:themeFill="background1" w:themeFillShade="F2"/>
          </w:tcPr>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76" w:type="dxa"/>
            <w:shd w:val="clear" w:color="auto" w:fill="F1F1F1" w:themeFill="background1" w:themeFillShade="F2"/>
          </w:tcPr>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1098"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5</w:t>
            </w:r>
          </w:p>
        </w:tc>
        <w:tc>
          <w:tcPr>
            <w:tcW w:w="75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Manual files (i.e. in paper form)?</w:t>
            </w:r>
          </w:p>
        </w:tc>
        <w:tc>
          <w:tcPr>
            <w:tcW w:w="943" w:type="dxa"/>
            <w:shd w:val="clear" w:color="auto" w:fill="BEBEBE"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7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1098"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6</w:t>
            </w:r>
          </w:p>
        </w:tc>
        <w:tc>
          <w:tcPr>
            <w:tcW w:w="75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University computers?</w:t>
            </w:r>
          </w:p>
        </w:tc>
        <w:tc>
          <w:tcPr>
            <w:tcW w:w="943"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7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1098"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7</w:t>
            </w:r>
          </w:p>
        </w:tc>
        <w:tc>
          <w:tcPr>
            <w:tcW w:w="75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Private company computers?</w:t>
            </w:r>
          </w:p>
        </w:tc>
        <w:tc>
          <w:tcPr>
            <w:tcW w:w="943" w:type="dxa"/>
            <w:shd w:val="clear" w:color="auto" w:fill="BEBEBE"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76" w:type="dxa"/>
            <w:shd w:val="clear" w:color="auto" w:fill="BEBEBE"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1098"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8</w:t>
            </w:r>
          </w:p>
        </w:tc>
        <w:tc>
          <w:tcPr>
            <w:tcW w:w="75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Home or other personal computers?</w:t>
            </w:r>
          </w:p>
        </w:tc>
        <w:tc>
          <w:tcPr>
            <w:tcW w:w="943"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7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1098"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9</w:t>
            </w:r>
          </w:p>
        </w:tc>
        <w:tc>
          <w:tcPr>
            <w:tcW w:w="75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Laptop computers/ CDs/ Portable disk-drives/ memory sticks?</w:t>
            </w:r>
          </w:p>
        </w:tc>
        <w:tc>
          <w:tcPr>
            <w:tcW w:w="943" w:type="dxa"/>
            <w:shd w:val="clear" w:color="auto" w:fill="BEBEBE"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76" w:type="dxa"/>
            <w:shd w:val="clear" w:color="auto" w:fill="BEBEBE"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1098"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10</w:t>
            </w:r>
          </w:p>
        </w:tc>
        <w:tc>
          <w:tcPr>
            <w:tcW w:w="7521"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“Cloud” storage or websites?</w:t>
            </w:r>
          </w:p>
        </w:tc>
        <w:tc>
          <w:tcPr>
            <w:tcW w:w="943"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7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1098"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11</w:t>
            </w:r>
          </w:p>
        </w:tc>
        <w:tc>
          <w:tcPr>
            <w:tcW w:w="7521"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Other – specify:</w:t>
            </w:r>
          </w:p>
          <w:p>
            <w:pPr>
              <w:widowControl w:val="0"/>
              <w:autoSpaceDE w:val="0"/>
              <w:autoSpaceDN w:val="0"/>
              <w:adjustRightInd w:val="0"/>
              <w:jc w:val="both"/>
              <w:rPr>
                <w:rFonts w:ascii="Arial" w:hAnsi="Arial" w:cs="Arial"/>
                <w:sz w:val="22"/>
                <w:szCs w:val="22"/>
              </w:rPr>
            </w:pPr>
          </w:p>
        </w:tc>
        <w:tc>
          <w:tcPr>
            <w:tcW w:w="943"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7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36" w:hRule="atLeast"/>
        </w:trPr>
        <w:tc>
          <w:tcPr>
            <w:tcW w:w="1098" w:type="dxa"/>
            <w:shd w:val="clear" w:color="auto" w:fill="F1F1F1" w:themeFill="background1" w:themeFillShade="F2"/>
            <w:vAlign w:val="center"/>
          </w:tcPr>
          <w:p>
            <w:pPr>
              <w:widowControl w:val="0"/>
              <w:autoSpaceDE w:val="0"/>
              <w:autoSpaceDN w:val="0"/>
              <w:adjustRightInd w:val="0"/>
              <w:jc w:val="center"/>
              <w:rPr>
                <w:rFonts w:ascii="Arial" w:hAnsi="Arial" w:cs="Arial"/>
                <w:bCs/>
                <w:sz w:val="22"/>
                <w:szCs w:val="22"/>
              </w:rPr>
            </w:pPr>
            <w:r>
              <w:rPr>
                <w:rFonts w:ascii="Arial" w:hAnsi="Arial" w:cs="Arial"/>
                <w:sz w:val="22"/>
                <w:szCs w:val="22"/>
              </w:rPr>
              <w:t>12</w:t>
            </w:r>
          </w:p>
        </w:tc>
        <w:tc>
          <w:tcPr>
            <w:tcW w:w="9440" w:type="dxa"/>
            <w:gridSpan w:val="3"/>
            <w:shd w:val="clear" w:color="auto" w:fill="F1F1F1" w:themeFill="background1" w:themeFillShade="F2"/>
          </w:tcPr>
          <w:p>
            <w:pPr>
              <w:widowControl w:val="0"/>
              <w:autoSpaceDE w:val="0"/>
              <w:autoSpaceDN w:val="0"/>
              <w:adjustRightInd w:val="0"/>
              <w:jc w:val="both"/>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63" w:hRule="atLeast"/>
        </w:trPr>
        <w:tc>
          <w:tcPr>
            <w:tcW w:w="1098" w:type="dxa"/>
            <w:vAlign w:val="center"/>
          </w:tcPr>
          <w:p>
            <w:pPr>
              <w:widowControl w:val="0"/>
              <w:jc w:val="center"/>
              <w:rPr>
                <w:rFonts w:ascii="Arial" w:hAnsi="Arial" w:cs="Arial"/>
                <w:sz w:val="22"/>
                <w:szCs w:val="22"/>
              </w:rPr>
            </w:pPr>
          </w:p>
        </w:tc>
        <w:tc>
          <w:tcPr>
            <w:tcW w:w="9440" w:type="dxa"/>
            <w:gridSpan w:val="3"/>
          </w:tcPr>
          <w:p>
            <w:pPr>
              <w:widowControl w:val="0"/>
              <w:autoSpaceDE w:val="0"/>
              <w:autoSpaceDN w:val="0"/>
              <w:adjustRightInd w:val="0"/>
              <w:jc w:val="both"/>
              <w:rPr>
                <w:rFonts w:ascii="Arial" w:hAnsi="Arial" w:cs="Arial"/>
                <w:sz w:val="22"/>
                <w:szCs w:val="22"/>
              </w:rPr>
            </w:pPr>
            <w:r>
              <w:rPr>
                <w:rFonts w:ascii="Arial" w:hAnsi="Arial" w:cs="Arial"/>
                <w:sz w:val="22"/>
                <w:szCs w:val="22"/>
              </w:rPr>
              <w:t>All data will be placed in folders and the folders will be password protected</w:t>
            </w:r>
            <w:r>
              <w:rPr>
                <w:rFonts w:ascii="Arial" w:hAnsi="Arial" w:eastAsia="宋体" w:cs="Arial"/>
                <w:sz w:val="22"/>
                <w:szCs w:val="22"/>
                <w:lang w:eastAsia="zh-CN"/>
              </w:rPr>
              <w:t xml:space="preserve">. </w:t>
            </w:r>
            <w:r>
              <w:rPr>
                <w:rFonts w:ascii="Arial" w:hAnsi="Arial" w:cs="Arial"/>
                <w:sz w:val="22"/>
                <w:szCs w:val="22"/>
              </w:rPr>
              <w:t>All interview data will be stored on the interviewer's personal computer at the end of the interview and will not be stored anywhere other than the interviewer's personal computer. All data will be archived.</w:t>
            </w:r>
          </w:p>
          <w:p>
            <w:pPr>
              <w:widowControl w:val="0"/>
              <w:jc w:val="both"/>
              <w:rPr>
                <w:rFonts w:ascii="Arial" w:hAnsi="Arial" w:eastAsia="宋体" w:cs="Arial"/>
                <w:sz w:val="22"/>
                <w:szCs w:val="22"/>
                <w:lang w:eastAsia="zh-CN"/>
              </w:rPr>
            </w:pPr>
          </w:p>
          <w:p>
            <w:pPr>
              <w:widowControl w:val="0"/>
              <w:autoSpaceDE w:val="0"/>
              <w:autoSpaceDN w:val="0"/>
              <w:adjustRightInd w:val="0"/>
              <w:jc w:val="both"/>
              <w:rPr>
                <w:rFonts w:ascii="Arial" w:hAnsi="Arial" w:cs="Arial"/>
                <w:b/>
                <w:bCs/>
                <w:sz w:val="22"/>
                <w:szCs w:val="22"/>
              </w:rPr>
            </w:pPr>
            <w:r>
              <w:rPr>
                <w:rFonts w:ascii="Arial" w:hAnsi="Arial" w:cs="Arial"/>
                <w:i/>
                <w:color w:val="808080"/>
                <w:sz w:val="18"/>
                <w:szCs w:val="18"/>
              </w:rPr>
              <w:t>(this box should expand as you type)</w:t>
            </w:r>
          </w:p>
        </w:tc>
      </w:tr>
    </w:tbl>
    <w:p/>
    <w:tbl>
      <w:tblPr>
        <w:tblStyle w:val="9"/>
        <w:tblW w:w="10239" w:type="dxa"/>
        <w:tblInd w:w="-5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66"/>
        <w:gridCol w:w="7308"/>
        <w:gridCol w:w="916"/>
        <w:gridCol w:w="94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1" w:hRule="atLeast"/>
        </w:trPr>
        <w:tc>
          <w:tcPr>
            <w:tcW w:w="1066" w:type="dxa"/>
            <w:shd w:val="clear" w:color="auto" w:fill="F1F1F1" w:themeFill="background1" w:themeFillShade="F2"/>
          </w:tcPr>
          <w:p>
            <w:pPr>
              <w:widowControl w:val="0"/>
              <w:autoSpaceDE w:val="0"/>
              <w:autoSpaceDN w:val="0"/>
              <w:adjustRightInd w:val="0"/>
              <w:jc w:val="both"/>
              <w:rPr>
                <w:rFonts w:ascii="Arial" w:hAnsi="Arial" w:cs="Arial"/>
                <w:sz w:val="22"/>
                <w:szCs w:val="22"/>
              </w:rPr>
            </w:pPr>
          </w:p>
        </w:tc>
        <w:tc>
          <w:tcPr>
            <w:tcW w:w="9173" w:type="dxa"/>
            <w:gridSpan w:val="3"/>
            <w:shd w:val="clear" w:color="auto" w:fill="F1F1F1" w:themeFill="background1" w:themeFillShade="F2"/>
            <w:vAlign w:val="center"/>
          </w:tcPr>
          <w:p>
            <w:pPr>
              <w:widowControl w:val="0"/>
              <w:autoSpaceDE w:val="0"/>
              <w:autoSpaceDN w:val="0"/>
              <w:adjustRightInd w:val="0"/>
              <w:jc w:val="both"/>
              <w:rPr>
                <w:rFonts w:ascii="Arial" w:hAnsi="Arial" w:cs="Arial"/>
                <w:b/>
                <w:bCs/>
                <w:sz w:val="22"/>
                <w:szCs w:val="22"/>
              </w:rPr>
            </w:pPr>
            <w:r>
              <w:rPr>
                <w:rFonts w:ascii="Arial" w:hAnsi="Arial" w:cs="Arial"/>
                <w:b/>
                <w:bCs/>
                <w:sz w:val="22"/>
                <w:szCs w:val="22"/>
              </w:rPr>
              <w:t>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1"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p>
        </w:tc>
        <w:tc>
          <w:tcPr>
            <w:tcW w:w="7308" w:type="dxa"/>
            <w:shd w:val="clear" w:color="auto" w:fill="F1F1F1" w:themeFill="background1" w:themeFillShade="F2"/>
            <w:vAlign w:val="center"/>
          </w:tcPr>
          <w:p>
            <w:pPr>
              <w:widowControl w:val="0"/>
              <w:autoSpaceDE w:val="0"/>
              <w:autoSpaceDN w:val="0"/>
              <w:adjustRightInd w:val="0"/>
              <w:jc w:val="both"/>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16" w:type="dxa"/>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49" w:type="dxa"/>
            <w:shd w:val="clear" w:color="auto" w:fill="F1F1F1" w:themeFill="background1" w:themeFillShade="F2"/>
            <w:vAlign w:val="center"/>
          </w:tcPr>
          <w:p>
            <w:pPr>
              <w:widowControl w:val="0"/>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1"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13</w:t>
            </w:r>
          </w:p>
        </w:tc>
        <w:tc>
          <w:tcPr>
            <w:tcW w:w="730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Electronic transfer of data in any form?</w:t>
            </w:r>
          </w:p>
        </w:tc>
        <w:tc>
          <w:tcPr>
            <w:tcW w:w="916" w:type="dxa"/>
            <w:shd w:val="clear" w:color="auto" w:fill="BEBEBE"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9"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2"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14</w:t>
            </w:r>
          </w:p>
        </w:tc>
        <w:tc>
          <w:tcPr>
            <w:tcW w:w="730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Sharing of data with others at the University outside of the immediate research team?</w:t>
            </w:r>
          </w:p>
        </w:tc>
        <w:tc>
          <w:tcPr>
            <w:tcW w:w="916"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9"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1"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15</w:t>
            </w:r>
          </w:p>
        </w:tc>
        <w:tc>
          <w:tcPr>
            <w:tcW w:w="730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Sharing of data with other organisations?</w:t>
            </w:r>
          </w:p>
        </w:tc>
        <w:tc>
          <w:tcPr>
            <w:tcW w:w="916"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9"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16</w:t>
            </w:r>
          </w:p>
        </w:tc>
        <w:tc>
          <w:tcPr>
            <w:tcW w:w="730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Export of data outside the UK or importing of data from outside the UK?</w:t>
            </w:r>
          </w:p>
        </w:tc>
        <w:tc>
          <w:tcPr>
            <w:tcW w:w="916"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9"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17</w:t>
            </w:r>
          </w:p>
        </w:tc>
        <w:tc>
          <w:tcPr>
            <w:tcW w:w="730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Use of personal addresses, postcodes, faxes, emails or telephone numbers?</w:t>
            </w:r>
          </w:p>
        </w:tc>
        <w:tc>
          <w:tcPr>
            <w:tcW w:w="916"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9"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18</w:t>
            </w:r>
          </w:p>
        </w:tc>
        <w:tc>
          <w:tcPr>
            <w:tcW w:w="730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Publication of data that might allow identification of individuals?</w:t>
            </w:r>
          </w:p>
        </w:tc>
        <w:tc>
          <w:tcPr>
            <w:tcW w:w="916"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9"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19</w:t>
            </w:r>
          </w:p>
        </w:tc>
        <w:tc>
          <w:tcPr>
            <w:tcW w:w="7308" w:type="dxa"/>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Use of data management system?</w:t>
            </w:r>
          </w:p>
        </w:tc>
        <w:tc>
          <w:tcPr>
            <w:tcW w:w="916"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9"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20</w:t>
            </w:r>
          </w:p>
        </w:tc>
        <w:tc>
          <w:tcPr>
            <w:tcW w:w="7308" w:type="dxa"/>
            <w:shd w:val="clear" w:color="auto" w:fill="F1F1F1" w:themeFill="background1" w:themeFillShade="F2"/>
            <w:vAlign w:val="center"/>
          </w:tcPr>
          <w:p>
            <w:pPr>
              <w:widowControl w:val="0"/>
              <w:autoSpaceDE w:val="0"/>
              <w:autoSpaceDN w:val="0"/>
              <w:adjustRightInd w:val="0"/>
              <w:jc w:val="both"/>
              <w:rPr>
                <w:rFonts w:ascii="Arial" w:hAnsi="Arial" w:cs="Arial"/>
                <w:b/>
                <w:bCs/>
                <w:sz w:val="22"/>
                <w:szCs w:val="22"/>
              </w:rPr>
            </w:pPr>
            <w:r>
              <w:rPr>
                <w:rFonts w:ascii="Arial" w:hAnsi="Arial" w:cs="Arial"/>
                <w:sz w:val="22"/>
                <w:szCs w:val="22"/>
              </w:rPr>
              <w:t>Data archiving?</w:t>
            </w:r>
          </w:p>
        </w:tc>
        <w:tc>
          <w:tcPr>
            <w:tcW w:w="916" w:type="dxa"/>
            <w:shd w:val="clear" w:color="auto" w:fill="BEBEBE"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949" w:type="dxa"/>
            <w:shd w:val="clear" w:color="auto" w:fill="BEBEBE"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rPr>
                <w:rFonts w:ascii="Arial" w:hAnsi="Arial" w:cs="Arial"/>
                <w:sz w:val="22"/>
                <w:szCs w:val="22"/>
              </w:rPr>
            </w:sdtEndPr>
            <w:sdtContent>
              <w:p>
                <w:pPr>
                  <w:widowControl w:val="0"/>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64" w:hRule="atLeast"/>
        </w:trPr>
        <w:tc>
          <w:tcPr>
            <w:tcW w:w="1066" w:type="dxa"/>
            <w:shd w:val="clear" w:color="auto" w:fill="F1F1F1" w:themeFill="background1" w:themeFillShade="F2"/>
            <w:vAlign w:val="center"/>
          </w:tcPr>
          <w:p>
            <w:pPr>
              <w:widowControl w:val="0"/>
              <w:spacing w:before="120" w:after="120"/>
              <w:jc w:val="center"/>
              <w:rPr>
                <w:rFonts w:ascii="Arial" w:hAnsi="Arial" w:cs="Arial"/>
                <w:sz w:val="22"/>
                <w:szCs w:val="22"/>
              </w:rPr>
            </w:pPr>
            <w:r>
              <w:rPr>
                <w:rFonts w:ascii="Arial" w:hAnsi="Arial" w:cs="Arial"/>
                <w:sz w:val="22"/>
                <w:szCs w:val="22"/>
              </w:rPr>
              <w:t>21</w:t>
            </w:r>
          </w:p>
        </w:tc>
        <w:tc>
          <w:tcPr>
            <w:tcW w:w="9173" w:type="dxa"/>
            <w:gridSpan w:val="3"/>
            <w:shd w:val="clear" w:color="auto" w:fill="F1F1F1" w:themeFill="background1" w:themeFillShade="F2"/>
            <w:vAlign w:val="center"/>
          </w:tcPr>
          <w:p>
            <w:pPr>
              <w:widowControl w:val="0"/>
              <w:spacing w:before="120" w:after="120"/>
              <w:jc w:val="both"/>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34" w:hRule="atLeast"/>
        </w:trPr>
        <w:tc>
          <w:tcPr>
            <w:tcW w:w="1066" w:type="dxa"/>
            <w:vAlign w:val="center"/>
          </w:tcPr>
          <w:p>
            <w:pPr>
              <w:widowControl w:val="0"/>
              <w:autoSpaceDE w:val="0"/>
              <w:autoSpaceDN w:val="0"/>
              <w:adjustRightInd w:val="0"/>
              <w:jc w:val="center"/>
              <w:rPr>
                <w:rFonts w:ascii="Arial" w:hAnsi="Arial" w:cs="Arial"/>
                <w:sz w:val="22"/>
                <w:szCs w:val="22"/>
              </w:rPr>
            </w:pPr>
          </w:p>
        </w:tc>
        <w:tc>
          <w:tcPr>
            <w:tcW w:w="9173" w:type="dxa"/>
            <w:gridSpan w:val="3"/>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All interview data will be stored on the interviewer's personal computer at the end of the interview and will not be stored anywhere other than the interviewer's personal computer. All data will be archived.</w:t>
            </w:r>
          </w:p>
          <w:p>
            <w:pPr>
              <w:widowControl w:val="0"/>
              <w:autoSpaceDE w:val="0"/>
              <w:autoSpaceDN w:val="0"/>
              <w:adjustRightInd w:val="0"/>
              <w:jc w:val="both"/>
              <w:rPr>
                <w:rFonts w:ascii="Arial" w:hAnsi="Arial" w:cs="Arial"/>
                <w:sz w:val="22"/>
                <w:szCs w:val="22"/>
              </w:rPr>
            </w:pPr>
          </w:p>
          <w:p>
            <w:pPr>
              <w:widowControl w:val="0"/>
              <w:autoSpaceDE w:val="0"/>
              <w:autoSpaceDN w:val="0"/>
              <w:adjustRightInd w:val="0"/>
              <w:jc w:val="both"/>
              <w:rPr>
                <w:rFonts w:ascii="Arial" w:hAnsi="Arial" w:cs="Arial"/>
                <w:sz w:val="22"/>
                <w:szCs w:val="22"/>
              </w:rPr>
            </w:pPr>
          </w:p>
          <w:p>
            <w:pPr>
              <w:widowControl w:val="0"/>
              <w:autoSpaceDE w:val="0"/>
              <w:autoSpaceDN w:val="0"/>
              <w:adjustRightInd w:val="0"/>
              <w:jc w:val="both"/>
              <w:rPr>
                <w:rFonts w:ascii="Arial" w:hAnsi="Arial" w:cs="Arial"/>
                <w:sz w:val="22"/>
                <w:szCs w:val="22"/>
              </w:rPr>
            </w:pPr>
          </w:p>
          <w:p>
            <w:pPr>
              <w:widowControl w:val="0"/>
              <w:autoSpaceDE w:val="0"/>
              <w:autoSpaceDN w:val="0"/>
              <w:adjustRightInd w:val="0"/>
              <w:jc w:val="both"/>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bCs/>
                <w:sz w:val="22"/>
                <w:szCs w:val="22"/>
              </w:rPr>
            </w:pPr>
            <w:r>
              <w:rPr>
                <w:rFonts w:ascii="Arial" w:hAnsi="Arial" w:cs="Arial"/>
                <w:sz w:val="22"/>
                <w:szCs w:val="22"/>
              </w:rPr>
              <w:t>22</w:t>
            </w:r>
          </w:p>
        </w:tc>
        <w:tc>
          <w:tcPr>
            <w:tcW w:w="9173" w:type="dxa"/>
            <w:gridSpan w:val="3"/>
            <w:shd w:val="clear" w:color="auto" w:fill="F1F1F1" w:themeFill="background1" w:themeFillShade="F2"/>
            <w:vAlign w:val="center"/>
          </w:tcPr>
          <w:p>
            <w:pPr>
              <w:widowControl w:val="0"/>
              <w:autoSpaceDE w:val="0"/>
              <w:autoSpaceDN w:val="0"/>
              <w:adjustRightInd w:val="0"/>
              <w:jc w:val="both"/>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34" w:hRule="atLeast"/>
        </w:trPr>
        <w:tc>
          <w:tcPr>
            <w:tcW w:w="1066" w:type="dxa"/>
            <w:vAlign w:val="center"/>
          </w:tcPr>
          <w:p>
            <w:pPr>
              <w:widowControl w:val="0"/>
              <w:autoSpaceDE w:val="0"/>
              <w:autoSpaceDN w:val="0"/>
              <w:adjustRightInd w:val="0"/>
              <w:jc w:val="center"/>
              <w:rPr>
                <w:rFonts w:ascii="Arial" w:hAnsi="Arial" w:cs="Arial"/>
                <w:sz w:val="22"/>
                <w:szCs w:val="22"/>
              </w:rPr>
            </w:pPr>
          </w:p>
        </w:tc>
        <w:tc>
          <w:tcPr>
            <w:tcW w:w="9173" w:type="dxa"/>
            <w:gridSpan w:val="3"/>
            <w:vAlign w:val="center"/>
          </w:tcPr>
          <w:p>
            <w:pPr>
              <w:widowControl w:val="0"/>
              <w:autoSpaceDE w:val="0"/>
              <w:autoSpaceDN w:val="0"/>
              <w:adjustRightInd w:val="0"/>
              <w:jc w:val="both"/>
              <w:rPr>
                <w:rFonts w:ascii="Arial" w:hAnsi="Arial" w:cs="Arial"/>
                <w:sz w:val="22"/>
                <w:szCs w:val="22"/>
              </w:rPr>
            </w:pPr>
            <w:r>
              <w:rPr>
                <w:rFonts w:ascii="Arial" w:hAnsi="Arial" w:cs="Arial"/>
                <w:sz w:val="22"/>
                <w:szCs w:val="22"/>
              </w:rPr>
              <w:t>interviewer</w:t>
            </w:r>
          </w:p>
          <w:p>
            <w:pPr>
              <w:widowControl w:val="0"/>
              <w:autoSpaceDE w:val="0"/>
              <w:autoSpaceDN w:val="0"/>
              <w:adjustRightInd w:val="0"/>
              <w:jc w:val="both"/>
              <w:rPr>
                <w:rFonts w:ascii="Arial" w:hAnsi="Arial" w:cs="Arial"/>
                <w:sz w:val="22"/>
                <w:szCs w:val="22"/>
              </w:rPr>
            </w:pPr>
            <w:r>
              <w:rPr>
                <w:rFonts w:ascii="Arial" w:hAnsi="Arial" w:cs="Arial"/>
                <w:sz w:val="22"/>
                <w:szCs w:val="22"/>
              </w:rPr>
              <w:t>Dissertation Assessment Supervisor</w:t>
            </w:r>
          </w:p>
          <w:p>
            <w:pPr>
              <w:widowControl w:val="0"/>
              <w:autoSpaceDE w:val="0"/>
              <w:autoSpaceDN w:val="0"/>
              <w:adjustRightInd w:val="0"/>
              <w:jc w:val="both"/>
              <w:rPr>
                <w:rFonts w:ascii="Arial" w:hAnsi="Arial" w:cs="Arial"/>
                <w:sz w:val="22"/>
                <w:szCs w:val="22"/>
              </w:rPr>
            </w:pPr>
          </w:p>
          <w:p>
            <w:pPr>
              <w:widowControl w:val="0"/>
              <w:autoSpaceDE w:val="0"/>
              <w:autoSpaceDN w:val="0"/>
              <w:adjustRightInd w:val="0"/>
              <w:jc w:val="both"/>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bCs/>
                <w:sz w:val="22"/>
                <w:szCs w:val="22"/>
              </w:rPr>
            </w:pPr>
            <w:r>
              <w:rPr>
                <w:rFonts w:ascii="Arial" w:hAnsi="Arial" w:cs="Arial"/>
                <w:sz w:val="22"/>
                <w:szCs w:val="22"/>
              </w:rPr>
              <w:t>23</w:t>
            </w:r>
          </w:p>
        </w:tc>
        <w:tc>
          <w:tcPr>
            <w:tcW w:w="9173" w:type="dxa"/>
            <w:gridSpan w:val="3"/>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40" w:hRule="atLeast"/>
        </w:trPr>
        <w:tc>
          <w:tcPr>
            <w:tcW w:w="1066" w:type="dxa"/>
            <w:vAlign w:val="center"/>
          </w:tcPr>
          <w:p>
            <w:pPr>
              <w:widowControl w:val="0"/>
              <w:autoSpaceDE w:val="0"/>
              <w:autoSpaceDN w:val="0"/>
              <w:adjustRightInd w:val="0"/>
              <w:jc w:val="center"/>
              <w:rPr>
                <w:rFonts w:ascii="Arial" w:hAnsi="Arial" w:cs="Arial"/>
                <w:sz w:val="22"/>
                <w:szCs w:val="22"/>
              </w:rPr>
            </w:pPr>
          </w:p>
        </w:tc>
        <w:tc>
          <w:tcPr>
            <w:tcW w:w="9173" w:type="dxa"/>
            <w:gridSpan w:val="3"/>
          </w:tcPr>
          <w:p>
            <w:pPr>
              <w:widowControl w:val="0"/>
              <w:autoSpaceDE w:val="0"/>
              <w:autoSpaceDN w:val="0"/>
              <w:adjustRightInd w:val="0"/>
              <w:jc w:val="both"/>
              <w:rPr>
                <w:rFonts w:ascii="Arial" w:hAnsi="Arial" w:cs="Arial"/>
                <w:sz w:val="22"/>
                <w:szCs w:val="22"/>
              </w:rPr>
            </w:pPr>
            <w:r>
              <w:rPr>
                <w:rFonts w:ascii="Arial" w:hAnsi="Arial" w:cs="Arial"/>
                <w:sz w:val="22"/>
                <w:szCs w:val="22"/>
              </w:rPr>
              <w:t>interviewer</w:t>
            </w:r>
          </w:p>
          <w:p>
            <w:pPr>
              <w:widowControl w:val="0"/>
              <w:autoSpaceDE w:val="0"/>
              <w:autoSpaceDN w:val="0"/>
              <w:adjustRightInd w:val="0"/>
              <w:jc w:val="both"/>
              <w:rPr>
                <w:rFonts w:ascii="Arial" w:hAnsi="Arial" w:cs="Arial"/>
                <w:sz w:val="22"/>
                <w:szCs w:val="22"/>
              </w:rPr>
            </w:pPr>
          </w:p>
          <w:p>
            <w:pPr>
              <w:widowControl w:val="0"/>
              <w:autoSpaceDE w:val="0"/>
              <w:autoSpaceDN w:val="0"/>
              <w:adjustRightInd w:val="0"/>
              <w:jc w:val="both"/>
              <w:rPr>
                <w:rFonts w:ascii="Arial" w:hAnsi="Arial" w:cs="Arial"/>
                <w:sz w:val="22"/>
                <w:szCs w:val="22"/>
              </w:rPr>
            </w:pPr>
          </w:p>
          <w:p>
            <w:pPr>
              <w:widowControl w:val="0"/>
              <w:autoSpaceDE w:val="0"/>
              <w:autoSpaceDN w:val="0"/>
              <w:adjustRightInd w:val="0"/>
              <w:jc w:val="both"/>
              <w:rPr>
                <w:rFonts w:ascii="Arial" w:hAnsi="Arial" w:cs="Arial"/>
                <w:sz w:val="22"/>
                <w:szCs w:val="22"/>
              </w:rPr>
            </w:pPr>
          </w:p>
          <w:p>
            <w:pPr>
              <w:widowControl w:val="0"/>
              <w:autoSpaceDE w:val="0"/>
              <w:autoSpaceDN w:val="0"/>
              <w:adjustRightInd w:val="0"/>
              <w:jc w:val="both"/>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28"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bCs/>
                <w:sz w:val="22"/>
                <w:szCs w:val="22"/>
              </w:rPr>
            </w:pPr>
            <w:r>
              <w:rPr>
                <w:rFonts w:ascii="Arial" w:hAnsi="Arial" w:cs="Arial"/>
                <w:sz w:val="22"/>
                <w:szCs w:val="22"/>
              </w:rPr>
              <w:t>24</w:t>
            </w:r>
          </w:p>
        </w:tc>
        <w:tc>
          <w:tcPr>
            <w:tcW w:w="9173" w:type="dxa"/>
            <w:gridSpan w:val="3"/>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46" w:hRule="atLeast"/>
        </w:trPr>
        <w:tc>
          <w:tcPr>
            <w:tcW w:w="1066" w:type="dxa"/>
            <w:vAlign w:val="center"/>
          </w:tcPr>
          <w:p>
            <w:pPr>
              <w:widowControl w:val="0"/>
              <w:autoSpaceDE w:val="0"/>
              <w:autoSpaceDN w:val="0"/>
              <w:adjustRightInd w:val="0"/>
              <w:jc w:val="center"/>
              <w:rPr>
                <w:rFonts w:ascii="Arial" w:hAnsi="Arial" w:cs="Arial"/>
                <w:sz w:val="22"/>
                <w:szCs w:val="22"/>
              </w:rPr>
            </w:pPr>
          </w:p>
        </w:tc>
        <w:tc>
          <w:tcPr>
            <w:tcW w:w="9173" w:type="dxa"/>
            <w:gridSpan w:val="3"/>
          </w:tcPr>
          <w:p>
            <w:pPr>
              <w:widowControl w:val="0"/>
              <w:autoSpaceDE w:val="0"/>
              <w:autoSpaceDN w:val="0"/>
              <w:adjustRightInd w:val="0"/>
              <w:jc w:val="both"/>
              <w:rPr>
                <w:rFonts w:ascii="Arial" w:hAnsi="Arial" w:cs="Arial"/>
                <w:sz w:val="22"/>
                <w:szCs w:val="22"/>
              </w:rPr>
            </w:pPr>
            <w:r>
              <w:rPr>
                <w:rFonts w:ascii="Arial" w:hAnsi="Arial" w:cs="Arial"/>
                <w:sz w:val="22"/>
                <w:szCs w:val="22"/>
              </w:rPr>
              <w:t>All interview data will be stored on the interviewer's personal computer at the end of the interview and will not be stored anywhere other than the interviewer's personal computer. All data will be archived.</w:t>
            </w:r>
          </w:p>
          <w:p>
            <w:pPr>
              <w:widowControl w:val="0"/>
              <w:autoSpaceDE w:val="0"/>
              <w:autoSpaceDN w:val="0"/>
              <w:adjustRightInd w:val="0"/>
              <w:jc w:val="both"/>
              <w:rPr>
                <w:rFonts w:ascii="Arial" w:hAnsi="Arial" w:cs="Arial"/>
                <w:sz w:val="22"/>
                <w:szCs w:val="22"/>
              </w:rPr>
            </w:pPr>
          </w:p>
          <w:p>
            <w:pPr>
              <w:widowControl w:val="0"/>
              <w:autoSpaceDE w:val="0"/>
              <w:autoSpaceDN w:val="0"/>
              <w:adjustRightInd w:val="0"/>
              <w:jc w:val="both"/>
              <w:rPr>
                <w:rFonts w:ascii="Arial" w:hAnsi="Arial" w:cs="Arial"/>
                <w:sz w:val="22"/>
                <w:szCs w:val="22"/>
              </w:rPr>
            </w:pPr>
          </w:p>
          <w:p>
            <w:pPr>
              <w:widowControl w:val="0"/>
              <w:autoSpaceDE w:val="0"/>
              <w:autoSpaceDN w:val="0"/>
              <w:adjustRightInd w:val="0"/>
              <w:jc w:val="both"/>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2"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sz w:val="22"/>
                <w:szCs w:val="22"/>
              </w:rPr>
            </w:pPr>
            <w:r>
              <w:rPr>
                <w:rFonts w:ascii="Arial" w:hAnsi="Arial" w:cs="Arial"/>
                <w:sz w:val="22"/>
                <w:szCs w:val="22"/>
              </w:rPr>
              <w:t>25</w:t>
            </w:r>
          </w:p>
        </w:tc>
        <w:tc>
          <w:tcPr>
            <w:tcW w:w="9173" w:type="dxa"/>
            <w:gridSpan w:val="3"/>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34" w:hRule="atLeast"/>
        </w:trPr>
        <w:tc>
          <w:tcPr>
            <w:tcW w:w="1066" w:type="dxa"/>
            <w:vAlign w:val="center"/>
          </w:tcPr>
          <w:p>
            <w:pPr>
              <w:widowControl w:val="0"/>
              <w:autoSpaceDE w:val="0"/>
              <w:autoSpaceDN w:val="0"/>
              <w:adjustRightInd w:val="0"/>
              <w:jc w:val="center"/>
              <w:rPr>
                <w:rFonts w:ascii="Arial" w:hAnsi="Arial" w:cs="Arial"/>
                <w:sz w:val="22"/>
                <w:szCs w:val="22"/>
              </w:rPr>
            </w:pPr>
          </w:p>
        </w:tc>
        <w:tc>
          <w:tcPr>
            <w:tcW w:w="9173" w:type="dxa"/>
            <w:gridSpan w:val="3"/>
          </w:tcPr>
          <w:p>
            <w:pPr>
              <w:widowControl w:val="0"/>
              <w:autoSpaceDE w:val="0"/>
              <w:autoSpaceDN w:val="0"/>
              <w:adjustRightInd w:val="0"/>
              <w:jc w:val="both"/>
              <w:rPr>
                <w:rFonts w:ascii="Arial" w:hAnsi="Arial" w:cs="Arial"/>
                <w:sz w:val="22"/>
                <w:szCs w:val="22"/>
              </w:rPr>
            </w:pPr>
          </w:p>
          <w:p>
            <w:pPr>
              <w:widowControl w:val="0"/>
              <w:autoSpaceDE w:val="0"/>
              <w:autoSpaceDN w:val="0"/>
              <w:adjustRightInd w:val="0"/>
              <w:jc w:val="both"/>
              <w:rPr>
                <w:rFonts w:ascii="Arial" w:hAnsi="Arial" w:eastAsia="宋体" w:cs="Arial"/>
                <w:sz w:val="22"/>
                <w:szCs w:val="22"/>
                <w:lang w:eastAsia="zh-CN"/>
              </w:rPr>
            </w:pPr>
            <w:r>
              <w:rPr>
                <w:rFonts w:ascii="Arial" w:hAnsi="Arial" w:eastAsia="宋体" w:cs="Arial"/>
                <w:sz w:val="22"/>
                <w:szCs w:val="22"/>
                <w:lang w:eastAsia="zh-CN"/>
              </w:rPr>
              <w:t>No</w:t>
            </w:r>
          </w:p>
          <w:p>
            <w:pPr>
              <w:widowControl w:val="0"/>
              <w:autoSpaceDE w:val="0"/>
              <w:autoSpaceDN w:val="0"/>
              <w:adjustRightInd w:val="0"/>
              <w:jc w:val="both"/>
              <w:rPr>
                <w:rFonts w:ascii="Arial" w:hAnsi="Arial" w:cs="Arial"/>
                <w:sz w:val="22"/>
                <w:szCs w:val="22"/>
              </w:rPr>
            </w:pPr>
          </w:p>
          <w:p>
            <w:pPr>
              <w:widowControl w:val="0"/>
              <w:autoSpaceDE w:val="0"/>
              <w:autoSpaceDN w:val="0"/>
              <w:adjustRightInd w:val="0"/>
              <w:jc w:val="both"/>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2"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bCs/>
                <w:sz w:val="22"/>
                <w:szCs w:val="22"/>
              </w:rPr>
            </w:pPr>
            <w:r>
              <w:rPr>
                <w:rFonts w:ascii="Arial" w:hAnsi="Arial" w:cs="Arial"/>
                <w:bCs/>
                <w:sz w:val="22"/>
                <w:szCs w:val="22"/>
              </w:rPr>
              <w:t>26</w:t>
            </w:r>
          </w:p>
        </w:tc>
        <w:tc>
          <w:tcPr>
            <w:tcW w:w="7308" w:type="dxa"/>
            <w:shd w:val="clear" w:color="auto" w:fill="F1F1F1" w:themeFill="background1" w:themeFillShade="F2"/>
          </w:tcPr>
          <w:p>
            <w:pPr>
              <w:widowControl w:val="0"/>
              <w:autoSpaceDE w:val="0"/>
              <w:autoSpaceDN w:val="0"/>
              <w:adjustRightInd w:val="0"/>
              <w:jc w:val="both"/>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16" w:type="dxa"/>
            <w:shd w:val="clear" w:color="auto" w:fill="F1F1F1" w:themeFill="background1" w:themeFillShade="F2"/>
            <w:vAlign w:val="center"/>
          </w:tcPr>
          <w:p>
            <w:pPr>
              <w:widowControl w:val="0"/>
              <w:autoSpaceDE w:val="0"/>
              <w:autoSpaceDN w:val="0"/>
              <w:adjustRightInd w:val="0"/>
              <w:jc w:val="center"/>
              <w:rPr>
                <w:rFonts w:ascii="Arial" w:hAnsi="Arial" w:cs="Arial"/>
                <w:b/>
                <w:sz w:val="22"/>
                <w:szCs w:val="22"/>
              </w:rPr>
            </w:pPr>
            <w:r>
              <w:rPr>
                <w:rFonts w:ascii="Arial" w:hAnsi="Arial" w:cs="Arial"/>
                <w:b/>
                <w:sz w:val="22"/>
              </w:rPr>
              <w:t>YES</w:t>
            </w:r>
          </w:p>
        </w:tc>
        <w:tc>
          <w:tcPr>
            <w:tcW w:w="949" w:type="dxa"/>
            <w:shd w:val="clear" w:color="auto" w:fill="BEBEBE" w:themeFill="background1" w:themeFillShade="BF"/>
            <w:vAlign w:val="center"/>
          </w:tcPr>
          <w:p>
            <w:pPr>
              <w:widowControl w:val="0"/>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Arial"/>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40" w:hRule="atLeast"/>
        </w:trPr>
        <w:tc>
          <w:tcPr>
            <w:tcW w:w="1066" w:type="dxa"/>
            <w:shd w:val="clear" w:color="auto" w:fill="F1F1F1" w:themeFill="background1" w:themeFillShade="F2"/>
            <w:vAlign w:val="center"/>
          </w:tcPr>
          <w:p>
            <w:pPr>
              <w:widowControl w:val="0"/>
              <w:autoSpaceDE w:val="0"/>
              <w:autoSpaceDN w:val="0"/>
              <w:adjustRightInd w:val="0"/>
              <w:jc w:val="center"/>
              <w:rPr>
                <w:rFonts w:ascii="Arial" w:hAnsi="Arial" w:cs="Arial"/>
                <w:bCs/>
                <w:sz w:val="22"/>
                <w:szCs w:val="22"/>
              </w:rPr>
            </w:pPr>
            <w:r>
              <w:rPr>
                <w:rFonts w:ascii="Arial" w:hAnsi="Arial" w:cs="Arial"/>
                <w:bCs/>
                <w:sz w:val="22"/>
                <w:szCs w:val="22"/>
              </w:rPr>
              <w:t>27</w:t>
            </w:r>
          </w:p>
        </w:tc>
        <w:tc>
          <w:tcPr>
            <w:tcW w:w="7308" w:type="dxa"/>
            <w:shd w:val="clear" w:color="auto" w:fill="F1F1F1" w:themeFill="background1" w:themeFillShade="F2"/>
          </w:tcPr>
          <w:p>
            <w:pPr>
              <w:widowControl w:val="0"/>
              <w:autoSpaceDE w:val="0"/>
              <w:autoSpaceDN w:val="0"/>
              <w:adjustRightInd w:val="0"/>
              <w:jc w:val="both"/>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16" w:type="dxa"/>
            <w:shd w:val="clear" w:color="auto" w:fill="F1F1F1" w:themeFill="background1" w:themeFillShade="F2"/>
            <w:vAlign w:val="center"/>
          </w:tcPr>
          <w:p>
            <w:pPr>
              <w:widowControl w:val="0"/>
              <w:autoSpaceDE w:val="0"/>
              <w:autoSpaceDN w:val="0"/>
              <w:adjustRightInd w:val="0"/>
              <w:jc w:val="center"/>
              <w:rPr>
                <w:rFonts w:ascii="Arial" w:hAnsi="Arial" w:cs="Arial"/>
                <w:b/>
                <w:sz w:val="22"/>
                <w:szCs w:val="22"/>
              </w:rPr>
            </w:pPr>
            <w:r>
              <w:rPr>
                <w:rFonts w:ascii="Arial" w:hAnsi="Arial" w:cs="Arial"/>
                <w:b/>
                <w:sz w:val="22"/>
              </w:rPr>
              <w:t>YES</w:t>
            </w:r>
          </w:p>
        </w:tc>
        <w:tc>
          <w:tcPr>
            <w:tcW w:w="949" w:type="dxa"/>
            <w:shd w:val="clear" w:color="auto" w:fill="BEBEBE" w:themeFill="background1" w:themeFillShade="BF"/>
            <w:vAlign w:val="center"/>
          </w:tcPr>
          <w:p>
            <w:pPr>
              <w:widowControl w:val="0"/>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Arial"/>
                  </w:rPr>
                  <w:t>☒</w:t>
                </w:r>
              </w:sdtContent>
            </w:sdt>
          </w:p>
        </w:tc>
      </w:tr>
    </w:tbl>
    <w:p>
      <w:pPr>
        <w:rPr>
          <w:rFonts w:ascii="Arial" w:hAnsi="Arial" w:cs="Arial"/>
          <w:b/>
          <w:bCs/>
          <w:sz w:val="22"/>
          <w:szCs w:val="22"/>
        </w:rPr>
      </w:pPr>
    </w:p>
    <w:p>
      <w:pPr>
        <w:rPr>
          <w:rFonts w:ascii="Arial" w:hAnsi="Arial" w:cs="Arial"/>
          <w:b/>
          <w:sz w:val="22"/>
          <w:szCs w:val="22"/>
        </w:rPr>
      </w:pPr>
      <w:r>
        <w:rPr>
          <w:rFonts w:ascii="Arial" w:hAnsi="Arial" w:cs="Arial"/>
          <w:b/>
          <w:sz w:val="22"/>
          <w:szCs w:val="22"/>
        </w:rPr>
        <w:t>SECTION K: Declaration</w:t>
      </w:r>
    </w:p>
    <w:tbl>
      <w:tblPr>
        <w:tblStyle w:val="8"/>
        <w:tblW w:w="10459" w:type="dxa"/>
        <w:tblInd w:w="-60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1100"/>
        <w:gridCol w:w="2795"/>
        <w:gridCol w:w="4546"/>
        <w:gridCol w:w="2018"/>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109" w:hRule="atLeast"/>
        </w:trPr>
        <w:tc>
          <w:tcPr>
            <w:tcW w:w="1100" w:type="dxa"/>
            <w:shd w:val="clear" w:color="auto" w:fill="F1F1F1" w:themeFill="background1" w:themeFillShade="F2"/>
            <w:vAlign w:val="center"/>
          </w:tcPr>
          <w:p>
            <w:pPr>
              <w:jc w:val="center"/>
              <w:rPr>
                <w:rFonts w:ascii="Arial" w:hAnsi="Arial" w:cs="Arial"/>
                <w:sz w:val="22"/>
                <w:szCs w:val="22"/>
              </w:rPr>
            </w:pPr>
          </w:p>
        </w:tc>
        <w:tc>
          <w:tcPr>
            <w:tcW w:w="9359"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458" w:hRule="atLeast"/>
        </w:trPr>
        <w:tc>
          <w:tcPr>
            <w:tcW w:w="110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79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546" w:type="dxa"/>
            <w:tcBorders>
              <w:left w:val="single" w:color="auto" w:sz="4" w:space="0"/>
            </w:tcBorders>
            <w:vAlign w:val="center"/>
          </w:tcPr>
          <w:p>
            <w:pPr>
              <w:spacing w:before="100" w:beforeAutospacing="1" w:after="100" w:afterAutospacing="1"/>
              <w:rPr>
                <w:rFonts w:ascii="Arial" w:hAnsi="Arial" w:eastAsia="宋体" w:cs="Arial"/>
                <w:sz w:val="22"/>
                <w:szCs w:val="22"/>
                <w:lang w:eastAsia="zh-CN"/>
              </w:rPr>
            </w:pPr>
            <w:r>
              <w:rPr>
                <w:rFonts w:ascii="Arial" w:hAnsi="Arial" w:eastAsia="宋体" w:cs="Arial"/>
                <w:sz w:val="22"/>
                <w:szCs w:val="22"/>
                <w:lang w:eastAsia="zh-CN"/>
              </w:rPr>
              <w:t>Shang Xia</w:t>
            </w:r>
          </w:p>
        </w:tc>
        <w:tc>
          <w:tcPr>
            <w:tcW w:w="2018"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b/>
                <w:bCs/>
                <w:sz w:val="22"/>
                <w:szCs w:val="22"/>
              </w:rPr>
            </w:pPr>
            <w:r>
              <w:rPr>
                <w:rFonts w:ascii="Arial" w:hAnsi="Arial" w:cs="Arial"/>
                <w:b/>
                <w:bCs/>
              </w:rPr>
              <w:t>26.10.21</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8"/>
        <w:tblW w:w="5086" w:type="pct"/>
        <w:tblInd w:w="-5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33"/>
        <w:gridCol w:w="2400"/>
        <w:gridCol w:w="3510"/>
        <w:gridCol w:w="16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1" w:hRule="atLeast"/>
        </w:trPr>
        <w:tc>
          <w:tcPr>
            <w:tcW w:w="653" w:type="pct"/>
            <w:shd w:val="clear" w:color="auto" w:fill="F1F1F1" w:themeFill="background1" w:themeFillShade="F2"/>
            <w:vAlign w:val="center"/>
          </w:tcPr>
          <w:p>
            <w:pPr>
              <w:pStyle w:val="15"/>
              <w:ind w:left="0"/>
              <w:jc w:val="center"/>
              <w:rPr>
                <w:rFonts w:ascii="Arial" w:hAnsi="Arial" w:cs="Arial"/>
              </w:rPr>
            </w:pPr>
            <w:r>
              <w:rPr>
                <w:rFonts w:ascii="Arial" w:hAnsi="Arial" w:cs="Arial"/>
              </w:rPr>
              <w:t>2</w:t>
            </w:r>
          </w:p>
        </w:tc>
        <w:tc>
          <w:tcPr>
            <w:tcW w:w="1384" w:type="pct"/>
            <w:shd w:val="clear" w:color="auto" w:fill="F1F1F1" w:themeFill="background1" w:themeFillShade="F2"/>
            <w:vAlign w:val="center"/>
          </w:tcPr>
          <w:p>
            <w:pPr>
              <w:pStyle w:val="15"/>
              <w:ind w:left="0"/>
              <w:rPr>
                <w:rFonts w:ascii="Arial" w:hAnsi="Arial" w:cs="Arial"/>
              </w:rPr>
            </w:pPr>
            <w:r>
              <w:rPr>
                <w:rFonts w:ascii="Arial" w:hAnsi="Arial" w:cs="Arial"/>
              </w:rPr>
              <w:t>Director of Studies/Supervisor:</w:t>
            </w:r>
          </w:p>
        </w:tc>
        <w:tc>
          <w:tcPr>
            <w:tcW w:w="2024" w:type="pct"/>
            <w:shd w:val="clear" w:color="auto" w:fill="auto"/>
            <w:vAlign w:val="center"/>
          </w:tcPr>
          <w:p>
            <w:pPr>
              <w:pStyle w:val="15"/>
              <w:ind w:left="0"/>
              <w:rPr>
                <w:rFonts w:ascii="Arial" w:hAnsi="Arial" w:cs="Arial"/>
              </w:rPr>
            </w:pPr>
            <w:r>
              <w:rPr>
                <w:rFonts w:ascii="Arial" w:hAnsi="Arial" w:cs="Arial"/>
              </w:rPr>
              <w:t>Alison Rees Edwards</w:t>
            </w:r>
          </w:p>
        </w:tc>
        <w:tc>
          <w:tcPr>
            <w:tcW w:w="937" w:type="pct"/>
            <w:vMerge w:val="restart"/>
          </w:tcPr>
          <w:p>
            <w:pPr>
              <w:pStyle w:val="15"/>
              <w:ind w:left="0"/>
              <w:rPr>
                <w:rFonts w:ascii="Arial" w:hAnsi="Arial" w:cs="Arial"/>
                <w:b/>
                <w:bCs/>
              </w:rPr>
            </w:pPr>
            <w:r>
              <w:rPr>
                <w:rFonts w:ascii="Arial" w:hAnsi="Arial" w:cs="Arial"/>
                <w:b/>
                <w:bCs/>
              </w:rPr>
              <w:t>Date:</w:t>
            </w:r>
          </w:p>
          <w:p>
            <w:pPr>
              <w:pStyle w:val="15"/>
              <w:ind w:left="0"/>
              <w:rPr>
                <w:rFonts w:ascii="Arial" w:hAnsi="Arial" w:cs="Arial"/>
                <w:b/>
                <w:bCs/>
              </w:rPr>
            </w:pPr>
          </w:p>
          <w:p>
            <w:pPr>
              <w:pStyle w:val="15"/>
              <w:ind w:left="0"/>
              <w:rPr>
                <w:rFonts w:ascii="Arial" w:hAnsi="Arial" w:cs="Arial"/>
              </w:rPr>
            </w:pPr>
            <w:r>
              <w:rPr>
                <w:rFonts w:ascii="Arial" w:hAnsi="Arial" w:cs="Arial"/>
                <w:b/>
                <w:bCs/>
              </w:rPr>
              <w:t>26.10.21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8" w:hRule="atLeast"/>
        </w:trPr>
        <w:tc>
          <w:tcPr>
            <w:tcW w:w="653" w:type="pct"/>
            <w:shd w:val="clear" w:color="auto" w:fill="F1F1F1" w:themeFill="background1" w:themeFillShade="F2"/>
            <w:vAlign w:val="center"/>
          </w:tcPr>
          <w:p>
            <w:pPr>
              <w:pStyle w:val="15"/>
              <w:ind w:left="0"/>
              <w:jc w:val="center"/>
              <w:rPr>
                <w:rFonts w:ascii="Arial" w:hAnsi="Arial" w:cs="Arial"/>
              </w:rPr>
            </w:pPr>
            <w:r>
              <w:rPr>
                <w:rFonts w:ascii="Arial" w:hAnsi="Arial" w:cs="Arial"/>
              </w:rPr>
              <w:t>3</w:t>
            </w:r>
          </w:p>
        </w:tc>
        <w:tc>
          <w:tcPr>
            <w:tcW w:w="1384" w:type="pct"/>
            <w:shd w:val="clear" w:color="auto" w:fill="F1F1F1" w:themeFill="background1" w:themeFillShade="F2"/>
            <w:vAlign w:val="center"/>
          </w:tcPr>
          <w:p>
            <w:pPr>
              <w:pStyle w:val="15"/>
              <w:ind w:left="0"/>
              <w:rPr>
                <w:rFonts w:ascii="Arial" w:hAnsi="Arial" w:cs="Arial"/>
              </w:rPr>
            </w:pPr>
            <w:r>
              <w:rPr>
                <w:rFonts w:ascii="Arial" w:hAnsi="Arial" w:cs="Arial"/>
              </w:rPr>
              <w:t>Signature:</w:t>
            </w:r>
          </w:p>
        </w:tc>
        <w:tc>
          <w:tcPr>
            <w:tcW w:w="2024" w:type="pct"/>
            <w:shd w:val="clear" w:color="auto" w:fill="auto"/>
            <w:vAlign w:val="center"/>
          </w:tcPr>
          <w:p>
            <w:pPr>
              <w:pStyle w:val="15"/>
              <w:ind w:left="0"/>
              <w:rPr>
                <w:rFonts w:ascii="Arial" w:hAnsi="Arial" w:cs="Arial"/>
              </w:rPr>
            </w:pPr>
          </w:p>
          <w:p>
            <w:pPr>
              <w:pStyle w:val="15"/>
              <w:ind w:left="0"/>
              <w:rPr>
                <w:rFonts w:ascii="Arial" w:hAnsi="Arial" w:cs="Arial"/>
              </w:rPr>
            </w:pPr>
            <w:r>
              <w:rPr>
                <w:rFonts w:ascii="Arial" w:hAnsi="Arial" w:cs="Arial"/>
              </w:rPr>
              <w:drawing>
                <wp:inline distT="0" distB="0" distL="0" distR="0">
                  <wp:extent cx="1425575" cy="286385"/>
                  <wp:effectExtent l="0" t="0" r="6985" b="3175"/>
                  <wp:docPr id="2"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cture containing text, clipart&#10;&#10;Description automatically generated"/>
                          <pic:cNvPicPr>
                            <a:picLocks noChangeAspect="1"/>
                          </pic:cNvPicPr>
                        </pic:nvPicPr>
                        <pic:blipFill>
                          <a:blip r:embed="rId7"/>
                          <a:stretch>
                            <a:fillRect/>
                          </a:stretch>
                        </pic:blipFill>
                        <pic:spPr>
                          <a:xfrm>
                            <a:off x="0" y="0"/>
                            <a:ext cx="1425701" cy="286803"/>
                          </a:xfrm>
                          <a:prstGeom prst="rect">
                            <a:avLst/>
                          </a:prstGeom>
                        </pic:spPr>
                      </pic:pic>
                    </a:graphicData>
                  </a:graphic>
                </wp:inline>
              </w:drawing>
            </w:r>
          </w:p>
        </w:tc>
        <w:tc>
          <w:tcPr>
            <w:tcW w:w="937" w:type="pct"/>
            <w:vMerge w:val="continue"/>
            <w:vAlign w:val="center"/>
          </w:tcPr>
          <w:p>
            <w:pPr>
              <w:pStyle w:val="15"/>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8"/>
        <w:tblW w:w="5342" w:type="pct"/>
        <w:tblInd w:w="-58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04"/>
        <w:gridCol w:w="2463"/>
        <w:gridCol w:w="3711"/>
        <w:gridCol w:w="17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661" w:type="pct"/>
            <w:shd w:val="clear" w:color="auto" w:fill="F1F1F1" w:themeFill="background1" w:themeFillShade="F2"/>
            <w:vAlign w:val="center"/>
          </w:tcPr>
          <w:p>
            <w:pPr>
              <w:pStyle w:val="15"/>
              <w:ind w:left="0"/>
              <w:jc w:val="center"/>
              <w:rPr>
                <w:rFonts w:ascii="Arial" w:hAnsi="Arial" w:cs="Arial"/>
              </w:rPr>
            </w:pPr>
            <w:r>
              <w:rPr>
                <w:rFonts w:ascii="Arial" w:hAnsi="Arial" w:cs="Arial"/>
              </w:rPr>
              <w:t>4</w:t>
            </w:r>
          </w:p>
        </w:tc>
        <w:tc>
          <w:tcPr>
            <w:tcW w:w="1352" w:type="pct"/>
            <w:shd w:val="clear" w:color="auto" w:fill="F1F1F1" w:themeFill="background1" w:themeFillShade="F2"/>
            <w:vAlign w:val="center"/>
          </w:tcPr>
          <w:p>
            <w:pPr>
              <w:pStyle w:val="15"/>
              <w:ind w:left="0"/>
              <w:rPr>
                <w:rFonts w:ascii="Arial" w:hAnsi="Arial" w:cs="Arial"/>
              </w:rPr>
            </w:pPr>
            <w:r>
              <w:rPr>
                <w:rFonts w:ascii="Arial" w:hAnsi="Arial" w:cs="Arial"/>
              </w:rPr>
              <w:t>Academic Director/ Assistant Dean:</w:t>
            </w:r>
          </w:p>
        </w:tc>
        <w:tc>
          <w:tcPr>
            <w:tcW w:w="2037" w:type="pct"/>
            <w:shd w:val="clear" w:color="auto" w:fill="auto"/>
            <w:vAlign w:val="center"/>
          </w:tcPr>
          <w:p>
            <w:pPr>
              <w:pStyle w:val="15"/>
              <w:ind w:left="0"/>
              <w:rPr>
                <w:rFonts w:ascii="Arial" w:hAnsi="Arial" w:cs="Arial"/>
              </w:rPr>
            </w:pPr>
          </w:p>
        </w:tc>
        <w:tc>
          <w:tcPr>
            <w:tcW w:w="948" w:type="pct"/>
            <w:vMerge w:val="restart"/>
          </w:tcPr>
          <w:p>
            <w:pPr>
              <w:pStyle w:val="15"/>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661" w:type="pct"/>
            <w:shd w:val="clear" w:color="auto" w:fill="F1F1F1" w:themeFill="background1" w:themeFillShade="F2"/>
            <w:vAlign w:val="center"/>
          </w:tcPr>
          <w:p>
            <w:pPr>
              <w:pStyle w:val="15"/>
              <w:ind w:left="0"/>
              <w:jc w:val="center"/>
              <w:rPr>
                <w:rFonts w:ascii="Arial" w:hAnsi="Arial" w:cs="Arial"/>
              </w:rPr>
            </w:pPr>
            <w:r>
              <w:rPr>
                <w:rFonts w:ascii="Arial" w:hAnsi="Arial" w:cs="Arial"/>
              </w:rPr>
              <w:t>5</w:t>
            </w:r>
          </w:p>
        </w:tc>
        <w:tc>
          <w:tcPr>
            <w:tcW w:w="1352" w:type="pct"/>
            <w:shd w:val="clear" w:color="auto" w:fill="F1F1F1" w:themeFill="background1" w:themeFillShade="F2"/>
            <w:vAlign w:val="center"/>
          </w:tcPr>
          <w:p>
            <w:pPr>
              <w:pStyle w:val="15"/>
              <w:ind w:left="0"/>
              <w:rPr>
                <w:rFonts w:ascii="Arial" w:hAnsi="Arial" w:cs="Arial"/>
              </w:rPr>
            </w:pPr>
            <w:r>
              <w:rPr>
                <w:rFonts w:ascii="Arial" w:hAnsi="Arial" w:cs="Arial"/>
              </w:rPr>
              <w:t>Signature:</w:t>
            </w:r>
          </w:p>
        </w:tc>
        <w:tc>
          <w:tcPr>
            <w:tcW w:w="2037" w:type="pct"/>
            <w:shd w:val="clear" w:color="auto" w:fill="auto"/>
            <w:vAlign w:val="center"/>
          </w:tcPr>
          <w:p>
            <w:pPr>
              <w:pStyle w:val="15"/>
              <w:ind w:left="0"/>
              <w:rPr>
                <w:rFonts w:ascii="Arial" w:hAnsi="Arial" w:cs="Arial"/>
              </w:rPr>
            </w:pPr>
          </w:p>
          <w:p>
            <w:pPr>
              <w:pStyle w:val="15"/>
              <w:ind w:left="0"/>
              <w:rPr>
                <w:rFonts w:ascii="Arial" w:hAnsi="Arial" w:cs="Arial"/>
              </w:rPr>
            </w:pPr>
          </w:p>
        </w:tc>
        <w:tc>
          <w:tcPr>
            <w:tcW w:w="948" w:type="pct"/>
            <w:vMerge w:val="continue"/>
            <w:vAlign w:val="center"/>
          </w:tcPr>
          <w:p>
            <w:pPr>
              <w:pStyle w:val="15"/>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9"/>
        <w:tblW w:w="10159" w:type="dxa"/>
        <w:tblInd w:w="-55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33"/>
        <w:gridCol w:w="9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9" w:hRule="atLeast"/>
        </w:trPr>
        <w:tc>
          <w:tcPr>
            <w:tcW w:w="1133"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pPr>
                  <w:widowControl w:val="0"/>
                  <w:jc w:val="center"/>
                  <w:rPr>
                    <w:rFonts w:ascii="Arial" w:hAnsi="Arial" w:eastAsia="MS Gothic" w:cs="Arial"/>
                    <w:sz w:val="22"/>
                    <w:szCs w:val="22"/>
                  </w:rPr>
                </w:pPr>
                <w:r>
                  <w:rPr>
                    <w:rFonts w:ascii="MS Gothic" w:hAnsi="MS Gothic" w:eastAsia="MS Gothic" w:cs="Arial"/>
                    <w:lang w:eastAsia="en-US"/>
                  </w:rPr>
                  <w:t>☒</w:t>
                </w:r>
              </w:p>
            </w:sdtContent>
          </w:sdt>
        </w:tc>
        <w:tc>
          <w:tcPr>
            <w:tcW w:w="9026" w:type="dxa"/>
            <w:vAlign w:val="center"/>
          </w:tcPr>
          <w:p>
            <w:pPr>
              <w:widowControl w:val="0"/>
              <w:jc w:val="both"/>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8" w:hRule="atLeast"/>
        </w:trPr>
        <w:tc>
          <w:tcPr>
            <w:tcW w:w="1133"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pPr>
                  <w:widowControl w:val="0"/>
                  <w:jc w:val="center"/>
                  <w:rPr>
                    <w:rFonts w:ascii="Arial" w:hAnsi="Arial" w:eastAsia="MS Gothic" w:cs="Arial"/>
                    <w:sz w:val="22"/>
                    <w:szCs w:val="22"/>
                  </w:rPr>
                </w:pPr>
                <w:r>
                  <w:rPr>
                    <w:rFonts w:ascii="MS Gothic" w:hAnsi="MS Gothic" w:eastAsia="MS Gothic" w:cs="Arial"/>
                    <w:lang w:eastAsia="en-US"/>
                  </w:rPr>
                  <w:t>☒</w:t>
                </w:r>
              </w:p>
            </w:sdtContent>
          </w:sdt>
        </w:tc>
        <w:tc>
          <w:tcPr>
            <w:tcW w:w="9026" w:type="dxa"/>
            <w:vAlign w:val="center"/>
          </w:tcPr>
          <w:p>
            <w:pPr>
              <w:widowControl w:val="0"/>
              <w:jc w:val="both"/>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5" w:hRule="atLeast"/>
        </w:trPr>
        <w:tc>
          <w:tcPr>
            <w:tcW w:w="1133"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pPr>
                  <w:widowControl w:val="0"/>
                  <w:jc w:val="center"/>
                  <w:rPr>
                    <w:rFonts w:ascii="Arial" w:hAnsi="Arial" w:cs="Arial"/>
                    <w:sz w:val="22"/>
                    <w:szCs w:val="22"/>
                  </w:rPr>
                </w:pPr>
                <w:r>
                  <w:rPr>
                    <w:rFonts w:ascii="MS Gothic" w:hAnsi="MS Gothic" w:eastAsia="MS Gothic" w:cs="Arial"/>
                    <w:lang w:eastAsia="en-US"/>
                  </w:rPr>
                  <w:t>☒</w:t>
                </w:r>
              </w:p>
            </w:sdtContent>
          </w:sdt>
        </w:tc>
        <w:tc>
          <w:tcPr>
            <w:tcW w:w="9026" w:type="dxa"/>
            <w:vAlign w:val="center"/>
          </w:tcPr>
          <w:p>
            <w:pPr>
              <w:widowControl w:val="0"/>
              <w:jc w:val="both"/>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0" w:hRule="atLeast"/>
        </w:trPr>
        <w:tc>
          <w:tcPr>
            <w:tcW w:w="1133"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pPr>
                  <w:widowControl w:val="0"/>
                  <w:jc w:val="center"/>
                  <w:rPr>
                    <w:rFonts w:ascii="Arial" w:hAnsi="Arial" w:cs="Arial"/>
                    <w:sz w:val="22"/>
                    <w:szCs w:val="22"/>
                  </w:rPr>
                </w:pPr>
                <w:r>
                  <w:rPr>
                    <w:rFonts w:hint="eastAsia" w:ascii="MS Gothic" w:hAnsi="MS Gothic" w:eastAsia="MS Gothic" w:cs="Arial"/>
                  </w:rPr>
                  <w:t>☐</w:t>
                </w:r>
              </w:p>
            </w:sdtContent>
          </w:sdt>
        </w:tc>
        <w:tc>
          <w:tcPr>
            <w:tcW w:w="9026" w:type="dxa"/>
            <w:vAlign w:val="center"/>
          </w:tcPr>
          <w:p>
            <w:pPr>
              <w:widowControl w:val="0"/>
              <w:jc w:val="both"/>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7" w:hRule="atLeast"/>
        </w:trPr>
        <w:tc>
          <w:tcPr>
            <w:tcW w:w="1133"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pPr>
                  <w:widowControl w:val="0"/>
                  <w:jc w:val="center"/>
                  <w:rPr>
                    <w:rFonts w:ascii="Arial" w:hAnsi="Arial" w:cs="Arial"/>
                  </w:rPr>
                </w:pPr>
                <w:r>
                  <w:rPr>
                    <w:rFonts w:hint="eastAsia" w:ascii="MS Gothic" w:hAnsi="MS Gothic" w:eastAsia="MS Gothic" w:cs="Arial"/>
                  </w:rPr>
                  <w:t>☐</w:t>
                </w:r>
              </w:p>
            </w:sdtContent>
          </w:sdt>
        </w:tc>
        <w:tc>
          <w:tcPr>
            <w:tcW w:w="9026" w:type="dxa"/>
            <w:vAlign w:val="center"/>
          </w:tcPr>
          <w:p>
            <w:pPr>
              <w:widowControl w:val="0"/>
              <w:jc w:val="both"/>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0" w:hRule="atLeast"/>
        </w:trPr>
        <w:tc>
          <w:tcPr>
            <w:tcW w:w="1133"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pPr>
                  <w:widowControl w:val="0"/>
                  <w:jc w:val="center"/>
                  <w:rPr>
                    <w:rFonts w:ascii="Arial" w:hAnsi="Arial" w:cs="Arial"/>
                    <w:sz w:val="22"/>
                    <w:szCs w:val="22"/>
                  </w:rPr>
                </w:pPr>
                <w:r>
                  <w:rPr>
                    <w:rFonts w:ascii="MS Gothic" w:hAnsi="MS Gothic" w:eastAsia="MS Gothic" w:cs="Arial"/>
                    <w:lang w:eastAsia="en-US"/>
                  </w:rPr>
                  <w:t>☒</w:t>
                </w:r>
              </w:p>
            </w:sdtContent>
          </w:sdt>
        </w:tc>
        <w:tc>
          <w:tcPr>
            <w:tcW w:w="9026" w:type="dxa"/>
            <w:vAlign w:val="center"/>
          </w:tcPr>
          <w:p>
            <w:pPr>
              <w:widowControl w:val="0"/>
              <w:jc w:val="both"/>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6" w:hRule="atLeast"/>
        </w:trPr>
        <w:tc>
          <w:tcPr>
            <w:tcW w:w="1133"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pPr>
                  <w:widowControl w:val="0"/>
                  <w:jc w:val="center"/>
                  <w:rPr>
                    <w:rFonts w:ascii="Arial" w:hAnsi="Arial" w:cs="Arial"/>
                    <w:sz w:val="22"/>
                    <w:szCs w:val="22"/>
                  </w:rPr>
                </w:pPr>
                <w:r>
                  <w:rPr>
                    <w:rFonts w:ascii="MS Gothic" w:hAnsi="MS Gothic" w:eastAsia="MS Gothic" w:cs="Arial"/>
                    <w:lang w:eastAsia="en-US"/>
                  </w:rPr>
                  <w:t>☒</w:t>
                </w:r>
              </w:p>
            </w:sdtContent>
          </w:sdt>
        </w:tc>
        <w:tc>
          <w:tcPr>
            <w:tcW w:w="9026" w:type="dxa"/>
            <w:vAlign w:val="center"/>
          </w:tcPr>
          <w:p>
            <w:pPr>
              <w:widowControl w:val="0"/>
              <w:jc w:val="both"/>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8"/>
        <w:tblW w:w="9829" w:type="dxa"/>
        <w:tblInd w:w="-56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82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13" w:hRule="atLeast"/>
        </w:trPr>
        <w:tc>
          <w:tcPr>
            <w:tcW w:w="9829"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1"/>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8" w:hRule="atLeast"/>
        </w:trPr>
        <w:tc>
          <w:tcPr>
            <w:tcW w:w="9829"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r>
        <w:fldChar w:fldCharType="begin"/>
      </w:r>
      <w:r>
        <w:instrText xml:space="preserve"> HYPERLINK "https://www.uwtsd.ac.uk/academic-office/appendices-and-forms/" </w:instrText>
      </w:r>
      <w:r>
        <w:fldChar w:fldCharType="separate"/>
      </w:r>
      <w:r>
        <w:rPr>
          <w:rStyle w:val="14"/>
          <w:rFonts w:ascii="Arial" w:hAnsi="Arial" w:cs="Arial"/>
          <w:sz w:val="22"/>
          <w:szCs w:val="22"/>
        </w:rPr>
        <w:t>https://www.uwtsd.ac.uk/academic-office/appendices-and-forms/</w:t>
      </w:r>
      <w:r>
        <w:rPr>
          <w:rStyle w:val="14"/>
          <w:rFonts w:ascii="Arial" w:hAnsi="Arial" w:cs="Arial"/>
          <w:sz w:val="22"/>
          <w:szCs w:val="22"/>
        </w:rPr>
        <w:fldChar w:fldCharType="end"/>
      </w:r>
    </w:p>
    <w:p>
      <w:pPr>
        <w:rPr>
          <w:rFonts w:eastAsia="宋体"/>
          <w:lang w:eastAsia="zh-CN"/>
        </w:rPr>
      </w:pPr>
    </w:p>
    <w:p>
      <w:pPr>
        <w:rPr>
          <w:rFonts w:eastAsia="宋体"/>
          <w:lang w:eastAsia="zh-CN"/>
        </w:rPr>
      </w:pPr>
    </w:p>
    <w:p>
      <w:pPr>
        <w:rPr>
          <w:rFonts w:eastAsia="宋体"/>
          <w:lang w:eastAsia="zh-CN"/>
        </w:rPr>
      </w:pPr>
    </w:p>
    <w:p>
      <w:pPr>
        <w:rPr>
          <w:rFonts w:eastAsia="宋体"/>
          <w:lang w:eastAsia="zh-CN"/>
        </w:rPr>
      </w:pPr>
    </w:p>
    <w:p>
      <w:pPr>
        <w:rPr>
          <w:rFonts w:eastAsia="宋体"/>
          <w:lang w:eastAsia="zh-CN"/>
        </w:rPr>
      </w:pPr>
    </w:p>
    <w:p>
      <w:pPr>
        <w:rPr>
          <w:rFonts w:eastAsia="宋体"/>
          <w:lang w:eastAsia="zh-CN"/>
        </w:rPr>
      </w:pPr>
    </w:p>
    <w:p>
      <w:pPr>
        <w:rPr>
          <w:rFonts w:eastAsia="宋体"/>
          <w:lang w:eastAsia="zh-CN"/>
        </w:rPr>
      </w:pPr>
    </w:p>
    <w:p>
      <w:pPr>
        <w:rPr>
          <w:rFonts w:eastAsia="宋体"/>
          <w:lang w:eastAsia="zh-CN"/>
        </w:rPr>
      </w:pPr>
    </w:p>
    <w:p>
      <w:pPr>
        <w:rPr>
          <w:rFonts w:eastAsia="宋体"/>
          <w:lang w:eastAsia="zh-CN"/>
        </w:rPr>
      </w:pPr>
    </w:p>
    <w:p>
      <w:pPr>
        <w:rPr>
          <w:rFonts w:eastAsia="宋体"/>
          <w:lang w:eastAsia="zh-CN"/>
        </w:rPr>
      </w:pPr>
    </w:p>
    <w:p>
      <w:pPr>
        <w:jc w:val="both"/>
        <w:rPr>
          <w:rFonts w:eastAsia="宋体"/>
        </w:rPr>
      </w:pPr>
    </w:p>
    <w:p>
      <w:pPr>
        <w:jc w:val="both"/>
        <w:rPr>
          <w:rFonts w:eastAsia="宋体"/>
          <w:b/>
          <w:lang w:eastAsia="zh-CN"/>
        </w:rPr>
      </w:pPr>
      <w:r>
        <w:rPr>
          <w:rFonts w:eastAsia="宋体"/>
          <w:b/>
          <w:lang w:eastAsia="zh-CN"/>
        </w:rPr>
        <w:t>8.2.  Appendices 2 Interview Questions</w:t>
      </w:r>
    </w:p>
    <w:p>
      <w:pPr>
        <w:jc w:val="both"/>
        <w:rPr>
          <w:rFonts w:eastAsia="宋体"/>
          <w:b/>
          <w:lang w:eastAsia="zh-CN"/>
        </w:rPr>
      </w:pPr>
    </w:p>
    <w:p>
      <w:pPr>
        <w:numPr>
          <w:ilvl w:val="0"/>
          <w:numId w:val="4"/>
        </w:numPr>
        <w:jc w:val="both"/>
        <w:rPr>
          <w:rFonts w:eastAsia="宋体"/>
          <w:bCs/>
          <w:lang w:eastAsia="zh-CN"/>
        </w:rPr>
      </w:pPr>
      <w:r>
        <w:rPr>
          <w:rFonts w:eastAsia="宋体"/>
          <w:bCs/>
          <w:lang w:eastAsia="zh-CN"/>
        </w:rPr>
        <w:t>Why do you support the ‘double reduction’ policy?</w:t>
      </w:r>
    </w:p>
    <w:p>
      <w:pPr>
        <w:numPr>
          <w:ilvl w:val="0"/>
          <w:numId w:val="4"/>
        </w:numPr>
        <w:jc w:val="both"/>
        <w:rPr>
          <w:rFonts w:eastAsia="宋体"/>
          <w:bCs/>
          <w:lang w:eastAsia="zh-CN"/>
        </w:rPr>
      </w:pPr>
      <w:r>
        <w:rPr>
          <w:rFonts w:eastAsia="宋体"/>
          <w:bCs/>
          <w:lang w:eastAsia="zh-CN"/>
        </w:rPr>
        <w:t>How do you understand the ‘double reduction’ policy?</w:t>
      </w:r>
    </w:p>
    <w:p>
      <w:pPr>
        <w:numPr>
          <w:ilvl w:val="0"/>
          <w:numId w:val="4"/>
        </w:numPr>
        <w:jc w:val="both"/>
        <w:rPr>
          <w:rFonts w:eastAsia="宋体"/>
          <w:bCs/>
          <w:lang w:eastAsia="zh-CN"/>
        </w:rPr>
      </w:pPr>
      <w:r>
        <w:rPr>
          <w:rFonts w:eastAsia="宋体"/>
          <w:bCs/>
          <w:lang w:eastAsia="zh-CN"/>
        </w:rPr>
        <w:t>Do you have any plans for your future career?</w:t>
      </w:r>
    </w:p>
    <w:p>
      <w:pPr>
        <w:spacing w:line="480" w:lineRule="auto"/>
        <w:jc w:val="both"/>
        <w:outlineLvl w:val="1"/>
        <w:rPr>
          <w:rFonts w:eastAsia="宋体"/>
          <w:bCs/>
          <w:lang w:val="en-US" w:eastAsia="zh-CN"/>
        </w:rPr>
      </w:pPr>
    </w:p>
    <w:p>
      <w:pPr>
        <w:spacing w:line="480" w:lineRule="auto"/>
        <w:jc w:val="both"/>
        <w:outlineLvl w:val="1"/>
        <w:rPr>
          <w:rFonts w:eastAsia="宋体"/>
          <w:bCs/>
          <w:lang w:val="en-US" w:eastAsia="zh-CN"/>
        </w:rPr>
      </w:pPr>
    </w:p>
    <w:p>
      <w:pPr>
        <w:spacing w:line="480" w:lineRule="auto"/>
        <w:jc w:val="both"/>
        <w:outlineLvl w:val="1"/>
        <w:rPr>
          <w:rFonts w:eastAsia="宋体"/>
          <w:bCs/>
          <w:lang w:val="en-US" w:eastAsia="zh-CN"/>
        </w:rPr>
      </w:pPr>
    </w:p>
    <w:p>
      <w:pPr>
        <w:spacing w:line="480" w:lineRule="auto"/>
        <w:jc w:val="both"/>
        <w:outlineLvl w:val="1"/>
        <w:rPr>
          <w:rFonts w:eastAsia="宋体"/>
          <w:bCs/>
          <w:lang w:val="en-US" w:eastAsia="zh-CN"/>
        </w:rPr>
      </w:pPr>
    </w:p>
    <w:p>
      <w:pPr>
        <w:spacing w:line="480" w:lineRule="auto"/>
        <w:jc w:val="both"/>
        <w:outlineLvl w:val="1"/>
        <w:rPr>
          <w:rFonts w:eastAsia="宋体"/>
          <w:bCs/>
          <w:lang w:val="en-US" w:eastAsia="zh-CN"/>
        </w:rPr>
      </w:pPr>
    </w:p>
    <w:p>
      <w:pPr>
        <w:spacing w:line="480" w:lineRule="auto"/>
        <w:outlineLvl w:val="1"/>
        <w:rPr>
          <w:b/>
        </w:rPr>
      </w:pPr>
    </w:p>
    <w:p>
      <w:pPr>
        <w:spacing w:line="480" w:lineRule="auto"/>
        <w:jc w:val="both"/>
        <w:outlineLvl w:val="1"/>
        <w:rPr>
          <w:rFonts w:eastAsia="宋体"/>
          <w:bCs/>
          <w:lang w:val="en-US" w:eastAsia="zh-CN"/>
        </w:rPr>
      </w:pPr>
    </w:p>
    <w:p>
      <w:pPr>
        <w:spacing w:line="480" w:lineRule="auto"/>
        <w:outlineLvl w:val="1"/>
        <w:rPr>
          <w:b/>
        </w:rPr>
      </w:pPr>
    </w:p>
    <w:p>
      <w:pPr>
        <w:spacing w:line="480" w:lineRule="auto"/>
        <w:outlineLvl w:val="0"/>
        <w:rPr>
          <w:bCs/>
          <w:sz w:val="28"/>
          <w:szCs w:val="28"/>
        </w:rPr>
      </w:pPr>
    </w:p>
    <w:p>
      <w:pPr>
        <w:spacing w:line="480" w:lineRule="auto"/>
        <w:jc w:val="both"/>
        <w:rPr>
          <w:rFonts w:eastAsia="宋体"/>
          <w:bCs/>
          <w:sz w:val="28"/>
          <w:szCs w:val="28"/>
          <w:lang w:val="en-US" w:eastAsia="zh-CN"/>
        </w:rPr>
      </w:pPr>
    </w:p>
    <w:p>
      <w:pPr>
        <w:spacing w:line="480" w:lineRule="auto"/>
        <w:jc w:val="both"/>
        <w:rPr>
          <w:rFonts w:eastAsia="宋体"/>
          <w:b/>
          <w:lang w:val="en-US" w:eastAsia="zh-CN"/>
        </w:rPr>
      </w:pPr>
    </w:p>
    <w:p>
      <w:pPr>
        <w:spacing w:line="480" w:lineRule="auto"/>
        <w:jc w:val="both"/>
        <w:rPr>
          <w:rFonts w:eastAsia="宋体"/>
          <w:bCs/>
          <w:lang w:val="en-US" w:eastAsia="zh-CN"/>
        </w:rPr>
      </w:pPr>
    </w:p>
    <w:p>
      <w:pPr>
        <w:spacing w:line="480" w:lineRule="auto"/>
        <w:jc w:val="both"/>
        <w:rPr>
          <w:rFonts w:eastAsia="宋体"/>
          <w:bCs/>
          <w:lang w:val="en-US" w:eastAsia="zh-CN"/>
        </w:rPr>
      </w:pPr>
    </w:p>
    <w:p>
      <w:pPr>
        <w:spacing w:line="480" w:lineRule="auto"/>
        <w:rPr>
          <w:lang w:val="en-US" w:eastAsia="zh-CN"/>
        </w:rPr>
      </w:pPr>
    </w:p>
    <w:p>
      <w:pPr>
        <w:spacing w:line="480" w:lineRule="auto"/>
        <w:rPr>
          <w:rFonts w:eastAsia="宋体"/>
          <w:iCs/>
          <w:lang w:val="en-US" w:eastAsia="zh-CN"/>
        </w:rPr>
      </w:pPr>
    </w:p>
    <w:p>
      <w:pPr>
        <w:spacing w:line="480" w:lineRule="auto"/>
        <w:rPr>
          <w:rFonts w:eastAsia="宋体"/>
          <w:iCs/>
          <w:lang w:val="en-US" w:eastAsia="zh-CN"/>
        </w:rPr>
      </w:pP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monospace">
    <w:altName w:val="Segoe Print"/>
    <w:panose1 w:val="00000000000000000000"/>
    <w:charset w:val="00"/>
    <w:family w:val="auto"/>
    <w:pitch w:val="default"/>
    <w:sig w:usb0="00000000" w:usb1="00000000" w:usb2="00000000" w:usb3="00000000" w:csb0="00000000" w:csb1="00000000"/>
  </w:font>
  <w:font w:name="Helvetica">
    <w:altName w:val="Arial"/>
    <w:panose1 w:val="020B0604020202020204"/>
    <w:charset w:val="00"/>
    <w:family w:val="auto"/>
    <w:pitch w:val="default"/>
    <w:sig w:usb0="00000000" w:usb1="00000000" w:usb2="00000000" w:usb3="00000000" w:csb0="00000000"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framePr w:wrap="around" w:vAnchor="text" w:hAnchor="margin" w:xAlign="center" w:y="1"/>
      <w:rPr>
        <w:rStyle w:val="12"/>
      </w:rPr>
    </w:pPr>
    <w:r>
      <w:rPr>
        <w:rStyle w:val="12"/>
      </w:rPr>
      <w:fldChar w:fldCharType="begin"/>
    </w:r>
    <w:r>
      <w:rPr>
        <w:rStyle w:val="12"/>
      </w:rPr>
      <w:instrText xml:space="preserve">PAGE  </w:instrText>
    </w:r>
    <w:r>
      <w:rPr>
        <w:rStyle w:val="12"/>
      </w:rPr>
      <w:fldChar w:fldCharType="separate"/>
    </w:r>
    <w:r>
      <w:rPr>
        <w:rStyle w:val="12"/>
      </w:rPr>
      <w:t>10</w:t>
    </w:r>
    <w:r>
      <w:rPr>
        <w:rStyle w:val="12"/>
      </w:rPr>
      <w:fldChar w:fldCharType="end"/>
    </w:r>
  </w:p>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framePr w:wrap="around" w:vAnchor="text" w:hAnchor="margin" w:xAlign="center" w:y="1"/>
      <w:rPr>
        <w:rStyle w:val="12"/>
      </w:rPr>
    </w:pPr>
    <w:r>
      <w:rPr>
        <w:rStyle w:val="12"/>
      </w:rPr>
      <w:fldChar w:fldCharType="begin"/>
    </w:r>
    <w:r>
      <w:rPr>
        <w:rStyle w:val="12"/>
      </w:rPr>
      <w:instrText xml:space="preserve">PAGE  </w:instrText>
    </w:r>
    <w:r>
      <w:rPr>
        <w:rStyle w:val="12"/>
      </w:rPr>
      <w:fldChar w:fldCharType="end"/>
    </w:r>
  </w:p>
  <w:p>
    <w:pPr>
      <w:pStyle w:val="3"/>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AA92FDE"/>
    <w:multiLevelType w:val="singleLevel"/>
    <w:tmpl w:val="FAA92FDE"/>
    <w:lvl w:ilvl="0" w:tentative="0">
      <w:start w:val="1"/>
      <w:numFmt w:val="decimal"/>
      <w:suff w:val="space"/>
      <w:lvlText w:val="%1."/>
      <w:lvlJc w:val="left"/>
    </w:lvl>
  </w:abstractNum>
  <w:abstractNum w:abstractNumId="1">
    <w:nsid w:val="61F3144D"/>
    <w:multiLevelType w:val="singleLevel"/>
    <w:tmpl w:val="61F3144D"/>
    <w:lvl w:ilvl="0" w:tentative="0">
      <w:start w:val="1"/>
      <w:numFmt w:val="decimal"/>
      <w:suff w:val="space"/>
      <w:lvlText w:val="%1."/>
      <w:lvlJc w:val="left"/>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B6FF227"/>
    <w:multiLevelType w:val="multilevel"/>
    <w:tmpl w:val="7B6FF227"/>
    <w:lvl w:ilvl="0" w:tentative="0">
      <w:start w:val="2"/>
      <w:numFmt w:val="decimal"/>
      <w:suff w:val="space"/>
      <w:lvlText w:val="%1."/>
      <w:lvlJc w:val="left"/>
    </w:lvl>
    <w:lvl w:ilvl="1" w:tentative="0">
      <w:start w:val="1"/>
      <w:numFmt w:val="decimal"/>
      <w:suff w:val="space"/>
      <w:lvlText w:val="%1.%2."/>
      <w:lvlJc w:val="left"/>
      <w:pPr>
        <w:ind w:left="0" w:firstLine="0"/>
      </w:pPr>
      <w:rPr>
        <w:rFonts w:hint="default"/>
        <w:b/>
        <w:bCs/>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4A25A2"/>
    <w:rsid w:val="0000356B"/>
    <w:rsid w:val="00096AC6"/>
    <w:rsid w:val="001E5FFF"/>
    <w:rsid w:val="001F21BE"/>
    <w:rsid w:val="003D41D2"/>
    <w:rsid w:val="009128B4"/>
    <w:rsid w:val="00984D53"/>
    <w:rsid w:val="00AA57AD"/>
    <w:rsid w:val="00CF0DA2"/>
    <w:rsid w:val="00FF05B9"/>
    <w:rsid w:val="016A36D6"/>
    <w:rsid w:val="04FD2D18"/>
    <w:rsid w:val="076F4C42"/>
    <w:rsid w:val="0F2F0F5A"/>
    <w:rsid w:val="1198065C"/>
    <w:rsid w:val="12ED346D"/>
    <w:rsid w:val="176A1782"/>
    <w:rsid w:val="20A95A4F"/>
    <w:rsid w:val="22B93E65"/>
    <w:rsid w:val="2423794D"/>
    <w:rsid w:val="24EF2DAA"/>
    <w:rsid w:val="25637CD8"/>
    <w:rsid w:val="264B6E53"/>
    <w:rsid w:val="28F77455"/>
    <w:rsid w:val="38C251BC"/>
    <w:rsid w:val="3C4E508A"/>
    <w:rsid w:val="3CDC20B8"/>
    <w:rsid w:val="3FB42B51"/>
    <w:rsid w:val="454A25A2"/>
    <w:rsid w:val="46514308"/>
    <w:rsid w:val="46D83272"/>
    <w:rsid w:val="57327A6A"/>
    <w:rsid w:val="5B7F4DAD"/>
    <w:rsid w:val="5B8B14F1"/>
    <w:rsid w:val="62384F8B"/>
    <w:rsid w:val="633E51F2"/>
    <w:rsid w:val="66A510F2"/>
    <w:rsid w:val="67C81574"/>
    <w:rsid w:val="6C1024B1"/>
    <w:rsid w:val="6D5D712A"/>
    <w:rsid w:val="72F37114"/>
    <w:rsid w:val="753813B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99"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qFormat="1"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GB" w:bidi="ar-SA"/>
    </w:rPr>
  </w:style>
  <w:style w:type="paragraph" w:styleId="2">
    <w:name w:val="heading 1"/>
    <w:basedOn w:val="1"/>
    <w:next w:val="1"/>
    <w:qFormat/>
    <w:uiPriority w:val="99"/>
    <w:pPr>
      <w:keepNext/>
      <w:tabs>
        <w:tab w:val="left" w:pos="5103"/>
      </w:tabs>
      <w:jc w:val="center"/>
      <w:outlineLvl w:val="0"/>
    </w:pPr>
    <w:rPr>
      <w:b/>
      <w:bCs/>
      <w:sz w:val="22"/>
      <w:szCs w:val="22"/>
    </w:rPr>
  </w:style>
  <w:style w:type="character" w:default="1" w:styleId="10">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3">
    <w:name w:val="footer"/>
    <w:basedOn w:val="1"/>
    <w:qFormat/>
    <w:uiPriority w:val="0"/>
    <w:pPr>
      <w:tabs>
        <w:tab w:val="center" w:pos="4153"/>
        <w:tab w:val="right" w:pos="8306"/>
      </w:tabs>
    </w:pPr>
  </w:style>
  <w:style w:type="paragraph" w:styleId="4">
    <w:name w:val="header"/>
    <w:basedOn w:val="1"/>
    <w:semiHidden/>
    <w:qFormat/>
    <w:uiPriority w:val="99"/>
    <w:pPr>
      <w:tabs>
        <w:tab w:val="center" w:pos="4513"/>
        <w:tab w:val="right" w:pos="9026"/>
      </w:tabs>
    </w:pPr>
  </w:style>
  <w:style w:type="paragraph" w:styleId="5">
    <w:name w:val="toc 1"/>
    <w:basedOn w:val="1"/>
    <w:next w:val="1"/>
    <w:qFormat/>
    <w:uiPriority w:val="39"/>
  </w:style>
  <w:style w:type="paragraph" w:styleId="6">
    <w:name w:val="toc 2"/>
    <w:basedOn w:val="1"/>
    <w:next w:val="1"/>
    <w:qFormat/>
    <w:uiPriority w:val="39"/>
    <w:pPr>
      <w:ind w:left="240"/>
    </w:pPr>
  </w:style>
  <w:style w:type="paragraph" w:styleId="7">
    <w:name w:val="Normal (Web)"/>
    <w:basedOn w:val="1"/>
    <w:qFormat/>
    <w:uiPriority w:val="99"/>
    <w:pPr>
      <w:spacing w:before="100" w:beforeAutospacing="1" w:after="100" w:afterAutospacing="1"/>
    </w:p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Strong"/>
    <w:qFormat/>
    <w:uiPriority w:val="22"/>
    <w:rPr>
      <w:b/>
      <w:bCs/>
    </w:rPr>
  </w:style>
  <w:style w:type="character" w:styleId="12">
    <w:name w:val="page number"/>
    <w:basedOn w:val="10"/>
    <w:qFormat/>
    <w:uiPriority w:val="0"/>
  </w:style>
  <w:style w:type="character" w:styleId="13">
    <w:name w:val="Emphasis"/>
    <w:basedOn w:val="10"/>
    <w:qFormat/>
    <w:uiPriority w:val="0"/>
    <w:rPr>
      <w:i/>
    </w:rPr>
  </w:style>
  <w:style w:type="character" w:styleId="14">
    <w:name w:val="Hyperlink"/>
    <w:basedOn w:val="10"/>
    <w:qFormat/>
    <w:uiPriority w:val="0"/>
    <w:rPr>
      <w:color w:val="0000FF"/>
      <w:u w:val="single"/>
    </w:rPr>
  </w:style>
  <w:style w:type="paragraph" w:styleId="15">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97</Pages>
  <Words>22578</Words>
  <Characters>128701</Characters>
  <Lines>1072</Lines>
  <Paragraphs>301</Paragraphs>
  <TotalTime>17</TotalTime>
  <ScaleCrop>false</ScaleCrop>
  <LinksUpToDate>false</LinksUpToDate>
  <CharactersWithSpaces>150978</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2022-03-24T10:42:00Z</dcterms:created>
  <dc:creator>西周</dc:creator>
  <cp:lastModifiedBy>西周</cp:lastModifiedBy>
  <dcterms:modified xsi:type="dcterms:W3CDTF">2022-03-25T04:06:09Z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B9954DCF11244F7B9AB3D164F37C9C8A</vt:lpwstr>
  </property>
</Properties>
</file>