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CC569" w14:textId="77777777" w:rsidR="00F56822" w:rsidRPr="00F56822" w:rsidRDefault="00F56822" w:rsidP="00F56822">
      <w:pPr>
        <w:spacing w:line="360" w:lineRule="auto"/>
        <w:jc w:val="both"/>
        <w:rPr>
          <w:rFonts w:ascii="Times New Roman" w:hAnsi="Times New Roman" w:cs="Times New Roman"/>
          <w:sz w:val="24"/>
          <w:szCs w:val="24"/>
        </w:rPr>
      </w:pPr>
    </w:p>
    <w:p w14:paraId="083E4782" w14:textId="77777777" w:rsidR="00F56822" w:rsidRPr="00F56822" w:rsidRDefault="00F56822" w:rsidP="00F56822">
      <w:pPr>
        <w:spacing w:line="360" w:lineRule="auto"/>
        <w:jc w:val="both"/>
        <w:rPr>
          <w:rFonts w:ascii="Times New Roman" w:hAnsi="Times New Roman" w:cs="Times New Roman"/>
          <w:sz w:val="24"/>
          <w:szCs w:val="24"/>
        </w:rPr>
      </w:pPr>
    </w:p>
    <w:p w14:paraId="5849EB17" w14:textId="77777777" w:rsidR="00F56822"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                       </w:t>
      </w:r>
    </w:p>
    <w:p w14:paraId="26CCB948" w14:textId="77777777" w:rsidR="00F56822" w:rsidRPr="00F56822" w:rsidRDefault="00F56822" w:rsidP="00F56822">
      <w:pPr>
        <w:spacing w:line="360" w:lineRule="auto"/>
        <w:jc w:val="both"/>
        <w:rPr>
          <w:rFonts w:ascii="Times New Roman" w:hAnsi="Times New Roman" w:cs="Times New Roman"/>
          <w:sz w:val="24"/>
          <w:szCs w:val="24"/>
        </w:rPr>
      </w:pPr>
    </w:p>
    <w:p w14:paraId="16ECD687" w14:textId="77777777" w:rsidR="00F56822" w:rsidRPr="00F56822" w:rsidRDefault="00F56822" w:rsidP="00F56822">
      <w:pPr>
        <w:spacing w:line="360" w:lineRule="auto"/>
        <w:jc w:val="both"/>
        <w:rPr>
          <w:rFonts w:ascii="Times New Roman" w:hAnsi="Times New Roman" w:cs="Times New Roman"/>
          <w:sz w:val="24"/>
          <w:szCs w:val="24"/>
        </w:rPr>
      </w:pPr>
    </w:p>
    <w:p w14:paraId="16EEA494" w14:textId="77777777" w:rsidR="00F56822" w:rsidRPr="00F56822" w:rsidRDefault="00F56822" w:rsidP="00F56822">
      <w:pPr>
        <w:spacing w:line="360" w:lineRule="auto"/>
        <w:jc w:val="both"/>
        <w:rPr>
          <w:rFonts w:ascii="Times New Roman" w:hAnsi="Times New Roman" w:cs="Times New Roman"/>
          <w:sz w:val="24"/>
          <w:szCs w:val="24"/>
        </w:rPr>
      </w:pPr>
    </w:p>
    <w:p w14:paraId="5C2C89B2" w14:textId="77777777" w:rsidR="00F56822" w:rsidRPr="00F56822" w:rsidRDefault="00F56822" w:rsidP="00F56822">
      <w:pPr>
        <w:spacing w:line="360" w:lineRule="auto"/>
        <w:jc w:val="both"/>
        <w:rPr>
          <w:rFonts w:ascii="Times New Roman" w:hAnsi="Times New Roman" w:cs="Times New Roman"/>
          <w:sz w:val="24"/>
          <w:szCs w:val="24"/>
        </w:rPr>
      </w:pPr>
    </w:p>
    <w:p w14:paraId="33AB59E4" w14:textId="77777777" w:rsidR="00F56822" w:rsidRPr="00F56822" w:rsidRDefault="00F56822" w:rsidP="00F56822">
      <w:pPr>
        <w:spacing w:line="360" w:lineRule="auto"/>
        <w:jc w:val="both"/>
        <w:rPr>
          <w:rFonts w:ascii="Times New Roman" w:hAnsi="Times New Roman" w:cs="Times New Roman"/>
          <w:sz w:val="24"/>
          <w:szCs w:val="24"/>
        </w:rPr>
      </w:pPr>
    </w:p>
    <w:p w14:paraId="4FA44CB4" w14:textId="71759495" w:rsidR="00F56822" w:rsidRDefault="00CB7759" w:rsidP="00CB7759">
      <w:pPr>
        <w:spacing w:line="360" w:lineRule="auto"/>
        <w:jc w:val="center"/>
        <w:rPr>
          <w:rFonts w:ascii="Times New Roman" w:hAnsi="Times New Roman" w:cs="Times New Roman"/>
          <w:b/>
          <w:sz w:val="40"/>
          <w:szCs w:val="24"/>
        </w:rPr>
      </w:pPr>
      <w:r w:rsidRPr="00CB7759">
        <w:rPr>
          <w:rFonts w:ascii="Times New Roman" w:hAnsi="Times New Roman" w:cs="Times New Roman"/>
          <w:b/>
          <w:sz w:val="40"/>
          <w:szCs w:val="24"/>
        </w:rPr>
        <w:t>Accounting Fundamentals</w:t>
      </w:r>
    </w:p>
    <w:p w14:paraId="79441EA8" w14:textId="31D933FE" w:rsidR="007968F7" w:rsidRDefault="007968F7" w:rsidP="00CB7759">
      <w:pPr>
        <w:spacing w:line="360" w:lineRule="auto"/>
        <w:jc w:val="center"/>
        <w:rPr>
          <w:rFonts w:ascii="Times New Roman" w:hAnsi="Times New Roman" w:cs="Times New Roman"/>
          <w:b/>
          <w:sz w:val="40"/>
          <w:szCs w:val="24"/>
        </w:rPr>
      </w:pPr>
      <w:r>
        <w:rPr>
          <w:rFonts w:ascii="Times New Roman" w:hAnsi="Times New Roman" w:cs="Times New Roman"/>
          <w:b/>
          <w:sz w:val="40"/>
          <w:szCs w:val="24"/>
        </w:rPr>
        <w:t>Name: Madalina-Emilia Stan</w:t>
      </w:r>
    </w:p>
    <w:p w14:paraId="74AC577C" w14:textId="4145D275" w:rsidR="007968F7" w:rsidRPr="00CB7759" w:rsidRDefault="007968F7" w:rsidP="00CB7759">
      <w:pPr>
        <w:spacing w:line="360" w:lineRule="auto"/>
        <w:jc w:val="center"/>
        <w:rPr>
          <w:rFonts w:ascii="Times New Roman" w:hAnsi="Times New Roman" w:cs="Times New Roman"/>
          <w:b/>
          <w:sz w:val="40"/>
          <w:szCs w:val="24"/>
        </w:rPr>
      </w:pPr>
      <w:r>
        <w:rPr>
          <w:rFonts w:ascii="Times New Roman" w:hAnsi="Times New Roman" w:cs="Times New Roman"/>
          <w:b/>
          <w:sz w:val="40"/>
          <w:szCs w:val="24"/>
        </w:rPr>
        <w:t>Student ID:2115325</w:t>
      </w:r>
    </w:p>
    <w:p w14:paraId="6D1F7D2A" w14:textId="77777777" w:rsidR="00F56822" w:rsidRPr="00F56822" w:rsidRDefault="00F56822" w:rsidP="00F56822">
      <w:pPr>
        <w:spacing w:line="360" w:lineRule="auto"/>
        <w:jc w:val="both"/>
        <w:rPr>
          <w:rFonts w:ascii="Times New Roman" w:hAnsi="Times New Roman" w:cs="Times New Roman"/>
          <w:sz w:val="24"/>
          <w:szCs w:val="24"/>
        </w:rPr>
      </w:pPr>
    </w:p>
    <w:p w14:paraId="6C11A40C" w14:textId="77777777" w:rsidR="00F56822" w:rsidRPr="00F56822" w:rsidRDefault="00F56822" w:rsidP="00F56822">
      <w:pPr>
        <w:spacing w:line="360" w:lineRule="auto"/>
        <w:jc w:val="both"/>
        <w:rPr>
          <w:rFonts w:ascii="Times New Roman" w:hAnsi="Times New Roman" w:cs="Times New Roman"/>
          <w:sz w:val="24"/>
          <w:szCs w:val="24"/>
        </w:rPr>
      </w:pPr>
    </w:p>
    <w:p w14:paraId="7BCF60DC" w14:textId="77777777" w:rsidR="00F56822" w:rsidRPr="00F56822" w:rsidRDefault="00F56822" w:rsidP="00F56822">
      <w:pPr>
        <w:spacing w:line="360" w:lineRule="auto"/>
        <w:jc w:val="both"/>
        <w:rPr>
          <w:rFonts w:ascii="Times New Roman" w:hAnsi="Times New Roman" w:cs="Times New Roman"/>
          <w:sz w:val="24"/>
          <w:szCs w:val="24"/>
        </w:rPr>
      </w:pPr>
    </w:p>
    <w:p w14:paraId="5DC3C58A" w14:textId="77777777" w:rsidR="00F56822" w:rsidRPr="00F56822" w:rsidRDefault="00F56822" w:rsidP="00F56822">
      <w:pPr>
        <w:spacing w:line="360" w:lineRule="auto"/>
        <w:jc w:val="both"/>
        <w:rPr>
          <w:rFonts w:ascii="Times New Roman" w:hAnsi="Times New Roman" w:cs="Times New Roman"/>
          <w:sz w:val="24"/>
          <w:szCs w:val="24"/>
        </w:rPr>
      </w:pPr>
    </w:p>
    <w:p w14:paraId="3A7E3572" w14:textId="77777777" w:rsidR="00F56822" w:rsidRPr="00F56822" w:rsidRDefault="00F56822" w:rsidP="00F56822">
      <w:pPr>
        <w:spacing w:line="360" w:lineRule="auto"/>
        <w:jc w:val="both"/>
        <w:rPr>
          <w:rFonts w:ascii="Times New Roman" w:hAnsi="Times New Roman" w:cs="Times New Roman"/>
          <w:sz w:val="24"/>
          <w:szCs w:val="24"/>
        </w:rPr>
      </w:pPr>
    </w:p>
    <w:p w14:paraId="16D528FD" w14:textId="77777777" w:rsidR="00F56822" w:rsidRPr="00F56822" w:rsidRDefault="00F56822" w:rsidP="00F56822">
      <w:pPr>
        <w:spacing w:line="360" w:lineRule="auto"/>
        <w:jc w:val="both"/>
        <w:rPr>
          <w:rFonts w:ascii="Times New Roman" w:hAnsi="Times New Roman" w:cs="Times New Roman"/>
          <w:sz w:val="24"/>
          <w:szCs w:val="24"/>
        </w:rPr>
      </w:pPr>
    </w:p>
    <w:p w14:paraId="0A922BD5" w14:textId="77777777" w:rsidR="00F56822" w:rsidRPr="00F56822" w:rsidRDefault="00F56822" w:rsidP="00F56822">
      <w:pPr>
        <w:spacing w:line="360" w:lineRule="auto"/>
        <w:jc w:val="both"/>
        <w:rPr>
          <w:rFonts w:ascii="Times New Roman" w:hAnsi="Times New Roman" w:cs="Times New Roman"/>
          <w:sz w:val="24"/>
          <w:szCs w:val="24"/>
        </w:rPr>
      </w:pPr>
    </w:p>
    <w:p w14:paraId="24A84D84" w14:textId="77777777" w:rsidR="00F56822" w:rsidRPr="00F56822" w:rsidRDefault="00F56822" w:rsidP="00F56822">
      <w:pPr>
        <w:spacing w:line="360" w:lineRule="auto"/>
        <w:jc w:val="both"/>
        <w:rPr>
          <w:rFonts w:ascii="Times New Roman" w:hAnsi="Times New Roman" w:cs="Times New Roman"/>
          <w:sz w:val="24"/>
          <w:szCs w:val="24"/>
        </w:rPr>
      </w:pPr>
    </w:p>
    <w:p w14:paraId="67B29133" w14:textId="77777777" w:rsidR="00F56822" w:rsidRDefault="00F56822" w:rsidP="00F56822">
      <w:pPr>
        <w:spacing w:line="360" w:lineRule="auto"/>
        <w:jc w:val="both"/>
        <w:rPr>
          <w:rFonts w:ascii="Times New Roman" w:hAnsi="Times New Roman" w:cs="Times New Roman"/>
          <w:sz w:val="24"/>
          <w:szCs w:val="24"/>
        </w:rPr>
      </w:pPr>
    </w:p>
    <w:p w14:paraId="48793FF9" w14:textId="77777777" w:rsidR="00CB7759" w:rsidRDefault="00CB7759" w:rsidP="00F56822">
      <w:pPr>
        <w:spacing w:line="360" w:lineRule="auto"/>
        <w:jc w:val="both"/>
        <w:rPr>
          <w:rFonts w:ascii="Times New Roman" w:hAnsi="Times New Roman" w:cs="Times New Roman"/>
          <w:sz w:val="24"/>
          <w:szCs w:val="24"/>
        </w:rPr>
      </w:pPr>
    </w:p>
    <w:p w14:paraId="6E980341" w14:textId="77777777" w:rsidR="00CB7759" w:rsidRDefault="00CB7759" w:rsidP="00F56822">
      <w:pPr>
        <w:spacing w:line="360" w:lineRule="auto"/>
        <w:jc w:val="both"/>
        <w:rPr>
          <w:rFonts w:ascii="Times New Roman" w:hAnsi="Times New Roman" w:cs="Times New Roman"/>
          <w:sz w:val="24"/>
          <w:szCs w:val="24"/>
        </w:rPr>
      </w:pPr>
    </w:p>
    <w:p w14:paraId="58C1BF9C" w14:textId="77777777" w:rsidR="00CB7759" w:rsidRPr="00F56822" w:rsidRDefault="00CB7759" w:rsidP="00F56822">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1401407180"/>
        <w:docPartObj>
          <w:docPartGallery w:val="Table of Contents"/>
          <w:docPartUnique/>
        </w:docPartObj>
      </w:sdtPr>
      <w:sdtEndPr/>
      <w:sdtContent>
        <w:p w14:paraId="1BE0AC33" w14:textId="77777777" w:rsidR="00F56822" w:rsidRPr="00CB7759" w:rsidRDefault="00CB7759" w:rsidP="00F56822">
          <w:pPr>
            <w:pStyle w:val="TOCHeading"/>
            <w:spacing w:line="360" w:lineRule="auto"/>
            <w:jc w:val="both"/>
            <w:rPr>
              <w:rFonts w:ascii="Times New Roman" w:hAnsi="Times New Roman" w:cs="Times New Roman"/>
              <w:b/>
              <w:color w:val="auto"/>
              <w:szCs w:val="24"/>
            </w:rPr>
          </w:pPr>
          <w:r w:rsidRPr="00CB7759">
            <w:rPr>
              <w:rFonts w:ascii="Times New Roman" w:hAnsi="Times New Roman" w:cs="Times New Roman"/>
              <w:b/>
              <w:color w:val="auto"/>
              <w:szCs w:val="24"/>
            </w:rPr>
            <w:t>Table of Contents</w:t>
          </w:r>
        </w:p>
        <w:p w14:paraId="153AE2EB" w14:textId="77777777" w:rsidR="00F56822" w:rsidRPr="00F56822" w:rsidRDefault="00CB7759" w:rsidP="00F56822">
          <w:pPr>
            <w:pStyle w:val="TOC1"/>
            <w:spacing w:line="360" w:lineRule="auto"/>
            <w:jc w:val="both"/>
            <w:rPr>
              <w:rFonts w:ascii="Times New Roman" w:hAnsi="Times New Roman"/>
              <w:sz w:val="24"/>
              <w:szCs w:val="24"/>
            </w:rPr>
          </w:pPr>
          <w:r w:rsidRPr="00F56822">
            <w:rPr>
              <w:rFonts w:ascii="Times New Roman" w:hAnsi="Times New Roman"/>
              <w:bCs/>
              <w:sz w:val="24"/>
              <w:szCs w:val="24"/>
            </w:rPr>
            <w:t xml:space="preserve">Introduction </w:t>
          </w:r>
          <w:r>
            <w:ptab w:relativeTo="margin" w:alignment="right" w:leader="dot"/>
          </w:r>
          <w:r>
            <w:rPr>
              <w:rFonts w:ascii="Times New Roman" w:hAnsi="Times New Roman"/>
              <w:bCs/>
              <w:sz w:val="24"/>
              <w:szCs w:val="24"/>
            </w:rPr>
            <w:t>3</w:t>
          </w:r>
        </w:p>
        <w:p w14:paraId="0F20024D" w14:textId="77777777" w:rsidR="00F56822" w:rsidRPr="00F56822" w:rsidRDefault="00CB7759" w:rsidP="00F56822">
          <w:pPr>
            <w:pStyle w:val="TOC2"/>
            <w:spacing w:line="360" w:lineRule="auto"/>
            <w:ind w:left="0"/>
            <w:jc w:val="both"/>
            <w:rPr>
              <w:rFonts w:ascii="Times New Roman" w:hAnsi="Times New Roman"/>
              <w:sz w:val="24"/>
              <w:szCs w:val="24"/>
            </w:rPr>
          </w:pPr>
          <w:r w:rsidRPr="00F56822">
            <w:rPr>
              <w:rFonts w:ascii="Times New Roman" w:hAnsi="Times New Roman"/>
              <w:sz w:val="24"/>
              <w:szCs w:val="24"/>
            </w:rPr>
            <w:t xml:space="preserve">Profit and loss account for Wales plc </w:t>
          </w:r>
          <w:r>
            <w:ptab w:relativeTo="margin" w:alignment="right" w:leader="dot"/>
          </w:r>
          <w:r>
            <w:rPr>
              <w:rFonts w:ascii="Times New Roman" w:hAnsi="Times New Roman"/>
              <w:sz w:val="24"/>
              <w:szCs w:val="24"/>
            </w:rPr>
            <w:t>3</w:t>
          </w:r>
        </w:p>
        <w:p w14:paraId="5A050EE6" w14:textId="77777777" w:rsidR="00F56822" w:rsidRPr="00F56822" w:rsidRDefault="00CB7759" w:rsidP="00F56822">
          <w:pPr>
            <w:pStyle w:val="TOC3"/>
            <w:spacing w:line="360" w:lineRule="auto"/>
            <w:ind w:left="0"/>
            <w:jc w:val="both"/>
            <w:rPr>
              <w:rFonts w:ascii="Times New Roman" w:hAnsi="Times New Roman"/>
              <w:sz w:val="24"/>
              <w:szCs w:val="24"/>
            </w:rPr>
          </w:pPr>
          <w:r w:rsidRPr="00F56822">
            <w:rPr>
              <w:rFonts w:ascii="Times New Roman" w:hAnsi="Times New Roman"/>
              <w:sz w:val="24"/>
              <w:szCs w:val="24"/>
            </w:rPr>
            <w:t>Balance sheet</w:t>
          </w:r>
          <w:r>
            <w:ptab w:relativeTo="margin" w:alignment="right" w:leader="dot"/>
          </w:r>
          <w:r>
            <w:rPr>
              <w:rFonts w:ascii="Times New Roman" w:hAnsi="Times New Roman"/>
              <w:sz w:val="24"/>
              <w:szCs w:val="24"/>
            </w:rPr>
            <w:t>4</w:t>
          </w:r>
        </w:p>
        <w:p w14:paraId="0F197FF9" w14:textId="77777777" w:rsidR="00F56822" w:rsidRPr="00F56822" w:rsidRDefault="00CB7759" w:rsidP="00F56822">
          <w:pPr>
            <w:pStyle w:val="TOC1"/>
            <w:spacing w:line="360" w:lineRule="auto"/>
            <w:jc w:val="both"/>
            <w:rPr>
              <w:rFonts w:ascii="Times New Roman" w:hAnsi="Times New Roman"/>
              <w:sz w:val="24"/>
              <w:szCs w:val="24"/>
            </w:rPr>
          </w:pPr>
          <w:r w:rsidRPr="00F56822">
            <w:rPr>
              <w:rFonts w:ascii="Times New Roman" w:eastAsia="Times New Roman" w:hAnsi="Times New Roman"/>
              <w:sz w:val="24"/>
              <w:szCs w:val="24"/>
            </w:rPr>
            <w:t xml:space="preserve">Why balance sheet is balanced </w:t>
          </w:r>
          <w:r>
            <w:ptab w:relativeTo="margin" w:alignment="right" w:leader="dot"/>
          </w:r>
          <w:r w:rsidR="00C36C0E">
            <w:rPr>
              <w:rFonts w:ascii="Times New Roman" w:hAnsi="Times New Roman"/>
              <w:bCs/>
              <w:sz w:val="24"/>
              <w:szCs w:val="24"/>
            </w:rPr>
            <w:t>5</w:t>
          </w:r>
        </w:p>
        <w:p w14:paraId="604F34F1" w14:textId="77777777" w:rsidR="00F56822" w:rsidRPr="00F56822" w:rsidRDefault="00CB7759" w:rsidP="00F56822">
          <w:pPr>
            <w:pStyle w:val="TOC2"/>
            <w:spacing w:line="360" w:lineRule="auto"/>
            <w:ind w:left="0"/>
            <w:jc w:val="both"/>
            <w:rPr>
              <w:rFonts w:ascii="Times New Roman" w:hAnsi="Times New Roman"/>
              <w:sz w:val="24"/>
              <w:szCs w:val="24"/>
            </w:rPr>
          </w:pPr>
          <w:r w:rsidRPr="00F56822">
            <w:rPr>
              <w:rFonts w:ascii="Times New Roman" w:hAnsi="Times New Roman"/>
              <w:sz w:val="24"/>
              <w:szCs w:val="24"/>
            </w:rPr>
            <w:t xml:space="preserve">Ratio analysis of Sweet Plc and comment on the company's performance </w:t>
          </w:r>
          <w:r>
            <w:ptab w:relativeTo="margin" w:alignment="right" w:leader="dot"/>
          </w:r>
          <w:r w:rsidR="00C36C0E">
            <w:rPr>
              <w:rFonts w:ascii="Times New Roman" w:hAnsi="Times New Roman"/>
              <w:sz w:val="24"/>
              <w:szCs w:val="24"/>
            </w:rPr>
            <w:t>6</w:t>
          </w:r>
        </w:p>
        <w:p w14:paraId="59AEF850" w14:textId="77777777" w:rsidR="00F56822" w:rsidRPr="00F56822" w:rsidRDefault="00CB7759" w:rsidP="00F56822">
          <w:pPr>
            <w:pStyle w:val="TOC3"/>
            <w:spacing w:line="360" w:lineRule="auto"/>
            <w:ind w:left="0"/>
            <w:jc w:val="both"/>
            <w:rPr>
              <w:rFonts w:ascii="Times New Roman" w:hAnsi="Times New Roman"/>
              <w:sz w:val="24"/>
              <w:szCs w:val="24"/>
            </w:rPr>
          </w:pPr>
          <w:r w:rsidRPr="00F56822">
            <w:rPr>
              <w:rFonts w:ascii="Times New Roman" w:hAnsi="Times New Roman"/>
              <w:sz w:val="24"/>
              <w:szCs w:val="24"/>
            </w:rPr>
            <w:t xml:space="preserve">Conclusion </w:t>
          </w:r>
          <w:r>
            <w:ptab w:relativeTo="margin" w:alignment="right" w:leader="dot"/>
          </w:r>
          <w:r w:rsidR="00C36C0E">
            <w:rPr>
              <w:rFonts w:ascii="Times New Roman" w:hAnsi="Times New Roman"/>
              <w:sz w:val="24"/>
              <w:szCs w:val="24"/>
            </w:rPr>
            <w:t>12</w:t>
          </w:r>
        </w:p>
        <w:p w14:paraId="2878EB15" w14:textId="77777777" w:rsidR="00F56822" w:rsidRPr="00F56822" w:rsidRDefault="00CB7759" w:rsidP="00F56822">
          <w:pPr>
            <w:pStyle w:val="TOC1"/>
            <w:spacing w:line="360" w:lineRule="auto"/>
            <w:jc w:val="both"/>
            <w:rPr>
              <w:rFonts w:ascii="Times New Roman" w:hAnsi="Times New Roman"/>
              <w:sz w:val="24"/>
              <w:szCs w:val="24"/>
            </w:rPr>
          </w:pPr>
          <w:r w:rsidRPr="00F56822">
            <w:rPr>
              <w:rFonts w:ascii="Times New Roman" w:hAnsi="Times New Roman"/>
              <w:bCs/>
              <w:sz w:val="24"/>
              <w:szCs w:val="24"/>
            </w:rPr>
            <w:t xml:space="preserve">References </w:t>
          </w:r>
          <w:r>
            <w:ptab w:relativeTo="margin" w:alignment="right" w:leader="dot"/>
          </w:r>
          <w:r w:rsidR="00C36C0E">
            <w:rPr>
              <w:rFonts w:ascii="Times New Roman" w:hAnsi="Times New Roman"/>
              <w:bCs/>
              <w:sz w:val="24"/>
              <w:szCs w:val="24"/>
            </w:rPr>
            <w:t>13</w:t>
          </w:r>
        </w:p>
      </w:sdtContent>
    </w:sdt>
    <w:p w14:paraId="41DF4C30" w14:textId="77777777" w:rsidR="00F56822" w:rsidRPr="00F56822" w:rsidRDefault="00F56822" w:rsidP="00F56822">
      <w:pPr>
        <w:spacing w:line="360" w:lineRule="auto"/>
        <w:jc w:val="both"/>
        <w:rPr>
          <w:rFonts w:ascii="Times New Roman" w:hAnsi="Times New Roman" w:cs="Times New Roman"/>
          <w:sz w:val="24"/>
          <w:szCs w:val="24"/>
        </w:rPr>
      </w:pPr>
    </w:p>
    <w:p w14:paraId="2E7A92D3" w14:textId="77777777" w:rsidR="00F56822" w:rsidRPr="00F56822" w:rsidRDefault="00F56822" w:rsidP="00F56822">
      <w:pPr>
        <w:spacing w:line="360" w:lineRule="auto"/>
        <w:jc w:val="both"/>
        <w:rPr>
          <w:rFonts w:ascii="Times New Roman" w:hAnsi="Times New Roman" w:cs="Times New Roman"/>
          <w:sz w:val="24"/>
          <w:szCs w:val="24"/>
        </w:rPr>
      </w:pPr>
    </w:p>
    <w:p w14:paraId="2F5F63C6" w14:textId="77777777" w:rsidR="00F56822" w:rsidRPr="00F56822" w:rsidRDefault="00F56822" w:rsidP="00F56822">
      <w:pPr>
        <w:spacing w:line="360" w:lineRule="auto"/>
        <w:jc w:val="both"/>
        <w:rPr>
          <w:rFonts w:ascii="Times New Roman" w:hAnsi="Times New Roman" w:cs="Times New Roman"/>
          <w:sz w:val="24"/>
          <w:szCs w:val="24"/>
        </w:rPr>
      </w:pPr>
    </w:p>
    <w:p w14:paraId="79836277" w14:textId="77777777" w:rsidR="00F56822" w:rsidRPr="00F56822" w:rsidRDefault="00F56822" w:rsidP="00F56822">
      <w:pPr>
        <w:spacing w:line="360" w:lineRule="auto"/>
        <w:jc w:val="both"/>
        <w:rPr>
          <w:rFonts w:ascii="Times New Roman" w:hAnsi="Times New Roman" w:cs="Times New Roman"/>
          <w:sz w:val="24"/>
          <w:szCs w:val="24"/>
        </w:rPr>
      </w:pPr>
    </w:p>
    <w:p w14:paraId="406570A2" w14:textId="77777777" w:rsidR="00F56822" w:rsidRPr="00F56822" w:rsidRDefault="00F56822" w:rsidP="00F56822">
      <w:pPr>
        <w:spacing w:line="360" w:lineRule="auto"/>
        <w:jc w:val="both"/>
        <w:rPr>
          <w:rFonts w:ascii="Times New Roman" w:hAnsi="Times New Roman" w:cs="Times New Roman"/>
          <w:sz w:val="24"/>
          <w:szCs w:val="24"/>
        </w:rPr>
      </w:pPr>
    </w:p>
    <w:p w14:paraId="0E9EC501" w14:textId="77777777" w:rsidR="00F56822" w:rsidRPr="00F56822" w:rsidRDefault="00F56822" w:rsidP="00F56822">
      <w:pPr>
        <w:spacing w:line="360" w:lineRule="auto"/>
        <w:jc w:val="both"/>
        <w:rPr>
          <w:rFonts w:ascii="Times New Roman" w:hAnsi="Times New Roman" w:cs="Times New Roman"/>
          <w:sz w:val="24"/>
          <w:szCs w:val="24"/>
        </w:rPr>
      </w:pPr>
    </w:p>
    <w:p w14:paraId="7BF87C25" w14:textId="77777777" w:rsidR="00F56822" w:rsidRPr="00F56822" w:rsidRDefault="00F56822" w:rsidP="00F56822">
      <w:pPr>
        <w:spacing w:line="360" w:lineRule="auto"/>
        <w:jc w:val="both"/>
        <w:rPr>
          <w:rFonts w:ascii="Times New Roman" w:hAnsi="Times New Roman" w:cs="Times New Roman"/>
          <w:sz w:val="24"/>
          <w:szCs w:val="24"/>
        </w:rPr>
      </w:pPr>
    </w:p>
    <w:p w14:paraId="06BF8DE8" w14:textId="77777777" w:rsidR="00F56822" w:rsidRDefault="00F56822" w:rsidP="00F56822">
      <w:pPr>
        <w:spacing w:line="360" w:lineRule="auto"/>
        <w:jc w:val="both"/>
        <w:rPr>
          <w:rFonts w:ascii="Times New Roman" w:hAnsi="Times New Roman" w:cs="Times New Roman"/>
          <w:sz w:val="24"/>
          <w:szCs w:val="24"/>
        </w:rPr>
      </w:pPr>
    </w:p>
    <w:p w14:paraId="7DB3B77F" w14:textId="77777777" w:rsidR="00F56822" w:rsidRDefault="00F56822" w:rsidP="00F56822">
      <w:pPr>
        <w:spacing w:line="360" w:lineRule="auto"/>
        <w:jc w:val="both"/>
        <w:rPr>
          <w:rFonts w:ascii="Times New Roman" w:hAnsi="Times New Roman" w:cs="Times New Roman"/>
          <w:sz w:val="24"/>
          <w:szCs w:val="24"/>
        </w:rPr>
      </w:pPr>
    </w:p>
    <w:p w14:paraId="72938882" w14:textId="77777777" w:rsidR="00F56822" w:rsidRDefault="00F56822" w:rsidP="00F56822">
      <w:pPr>
        <w:spacing w:line="360" w:lineRule="auto"/>
        <w:jc w:val="both"/>
        <w:rPr>
          <w:rFonts w:ascii="Times New Roman" w:hAnsi="Times New Roman" w:cs="Times New Roman"/>
          <w:sz w:val="24"/>
          <w:szCs w:val="24"/>
        </w:rPr>
      </w:pPr>
    </w:p>
    <w:p w14:paraId="20E8C95B" w14:textId="77777777" w:rsidR="00F56822" w:rsidRDefault="00F56822" w:rsidP="00F56822">
      <w:pPr>
        <w:spacing w:line="360" w:lineRule="auto"/>
        <w:jc w:val="both"/>
        <w:rPr>
          <w:rFonts w:ascii="Times New Roman" w:hAnsi="Times New Roman" w:cs="Times New Roman"/>
          <w:sz w:val="24"/>
          <w:szCs w:val="24"/>
        </w:rPr>
      </w:pPr>
    </w:p>
    <w:p w14:paraId="1D8171B7" w14:textId="77777777" w:rsidR="00F56822" w:rsidRDefault="00F56822" w:rsidP="00F56822">
      <w:pPr>
        <w:spacing w:line="360" w:lineRule="auto"/>
        <w:jc w:val="both"/>
        <w:rPr>
          <w:rFonts w:ascii="Times New Roman" w:hAnsi="Times New Roman" w:cs="Times New Roman"/>
          <w:sz w:val="24"/>
          <w:szCs w:val="24"/>
        </w:rPr>
      </w:pPr>
    </w:p>
    <w:p w14:paraId="09F4422A" w14:textId="77777777" w:rsidR="00F56822" w:rsidRDefault="00F56822" w:rsidP="00F56822">
      <w:pPr>
        <w:spacing w:line="360" w:lineRule="auto"/>
        <w:jc w:val="both"/>
        <w:rPr>
          <w:rFonts w:ascii="Times New Roman" w:hAnsi="Times New Roman" w:cs="Times New Roman"/>
          <w:sz w:val="24"/>
          <w:szCs w:val="24"/>
        </w:rPr>
      </w:pPr>
    </w:p>
    <w:p w14:paraId="7A9B0013" w14:textId="77777777" w:rsidR="00F56822" w:rsidRDefault="00F56822" w:rsidP="00F56822">
      <w:pPr>
        <w:spacing w:line="360" w:lineRule="auto"/>
        <w:jc w:val="both"/>
        <w:rPr>
          <w:rFonts w:ascii="Times New Roman" w:hAnsi="Times New Roman" w:cs="Times New Roman"/>
          <w:sz w:val="24"/>
          <w:szCs w:val="24"/>
        </w:rPr>
      </w:pPr>
    </w:p>
    <w:p w14:paraId="275EC94C" w14:textId="77777777" w:rsidR="00F56822" w:rsidRDefault="00F56822" w:rsidP="00F56822">
      <w:pPr>
        <w:spacing w:line="360" w:lineRule="auto"/>
        <w:jc w:val="both"/>
        <w:rPr>
          <w:rFonts w:ascii="Times New Roman" w:hAnsi="Times New Roman" w:cs="Times New Roman"/>
          <w:sz w:val="24"/>
          <w:szCs w:val="24"/>
        </w:rPr>
      </w:pPr>
    </w:p>
    <w:p w14:paraId="7A5D2DC4" w14:textId="77777777" w:rsidR="00464BD8" w:rsidRPr="00CB7759" w:rsidRDefault="00CB7759"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 xml:space="preserve">Introduction </w:t>
      </w:r>
    </w:p>
    <w:p w14:paraId="63B1AB24" w14:textId="77777777" w:rsidR="00A47849"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Accounting is the process by which the organization collect financial information, organizes the information, analyses the information and then prepares a financial report for the users. In the accounting system, both management accounting and financial accounting play important role in the organization. The financial accounting system follows a double-entry system. The double-entry system is the main theme of financial accounting. The report will show the profit and loss statement of Wales Plc, the Balance sheet, and ratio analysis of the company with comments on the performance.</w:t>
      </w:r>
    </w:p>
    <w:p w14:paraId="31FF767F" w14:textId="77777777" w:rsidR="00A47849" w:rsidRPr="00CB7759" w:rsidRDefault="00CB7759"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Profit and loss account for Wales plc</w:t>
      </w:r>
    </w:p>
    <w:p w14:paraId="3071A7A0" w14:textId="77777777" w:rsidR="00A47849"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A profit and loss account is an account by which the organization can the profit and loss of the organization</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Flynn &amp; </w:t>
      </w:r>
      <w:proofErr w:type="spellStart"/>
      <w:r>
        <w:rPr>
          <w:rFonts w:ascii="Times New Roman" w:hAnsi="Times New Roman" w:cs="Times New Roman"/>
          <w:sz w:val="24"/>
          <w:szCs w:val="24"/>
          <w:shd w:val="clear" w:color="auto" w:fill="FFFFFF"/>
        </w:rPr>
        <w:t>Koornhof</w:t>
      </w:r>
      <w:proofErr w:type="spellEnd"/>
      <w:r>
        <w:rPr>
          <w:rFonts w:ascii="Times New Roman" w:hAnsi="Times New Roman" w:cs="Times New Roman"/>
          <w:sz w:val="24"/>
          <w:szCs w:val="24"/>
          <w:shd w:val="clear" w:color="auto" w:fill="FFFFFF"/>
        </w:rPr>
        <w:t xml:space="preserve">, </w:t>
      </w:r>
      <w:r w:rsidRPr="00FA0681">
        <w:rPr>
          <w:rFonts w:ascii="Times New Roman" w:hAnsi="Times New Roman" w:cs="Times New Roman"/>
          <w:sz w:val="24"/>
          <w:szCs w:val="24"/>
          <w:shd w:val="clear" w:color="auto" w:fill="FFFFFF"/>
        </w:rPr>
        <w:t>2015)</w:t>
      </w:r>
      <w:r w:rsidRPr="00F56822">
        <w:rPr>
          <w:rFonts w:ascii="Times New Roman" w:hAnsi="Times New Roman" w:cs="Times New Roman"/>
          <w:sz w:val="24"/>
          <w:szCs w:val="24"/>
        </w:rPr>
        <w:t>. At the end of the year, the company wants to know the income of the company. So, in that case, the profit and loss account is perfect. The income statement of Wales plc is prepared below:</w:t>
      </w:r>
    </w:p>
    <w:p w14:paraId="13387587" w14:textId="77777777" w:rsidR="00464BD8" w:rsidRPr="00F56822" w:rsidRDefault="00CB7759" w:rsidP="00CB7759">
      <w:pPr>
        <w:spacing w:line="360" w:lineRule="auto"/>
        <w:jc w:val="center"/>
        <w:rPr>
          <w:rFonts w:ascii="Times New Roman" w:hAnsi="Times New Roman" w:cs="Times New Roman"/>
          <w:sz w:val="24"/>
          <w:szCs w:val="24"/>
        </w:rPr>
      </w:pPr>
      <w:r w:rsidRPr="00F56822">
        <w:rPr>
          <w:rFonts w:ascii="Times New Roman" w:hAnsi="Times New Roman" w:cs="Times New Roman"/>
          <w:sz w:val="24"/>
          <w:szCs w:val="24"/>
        </w:rPr>
        <w:t>Wales Plc</w:t>
      </w:r>
    </w:p>
    <w:p w14:paraId="78016BB2" w14:textId="77777777" w:rsidR="00464BD8" w:rsidRPr="00F56822" w:rsidRDefault="00CB7759" w:rsidP="00CB7759">
      <w:pPr>
        <w:spacing w:line="360" w:lineRule="auto"/>
        <w:jc w:val="center"/>
        <w:rPr>
          <w:rFonts w:ascii="Times New Roman" w:hAnsi="Times New Roman" w:cs="Times New Roman"/>
          <w:sz w:val="24"/>
          <w:szCs w:val="24"/>
        </w:rPr>
      </w:pPr>
      <w:r w:rsidRPr="00F56822">
        <w:rPr>
          <w:rFonts w:ascii="Times New Roman" w:hAnsi="Times New Roman" w:cs="Times New Roman"/>
          <w:sz w:val="24"/>
          <w:szCs w:val="24"/>
        </w:rPr>
        <w:t>Profit and Loss account</w:t>
      </w:r>
    </w:p>
    <w:p w14:paraId="698D7995" w14:textId="77777777" w:rsidR="00464BD8" w:rsidRPr="00F56822" w:rsidRDefault="00CB7759" w:rsidP="00CB7759">
      <w:pPr>
        <w:spacing w:line="360" w:lineRule="auto"/>
        <w:jc w:val="center"/>
        <w:rPr>
          <w:rFonts w:ascii="Times New Roman" w:hAnsi="Times New Roman" w:cs="Times New Roman"/>
          <w:sz w:val="24"/>
          <w:szCs w:val="24"/>
        </w:rPr>
      </w:pPr>
      <w:r w:rsidRPr="00F56822">
        <w:rPr>
          <w:rFonts w:ascii="Times New Roman" w:hAnsi="Times New Roman" w:cs="Times New Roman"/>
          <w:sz w:val="24"/>
          <w:szCs w:val="24"/>
        </w:rPr>
        <w:t>For the year-end</w:t>
      </w:r>
    </w:p>
    <w:tbl>
      <w:tblPr>
        <w:tblStyle w:val="GridTable4-Accent4"/>
        <w:tblW w:w="8804" w:type="dxa"/>
        <w:tblLook w:val="04A0" w:firstRow="1" w:lastRow="0" w:firstColumn="1" w:lastColumn="0" w:noHBand="0" w:noVBand="1"/>
      </w:tblPr>
      <w:tblGrid>
        <w:gridCol w:w="5140"/>
        <w:gridCol w:w="1337"/>
        <w:gridCol w:w="2327"/>
      </w:tblGrid>
      <w:tr w:rsidR="00B04BD0" w14:paraId="2CEE9ADA" w14:textId="77777777" w:rsidTr="00CB7759">
        <w:trPr>
          <w:cnfStyle w:val="100000000000" w:firstRow="1" w:lastRow="0" w:firstColumn="0" w:lastColumn="0" w:oddVBand="0" w:evenVBand="0" w:oddHBand="0"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737E34F3"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color w:val="auto"/>
                <w:sz w:val="24"/>
                <w:szCs w:val="24"/>
              </w:rPr>
              <w:t xml:space="preserve">Particulars </w:t>
            </w:r>
          </w:p>
        </w:tc>
        <w:tc>
          <w:tcPr>
            <w:tcW w:w="1337" w:type="dxa"/>
            <w:noWrap/>
            <w:hideMark/>
          </w:tcPr>
          <w:p w14:paraId="4BC236BA"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color w:val="auto"/>
                <w:sz w:val="24"/>
                <w:szCs w:val="24"/>
              </w:rPr>
              <w:t>amount (£)</w:t>
            </w:r>
          </w:p>
        </w:tc>
        <w:tc>
          <w:tcPr>
            <w:tcW w:w="2327" w:type="dxa"/>
            <w:noWrap/>
            <w:hideMark/>
          </w:tcPr>
          <w:p w14:paraId="74BA5F80"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color w:val="auto"/>
                <w:sz w:val="24"/>
                <w:szCs w:val="24"/>
              </w:rPr>
              <w:t>amount (£)</w:t>
            </w:r>
          </w:p>
        </w:tc>
      </w:tr>
      <w:tr w:rsidR="00B04BD0" w14:paraId="6A2AD783"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58B75FA8"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Sales</w:t>
            </w:r>
          </w:p>
        </w:tc>
        <w:tc>
          <w:tcPr>
            <w:tcW w:w="1337" w:type="dxa"/>
            <w:noWrap/>
            <w:hideMark/>
          </w:tcPr>
          <w:p w14:paraId="0DDD8E4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800000</w:t>
            </w:r>
          </w:p>
        </w:tc>
        <w:tc>
          <w:tcPr>
            <w:tcW w:w="2327" w:type="dxa"/>
            <w:noWrap/>
            <w:hideMark/>
          </w:tcPr>
          <w:p w14:paraId="07A89A0F"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391DF823" w14:textId="77777777" w:rsidTr="00CB7759">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089AA0E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Add: sales at credit</w:t>
            </w:r>
          </w:p>
        </w:tc>
        <w:tc>
          <w:tcPr>
            <w:tcW w:w="1337" w:type="dxa"/>
            <w:noWrap/>
            <w:hideMark/>
          </w:tcPr>
          <w:p w14:paraId="2F1C398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980</w:t>
            </w:r>
          </w:p>
        </w:tc>
        <w:tc>
          <w:tcPr>
            <w:tcW w:w="2327" w:type="dxa"/>
            <w:noWrap/>
            <w:hideMark/>
          </w:tcPr>
          <w:p w14:paraId="68D7C7EF"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800980</w:t>
            </w:r>
          </w:p>
        </w:tc>
      </w:tr>
      <w:tr w:rsidR="00B04BD0" w14:paraId="3BA42E9D"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4DC52829"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Less: Cost of sales</w:t>
            </w:r>
          </w:p>
        </w:tc>
        <w:tc>
          <w:tcPr>
            <w:tcW w:w="2327" w:type="dxa"/>
            <w:noWrap/>
            <w:hideMark/>
          </w:tcPr>
          <w:p w14:paraId="1FA297B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(578650)</w:t>
            </w:r>
          </w:p>
        </w:tc>
      </w:tr>
      <w:tr w:rsidR="00B04BD0" w14:paraId="043A14D1" w14:textId="77777777" w:rsidTr="00CB7759">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249D07A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Revenue</w:t>
            </w:r>
          </w:p>
        </w:tc>
        <w:tc>
          <w:tcPr>
            <w:tcW w:w="1337" w:type="dxa"/>
            <w:noWrap/>
            <w:hideMark/>
          </w:tcPr>
          <w:p w14:paraId="373BDB4D"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327" w:type="dxa"/>
            <w:noWrap/>
            <w:hideMark/>
          </w:tcPr>
          <w:p w14:paraId="0E58EAF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222330</w:t>
            </w:r>
          </w:p>
        </w:tc>
      </w:tr>
      <w:tr w:rsidR="00B04BD0" w14:paraId="2AABE4C4"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433D53AB"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Administrative expense</w:t>
            </w:r>
          </w:p>
        </w:tc>
        <w:tc>
          <w:tcPr>
            <w:tcW w:w="2327" w:type="dxa"/>
            <w:noWrap/>
            <w:hideMark/>
          </w:tcPr>
          <w:p w14:paraId="22BF946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30000</w:t>
            </w:r>
          </w:p>
        </w:tc>
      </w:tr>
      <w:tr w:rsidR="00B04BD0" w14:paraId="1D10B878" w14:textId="77777777" w:rsidTr="00CB7759">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1F740E6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Interest paid</w:t>
            </w:r>
          </w:p>
        </w:tc>
        <w:tc>
          <w:tcPr>
            <w:tcW w:w="1337" w:type="dxa"/>
            <w:noWrap/>
            <w:hideMark/>
          </w:tcPr>
          <w:p w14:paraId="4258EE5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2000</w:t>
            </w:r>
          </w:p>
        </w:tc>
        <w:tc>
          <w:tcPr>
            <w:tcW w:w="2327" w:type="dxa"/>
            <w:noWrap/>
            <w:hideMark/>
          </w:tcPr>
          <w:p w14:paraId="68BC5B8A"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4E15CD00"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25818652"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Add: due</w:t>
            </w:r>
          </w:p>
        </w:tc>
        <w:tc>
          <w:tcPr>
            <w:tcW w:w="1337" w:type="dxa"/>
            <w:noWrap/>
            <w:hideMark/>
          </w:tcPr>
          <w:p w14:paraId="750AD08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6000</w:t>
            </w:r>
          </w:p>
        </w:tc>
        <w:tc>
          <w:tcPr>
            <w:tcW w:w="2327" w:type="dxa"/>
            <w:noWrap/>
            <w:hideMark/>
          </w:tcPr>
          <w:p w14:paraId="3AEDC11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8000</w:t>
            </w:r>
          </w:p>
        </w:tc>
      </w:tr>
      <w:tr w:rsidR="00B04BD0" w14:paraId="4C0EA7A9" w14:textId="77777777" w:rsidTr="00CB7759">
        <w:trPr>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35664893"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Directors remuneration</w:t>
            </w:r>
          </w:p>
        </w:tc>
        <w:tc>
          <w:tcPr>
            <w:tcW w:w="2327" w:type="dxa"/>
            <w:noWrap/>
            <w:hideMark/>
          </w:tcPr>
          <w:p w14:paraId="2FFB057F"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5000</w:t>
            </w:r>
          </w:p>
        </w:tc>
      </w:tr>
      <w:tr w:rsidR="00B04BD0" w14:paraId="1854BBDE"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6942E60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Distribution costs</w:t>
            </w:r>
          </w:p>
        </w:tc>
        <w:tc>
          <w:tcPr>
            <w:tcW w:w="2327" w:type="dxa"/>
            <w:noWrap/>
            <w:hideMark/>
          </w:tcPr>
          <w:p w14:paraId="467F2FA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28000</w:t>
            </w:r>
          </w:p>
        </w:tc>
      </w:tr>
      <w:tr w:rsidR="00B04BD0" w14:paraId="25524B57" w14:textId="77777777" w:rsidTr="00CB7759">
        <w:trPr>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05B7FA16"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Salesman Commission</w:t>
            </w:r>
          </w:p>
        </w:tc>
        <w:tc>
          <w:tcPr>
            <w:tcW w:w="2327" w:type="dxa"/>
            <w:noWrap/>
            <w:hideMark/>
          </w:tcPr>
          <w:p w14:paraId="7E01C79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3000</w:t>
            </w:r>
          </w:p>
        </w:tc>
      </w:tr>
      <w:tr w:rsidR="00B04BD0" w14:paraId="57B560BD"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612102A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Profit before tax</w:t>
            </w:r>
          </w:p>
        </w:tc>
        <w:tc>
          <w:tcPr>
            <w:tcW w:w="2327" w:type="dxa"/>
            <w:noWrap/>
            <w:hideMark/>
          </w:tcPr>
          <w:p w14:paraId="4A7077E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148330</w:t>
            </w:r>
          </w:p>
        </w:tc>
      </w:tr>
      <w:tr w:rsidR="00B04BD0" w14:paraId="76E7C409" w14:textId="77777777" w:rsidTr="00CB7759">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14:paraId="644D21D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Less: tax</w:t>
            </w:r>
          </w:p>
        </w:tc>
        <w:tc>
          <w:tcPr>
            <w:tcW w:w="1337" w:type="dxa"/>
            <w:noWrap/>
            <w:hideMark/>
          </w:tcPr>
          <w:p w14:paraId="7E18974F"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327" w:type="dxa"/>
            <w:noWrap/>
            <w:hideMark/>
          </w:tcPr>
          <w:p w14:paraId="1071C03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100000</w:t>
            </w:r>
          </w:p>
        </w:tc>
      </w:tr>
      <w:tr w:rsidR="00B04BD0" w14:paraId="1CB98CEA" w14:textId="77777777" w:rsidTr="00CB7759">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14:paraId="3458871B"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Profit after tax</w:t>
            </w:r>
          </w:p>
        </w:tc>
        <w:tc>
          <w:tcPr>
            <w:tcW w:w="2327" w:type="dxa"/>
            <w:noWrap/>
            <w:hideMark/>
          </w:tcPr>
          <w:p w14:paraId="4343D7C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48330</w:t>
            </w:r>
          </w:p>
        </w:tc>
      </w:tr>
    </w:tbl>
    <w:p w14:paraId="155FB983" w14:textId="77777777" w:rsidR="00A47849"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The income statement for Wales plc is prepared and from the income statement, the calculated income for Wales plc is </w:t>
      </w:r>
      <w:r w:rsidRPr="00F56822">
        <w:rPr>
          <w:rFonts w:ascii="Times New Roman" w:eastAsia="Times New Roman" w:hAnsi="Times New Roman" w:cs="Times New Roman"/>
          <w:sz w:val="24"/>
          <w:szCs w:val="24"/>
        </w:rPr>
        <w:t>£48330. As the income is positive, it states that the company is in a good position.</w:t>
      </w:r>
    </w:p>
    <w:p w14:paraId="145C9B87" w14:textId="77777777" w:rsidR="00464BD8" w:rsidRPr="00CB7759" w:rsidRDefault="00CB7759"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Balance sheet</w:t>
      </w:r>
    </w:p>
    <w:p w14:paraId="3FC741B7" w14:textId="77777777" w:rsidR="00A47849"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balance sheet is a statement which records all the assets, liabilities and the owner</w:t>
      </w:r>
      <w:r>
        <w:rPr>
          <w:rFonts w:ascii="Times New Roman" w:hAnsi="Times New Roman" w:cs="Times New Roman"/>
          <w:sz w:val="24"/>
          <w:szCs w:val="24"/>
        </w:rPr>
        <w:t>'s equity of the organization. T</w:t>
      </w:r>
      <w:r w:rsidRPr="00F56822">
        <w:rPr>
          <w:rFonts w:ascii="Times New Roman" w:hAnsi="Times New Roman" w:cs="Times New Roman"/>
          <w:sz w:val="24"/>
          <w:szCs w:val="24"/>
        </w:rPr>
        <w:t xml:space="preserve">he balance sheet is prepared based on the accounting formula A = L + OE. </w:t>
      </w:r>
      <w:r w:rsidR="009D028F" w:rsidRPr="00F56822">
        <w:rPr>
          <w:rFonts w:ascii="Times New Roman" w:hAnsi="Times New Roman" w:cs="Times New Roman"/>
          <w:sz w:val="24"/>
          <w:szCs w:val="24"/>
        </w:rPr>
        <w:t>Based on this formula, it is found that the total amount of assets will be equal to the sum of all liabilities and owners' equity</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Flynn &amp; </w:t>
      </w:r>
      <w:proofErr w:type="spellStart"/>
      <w:r>
        <w:rPr>
          <w:rFonts w:ascii="Times New Roman" w:hAnsi="Times New Roman" w:cs="Times New Roman"/>
          <w:sz w:val="24"/>
          <w:szCs w:val="24"/>
          <w:shd w:val="clear" w:color="auto" w:fill="FFFFFF"/>
        </w:rPr>
        <w:t>Koornhof</w:t>
      </w:r>
      <w:proofErr w:type="spellEnd"/>
      <w:r>
        <w:rPr>
          <w:rFonts w:ascii="Times New Roman" w:hAnsi="Times New Roman" w:cs="Times New Roman"/>
          <w:sz w:val="24"/>
          <w:szCs w:val="24"/>
          <w:shd w:val="clear" w:color="auto" w:fill="FFFFFF"/>
        </w:rPr>
        <w:t xml:space="preserve">, </w:t>
      </w:r>
      <w:r w:rsidRPr="00FA0681">
        <w:rPr>
          <w:rFonts w:ascii="Times New Roman" w:hAnsi="Times New Roman" w:cs="Times New Roman"/>
          <w:sz w:val="24"/>
          <w:szCs w:val="24"/>
          <w:shd w:val="clear" w:color="auto" w:fill="FFFFFF"/>
        </w:rPr>
        <w:t>2015)</w:t>
      </w:r>
      <w:r w:rsidR="009D028F" w:rsidRPr="00F56822">
        <w:rPr>
          <w:rFonts w:ascii="Times New Roman" w:hAnsi="Times New Roman" w:cs="Times New Roman"/>
          <w:sz w:val="24"/>
          <w:szCs w:val="24"/>
        </w:rPr>
        <w:t>. For knowing the financial position of the organization, the organization prepares a balance sheet. The balance sheet of Wales Plc is prepared below:</w:t>
      </w:r>
    </w:p>
    <w:p w14:paraId="5A30E1BF" w14:textId="77777777" w:rsidR="00464BD8" w:rsidRPr="00F56822" w:rsidRDefault="00CB7759" w:rsidP="00CB7759">
      <w:pPr>
        <w:spacing w:line="360" w:lineRule="auto"/>
        <w:jc w:val="center"/>
        <w:rPr>
          <w:rFonts w:ascii="Times New Roman" w:hAnsi="Times New Roman" w:cs="Times New Roman"/>
          <w:sz w:val="24"/>
          <w:szCs w:val="24"/>
        </w:rPr>
      </w:pPr>
      <w:r w:rsidRPr="00F56822">
        <w:rPr>
          <w:rFonts w:ascii="Times New Roman" w:hAnsi="Times New Roman" w:cs="Times New Roman"/>
          <w:sz w:val="24"/>
          <w:szCs w:val="24"/>
        </w:rPr>
        <w:t>Wales Plc</w:t>
      </w:r>
    </w:p>
    <w:p w14:paraId="2051352E" w14:textId="77777777" w:rsidR="00464BD8" w:rsidRPr="00F56822" w:rsidRDefault="00CB7759" w:rsidP="00CB7759">
      <w:pPr>
        <w:spacing w:line="360" w:lineRule="auto"/>
        <w:jc w:val="center"/>
        <w:rPr>
          <w:rFonts w:ascii="Times New Roman" w:hAnsi="Times New Roman" w:cs="Times New Roman"/>
          <w:sz w:val="24"/>
          <w:szCs w:val="24"/>
        </w:rPr>
      </w:pPr>
      <w:r w:rsidRPr="00F56822">
        <w:rPr>
          <w:rFonts w:ascii="Times New Roman" w:hAnsi="Times New Roman" w:cs="Times New Roman"/>
          <w:sz w:val="24"/>
          <w:szCs w:val="24"/>
        </w:rPr>
        <w:t>Financial Statement</w:t>
      </w:r>
    </w:p>
    <w:p w14:paraId="6671E28D" w14:textId="77777777" w:rsidR="00464BD8" w:rsidRPr="00F56822" w:rsidRDefault="00CB7759" w:rsidP="00CB7759">
      <w:pPr>
        <w:spacing w:line="360" w:lineRule="auto"/>
        <w:jc w:val="center"/>
        <w:rPr>
          <w:rFonts w:ascii="Times New Roman" w:hAnsi="Times New Roman" w:cs="Times New Roman"/>
          <w:sz w:val="24"/>
          <w:szCs w:val="24"/>
        </w:rPr>
      </w:pPr>
      <w:r w:rsidRPr="00F56822">
        <w:rPr>
          <w:rFonts w:ascii="Times New Roman" w:hAnsi="Times New Roman" w:cs="Times New Roman"/>
          <w:sz w:val="24"/>
          <w:szCs w:val="24"/>
        </w:rPr>
        <w:t>For the year-end</w:t>
      </w:r>
    </w:p>
    <w:tbl>
      <w:tblPr>
        <w:tblStyle w:val="GridTable4-Accent5"/>
        <w:tblW w:w="9334" w:type="dxa"/>
        <w:tblLook w:val="04A0" w:firstRow="1" w:lastRow="0" w:firstColumn="1" w:lastColumn="0" w:noHBand="0" w:noVBand="1"/>
      </w:tblPr>
      <w:tblGrid>
        <w:gridCol w:w="6030"/>
        <w:gridCol w:w="1621"/>
        <w:gridCol w:w="1683"/>
      </w:tblGrid>
      <w:tr w:rsidR="00B04BD0" w14:paraId="0C321803" w14:textId="77777777" w:rsidTr="00CB7759">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3A0D27F2"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color w:val="auto"/>
                <w:sz w:val="24"/>
                <w:szCs w:val="24"/>
              </w:rPr>
              <w:t>Particulars</w:t>
            </w:r>
          </w:p>
        </w:tc>
        <w:tc>
          <w:tcPr>
            <w:tcW w:w="1620" w:type="dxa"/>
            <w:noWrap/>
            <w:hideMark/>
          </w:tcPr>
          <w:p w14:paraId="25C237E5"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color w:val="auto"/>
                <w:sz w:val="24"/>
                <w:szCs w:val="24"/>
              </w:rPr>
              <w:t>amount (£)</w:t>
            </w:r>
          </w:p>
        </w:tc>
        <w:tc>
          <w:tcPr>
            <w:tcW w:w="1683" w:type="dxa"/>
            <w:noWrap/>
            <w:hideMark/>
          </w:tcPr>
          <w:p w14:paraId="26E722E3"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color w:val="auto"/>
                <w:sz w:val="24"/>
                <w:szCs w:val="24"/>
              </w:rPr>
              <w:t>amount (£)</w:t>
            </w:r>
          </w:p>
        </w:tc>
      </w:tr>
      <w:tr w:rsidR="00B04BD0" w14:paraId="51F43DE1"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78CFF1B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Current assets</w:t>
            </w:r>
          </w:p>
        </w:tc>
        <w:tc>
          <w:tcPr>
            <w:tcW w:w="1683" w:type="dxa"/>
            <w:noWrap/>
            <w:hideMark/>
          </w:tcPr>
          <w:p w14:paraId="5C7A113D"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2C4C6AB0"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1F6D01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Trade receivable</w:t>
            </w:r>
          </w:p>
        </w:tc>
        <w:tc>
          <w:tcPr>
            <w:tcW w:w="1620" w:type="dxa"/>
            <w:noWrap/>
            <w:hideMark/>
          </w:tcPr>
          <w:p w14:paraId="14998C5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170125</w:t>
            </w:r>
          </w:p>
        </w:tc>
        <w:tc>
          <w:tcPr>
            <w:tcW w:w="1683" w:type="dxa"/>
            <w:noWrap/>
            <w:hideMark/>
          </w:tcPr>
          <w:p w14:paraId="61A905B2"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6B54047A"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0AA5A06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Cash and bank</w:t>
            </w:r>
          </w:p>
        </w:tc>
        <w:tc>
          <w:tcPr>
            <w:tcW w:w="1620" w:type="dxa"/>
            <w:noWrap/>
            <w:hideMark/>
          </w:tcPr>
          <w:p w14:paraId="0F08622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96000</w:t>
            </w:r>
          </w:p>
        </w:tc>
        <w:tc>
          <w:tcPr>
            <w:tcW w:w="1683" w:type="dxa"/>
            <w:noWrap/>
            <w:hideMark/>
          </w:tcPr>
          <w:p w14:paraId="4FAAED07"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782E4493"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113C9B7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Receivable</w:t>
            </w:r>
          </w:p>
        </w:tc>
        <w:tc>
          <w:tcPr>
            <w:tcW w:w="1620" w:type="dxa"/>
            <w:noWrap/>
            <w:hideMark/>
          </w:tcPr>
          <w:p w14:paraId="5D258B88"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980</w:t>
            </w:r>
          </w:p>
        </w:tc>
        <w:tc>
          <w:tcPr>
            <w:tcW w:w="1683" w:type="dxa"/>
            <w:noWrap/>
            <w:hideMark/>
          </w:tcPr>
          <w:p w14:paraId="0466D60C"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63419BC4"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209C0C7"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Stock at 31st December 2021</w:t>
            </w:r>
          </w:p>
        </w:tc>
        <w:tc>
          <w:tcPr>
            <w:tcW w:w="1620" w:type="dxa"/>
            <w:noWrap/>
            <w:hideMark/>
          </w:tcPr>
          <w:p w14:paraId="6B35520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510850</w:t>
            </w:r>
          </w:p>
        </w:tc>
        <w:tc>
          <w:tcPr>
            <w:tcW w:w="1683" w:type="dxa"/>
            <w:noWrap/>
            <w:hideMark/>
          </w:tcPr>
          <w:p w14:paraId="7799D307"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04321F57"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6701A184"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 xml:space="preserve">Total current assets </w:t>
            </w:r>
          </w:p>
        </w:tc>
        <w:tc>
          <w:tcPr>
            <w:tcW w:w="1683" w:type="dxa"/>
            <w:noWrap/>
            <w:hideMark/>
          </w:tcPr>
          <w:p w14:paraId="449E33B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777955</w:t>
            </w:r>
          </w:p>
        </w:tc>
      </w:tr>
      <w:tr w:rsidR="00B04BD0" w14:paraId="43F9D761"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11E900C2"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Long term assets</w:t>
            </w:r>
          </w:p>
        </w:tc>
        <w:tc>
          <w:tcPr>
            <w:tcW w:w="1683" w:type="dxa"/>
            <w:noWrap/>
            <w:hideMark/>
          </w:tcPr>
          <w:p w14:paraId="32CED623"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7CFECE9A"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62C875D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Plant and equipment</w:t>
            </w:r>
          </w:p>
        </w:tc>
        <w:tc>
          <w:tcPr>
            <w:tcW w:w="1683" w:type="dxa"/>
            <w:noWrap/>
            <w:hideMark/>
          </w:tcPr>
          <w:p w14:paraId="3F5D652A"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1250000</w:t>
            </w:r>
          </w:p>
        </w:tc>
      </w:tr>
      <w:tr w:rsidR="00B04BD0" w14:paraId="373C5D8E"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5648DBAF"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Total assets</w:t>
            </w:r>
          </w:p>
        </w:tc>
        <w:tc>
          <w:tcPr>
            <w:tcW w:w="1683" w:type="dxa"/>
            <w:noWrap/>
            <w:hideMark/>
          </w:tcPr>
          <w:p w14:paraId="4420BE9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2027955</w:t>
            </w:r>
          </w:p>
        </w:tc>
      </w:tr>
      <w:tr w:rsidR="00B04BD0" w14:paraId="0ECDDFFC"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21DDDAF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Current liabilities</w:t>
            </w:r>
          </w:p>
        </w:tc>
        <w:tc>
          <w:tcPr>
            <w:tcW w:w="1683" w:type="dxa"/>
            <w:noWrap/>
            <w:hideMark/>
          </w:tcPr>
          <w:p w14:paraId="572703E9"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64E5DD12"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0B166DF6"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Trade payable</w:t>
            </w:r>
          </w:p>
        </w:tc>
        <w:tc>
          <w:tcPr>
            <w:tcW w:w="1620" w:type="dxa"/>
            <w:noWrap/>
            <w:hideMark/>
          </w:tcPr>
          <w:p w14:paraId="76853EA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188625</w:t>
            </w:r>
          </w:p>
        </w:tc>
        <w:tc>
          <w:tcPr>
            <w:tcW w:w="1683" w:type="dxa"/>
            <w:noWrap/>
            <w:hideMark/>
          </w:tcPr>
          <w:p w14:paraId="70C2312F"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79E0997A"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615EE543"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payable</w:t>
            </w:r>
          </w:p>
        </w:tc>
        <w:tc>
          <w:tcPr>
            <w:tcW w:w="1620" w:type="dxa"/>
            <w:noWrap/>
            <w:hideMark/>
          </w:tcPr>
          <w:p w14:paraId="108E207F"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3000</w:t>
            </w:r>
          </w:p>
        </w:tc>
        <w:tc>
          <w:tcPr>
            <w:tcW w:w="1683" w:type="dxa"/>
            <w:noWrap/>
            <w:hideMark/>
          </w:tcPr>
          <w:p w14:paraId="378163DB"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6B523AF3"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386CE41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 xml:space="preserve">Interest </w:t>
            </w:r>
          </w:p>
        </w:tc>
        <w:tc>
          <w:tcPr>
            <w:tcW w:w="1620" w:type="dxa"/>
            <w:noWrap/>
            <w:hideMark/>
          </w:tcPr>
          <w:p w14:paraId="4478240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6000</w:t>
            </w:r>
          </w:p>
        </w:tc>
        <w:tc>
          <w:tcPr>
            <w:tcW w:w="1683" w:type="dxa"/>
            <w:noWrap/>
            <w:hideMark/>
          </w:tcPr>
          <w:p w14:paraId="500BAF55"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14B2E4CA"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4CAC6BC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10% dividend on preference share</w:t>
            </w:r>
          </w:p>
        </w:tc>
        <w:tc>
          <w:tcPr>
            <w:tcW w:w="1620" w:type="dxa"/>
            <w:noWrap/>
            <w:hideMark/>
          </w:tcPr>
          <w:p w14:paraId="0DAF493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50000</w:t>
            </w:r>
          </w:p>
        </w:tc>
        <w:tc>
          <w:tcPr>
            <w:tcW w:w="1683" w:type="dxa"/>
            <w:noWrap/>
            <w:hideMark/>
          </w:tcPr>
          <w:p w14:paraId="1897DAD5"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6C58B6A4"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DFFD0D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Corporation tax</w:t>
            </w:r>
          </w:p>
        </w:tc>
        <w:tc>
          <w:tcPr>
            <w:tcW w:w="1620" w:type="dxa"/>
            <w:noWrap/>
            <w:hideMark/>
          </w:tcPr>
          <w:p w14:paraId="49FB3EBD"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100000</w:t>
            </w:r>
          </w:p>
        </w:tc>
        <w:tc>
          <w:tcPr>
            <w:tcW w:w="1683" w:type="dxa"/>
            <w:noWrap/>
            <w:hideMark/>
          </w:tcPr>
          <w:p w14:paraId="46A2BDD0"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39D891EB"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2263A8D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Total current liabilities</w:t>
            </w:r>
          </w:p>
        </w:tc>
        <w:tc>
          <w:tcPr>
            <w:tcW w:w="1683" w:type="dxa"/>
            <w:noWrap/>
            <w:hideMark/>
          </w:tcPr>
          <w:p w14:paraId="645206B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347625</w:t>
            </w:r>
          </w:p>
        </w:tc>
      </w:tr>
      <w:tr w:rsidR="00B04BD0" w14:paraId="187BCE12"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9334" w:type="dxa"/>
            <w:gridSpan w:val="3"/>
            <w:noWrap/>
            <w:hideMark/>
          </w:tcPr>
          <w:p w14:paraId="4462AC6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Non-current liabilities</w:t>
            </w:r>
          </w:p>
        </w:tc>
      </w:tr>
      <w:tr w:rsidR="00B04BD0" w14:paraId="77B118F6"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609D514B"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Debenture</w:t>
            </w:r>
          </w:p>
        </w:tc>
        <w:tc>
          <w:tcPr>
            <w:tcW w:w="1683" w:type="dxa"/>
            <w:noWrap/>
            <w:hideMark/>
          </w:tcPr>
          <w:p w14:paraId="0E44926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200000</w:t>
            </w:r>
          </w:p>
        </w:tc>
      </w:tr>
      <w:tr w:rsidR="00B04BD0" w14:paraId="6729AE23"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60178143"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Total liabilities</w:t>
            </w:r>
          </w:p>
        </w:tc>
        <w:tc>
          <w:tcPr>
            <w:tcW w:w="1683" w:type="dxa"/>
            <w:noWrap/>
            <w:hideMark/>
          </w:tcPr>
          <w:p w14:paraId="00C6D6C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547625</w:t>
            </w:r>
          </w:p>
        </w:tc>
      </w:tr>
      <w:tr w:rsidR="00B04BD0" w14:paraId="3DBB9DBD"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tcPr>
          <w:p w14:paraId="450A508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Shareholder’s equity</w:t>
            </w:r>
          </w:p>
        </w:tc>
        <w:tc>
          <w:tcPr>
            <w:tcW w:w="1683" w:type="dxa"/>
            <w:noWrap/>
          </w:tcPr>
          <w:p w14:paraId="37BF375C"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1C9E797E"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619F22E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Ordinary share</w:t>
            </w:r>
          </w:p>
        </w:tc>
        <w:tc>
          <w:tcPr>
            <w:tcW w:w="1683" w:type="dxa"/>
            <w:noWrap/>
            <w:hideMark/>
          </w:tcPr>
          <w:p w14:paraId="310B613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900000</w:t>
            </w:r>
          </w:p>
        </w:tc>
      </w:tr>
      <w:tr w:rsidR="00B04BD0" w14:paraId="62F9ABB5"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06A794D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Preference share</w:t>
            </w:r>
          </w:p>
        </w:tc>
        <w:tc>
          <w:tcPr>
            <w:tcW w:w="1683" w:type="dxa"/>
            <w:noWrap/>
            <w:hideMark/>
          </w:tcPr>
          <w:p w14:paraId="6604D8AF"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500000</w:t>
            </w:r>
          </w:p>
        </w:tc>
      </w:tr>
      <w:tr w:rsidR="00B04BD0" w14:paraId="10315E47"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1F3D1B7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Retained profits on 1st January 2021</w:t>
            </w:r>
          </w:p>
        </w:tc>
        <w:tc>
          <w:tcPr>
            <w:tcW w:w="1620" w:type="dxa"/>
            <w:noWrap/>
            <w:hideMark/>
          </w:tcPr>
          <w:p w14:paraId="06528BF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132000</w:t>
            </w:r>
          </w:p>
        </w:tc>
        <w:tc>
          <w:tcPr>
            <w:tcW w:w="1683" w:type="dxa"/>
            <w:noWrap/>
            <w:hideMark/>
          </w:tcPr>
          <w:p w14:paraId="27D0CC11"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0CDDC4F5"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50FA82D0"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Profit after tax</w:t>
            </w:r>
          </w:p>
        </w:tc>
        <w:tc>
          <w:tcPr>
            <w:tcW w:w="1620" w:type="dxa"/>
            <w:noWrap/>
            <w:hideMark/>
          </w:tcPr>
          <w:p w14:paraId="3579482B"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48330</w:t>
            </w:r>
          </w:p>
        </w:tc>
        <w:tc>
          <w:tcPr>
            <w:tcW w:w="1683" w:type="dxa"/>
            <w:noWrap/>
            <w:hideMark/>
          </w:tcPr>
          <w:p w14:paraId="08D274F6"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2D2CBB61"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tcPr>
          <w:p w14:paraId="32D99856"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1620" w:type="dxa"/>
            <w:noWrap/>
          </w:tcPr>
          <w:p w14:paraId="60B5F0F5"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683" w:type="dxa"/>
            <w:noWrap/>
          </w:tcPr>
          <w:p w14:paraId="3EE9DF6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180330</w:t>
            </w:r>
          </w:p>
        </w:tc>
      </w:tr>
      <w:tr w:rsidR="00B04BD0" w14:paraId="132CBECE"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281D31D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Less: 10% dividend on preference share</w:t>
            </w:r>
          </w:p>
        </w:tc>
        <w:tc>
          <w:tcPr>
            <w:tcW w:w="1620" w:type="dxa"/>
            <w:noWrap/>
            <w:hideMark/>
          </w:tcPr>
          <w:p w14:paraId="030E928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(50000)</w:t>
            </w:r>
          </w:p>
        </w:tc>
        <w:tc>
          <w:tcPr>
            <w:tcW w:w="1683" w:type="dxa"/>
            <w:noWrap/>
            <w:hideMark/>
          </w:tcPr>
          <w:p w14:paraId="6118E597"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4EDBCE5C" w14:textId="77777777" w:rsidTr="00CB7759">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6030" w:type="dxa"/>
            <w:noWrap/>
            <w:hideMark/>
          </w:tcPr>
          <w:p w14:paraId="36A0B35D"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 xml:space="preserve">          Ordinary dividend paid</w:t>
            </w:r>
          </w:p>
        </w:tc>
        <w:tc>
          <w:tcPr>
            <w:tcW w:w="1620" w:type="dxa"/>
            <w:noWrap/>
            <w:hideMark/>
          </w:tcPr>
          <w:p w14:paraId="4E0DB80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(20000)</w:t>
            </w:r>
          </w:p>
        </w:tc>
        <w:tc>
          <w:tcPr>
            <w:tcW w:w="1683" w:type="dxa"/>
            <w:noWrap/>
            <w:hideMark/>
          </w:tcPr>
          <w:p w14:paraId="7F5A8636"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B04BD0" w14:paraId="3884856A"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14:paraId="61888C4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 xml:space="preserve">          Preference dividend paid</w:t>
            </w:r>
          </w:p>
        </w:tc>
        <w:tc>
          <w:tcPr>
            <w:tcW w:w="1620" w:type="dxa"/>
            <w:noWrap/>
            <w:hideMark/>
          </w:tcPr>
          <w:p w14:paraId="4E7AF02A"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(30000)</w:t>
            </w:r>
          </w:p>
        </w:tc>
        <w:tc>
          <w:tcPr>
            <w:tcW w:w="1683" w:type="dxa"/>
            <w:noWrap/>
            <w:hideMark/>
          </w:tcPr>
          <w:p w14:paraId="5D5C49B5" w14:textId="77777777" w:rsidR="00464BD8" w:rsidRPr="00F56822" w:rsidRDefault="00464BD8"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B04BD0" w14:paraId="4D9B5F5F"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tcPr>
          <w:p w14:paraId="4EFEF31F"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1620" w:type="dxa"/>
            <w:noWrap/>
          </w:tcPr>
          <w:p w14:paraId="25C1CE45" w14:textId="77777777" w:rsidR="00464BD8" w:rsidRPr="00F56822" w:rsidRDefault="00464BD8"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683" w:type="dxa"/>
            <w:noWrap/>
          </w:tcPr>
          <w:p w14:paraId="1712F70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100000</w:t>
            </w:r>
          </w:p>
        </w:tc>
      </w:tr>
      <w:tr w:rsidR="00B04BD0" w14:paraId="3271EFE1" w14:textId="77777777" w:rsidTr="00CB775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5CA6903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Retained earnings at the year-end</w:t>
            </w:r>
          </w:p>
        </w:tc>
        <w:tc>
          <w:tcPr>
            <w:tcW w:w="1683" w:type="dxa"/>
            <w:noWrap/>
            <w:hideMark/>
          </w:tcPr>
          <w:p w14:paraId="7CF73324"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80330</w:t>
            </w:r>
          </w:p>
        </w:tc>
      </w:tr>
      <w:tr w:rsidR="00B04BD0" w14:paraId="7EEC8CA0" w14:textId="77777777" w:rsidTr="00CB775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14:paraId="580C51B2"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Liabilities and shareholder's equity</w:t>
            </w:r>
          </w:p>
        </w:tc>
        <w:tc>
          <w:tcPr>
            <w:tcW w:w="1683" w:type="dxa"/>
            <w:noWrap/>
            <w:hideMark/>
          </w:tcPr>
          <w:p w14:paraId="6BA6F40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2027955</w:t>
            </w:r>
          </w:p>
        </w:tc>
      </w:tr>
    </w:tbl>
    <w:p w14:paraId="53DBDF78" w14:textId="77777777" w:rsidR="00464BD8" w:rsidRPr="00F56822" w:rsidRDefault="00464BD8" w:rsidP="00F56822">
      <w:pPr>
        <w:spacing w:line="360" w:lineRule="auto"/>
        <w:jc w:val="both"/>
        <w:rPr>
          <w:rFonts w:ascii="Times New Roman" w:hAnsi="Times New Roman" w:cs="Times New Roman"/>
          <w:sz w:val="24"/>
          <w:szCs w:val="24"/>
        </w:rPr>
      </w:pPr>
    </w:p>
    <w:p w14:paraId="3518D67C" w14:textId="77777777" w:rsidR="009D028F"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hAnsi="Times New Roman" w:cs="Times New Roman"/>
          <w:sz w:val="24"/>
          <w:szCs w:val="24"/>
        </w:rPr>
        <w:t xml:space="preserve">The balance sheet of Wales plc is prepared above. From the balance sheet, it is found that the assets of Wales plc. and the liabilities and owner's equity are equal. The number of assets and liabilities and equity is </w:t>
      </w:r>
      <w:r w:rsidRPr="00F56822">
        <w:rPr>
          <w:rFonts w:ascii="Times New Roman" w:eastAsia="Times New Roman" w:hAnsi="Times New Roman" w:cs="Times New Roman"/>
          <w:sz w:val="24"/>
          <w:szCs w:val="24"/>
        </w:rPr>
        <w:t>£2027955. Both side amount of the organization are equal and this is only possible because of the accounting formula.</w:t>
      </w:r>
    </w:p>
    <w:p w14:paraId="14E92F5D" w14:textId="77777777" w:rsidR="009D028F" w:rsidRPr="00CB7759" w:rsidRDefault="00CB7759" w:rsidP="00F56822">
      <w:pPr>
        <w:spacing w:line="360" w:lineRule="auto"/>
        <w:jc w:val="both"/>
        <w:rPr>
          <w:rFonts w:ascii="Times New Roman" w:eastAsia="Times New Roman" w:hAnsi="Times New Roman" w:cs="Times New Roman"/>
          <w:b/>
          <w:sz w:val="32"/>
          <w:szCs w:val="24"/>
        </w:rPr>
      </w:pPr>
      <w:r w:rsidRPr="00CB7759">
        <w:rPr>
          <w:rFonts w:ascii="Times New Roman" w:eastAsia="Times New Roman" w:hAnsi="Times New Roman" w:cs="Times New Roman"/>
          <w:b/>
          <w:sz w:val="32"/>
          <w:szCs w:val="24"/>
        </w:rPr>
        <w:t>Why balance sheet is balanced</w:t>
      </w:r>
    </w:p>
    <w:p w14:paraId="50CAADDE" w14:textId="77777777" w:rsidR="009D028F" w:rsidRPr="00F56822" w:rsidRDefault="00CB7759" w:rsidP="00F56822">
      <w:pPr>
        <w:spacing w:line="360" w:lineRule="auto"/>
        <w:jc w:val="both"/>
        <w:rPr>
          <w:rFonts w:ascii="Times New Roman" w:hAnsi="Times New Roman" w:cs="Times New Roman"/>
          <w:sz w:val="24"/>
          <w:szCs w:val="24"/>
        </w:rPr>
      </w:pPr>
      <w:r w:rsidRPr="00F56822">
        <w:rPr>
          <w:rFonts w:ascii="Times New Roman" w:eastAsia="Times New Roman" w:hAnsi="Times New Roman" w:cs="Times New Roman"/>
          <w:sz w:val="24"/>
          <w:szCs w:val="24"/>
        </w:rPr>
        <w:t xml:space="preserve">The balance sheet amount is equal on both sides of the company. The sum of assets of the company is equal to the sum of total liabilities and owner's equity. In the accounting system, it is found that there is an accounting formula which is A = L + OE. The accounting formula states that A means assets of the company, L is the liabilities of the company, and OE is the owners' equity of the company. The Balance sheet name defines that the amount of the balance sheet will be equal. </w:t>
      </w:r>
      <w:r w:rsidR="00EB35C0" w:rsidRPr="00F56822">
        <w:rPr>
          <w:rFonts w:ascii="Times New Roman" w:eastAsia="Times New Roman" w:hAnsi="Times New Roman" w:cs="Times New Roman"/>
          <w:sz w:val="24"/>
          <w:szCs w:val="24"/>
        </w:rPr>
        <w:t>The double entry system is a basic princ</w:t>
      </w:r>
      <w:r>
        <w:rPr>
          <w:rFonts w:ascii="Times New Roman" w:eastAsia="Times New Roman" w:hAnsi="Times New Roman" w:cs="Times New Roman"/>
          <w:sz w:val="24"/>
          <w:szCs w:val="24"/>
        </w:rPr>
        <w:t>iple of the accounting system. T</w:t>
      </w:r>
      <w:r w:rsidR="00EB35C0" w:rsidRPr="00F56822">
        <w:rPr>
          <w:rFonts w:ascii="Times New Roman" w:eastAsia="Times New Roman" w:hAnsi="Times New Roman" w:cs="Times New Roman"/>
          <w:sz w:val="24"/>
          <w:szCs w:val="24"/>
        </w:rPr>
        <w:t>he double entry system states that there will have two sides and two accounts for each of the transactions</w:t>
      </w:r>
      <w:r>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 xml:space="preserve">Henderson, </w:t>
      </w:r>
      <w:proofErr w:type="spellStart"/>
      <w:r w:rsidRPr="00FA0681">
        <w:rPr>
          <w:rFonts w:ascii="Times New Roman" w:hAnsi="Times New Roman" w:cs="Times New Roman"/>
          <w:sz w:val="24"/>
          <w:szCs w:val="24"/>
          <w:shd w:val="clear" w:color="auto" w:fill="FFFFFF"/>
        </w:rPr>
        <w:t>Peirson</w:t>
      </w:r>
      <w:proofErr w:type="spellEnd"/>
      <w:r>
        <w:rPr>
          <w:rFonts w:ascii="Times New Roman" w:hAnsi="Times New Roman" w:cs="Times New Roman"/>
          <w:sz w:val="24"/>
          <w:szCs w:val="24"/>
          <w:shd w:val="clear" w:color="auto" w:fill="FFFFFF"/>
        </w:rPr>
        <w:t xml:space="preserve">, &amp; </w:t>
      </w:r>
      <w:proofErr w:type="spellStart"/>
      <w:r>
        <w:rPr>
          <w:rFonts w:ascii="Times New Roman" w:hAnsi="Times New Roman" w:cs="Times New Roman"/>
          <w:sz w:val="24"/>
          <w:szCs w:val="24"/>
          <w:shd w:val="clear" w:color="auto" w:fill="FFFFFF"/>
        </w:rPr>
        <w:t>Howieson</w:t>
      </w:r>
      <w:proofErr w:type="spellEnd"/>
      <w:r>
        <w:rPr>
          <w:rFonts w:ascii="Times New Roman" w:hAnsi="Times New Roman" w:cs="Times New Roman"/>
          <w:sz w:val="24"/>
          <w:szCs w:val="24"/>
          <w:shd w:val="clear" w:color="auto" w:fill="FFFFFF"/>
        </w:rPr>
        <w:t xml:space="preserve">, </w:t>
      </w:r>
      <w:r w:rsidRPr="00FA0681">
        <w:rPr>
          <w:rFonts w:ascii="Times New Roman" w:hAnsi="Times New Roman" w:cs="Times New Roman"/>
          <w:sz w:val="24"/>
          <w:szCs w:val="24"/>
          <w:shd w:val="clear" w:color="auto" w:fill="FFFFFF"/>
        </w:rPr>
        <w:t>2015)</w:t>
      </w:r>
      <w:r w:rsidR="00EB35C0" w:rsidRPr="00F56822">
        <w:rPr>
          <w:rFonts w:ascii="Times New Roman" w:eastAsia="Times New Roman" w:hAnsi="Times New Roman" w:cs="Times New Roman"/>
          <w:sz w:val="24"/>
          <w:szCs w:val="24"/>
        </w:rPr>
        <w:t>. When each of the transactions will be recorded in the book, this will have recorded on both sides of the book. One side is a debit account and another account will be a credit. When the transactions are recorded in the book, the accounts are recorded on both sides in equal amounts. This is one of the main issues for the balancing of the balance sheet. The transactions are recorded in each of the books in equal amounts. Firstly, the transactions are recorded in the primary book journal which includes a debit account and a credit account</w:t>
      </w:r>
      <w:r>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 xml:space="preserve">Hopwood, </w:t>
      </w:r>
      <w:r w:rsidRPr="00FA0681">
        <w:rPr>
          <w:rFonts w:ascii="Times New Roman" w:hAnsi="Times New Roman" w:cs="Times New Roman"/>
          <w:sz w:val="24"/>
          <w:szCs w:val="24"/>
          <w:shd w:val="clear" w:color="auto" w:fill="FFFFFF"/>
        </w:rPr>
        <w:t>2016)</w:t>
      </w:r>
      <w:r w:rsidR="00EB35C0" w:rsidRPr="00F56822">
        <w:rPr>
          <w:rFonts w:ascii="Times New Roman" w:eastAsia="Times New Roman" w:hAnsi="Times New Roman" w:cs="Times New Roman"/>
          <w:sz w:val="24"/>
          <w:szCs w:val="24"/>
        </w:rPr>
        <w:t>. Then the accounts are reported in the ledger book and here the accounts are balanced and then the balance of the account is recorded in the trial balance and then the balance sheet is prepared are prepared based on the information from the trial balance. So, in this way the balance sheet of the company becomes balanced. Another point is that the formula of accounting is A = L + OE. Each of the accounting transactions impacts the formula which means assets, liabilities, and owner's equity. In the OE there are four points capital, withdrawal, income, and expense</w:t>
      </w:r>
      <w:r>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 xml:space="preserve">Libby, Short, </w:t>
      </w:r>
      <w:r w:rsidRPr="00FA0681">
        <w:rPr>
          <w:rFonts w:ascii="Times New Roman" w:hAnsi="Times New Roman" w:cs="Times New Roman"/>
          <w:sz w:val="24"/>
          <w:szCs w:val="24"/>
          <w:shd w:val="clear" w:color="auto" w:fill="FFFFFF"/>
        </w:rPr>
        <w:t>&amp; Libby,</w:t>
      </w:r>
      <w:r>
        <w:rPr>
          <w:rFonts w:ascii="Times New Roman" w:hAnsi="Times New Roman" w:cs="Times New Roman"/>
          <w:sz w:val="24"/>
          <w:szCs w:val="24"/>
          <w:shd w:val="clear" w:color="auto" w:fill="FFFFFF"/>
        </w:rPr>
        <w:t xml:space="preserve"> </w:t>
      </w:r>
      <w:r w:rsidRPr="00FA0681">
        <w:rPr>
          <w:rFonts w:ascii="Times New Roman" w:hAnsi="Times New Roman" w:cs="Times New Roman"/>
          <w:sz w:val="24"/>
          <w:szCs w:val="24"/>
          <w:shd w:val="clear" w:color="auto" w:fill="FFFFFF"/>
        </w:rPr>
        <w:t>2014)</w:t>
      </w:r>
      <w:r w:rsidR="00EB35C0" w:rsidRPr="00F56822">
        <w:rPr>
          <w:rFonts w:ascii="Times New Roman" w:eastAsia="Times New Roman" w:hAnsi="Times New Roman" w:cs="Times New Roman"/>
          <w:sz w:val="24"/>
          <w:szCs w:val="24"/>
        </w:rPr>
        <w:t xml:space="preserve">. So, each of the transactions influences these accounts. As the transactions impact the account formula and the amount is equal, this also impacts the balance sheet and equals the balance sheet. After all, from the above explanation it can be said that the accounting formula and the double entry system are the main cause of balancing the balance sheet. </w:t>
      </w:r>
    </w:p>
    <w:p w14:paraId="0A7D0880" w14:textId="77777777" w:rsidR="00EB35C0" w:rsidRPr="00CB7759" w:rsidRDefault="00CB7759"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Ratio analysis of Sweet Plc and comment on the company's performance</w:t>
      </w:r>
    </w:p>
    <w:p w14:paraId="79BBCAB9" w14:textId="77777777" w:rsidR="004310A6"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Ratio analysis is one of the financial performance measurements of the company because by ratio analysis the company can measure the performance of the company. Following the ratio analysis of the company, the company can compare the performance of the company based on the performance of the previous year. As ratio analysis is conducted for financial performance, Sweet Plc being acknowledged with this wanted to calculate the ratio of the company. Two years' financial information of the company is given and the ratio will be calculated based on this information. Two years of financial information are given so that the company can compare the performance of the company for these two years. </w:t>
      </w:r>
    </w:p>
    <w:p w14:paraId="345D0C33" w14:textId="77777777" w:rsidR="00464BD8" w:rsidRPr="00F56822" w:rsidRDefault="00464BD8" w:rsidP="00F56822">
      <w:pPr>
        <w:spacing w:line="360" w:lineRule="auto"/>
        <w:jc w:val="both"/>
        <w:rPr>
          <w:rFonts w:ascii="Times New Roman" w:hAnsi="Times New Roman" w:cs="Times New Roman"/>
          <w:sz w:val="24"/>
          <w:szCs w:val="24"/>
        </w:rPr>
      </w:pPr>
    </w:p>
    <w:p w14:paraId="70A9D711"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                                         Sweet Plc Income statement </w:t>
      </w:r>
    </w:p>
    <w:tbl>
      <w:tblPr>
        <w:tblStyle w:val="GridTable4-Accent4"/>
        <w:tblW w:w="7942" w:type="dxa"/>
        <w:tblLook w:val="04A0" w:firstRow="1" w:lastRow="0" w:firstColumn="1" w:lastColumn="0" w:noHBand="0" w:noVBand="1"/>
      </w:tblPr>
      <w:tblGrid>
        <w:gridCol w:w="4812"/>
        <w:gridCol w:w="1565"/>
        <w:gridCol w:w="1565"/>
      </w:tblGrid>
      <w:tr w:rsidR="00B04BD0" w14:paraId="75833722" w14:textId="77777777" w:rsidTr="00CB7759">
        <w:trPr>
          <w:cnfStyle w:val="100000000000" w:firstRow="1" w:lastRow="0" w:firstColumn="0" w:lastColumn="0" w:oddVBand="0" w:evenVBand="0" w:oddHBand="0"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3EAC9F83"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565" w:type="dxa"/>
            <w:noWrap/>
            <w:hideMark/>
          </w:tcPr>
          <w:p w14:paraId="7F7033A3"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2021</w:t>
            </w:r>
          </w:p>
        </w:tc>
        <w:tc>
          <w:tcPr>
            <w:tcW w:w="1565" w:type="dxa"/>
            <w:noWrap/>
            <w:hideMark/>
          </w:tcPr>
          <w:p w14:paraId="0E79E642"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2020</w:t>
            </w:r>
          </w:p>
        </w:tc>
      </w:tr>
      <w:tr w:rsidR="00B04BD0" w14:paraId="15CAED45"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45E7064B"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Revenue</w:t>
            </w:r>
          </w:p>
        </w:tc>
        <w:tc>
          <w:tcPr>
            <w:tcW w:w="1565" w:type="dxa"/>
            <w:noWrap/>
            <w:hideMark/>
          </w:tcPr>
          <w:p w14:paraId="4AE9374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6738</w:t>
            </w:r>
          </w:p>
        </w:tc>
        <w:tc>
          <w:tcPr>
            <w:tcW w:w="1565" w:type="dxa"/>
            <w:noWrap/>
            <w:hideMark/>
          </w:tcPr>
          <w:p w14:paraId="6FFB4675"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6441</w:t>
            </w:r>
          </w:p>
        </w:tc>
      </w:tr>
      <w:tr w:rsidR="00B04BD0" w14:paraId="7D8CDB2C" w14:textId="77777777" w:rsidTr="00CB7759">
        <w:trPr>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24FD1FC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Cost of sales</w:t>
            </w:r>
          </w:p>
        </w:tc>
        <w:tc>
          <w:tcPr>
            <w:tcW w:w="1565" w:type="dxa"/>
            <w:noWrap/>
            <w:hideMark/>
          </w:tcPr>
          <w:p w14:paraId="1DB9A3A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3235</w:t>
            </w:r>
          </w:p>
        </w:tc>
        <w:tc>
          <w:tcPr>
            <w:tcW w:w="1565" w:type="dxa"/>
            <w:noWrap/>
            <w:hideMark/>
          </w:tcPr>
          <w:p w14:paraId="75C76579"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3096</w:t>
            </w:r>
          </w:p>
        </w:tc>
      </w:tr>
      <w:tr w:rsidR="00B04BD0" w14:paraId="54FB40F3"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1FC12FE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Gross profit</w:t>
            </w:r>
          </w:p>
        </w:tc>
        <w:tc>
          <w:tcPr>
            <w:tcW w:w="1565" w:type="dxa"/>
            <w:noWrap/>
            <w:hideMark/>
          </w:tcPr>
          <w:p w14:paraId="51569F2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3503</w:t>
            </w:r>
          </w:p>
        </w:tc>
        <w:tc>
          <w:tcPr>
            <w:tcW w:w="1565" w:type="dxa"/>
            <w:noWrap/>
            <w:hideMark/>
          </w:tcPr>
          <w:p w14:paraId="03259CC1"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3345</w:t>
            </w:r>
          </w:p>
        </w:tc>
      </w:tr>
      <w:tr w:rsidR="00B04BD0" w14:paraId="14804C04" w14:textId="77777777" w:rsidTr="00CB7759">
        <w:trPr>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45F783E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Distribution costs</w:t>
            </w:r>
          </w:p>
        </w:tc>
        <w:tc>
          <w:tcPr>
            <w:tcW w:w="1565" w:type="dxa"/>
            <w:noWrap/>
            <w:hideMark/>
          </w:tcPr>
          <w:p w14:paraId="438BBBF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437</w:t>
            </w:r>
          </w:p>
        </w:tc>
        <w:tc>
          <w:tcPr>
            <w:tcW w:w="1565" w:type="dxa"/>
            <w:noWrap/>
            <w:hideMark/>
          </w:tcPr>
          <w:p w14:paraId="62B6A90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422</w:t>
            </w:r>
          </w:p>
        </w:tc>
      </w:tr>
      <w:tr w:rsidR="00B04BD0" w14:paraId="0EB6AE98"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18F0E556"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Marketing and selling costs</w:t>
            </w:r>
          </w:p>
        </w:tc>
        <w:tc>
          <w:tcPr>
            <w:tcW w:w="1565" w:type="dxa"/>
            <w:noWrap/>
            <w:hideMark/>
          </w:tcPr>
          <w:p w14:paraId="6C9ACA5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1324</w:t>
            </w:r>
          </w:p>
        </w:tc>
        <w:tc>
          <w:tcPr>
            <w:tcW w:w="1565" w:type="dxa"/>
            <w:noWrap/>
            <w:hideMark/>
          </w:tcPr>
          <w:p w14:paraId="09514AF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1274</w:t>
            </w:r>
          </w:p>
        </w:tc>
      </w:tr>
      <w:tr w:rsidR="00B04BD0" w14:paraId="46452624" w14:textId="77777777" w:rsidTr="00CB7759">
        <w:trPr>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1154B92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Administrative expenses</w:t>
            </w:r>
          </w:p>
        </w:tc>
        <w:tc>
          <w:tcPr>
            <w:tcW w:w="1565" w:type="dxa"/>
            <w:noWrap/>
            <w:hideMark/>
          </w:tcPr>
          <w:p w14:paraId="7A503FB8"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927</w:t>
            </w:r>
          </w:p>
        </w:tc>
        <w:tc>
          <w:tcPr>
            <w:tcW w:w="1565" w:type="dxa"/>
            <w:noWrap/>
            <w:hideMark/>
          </w:tcPr>
          <w:p w14:paraId="73A9704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950</w:t>
            </w:r>
          </w:p>
        </w:tc>
      </w:tr>
      <w:tr w:rsidR="00B04BD0" w14:paraId="75E2ED42"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65D4FE87"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Operating profit</w:t>
            </w:r>
          </w:p>
        </w:tc>
        <w:tc>
          <w:tcPr>
            <w:tcW w:w="1565" w:type="dxa"/>
            <w:noWrap/>
            <w:hideMark/>
          </w:tcPr>
          <w:p w14:paraId="37357DE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805</w:t>
            </w:r>
          </w:p>
        </w:tc>
        <w:tc>
          <w:tcPr>
            <w:tcW w:w="1565" w:type="dxa"/>
            <w:noWrap/>
            <w:hideMark/>
          </w:tcPr>
          <w:p w14:paraId="1A2AC561"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699</w:t>
            </w:r>
          </w:p>
        </w:tc>
      </w:tr>
      <w:tr w:rsidR="00B04BD0" w14:paraId="2E6B7A57" w14:textId="77777777" w:rsidTr="00CB7759">
        <w:trPr>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1DB4E0B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Profit/loss on sale of fixed assets</w:t>
            </w:r>
          </w:p>
        </w:tc>
        <w:tc>
          <w:tcPr>
            <w:tcW w:w="1565" w:type="dxa"/>
            <w:noWrap/>
            <w:hideMark/>
          </w:tcPr>
          <w:p w14:paraId="3F1D509A"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19</w:t>
            </w:r>
          </w:p>
        </w:tc>
        <w:tc>
          <w:tcPr>
            <w:tcW w:w="1565" w:type="dxa"/>
            <w:noWrap/>
            <w:hideMark/>
          </w:tcPr>
          <w:p w14:paraId="62A9FD68"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w:t>
            </w:r>
          </w:p>
        </w:tc>
      </w:tr>
      <w:tr w:rsidR="00B04BD0" w14:paraId="28BD156D"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6C41233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Investment Income</w:t>
            </w:r>
          </w:p>
        </w:tc>
        <w:tc>
          <w:tcPr>
            <w:tcW w:w="1565" w:type="dxa"/>
            <w:noWrap/>
            <w:hideMark/>
          </w:tcPr>
          <w:p w14:paraId="19F1A78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22</w:t>
            </w:r>
          </w:p>
        </w:tc>
        <w:tc>
          <w:tcPr>
            <w:tcW w:w="1565" w:type="dxa"/>
            <w:noWrap/>
            <w:hideMark/>
          </w:tcPr>
          <w:p w14:paraId="66B42A0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26</w:t>
            </w:r>
          </w:p>
        </w:tc>
      </w:tr>
      <w:tr w:rsidR="00B04BD0" w14:paraId="5E4CDC59" w14:textId="77777777" w:rsidTr="00CB7759">
        <w:trPr>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78EBC9FD"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Interest payable</w:t>
            </w:r>
          </w:p>
        </w:tc>
        <w:tc>
          <w:tcPr>
            <w:tcW w:w="1565" w:type="dxa"/>
            <w:noWrap/>
            <w:hideMark/>
          </w:tcPr>
          <w:p w14:paraId="08B0F57C"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226</w:t>
            </w:r>
          </w:p>
        </w:tc>
        <w:tc>
          <w:tcPr>
            <w:tcW w:w="1565" w:type="dxa"/>
            <w:noWrap/>
            <w:hideMark/>
          </w:tcPr>
          <w:p w14:paraId="07C65238"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181</w:t>
            </w:r>
          </w:p>
        </w:tc>
      </w:tr>
      <w:tr w:rsidR="00B04BD0" w14:paraId="7B56BF34"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45AE3067"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Profit before tax</w:t>
            </w:r>
          </w:p>
        </w:tc>
        <w:tc>
          <w:tcPr>
            <w:tcW w:w="1565" w:type="dxa"/>
            <w:noWrap/>
            <w:hideMark/>
          </w:tcPr>
          <w:p w14:paraId="4683B2BD"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620</w:t>
            </w:r>
          </w:p>
        </w:tc>
        <w:tc>
          <w:tcPr>
            <w:tcW w:w="1565" w:type="dxa"/>
            <w:noWrap/>
            <w:hideMark/>
          </w:tcPr>
          <w:p w14:paraId="456CD5E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539</w:t>
            </w:r>
          </w:p>
        </w:tc>
      </w:tr>
      <w:tr w:rsidR="00B04BD0" w14:paraId="06B8DC26" w14:textId="77777777" w:rsidTr="00CB7759">
        <w:trPr>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49F22840"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tax</w:t>
            </w:r>
          </w:p>
        </w:tc>
        <w:tc>
          <w:tcPr>
            <w:tcW w:w="1565" w:type="dxa"/>
            <w:noWrap/>
            <w:hideMark/>
          </w:tcPr>
          <w:p w14:paraId="69FEEA8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189</w:t>
            </w:r>
          </w:p>
        </w:tc>
        <w:tc>
          <w:tcPr>
            <w:tcW w:w="1565" w:type="dxa"/>
            <w:noWrap/>
            <w:hideMark/>
          </w:tcPr>
          <w:p w14:paraId="7379121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173</w:t>
            </w:r>
          </w:p>
        </w:tc>
      </w:tr>
      <w:tr w:rsidR="00B04BD0" w14:paraId="2AA77D79" w14:textId="77777777" w:rsidTr="00CB7759">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4812" w:type="dxa"/>
            <w:noWrap/>
            <w:hideMark/>
          </w:tcPr>
          <w:p w14:paraId="7CE249C9"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Profit for the year</w:t>
            </w:r>
          </w:p>
        </w:tc>
        <w:tc>
          <w:tcPr>
            <w:tcW w:w="1565" w:type="dxa"/>
            <w:noWrap/>
            <w:hideMark/>
          </w:tcPr>
          <w:p w14:paraId="103595C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431</w:t>
            </w:r>
          </w:p>
        </w:tc>
        <w:tc>
          <w:tcPr>
            <w:tcW w:w="1565" w:type="dxa"/>
            <w:noWrap/>
            <w:hideMark/>
          </w:tcPr>
          <w:p w14:paraId="72BF297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366</w:t>
            </w:r>
          </w:p>
        </w:tc>
      </w:tr>
    </w:tbl>
    <w:p w14:paraId="76855582" w14:textId="77777777" w:rsidR="00464BD8" w:rsidRPr="00F56822" w:rsidRDefault="00464BD8" w:rsidP="00F56822">
      <w:pPr>
        <w:spacing w:line="360" w:lineRule="auto"/>
        <w:jc w:val="both"/>
        <w:rPr>
          <w:rFonts w:ascii="Times New Roman" w:hAnsi="Times New Roman" w:cs="Times New Roman"/>
          <w:sz w:val="24"/>
          <w:szCs w:val="24"/>
        </w:rPr>
      </w:pPr>
    </w:p>
    <w:p w14:paraId="742E5229"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                                                              Sweet Plc Balance sheet</w:t>
      </w:r>
    </w:p>
    <w:tbl>
      <w:tblPr>
        <w:tblStyle w:val="GridTable4-Accent4"/>
        <w:tblW w:w="8890" w:type="dxa"/>
        <w:tblLook w:val="04A0" w:firstRow="1" w:lastRow="0" w:firstColumn="1" w:lastColumn="0" w:noHBand="0" w:noVBand="1"/>
      </w:tblPr>
      <w:tblGrid>
        <w:gridCol w:w="5283"/>
        <w:gridCol w:w="1749"/>
        <w:gridCol w:w="1858"/>
      </w:tblGrid>
      <w:tr w:rsidR="00B04BD0" w14:paraId="1EE9CF40" w14:textId="77777777" w:rsidTr="00CB7759">
        <w:trPr>
          <w:cnfStyle w:val="100000000000" w:firstRow="1" w:lastRow="0" w:firstColumn="0" w:lastColumn="0" w:oddVBand="0" w:evenVBand="0" w:oddHBand="0"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3012EB80"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749" w:type="dxa"/>
            <w:noWrap/>
            <w:hideMark/>
          </w:tcPr>
          <w:p w14:paraId="60E16A09"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2021</w:t>
            </w:r>
          </w:p>
        </w:tc>
        <w:tc>
          <w:tcPr>
            <w:tcW w:w="1858" w:type="dxa"/>
            <w:noWrap/>
            <w:hideMark/>
          </w:tcPr>
          <w:p w14:paraId="42ADC19F"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2020</w:t>
            </w:r>
          </w:p>
        </w:tc>
      </w:tr>
      <w:tr w:rsidR="00B04BD0" w14:paraId="18EAD54E"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0AC07F9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Non-current assets</w:t>
            </w:r>
          </w:p>
        </w:tc>
        <w:tc>
          <w:tcPr>
            <w:tcW w:w="1749" w:type="dxa"/>
            <w:noWrap/>
            <w:hideMark/>
          </w:tcPr>
          <w:p w14:paraId="15EBF70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858" w:type="dxa"/>
            <w:noWrap/>
            <w:hideMark/>
          </w:tcPr>
          <w:p w14:paraId="186FED2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r>
      <w:tr w:rsidR="00B04BD0" w14:paraId="1E0EC6E5"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0405D1C7"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Intangible assets</w:t>
            </w:r>
          </w:p>
        </w:tc>
        <w:tc>
          <w:tcPr>
            <w:tcW w:w="1749" w:type="dxa"/>
            <w:noWrap/>
            <w:hideMark/>
          </w:tcPr>
          <w:p w14:paraId="6E4D7ADC"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5485</w:t>
            </w:r>
          </w:p>
        </w:tc>
        <w:tc>
          <w:tcPr>
            <w:tcW w:w="1858" w:type="dxa"/>
            <w:noWrap/>
            <w:hideMark/>
          </w:tcPr>
          <w:p w14:paraId="2D6F334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5809</w:t>
            </w:r>
          </w:p>
        </w:tc>
      </w:tr>
      <w:tr w:rsidR="00B04BD0" w14:paraId="74FF0CE6"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37F0F717"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Property plant and equipment</w:t>
            </w:r>
          </w:p>
        </w:tc>
        <w:tc>
          <w:tcPr>
            <w:tcW w:w="1749" w:type="dxa"/>
            <w:noWrap/>
            <w:hideMark/>
          </w:tcPr>
          <w:p w14:paraId="3243F42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1613</w:t>
            </w:r>
          </w:p>
        </w:tc>
        <w:tc>
          <w:tcPr>
            <w:tcW w:w="1858" w:type="dxa"/>
            <w:noWrap/>
            <w:hideMark/>
          </w:tcPr>
          <w:p w14:paraId="73FABBA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1605</w:t>
            </w:r>
          </w:p>
        </w:tc>
      </w:tr>
      <w:tr w:rsidR="00B04BD0" w14:paraId="42494EDC"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779EDC2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Investments</w:t>
            </w:r>
          </w:p>
        </w:tc>
        <w:tc>
          <w:tcPr>
            <w:tcW w:w="1749" w:type="dxa"/>
            <w:noWrap/>
            <w:hideMark/>
          </w:tcPr>
          <w:p w14:paraId="24707CB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335</w:t>
            </w:r>
          </w:p>
        </w:tc>
        <w:tc>
          <w:tcPr>
            <w:tcW w:w="1858" w:type="dxa"/>
            <w:noWrap/>
            <w:hideMark/>
          </w:tcPr>
          <w:p w14:paraId="0A6E3DE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318</w:t>
            </w:r>
          </w:p>
        </w:tc>
      </w:tr>
      <w:tr w:rsidR="00B04BD0" w14:paraId="3AA714C5"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1163318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Current assets</w:t>
            </w:r>
          </w:p>
        </w:tc>
        <w:tc>
          <w:tcPr>
            <w:tcW w:w="1749" w:type="dxa"/>
            <w:noWrap/>
            <w:hideMark/>
          </w:tcPr>
          <w:p w14:paraId="256EE4B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858" w:type="dxa"/>
            <w:noWrap/>
            <w:hideMark/>
          </w:tcPr>
          <w:p w14:paraId="2A4881C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r>
      <w:tr w:rsidR="00B04BD0" w14:paraId="1ACD6D68"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36D497D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inventory</w:t>
            </w:r>
          </w:p>
        </w:tc>
        <w:tc>
          <w:tcPr>
            <w:tcW w:w="1749" w:type="dxa"/>
            <w:noWrap/>
            <w:hideMark/>
          </w:tcPr>
          <w:p w14:paraId="14D2F25F"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708</w:t>
            </w:r>
          </w:p>
        </w:tc>
        <w:tc>
          <w:tcPr>
            <w:tcW w:w="1858" w:type="dxa"/>
            <w:noWrap/>
            <w:hideMark/>
          </w:tcPr>
          <w:p w14:paraId="7BA8EE5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659</w:t>
            </w:r>
          </w:p>
        </w:tc>
      </w:tr>
      <w:tr w:rsidR="00B04BD0" w14:paraId="32F94730"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55EAFFED"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Trade receivable</w:t>
            </w:r>
          </w:p>
        </w:tc>
        <w:tc>
          <w:tcPr>
            <w:tcW w:w="1749" w:type="dxa"/>
            <w:noWrap/>
            <w:hideMark/>
          </w:tcPr>
          <w:p w14:paraId="33691C7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1249</w:t>
            </w:r>
          </w:p>
        </w:tc>
        <w:tc>
          <w:tcPr>
            <w:tcW w:w="1858" w:type="dxa"/>
            <w:noWrap/>
            <w:hideMark/>
          </w:tcPr>
          <w:p w14:paraId="6274B965"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1287</w:t>
            </w:r>
          </w:p>
        </w:tc>
      </w:tr>
      <w:tr w:rsidR="00B04BD0" w14:paraId="31469872"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202CBAB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Investments</w:t>
            </w:r>
          </w:p>
        </w:tc>
        <w:tc>
          <w:tcPr>
            <w:tcW w:w="1749" w:type="dxa"/>
            <w:noWrap/>
            <w:hideMark/>
          </w:tcPr>
          <w:p w14:paraId="6F03630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145</w:t>
            </w:r>
          </w:p>
        </w:tc>
        <w:tc>
          <w:tcPr>
            <w:tcW w:w="1858" w:type="dxa"/>
            <w:noWrap/>
            <w:hideMark/>
          </w:tcPr>
          <w:p w14:paraId="6FFBFDDA"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232</w:t>
            </w:r>
          </w:p>
        </w:tc>
      </w:tr>
      <w:tr w:rsidR="00B04BD0" w14:paraId="79A23E19"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7C5317D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Cash</w:t>
            </w:r>
          </w:p>
        </w:tc>
        <w:tc>
          <w:tcPr>
            <w:tcW w:w="1749" w:type="dxa"/>
            <w:noWrap/>
            <w:hideMark/>
          </w:tcPr>
          <w:p w14:paraId="1AC594E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201</w:t>
            </w:r>
          </w:p>
        </w:tc>
        <w:tc>
          <w:tcPr>
            <w:tcW w:w="1858" w:type="dxa"/>
            <w:noWrap/>
            <w:hideMark/>
          </w:tcPr>
          <w:p w14:paraId="28EF266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177</w:t>
            </w:r>
          </w:p>
        </w:tc>
      </w:tr>
      <w:tr w:rsidR="00B04BD0" w14:paraId="4708B878"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603533C0"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Total assets</w:t>
            </w:r>
          </w:p>
        </w:tc>
        <w:tc>
          <w:tcPr>
            <w:tcW w:w="1749" w:type="dxa"/>
            <w:noWrap/>
            <w:hideMark/>
          </w:tcPr>
          <w:p w14:paraId="740F318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9736</w:t>
            </w:r>
          </w:p>
        </w:tc>
        <w:tc>
          <w:tcPr>
            <w:tcW w:w="1858" w:type="dxa"/>
            <w:noWrap/>
            <w:hideMark/>
          </w:tcPr>
          <w:p w14:paraId="05EBEDA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10087</w:t>
            </w:r>
          </w:p>
        </w:tc>
      </w:tr>
      <w:tr w:rsidR="00B04BD0" w14:paraId="62F1138A"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3499B227"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Current Liabilities</w:t>
            </w:r>
          </w:p>
        </w:tc>
        <w:tc>
          <w:tcPr>
            <w:tcW w:w="1749" w:type="dxa"/>
            <w:noWrap/>
            <w:hideMark/>
          </w:tcPr>
          <w:p w14:paraId="075464D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858" w:type="dxa"/>
            <w:noWrap/>
            <w:hideMark/>
          </w:tcPr>
          <w:p w14:paraId="4BADBB2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r>
      <w:tr w:rsidR="00B04BD0" w14:paraId="0E6C36AC"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55878F91"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Trade payable</w:t>
            </w:r>
          </w:p>
        </w:tc>
        <w:tc>
          <w:tcPr>
            <w:tcW w:w="1749" w:type="dxa"/>
            <w:noWrap/>
            <w:hideMark/>
          </w:tcPr>
          <w:p w14:paraId="4C9B7FDF"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583</w:t>
            </w:r>
          </w:p>
        </w:tc>
        <w:tc>
          <w:tcPr>
            <w:tcW w:w="1858" w:type="dxa"/>
            <w:noWrap/>
            <w:hideMark/>
          </w:tcPr>
          <w:p w14:paraId="048571D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655</w:t>
            </w:r>
          </w:p>
        </w:tc>
      </w:tr>
      <w:tr w:rsidR="00B04BD0" w14:paraId="126DF462"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687A0C7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other creditors</w:t>
            </w:r>
          </w:p>
        </w:tc>
        <w:tc>
          <w:tcPr>
            <w:tcW w:w="1749" w:type="dxa"/>
            <w:noWrap/>
            <w:hideMark/>
          </w:tcPr>
          <w:p w14:paraId="2D3E3DD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1928</w:t>
            </w:r>
          </w:p>
        </w:tc>
        <w:tc>
          <w:tcPr>
            <w:tcW w:w="1858" w:type="dxa"/>
            <w:noWrap/>
            <w:hideMark/>
          </w:tcPr>
          <w:p w14:paraId="47D6B1C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2391</w:t>
            </w:r>
          </w:p>
        </w:tc>
      </w:tr>
      <w:tr w:rsidR="00B04BD0" w14:paraId="1DFAB55A"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1F452114"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Noncurrent liabilities</w:t>
            </w:r>
          </w:p>
        </w:tc>
        <w:tc>
          <w:tcPr>
            <w:tcW w:w="1749" w:type="dxa"/>
            <w:noWrap/>
            <w:hideMark/>
          </w:tcPr>
          <w:p w14:paraId="3A12CF10"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858" w:type="dxa"/>
            <w:noWrap/>
            <w:hideMark/>
          </w:tcPr>
          <w:p w14:paraId="7E9E67A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r>
      <w:tr w:rsidR="00B04BD0" w14:paraId="3754A291"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360C0F25"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Loans and other borrowings</w:t>
            </w:r>
          </w:p>
        </w:tc>
        <w:tc>
          <w:tcPr>
            <w:tcW w:w="1749" w:type="dxa"/>
            <w:noWrap/>
            <w:hideMark/>
          </w:tcPr>
          <w:p w14:paraId="07ADC2E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4137</w:t>
            </w:r>
          </w:p>
        </w:tc>
        <w:tc>
          <w:tcPr>
            <w:tcW w:w="1858" w:type="dxa"/>
            <w:noWrap/>
            <w:hideMark/>
          </w:tcPr>
          <w:p w14:paraId="301BD8B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4129</w:t>
            </w:r>
          </w:p>
        </w:tc>
      </w:tr>
      <w:tr w:rsidR="00B04BD0" w14:paraId="62D5BB41"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44ED6B38"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Net assets</w:t>
            </w:r>
          </w:p>
        </w:tc>
        <w:tc>
          <w:tcPr>
            <w:tcW w:w="1749" w:type="dxa"/>
            <w:noWrap/>
            <w:hideMark/>
          </w:tcPr>
          <w:p w14:paraId="63371550"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c>
          <w:tcPr>
            <w:tcW w:w="1858" w:type="dxa"/>
            <w:noWrap/>
            <w:hideMark/>
          </w:tcPr>
          <w:p w14:paraId="5339935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 </w:t>
            </w:r>
          </w:p>
        </w:tc>
      </w:tr>
      <w:tr w:rsidR="00B04BD0" w14:paraId="45D3419E"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3C7DA03A"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Equity</w:t>
            </w:r>
          </w:p>
        </w:tc>
        <w:tc>
          <w:tcPr>
            <w:tcW w:w="1749" w:type="dxa"/>
            <w:noWrap/>
            <w:hideMark/>
          </w:tcPr>
          <w:p w14:paraId="3A78B55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3088</w:t>
            </w:r>
          </w:p>
        </w:tc>
        <w:tc>
          <w:tcPr>
            <w:tcW w:w="1858" w:type="dxa"/>
            <w:noWrap/>
            <w:hideMark/>
          </w:tcPr>
          <w:p w14:paraId="43D10C5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2912</w:t>
            </w:r>
          </w:p>
        </w:tc>
      </w:tr>
      <w:tr w:rsidR="00B04BD0" w14:paraId="37CA5E78"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54892656"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Ordinary share capital</w:t>
            </w:r>
          </w:p>
        </w:tc>
        <w:tc>
          <w:tcPr>
            <w:tcW w:w="1749" w:type="dxa"/>
            <w:noWrap/>
            <w:hideMark/>
          </w:tcPr>
          <w:p w14:paraId="2C90863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300</w:t>
            </w:r>
          </w:p>
        </w:tc>
        <w:tc>
          <w:tcPr>
            <w:tcW w:w="1858" w:type="dxa"/>
            <w:noWrap/>
            <w:hideMark/>
          </w:tcPr>
          <w:p w14:paraId="3F799EB5"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300</w:t>
            </w:r>
          </w:p>
        </w:tc>
      </w:tr>
      <w:tr w:rsidR="00B04BD0" w14:paraId="3495E342"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6996FDD4"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Share premium</w:t>
            </w:r>
          </w:p>
        </w:tc>
        <w:tc>
          <w:tcPr>
            <w:tcW w:w="1749" w:type="dxa"/>
            <w:noWrap/>
            <w:hideMark/>
          </w:tcPr>
          <w:p w14:paraId="60949ED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1071</w:t>
            </w:r>
          </w:p>
        </w:tc>
        <w:tc>
          <w:tcPr>
            <w:tcW w:w="1858" w:type="dxa"/>
            <w:noWrap/>
            <w:hideMark/>
          </w:tcPr>
          <w:p w14:paraId="409F268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1071</w:t>
            </w:r>
          </w:p>
        </w:tc>
      </w:tr>
      <w:tr w:rsidR="00B04BD0" w14:paraId="7B656BCA"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5283" w:type="dxa"/>
            <w:noWrap/>
            <w:hideMark/>
          </w:tcPr>
          <w:p w14:paraId="753C2920"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Retained profits</w:t>
            </w:r>
          </w:p>
        </w:tc>
        <w:tc>
          <w:tcPr>
            <w:tcW w:w="1749" w:type="dxa"/>
            <w:noWrap/>
            <w:hideMark/>
          </w:tcPr>
          <w:p w14:paraId="20029BC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1717</w:t>
            </w:r>
          </w:p>
        </w:tc>
        <w:tc>
          <w:tcPr>
            <w:tcW w:w="1858" w:type="dxa"/>
            <w:noWrap/>
            <w:hideMark/>
          </w:tcPr>
          <w:p w14:paraId="1F1ECB2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2912</w:t>
            </w:r>
          </w:p>
        </w:tc>
      </w:tr>
    </w:tbl>
    <w:p w14:paraId="7CE51A8B" w14:textId="77777777" w:rsidR="00464BD8" w:rsidRPr="00F56822" w:rsidRDefault="00464BD8" w:rsidP="00F56822">
      <w:pPr>
        <w:spacing w:line="360" w:lineRule="auto"/>
        <w:jc w:val="both"/>
        <w:rPr>
          <w:rFonts w:ascii="Times New Roman" w:hAnsi="Times New Roman" w:cs="Times New Roman"/>
          <w:sz w:val="24"/>
          <w:szCs w:val="24"/>
        </w:rPr>
      </w:pPr>
    </w:p>
    <w:p w14:paraId="7C383191"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Return on capital employed</w:t>
      </w:r>
    </w:p>
    <w:tbl>
      <w:tblPr>
        <w:tblStyle w:val="GridTable4-Accent2"/>
        <w:tblW w:w="9133" w:type="dxa"/>
        <w:tblLook w:val="04A0" w:firstRow="1" w:lastRow="0" w:firstColumn="1" w:lastColumn="0" w:noHBand="0" w:noVBand="1"/>
      </w:tblPr>
      <w:tblGrid>
        <w:gridCol w:w="3864"/>
        <w:gridCol w:w="2343"/>
        <w:gridCol w:w="1359"/>
        <w:gridCol w:w="1567"/>
      </w:tblGrid>
      <w:tr w:rsidR="00B04BD0" w14:paraId="7B5250AC" w14:textId="77777777" w:rsidTr="00CB7759">
        <w:trPr>
          <w:cnfStyle w:val="100000000000" w:firstRow="1" w:lastRow="0" w:firstColumn="0" w:lastColumn="0" w:oddVBand="0" w:evenVBand="0" w:oddHBand="0"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val="restart"/>
            <w:noWrap/>
            <w:hideMark/>
          </w:tcPr>
          <w:p w14:paraId="12D2773F"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ROCE</w:t>
            </w:r>
          </w:p>
        </w:tc>
        <w:tc>
          <w:tcPr>
            <w:tcW w:w="2343" w:type="dxa"/>
            <w:noWrap/>
            <w:hideMark/>
          </w:tcPr>
          <w:p w14:paraId="2F357132"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359" w:type="dxa"/>
            <w:noWrap/>
            <w:hideMark/>
          </w:tcPr>
          <w:p w14:paraId="304465AE"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567" w:type="dxa"/>
            <w:noWrap/>
            <w:hideMark/>
          </w:tcPr>
          <w:p w14:paraId="4AFD87DF"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w:t>
            </w:r>
            <w:r w:rsidRPr="00F56822">
              <w:rPr>
                <w:rFonts w:ascii="Times New Roman" w:hAnsi="Times New Roman" w:cs="Times New Roman"/>
                <w:b w:val="0"/>
                <w:sz w:val="24"/>
                <w:szCs w:val="24"/>
              </w:rPr>
              <w:t>£m)</w:t>
            </w:r>
          </w:p>
        </w:tc>
      </w:tr>
      <w:tr w:rsidR="00B04BD0" w14:paraId="3B113577" w14:textId="77777777" w:rsidTr="00CB77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14:paraId="1FEDCE72"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343" w:type="dxa"/>
            <w:noWrap/>
            <w:hideMark/>
          </w:tcPr>
          <w:p w14:paraId="0115BDE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Total Assets</w:t>
            </w:r>
          </w:p>
        </w:tc>
        <w:tc>
          <w:tcPr>
            <w:tcW w:w="1359" w:type="dxa"/>
            <w:noWrap/>
            <w:hideMark/>
          </w:tcPr>
          <w:p w14:paraId="3A236CF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9736</w:t>
            </w:r>
          </w:p>
        </w:tc>
        <w:tc>
          <w:tcPr>
            <w:tcW w:w="1567" w:type="dxa"/>
            <w:noWrap/>
            <w:hideMark/>
          </w:tcPr>
          <w:p w14:paraId="7C17E09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10087</w:t>
            </w:r>
          </w:p>
        </w:tc>
      </w:tr>
      <w:tr w:rsidR="00B04BD0" w14:paraId="65F2862B" w14:textId="77777777" w:rsidTr="00CB7759">
        <w:trPr>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14:paraId="1E3CD9E5"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343" w:type="dxa"/>
            <w:noWrap/>
            <w:hideMark/>
          </w:tcPr>
          <w:p w14:paraId="1F7FDA7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Current liabilities</w:t>
            </w:r>
          </w:p>
        </w:tc>
        <w:tc>
          <w:tcPr>
            <w:tcW w:w="1359" w:type="dxa"/>
            <w:noWrap/>
            <w:hideMark/>
          </w:tcPr>
          <w:p w14:paraId="06EDE560"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2511</w:t>
            </w:r>
          </w:p>
        </w:tc>
        <w:tc>
          <w:tcPr>
            <w:tcW w:w="1567" w:type="dxa"/>
            <w:noWrap/>
            <w:hideMark/>
          </w:tcPr>
          <w:p w14:paraId="6F853FE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3046</w:t>
            </w:r>
          </w:p>
        </w:tc>
      </w:tr>
      <w:tr w:rsidR="00B04BD0" w14:paraId="112CA81E" w14:textId="77777777" w:rsidTr="00CB77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14:paraId="24121170"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343" w:type="dxa"/>
            <w:noWrap/>
            <w:hideMark/>
          </w:tcPr>
          <w:p w14:paraId="6433CC2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Capital employed</w:t>
            </w:r>
          </w:p>
        </w:tc>
        <w:tc>
          <w:tcPr>
            <w:tcW w:w="1359" w:type="dxa"/>
            <w:noWrap/>
            <w:hideMark/>
          </w:tcPr>
          <w:p w14:paraId="322BE589"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7225</w:t>
            </w:r>
          </w:p>
        </w:tc>
        <w:tc>
          <w:tcPr>
            <w:tcW w:w="1567" w:type="dxa"/>
            <w:noWrap/>
            <w:hideMark/>
          </w:tcPr>
          <w:p w14:paraId="59118BC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7041</w:t>
            </w:r>
          </w:p>
        </w:tc>
      </w:tr>
      <w:tr w:rsidR="00B04BD0" w14:paraId="4E9B3550" w14:textId="77777777" w:rsidTr="00CB7759">
        <w:trPr>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14:paraId="793A314E"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343" w:type="dxa"/>
            <w:noWrap/>
            <w:hideMark/>
          </w:tcPr>
          <w:p w14:paraId="4882763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Earnings before tax</w:t>
            </w:r>
          </w:p>
        </w:tc>
        <w:tc>
          <w:tcPr>
            <w:tcW w:w="1359" w:type="dxa"/>
            <w:noWrap/>
            <w:hideMark/>
          </w:tcPr>
          <w:p w14:paraId="4FFD358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620</w:t>
            </w:r>
          </w:p>
        </w:tc>
        <w:tc>
          <w:tcPr>
            <w:tcW w:w="1567" w:type="dxa"/>
            <w:noWrap/>
            <w:hideMark/>
          </w:tcPr>
          <w:p w14:paraId="3FFC56D0"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539</w:t>
            </w:r>
          </w:p>
        </w:tc>
      </w:tr>
      <w:tr w:rsidR="00B04BD0" w14:paraId="7481DCF2" w14:textId="77777777" w:rsidTr="00CB77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14:paraId="33593067"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343" w:type="dxa"/>
            <w:noWrap/>
            <w:hideMark/>
          </w:tcPr>
          <w:p w14:paraId="7FA2C04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ROCE</w:t>
            </w:r>
          </w:p>
        </w:tc>
        <w:tc>
          <w:tcPr>
            <w:tcW w:w="1359" w:type="dxa"/>
            <w:noWrap/>
            <w:hideMark/>
          </w:tcPr>
          <w:p w14:paraId="21B81E7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8.58%</w:t>
            </w:r>
          </w:p>
        </w:tc>
        <w:tc>
          <w:tcPr>
            <w:tcW w:w="1567" w:type="dxa"/>
            <w:noWrap/>
            <w:hideMark/>
          </w:tcPr>
          <w:p w14:paraId="2F769D6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7.66%</w:t>
            </w:r>
          </w:p>
        </w:tc>
      </w:tr>
    </w:tbl>
    <w:p w14:paraId="35063044" w14:textId="77777777" w:rsidR="004310A6" w:rsidRPr="00F56822" w:rsidRDefault="004310A6" w:rsidP="00F56822">
      <w:pPr>
        <w:spacing w:line="360" w:lineRule="auto"/>
        <w:jc w:val="both"/>
        <w:rPr>
          <w:rFonts w:ascii="Times New Roman" w:hAnsi="Times New Roman" w:cs="Times New Roman"/>
          <w:sz w:val="24"/>
          <w:szCs w:val="24"/>
        </w:rPr>
      </w:pPr>
    </w:p>
    <w:p w14:paraId="49768063" w14:textId="77777777" w:rsidR="004310A6"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Return on capital efficiency is one of the important ratio analyses by which the company can know how much efficient the company's capital is to generate income. Higher capital efficiency will give the company a better ROCE. ROCE is a determinant of the profitability of the company. The ROCE of the company is calculated by dividing the earnings before tax of the company by the capital employed by the company</w:t>
      </w:r>
      <w:r>
        <w:rPr>
          <w:rFonts w:ascii="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hAnsi="Times New Roman" w:cs="Times New Roman"/>
          <w:sz w:val="24"/>
          <w:szCs w:val="24"/>
          <w:shd w:val="clear" w:color="auto" w:fill="FFFFFF"/>
        </w:rPr>
        <w:t xml:space="preserve">Henderson, </w:t>
      </w:r>
      <w:proofErr w:type="spellStart"/>
      <w:r w:rsidRPr="00FA0681">
        <w:rPr>
          <w:rFonts w:ascii="Times New Roman" w:hAnsi="Times New Roman" w:cs="Times New Roman"/>
          <w:sz w:val="24"/>
          <w:szCs w:val="24"/>
          <w:shd w:val="clear" w:color="auto" w:fill="FFFFFF"/>
        </w:rPr>
        <w:t>Peirson</w:t>
      </w:r>
      <w:proofErr w:type="spellEnd"/>
      <w:r>
        <w:rPr>
          <w:rFonts w:ascii="Times New Roman" w:hAnsi="Times New Roman" w:cs="Times New Roman"/>
          <w:sz w:val="24"/>
          <w:szCs w:val="24"/>
          <w:shd w:val="clear" w:color="auto" w:fill="FFFFFF"/>
        </w:rPr>
        <w:t xml:space="preserve">, &amp; </w:t>
      </w:r>
      <w:proofErr w:type="spellStart"/>
      <w:r>
        <w:rPr>
          <w:rFonts w:ascii="Times New Roman" w:hAnsi="Times New Roman" w:cs="Times New Roman"/>
          <w:sz w:val="24"/>
          <w:szCs w:val="24"/>
          <w:shd w:val="clear" w:color="auto" w:fill="FFFFFF"/>
        </w:rPr>
        <w:t>Howieson</w:t>
      </w:r>
      <w:proofErr w:type="spellEnd"/>
      <w:r>
        <w:rPr>
          <w:rFonts w:ascii="Times New Roman" w:hAnsi="Times New Roman" w:cs="Times New Roman"/>
          <w:sz w:val="24"/>
          <w:szCs w:val="24"/>
          <w:shd w:val="clear" w:color="auto" w:fill="FFFFFF"/>
        </w:rPr>
        <w:t xml:space="preserve">, </w:t>
      </w:r>
      <w:r w:rsidRPr="00FA0681">
        <w:rPr>
          <w:rFonts w:ascii="Times New Roman" w:hAnsi="Times New Roman" w:cs="Times New Roman"/>
          <w:sz w:val="24"/>
          <w:szCs w:val="24"/>
          <w:shd w:val="clear" w:color="auto" w:fill="FFFFFF"/>
        </w:rPr>
        <w:t>2015)</w:t>
      </w:r>
      <w:r w:rsidRPr="00F56822">
        <w:rPr>
          <w:rFonts w:ascii="Times New Roman" w:hAnsi="Times New Roman" w:cs="Times New Roman"/>
          <w:sz w:val="24"/>
          <w:szCs w:val="24"/>
        </w:rPr>
        <w:t>. Again the capital employed by the company is calculated by deducting current liabilities from the total assets. Based on the capital employed and earnings before tax, the ROCE of the company for two years are calculated. It is found that in 2020 Sweet plc. generated 7.66% ROCE and in 2021, Sweet Plc generated 8.58% ROCE. The ROCE in 2021 I higher than that of 2020. So, to get a higher ROCE, the company needs to improve its capital employed.</w:t>
      </w:r>
    </w:p>
    <w:p w14:paraId="62282E14"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Return on Equity</w:t>
      </w:r>
    </w:p>
    <w:tbl>
      <w:tblPr>
        <w:tblStyle w:val="GridTable4-Accent4"/>
        <w:tblW w:w="9281" w:type="dxa"/>
        <w:tblLook w:val="04A0" w:firstRow="1" w:lastRow="0" w:firstColumn="1" w:lastColumn="0" w:noHBand="0" w:noVBand="1"/>
      </w:tblPr>
      <w:tblGrid>
        <w:gridCol w:w="3779"/>
        <w:gridCol w:w="2438"/>
        <w:gridCol w:w="1532"/>
        <w:gridCol w:w="1532"/>
      </w:tblGrid>
      <w:tr w:rsidR="00B04BD0" w14:paraId="0A7F7BDF" w14:textId="77777777" w:rsidTr="00CB7759">
        <w:trPr>
          <w:cnfStyle w:val="100000000000" w:firstRow="1" w:lastRow="0" w:firstColumn="0" w:lastColumn="0" w:oddVBand="0" w:evenVBand="0" w:oddHBand="0"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3779" w:type="dxa"/>
            <w:vMerge w:val="restart"/>
            <w:noWrap/>
            <w:hideMark/>
          </w:tcPr>
          <w:p w14:paraId="3A7CA67C"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ROE</w:t>
            </w:r>
          </w:p>
        </w:tc>
        <w:tc>
          <w:tcPr>
            <w:tcW w:w="2438" w:type="dxa"/>
            <w:noWrap/>
            <w:hideMark/>
          </w:tcPr>
          <w:p w14:paraId="5B0BA821"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532" w:type="dxa"/>
            <w:noWrap/>
            <w:hideMark/>
          </w:tcPr>
          <w:p w14:paraId="693DE5F5"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w:t>
            </w:r>
            <w:r w:rsidRPr="00F56822">
              <w:rPr>
                <w:rFonts w:ascii="Times New Roman" w:hAnsi="Times New Roman" w:cs="Times New Roman"/>
                <w:b w:val="0"/>
                <w:sz w:val="24"/>
                <w:szCs w:val="24"/>
              </w:rPr>
              <w:t>£m)</w:t>
            </w:r>
          </w:p>
        </w:tc>
        <w:tc>
          <w:tcPr>
            <w:tcW w:w="1532" w:type="dxa"/>
            <w:noWrap/>
            <w:hideMark/>
          </w:tcPr>
          <w:p w14:paraId="06ABDE65"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w:t>
            </w:r>
            <w:r w:rsidRPr="00F56822">
              <w:rPr>
                <w:rFonts w:ascii="Times New Roman" w:hAnsi="Times New Roman" w:cs="Times New Roman"/>
                <w:b w:val="0"/>
                <w:sz w:val="24"/>
                <w:szCs w:val="24"/>
              </w:rPr>
              <w:t>£m)</w:t>
            </w:r>
          </w:p>
        </w:tc>
      </w:tr>
      <w:tr w:rsidR="00B04BD0" w14:paraId="63327143" w14:textId="77777777" w:rsidTr="00CB7759">
        <w:trPr>
          <w:cnfStyle w:val="000000100000" w:firstRow="0" w:lastRow="0" w:firstColumn="0" w:lastColumn="0" w:oddVBand="0" w:evenVBand="0" w:oddHBand="1"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3779" w:type="dxa"/>
            <w:vMerge/>
            <w:hideMark/>
          </w:tcPr>
          <w:p w14:paraId="57BFCFCF"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438" w:type="dxa"/>
            <w:noWrap/>
            <w:hideMark/>
          </w:tcPr>
          <w:p w14:paraId="74942212"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Net Income</w:t>
            </w:r>
          </w:p>
        </w:tc>
        <w:tc>
          <w:tcPr>
            <w:tcW w:w="1532" w:type="dxa"/>
            <w:noWrap/>
            <w:hideMark/>
          </w:tcPr>
          <w:p w14:paraId="71EBFFA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431</w:t>
            </w:r>
          </w:p>
        </w:tc>
        <w:tc>
          <w:tcPr>
            <w:tcW w:w="1532" w:type="dxa"/>
            <w:noWrap/>
            <w:hideMark/>
          </w:tcPr>
          <w:p w14:paraId="05BA9D55"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366</w:t>
            </w:r>
          </w:p>
        </w:tc>
      </w:tr>
      <w:tr w:rsidR="00B04BD0" w14:paraId="4FEAE85B" w14:textId="77777777" w:rsidTr="00CB7759">
        <w:trPr>
          <w:trHeight w:val="244"/>
        </w:trPr>
        <w:tc>
          <w:tcPr>
            <w:cnfStyle w:val="001000000000" w:firstRow="0" w:lastRow="0" w:firstColumn="1" w:lastColumn="0" w:oddVBand="0" w:evenVBand="0" w:oddHBand="0" w:evenHBand="0" w:firstRowFirstColumn="0" w:firstRowLastColumn="0" w:lastRowFirstColumn="0" w:lastRowLastColumn="0"/>
            <w:tcW w:w="3779" w:type="dxa"/>
            <w:vMerge/>
            <w:hideMark/>
          </w:tcPr>
          <w:p w14:paraId="212FF7B3"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438" w:type="dxa"/>
            <w:noWrap/>
            <w:hideMark/>
          </w:tcPr>
          <w:p w14:paraId="483E582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Shareholder's equity</w:t>
            </w:r>
          </w:p>
        </w:tc>
        <w:tc>
          <w:tcPr>
            <w:tcW w:w="1532" w:type="dxa"/>
            <w:noWrap/>
            <w:hideMark/>
          </w:tcPr>
          <w:p w14:paraId="1AC7DC7B"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3088</w:t>
            </w:r>
          </w:p>
        </w:tc>
        <w:tc>
          <w:tcPr>
            <w:tcW w:w="1532" w:type="dxa"/>
            <w:noWrap/>
            <w:hideMark/>
          </w:tcPr>
          <w:p w14:paraId="00622325"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2912</w:t>
            </w:r>
          </w:p>
        </w:tc>
      </w:tr>
      <w:tr w:rsidR="00B04BD0" w14:paraId="039584BB" w14:textId="77777777" w:rsidTr="00CB7759">
        <w:trPr>
          <w:cnfStyle w:val="000000100000" w:firstRow="0" w:lastRow="0" w:firstColumn="0" w:lastColumn="0" w:oddVBand="0" w:evenVBand="0" w:oddHBand="1"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3779" w:type="dxa"/>
            <w:vMerge/>
            <w:hideMark/>
          </w:tcPr>
          <w:p w14:paraId="01E0C175"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438" w:type="dxa"/>
            <w:noWrap/>
            <w:hideMark/>
          </w:tcPr>
          <w:p w14:paraId="266A519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ROE</w:t>
            </w:r>
          </w:p>
        </w:tc>
        <w:tc>
          <w:tcPr>
            <w:tcW w:w="1532" w:type="dxa"/>
            <w:noWrap/>
            <w:hideMark/>
          </w:tcPr>
          <w:p w14:paraId="57C7D3A9"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13.96%</w:t>
            </w:r>
          </w:p>
        </w:tc>
        <w:tc>
          <w:tcPr>
            <w:tcW w:w="1532" w:type="dxa"/>
            <w:noWrap/>
            <w:hideMark/>
          </w:tcPr>
          <w:p w14:paraId="280FDCC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12.57%</w:t>
            </w:r>
          </w:p>
        </w:tc>
      </w:tr>
    </w:tbl>
    <w:p w14:paraId="1A11A385" w14:textId="77777777" w:rsidR="004310A6" w:rsidRPr="00F56822" w:rsidRDefault="004310A6" w:rsidP="00F56822">
      <w:pPr>
        <w:spacing w:line="360" w:lineRule="auto"/>
        <w:jc w:val="both"/>
        <w:rPr>
          <w:rFonts w:ascii="Times New Roman" w:hAnsi="Times New Roman" w:cs="Times New Roman"/>
          <w:sz w:val="24"/>
          <w:szCs w:val="24"/>
        </w:rPr>
      </w:pPr>
    </w:p>
    <w:p w14:paraId="31BAF7E3" w14:textId="77777777" w:rsidR="004310A6"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Another important profitability performance </w:t>
      </w:r>
      <w:r w:rsidR="00687CF8" w:rsidRPr="00F56822">
        <w:rPr>
          <w:rFonts w:ascii="Times New Roman" w:hAnsi="Times New Roman" w:cs="Times New Roman"/>
          <w:sz w:val="24"/>
          <w:szCs w:val="24"/>
        </w:rPr>
        <w:t>measurement is ROE. ROE means the return on equity</w:t>
      </w:r>
      <w:r w:rsidR="0004005F" w:rsidRPr="00F56822">
        <w:rPr>
          <w:rFonts w:ascii="Times New Roman" w:hAnsi="Times New Roman" w:cs="Times New Roman"/>
          <w:sz w:val="24"/>
          <w:szCs w:val="24"/>
        </w:rPr>
        <w:t>. From the ROE, the company can know its return on equity which means how much return the company can generate from its equity</w:t>
      </w:r>
      <w:r>
        <w:rPr>
          <w:rFonts w:ascii="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hAnsi="Times New Roman" w:cs="Times New Roman"/>
          <w:sz w:val="24"/>
          <w:szCs w:val="24"/>
          <w:shd w:val="clear" w:color="auto" w:fill="FFFFFF"/>
        </w:rPr>
        <w:t xml:space="preserve">Hopwood, </w:t>
      </w:r>
      <w:r w:rsidRPr="00FA0681">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0004005F" w:rsidRPr="00F56822">
        <w:rPr>
          <w:rFonts w:ascii="Times New Roman" w:hAnsi="Times New Roman" w:cs="Times New Roman"/>
          <w:sz w:val="24"/>
          <w:szCs w:val="24"/>
        </w:rPr>
        <w:t>. To calculate ROE, it is necessary to have shareholder's equity. By dividing the net income of the company by the shareholder's equity, the ROE of the company can be calculated. There will be lower ROE if the net income of the company is lower. From the ROE analysis, it can be said that the equity of the company will be efficient to get a higher income. In the analysis, it found that Sweet Plc has 12.57% ROE in 2020 and 13.96% ROE in 2021. The company has higher ROE in 2021 than that in 2020. From the analysis, it can be said that Sweet Plc needs to increase its net income so that it wants to increase its ROE following the equity.</w:t>
      </w:r>
    </w:p>
    <w:p w14:paraId="6CC49FBF"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Earnings per share</w:t>
      </w:r>
    </w:p>
    <w:tbl>
      <w:tblPr>
        <w:tblStyle w:val="GridTable4-Accent4"/>
        <w:tblW w:w="9279" w:type="dxa"/>
        <w:tblLook w:val="04A0" w:firstRow="1" w:lastRow="0" w:firstColumn="1" w:lastColumn="0" w:noHBand="0" w:noVBand="1"/>
      </w:tblPr>
      <w:tblGrid>
        <w:gridCol w:w="4098"/>
        <w:gridCol w:w="2299"/>
        <w:gridCol w:w="1441"/>
        <w:gridCol w:w="1441"/>
      </w:tblGrid>
      <w:tr w:rsidR="00B04BD0" w14:paraId="4351A42B" w14:textId="77777777" w:rsidTr="00CB7759">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098" w:type="dxa"/>
            <w:vMerge w:val="restart"/>
            <w:noWrap/>
            <w:hideMark/>
          </w:tcPr>
          <w:p w14:paraId="4E314BE3"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EPS</w:t>
            </w:r>
          </w:p>
        </w:tc>
        <w:tc>
          <w:tcPr>
            <w:tcW w:w="2299" w:type="dxa"/>
            <w:noWrap/>
            <w:hideMark/>
          </w:tcPr>
          <w:p w14:paraId="543913B6"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441" w:type="dxa"/>
            <w:noWrap/>
            <w:hideMark/>
          </w:tcPr>
          <w:p w14:paraId="2CB61B90"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441" w:type="dxa"/>
            <w:noWrap/>
            <w:hideMark/>
          </w:tcPr>
          <w:p w14:paraId="614C331C"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0A5B1C5C" w14:textId="77777777" w:rsidTr="00CB7759">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098" w:type="dxa"/>
            <w:vMerge/>
            <w:hideMark/>
          </w:tcPr>
          <w:p w14:paraId="2E13EE26"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99" w:type="dxa"/>
            <w:noWrap/>
            <w:hideMark/>
          </w:tcPr>
          <w:p w14:paraId="4DA3EA31"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Profit</w:t>
            </w:r>
          </w:p>
        </w:tc>
        <w:tc>
          <w:tcPr>
            <w:tcW w:w="1441" w:type="dxa"/>
            <w:noWrap/>
            <w:hideMark/>
          </w:tcPr>
          <w:p w14:paraId="245C3118"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431</w:t>
            </w:r>
          </w:p>
        </w:tc>
        <w:tc>
          <w:tcPr>
            <w:tcW w:w="1441" w:type="dxa"/>
            <w:noWrap/>
            <w:hideMark/>
          </w:tcPr>
          <w:p w14:paraId="7FD430A5"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366</w:t>
            </w:r>
          </w:p>
        </w:tc>
      </w:tr>
      <w:tr w:rsidR="00B04BD0" w14:paraId="6DFBE5D7" w14:textId="77777777" w:rsidTr="00CB7759">
        <w:trPr>
          <w:trHeight w:val="269"/>
        </w:trPr>
        <w:tc>
          <w:tcPr>
            <w:cnfStyle w:val="001000000000" w:firstRow="0" w:lastRow="0" w:firstColumn="1" w:lastColumn="0" w:oddVBand="0" w:evenVBand="0" w:oddHBand="0" w:evenHBand="0" w:firstRowFirstColumn="0" w:firstRowLastColumn="0" w:lastRowFirstColumn="0" w:lastRowLastColumn="0"/>
            <w:tcW w:w="4098" w:type="dxa"/>
            <w:vMerge/>
            <w:hideMark/>
          </w:tcPr>
          <w:p w14:paraId="645BB6FB"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99" w:type="dxa"/>
            <w:noWrap/>
            <w:hideMark/>
          </w:tcPr>
          <w:p w14:paraId="2D87B8EA"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Number of shares</w:t>
            </w:r>
          </w:p>
        </w:tc>
        <w:tc>
          <w:tcPr>
            <w:tcW w:w="1441" w:type="dxa"/>
            <w:noWrap/>
            <w:hideMark/>
          </w:tcPr>
          <w:p w14:paraId="4ACDBAE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600</w:t>
            </w:r>
          </w:p>
        </w:tc>
        <w:tc>
          <w:tcPr>
            <w:tcW w:w="1441" w:type="dxa"/>
            <w:noWrap/>
            <w:hideMark/>
          </w:tcPr>
          <w:p w14:paraId="51881E3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600</w:t>
            </w:r>
          </w:p>
        </w:tc>
      </w:tr>
      <w:tr w:rsidR="00B04BD0" w14:paraId="09D390A8" w14:textId="77777777" w:rsidTr="00CB7759">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098" w:type="dxa"/>
            <w:vMerge/>
            <w:hideMark/>
          </w:tcPr>
          <w:p w14:paraId="73AD5C58"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99" w:type="dxa"/>
            <w:noWrap/>
            <w:hideMark/>
          </w:tcPr>
          <w:p w14:paraId="5CBC83E5"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EPS</w:t>
            </w:r>
          </w:p>
        </w:tc>
        <w:tc>
          <w:tcPr>
            <w:tcW w:w="1441" w:type="dxa"/>
            <w:noWrap/>
            <w:hideMark/>
          </w:tcPr>
          <w:p w14:paraId="471CBFA2"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71.83%</w:t>
            </w:r>
          </w:p>
        </w:tc>
        <w:tc>
          <w:tcPr>
            <w:tcW w:w="1441" w:type="dxa"/>
            <w:noWrap/>
            <w:hideMark/>
          </w:tcPr>
          <w:p w14:paraId="34F082B8"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61.00%</w:t>
            </w:r>
          </w:p>
        </w:tc>
      </w:tr>
    </w:tbl>
    <w:p w14:paraId="14613F45" w14:textId="77777777" w:rsidR="0004005F"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Earnings per share provide an idea about the efficiency of the share of the company. If the share of the company is efficient, the earnings of the company will be higher. The higher EPS in the company will give competitive advantages in the market and the investors will be attracted to invest in the company</w:t>
      </w:r>
      <w:r>
        <w:rPr>
          <w:rFonts w:ascii="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hAnsi="Times New Roman" w:cs="Times New Roman"/>
          <w:sz w:val="24"/>
          <w:szCs w:val="24"/>
          <w:shd w:val="clear" w:color="auto" w:fill="FFFFFF"/>
        </w:rPr>
        <w:t xml:space="preserve">Libby, Short, </w:t>
      </w:r>
      <w:r w:rsidRPr="00FA0681">
        <w:rPr>
          <w:rFonts w:ascii="Times New Roman" w:hAnsi="Times New Roman" w:cs="Times New Roman"/>
          <w:sz w:val="24"/>
          <w:szCs w:val="24"/>
          <w:shd w:val="clear" w:color="auto" w:fill="FFFFFF"/>
        </w:rPr>
        <w:t>&amp; Libby,</w:t>
      </w:r>
      <w:r>
        <w:rPr>
          <w:rFonts w:ascii="Times New Roman" w:hAnsi="Times New Roman" w:cs="Times New Roman"/>
          <w:sz w:val="24"/>
          <w:szCs w:val="24"/>
          <w:shd w:val="clear" w:color="auto" w:fill="FFFFFF"/>
        </w:rPr>
        <w:t xml:space="preserve"> </w:t>
      </w:r>
      <w:r w:rsidRPr="00FA0681">
        <w:rPr>
          <w:rFonts w:ascii="Times New Roman" w:hAnsi="Times New Roman" w:cs="Times New Roman"/>
          <w:sz w:val="24"/>
          <w:szCs w:val="24"/>
          <w:shd w:val="clear" w:color="auto" w:fill="FFFFFF"/>
        </w:rPr>
        <w:t>2014)</w:t>
      </w:r>
      <w:r w:rsidRPr="00F56822">
        <w:rPr>
          <w:rFonts w:ascii="Times New Roman" w:hAnsi="Times New Roman" w:cs="Times New Roman"/>
          <w:sz w:val="24"/>
          <w:szCs w:val="24"/>
        </w:rPr>
        <w:t xml:space="preserve">. Here the EPS of Sweet Plc is calculated and it is found that in 2021, there is 71.83% EPS and in 2020 it has 61% EPS. In 2020 the company had a lower income compared to the number of shares. In 2021, the company had higher income and it generates higher EPS. So, it can be said that the company will better perform in future. </w:t>
      </w:r>
    </w:p>
    <w:p w14:paraId="71C5036B"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Net profit margin</w:t>
      </w:r>
    </w:p>
    <w:tbl>
      <w:tblPr>
        <w:tblStyle w:val="GridTable4-Accent4"/>
        <w:tblW w:w="9245" w:type="dxa"/>
        <w:tblLook w:val="04A0" w:firstRow="1" w:lastRow="0" w:firstColumn="1" w:lastColumn="0" w:noHBand="0" w:noVBand="1"/>
      </w:tblPr>
      <w:tblGrid>
        <w:gridCol w:w="4113"/>
        <w:gridCol w:w="2240"/>
        <w:gridCol w:w="1446"/>
        <w:gridCol w:w="1446"/>
      </w:tblGrid>
      <w:tr w:rsidR="00B04BD0" w14:paraId="29D4E3DA" w14:textId="77777777" w:rsidTr="00CB7759">
        <w:trPr>
          <w:cnfStyle w:val="100000000000" w:firstRow="1" w:lastRow="0" w:firstColumn="0" w:lastColumn="0" w:oddVBand="0" w:evenVBand="0" w:oddHBand="0"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113" w:type="dxa"/>
            <w:vMerge w:val="restart"/>
            <w:noWrap/>
            <w:hideMark/>
          </w:tcPr>
          <w:p w14:paraId="2E211968"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Net profit margin</w:t>
            </w:r>
          </w:p>
        </w:tc>
        <w:tc>
          <w:tcPr>
            <w:tcW w:w="2240" w:type="dxa"/>
            <w:noWrap/>
            <w:hideMark/>
          </w:tcPr>
          <w:p w14:paraId="46D8763C"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446" w:type="dxa"/>
            <w:noWrap/>
            <w:hideMark/>
          </w:tcPr>
          <w:p w14:paraId="793CB243"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446" w:type="dxa"/>
            <w:noWrap/>
            <w:hideMark/>
          </w:tcPr>
          <w:p w14:paraId="288FA5B5"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0B1D3E26" w14:textId="77777777" w:rsidTr="00CB7759">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113" w:type="dxa"/>
            <w:vMerge/>
            <w:hideMark/>
          </w:tcPr>
          <w:p w14:paraId="6735E687"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40" w:type="dxa"/>
            <w:noWrap/>
            <w:hideMark/>
          </w:tcPr>
          <w:p w14:paraId="19D9BC1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Net profit</w:t>
            </w:r>
          </w:p>
        </w:tc>
        <w:tc>
          <w:tcPr>
            <w:tcW w:w="1446" w:type="dxa"/>
            <w:noWrap/>
            <w:hideMark/>
          </w:tcPr>
          <w:p w14:paraId="51105E52"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431</w:t>
            </w:r>
          </w:p>
        </w:tc>
        <w:tc>
          <w:tcPr>
            <w:tcW w:w="1446" w:type="dxa"/>
            <w:noWrap/>
            <w:hideMark/>
          </w:tcPr>
          <w:p w14:paraId="7BFF459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366</w:t>
            </w:r>
          </w:p>
        </w:tc>
      </w:tr>
      <w:tr w:rsidR="00B04BD0" w14:paraId="26655469" w14:textId="77777777" w:rsidTr="00CB7759">
        <w:trPr>
          <w:trHeight w:val="275"/>
        </w:trPr>
        <w:tc>
          <w:tcPr>
            <w:cnfStyle w:val="001000000000" w:firstRow="0" w:lastRow="0" w:firstColumn="1" w:lastColumn="0" w:oddVBand="0" w:evenVBand="0" w:oddHBand="0" w:evenHBand="0" w:firstRowFirstColumn="0" w:firstRowLastColumn="0" w:lastRowFirstColumn="0" w:lastRowLastColumn="0"/>
            <w:tcW w:w="4113" w:type="dxa"/>
            <w:vMerge/>
            <w:hideMark/>
          </w:tcPr>
          <w:p w14:paraId="7BE5E32F"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40" w:type="dxa"/>
            <w:noWrap/>
            <w:hideMark/>
          </w:tcPr>
          <w:p w14:paraId="3D4988CC"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Revenue</w:t>
            </w:r>
          </w:p>
        </w:tc>
        <w:tc>
          <w:tcPr>
            <w:tcW w:w="1446" w:type="dxa"/>
            <w:noWrap/>
            <w:hideMark/>
          </w:tcPr>
          <w:p w14:paraId="4911C45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6738</w:t>
            </w:r>
          </w:p>
        </w:tc>
        <w:tc>
          <w:tcPr>
            <w:tcW w:w="1446" w:type="dxa"/>
            <w:noWrap/>
            <w:hideMark/>
          </w:tcPr>
          <w:p w14:paraId="49A6FDD9"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6441</w:t>
            </w:r>
          </w:p>
        </w:tc>
      </w:tr>
      <w:tr w:rsidR="00B04BD0" w14:paraId="40920D56" w14:textId="77777777" w:rsidTr="00CB7759">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113" w:type="dxa"/>
            <w:vMerge/>
            <w:hideMark/>
          </w:tcPr>
          <w:p w14:paraId="18640D2C"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40" w:type="dxa"/>
            <w:noWrap/>
            <w:hideMark/>
          </w:tcPr>
          <w:p w14:paraId="515A2055"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Net Profit margin</w:t>
            </w:r>
          </w:p>
        </w:tc>
        <w:tc>
          <w:tcPr>
            <w:tcW w:w="1446" w:type="dxa"/>
            <w:noWrap/>
            <w:hideMark/>
          </w:tcPr>
          <w:p w14:paraId="0997446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6.40%</w:t>
            </w:r>
          </w:p>
        </w:tc>
        <w:tc>
          <w:tcPr>
            <w:tcW w:w="1446" w:type="dxa"/>
            <w:noWrap/>
            <w:hideMark/>
          </w:tcPr>
          <w:p w14:paraId="0B290AD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5.68%</w:t>
            </w:r>
          </w:p>
        </w:tc>
      </w:tr>
    </w:tbl>
    <w:p w14:paraId="3E16624D" w14:textId="77777777" w:rsidR="00296802"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Net profit margin is necessary to get profitability of the company. For getting the profitability of the company, the net profit can be used and it is considered a good index. To ca</w:t>
      </w:r>
      <w:r w:rsidR="00856BED" w:rsidRPr="00F56822">
        <w:rPr>
          <w:rFonts w:ascii="Times New Roman" w:hAnsi="Times New Roman" w:cs="Times New Roman"/>
          <w:sz w:val="24"/>
          <w:szCs w:val="24"/>
        </w:rPr>
        <w:t>lculate the net profit margin, the revenue of the company and net profit is required. It measures how much efficient the revenue of the compan</w:t>
      </w:r>
      <w:r>
        <w:rPr>
          <w:rFonts w:ascii="Times New Roman" w:hAnsi="Times New Roman" w:cs="Times New Roman"/>
          <w:sz w:val="24"/>
          <w:szCs w:val="24"/>
        </w:rPr>
        <w:t>y is to generate a net profit (</w:t>
      </w:r>
      <w:r>
        <w:rPr>
          <w:rFonts w:ascii="Times New Roman" w:hAnsi="Times New Roman" w:cs="Times New Roman"/>
          <w:sz w:val="24"/>
          <w:szCs w:val="24"/>
          <w:shd w:val="clear" w:color="auto" w:fill="FFFFFF"/>
        </w:rPr>
        <w:t xml:space="preserve">Turtle &amp; Wang, </w:t>
      </w:r>
      <w:r w:rsidRPr="00FA0681">
        <w:rPr>
          <w:rFonts w:ascii="Times New Roman" w:hAnsi="Times New Roman" w:cs="Times New Roman"/>
          <w:sz w:val="24"/>
          <w:szCs w:val="24"/>
          <w:shd w:val="clear" w:color="auto" w:fill="FFFFFF"/>
        </w:rPr>
        <w:t>2017)</w:t>
      </w:r>
      <w:r>
        <w:rPr>
          <w:rFonts w:ascii="Times New Roman" w:hAnsi="Times New Roman" w:cs="Times New Roman"/>
          <w:sz w:val="24"/>
          <w:szCs w:val="24"/>
        </w:rPr>
        <w:t>. T</w:t>
      </w:r>
      <w:r w:rsidR="00856BED" w:rsidRPr="00F56822">
        <w:rPr>
          <w:rFonts w:ascii="Times New Roman" w:hAnsi="Times New Roman" w:cs="Times New Roman"/>
          <w:sz w:val="24"/>
          <w:szCs w:val="24"/>
        </w:rPr>
        <w:t>he calculation of net profit margin is dividing net profit by revenue and then multiplying by 100. If the net profit margin of the company is less than 10%, it means that the company is not in a good position. From the calculation, it can be said that in both years Sweet Plc generates less than 10% profit like 5.68% and 6.40% respectively in 2020 and 2021. The performance of the company is not well, so the company needs to increase its net profit compared to its revenue.</w:t>
      </w:r>
    </w:p>
    <w:p w14:paraId="7BC5F770"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 xml:space="preserve">Asset turnover </w:t>
      </w:r>
    </w:p>
    <w:tbl>
      <w:tblPr>
        <w:tblStyle w:val="GridTable4-Accent4"/>
        <w:tblW w:w="9216" w:type="dxa"/>
        <w:tblLook w:val="04A0" w:firstRow="1" w:lastRow="0" w:firstColumn="1" w:lastColumn="0" w:noHBand="0" w:noVBand="1"/>
      </w:tblPr>
      <w:tblGrid>
        <w:gridCol w:w="3936"/>
        <w:gridCol w:w="2512"/>
        <w:gridCol w:w="1384"/>
        <w:gridCol w:w="1384"/>
      </w:tblGrid>
      <w:tr w:rsidR="00B04BD0" w14:paraId="150B3D14" w14:textId="77777777" w:rsidTr="00CB7759">
        <w:trPr>
          <w:cnfStyle w:val="100000000000" w:firstRow="1" w:lastRow="0" w:firstColumn="0" w:lastColumn="0" w:oddVBand="0" w:evenVBand="0" w:oddHBand="0"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3936" w:type="dxa"/>
            <w:vMerge w:val="restart"/>
            <w:noWrap/>
            <w:hideMark/>
          </w:tcPr>
          <w:p w14:paraId="74B29139"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Asset turnover</w:t>
            </w:r>
          </w:p>
        </w:tc>
        <w:tc>
          <w:tcPr>
            <w:tcW w:w="2512" w:type="dxa"/>
            <w:noWrap/>
            <w:hideMark/>
          </w:tcPr>
          <w:p w14:paraId="017A3C8F"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384" w:type="dxa"/>
            <w:noWrap/>
            <w:hideMark/>
          </w:tcPr>
          <w:p w14:paraId="4971EF5F"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384" w:type="dxa"/>
            <w:noWrap/>
            <w:hideMark/>
          </w:tcPr>
          <w:p w14:paraId="32F8FCE9"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754FAAD0"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3936" w:type="dxa"/>
            <w:vMerge/>
            <w:hideMark/>
          </w:tcPr>
          <w:p w14:paraId="6B32F836"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512" w:type="dxa"/>
            <w:noWrap/>
            <w:hideMark/>
          </w:tcPr>
          <w:p w14:paraId="1D69288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Net sales</w:t>
            </w:r>
          </w:p>
        </w:tc>
        <w:tc>
          <w:tcPr>
            <w:tcW w:w="1384" w:type="dxa"/>
            <w:noWrap/>
            <w:hideMark/>
          </w:tcPr>
          <w:p w14:paraId="664589A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6738</w:t>
            </w:r>
          </w:p>
        </w:tc>
        <w:tc>
          <w:tcPr>
            <w:tcW w:w="1384" w:type="dxa"/>
            <w:noWrap/>
            <w:hideMark/>
          </w:tcPr>
          <w:p w14:paraId="14BEC31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6441</w:t>
            </w:r>
          </w:p>
        </w:tc>
      </w:tr>
      <w:tr w:rsidR="00B04BD0" w14:paraId="16794EF4" w14:textId="77777777" w:rsidTr="00CB7759">
        <w:trPr>
          <w:trHeight w:val="252"/>
        </w:trPr>
        <w:tc>
          <w:tcPr>
            <w:cnfStyle w:val="001000000000" w:firstRow="0" w:lastRow="0" w:firstColumn="1" w:lastColumn="0" w:oddVBand="0" w:evenVBand="0" w:oddHBand="0" w:evenHBand="0" w:firstRowFirstColumn="0" w:firstRowLastColumn="0" w:lastRowFirstColumn="0" w:lastRowLastColumn="0"/>
            <w:tcW w:w="3936" w:type="dxa"/>
            <w:vMerge/>
            <w:hideMark/>
          </w:tcPr>
          <w:p w14:paraId="0C58DCC2"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512" w:type="dxa"/>
            <w:noWrap/>
            <w:hideMark/>
          </w:tcPr>
          <w:p w14:paraId="4819C73B"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Average total assets</w:t>
            </w:r>
          </w:p>
        </w:tc>
        <w:tc>
          <w:tcPr>
            <w:tcW w:w="1384" w:type="dxa"/>
            <w:noWrap/>
            <w:hideMark/>
          </w:tcPr>
          <w:p w14:paraId="1FFD0A9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9911.5</w:t>
            </w:r>
          </w:p>
        </w:tc>
        <w:tc>
          <w:tcPr>
            <w:tcW w:w="1384" w:type="dxa"/>
            <w:noWrap/>
            <w:hideMark/>
          </w:tcPr>
          <w:p w14:paraId="498BE266"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9911.5</w:t>
            </w:r>
          </w:p>
        </w:tc>
      </w:tr>
      <w:tr w:rsidR="00B04BD0" w14:paraId="653C7D75" w14:textId="77777777" w:rsidTr="00CB7759">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3936" w:type="dxa"/>
            <w:vMerge/>
            <w:hideMark/>
          </w:tcPr>
          <w:p w14:paraId="46D6AFB2"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512" w:type="dxa"/>
            <w:noWrap/>
            <w:hideMark/>
          </w:tcPr>
          <w:p w14:paraId="351F1D5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Asset Turnover ratio</w:t>
            </w:r>
          </w:p>
        </w:tc>
        <w:tc>
          <w:tcPr>
            <w:tcW w:w="1384" w:type="dxa"/>
            <w:noWrap/>
            <w:hideMark/>
          </w:tcPr>
          <w:p w14:paraId="05B4D4F2"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67.98%</w:t>
            </w:r>
          </w:p>
        </w:tc>
        <w:tc>
          <w:tcPr>
            <w:tcW w:w="1384" w:type="dxa"/>
            <w:noWrap/>
            <w:hideMark/>
          </w:tcPr>
          <w:p w14:paraId="0559E89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64.99%</w:t>
            </w:r>
          </w:p>
        </w:tc>
      </w:tr>
    </w:tbl>
    <w:p w14:paraId="5CA5EFD5" w14:textId="77777777" w:rsidR="00856BED"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Assets of the company provide long-term benefits for the company. Using the assets of the company, the company can generate profit for the company. Asset turnover refers that how much the company's assets are effective to earn profit for the company</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Warren, Jonick, &amp; Schneider, </w:t>
      </w:r>
      <w:r w:rsidRPr="00FA0681">
        <w:rPr>
          <w:rFonts w:ascii="Times New Roman" w:hAnsi="Times New Roman" w:cs="Times New Roman"/>
          <w:sz w:val="24"/>
          <w:szCs w:val="24"/>
          <w:shd w:val="clear" w:color="auto" w:fill="FFFFFF"/>
        </w:rPr>
        <w:t>2020)</w:t>
      </w:r>
      <w:r w:rsidRPr="00F56822">
        <w:rPr>
          <w:rFonts w:ascii="Times New Roman" w:hAnsi="Times New Roman" w:cs="Times New Roman"/>
          <w:sz w:val="24"/>
          <w:szCs w:val="24"/>
        </w:rPr>
        <w:t>. To get asset turnover, net sales and average assets are required. From the calculation, it is found that Sweet Plc has a good position in generating a profit by using its assets. The company generates 64.99% and 67.98% asset turnover respectively in 2020 and 2021.</w:t>
      </w:r>
    </w:p>
    <w:p w14:paraId="64EEA1A8"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Stock holding day</w:t>
      </w:r>
    </w:p>
    <w:tbl>
      <w:tblPr>
        <w:tblStyle w:val="GridTable4-Accent2"/>
        <w:tblW w:w="9306" w:type="dxa"/>
        <w:tblLook w:val="04A0" w:firstRow="1" w:lastRow="0" w:firstColumn="1" w:lastColumn="0" w:noHBand="0" w:noVBand="1"/>
      </w:tblPr>
      <w:tblGrid>
        <w:gridCol w:w="3823"/>
        <w:gridCol w:w="2225"/>
        <w:gridCol w:w="1629"/>
        <w:gridCol w:w="1629"/>
      </w:tblGrid>
      <w:tr w:rsidR="00B04BD0" w14:paraId="566CEF22" w14:textId="77777777" w:rsidTr="00CB7759">
        <w:trPr>
          <w:cnfStyle w:val="100000000000" w:firstRow="1" w:lastRow="0" w:firstColumn="0" w:lastColumn="0" w:oddVBand="0" w:evenVBand="0" w:oddHBand="0"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823" w:type="dxa"/>
            <w:vMerge w:val="restart"/>
            <w:noWrap/>
            <w:hideMark/>
          </w:tcPr>
          <w:p w14:paraId="31BC9DB9"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Stock holding days</w:t>
            </w:r>
          </w:p>
        </w:tc>
        <w:tc>
          <w:tcPr>
            <w:tcW w:w="2225" w:type="dxa"/>
            <w:noWrap/>
            <w:hideMark/>
          </w:tcPr>
          <w:p w14:paraId="2BFB8711"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629" w:type="dxa"/>
            <w:noWrap/>
            <w:hideMark/>
          </w:tcPr>
          <w:p w14:paraId="6B796E3D"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629" w:type="dxa"/>
            <w:noWrap/>
            <w:hideMark/>
          </w:tcPr>
          <w:p w14:paraId="2C871CE9"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39E8F390" w14:textId="77777777" w:rsidTr="00CB775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823" w:type="dxa"/>
            <w:vMerge/>
            <w:hideMark/>
          </w:tcPr>
          <w:p w14:paraId="2C1ED90C"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25" w:type="dxa"/>
            <w:noWrap/>
            <w:hideMark/>
          </w:tcPr>
          <w:p w14:paraId="36797834"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Closing stock</w:t>
            </w:r>
          </w:p>
        </w:tc>
        <w:tc>
          <w:tcPr>
            <w:tcW w:w="1629" w:type="dxa"/>
            <w:noWrap/>
            <w:hideMark/>
          </w:tcPr>
          <w:p w14:paraId="6D052A5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708</w:t>
            </w:r>
          </w:p>
        </w:tc>
        <w:tc>
          <w:tcPr>
            <w:tcW w:w="1629" w:type="dxa"/>
            <w:noWrap/>
            <w:hideMark/>
          </w:tcPr>
          <w:p w14:paraId="7A376349"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659</w:t>
            </w:r>
          </w:p>
        </w:tc>
      </w:tr>
      <w:tr w:rsidR="00B04BD0" w14:paraId="32A279DD" w14:textId="77777777" w:rsidTr="00CB7759">
        <w:trPr>
          <w:trHeight w:val="263"/>
        </w:trPr>
        <w:tc>
          <w:tcPr>
            <w:cnfStyle w:val="001000000000" w:firstRow="0" w:lastRow="0" w:firstColumn="1" w:lastColumn="0" w:oddVBand="0" w:evenVBand="0" w:oddHBand="0" w:evenHBand="0" w:firstRowFirstColumn="0" w:firstRowLastColumn="0" w:lastRowFirstColumn="0" w:lastRowLastColumn="0"/>
            <w:tcW w:w="3823" w:type="dxa"/>
            <w:vMerge/>
            <w:hideMark/>
          </w:tcPr>
          <w:p w14:paraId="38D4A185"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25" w:type="dxa"/>
            <w:noWrap/>
            <w:hideMark/>
          </w:tcPr>
          <w:p w14:paraId="50454CB9"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cost of goods sold</w:t>
            </w:r>
          </w:p>
        </w:tc>
        <w:tc>
          <w:tcPr>
            <w:tcW w:w="1629" w:type="dxa"/>
            <w:noWrap/>
            <w:hideMark/>
          </w:tcPr>
          <w:p w14:paraId="0D9D3425"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3235</w:t>
            </w:r>
          </w:p>
        </w:tc>
        <w:tc>
          <w:tcPr>
            <w:tcW w:w="1629" w:type="dxa"/>
            <w:noWrap/>
            <w:hideMark/>
          </w:tcPr>
          <w:p w14:paraId="62E6283C"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3096</w:t>
            </w:r>
          </w:p>
        </w:tc>
      </w:tr>
      <w:tr w:rsidR="00B04BD0" w14:paraId="5B83AC29" w14:textId="77777777" w:rsidTr="00CB7759">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823" w:type="dxa"/>
            <w:vMerge/>
            <w:hideMark/>
          </w:tcPr>
          <w:p w14:paraId="1E29D4A0"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25" w:type="dxa"/>
            <w:noWrap/>
            <w:hideMark/>
          </w:tcPr>
          <w:p w14:paraId="45CEC09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Stock holding days</w:t>
            </w:r>
          </w:p>
        </w:tc>
        <w:tc>
          <w:tcPr>
            <w:tcW w:w="1629" w:type="dxa"/>
            <w:noWrap/>
            <w:hideMark/>
          </w:tcPr>
          <w:p w14:paraId="27BF18C1"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79.882535</w:t>
            </w:r>
          </w:p>
        </w:tc>
        <w:tc>
          <w:tcPr>
            <w:tcW w:w="1629" w:type="dxa"/>
            <w:noWrap/>
            <w:hideMark/>
          </w:tcPr>
          <w:p w14:paraId="69256AE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77.692183</w:t>
            </w:r>
          </w:p>
        </w:tc>
      </w:tr>
    </w:tbl>
    <w:p w14:paraId="65708539" w14:textId="77777777" w:rsidR="001B46CD"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Stock holding days refer that how many days the inventory of the company will be stocked</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Turtle &amp; Wang, </w:t>
      </w:r>
      <w:r w:rsidRPr="00FA0681">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F56822">
        <w:rPr>
          <w:rFonts w:ascii="Times New Roman" w:hAnsi="Times New Roman" w:cs="Times New Roman"/>
          <w:sz w:val="24"/>
          <w:szCs w:val="24"/>
        </w:rPr>
        <w:t xml:space="preserve">. Inventory is necessary for the company. If the company has sufficient inventory </w:t>
      </w:r>
      <w:r>
        <w:rPr>
          <w:rFonts w:ascii="Times New Roman" w:hAnsi="Times New Roman" w:cs="Times New Roman"/>
          <w:sz w:val="24"/>
          <w:szCs w:val="24"/>
        </w:rPr>
        <w:t>the company can make a profit. I</w:t>
      </w:r>
      <w:r w:rsidRPr="00F56822">
        <w:rPr>
          <w:rFonts w:ascii="Times New Roman" w:hAnsi="Times New Roman" w:cs="Times New Roman"/>
          <w:sz w:val="24"/>
          <w:szCs w:val="24"/>
        </w:rPr>
        <w:t>f the company has higher inventory the company will face loss. If the company has higher inventory holding days, the company will get a loss. From the calculation, it can be said that Sweet plc has 77 and 79 holding days respectively in 2020 and 2021.</w:t>
      </w:r>
    </w:p>
    <w:p w14:paraId="28B3BDDD"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Debtor collection period</w:t>
      </w:r>
    </w:p>
    <w:tbl>
      <w:tblPr>
        <w:tblStyle w:val="GridTable4-Accent2"/>
        <w:tblW w:w="9270" w:type="dxa"/>
        <w:tblLook w:val="04A0" w:firstRow="1" w:lastRow="0" w:firstColumn="1" w:lastColumn="0" w:noHBand="0" w:noVBand="1"/>
      </w:tblPr>
      <w:tblGrid>
        <w:gridCol w:w="3507"/>
        <w:gridCol w:w="2775"/>
        <w:gridCol w:w="1494"/>
        <w:gridCol w:w="1494"/>
      </w:tblGrid>
      <w:tr w:rsidR="00B04BD0" w14:paraId="5A8FBA19" w14:textId="77777777" w:rsidTr="00CB7759">
        <w:trPr>
          <w:cnfStyle w:val="100000000000" w:firstRow="1" w:lastRow="0" w:firstColumn="0" w:lastColumn="0" w:oddVBand="0" w:evenVBand="0" w:oddHBand="0"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507" w:type="dxa"/>
            <w:vMerge w:val="restart"/>
            <w:noWrap/>
            <w:hideMark/>
          </w:tcPr>
          <w:p w14:paraId="12879F2E"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Debtors collection period</w:t>
            </w:r>
          </w:p>
        </w:tc>
        <w:tc>
          <w:tcPr>
            <w:tcW w:w="2775" w:type="dxa"/>
            <w:noWrap/>
            <w:hideMark/>
          </w:tcPr>
          <w:p w14:paraId="77F25DA8"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494" w:type="dxa"/>
            <w:noWrap/>
            <w:hideMark/>
          </w:tcPr>
          <w:p w14:paraId="27FFEDD8"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494" w:type="dxa"/>
            <w:noWrap/>
            <w:hideMark/>
          </w:tcPr>
          <w:p w14:paraId="20543C08"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7D24FD17" w14:textId="77777777" w:rsidTr="00CB77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507" w:type="dxa"/>
            <w:vMerge/>
            <w:hideMark/>
          </w:tcPr>
          <w:p w14:paraId="56E33DF4"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775" w:type="dxa"/>
            <w:noWrap/>
            <w:hideMark/>
          </w:tcPr>
          <w:p w14:paraId="66CC908E"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Accounting receivables</w:t>
            </w:r>
          </w:p>
        </w:tc>
        <w:tc>
          <w:tcPr>
            <w:tcW w:w="1494" w:type="dxa"/>
            <w:noWrap/>
            <w:hideMark/>
          </w:tcPr>
          <w:p w14:paraId="50D28C6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1249</w:t>
            </w:r>
          </w:p>
        </w:tc>
        <w:tc>
          <w:tcPr>
            <w:tcW w:w="1494" w:type="dxa"/>
            <w:noWrap/>
            <w:hideMark/>
          </w:tcPr>
          <w:p w14:paraId="386105B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1287</w:t>
            </w:r>
          </w:p>
        </w:tc>
      </w:tr>
      <w:tr w:rsidR="00B04BD0" w14:paraId="25BF4AAB" w14:textId="77777777" w:rsidTr="00CB7759">
        <w:trPr>
          <w:trHeight w:val="266"/>
        </w:trPr>
        <w:tc>
          <w:tcPr>
            <w:cnfStyle w:val="001000000000" w:firstRow="0" w:lastRow="0" w:firstColumn="1" w:lastColumn="0" w:oddVBand="0" w:evenVBand="0" w:oddHBand="0" w:evenHBand="0" w:firstRowFirstColumn="0" w:firstRowLastColumn="0" w:lastRowFirstColumn="0" w:lastRowLastColumn="0"/>
            <w:tcW w:w="3507" w:type="dxa"/>
            <w:vMerge/>
            <w:hideMark/>
          </w:tcPr>
          <w:p w14:paraId="0F0E63BA"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775" w:type="dxa"/>
            <w:noWrap/>
            <w:hideMark/>
          </w:tcPr>
          <w:p w14:paraId="3614A08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Credit sales</w:t>
            </w:r>
          </w:p>
        </w:tc>
        <w:tc>
          <w:tcPr>
            <w:tcW w:w="1494" w:type="dxa"/>
            <w:noWrap/>
            <w:hideMark/>
          </w:tcPr>
          <w:p w14:paraId="505F193C"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6738</w:t>
            </w:r>
          </w:p>
        </w:tc>
        <w:tc>
          <w:tcPr>
            <w:tcW w:w="1494" w:type="dxa"/>
            <w:noWrap/>
            <w:hideMark/>
          </w:tcPr>
          <w:p w14:paraId="6B57E37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6441</w:t>
            </w:r>
          </w:p>
        </w:tc>
      </w:tr>
      <w:tr w:rsidR="00B04BD0" w14:paraId="44790152" w14:textId="77777777" w:rsidTr="00CB77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507" w:type="dxa"/>
            <w:vMerge/>
            <w:hideMark/>
          </w:tcPr>
          <w:p w14:paraId="36A03932"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775" w:type="dxa"/>
            <w:noWrap/>
            <w:hideMark/>
          </w:tcPr>
          <w:p w14:paraId="3BBEFA0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Debtors collection period</w:t>
            </w:r>
          </w:p>
        </w:tc>
        <w:tc>
          <w:tcPr>
            <w:tcW w:w="1494" w:type="dxa"/>
            <w:noWrap/>
            <w:hideMark/>
          </w:tcPr>
          <w:p w14:paraId="288B71C2"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67.658801</w:t>
            </w:r>
          </w:p>
        </w:tc>
        <w:tc>
          <w:tcPr>
            <w:tcW w:w="1494" w:type="dxa"/>
            <w:noWrap/>
            <w:hideMark/>
          </w:tcPr>
          <w:p w14:paraId="0897D95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72.931998</w:t>
            </w:r>
          </w:p>
        </w:tc>
      </w:tr>
    </w:tbl>
    <w:p w14:paraId="71347B28"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debtor collection period refers to the days of collecting the amount from the debtors. From this ratio, it can be said that the number of days is needed to collect receivables from the debtors</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Warren, Jonick, &amp; Schneider, </w:t>
      </w:r>
      <w:r w:rsidRPr="00FA0681">
        <w:rPr>
          <w:rFonts w:ascii="Times New Roman" w:hAnsi="Times New Roman" w:cs="Times New Roman"/>
          <w:sz w:val="24"/>
          <w:szCs w:val="24"/>
          <w:shd w:val="clear" w:color="auto" w:fill="FFFFFF"/>
        </w:rPr>
        <w:t>2020)</w:t>
      </w:r>
      <w:r w:rsidRPr="00F56822">
        <w:rPr>
          <w:rFonts w:ascii="Times New Roman" w:hAnsi="Times New Roman" w:cs="Times New Roman"/>
          <w:sz w:val="24"/>
          <w:szCs w:val="24"/>
        </w:rPr>
        <w:t>. A higher number of numbers will lead the company to face a lack of cash. The calculation states that Sweet Plc has a higher number of debtor collection period which means that the company need more days to collect the receivables.</w:t>
      </w:r>
    </w:p>
    <w:p w14:paraId="05659B9B"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Current ratio</w:t>
      </w:r>
    </w:p>
    <w:tbl>
      <w:tblPr>
        <w:tblStyle w:val="GridTable4-Accent2"/>
        <w:tblW w:w="9251" w:type="dxa"/>
        <w:tblLook w:val="04A0" w:firstRow="1" w:lastRow="0" w:firstColumn="1" w:lastColumn="0" w:noHBand="0" w:noVBand="1"/>
      </w:tblPr>
      <w:tblGrid>
        <w:gridCol w:w="4129"/>
        <w:gridCol w:w="2218"/>
        <w:gridCol w:w="1452"/>
        <w:gridCol w:w="1452"/>
      </w:tblGrid>
      <w:tr w:rsidR="00B04BD0" w14:paraId="6FD1740F" w14:textId="77777777" w:rsidTr="00CB7759">
        <w:trPr>
          <w:cnfStyle w:val="100000000000" w:firstRow="1" w:lastRow="0" w:firstColumn="0" w:lastColumn="0" w:oddVBand="0" w:evenVBand="0" w:oddHBand="0"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129" w:type="dxa"/>
            <w:vMerge w:val="restart"/>
            <w:noWrap/>
            <w:hideMark/>
          </w:tcPr>
          <w:p w14:paraId="260F3658"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Current ratio</w:t>
            </w:r>
          </w:p>
        </w:tc>
        <w:tc>
          <w:tcPr>
            <w:tcW w:w="2218" w:type="dxa"/>
            <w:noWrap/>
            <w:hideMark/>
          </w:tcPr>
          <w:p w14:paraId="30A487D1"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452" w:type="dxa"/>
            <w:noWrap/>
            <w:hideMark/>
          </w:tcPr>
          <w:p w14:paraId="32FB1918"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452" w:type="dxa"/>
            <w:noWrap/>
            <w:hideMark/>
          </w:tcPr>
          <w:p w14:paraId="65FE8216"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3832A9F0" w14:textId="77777777" w:rsidTr="00CB775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129" w:type="dxa"/>
            <w:vMerge/>
            <w:hideMark/>
          </w:tcPr>
          <w:p w14:paraId="515E5D22"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18" w:type="dxa"/>
            <w:noWrap/>
            <w:hideMark/>
          </w:tcPr>
          <w:p w14:paraId="2C27BA98"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Current assets</w:t>
            </w:r>
          </w:p>
        </w:tc>
        <w:tc>
          <w:tcPr>
            <w:tcW w:w="1452" w:type="dxa"/>
            <w:noWrap/>
            <w:hideMark/>
          </w:tcPr>
          <w:p w14:paraId="0B2E198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2303</w:t>
            </w:r>
          </w:p>
        </w:tc>
        <w:tc>
          <w:tcPr>
            <w:tcW w:w="1452" w:type="dxa"/>
            <w:noWrap/>
            <w:hideMark/>
          </w:tcPr>
          <w:p w14:paraId="0295643A"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2355</w:t>
            </w:r>
          </w:p>
        </w:tc>
      </w:tr>
      <w:tr w:rsidR="00B04BD0" w14:paraId="6D9ED61B" w14:textId="77777777" w:rsidTr="00CB7759">
        <w:trPr>
          <w:trHeight w:val="277"/>
        </w:trPr>
        <w:tc>
          <w:tcPr>
            <w:cnfStyle w:val="001000000000" w:firstRow="0" w:lastRow="0" w:firstColumn="1" w:lastColumn="0" w:oddVBand="0" w:evenVBand="0" w:oddHBand="0" w:evenHBand="0" w:firstRowFirstColumn="0" w:firstRowLastColumn="0" w:lastRowFirstColumn="0" w:lastRowLastColumn="0"/>
            <w:tcW w:w="4129" w:type="dxa"/>
            <w:vMerge/>
            <w:hideMark/>
          </w:tcPr>
          <w:p w14:paraId="0AAE1DC1"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18" w:type="dxa"/>
            <w:noWrap/>
            <w:hideMark/>
          </w:tcPr>
          <w:p w14:paraId="54B83D1E"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Current liabilities</w:t>
            </w:r>
          </w:p>
        </w:tc>
        <w:tc>
          <w:tcPr>
            <w:tcW w:w="1452" w:type="dxa"/>
            <w:noWrap/>
            <w:hideMark/>
          </w:tcPr>
          <w:p w14:paraId="3B0D9718"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2511</w:t>
            </w:r>
          </w:p>
        </w:tc>
        <w:tc>
          <w:tcPr>
            <w:tcW w:w="1452" w:type="dxa"/>
            <w:noWrap/>
            <w:hideMark/>
          </w:tcPr>
          <w:p w14:paraId="136A3C7A"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3046</w:t>
            </w:r>
          </w:p>
        </w:tc>
      </w:tr>
      <w:tr w:rsidR="00B04BD0" w14:paraId="160FA449" w14:textId="77777777" w:rsidTr="00CB7759">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129" w:type="dxa"/>
            <w:vMerge/>
            <w:hideMark/>
          </w:tcPr>
          <w:p w14:paraId="0188B616"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218" w:type="dxa"/>
            <w:noWrap/>
            <w:hideMark/>
          </w:tcPr>
          <w:p w14:paraId="74BE093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Current ratio</w:t>
            </w:r>
          </w:p>
        </w:tc>
        <w:tc>
          <w:tcPr>
            <w:tcW w:w="1452" w:type="dxa"/>
            <w:noWrap/>
            <w:hideMark/>
          </w:tcPr>
          <w:p w14:paraId="3975392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0.92</w:t>
            </w:r>
          </w:p>
        </w:tc>
        <w:tc>
          <w:tcPr>
            <w:tcW w:w="1452" w:type="dxa"/>
            <w:noWrap/>
            <w:hideMark/>
          </w:tcPr>
          <w:p w14:paraId="611FA527"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0.77</w:t>
            </w:r>
          </w:p>
        </w:tc>
      </w:tr>
    </w:tbl>
    <w:p w14:paraId="711E3332" w14:textId="77777777" w:rsidR="00B01FDA"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current ratio is calculated to g</w:t>
      </w:r>
      <w:r w:rsidR="0092756C" w:rsidRPr="00F56822">
        <w:rPr>
          <w:rFonts w:ascii="Times New Roman" w:hAnsi="Times New Roman" w:cs="Times New Roman"/>
          <w:sz w:val="24"/>
          <w:szCs w:val="24"/>
        </w:rPr>
        <w:t>et an idea about the ability of the company to pay its current obligations</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Weil, Schipper, &amp; Francis, </w:t>
      </w:r>
      <w:r w:rsidRPr="00FA0681">
        <w:rPr>
          <w:rFonts w:ascii="Times New Roman" w:hAnsi="Times New Roman" w:cs="Times New Roman"/>
          <w:sz w:val="24"/>
          <w:szCs w:val="24"/>
          <w:shd w:val="clear" w:color="auto" w:fill="FFFFFF"/>
        </w:rPr>
        <w:t>2017)</w:t>
      </w:r>
      <w:r w:rsidR="0092756C" w:rsidRPr="00F56822">
        <w:rPr>
          <w:rFonts w:ascii="Times New Roman" w:hAnsi="Times New Roman" w:cs="Times New Roman"/>
          <w:sz w:val="24"/>
          <w:szCs w:val="24"/>
        </w:rPr>
        <w:t xml:space="preserve">. The current ratio is calculated by dividing the current assets by the current liabilities. If the ratio is higher than 1, it refers that the company has enough current assets to pay its current liabilities. If the ratio is less than 1, it refers that the company does not have enough current assets to pay its liabilities. From the calculation, it can be said that Sweet Plc has less than 1 current ratio which means that the company does not have enough current assets. </w:t>
      </w:r>
    </w:p>
    <w:p w14:paraId="2E9F0B96"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Gearing ratio</w:t>
      </w:r>
    </w:p>
    <w:tbl>
      <w:tblPr>
        <w:tblStyle w:val="GridTable4-Accent2"/>
        <w:tblW w:w="9467" w:type="dxa"/>
        <w:tblLook w:val="04A0" w:firstRow="1" w:lastRow="0" w:firstColumn="1" w:lastColumn="0" w:noHBand="0" w:noVBand="1"/>
      </w:tblPr>
      <w:tblGrid>
        <w:gridCol w:w="3672"/>
        <w:gridCol w:w="3213"/>
        <w:gridCol w:w="1291"/>
        <w:gridCol w:w="1291"/>
      </w:tblGrid>
      <w:tr w:rsidR="00B04BD0" w14:paraId="58D534DF" w14:textId="77777777" w:rsidTr="00CB7759">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val="restart"/>
            <w:noWrap/>
            <w:hideMark/>
          </w:tcPr>
          <w:p w14:paraId="268C4E3D"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Gearing ratio</w:t>
            </w:r>
          </w:p>
        </w:tc>
        <w:tc>
          <w:tcPr>
            <w:tcW w:w="3213" w:type="dxa"/>
            <w:noWrap/>
            <w:hideMark/>
          </w:tcPr>
          <w:p w14:paraId="6FA23E58"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291" w:type="dxa"/>
            <w:noWrap/>
            <w:hideMark/>
          </w:tcPr>
          <w:p w14:paraId="3E3E9B0C"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291" w:type="dxa"/>
            <w:noWrap/>
            <w:hideMark/>
          </w:tcPr>
          <w:p w14:paraId="02CEF68D"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3CBB1B42" w14:textId="77777777" w:rsidTr="00CB7759">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14:paraId="065A2AF4"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3213" w:type="dxa"/>
            <w:noWrap/>
            <w:hideMark/>
          </w:tcPr>
          <w:p w14:paraId="4C2E984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Creditors</w:t>
            </w:r>
          </w:p>
        </w:tc>
        <w:tc>
          <w:tcPr>
            <w:tcW w:w="1291" w:type="dxa"/>
            <w:noWrap/>
            <w:hideMark/>
          </w:tcPr>
          <w:p w14:paraId="32939F46"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1928</w:t>
            </w:r>
          </w:p>
        </w:tc>
        <w:tc>
          <w:tcPr>
            <w:tcW w:w="1291" w:type="dxa"/>
            <w:noWrap/>
            <w:hideMark/>
          </w:tcPr>
          <w:p w14:paraId="645219F8"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2391</w:t>
            </w:r>
          </w:p>
        </w:tc>
      </w:tr>
      <w:tr w:rsidR="00B04BD0" w14:paraId="62B5A85D" w14:textId="77777777" w:rsidTr="00CB7759">
        <w:trPr>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14:paraId="7111767C"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3213" w:type="dxa"/>
            <w:noWrap/>
            <w:hideMark/>
          </w:tcPr>
          <w:p w14:paraId="45FB6623"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Loans and other borrowings</w:t>
            </w:r>
          </w:p>
        </w:tc>
        <w:tc>
          <w:tcPr>
            <w:tcW w:w="1291" w:type="dxa"/>
            <w:noWrap/>
            <w:hideMark/>
          </w:tcPr>
          <w:p w14:paraId="588A268D"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4137</w:t>
            </w:r>
          </w:p>
        </w:tc>
        <w:tc>
          <w:tcPr>
            <w:tcW w:w="1291" w:type="dxa"/>
            <w:noWrap/>
            <w:hideMark/>
          </w:tcPr>
          <w:p w14:paraId="46F5E74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4129</w:t>
            </w:r>
          </w:p>
        </w:tc>
      </w:tr>
      <w:tr w:rsidR="00B04BD0" w14:paraId="327192F2" w14:textId="77777777" w:rsidTr="00CB7759">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14:paraId="6E08EC5F"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3213" w:type="dxa"/>
            <w:noWrap/>
            <w:hideMark/>
          </w:tcPr>
          <w:p w14:paraId="6760EAA0"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Total debt</w:t>
            </w:r>
          </w:p>
        </w:tc>
        <w:tc>
          <w:tcPr>
            <w:tcW w:w="1291" w:type="dxa"/>
            <w:noWrap/>
            <w:hideMark/>
          </w:tcPr>
          <w:p w14:paraId="0C15EE8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6065</w:t>
            </w:r>
          </w:p>
        </w:tc>
        <w:tc>
          <w:tcPr>
            <w:tcW w:w="1291" w:type="dxa"/>
            <w:noWrap/>
            <w:hideMark/>
          </w:tcPr>
          <w:p w14:paraId="406D0BF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6520</w:t>
            </w:r>
          </w:p>
        </w:tc>
      </w:tr>
      <w:tr w:rsidR="00B04BD0" w14:paraId="4B578285" w14:textId="77777777" w:rsidTr="00CB7759">
        <w:trPr>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14:paraId="4A1F23EE"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3213" w:type="dxa"/>
            <w:noWrap/>
            <w:hideMark/>
          </w:tcPr>
          <w:p w14:paraId="27B24F62"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Equity</w:t>
            </w:r>
          </w:p>
        </w:tc>
        <w:tc>
          <w:tcPr>
            <w:tcW w:w="1291" w:type="dxa"/>
            <w:noWrap/>
            <w:hideMark/>
          </w:tcPr>
          <w:p w14:paraId="7E9C27FB"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3088</w:t>
            </w:r>
          </w:p>
        </w:tc>
        <w:tc>
          <w:tcPr>
            <w:tcW w:w="1291" w:type="dxa"/>
            <w:noWrap/>
            <w:hideMark/>
          </w:tcPr>
          <w:p w14:paraId="47B6D00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2912</w:t>
            </w:r>
          </w:p>
        </w:tc>
      </w:tr>
      <w:tr w:rsidR="00B04BD0" w14:paraId="6FDD4676" w14:textId="77777777" w:rsidTr="00CB7759">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14:paraId="77370A52"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3213" w:type="dxa"/>
            <w:noWrap/>
            <w:hideMark/>
          </w:tcPr>
          <w:p w14:paraId="1593DC1C"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Gearing ratio</w:t>
            </w:r>
          </w:p>
        </w:tc>
        <w:tc>
          <w:tcPr>
            <w:tcW w:w="1291" w:type="dxa"/>
            <w:noWrap/>
            <w:hideMark/>
          </w:tcPr>
          <w:p w14:paraId="646FDC6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1.96</w:t>
            </w:r>
          </w:p>
        </w:tc>
        <w:tc>
          <w:tcPr>
            <w:tcW w:w="1291" w:type="dxa"/>
            <w:noWrap/>
            <w:hideMark/>
          </w:tcPr>
          <w:p w14:paraId="32688C5B"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2.24</w:t>
            </w:r>
          </w:p>
        </w:tc>
      </w:tr>
    </w:tbl>
    <w:p w14:paraId="16E5210B" w14:textId="77777777" w:rsidR="0092756C"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gearing ratio provides the idea that how much equity the company has to pay its total. If the company has a higher than 1 gearing ratio, it refers that the company's funding from debt is higher</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Weil, Schipper, &amp; Francis, </w:t>
      </w:r>
      <w:r w:rsidRPr="00FA0681">
        <w:rPr>
          <w:rFonts w:ascii="Times New Roman" w:hAnsi="Times New Roman" w:cs="Times New Roman"/>
          <w:sz w:val="24"/>
          <w:szCs w:val="24"/>
          <w:shd w:val="clear" w:color="auto" w:fill="FFFFFF"/>
        </w:rPr>
        <w:t>2017)</w:t>
      </w:r>
      <w:r w:rsidRPr="00F56822">
        <w:rPr>
          <w:rFonts w:ascii="Times New Roman" w:hAnsi="Times New Roman" w:cs="Times New Roman"/>
          <w:sz w:val="24"/>
          <w:szCs w:val="24"/>
        </w:rPr>
        <w:t>. If it is less than 1, the company has higher equity funding. From the calculation, it can be said that Sweet Plc has a higher than 1 gearing ratio in 2020 which means that in 2020, the company had debt funding. On the other hand, in 2021, the company had less than 1 gearing ratio which means that the company has equity funding.</w:t>
      </w:r>
    </w:p>
    <w:p w14:paraId="6F31665B" w14:textId="77777777" w:rsidR="00464BD8"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Interest coverage ratio</w:t>
      </w:r>
    </w:p>
    <w:tbl>
      <w:tblPr>
        <w:tblStyle w:val="GridTable4-Accent2"/>
        <w:tblW w:w="9313" w:type="dxa"/>
        <w:tblLook w:val="04A0" w:firstRow="1" w:lastRow="0" w:firstColumn="1" w:lastColumn="0" w:noHBand="0" w:noVBand="1"/>
      </w:tblPr>
      <w:tblGrid>
        <w:gridCol w:w="3856"/>
        <w:gridCol w:w="2745"/>
        <w:gridCol w:w="1356"/>
        <w:gridCol w:w="1356"/>
      </w:tblGrid>
      <w:tr w:rsidR="00B04BD0" w14:paraId="040FE799" w14:textId="77777777" w:rsidTr="00CB7759">
        <w:trPr>
          <w:cnfStyle w:val="100000000000" w:firstRow="1" w:lastRow="0" w:firstColumn="0" w:lastColumn="0" w:oddVBand="0" w:evenVBand="0" w:oddHBand="0"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3856" w:type="dxa"/>
            <w:vMerge w:val="restart"/>
            <w:noWrap/>
            <w:hideMark/>
          </w:tcPr>
          <w:p w14:paraId="55309636" w14:textId="77777777" w:rsidR="00464BD8" w:rsidRPr="00F56822" w:rsidRDefault="00CB7759" w:rsidP="00F56822">
            <w:pPr>
              <w:spacing w:line="360" w:lineRule="auto"/>
              <w:jc w:val="both"/>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Interest cover ratio</w:t>
            </w:r>
          </w:p>
        </w:tc>
        <w:tc>
          <w:tcPr>
            <w:tcW w:w="2745" w:type="dxa"/>
            <w:noWrap/>
            <w:hideMark/>
          </w:tcPr>
          <w:p w14:paraId="43FF77D9" w14:textId="77777777" w:rsidR="00464BD8" w:rsidRPr="00F56822" w:rsidRDefault="00464BD8"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1356" w:type="dxa"/>
            <w:noWrap/>
            <w:hideMark/>
          </w:tcPr>
          <w:p w14:paraId="3AA59EB1"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2021 (</w:t>
            </w:r>
            <w:r w:rsidRPr="00F56822">
              <w:rPr>
                <w:rFonts w:ascii="Times New Roman" w:hAnsi="Times New Roman" w:cs="Times New Roman"/>
                <w:b w:val="0"/>
                <w:sz w:val="24"/>
                <w:szCs w:val="24"/>
              </w:rPr>
              <w:t>£m)</w:t>
            </w:r>
          </w:p>
        </w:tc>
        <w:tc>
          <w:tcPr>
            <w:tcW w:w="1356" w:type="dxa"/>
            <w:noWrap/>
            <w:hideMark/>
          </w:tcPr>
          <w:p w14:paraId="7EC5C47D" w14:textId="77777777" w:rsidR="00464BD8" w:rsidRPr="00F56822" w:rsidRDefault="00CB7759" w:rsidP="00F5682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b w:val="0"/>
                <w:sz w:val="24"/>
                <w:szCs w:val="24"/>
              </w:rPr>
              <w:t>2020 (</w:t>
            </w:r>
            <w:r w:rsidRPr="00F56822">
              <w:rPr>
                <w:rFonts w:ascii="Times New Roman" w:hAnsi="Times New Roman" w:cs="Times New Roman"/>
                <w:b w:val="0"/>
                <w:sz w:val="24"/>
                <w:szCs w:val="24"/>
              </w:rPr>
              <w:t>£m)</w:t>
            </w:r>
          </w:p>
        </w:tc>
      </w:tr>
      <w:tr w:rsidR="00B04BD0" w14:paraId="2798F225" w14:textId="77777777" w:rsidTr="00CB7759">
        <w:trPr>
          <w:cnfStyle w:val="000000100000" w:firstRow="0" w:lastRow="0" w:firstColumn="0" w:lastColumn="0" w:oddVBand="0" w:evenVBand="0" w:oddHBand="1"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3856" w:type="dxa"/>
            <w:vMerge/>
            <w:hideMark/>
          </w:tcPr>
          <w:p w14:paraId="7134998B"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745" w:type="dxa"/>
            <w:noWrap/>
            <w:hideMark/>
          </w:tcPr>
          <w:p w14:paraId="09F355D9"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Earnings before tax</w:t>
            </w:r>
          </w:p>
        </w:tc>
        <w:tc>
          <w:tcPr>
            <w:tcW w:w="1356" w:type="dxa"/>
            <w:noWrap/>
            <w:hideMark/>
          </w:tcPr>
          <w:p w14:paraId="57310C1F"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620</w:t>
            </w:r>
          </w:p>
        </w:tc>
        <w:tc>
          <w:tcPr>
            <w:tcW w:w="1356" w:type="dxa"/>
            <w:noWrap/>
            <w:hideMark/>
          </w:tcPr>
          <w:p w14:paraId="0FAAD42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539</w:t>
            </w:r>
          </w:p>
        </w:tc>
      </w:tr>
      <w:tr w:rsidR="00B04BD0" w14:paraId="5B7FBF6B" w14:textId="77777777" w:rsidTr="00CB7759">
        <w:trPr>
          <w:trHeight w:val="217"/>
        </w:trPr>
        <w:tc>
          <w:tcPr>
            <w:cnfStyle w:val="001000000000" w:firstRow="0" w:lastRow="0" w:firstColumn="1" w:lastColumn="0" w:oddVBand="0" w:evenVBand="0" w:oddHBand="0" w:evenHBand="0" w:firstRowFirstColumn="0" w:firstRowLastColumn="0" w:lastRowFirstColumn="0" w:lastRowLastColumn="0"/>
            <w:tcW w:w="3856" w:type="dxa"/>
            <w:vMerge/>
            <w:hideMark/>
          </w:tcPr>
          <w:p w14:paraId="318E4E75"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745" w:type="dxa"/>
            <w:noWrap/>
            <w:hideMark/>
          </w:tcPr>
          <w:p w14:paraId="3B64B040"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Interest expense</w:t>
            </w:r>
          </w:p>
        </w:tc>
        <w:tc>
          <w:tcPr>
            <w:tcW w:w="1356" w:type="dxa"/>
            <w:noWrap/>
            <w:hideMark/>
          </w:tcPr>
          <w:p w14:paraId="20CA679C"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226</w:t>
            </w:r>
          </w:p>
        </w:tc>
        <w:tc>
          <w:tcPr>
            <w:tcW w:w="1356" w:type="dxa"/>
            <w:noWrap/>
            <w:hideMark/>
          </w:tcPr>
          <w:p w14:paraId="0FF595C7" w14:textId="77777777" w:rsidR="00464BD8" w:rsidRPr="00F56822" w:rsidRDefault="00CB7759" w:rsidP="00F5682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181</w:t>
            </w:r>
          </w:p>
        </w:tc>
      </w:tr>
      <w:tr w:rsidR="00B04BD0" w14:paraId="3B54019A" w14:textId="77777777" w:rsidTr="00CB7759">
        <w:trPr>
          <w:cnfStyle w:val="000000100000" w:firstRow="0" w:lastRow="0" w:firstColumn="0" w:lastColumn="0" w:oddVBand="0" w:evenVBand="0" w:oddHBand="1"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3856" w:type="dxa"/>
            <w:vMerge/>
            <w:hideMark/>
          </w:tcPr>
          <w:p w14:paraId="4EDF5AB1" w14:textId="77777777" w:rsidR="00464BD8" w:rsidRPr="00F56822" w:rsidRDefault="00464BD8" w:rsidP="00F56822">
            <w:pPr>
              <w:spacing w:line="360" w:lineRule="auto"/>
              <w:jc w:val="both"/>
              <w:rPr>
                <w:rFonts w:ascii="Times New Roman" w:eastAsia="Times New Roman" w:hAnsi="Times New Roman" w:cs="Times New Roman"/>
                <w:sz w:val="24"/>
                <w:szCs w:val="24"/>
              </w:rPr>
            </w:pPr>
          </w:p>
        </w:tc>
        <w:tc>
          <w:tcPr>
            <w:tcW w:w="2745" w:type="dxa"/>
            <w:noWrap/>
            <w:hideMark/>
          </w:tcPr>
          <w:p w14:paraId="69A70493"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Interest coverage ratio</w:t>
            </w:r>
          </w:p>
        </w:tc>
        <w:tc>
          <w:tcPr>
            <w:tcW w:w="1356" w:type="dxa"/>
            <w:noWrap/>
            <w:hideMark/>
          </w:tcPr>
          <w:p w14:paraId="47677828"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2.74</w:t>
            </w:r>
          </w:p>
        </w:tc>
        <w:tc>
          <w:tcPr>
            <w:tcW w:w="1356" w:type="dxa"/>
            <w:noWrap/>
            <w:hideMark/>
          </w:tcPr>
          <w:p w14:paraId="677980ED" w14:textId="77777777" w:rsidR="00464BD8" w:rsidRPr="00F56822" w:rsidRDefault="00CB7759" w:rsidP="00F5682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56822">
              <w:rPr>
                <w:rFonts w:ascii="Times New Roman" w:eastAsia="Times New Roman" w:hAnsi="Times New Roman" w:cs="Times New Roman"/>
                <w:sz w:val="24"/>
                <w:szCs w:val="24"/>
              </w:rPr>
              <w:t>2.98</w:t>
            </w:r>
          </w:p>
        </w:tc>
      </w:tr>
    </w:tbl>
    <w:p w14:paraId="20CE544D" w14:textId="77777777" w:rsidR="0092756C"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interest coverage ratio refers that whether the company had sufficient profit to pay its interest on the debt. If it is higher than 1, it refers the company has enough profit to pay the interest. In the calculation, it is found that Sweet Plc has a higher than 1 interest coverage ratio in both years which means that the company had sufficient profit to pay the interest.</w:t>
      </w:r>
    </w:p>
    <w:p w14:paraId="2684E245" w14:textId="77777777" w:rsidR="00464BD8" w:rsidRPr="00CB7759" w:rsidRDefault="00CB7759" w:rsidP="00F56822">
      <w:pPr>
        <w:spacing w:line="360" w:lineRule="auto"/>
        <w:jc w:val="both"/>
        <w:rPr>
          <w:rFonts w:ascii="Times New Roman" w:hAnsi="Times New Roman" w:cs="Times New Roman"/>
          <w:b/>
          <w:sz w:val="32"/>
          <w:szCs w:val="24"/>
        </w:rPr>
      </w:pPr>
      <w:r w:rsidRPr="00CB7759">
        <w:rPr>
          <w:rFonts w:ascii="Times New Roman" w:hAnsi="Times New Roman" w:cs="Times New Roman"/>
          <w:b/>
          <w:sz w:val="32"/>
          <w:szCs w:val="24"/>
        </w:rPr>
        <w:t>Conclusion</w:t>
      </w:r>
    </w:p>
    <w:p w14:paraId="52E931CE" w14:textId="77777777" w:rsidR="0092756C" w:rsidRPr="00F56822" w:rsidRDefault="00CB7759" w:rsidP="00F56822">
      <w:pPr>
        <w:spacing w:line="360" w:lineRule="auto"/>
        <w:jc w:val="both"/>
        <w:rPr>
          <w:rFonts w:ascii="Times New Roman" w:hAnsi="Times New Roman" w:cs="Times New Roman"/>
          <w:sz w:val="24"/>
          <w:szCs w:val="24"/>
        </w:rPr>
      </w:pPr>
      <w:r w:rsidRPr="00F56822">
        <w:rPr>
          <w:rFonts w:ascii="Times New Roman" w:hAnsi="Times New Roman" w:cs="Times New Roman"/>
          <w:sz w:val="24"/>
          <w:szCs w:val="24"/>
        </w:rPr>
        <w:t>The accounting process is essential for the business organization. Wales Plc following the accounting process, prepared its profit and loss account and its balance sheet for the year-end. Because this statement provides an idea to the company about the profit of the company and the financial position of the company. On the other hand, by analyzing the ratio of the company Sweet Plc compared its performance with two years and measured its performance using two years of financial information.</w:t>
      </w:r>
    </w:p>
    <w:p w14:paraId="57288347" w14:textId="77777777" w:rsidR="00464BD8" w:rsidRPr="00F56822" w:rsidRDefault="00464BD8" w:rsidP="00F56822">
      <w:pPr>
        <w:spacing w:line="360" w:lineRule="auto"/>
        <w:jc w:val="both"/>
        <w:rPr>
          <w:rFonts w:ascii="Times New Roman" w:hAnsi="Times New Roman" w:cs="Times New Roman"/>
          <w:sz w:val="24"/>
          <w:szCs w:val="24"/>
        </w:rPr>
      </w:pPr>
    </w:p>
    <w:p w14:paraId="484113A8" w14:textId="77777777" w:rsidR="0006055F" w:rsidRPr="007B6994" w:rsidRDefault="00CB7759" w:rsidP="0006055F">
      <w:pPr>
        <w:spacing w:line="360" w:lineRule="auto"/>
        <w:jc w:val="both"/>
        <w:rPr>
          <w:rFonts w:ascii="Times New Roman" w:hAnsi="Times New Roman" w:cs="Times New Roman"/>
          <w:sz w:val="32"/>
          <w:szCs w:val="24"/>
        </w:rPr>
      </w:pPr>
      <w:r w:rsidRPr="007B6994">
        <w:rPr>
          <w:rFonts w:ascii="Times New Roman" w:hAnsi="Times New Roman" w:cs="Times New Roman"/>
          <w:b/>
          <w:sz w:val="32"/>
          <w:szCs w:val="24"/>
        </w:rPr>
        <w:t xml:space="preserve">References </w:t>
      </w:r>
    </w:p>
    <w:p w14:paraId="039BFE35"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Edmonds, T. P., Edmonds, C. T., Edmonds, M. A., Edmonds, J. E., &amp; Olds, P. R. (2021). </w:t>
      </w:r>
      <w:r w:rsidRPr="00FA0681">
        <w:rPr>
          <w:rFonts w:ascii="Times New Roman" w:hAnsi="Times New Roman" w:cs="Times New Roman"/>
          <w:i/>
          <w:iCs/>
          <w:sz w:val="24"/>
          <w:szCs w:val="24"/>
          <w:shd w:val="clear" w:color="auto" w:fill="FFFFFF"/>
        </w:rPr>
        <w:t>Fundamental financial accounting concepts</w:t>
      </w:r>
      <w:r w:rsidRPr="00FA0681">
        <w:rPr>
          <w:rFonts w:ascii="Times New Roman" w:hAnsi="Times New Roman" w:cs="Times New Roman"/>
          <w:sz w:val="24"/>
          <w:szCs w:val="24"/>
          <w:shd w:val="clear" w:color="auto" w:fill="FFFFFF"/>
        </w:rPr>
        <w:t>. McGraw-Hill.</w:t>
      </w:r>
    </w:p>
    <w:p w14:paraId="1273F97E"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Flynn, D., &amp; Koornhof, C. (2015). </w:t>
      </w:r>
      <w:r w:rsidRPr="00FA0681">
        <w:rPr>
          <w:rFonts w:ascii="Times New Roman" w:hAnsi="Times New Roman" w:cs="Times New Roman"/>
          <w:i/>
          <w:iCs/>
          <w:sz w:val="24"/>
          <w:szCs w:val="24"/>
          <w:shd w:val="clear" w:color="auto" w:fill="FFFFFF"/>
        </w:rPr>
        <w:t>Fundamental accounting</w:t>
      </w:r>
      <w:r w:rsidRPr="00FA0681">
        <w:rPr>
          <w:rFonts w:ascii="Times New Roman" w:hAnsi="Times New Roman" w:cs="Times New Roman"/>
          <w:sz w:val="24"/>
          <w:szCs w:val="24"/>
          <w:shd w:val="clear" w:color="auto" w:fill="FFFFFF"/>
        </w:rPr>
        <w:t>. Juta and Company Ltd.</w:t>
      </w:r>
    </w:p>
    <w:p w14:paraId="06372022"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Henderson, S., Peirson, G., Herbohn, K., &amp; Howieson, B. (2015). </w:t>
      </w:r>
      <w:r w:rsidRPr="00FA0681">
        <w:rPr>
          <w:rFonts w:ascii="Times New Roman" w:hAnsi="Times New Roman" w:cs="Times New Roman"/>
          <w:i/>
          <w:iCs/>
          <w:sz w:val="24"/>
          <w:szCs w:val="24"/>
          <w:shd w:val="clear" w:color="auto" w:fill="FFFFFF"/>
        </w:rPr>
        <w:t>Issues in financial accounting</w:t>
      </w:r>
      <w:r w:rsidRPr="00FA0681">
        <w:rPr>
          <w:rFonts w:ascii="Times New Roman" w:hAnsi="Times New Roman" w:cs="Times New Roman"/>
          <w:sz w:val="24"/>
          <w:szCs w:val="24"/>
          <w:shd w:val="clear" w:color="auto" w:fill="FFFFFF"/>
        </w:rPr>
        <w:t>. Pearson Higher Education AU.</w:t>
      </w:r>
    </w:p>
    <w:p w14:paraId="0BD8652A"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Hopwood, A. G. (2016). Understanding financial accounting practice. </w:t>
      </w:r>
      <w:r w:rsidRPr="00FA0681">
        <w:rPr>
          <w:rFonts w:ascii="Times New Roman" w:hAnsi="Times New Roman" w:cs="Times New Roman"/>
          <w:i/>
          <w:iCs/>
          <w:sz w:val="24"/>
          <w:szCs w:val="24"/>
          <w:shd w:val="clear" w:color="auto" w:fill="FFFFFF"/>
        </w:rPr>
        <w:t>Accounting, Organizations and Society</w:t>
      </w:r>
      <w:r w:rsidRPr="00FA0681">
        <w:rPr>
          <w:rFonts w:ascii="Times New Roman" w:hAnsi="Times New Roman" w:cs="Times New Roman"/>
          <w:sz w:val="24"/>
          <w:szCs w:val="24"/>
          <w:shd w:val="clear" w:color="auto" w:fill="FFFFFF"/>
        </w:rPr>
        <w:t>, </w:t>
      </w:r>
      <w:r w:rsidRPr="00FA0681">
        <w:rPr>
          <w:rFonts w:ascii="Times New Roman" w:hAnsi="Times New Roman" w:cs="Times New Roman"/>
          <w:i/>
          <w:iCs/>
          <w:sz w:val="24"/>
          <w:szCs w:val="24"/>
          <w:shd w:val="clear" w:color="auto" w:fill="FFFFFF"/>
        </w:rPr>
        <w:t>25</w:t>
      </w:r>
      <w:r w:rsidRPr="00FA0681">
        <w:rPr>
          <w:rFonts w:ascii="Times New Roman" w:hAnsi="Times New Roman" w:cs="Times New Roman"/>
          <w:sz w:val="24"/>
          <w:szCs w:val="24"/>
          <w:shd w:val="clear" w:color="auto" w:fill="FFFFFF"/>
        </w:rPr>
        <w:t>(8), 763-766.</w:t>
      </w:r>
    </w:p>
    <w:p w14:paraId="07ADA134" w14:textId="77777777" w:rsidR="0006055F" w:rsidRPr="00FA0681" w:rsidRDefault="00CB7759" w:rsidP="0006055F">
      <w:pPr>
        <w:spacing w:line="360" w:lineRule="auto"/>
        <w:jc w:val="both"/>
        <w:rPr>
          <w:rFonts w:ascii="Times New Roman" w:hAnsi="Times New Roman" w:cs="Times New Roman"/>
          <w:sz w:val="24"/>
          <w:szCs w:val="24"/>
        </w:rPr>
      </w:pPr>
      <w:r w:rsidRPr="00FA0681">
        <w:rPr>
          <w:rFonts w:ascii="Times New Roman" w:hAnsi="Times New Roman" w:cs="Times New Roman"/>
          <w:sz w:val="24"/>
          <w:szCs w:val="24"/>
          <w:shd w:val="clear" w:color="auto" w:fill="FFFFFF"/>
        </w:rPr>
        <w:t>Libby, R., Short, D., &amp; Libby, P. (2014). </w:t>
      </w:r>
      <w:r w:rsidRPr="00FA0681">
        <w:rPr>
          <w:rFonts w:ascii="Times New Roman" w:hAnsi="Times New Roman" w:cs="Times New Roman"/>
          <w:i/>
          <w:iCs/>
          <w:sz w:val="24"/>
          <w:szCs w:val="24"/>
          <w:shd w:val="clear" w:color="auto" w:fill="FFFFFF"/>
        </w:rPr>
        <w:t>EBOOK: Financial Accounting</w:t>
      </w:r>
      <w:r w:rsidRPr="00FA0681">
        <w:rPr>
          <w:rFonts w:ascii="Times New Roman" w:hAnsi="Times New Roman" w:cs="Times New Roman"/>
          <w:sz w:val="24"/>
          <w:szCs w:val="24"/>
          <w:shd w:val="clear" w:color="auto" w:fill="FFFFFF"/>
        </w:rPr>
        <w:t>. McGraw Hill.</w:t>
      </w:r>
    </w:p>
    <w:p w14:paraId="2B0DEA0F"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Turtle, H. J., &amp; Wang, K. (2017). The value in fundamental accounting information. </w:t>
      </w:r>
      <w:r w:rsidRPr="00FA0681">
        <w:rPr>
          <w:rFonts w:ascii="Times New Roman" w:hAnsi="Times New Roman" w:cs="Times New Roman"/>
          <w:i/>
          <w:iCs/>
          <w:sz w:val="24"/>
          <w:szCs w:val="24"/>
          <w:shd w:val="clear" w:color="auto" w:fill="FFFFFF"/>
        </w:rPr>
        <w:t>Journal of Financial Research</w:t>
      </w:r>
      <w:r w:rsidRPr="00FA0681">
        <w:rPr>
          <w:rFonts w:ascii="Times New Roman" w:hAnsi="Times New Roman" w:cs="Times New Roman"/>
          <w:sz w:val="24"/>
          <w:szCs w:val="24"/>
          <w:shd w:val="clear" w:color="auto" w:fill="FFFFFF"/>
        </w:rPr>
        <w:t>, </w:t>
      </w:r>
      <w:r w:rsidRPr="00FA0681">
        <w:rPr>
          <w:rFonts w:ascii="Times New Roman" w:hAnsi="Times New Roman" w:cs="Times New Roman"/>
          <w:i/>
          <w:iCs/>
          <w:sz w:val="24"/>
          <w:szCs w:val="24"/>
          <w:shd w:val="clear" w:color="auto" w:fill="FFFFFF"/>
        </w:rPr>
        <w:t>40</w:t>
      </w:r>
      <w:r w:rsidRPr="00FA0681">
        <w:rPr>
          <w:rFonts w:ascii="Times New Roman" w:hAnsi="Times New Roman" w:cs="Times New Roman"/>
          <w:sz w:val="24"/>
          <w:szCs w:val="24"/>
          <w:shd w:val="clear" w:color="auto" w:fill="FFFFFF"/>
        </w:rPr>
        <w:t>(1), 113-140.</w:t>
      </w:r>
    </w:p>
    <w:p w14:paraId="4FD914B2"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Warren, C. S., Jonick, C., &amp; Schneider, J. (2020). </w:t>
      </w:r>
      <w:r w:rsidRPr="00FA0681">
        <w:rPr>
          <w:rFonts w:ascii="Times New Roman" w:hAnsi="Times New Roman" w:cs="Times New Roman"/>
          <w:i/>
          <w:iCs/>
          <w:sz w:val="24"/>
          <w:szCs w:val="24"/>
          <w:shd w:val="clear" w:color="auto" w:fill="FFFFFF"/>
        </w:rPr>
        <w:t>Financial accounting</w:t>
      </w:r>
      <w:r w:rsidRPr="00FA0681">
        <w:rPr>
          <w:rFonts w:ascii="Times New Roman" w:hAnsi="Times New Roman" w:cs="Times New Roman"/>
          <w:sz w:val="24"/>
          <w:szCs w:val="24"/>
          <w:shd w:val="clear" w:color="auto" w:fill="FFFFFF"/>
        </w:rPr>
        <w:t>. Cengage Learning.</w:t>
      </w:r>
    </w:p>
    <w:p w14:paraId="55FBC2EF" w14:textId="77777777" w:rsidR="0006055F" w:rsidRPr="00FA0681" w:rsidRDefault="00CB7759" w:rsidP="0006055F">
      <w:pPr>
        <w:spacing w:line="360" w:lineRule="auto"/>
        <w:jc w:val="both"/>
        <w:rPr>
          <w:rFonts w:ascii="Times New Roman" w:hAnsi="Times New Roman" w:cs="Times New Roman"/>
          <w:sz w:val="24"/>
          <w:szCs w:val="24"/>
          <w:shd w:val="clear" w:color="auto" w:fill="FFFFFF"/>
        </w:rPr>
      </w:pPr>
      <w:r w:rsidRPr="00FA0681">
        <w:rPr>
          <w:rFonts w:ascii="Times New Roman" w:hAnsi="Times New Roman" w:cs="Times New Roman"/>
          <w:sz w:val="24"/>
          <w:szCs w:val="24"/>
          <w:shd w:val="clear" w:color="auto" w:fill="FFFFFF"/>
        </w:rPr>
        <w:t>Weil, R. L., Schipper, K., &amp; Francis, J. (2017). </w:t>
      </w:r>
      <w:r w:rsidRPr="00FA0681">
        <w:rPr>
          <w:rFonts w:ascii="Times New Roman" w:hAnsi="Times New Roman" w:cs="Times New Roman"/>
          <w:i/>
          <w:iCs/>
          <w:sz w:val="24"/>
          <w:szCs w:val="24"/>
          <w:shd w:val="clear" w:color="auto" w:fill="FFFFFF"/>
        </w:rPr>
        <w:t>Financial accounting: an introduction to concepts, methods and uses</w:t>
      </w:r>
      <w:r w:rsidRPr="00FA0681">
        <w:rPr>
          <w:rFonts w:ascii="Times New Roman" w:hAnsi="Times New Roman" w:cs="Times New Roman"/>
          <w:sz w:val="24"/>
          <w:szCs w:val="24"/>
          <w:shd w:val="clear" w:color="auto" w:fill="FFFFFF"/>
        </w:rPr>
        <w:t>. Cengage Learning.</w:t>
      </w:r>
    </w:p>
    <w:p w14:paraId="36723599" w14:textId="77777777" w:rsidR="00A23BF1" w:rsidRPr="00F56822" w:rsidRDefault="00A23BF1" w:rsidP="00F56822">
      <w:pPr>
        <w:spacing w:line="360" w:lineRule="auto"/>
        <w:jc w:val="both"/>
        <w:rPr>
          <w:rFonts w:ascii="Times New Roman" w:hAnsi="Times New Roman" w:cs="Times New Roman"/>
          <w:sz w:val="24"/>
          <w:szCs w:val="24"/>
        </w:rPr>
      </w:pPr>
    </w:p>
    <w:sectPr w:rsidR="00A23BF1" w:rsidRPr="00F5682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059D7" w14:textId="77777777" w:rsidR="00912126" w:rsidRDefault="00912126">
      <w:pPr>
        <w:spacing w:after="0" w:line="240" w:lineRule="auto"/>
      </w:pPr>
      <w:r>
        <w:separator/>
      </w:r>
    </w:p>
  </w:endnote>
  <w:endnote w:type="continuationSeparator" w:id="0">
    <w:p w14:paraId="6B5B9FE8" w14:textId="77777777" w:rsidR="00912126" w:rsidRDefault="00912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C722A" w14:textId="77777777" w:rsidR="00231124" w:rsidRDefault="002311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233584"/>
      <w:docPartObj>
        <w:docPartGallery w:val="Page Numbers (Bottom of Page)"/>
        <w:docPartUnique/>
      </w:docPartObj>
    </w:sdtPr>
    <w:sdtEndPr>
      <w:rPr>
        <w:noProof/>
      </w:rPr>
    </w:sdtEndPr>
    <w:sdtContent>
      <w:p w14:paraId="21774ABD" w14:textId="77777777" w:rsidR="00CB7759" w:rsidRDefault="00CB7759">
        <w:pPr>
          <w:pStyle w:val="Footer"/>
          <w:jc w:val="center"/>
        </w:pPr>
        <w:r>
          <w:fldChar w:fldCharType="begin"/>
        </w:r>
        <w:r>
          <w:instrText xml:space="preserve"> PAGE   \* MERGEFORMAT </w:instrText>
        </w:r>
        <w:r>
          <w:fldChar w:fldCharType="separate"/>
        </w:r>
        <w:r w:rsidR="00231124">
          <w:rPr>
            <w:noProof/>
          </w:rPr>
          <w:t>3</w:t>
        </w:r>
        <w:r>
          <w:rPr>
            <w:noProof/>
          </w:rPr>
          <w:fldChar w:fldCharType="end"/>
        </w:r>
      </w:p>
    </w:sdtContent>
  </w:sdt>
  <w:p w14:paraId="787B0667" w14:textId="77777777" w:rsidR="00CB7759" w:rsidRDefault="00CB77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29D21" w14:textId="77777777" w:rsidR="00231124" w:rsidRDefault="00231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B6BA1" w14:textId="77777777" w:rsidR="00912126" w:rsidRDefault="00912126">
      <w:pPr>
        <w:spacing w:after="0" w:line="240" w:lineRule="auto"/>
      </w:pPr>
      <w:r>
        <w:separator/>
      </w:r>
    </w:p>
  </w:footnote>
  <w:footnote w:type="continuationSeparator" w:id="0">
    <w:p w14:paraId="369A3730" w14:textId="77777777" w:rsidR="00912126" w:rsidRDefault="00912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7AF21" w14:textId="77777777" w:rsidR="00231124" w:rsidRDefault="002311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6679F" w14:textId="77777777" w:rsidR="00231124" w:rsidRDefault="002311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2C356" w14:textId="77777777" w:rsidR="00231124" w:rsidRDefault="002311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BD8"/>
    <w:rsid w:val="0004005F"/>
    <w:rsid w:val="0006055F"/>
    <w:rsid w:val="000E6F8C"/>
    <w:rsid w:val="001B46CD"/>
    <w:rsid w:val="00231124"/>
    <w:rsid w:val="00296802"/>
    <w:rsid w:val="004310A6"/>
    <w:rsid w:val="00464BD8"/>
    <w:rsid w:val="00687CF8"/>
    <w:rsid w:val="00774AD4"/>
    <w:rsid w:val="007968F7"/>
    <w:rsid w:val="007B6994"/>
    <w:rsid w:val="00856BED"/>
    <w:rsid w:val="00912126"/>
    <w:rsid w:val="0092756C"/>
    <w:rsid w:val="009D028F"/>
    <w:rsid w:val="00A23BF1"/>
    <w:rsid w:val="00A47849"/>
    <w:rsid w:val="00AF087B"/>
    <w:rsid w:val="00B01FDA"/>
    <w:rsid w:val="00B04BD0"/>
    <w:rsid w:val="00BE08F9"/>
    <w:rsid w:val="00C36C0E"/>
    <w:rsid w:val="00CB7759"/>
    <w:rsid w:val="00D125F1"/>
    <w:rsid w:val="00EB35C0"/>
    <w:rsid w:val="00F51C36"/>
    <w:rsid w:val="00F56822"/>
    <w:rsid w:val="00F63A9E"/>
    <w:rsid w:val="00FA0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371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BD8"/>
  </w:style>
  <w:style w:type="paragraph" w:styleId="Heading1">
    <w:name w:val="heading 1"/>
    <w:basedOn w:val="Normal"/>
    <w:next w:val="Normal"/>
    <w:link w:val="Heading1Char"/>
    <w:uiPriority w:val="9"/>
    <w:qFormat/>
    <w:rsid w:val="00F568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6">
    <w:name w:val="Grid Table 4 Accent 6"/>
    <w:basedOn w:val="TableNormal"/>
    <w:uiPriority w:val="49"/>
    <w:rsid w:val="00464BD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1">
    <w:name w:val="Plain Table 1"/>
    <w:basedOn w:val="TableNormal"/>
    <w:uiPriority w:val="41"/>
    <w:rsid w:val="00464BD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F568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56822"/>
    <w:pPr>
      <w:outlineLvl w:val="9"/>
    </w:pPr>
  </w:style>
  <w:style w:type="paragraph" w:styleId="TOC2">
    <w:name w:val="toc 2"/>
    <w:basedOn w:val="Normal"/>
    <w:next w:val="Normal"/>
    <w:autoRedefine/>
    <w:uiPriority w:val="39"/>
    <w:unhideWhenUsed/>
    <w:rsid w:val="00F56822"/>
    <w:pPr>
      <w:spacing w:after="100"/>
      <w:ind w:left="220"/>
    </w:pPr>
    <w:rPr>
      <w:rFonts w:eastAsiaTheme="minorEastAsia" w:cs="Times New Roman"/>
    </w:rPr>
  </w:style>
  <w:style w:type="paragraph" w:styleId="TOC1">
    <w:name w:val="toc 1"/>
    <w:basedOn w:val="Normal"/>
    <w:next w:val="Normal"/>
    <w:autoRedefine/>
    <w:uiPriority w:val="39"/>
    <w:unhideWhenUsed/>
    <w:rsid w:val="00F56822"/>
    <w:pPr>
      <w:spacing w:after="100"/>
    </w:pPr>
    <w:rPr>
      <w:rFonts w:eastAsiaTheme="minorEastAsia" w:cs="Times New Roman"/>
    </w:rPr>
  </w:style>
  <w:style w:type="paragraph" w:styleId="TOC3">
    <w:name w:val="toc 3"/>
    <w:basedOn w:val="Normal"/>
    <w:next w:val="Normal"/>
    <w:autoRedefine/>
    <w:uiPriority w:val="39"/>
    <w:unhideWhenUsed/>
    <w:rsid w:val="00F56822"/>
    <w:pPr>
      <w:spacing w:after="100"/>
      <w:ind w:left="440"/>
    </w:pPr>
    <w:rPr>
      <w:rFonts w:eastAsiaTheme="minorEastAsia" w:cs="Times New Roman"/>
    </w:rPr>
  </w:style>
  <w:style w:type="paragraph" w:styleId="Header">
    <w:name w:val="header"/>
    <w:basedOn w:val="Normal"/>
    <w:link w:val="HeaderChar"/>
    <w:uiPriority w:val="99"/>
    <w:unhideWhenUsed/>
    <w:rsid w:val="00F63A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3A9E"/>
  </w:style>
  <w:style w:type="paragraph" w:styleId="Footer">
    <w:name w:val="footer"/>
    <w:basedOn w:val="Normal"/>
    <w:link w:val="FooterChar"/>
    <w:uiPriority w:val="99"/>
    <w:unhideWhenUsed/>
    <w:rsid w:val="00F63A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3A9E"/>
  </w:style>
  <w:style w:type="table" w:styleId="GridTable4-Accent4">
    <w:name w:val="Grid Table 4 Accent 4"/>
    <w:basedOn w:val="TableNormal"/>
    <w:uiPriority w:val="49"/>
    <w:rsid w:val="00CB775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CB775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CB775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79EE7-5CE9-4D62-ABDC-73DAF1F1D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2023-05-09T18:05:00Z</dcterms:created>
  <dcterms:modified xsi:type="dcterms:W3CDTF">2023-05-09T18:05:00Z</dcterms:modified>
</cp:coreProperties>
</file>