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973BC1" w14:textId="2EB7EC2B" w:rsidR="008B01C4" w:rsidRDefault="008B01C4" w:rsidP="00336C64">
      <w:pPr>
        <w:pStyle w:val="Heading1"/>
        <w:rPr>
          <w:rStyle w:val="Strong"/>
          <w:b/>
          <w:bCs/>
        </w:rPr>
      </w:pPr>
      <w:bookmarkStart w:id="0" w:name="_Toc237011237"/>
      <w:r w:rsidRPr="008B01C4">
        <w:rPr>
          <w:noProof/>
        </w:rPr>
        <w:drawing>
          <wp:inline distT="0" distB="0" distL="0" distR="0" wp14:anchorId="6CBAF977" wp14:editId="0B01E9BD">
            <wp:extent cx="2365612" cy="1214651"/>
            <wp:effectExtent l="0" t="0" r="0" b="5080"/>
            <wp:docPr id="9" name="Picture 2" descr="Prifysgol Cymru Y Drindod Dewi Sant | University of Wales Trinity Saint  David - NPLD">
              <a:extLst xmlns:a="http://schemas.openxmlformats.org/drawingml/2006/main">
                <a:ext uri="{FF2B5EF4-FFF2-40B4-BE49-F238E27FC236}">
                  <a16:creationId xmlns:a16="http://schemas.microsoft.com/office/drawing/2014/main" id="{EDF67C3D-3197-4D94-A887-6DC399B59BF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2" descr="Prifysgol Cymru Y Drindod Dewi Sant | University of Wales Trinity Saint  David - NPLD">
                      <a:extLst>
                        <a:ext uri="{FF2B5EF4-FFF2-40B4-BE49-F238E27FC236}">
                          <a16:creationId xmlns:a16="http://schemas.microsoft.com/office/drawing/2014/main" id="{EDF67C3D-3197-4D94-A887-6DC399B59BFD}"/>
                        </a:ext>
                      </a:extLs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65612" cy="1214651"/>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7D3523F1" w14:textId="22FB49BF" w:rsidR="00B127BE" w:rsidRDefault="00B127BE" w:rsidP="00336C64">
      <w:pPr>
        <w:pStyle w:val="Heading1"/>
        <w:rPr>
          <w:rStyle w:val="Strong"/>
          <w:b/>
          <w:bCs/>
        </w:rPr>
      </w:pPr>
    </w:p>
    <w:p w14:paraId="13458A8F" w14:textId="6FA13A1A" w:rsidR="00B127BE" w:rsidRDefault="00F47F4D" w:rsidP="00336C64">
      <w:pPr>
        <w:pStyle w:val="Heading1"/>
        <w:rPr>
          <w:sz w:val="40"/>
          <w:szCs w:val="40"/>
        </w:rPr>
      </w:pPr>
      <w:r w:rsidRPr="00F47F4D">
        <w:rPr>
          <w:rStyle w:val="Strong"/>
          <w:b/>
          <w:bCs/>
          <w:sz w:val="40"/>
          <w:szCs w:val="40"/>
        </w:rPr>
        <w:t>MSc</w:t>
      </w:r>
      <w:r w:rsidR="008B01C4" w:rsidRPr="00F47F4D">
        <w:rPr>
          <w:rStyle w:val="Strong"/>
          <w:b/>
          <w:bCs/>
          <w:sz w:val="40"/>
          <w:szCs w:val="40"/>
        </w:rPr>
        <w:t xml:space="preserve"> </w:t>
      </w:r>
      <w:r w:rsidRPr="00F47F4D">
        <w:rPr>
          <w:rStyle w:val="Strong"/>
          <w:b/>
          <w:bCs/>
          <w:sz w:val="40"/>
          <w:szCs w:val="40"/>
        </w:rPr>
        <w:t>P</w:t>
      </w:r>
      <w:r w:rsidR="008B01C4" w:rsidRPr="00F47F4D">
        <w:rPr>
          <w:rStyle w:val="Strong"/>
          <w:b/>
          <w:bCs/>
          <w:sz w:val="40"/>
          <w:szCs w:val="40"/>
        </w:rPr>
        <w:t xml:space="preserve">ublic </w:t>
      </w:r>
      <w:r w:rsidRPr="00F47F4D">
        <w:rPr>
          <w:rStyle w:val="Strong"/>
          <w:b/>
          <w:bCs/>
          <w:sz w:val="40"/>
          <w:szCs w:val="40"/>
        </w:rPr>
        <w:t>H</w:t>
      </w:r>
      <w:r w:rsidR="008B01C4" w:rsidRPr="00F47F4D">
        <w:rPr>
          <w:rStyle w:val="Strong"/>
          <w:b/>
          <w:bCs/>
          <w:sz w:val="40"/>
          <w:szCs w:val="40"/>
        </w:rPr>
        <w:t>ealth and social care in practice</w:t>
      </w:r>
      <w:bookmarkEnd w:id="0"/>
    </w:p>
    <w:p w14:paraId="78CCFCC5" w14:textId="77777777" w:rsidR="00B127BE" w:rsidRPr="00F47F4D" w:rsidRDefault="00B127BE" w:rsidP="00336C64">
      <w:pPr>
        <w:pStyle w:val="Heading1"/>
        <w:rPr>
          <w:sz w:val="40"/>
          <w:szCs w:val="40"/>
        </w:rPr>
      </w:pPr>
    </w:p>
    <w:p w14:paraId="4A54FB86" w14:textId="219868C7" w:rsidR="00F47F4D" w:rsidRDefault="00F47F4D" w:rsidP="00F47F4D">
      <w:pPr>
        <w:spacing w:line="259" w:lineRule="auto"/>
        <w:jc w:val="left"/>
        <w:rPr>
          <w:rFonts w:eastAsia="Times New Roman" w:cs="Times New Roman"/>
          <w:kern w:val="36"/>
          <w:sz w:val="36"/>
          <w:szCs w:val="36"/>
          <w:lang w:eastAsia="en-IN"/>
        </w:rPr>
      </w:pPr>
      <w:r w:rsidRPr="00F47F4D">
        <w:rPr>
          <w:rFonts w:eastAsia="Times New Roman" w:cs="Times New Roman"/>
          <w:kern w:val="36"/>
          <w:sz w:val="36"/>
          <w:szCs w:val="36"/>
          <w:lang w:eastAsia="en-IN"/>
        </w:rPr>
        <w:t>M</w:t>
      </w:r>
      <w:r>
        <w:rPr>
          <w:rFonts w:eastAsia="Times New Roman" w:cs="Times New Roman"/>
          <w:kern w:val="36"/>
          <w:sz w:val="36"/>
          <w:szCs w:val="36"/>
          <w:lang w:eastAsia="en-IN"/>
        </w:rPr>
        <w:t>odule</w:t>
      </w:r>
      <w:r w:rsidRPr="00F47F4D">
        <w:rPr>
          <w:rFonts w:eastAsia="Times New Roman" w:cs="Times New Roman"/>
          <w:kern w:val="36"/>
          <w:sz w:val="36"/>
          <w:szCs w:val="36"/>
          <w:lang w:eastAsia="en-IN"/>
        </w:rPr>
        <w:t>: Health care system Organisation and leadership</w:t>
      </w:r>
    </w:p>
    <w:p w14:paraId="664D8603" w14:textId="77777777" w:rsidR="00B127BE" w:rsidRPr="00F47F4D" w:rsidRDefault="00B127BE" w:rsidP="00F47F4D">
      <w:pPr>
        <w:spacing w:line="259" w:lineRule="auto"/>
        <w:jc w:val="left"/>
        <w:rPr>
          <w:rFonts w:eastAsia="Times New Roman" w:cs="Times New Roman"/>
          <w:kern w:val="36"/>
          <w:sz w:val="36"/>
          <w:szCs w:val="36"/>
          <w:lang w:eastAsia="en-IN"/>
        </w:rPr>
      </w:pPr>
    </w:p>
    <w:p w14:paraId="6B71F0F7" w14:textId="3D45BCC5" w:rsidR="00B127BE" w:rsidRDefault="00F47F4D" w:rsidP="00F47F4D">
      <w:pPr>
        <w:spacing w:line="259" w:lineRule="auto"/>
        <w:jc w:val="left"/>
        <w:rPr>
          <w:rFonts w:eastAsia="Times New Roman" w:cs="Times New Roman"/>
          <w:kern w:val="36"/>
          <w:sz w:val="36"/>
          <w:szCs w:val="36"/>
          <w:lang w:eastAsia="en-IN"/>
        </w:rPr>
      </w:pPr>
      <w:r w:rsidRPr="00F47F4D">
        <w:rPr>
          <w:rFonts w:eastAsia="Times New Roman" w:cs="Times New Roman"/>
          <w:kern w:val="36"/>
          <w:sz w:val="36"/>
          <w:szCs w:val="36"/>
          <w:lang w:eastAsia="en-IN"/>
        </w:rPr>
        <w:t>Module Code: LCHS7002</w:t>
      </w:r>
    </w:p>
    <w:p w14:paraId="1E6CAEDD" w14:textId="77777777" w:rsidR="00B127BE" w:rsidRPr="00F47F4D" w:rsidRDefault="00B127BE" w:rsidP="00F47F4D">
      <w:pPr>
        <w:spacing w:line="259" w:lineRule="auto"/>
        <w:jc w:val="left"/>
        <w:rPr>
          <w:rFonts w:eastAsia="Times New Roman" w:cs="Times New Roman"/>
          <w:kern w:val="36"/>
          <w:sz w:val="36"/>
          <w:szCs w:val="36"/>
          <w:lang w:eastAsia="en-IN"/>
        </w:rPr>
      </w:pPr>
    </w:p>
    <w:p w14:paraId="59FC2F07" w14:textId="577056AA" w:rsidR="00F47F4D" w:rsidRDefault="00F47F4D" w:rsidP="00F47F4D">
      <w:pPr>
        <w:spacing w:line="259" w:lineRule="auto"/>
        <w:jc w:val="left"/>
        <w:rPr>
          <w:rFonts w:eastAsia="Times New Roman" w:cs="Times New Roman"/>
          <w:kern w:val="36"/>
          <w:sz w:val="36"/>
          <w:szCs w:val="36"/>
          <w:lang w:eastAsia="en-IN"/>
        </w:rPr>
      </w:pPr>
      <w:r w:rsidRPr="00F47F4D">
        <w:rPr>
          <w:rFonts w:eastAsia="Times New Roman" w:cs="Times New Roman"/>
          <w:kern w:val="36"/>
          <w:sz w:val="36"/>
          <w:szCs w:val="36"/>
          <w:lang w:eastAsia="en-IN"/>
        </w:rPr>
        <w:t>Assignment Title: Case study</w:t>
      </w:r>
      <w:r>
        <w:rPr>
          <w:rFonts w:eastAsia="Times New Roman" w:cs="Times New Roman"/>
          <w:kern w:val="36"/>
          <w:sz w:val="36"/>
          <w:szCs w:val="36"/>
          <w:lang w:eastAsia="en-IN"/>
        </w:rPr>
        <w:t xml:space="preserve"> Analysis report –</w:t>
      </w:r>
      <w:r w:rsidRPr="00F47F4D">
        <w:rPr>
          <w:rFonts w:eastAsia="Times New Roman" w:cs="Times New Roman"/>
          <w:kern w:val="36"/>
          <w:sz w:val="36"/>
          <w:szCs w:val="36"/>
          <w:lang w:eastAsia="en-IN"/>
        </w:rPr>
        <w:t xml:space="preserve"> 4</w:t>
      </w:r>
    </w:p>
    <w:p w14:paraId="1935D988" w14:textId="77777777" w:rsidR="00B127BE" w:rsidRDefault="00B127BE" w:rsidP="00F47F4D">
      <w:pPr>
        <w:spacing w:line="259" w:lineRule="auto"/>
        <w:jc w:val="left"/>
        <w:rPr>
          <w:rFonts w:eastAsia="Times New Roman" w:cs="Times New Roman"/>
          <w:kern w:val="36"/>
          <w:sz w:val="36"/>
          <w:szCs w:val="36"/>
          <w:lang w:eastAsia="en-IN"/>
        </w:rPr>
      </w:pPr>
    </w:p>
    <w:p w14:paraId="72B6F3B8" w14:textId="6AE6DB5A" w:rsidR="00B127BE" w:rsidRDefault="00B127BE" w:rsidP="00B127BE">
      <w:pPr>
        <w:spacing w:line="259" w:lineRule="auto"/>
        <w:jc w:val="left"/>
        <w:rPr>
          <w:rFonts w:eastAsia="Times New Roman" w:cs="Times New Roman"/>
          <w:kern w:val="36"/>
          <w:sz w:val="36"/>
          <w:szCs w:val="36"/>
          <w:lang w:eastAsia="en-IN"/>
        </w:rPr>
      </w:pPr>
      <w:r>
        <w:rPr>
          <w:rFonts w:eastAsia="Times New Roman" w:cs="Times New Roman"/>
          <w:kern w:val="36"/>
          <w:sz w:val="36"/>
          <w:szCs w:val="36"/>
          <w:lang w:eastAsia="en-IN"/>
        </w:rPr>
        <w:t>Lecturer:</w:t>
      </w:r>
      <w:r w:rsidRPr="00B127BE">
        <w:rPr>
          <w:rFonts w:eastAsia="Times New Roman" w:cs="Times New Roman"/>
          <w:kern w:val="36"/>
          <w:sz w:val="36"/>
          <w:szCs w:val="36"/>
          <w:lang w:eastAsia="en-IN"/>
        </w:rPr>
        <w:t xml:space="preserve"> </w:t>
      </w:r>
      <w:r>
        <w:rPr>
          <w:rFonts w:eastAsia="Times New Roman" w:cs="Times New Roman"/>
          <w:kern w:val="36"/>
          <w:sz w:val="36"/>
          <w:szCs w:val="36"/>
          <w:lang w:eastAsia="en-IN"/>
        </w:rPr>
        <w:t>Dr Pascal Navelle.</w:t>
      </w:r>
    </w:p>
    <w:p w14:paraId="39747774" w14:textId="357A0B00" w:rsidR="00B127BE" w:rsidRDefault="00B127BE" w:rsidP="00F47F4D">
      <w:pPr>
        <w:spacing w:line="259" w:lineRule="auto"/>
        <w:jc w:val="left"/>
        <w:rPr>
          <w:rFonts w:eastAsia="Times New Roman" w:cs="Times New Roman"/>
          <w:kern w:val="36"/>
          <w:sz w:val="36"/>
          <w:szCs w:val="36"/>
          <w:lang w:eastAsia="en-IN"/>
        </w:rPr>
      </w:pPr>
    </w:p>
    <w:p w14:paraId="453933FB" w14:textId="460AEF0E" w:rsidR="00B127BE" w:rsidRDefault="00B127BE" w:rsidP="00F47F4D">
      <w:pPr>
        <w:spacing w:line="259" w:lineRule="auto"/>
        <w:jc w:val="left"/>
        <w:rPr>
          <w:rFonts w:eastAsia="Times New Roman" w:cs="Times New Roman"/>
          <w:kern w:val="36"/>
          <w:sz w:val="36"/>
          <w:szCs w:val="36"/>
          <w:lang w:eastAsia="en-IN"/>
        </w:rPr>
      </w:pPr>
      <w:r>
        <w:rPr>
          <w:rFonts w:eastAsia="Times New Roman" w:cs="Times New Roman"/>
          <w:kern w:val="36"/>
          <w:sz w:val="36"/>
          <w:szCs w:val="36"/>
          <w:lang w:eastAsia="en-IN"/>
        </w:rPr>
        <w:t xml:space="preserve">Student Name: </w:t>
      </w:r>
      <w:proofErr w:type="spellStart"/>
      <w:r>
        <w:rPr>
          <w:rFonts w:eastAsia="Times New Roman" w:cs="Times New Roman"/>
          <w:kern w:val="36"/>
          <w:sz w:val="36"/>
          <w:szCs w:val="36"/>
          <w:lang w:eastAsia="en-IN"/>
        </w:rPr>
        <w:t>Vrutti</w:t>
      </w:r>
      <w:proofErr w:type="spellEnd"/>
      <w:r>
        <w:rPr>
          <w:rFonts w:eastAsia="Times New Roman" w:cs="Times New Roman"/>
          <w:kern w:val="36"/>
          <w:sz w:val="36"/>
          <w:szCs w:val="36"/>
          <w:lang w:eastAsia="en-IN"/>
        </w:rPr>
        <w:t xml:space="preserve"> </w:t>
      </w:r>
      <w:proofErr w:type="spellStart"/>
      <w:r>
        <w:rPr>
          <w:rFonts w:eastAsia="Times New Roman" w:cs="Times New Roman"/>
          <w:kern w:val="36"/>
          <w:sz w:val="36"/>
          <w:szCs w:val="36"/>
          <w:lang w:eastAsia="en-IN"/>
        </w:rPr>
        <w:t>Pareshkumar</w:t>
      </w:r>
      <w:proofErr w:type="spellEnd"/>
      <w:r>
        <w:rPr>
          <w:rFonts w:eastAsia="Times New Roman" w:cs="Times New Roman"/>
          <w:kern w:val="36"/>
          <w:sz w:val="36"/>
          <w:szCs w:val="36"/>
          <w:lang w:eastAsia="en-IN"/>
        </w:rPr>
        <w:t xml:space="preserve"> Patel</w:t>
      </w:r>
    </w:p>
    <w:p w14:paraId="517D42C2" w14:textId="77777777" w:rsidR="00B127BE" w:rsidRDefault="00B127BE" w:rsidP="00F47F4D">
      <w:pPr>
        <w:spacing w:line="259" w:lineRule="auto"/>
        <w:jc w:val="left"/>
        <w:rPr>
          <w:rFonts w:eastAsia="Times New Roman" w:cs="Times New Roman"/>
          <w:kern w:val="36"/>
          <w:sz w:val="36"/>
          <w:szCs w:val="36"/>
          <w:lang w:eastAsia="en-IN"/>
        </w:rPr>
      </w:pPr>
    </w:p>
    <w:p w14:paraId="3766187C" w14:textId="7EEB7AB7" w:rsidR="00B127BE" w:rsidRDefault="00B127BE" w:rsidP="00F47F4D">
      <w:pPr>
        <w:spacing w:line="259" w:lineRule="auto"/>
        <w:jc w:val="left"/>
        <w:rPr>
          <w:rFonts w:eastAsia="Times New Roman" w:cs="Times New Roman"/>
          <w:kern w:val="36"/>
          <w:sz w:val="36"/>
          <w:szCs w:val="36"/>
          <w:lang w:eastAsia="en-IN"/>
        </w:rPr>
      </w:pPr>
      <w:r>
        <w:rPr>
          <w:rFonts w:eastAsia="Times New Roman" w:cs="Times New Roman"/>
          <w:kern w:val="36"/>
          <w:sz w:val="36"/>
          <w:szCs w:val="36"/>
          <w:lang w:eastAsia="en-IN"/>
        </w:rPr>
        <w:t>Student Number: 2541199</w:t>
      </w:r>
    </w:p>
    <w:p w14:paraId="67EB3755" w14:textId="77777777" w:rsidR="00B127BE" w:rsidRDefault="00B127BE" w:rsidP="00F47F4D">
      <w:pPr>
        <w:spacing w:line="259" w:lineRule="auto"/>
        <w:jc w:val="left"/>
        <w:rPr>
          <w:rFonts w:eastAsia="Times New Roman" w:cs="Times New Roman"/>
          <w:kern w:val="36"/>
          <w:sz w:val="36"/>
          <w:szCs w:val="36"/>
          <w:lang w:eastAsia="en-IN"/>
        </w:rPr>
      </w:pPr>
    </w:p>
    <w:p w14:paraId="7B503E92" w14:textId="0A095A1C" w:rsidR="008B01C4" w:rsidRPr="00F47F4D" w:rsidRDefault="00B127BE" w:rsidP="00F47F4D">
      <w:pPr>
        <w:spacing w:line="259" w:lineRule="auto"/>
        <w:jc w:val="left"/>
        <w:rPr>
          <w:rFonts w:eastAsia="Times New Roman" w:cs="Times New Roman"/>
          <w:kern w:val="36"/>
          <w:sz w:val="36"/>
          <w:szCs w:val="36"/>
          <w:lang w:eastAsia="en-IN"/>
        </w:rPr>
      </w:pPr>
      <w:r>
        <w:rPr>
          <w:rFonts w:eastAsia="Times New Roman" w:cs="Times New Roman"/>
          <w:kern w:val="36"/>
          <w:sz w:val="36"/>
          <w:szCs w:val="36"/>
          <w:lang w:eastAsia="en-IN"/>
        </w:rPr>
        <w:t>Sub</w:t>
      </w:r>
      <w:r w:rsidR="00F47F4D">
        <w:rPr>
          <w:rFonts w:eastAsia="Times New Roman" w:cs="Times New Roman"/>
          <w:kern w:val="36"/>
          <w:sz w:val="36"/>
          <w:szCs w:val="36"/>
          <w:lang w:eastAsia="en-IN"/>
        </w:rPr>
        <w:t>mission Date: 11/08/2026</w:t>
      </w:r>
      <w:r w:rsidR="00336C64" w:rsidRPr="00F47F4D">
        <w:rPr>
          <w:rFonts w:eastAsia="Times New Roman" w:cs="Times New Roman"/>
          <w:kern w:val="36"/>
          <w:sz w:val="36"/>
          <w:szCs w:val="36"/>
          <w:lang w:eastAsia="en-IN"/>
        </w:rPr>
        <w:br w:type="page"/>
      </w:r>
    </w:p>
    <w:sdt>
      <w:sdtPr>
        <w:rPr>
          <w:rFonts w:ascii="Times New Roman" w:eastAsiaTheme="minorHAnsi" w:hAnsi="Times New Roman" w:cstheme="minorBidi"/>
          <w:color w:val="auto"/>
          <w:sz w:val="24"/>
          <w:szCs w:val="22"/>
          <w:lang w:val="en-IN"/>
        </w:rPr>
        <w:id w:val="1263254977"/>
        <w:docPartObj>
          <w:docPartGallery w:val="Table of Contents"/>
          <w:docPartUnique/>
        </w:docPartObj>
      </w:sdtPr>
      <w:sdtEndPr>
        <w:rPr>
          <w:b/>
          <w:bCs/>
          <w:noProof/>
        </w:rPr>
      </w:sdtEndPr>
      <w:sdtContent>
        <w:p w14:paraId="5ADC11A5" w14:textId="343E1A0D" w:rsidR="00B52E92" w:rsidRPr="008B01C4" w:rsidRDefault="00B52E92">
          <w:pPr>
            <w:pStyle w:val="TOCHeading"/>
            <w:rPr>
              <w:rFonts w:ascii="Times New Roman" w:eastAsiaTheme="minorHAnsi" w:hAnsi="Times New Roman" w:cstheme="minorBidi"/>
              <w:color w:val="auto"/>
              <w:sz w:val="24"/>
              <w:szCs w:val="22"/>
              <w:lang w:val="en-IN"/>
            </w:rPr>
          </w:pPr>
          <w:r>
            <w:t>Table of Contents</w:t>
          </w:r>
        </w:p>
        <w:p w14:paraId="4383A92B" w14:textId="7CD3E531" w:rsidR="00B52E92" w:rsidRDefault="00B52E92">
          <w:pPr>
            <w:pStyle w:val="TOC1"/>
            <w:tabs>
              <w:tab w:val="right" w:leader="dot" w:pos="9016"/>
            </w:tabs>
            <w:rPr>
              <w:noProof/>
            </w:rPr>
          </w:pPr>
          <w:r>
            <w:fldChar w:fldCharType="begin"/>
          </w:r>
          <w:r>
            <w:instrText xml:space="preserve"> TOC \o "1-3" \h \z \u </w:instrText>
          </w:r>
          <w:r>
            <w:fldChar w:fldCharType="separate"/>
          </w:r>
          <w:hyperlink w:anchor="_Toc237011237" w:history="1">
            <w:r w:rsidRPr="0007435E">
              <w:rPr>
                <w:rStyle w:val="Hyperlink"/>
                <w:noProof/>
              </w:rPr>
              <w:t>Leadership and Governance in Health and Social Care</w:t>
            </w:r>
            <w:r>
              <w:rPr>
                <w:noProof/>
                <w:webHidden/>
              </w:rPr>
              <w:tab/>
            </w:r>
            <w:r>
              <w:rPr>
                <w:noProof/>
                <w:webHidden/>
              </w:rPr>
              <w:fldChar w:fldCharType="begin"/>
            </w:r>
            <w:r>
              <w:rPr>
                <w:noProof/>
                <w:webHidden/>
              </w:rPr>
              <w:instrText xml:space="preserve"> PAGEREF _Toc237011237 \h </w:instrText>
            </w:r>
            <w:r>
              <w:rPr>
                <w:noProof/>
                <w:webHidden/>
              </w:rPr>
            </w:r>
            <w:r>
              <w:rPr>
                <w:noProof/>
                <w:webHidden/>
              </w:rPr>
              <w:fldChar w:fldCharType="separate"/>
            </w:r>
            <w:r>
              <w:rPr>
                <w:noProof/>
                <w:webHidden/>
              </w:rPr>
              <w:t>1</w:t>
            </w:r>
            <w:r>
              <w:rPr>
                <w:noProof/>
                <w:webHidden/>
              </w:rPr>
              <w:fldChar w:fldCharType="end"/>
            </w:r>
          </w:hyperlink>
        </w:p>
        <w:p w14:paraId="2CFDAA05" w14:textId="06BD4034" w:rsidR="00B52E92" w:rsidRDefault="00B52E92">
          <w:pPr>
            <w:pStyle w:val="TOC1"/>
            <w:tabs>
              <w:tab w:val="right" w:leader="dot" w:pos="9016"/>
            </w:tabs>
            <w:rPr>
              <w:noProof/>
            </w:rPr>
          </w:pPr>
          <w:hyperlink w:anchor="_Toc237011238" w:history="1">
            <w:r w:rsidRPr="0007435E">
              <w:rPr>
                <w:rStyle w:val="Hyperlink"/>
                <w:noProof/>
              </w:rPr>
              <w:t>Introduction</w:t>
            </w:r>
            <w:r>
              <w:rPr>
                <w:noProof/>
                <w:webHidden/>
              </w:rPr>
              <w:tab/>
            </w:r>
            <w:r>
              <w:rPr>
                <w:noProof/>
                <w:webHidden/>
              </w:rPr>
              <w:fldChar w:fldCharType="begin"/>
            </w:r>
            <w:r>
              <w:rPr>
                <w:noProof/>
                <w:webHidden/>
              </w:rPr>
              <w:instrText xml:space="preserve"> PAGEREF _Toc237011238 \h </w:instrText>
            </w:r>
            <w:r>
              <w:rPr>
                <w:noProof/>
                <w:webHidden/>
              </w:rPr>
            </w:r>
            <w:r>
              <w:rPr>
                <w:noProof/>
                <w:webHidden/>
              </w:rPr>
              <w:fldChar w:fldCharType="separate"/>
            </w:r>
            <w:r>
              <w:rPr>
                <w:noProof/>
                <w:webHidden/>
              </w:rPr>
              <w:t>2</w:t>
            </w:r>
            <w:r>
              <w:rPr>
                <w:noProof/>
                <w:webHidden/>
              </w:rPr>
              <w:fldChar w:fldCharType="end"/>
            </w:r>
          </w:hyperlink>
        </w:p>
        <w:p w14:paraId="1A703BAA" w14:textId="71577E7C" w:rsidR="00B52E92" w:rsidRDefault="00B52E92">
          <w:pPr>
            <w:pStyle w:val="TOC1"/>
            <w:tabs>
              <w:tab w:val="right" w:leader="dot" w:pos="9016"/>
            </w:tabs>
            <w:rPr>
              <w:noProof/>
            </w:rPr>
          </w:pPr>
          <w:hyperlink w:anchor="_Toc237011239" w:history="1">
            <w:r w:rsidRPr="0007435E">
              <w:rPr>
                <w:rStyle w:val="Hyperlink"/>
                <w:noProof/>
              </w:rPr>
              <w:t>Main Body and Analysis</w:t>
            </w:r>
            <w:r>
              <w:rPr>
                <w:noProof/>
                <w:webHidden/>
              </w:rPr>
              <w:tab/>
            </w:r>
            <w:r>
              <w:rPr>
                <w:noProof/>
                <w:webHidden/>
              </w:rPr>
              <w:fldChar w:fldCharType="begin"/>
            </w:r>
            <w:r>
              <w:rPr>
                <w:noProof/>
                <w:webHidden/>
              </w:rPr>
              <w:instrText xml:space="preserve"> PAGEREF _Toc237011239 \h </w:instrText>
            </w:r>
            <w:r>
              <w:rPr>
                <w:noProof/>
                <w:webHidden/>
              </w:rPr>
            </w:r>
            <w:r>
              <w:rPr>
                <w:noProof/>
                <w:webHidden/>
              </w:rPr>
              <w:fldChar w:fldCharType="separate"/>
            </w:r>
            <w:r>
              <w:rPr>
                <w:noProof/>
                <w:webHidden/>
              </w:rPr>
              <w:t>3</w:t>
            </w:r>
            <w:r>
              <w:rPr>
                <w:noProof/>
                <w:webHidden/>
              </w:rPr>
              <w:fldChar w:fldCharType="end"/>
            </w:r>
          </w:hyperlink>
        </w:p>
        <w:p w14:paraId="5EADA4EC" w14:textId="4EF0A812" w:rsidR="00B52E92" w:rsidRDefault="00B52E92" w:rsidP="008B01C4">
          <w:pPr>
            <w:pStyle w:val="TOC2"/>
            <w:tabs>
              <w:tab w:val="right" w:leader="dot" w:pos="9016"/>
            </w:tabs>
            <w:ind w:left="0"/>
            <w:rPr>
              <w:noProof/>
            </w:rPr>
          </w:pPr>
          <w:hyperlink w:anchor="_Toc237011240" w:history="1">
            <w:r w:rsidRPr="0007435E">
              <w:rPr>
                <w:rStyle w:val="Hyperlink"/>
                <w:noProof/>
              </w:rPr>
              <w:t>Improvement and Lessons Learned</w:t>
            </w:r>
            <w:r>
              <w:rPr>
                <w:noProof/>
                <w:webHidden/>
              </w:rPr>
              <w:tab/>
            </w:r>
            <w:r>
              <w:rPr>
                <w:noProof/>
                <w:webHidden/>
              </w:rPr>
              <w:fldChar w:fldCharType="begin"/>
            </w:r>
            <w:r>
              <w:rPr>
                <w:noProof/>
                <w:webHidden/>
              </w:rPr>
              <w:instrText xml:space="preserve"> PAGEREF _Toc237011240 \h </w:instrText>
            </w:r>
            <w:r>
              <w:rPr>
                <w:noProof/>
                <w:webHidden/>
              </w:rPr>
            </w:r>
            <w:r>
              <w:rPr>
                <w:noProof/>
                <w:webHidden/>
              </w:rPr>
              <w:fldChar w:fldCharType="separate"/>
            </w:r>
            <w:r>
              <w:rPr>
                <w:noProof/>
                <w:webHidden/>
              </w:rPr>
              <w:t>12</w:t>
            </w:r>
            <w:r>
              <w:rPr>
                <w:noProof/>
                <w:webHidden/>
              </w:rPr>
              <w:fldChar w:fldCharType="end"/>
            </w:r>
          </w:hyperlink>
        </w:p>
        <w:p w14:paraId="469CEC78" w14:textId="67B9FCCE" w:rsidR="00B52E92" w:rsidRDefault="00B52E92">
          <w:pPr>
            <w:pStyle w:val="TOC1"/>
            <w:tabs>
              <w:tab w:val="right" w:leader="dot" w:pos="9016"/>
            </w:tabs>
            <w:rPr>
              <w:noProof/>
            </w:rPr>
          </w:pPr>
          <w:hyperlink w:anchor="_Toc237011241" w:history="1">
            <w:r w:rsidRPr="0007435E">
              <w:rPr>
                <w:rStyle w:val="Hyperlink"/>
                <w:noProof/>
              </w:rPr>
              <w:t>Recommendations</w:t>
            </w:r>
            <w:r>
              <w:rPr>
                <w:noProof/>
                <w:webHidden/>
              </w:rPr>
              <w:tab/>
            </w:r>
            <w:r>
              <w:rPr>
                <w:noProof/>
                <w:webHidden/>
              </w:rPr>
              <w:fldChar w:fldCharType="begin"/>
            </w:r>
            <w:r>
              <w:rPr>
                <w:noProof/>
                <w:webHidden/>
              </w:rPr>
              <w:instrText xml:space="preserve"> PAGEREF _Toc237011241 \h </w:instrText>
            </w:r>
            <w:r>
              <w:rPr>
                <w:noProof/>
                <w:webHidden/>
              </w:rPr>
            </w:r>
            <w:r>
              <w:rPr>
                <w:noProof/>
                <w:webHidden/>
              </w:rPr>
              <w:fldChar w:fldCharType="separate"/>
            </w:r>
            <w:r>
              <w:rPr>
                <w:noProof/>
                <w:webHidden/>
              </w:rPr>
              <w:t>14</w:t>
            </w:r>
            <w:r>
              <w:rPr>
                <w:noProof/>
                <w:webHidden/>
              </w:rPr>
              <w:fldChar w:fldCharType="end"/>
            </w:r>
          </w:hyperlink>
        </w:p>
        <w:p w14:paraId="0D287F4E" w14:textId="6B02BE5B" w:rsidR="00B52E92" w:rsidRDefault="00B52E92">
          <w:pPr>
            <w:pStyle w:val="TOC1"/>
            <w:tabs>
              <w:tab w:val="right" w:leader="dot" w:pos="9016"/>
            </w:tabs>
            <w:rPr>
              <w:noProof/>
            </w:rPr>
          </w:pPr>
          <w:hyperlink w:anchor="_Toc237011242" w:history="1">
            <w:r w:rsidRPr="0007435E">
              <w:rPr>
                <w:rStyle w:val="Hyperlink"/>
                <w:noProof/>
              </w:rPr>
              <w:t>Conclusion</w:t>
            </w:r>
            <w:r>
              <w:rPr>
                <w:noProof/>
                <w:webHidden/>
              </w:rPr>
              <w:tab/>
            </w:r>
            <w:r>
              <w:rPr>
                <w:noProof/>
                <w:webHidden/>
              </w:rPr>
              <w:fldChar w:fldCharType="begin"/>
            </w:r>
            <w:r>
              <w:rPr>
                <w:noProof/>
                <w:webHidden/>
              </w:rPr>
              <w:instrText xml:space="preserve"> PAGEREF _Toc237011242 \h </w:instrText>
            </w:r>
            <w:r>
              <w:rPr>
                <w:noProof/>
                <w:webHidden/>
              </w:rPr>
            </w:r>
            <w:r>
              <w:rPr>
                <w:noProof/>
                <w:webHidden/>
              </w:rPr>
              <w:fldChar w:fldCharType="separate"/>
            </w:r>
            <w:r>
              <w:rPr>
                <w:noProof/>
                <w:webHidden/>
              </w:rPr>
              <w:t>16</w:t>
            </w:r>
            <w:r>
              <w:rPr>
                <w:noProof/>
                <w:webHidden/>
              </w:rPr>
              <w:fldChar w:fldCharType="end"/>
            </w:r>
          </w:hyperlink>
        </w:p>
        <w:p w14:paraId="65A8804A" w14:textId="0CCEE332" w:rsidR="00B52E92" w:rsidRDefault="00B52E92">
          <w:pPr>
            <w:pStyle w:val="TOC1"/>
            <w:tabs>
              <w:tab w:val="right" w:leader="dot" w:pos="9016"/>
            </w:tabs>
            <w:rPr>
              <w:noProof/>
            </w:rPr>
          </w:pPr>
          <w:hyperlink w:anchor="_Toc237011243" w:history="1">
            <w:r w:rsidRPr="0007435E">
              <w:rPr>
                <w:rStyle w:val="Hyperlink"/>
                <w:noProof/>
              </w:rPr>
              <w:t>Reference list</w:t>
            </w:r>
            <w:r>
              <w:rPr>
                <w:noProof/>
                <w:webHidden/>
              </w:rPr>
              <w:tab/>
            </w:r>
            <w:r>
              <w:rPr>
                <w:noProof/>
                <w:webHidden/>
              </w:rPr>
              <w:fldChar w:fldCharType="begin"/>
            </w:r>
            <w:r>
              <w:rPr>
                <w:noProof/>
                <w:webHidden/>
              </w:rPr>
              <w:instrText xml:space="preserve"> PAGEREF _Toc237011243 \h </w:instrText>
            </w:r>
            <w:r>
              <w:rPr>
                <w:noProof/>
                <w:webHidden/>
              </w:rPr>
            </w:r>
            <w:r>
              <w:rPr>
                <w:noProof/>
                <w:webHidden/>
              </w:rPr>
              <w:fldChar w:fldCharType="separate"/>
            </w:r>
            <w:r>
              <w:rPr>
                <w:noProof/>
                <w:webHidden/>
              </w:rPr>
              <w:t>17</w:t>
            </w:r>
            <w:r>
              <w:rPr>
                <w:noProof/>
                <w:webHidden/>
              </w:rPr>
              <w:fldChar w:fldCharType="end"/>
            </w:r>
          </w:hyperlink>
        </w:p>
        <w:p w14:paraId="479DC7E6" w14:textId="77EEBC1E" w:rsidR="00B52E92" w:rsidRDefault="00B52E92">
          <w:r>
            <w:rPr>
              <w:b/>
              <w:bCs/>
              <w:noProof/>
            </w:rPr>
            <w:fldChar w:fldCharType="end"/>
          </w:r>
        </w:p>
      </w:sdtContent>
    </w:sdt>
    <w:p w14:paraId="4E28A590" w14:textId="77777777" w:rsidR="00B52E92" w:rsidRDefault="00B52E92">
      <w:pPr>
        <w:spacing w:line="259" w:lineRule="auto"/>
        <w:jc w:val="left"/>
        <w:rPr>
          <w:rFonts w:eastAsia="Times New Roman" w:cs="Times New Roman"/>
          <w:b/>
          <w:bCs/>
          <w:kern w:val="36"/>
          <w:sz w:val="48"/>
          <w:szCs w:val="48"/>
          <w:lang w:eastAsia="en-IN"/>
        </w:rPr>
      </w:pPr>
      <w:bookmarkStart w:id="1" w:name="_Toc237011238"/>
      <w:r>
        <w:br w:type="page"/>
      </w:r>
    </w:p>
    <w:p w14:paraId="060F9F3C" w14:textId="005814F5" w:rsidR="00C642BC" w:rsidRDefault="00C642BC" w:rsidP="00C642BC">
      <w:pPr>
        <w:pStyle w:val="Heading1"/>
      </w:pPr>
      <w:r>
        <w:t>Introduction</w:t>
      </w:r>
      <w:bookmarkEnd w:id="1"/>
    </w:p>
    <w:p w14:paraId="0DB80BA1" w14:textId="6B65FC64" w:rsidR="00F3365B" w:rsidRPr="00D4783F" w:rsidRDefault="00F3365B" w:rsidP="00D4783F">
      <w:pPr>
        <w:rPr>
          <w:rFonts w:eastAsia="Times New Roman" w:cs="Times New Roman"/>
          <w:szCs w:val="24"/>
          <w:lang w:eastAsia="en-IN"/>
        </w:rPr>
      </w:pPr>
      <w:r>
        <w:t>Healthcare organisations are complex systems whose leadership, governance and communication are critical in ensuring patient safety and providing high quality care</w:t>
      </w:r>
      <w:r w:rsidR="00D4783F" w:rsidRPr="00D4783F">
        <w:t xml:space="preserve"> </w:t>
      </w:r>
      <w:r w:rsidR="00D4783F" w:rsidRPr="00D4783F">
        <w:rPr>
          <w:rFonts w:eastAsia="Times New Roman" w:cs="Times New Roman"/>
          <w:szCs w:val="24"/>
          <w:lang w:eastAsia="en-IN"/>
        </w:rPr>
        <w:t>(Hejazi et al., 2026)</w:t>
      </w:r>
      <w:r>
        <w:t>. The breakdowns of such interrelated factors may lead to avoidable negative incidents to reduce social trust and organisational performance. This report is a critical analysis of the patient safety event that took place at Kota Medical College Hospital, Rajasthan, India in April 2025, when an aged man with his son was mistakenly diagnosed as a different patient and was admitted into the operating theatre</w:t>
      </w:r>
      <w:r w:rsidR="00D4783F" w:rsidRPr="00D4783F">
        <w:rPr>
          <w:rFonts w:eastAsia="Times New Roman" w:cs="Times New Roman"/>
          <w:szCs w:val="24"/>
          <w:lang w:eastAsia="en-IN"/>
        </w:rPr>
        <w:t>(SCMP’s Asia desk, 2025)</w:t>
      </w:r>
      <w:r>
        <w:t>. He was not adequately verified as an identity and an anaesthetic was made and an incision was made before the mistake was realised. Even though no significant surgical operation was performed, what occurred revealed great inadequacies in patient identification, communication, clinical governance and organisational supervision. This report aims to critically examine such failures and come up with evidence-based approaches to enhancing leadership, governance, and patient safety.</w:t>
      </w:r>
    </w:p>
    <w:p w14:paraId="68A2E971" w14:textId="0A260B4C" w:rsidR="00F3365B" w:rsidRPr="00D4783F" w:rsidRDefault="00F3365B" w:rsidP="00D4783F">
      <w:pPr>
        <w:rPr>
          <w:rFonts w:eastAsia="Times New Roman" w:cs="Times New Roman"/>
          <w:szCs w:val="24"/>
          <w:lang w:eastAsia="en-IN"/>
        </w:rPr>
      </w:pPr>
      <w:r>
        <w:t>Health and social care leadership can be defined as the process of influencing people and multidisciplinary teams to accomplish mutual organisational objectives without jeopardizing patient safety, effective, and patient-centred care</w:t>
      </w:r>
      <w:r w:rsidR="00D4783F" w:rsidRPr="00D4783F">
        <w:t xml:space="preserve"> </w:t>
      </w:r>
      <w:r w:rsidR="00D4783F" w:rsidRPr="00D4783F">
        <w:rPr>
          <w:rFonts w:eastAsia="Times New Roman" w:cs="Times New Roman"/>
          <w:szCs w:val="24"/>
          <w:lang w:eastAsia="en-IN"/>
        </w:rPr>
        <w:t>(Tdmu.edu.ua, 2025)</w:t>
      </w:r>
      <w:r>
        <w:t>. Good leaders have a clear vision, foster teamwork, enhance accountability, and foster a culture that facilitates lifelong learning and quality enhancement. Leadership also influences organisational reactions at time of uncertainty and crisis when critical action and decision are crucial.</w:t>
      </w:r>
    </w:p>
    <w:p w14:paraId="4CE2789B" w14:textId="79798063" w:rsidR="00F3365B" w:rsidRPr="0021193B" w:rsidRDefault="00F3365B" w:rsidP="00B36D84">
      <w:pPr>
        <w:rPr>
          <w:rFonts w:eastAsia="Times New Roman" w:cs="Times New Roman"/>
          <w:szCs w:val="24"/>
          <w:lang w:eastAsia="en-IN"/>
        </w:rPr>
      </w:pPr>
      <w:r>
        <w:t>The healthcare organisations usually have a centralised or decentralised system</w:t>
      </w:r>
      <w:r w:rsidR="0021193B" w:rsidRPr="0021193B">
        <w:t xml:space="preserve"> </w:t>
      </w:r>
      <w:r w:rsidR="0021193B" w:rsidRPr="0021193B">
        <w:rPr>
          <w:rFonts w:eastAsia="Times New Roman" w:cs="Times New Roman"/>
          <w:szCs w:val="24"/>
          <w:lang w:eastAsia="en-IN"/>
        </w:rPr>
        <w:t>(</w:t>
      </w:r>
      <w:proofErr w:type="spellStart"/>
      <w:r w:rsidR="0021193B" w:rsidRPr="0021193B">
        <w:rPr>
          <w:rFonts w:eastAsia="Times New Roman" w:cs="Times New Roman"/>
          <w:szCs w:val="24"/>
          <w:lang w:eastAsia="en-IN"/>
        </w:rPr>
        <w:t>Ohrling</w:t>
      </w:r>
      <w:proofErr w:type="spellEnd"/>
      <w:r w:rsidR="0021193B" w:rsidRPr="0021193B">
        <w:rPr>
          <w:rFonts w:eastAsia="Times New Roman" w:cs="Times New Roman"/>
          <w:szCs w:val="24"/>
          <w:lang w:eastAsia="en-IN"/>
        </w:rPr>
        <w:t>, 2026)</w:t>
      </w:r>
      <w:r>
        <w:t>. Centralisation puts power and strategy at the top-level management, enhancing uniformity and oversight, and decentralisation spreads decision-making among frontline teams, which can be more responsive and hold front-line accountability</w:t>
      </w:r>
      <w:r w:rsidR="0021193B" w:rsidRPr="0021193B">
        <w:t xml:space="preserve"> </w:t>
      </w:r>
      <w:r w:rsidR="0021193B" w:rsidRPr="0021193B">
        <w:rPr>
          <w:rFonts w:eastAsia="Times New Roman" w:cs="Times New Roman"/>
          <w:szCs w:val="24"/>
          <w:lang w:eastAsia="en-IN"/>
        </w:rPr>
        <w:t>(Umoh E., 2025)</w:t>
      </w:r>
      <w:r>
        <w:t>. The choice of an organisational structure has a bearing on communication, governance, and patient safety outcomes. On the same note, the various leadership styles such as transformational, transactional and situational leadership have their own advantages with respect to organisational conditions. Transformational and cultural change are encouraged by transformational leadership, compliance with regular procedures by transactional leadership, adjustment of leadership behaviour based on the complexity of the environment by situational leadership</w:t>
      </w:r>
      <w:r w:rsidR="00B36D84" w:rsidRPr="00B36D84">
        <w:t xml:space="preserve"> </w:t>
      </w:r>
      <w:r w:rsidR="00B36D84" w:rsidRPr="00B36D84">
        <w:rPr>
          <w:rFonts w:eastAsia="Times New Roman" w:cs="Times New Roman"/>
          <w:szCs w:val="24"/>
          <w:lang w:eastAsia="en-IN"/>
        </w:rPr>
        <w:t>(El-</w:t>
      </w:r>
      <w:proofErr w:type="spellStart"/>
      <w:r w:rsidR="00B36D84" w:rsidRPr="00B36D84">
        <w:rPr>
          <w:rFonts w:eastAsia="Times New Roman" w:cs="Times New Roman"/>
          <w:szCs w:val="24"/>
          <w:lang w:eastAsia="en-IN"/>
        </w:rPr>
        <w:t>Hage</w:t>
      </w:r>
      <w:proofErr w:type="spellEnd"/>
      <w:r w:rsidR="00B36D84" w:rsidRPr="00B36D84">
        <w:rPr>
          <w:rFonts w:eastAsia="Times New Roman" w:cs="Times New Roman"/>
          <w:szCs w:val="24"/>
          <w:lang w:eastAsia="en-IN"/>
        </w:rPr>
        <w:t xml:space="preserve"> and </w:t>
      </w:r>
      <w:proofErr w:type="spellStart"/>
      <w:r w:rsidR="00B36D84" w:rsidRPr="00B36D84">
        <w:rPr>
          <w:rFonts w:eastAsia="Times New Roman" w:cs="Times New Roman"/>
          <w:szCs w:val="24"/>
          <w:lang w:eastAsia="en-IN"/>
        </w:rPr>
        <w:t>Sidani</w:t>
      </w:r>
      <w:proofErr w:type="spellEnd"/>
      <w:r w:rsidR="00B36D84" w:rsidRPr="00B36D84">
        <w:rPr>
          <w:rFonts w:eastAsia="Times New Roman" w:cs="Times New Roman"/>
          <w:szCs w:val="24"/>
          <w:lang w:eastAsia="en-IN"/>
        </w:rPr>
        <w:t>, 2023)</w:t>
      </w:r>
      <w:r>
        <w:t>.</w:t>
      </w:r>
    </w:p>
    <w:p w14:paraId="4C4BC2BC" w14:textId="2739A302" w:rsidR="00F3365B" w:rsidRDefault="00F3365B" w:rsidP="00F3365B">
      <w:r>
        <w:t>In this report, systems thinking is used to explore the cause of the incident and then analyse the governance structure and leadership approach of the organisation. It also looks at the role played by leadership in organisational performance and concludes with evidence-based recommendations which can help improve governance, communication, accountability and constant quality improvement in healthcare organisations.</w:t>
      </w:r>
    </w:p>
    <w:p w14:paraId="29B0906B" w14:textId="0FFBDCA1" w:rsidR="000D3580" w:rsidRDefault="00FD39E5" w:rsidP="00FD39E5">
      <w:pPr>
        <w:pStyle w:val="Heading1"/>
      </w:pPr>
      <w:bookmarkStart w:id="2" w:name="_Toc237011239"/>
      <w:r>
        <w:t>Main Body and Analysis</w:t>
      </w:r>
      <w:bookmarkEnd w:id="2"/>
    </w:p>
    <w:p w14:paraId="128C50D6" w14:textId="2B5138A7" w:rsidR="00DB64E0" w:rsidRPr="00F3365B" w:rsidRDefault="00930C94" w:rsidP="00DB64E0">
      <w:pPr>
        <w:rPr>
          <w:b/>
          <w:bCs/>
        </w:rPr>
      </w:pPr>
      <w:r w:rsidRPr="00F3365B">
        <w:rPr>
          <w:b/>
          <w:bCs/>
        </w:rPr>
        <w:t>Identifying the Problem and Setting the System Context- Applying Systems Thinking and the Rich Picture</w:t>
      </w:r>
    </w:p>
    <w:p w14:paraId="48C49C75" w14:textId="4EC731A6" w:rsidR="00183CB8" w:rsidRPr="002921E1" w:rsidRDefault="00183CB8" w:rsidP="002921E1">
      <w:pPr>
        <w:rPr>
          <w:rFonts w:eastAsia="Times New Roman" w:cs="Times New Roman"/>
          <w:szCs w:val="24"/>
          <w:lang w:eastAsia="en-IN"/>
        </w:rPr>
      </w:pPr>
      <w:r>
        <w:t>The main issue in this case study was a disastrous malfunction of patient identification that led to the wrong preparation of an elderly man and anaesthesia and an unwarranted surgical incision in Kota Medical College Hospital, Rajasthan, on 12 April 2025. The patient did not come to the hospital to undergo surgery but was with his son who had been admitted to the hospital after a road traffic accident</w:t>
      </w:r>
      <w:r w:rsidR="002921E1" w:rsidRPr="002921E1">
        <w:t xml:space="preserve"> </w:t>
      </w:r>
      <w:r w:rsidR="002921E1" w:rsidRPr="002921E1">
        <w:rPr>
          <w:rFonts w:eastAsia="Times New Roman" w:cs="Times New Roman"/>
          <w:szCs w:val="24"/>
          <w:lang w:eastAsia="en-IN"/>
        </w:rPr>
        <w:t>(South China morning post, 2025a)</w:t>
      </w:r>
      <w:r>
        <w:t>. Having answered the name of another patient, he was taken directly to the operating theatre without identity verification, consent and preoperative safety checks required. Only after his son underwent surgery and informed hospital staff the error was discovered. Though the procedure has been interrupted before the completion, the incident is a graphic preventable patient safety incident, which illustrates some failures that are not limited to a single clinical error but include organisational governance, communication, leadership and safety culture.</w:t>
      </w:r>
    </w:p>
    <w:p w14:paraId="39B3195C" w14:textId="77777777" w:rsidR="00183CB8" w:rsidRDefault="00183CB8" w:rsidP="00183CB8">
      <w:r>
        <w:t>In the system thinking approach, it is not possible to consider the incident as a result of the error made by an individual. Systems thinking is based on the argument that healthcare results are a product of interactions between individuals, organisational systems, clinical processes, technology, organisational governance arrangements and organisational culture. The events that happen adverse are those in which several defensive barriers break at the same time, and not due to a single action. Verbal confirmation was used in the current case instead of formal patient identification, interdepartmental communication was not effective, preoperative verification procedures were not used, cross-check of the multidisciplinary team did not happen, and leadership control was unable to guarantee adherence to the set surgical safety measures. All these failures, combined together, diminished the resilience of the healthcare system and enabled some harm to be caused, which could have been prevented.</w:t>
      </w:r>
    </w:p>
    <w:p w14:paraId="26E0A4A2" w14:textId="3A8909C4" w:rsidR="00183CB8" w:rsidRPr="002921E1" w:rsidRDefault="00183CB8" w:rsidP="002921E1">
      <w:pPr>
        <w:rPr>
          <w:rFonts w:eastAsia="Times New Roman" w:cs="Times New Roman"/>
          <w:szCs w:val="24"/>
          <w:lang w:eastAsia="en-IN"/>
        </w:rPr>
      </w:pPr>
      <w:r>
        <w:t>This incident has a broader meaning in the evidence of patient safety globally. According to estimates by the World Health Organization (WHO), about one in every ten patients is injured in the course of healthcare delivery and over three million individuals are killed annually due to unsafe healthcare</w:t>
      </w:r>
      <w:r w:rsidR="002921E1" w:rsidRPr="002921E1">
        <w:t xml:space="preserve"> </w:t>
      </w:r>
      <w:r w:rsidR="002921E1" w:rsidRPr="002921E1">
        <w:rPr>
          <w:rFonts w:eastAsia="Times New Roman" w:cs="Times New Roman"/>
          <w:szCs w:val="24"/>
          <w:lang w:eastAsia="en-IN"/>
        </w:rPr>
        <w:t>(Howick et al., 2024)</w:t>
      </w:r>
      <w:r>
        <w:t xml:space="preserve">. Moreover, more than half of the harm to patients can be deemed to be preventable with the help of intensified governance, leadership, standardised clinical procedures and better safety systems. </w:t>
      </w:r>
    </w:p>
    <w:p w14:paraId="131895E6" w14:textId="36487DBE" w:rsidR="00183CB8" w:rsidRPr="002921E1" w:rsidRDefault="00183CB8" w:rsidP="002921E1">
      <w:pPr>
        <w:rPr>
          <w:rFonts w:eastAsia="Times New Roman" w:cs="Times New Roman"/>
          <w:szCs w:val="24"/>
          <w:lang w:eastAsia="en-IN"/>
        </w:rPr>
      </w:pPr>
      <w:r>
        <w:t>International data also prove that wrong-patient and wrong-procedure events still take place despite safety standards. These events are categorized by NHS England as Never Events, i.e., they can be completely avoided because efficient national safety nets are already in place. In 2025</w:t>
      </w:r>
      <w:r w:rsidR="002921E1">
        <w:t>-</w:t>
      </w:r>
      <w:r>
        <w:t>2026 the NHS provisionals reflected 403 Never Events, 166 of which were wrong-site surgeries and 17 were surgeries performed on the wrong patient</w:t>
      </w:r>
      <w:r w:rsidR="002921E1" w:rsidRPr="002921E1">
        <w:rPr>
          <w:rFonts w:eastAsia="Times New Roman" w:cs="Times New Roman"/>
          <w:szCs w:val="24"/>
          <w:lang w:eastAsia="en-IN"/>
        </w:rPr>
        <w:t>(England, 2025)</w:t>
      </w:r>
      <w:r>
        <w:t xml:space="preserve">. </w:t>
      </w:r>
    </w:p>
    <w:p w14:paraId="313B5120" w14:textId="160CBE30" w:rsidR="00183CB8" w:rsidRDefault="00183CB8" w:rsidP="00183CB8">
      <w:r>
        <w:t xml:space="preserve">Both the Institute of Healthcare Improvement (IHI) and the WHO stress the importance of creating many defensive layers of safety against human error instead of depending on competence of individual healthcare providers. These organisations encourage standardised communication, safety checklists, teamwork across multiple disciplines, incident reporting and ongoing organisational learning to enhance system resilience. However, as the case of the Kota Medical College showed, these protective mechanisms were not in place. </w:t>
      </w:r>
    </w:p>
    <w:p w14:paraId="4BA417C9" w14:textId="77777777" w:rsidR="00183CB8" w:rsidRDefault="00183CB8" w:rsidP="00183CB8">
      <w:r>
        <w:t>Systemic weaknesses in communication, accountability and leadership are also revealed by the incident. Communication breakdown occurred due to the use of verbal recognition as opposed to normalised patient identifiers like name, date of birth and hospital registration details by the healthcare professionals. The lack of accountability was further compromised by the fact that none of the multidisciplinary surgical team questioned the identity of the patient even though normal preoperative preparation was not done. The lack of leadership was manifested in the form of poor supervision, lack of monitoring of protocol adherence and failure to entrench a robust patient safety culture whereby personnel felt obliged to challenge unsafe practices. This left the organisation reliant on personal assumptions and not solid clinical systems, which heightened the chances of avoidable harm.</w:t>
      </w:r>
    </w:p>
    <w:p w14:paraId="713147B8" w14:textId="77777777" w:rsidR="00183CB8" w:rsidRDefault="00183CB8" w:rsidP="00183CB8">
      <w:r>
        <w:t>The most common governance failures were at the local organisational level where hospital management, clinical governance committees, supervisors operating theatres and heads of departments have the role of implementing national standards in patient safety. Though there are extended regulatory standards set by state and national health agencies that offer policy guidance, the hospital itself is tasked with ensuring that staff training, patient identification compliance, clinical auditing and risk management. Reactive governance was evident in the formation of a three-member investigation committee after the incident, but good governance ought to have detected these weaknesses through regular monitoring, before the patients suffered injuries.</w:t>
      </w:r>
    </w:p>
    <w:p w14:paraId="2183400A" w14:textId="01E8FAF4" w:rsidR="00A80629" w:rsidRPr="00183CB8" w:rsidRDefault="00183CB8" w:rsidP="00183CB8">
      <w:r>
        <w:t xml:space="preserve">System vulnerability was compounded by underlying organisational challenges. Indian public hospitals are often forced to work with high patient flows, staff shortages, rising demand and limited resources. These pressures can be a cause of communication breakdowns, less adherence to safety measures and more cognitive load on the healthcare workers. </w:t>
      </w:r>
    </w:p>
    <w:p w14:paraId="752E3ADF" w14:textId="433C80D2" w:rsidR="00930C94" w:rsidRPr="006A188B" w:rsidRDefault="00A80629" w:rsidP="00A80629">
      <w:pPr>
        <w:pStyle w:val="NormalWeb"/>
        <w:rPr>
          <w:b/>
          <w:bCs/>
        </w:rPr>
      </w:pPr>
      <w:r w:rsidRPr="006A188B">
        <w:rPr>
          <w:b/>
          <w:bCs/>
        </w:rPr>
        <w:t>b. Centralisation or Decentralisation within the Case Study</w:t>
      </w:r>
    </w:p>
    <w:p w14:paraId="15D0C2F4" w14:textId="5FB95585" w:rsidR="008129FB" w:rsidRPr="002921E1" w:rsidRDefault="008129FB" w:rsidP="008129FB">
      <w:pPr>
        <w:rPr>
          <w:b/>
          <w:bCs/>
        </w:rPr>
      </w:pPr>
      <w:r w:rsidRPr="002921E1">
        <w:rPr>
          <w:b/>
          <w:bCs/>
        </w:rPr>
        <w:t>Organisational Structure and Governance: A Predominantly Centralised Healthcare System</w:t>
      </w:r>
    </w:p>
    <w:p w14:paraId="10B9320C" w14:textId="59619BBD" w:rsidR="00D119AA" w:rsidRPr="002921E1" w:rsidRDefault="00D119AA" w:rsidP="002921E1">
      <w:pPr>
        <w:rPr>
          <w:rFonts w:eastAsia="Times New Roman" w:cs="Times New Roman"/>
          <w:szCs w:val="24"/>
          <w:lang w:eastAsia="en-IN"/>
        </w:rPr>
      </w:pPr>
      <w:r>
        <w:t>Kota Medical College Hospital, Rajasthan, is part of the public healthcare sector in India that is characterised by a largely centralised organisational model. The State Health Department and the Ministry of Health and Family Welfare (</w:t>
      </w:r>
      <w:proofErr w:type="spellStart"/>
      <w:r>
        <w:t>MoHFW</w:t>
      </w:r>
      <w:proofErr w:type="spellEnd"/>
      <w:r>
        <w:t>) have an administrative role in the operation of the public medical colleges and tertiary hospitals, and the critical decisions regarding governance, finance, staffing, quality assurance and patient safety are made by the senior hospital management</w:t>
      </w:r>
      <w:r w:rsidR="002921E1" w:rsidRPr="002921E1">
        <w:rPr>
          <w:rFonts w:eastAsia="Times New Roman" w:cs="Times New Roman"/>
          <w:szCs w:val="24"/>
          <w:lang w:eastAsia="en-IN"/>
        </w:rPr>
        <w:t>(Chokshi et al., 2016)</w:t>
      </w:r>
      <w:r>
        <w:t xml:space="preserve">. </w:t>
      </w:r>
    </w:p>
    <w:p w14:paraId="2BC1B36D" w14:textId="77777777" w:rsidR="00D119AA" w:rsidRDefault="00D119AA" w:rsidP="00D119AA">
      <w:r>
        <w:t>This centralised decision-making process is exhibited in the patient safety incident. The response was initiated by the senior management as opposed to individual clinical departments after the elderly man was mistakenly anaesthetised and an incision was made on his arm. The hospital principal instantly commissioned the establishment of a three-member investigation committee to probe the incident and report within 72 hours. This depicts how the levels of authority were still centralised at the high levels of organisations where accountability on investigating, taking corrective measures and communicating on issues was not delegated to the frontline teams but was handled by the administrative system.</w:t>
      </w:r>
    </w:p>
    <w:p w14:paraId="410D37DC" w14:textId="1296AEE1" w:rsidR="00D119AA" w:rsidRPr="00EE1C9B" w:rsidRDefault="00D119AA" w:rsidP="00EE1C9B">
      <w:pPr>
        <w:rPr>
          <w:rFonts w:eastAsia="Times New Roman" w:cs="Times New Roman"/>
          <w:szCs w:val="24"/>
          <w:lang w:eastAsia="en-IN"/>
        </w:rPr>
      </w:pPr>
      <w:r>
        <w:t>Centralised system of governance offers a number of benefits to healthcare organisations. Standardisation of clinical practice is the greatest advantage</w:t>
      </w:r>
      <w:r w:rsidR="00EE1C9B" w:rsidRPr="00EE1C9B">
        <w:t xml:space="preserve"> </w:t>
      </w:r>
      <w:r w:rsidR="00EE1C9B" w:rsidRPr="00EE1C9B">
        <w:rPr>
          <w:rFonts w:eastAsia="Times New Roman" w:cs="Times New Roman"/>
          <w:szCs w:val="24"/>
          <w:lang w:eastAsia="en-IN"/>
        </w:rPr>
        <w:t>(AHISP, 2026)</w:t>
      </w:r>
      <w:r>
        <w:t>. Standardised operating procedures make sure that patient identification, informed consent, surgical safety checks and infection prevention procedures are practiced uniformly across departments. The World Health Organization (WHO) highlights that standardised patient safety practices can greatly minimise preventable harm and also estimates that over half of the adverse events that take place in healthcare can be prevented by effective safety systems and governance. Thus, centralisation allows the leaders of hospitals to implement consistent policies that minimize differences in clinical practice and enhance the quality of care.</w:t>
      </w:r>
    </w:p>
    <w:p w14:paraId="3324D5E7" w14:textId="47EDCB93" w:rsidR="00D119AA" w:rsidRDefault="00D119AA" w:rsidP="00D119AA">
      <w:r>
        <w:t xml:space="preserve">Centralisation enhances accountability in organisations as well. The reporting relations are also well established and therefore the performance of the departments within the hospital can be monitored by the use of governance committees, clinical audits and incident reporting systems. This allows organisations to detect policy violations, inquire about negative incidents and take remedial measures in a systematic manner. In this instance, the formation of formal investigation committee was an indication of the accountability systems that were related to hierarchical governance. </w:t>
      </w:r>
    </w:p>
    <w:p w14:paraId="272ED6BC" w14:textId="77777777" w:rsidR="00D119AA" w:rsidRDefault="00D119AA" w:rsidP="00D119AA">
      <w:r>
        <w:t>The other significant benefit is the effective distribution of scarce healthcare resources. The financial constraints of the public hospitals often lead to the growth of the patient demand and lack of workforce. Centralised leadership enables the top management to manage the staffing, development of infrastructure, acquisition and quality enhancement programmes based on organisational priorities. This integrated strategy is mostly useful in large teaching hospitals where several clinical departments are struggling over scarce resources and where uniform governance cannot be ignored to ensure efficient operations.</w:t>
      </w:r>
    </w:p>
    <w:p w14:paraId="4AF0BFA4" w14:textId="08A7AFD5" w:rsidR="00D119AA" w:rsidRDefault="00D119AA" w:rsidP="00D119AA">
      <w:r>
        <w:t xml:space="preserve">However, centralisation can only be effective when it is successfully implemented at the frontline. Though standardised patient identification procedures were supposed to be in place at the hospital, the event proves the fact that policies were not successfully implemented into clinical practice. The patient was taken to the operating theatre without confirming his identity, informed consent or surgical preparation, which means that there is a gap between organisational policy and operational compliance. </w:t>
      </w:r>
    </w:p>
    <w:p w14:paraId="10F4CC26" w14:textId="77777777" w:rsidR="00D119AA" w:rsidRDefault="00D119AA" w:rsidP="00D119AA">
      <w:r w:rsidRPr="00EE1C9B">
        <w:rPr>
          <w:b/>
          <w:bCs/>
        </w:rPr>
        <w:t>demerits of the centralised system</w:t>
      </w:r>
      <w:r>
        <w:t>.</w:t>
      </w:r>
    </w:p>
    <w:p w14:paraId="1A4891EB" w14:textId="1D3B5646" w:rsidR="00D119AA" w:rsidRPr="00EE1C9B" w:rsidRDefault="00D119AA" w:rsidP="00EE1C9B">
      <w:pPr>
        <w:rPr>
          <w:rFonts w:eastAsia="Times New Roman" w:cs="Times New Roman"/>
          <w:szCs w:val="24"/>
          <w:lang w:eastAsia="en-IN"/>
        </w:rPr>
      </w:pPr>
      <w:r>
        <w:t>Although it has certain organisational benefits, the Kota Medical College incident has proven that a very centralised governance structure can also pose a considerable challenge to patient safety</w:t>
      </w:r>
      <w:r w:rsidR="00EE1C9B" w:rsidRPr="00EE1C9B">
        <w:t xml:space="preserve"> </w:t>
      </w:r>
      <w:r w:rsidR="00EE1C9B" w:rsidRPr="00EE1C9B">
        <w:rPr>
          <w:rFonts w:eastAsia="Times New Roman" w:cs="Times New Roman"/>
          <w:szCs w:val="24"/>
          <w:lang w:eastAsia="en-IN"/>
        </w:rPr>
        <w:t>(</w:t>
      </w:r>
      <w:proofErr w:type="spellStart"/>
      <w:r w:rsidR="00EE1C9B" w:rsidRPr="00EE1C9B">
        <w:rPr>
          <w:rFonts w:eastAsia="Times New Roman" w:cs="Times New Roman"/>
          <w:szCs w:val="24"/>
          <w:lang w:eastAsia="en-IN"/>
        </w:rPr>
        <w:t>Abughazalah</w:t>
      </w:r>
      <w:proofErr w:type="spellEnd"/>
      <w:r w:rsidR="00EE1C9B" w:rsidRPr="00EE1C9B">
        <w:rPr>
          <w:rFonts w:eastAsia="Times New Roman" w:cs="Times New Roman"/>
          <w:szCs w:val="24"/>
          <w:lang w:eastAsia="en-IN"/>
        </w:rPr>
        <w:t xml:space="preserve"> et al., 2024)</w:t>
      </w:r>
      <w:r>
        <w:t>. The biggest shortcoming is that decision making usually becomes top-down making less responsive frontline healthcare professionals to proactively address the risks as they occur. In the incident, the patient was moved out of the waiting area to the operating theatre where he was given anaesthesia and an unwarranted surgical incision was done without the multidisciplinary team members having to make independent identification of him. This shows that medical practitioners were dependent on past judgments rather than conducting clinical validation by themselves. This kind of behaviour is a sign of a hierarchical culture whereby adherence to routine processes can override challenging unsafe practices.</w:t>
      </w:r>
    </w:p>
    <w:p w14:paraId="6D129C1E" w14:textId="77777777" w:rsidR="00D119AA" w:rsidRDefault="00D119AA" w:rsidP="00D119AA">
      <w:r>
        <w:t>Another significant weakness of the centralised system was that communication failed. Surgical care requires constant interaction among the ward staff, the nurses, anaesthetists and the surgeons. In this instance, however, transferring information was carried out on the basis of assumptions as opposed to the organized verification processes. No medical worker questioned the identity of the patient even though there was no routine preoperative preparation, such as verifying the consent, the patient records and the clinical documentation. This indicates that communication channels failed and organisational policies were not integrated into daily clinical practice.</w:t>
      </w:r>
    </w:p>
    <w:p w14:paraId="7DFC0A21" w14:textId="77777777" w:rsidR="00D119AA" w:rsidRDefault="00D119AA" w:rsidP="00D119AA">
      <w:r>
        <w:t>The need to enhance communication and patient identification systems is backed by evidence on an international level. The world health organization (WHO) estimates that every ten patients suffer injuries during healthcare delivery with over three million dying every year due to unsafe care worldwide. In addition, WHO approximates that more than half of the disease caused to patients can be avoided with better governance, leadership, communication and standardised clinical processes. These figures indicate that the issue of patient identification failures continues to be a major healthcare concern on the global level and support the idea that organisations should no longer focus on policy creation but instead shift to ensuring safety practices are implemented on a regular basis.</w:t>
      </w:r>
    </w:p>
    <w:p w14:paraId="491D8F18" w14:textId="0043ECF5" w:rsidR="00D119AA" w:rsidRPr="002A00F9" w:rsidRDefault="00D119AA" w:rsidP="002A00F9">
      <w:pPr>
        <w:rPr>
          <w:rFonts w:eastAsia="Times New Roman" w:cs="Times New Roman"/>
          <w:szCs w:val="24"/>
          <w:lang w:eastAsia="en-IN"/>
        </w:rPr>
      </w:pPr>
      <w:r>
        <w:t>In a similar fashion, NHS England considers wrong-patient and wrong-site surgical events as Never Events, i.e. an occurrence that is thought to be entirely avoidable, provided nationally recommended safety measures are properly implemented</w:t>
      </w:r>
      <w:r w:rsidR="002A00F9" w:rsidRPr="002A00F9">
        <w:rPr>
          <w:rFonts w:eastAsia="Times New Roman" w:cs="Times New Roman"/>
          <w:szCs w:val="24"/>
          <w:lang w:eastAsia="en-IN"/>
        </w:rPr>
        <w:t>(England, 2024)</w:t>
      </w:r>
      <w:r>
        <w:t>. However, the 20252026 provisional NHS data reported 403 Never Events, of which 166 were wrong-site surgery cases, and 17 wrong patient procedures. These statistics reveal that it is possible to find preventable patient safety events even in medical systems that have well-established regulatory approaches, as long as organisational learning, communication and leadership do not support the established guidelines. Centralised governance is therefore not sufficient to eradicate clinical risk without local implementation and the monitoring process.</w:t>
      </w:r>
    </w:p>
    <w:p w14:paraId="0E077658" w14:textId="77777777" w:rsidR="00D119AA" w:rsidRDefault="00D119AA" w:rsidP="00D119AA">
      <w:r>
        <w:t>The weaknesses in organisational accountability are also evident in the incident. The responsibility should not be confined to investigations of incidents after they have happened but it should be geared towards avoiding adverse events before they happen. This was reactive governance and not proactive risk management despite the fact that the hospital reacted promptly by setting up an investigation committee. Healthcare organisations that are effective constantly strive to ensure that patient identification procedures are adhered to by conducting regular audits, simulation exercises, safety briefings and incident reporting systems. These governance mechanisms could have been regularly applied and the failure in patient identification could have been identified before surgery started.</w:t>
      </w:r>
    </w:p>
    <w:p w14:paraId="4F53D3A7" w14:textId="77777777" w:rsidR="00D119AA" w:rsidRDefault="00D119AA" w:rsidP="00D119AA">
      <w:r>
        <w:t>The centralised governance structure had a mixed impact as far as the crisis management is concerned. On the one hand, the hospital administration acted quickly once they learned about the error by launching an official investigation and informing with external stakeholders. This shows that centralised systems are able to organize organisational responses effectively once negative events take place. Conversely, the hierarchical nature of the same structure impeded early intervention since frontline employees were neither given the authority nor the confidence to question the identity of a patient prior to anaesthesia and surgery. As a result, the crisis was detected by the family of the patient and not by the internal safety systems of the hospital, which demonstrates critical vulnerabilities in the organisational resilience.</w:t>
      </w:r>
    </w:p>
    <w:p w14:paraId="69F0B3B5" w14:textId="702AC728" w:rsidR="007C269F" w:rsidRPr="006A188B" w:rsidRDefault="001D56A5" w:rsidP="00C000B3">
      <w:pPr>
        <w:pStyle w:val="NormalWeb"/>
        <w:rPr>
          <w:b/>
          <w:bCs/>
        </w:rPr>
      </w:pPr>
      <w:r w:rsidRPr="006A188B">
        <w:rPr>
          <w:b/>
          <w:bCs/>
        </w:rPr>
        <w:t>c. Leadership Theories and Application to the Case Study</w:t>
      </w:r>
    </w:p>
    <w:p w14:paraId="25B5FF33" w14:textId="44AD5A95" w:rsidR="000773BB" w:rsidRPr="00B50FF4" w:rsidRDefault="000773BB" w:rsidP="000773BB">
      <w:pPr>
        <w:rPr>
          <w:b/>
          <w:bCs/>
        </w:rPr>
      </w:pPr>
      <w:r w:rsidRPr="00B50FF4">
        <w:rPr>
          <w:b/>
          <w:bCs/>
        </w:rPr>
        <w:t>Theories of Leadership and their use in the Case Study.</w:t>
      </w:r>
    </w:p>
    <w:p w14:paraId="32301573" w14:textId="30D7A748" w:rsidR="000773BB" w:rsidRPr="002A00F9" w:rsidRDefault="000773BB" w:rsidP="002A00F9">
      <w:pPr>
        <w:rPr>
          <w:rFonts w:eastAsia="Times New Roman" w:cs="Times New Roman"/>
          <w:szCs w:val="24"/>
          <w:lang w:eastAsia="en-IN"/>
        </w:rPr>
      </w:pPr>
      <w:r>
        <w:t>Proper leadership is critical to providing quality, safe healthcare as it impacts organisational culture, employee behaviour, communication and patient outcomes</w:t>
      </w:r>
      <w:r w:rsidR="002A00F9" w:rsidRPr="002A00F9">
        <w:t xml:space="preserve"> </w:t>
      </w:r>
      <w:r w:rsidR="002A00F9" w:rsidRPr="002A00F9">
        <w:rPr>
          <w:rFonts w:eastAsia="Times New Roman" w:cs="Times New Roman"/>
          <w:szCs w:val="24"/>
          <w:lang w:eastAsia="en-IN"/>
        </w:rPr>
        <w:t>(Hoxha et al., 2024)</w:t>
      </w:r>
      <w:r>
        <w:t xml:space="preserve">. In contrast to management that is concerned with planning and controlling of organisational activities, leadership motivates medical professionals to strive to achieve a common vision as well as fostering accountability, teamwork and improvement. The patient misidentification episode at Kota Medical College Hospital proves that leadership failures may also help to produce major incidents of patient safety. The resultant waste of administration of anaesthesia and surgical incision was not only due to the human error, but also due to the leadership, governance and organisational culture weakness. </w:t>
      </w:r>
    </w:p>
    <w:p w14:paraId="7ADF8631" w14:textId="6E56017E" w:rsidR="000773BB" w:rsidRPr="00FE5973" w:rsidRDefault="000773BB" w:rsidP="000773BB">
      <w:pPr>
        <w:rPr>
          <w:b/>
          <w:bCs/>
        </w:rPr>
      </w:pPr>
      <w:r w:rsidRPr="00FE5973">
        <w:rPr>
          <w:b/>
          <w:bCs/>
        </w:rPr>
        <w:t>Transformational Leadership</w:t>
      </w:r>
    </w:p>
    <w:p w14:paraId="6C2C0BB2" w14:textId="60CB4818" w:rsidR="000773BB" w:rsidRPr="002A00F9" w:rsidRDefault="000773BB" w:rsidP="002A00F9">
      <w:pPr>
        <w:rPr>
          <w:rFonts w:eastAsia="Times New Roman" w:cs="Times New Roman"/>
          <w:szCs w:val="24"/>
          <w:lang w:eastAsia="en-IN"/>
        </w:rPr>
      </w:pPr>
      <w:r>
        <w:t>Transformational Leadership Theory is the theory created by Burns (1978) and Bass (1985) and is based on motivating employees with the help of the common vision, promoting innovations, empowering employees and establishing the culture of the continuous improvement</w:t>
      </w:r>
      <w:r w:rsidR="002A00F9" w:rsidRPr="002A00F9">
        <w:t xml:space="preserve"> </w:t>
      </w:r>
      <w:r w:rsidR="002A00F9" w:rsidRPr="002A00F9">
        <w:rPr>
          <w:rFonts w:eastAsia="Times New Roman" w:cs="Times New Roman"/>
          <w:szCs w:val="24"/>
          <w:lang w:eastAsia="en-IN"/>
        </w:rPr>
        <w:t>(Google Books, 2026b)</w:t>
      </w:r>
      <w:r>
        <w:t>. Transformational leaders in the health sector can influence multidisciplinary teams to focus on patient safety, facilitate learning and empower the staff to confront unsafe practices without the fear of blame. These leaders create a sense of psychological safety, which means that the welfare of patients will be the main organisational goal.</w:t>
      </w:r>
    </w:p>
    <w:p w14:paraId="70C99C47" w14:textId="77777777" w:rsidR="000773BB" w:rsidRDefault="000773BB" w:rsidP="000773BB">
      <w:r>
        <w:t>The Kota Medical College case shows that there is a substantial lack of transformational leadership. During the journey of the patient, various healthcare practitioners such as ward staff, operating theatre nurses, anaesthetists and surgeons could have verified the identity of the patient before surgery was started. Nevertheless, none of the team members asked the patient to be present in the operating theatre even though the routine preoperative verification procedures were not carried out. This implies that the organisational culture did not believe in active patient safety behaviours, but in the completion of routine tasks.</w:t>
      </w:r>
    </w:p>
    <w:p w14:paraId="68A52685" w14:textId="46284200" w:rsidR="000773BB" w:rsidRPr="002A00F9" w:rsidRDefault="000773BB" w:rsidP="002A00F9">
      <w:pPr>
        <w:rPr>
          <w:rFonts w:eastAsia="Times New Roman" w:cs="Times New Roman"/>
          <w:szCs w:val="24"/>
          <w:lang w:eastAsia="en-IN"/>
        </w:rPr>
      </w:pPr>
      <w:r>
        <w:t>Transformational leadership is proven to be effective in healthcare. Studies have repeatedly indicated that hospitals with transformational leaders have high levels of employee engagement, better patient safety cultures and reduced adverse clinical event rates</w:t>
      </w:r>
      <w:r w:rsidR="002A00F9" w:rsidRPr="002A00F9">
        <w:t xml:space="preserve"> </w:t>
      </w:r>
      <w:r w:rsidR="002A00F9" w:rsidRPr="002A00F9">
        <w:rPr>
          <w:rFonts w:eastAsia="Times New Roman" w:cs="Times New Roman"/>
          <w:szCs w:val="24"/>
          <w:lang w:eastAsia="en-IN"/>
        </w:rPr>
        <w:t>(Curado and Santos, 2021)</w:t>
      </w:r>
      <w:r>
        <w:t>. Moreover, the World Health Organization estimates that greater patient harm can be prevented by stronger leadership and governance and safety systems (more than 50 percent). Transformational leadership would have been integrated in Kota Medical College Hospital so that the members of staff could be motivated to be open-minded to challenge anomalies and intervene before it was too late.</w:t>
      </w:r>
    </w:p>
    <w:p w14:paraId="22C3B9C0" w14:textId="77777777" w:rsidR="000773BB" w:rsidRPr="009458A1" w:rsidRDefault="000773BB" w:rsidP="000773BB">
      <w:pPr>
        <w:rPr>
          <w:b/>
          <w:bCs/>
        </w:rPr>
      </w:pPr>
      <w:r w:rsidRPr="009458A1">
        <w:rPr>
          <w:b/>
          <w:bCs/>
        </w:rPr>
        <w:t>Transactional Leadership</w:t>
      </w:r>
    </w:p>
    <w:p w14:paraId="49B9B0C6" w14:textId="34640375" w:rsidR="000773BB" w:rsidRPr="002A00F9" w:rsidRDefault="000773BB" w:rsidP="002A00F9">
      <w:pPr>
        <w:rPr>
          <w:rFonts w:eastAsia="Times New Roman" w:cs="Times New Roman"/>
          <w:szCs w:val="24"/>
          <w:lang w:eastAsia="en-IN"/>
        </w:rPr>
      </w:pPr>
      <w:r>
        <w:t>Transactional Leadership is based on ensuring organisational performance by clearly defining roles, policies, supervision and accountability</w:t>
      </w:r>
      <w:r w:rsidR="002A00F9" w:rsidRPr="002A00F9">
        <w:t xml:space="preserve"> </w:t>
      </w:r>
      <w:r w:rsidR="002A00F9" w:rsidRPr="002A00F9">
        <w:rPr>
          <w:rFonts w:eastAsia="Times New Roman" w:cs="Times New Roman"/>
          <w:szCs w:val="24"/>
          <w:lang w:eastAsia="en-IN"/>
        </w:rPr>
        <w:t>(</w:t>
      </w:r>
      <w:proofErr w:type="spellStart"/>
      <w:r w:rsidR="002A00F9" w:rsidRPr="002A00F9">
        <w:rPr>
          <w:rFonts w:eastAsia="Times New Roman" w:cs="Times New Roman"/>
          <w:szCs w:val="24"/>
          <w:lang w:eastAsia="en-IN"/>
        </w:rPr>
        <w:t>Wuryaningrat</w:t>
      </w:r>
      <w:proofErr w:type="spellEnd"/>
      <w:r w:rsidR="002A00F9" w:rsidRPr="002A00F9">
        <w:rPr>
          <w:rFonts w:eastAsia="Times New Roman" w:cs="Times New Roman"/>
          <w:szCs w:val="24"/>
          <w:lang w:eastAsia="en-IN"/>
        </w:rPr>
        <w:t xml:space="preserve">, </w:t>
      </w:r>
      <w:proofErr w:type="spellStart"/>
      <w:r w:rsidR="002A00F9" w:rsidRPr="002A00F9">
        <w:rPr>
          <w:rFonts w:eastAsia="Times New Roman" w:cs="Times New Roman"/>
          <w:szCs w:val="24"/>
          <w:lang w:eastAsia="en-IN"/>
        </w:rPr>
        <w:t>Hidayat</w:t>
      </w:r>
      <w:proofErr w:type="spellEnd"/>
      <w:r w:rsidR="002A00F9" w:rsidRPr="002A00F9">
        <w:rPr>
          <w:rFonts w:eastAsia="Times New Roman" w:cs="Times New Roman"/>
          <w:szCs w:val="24"/>
          <w:lang w:eastAsia="en-IN"/>
        </w:rPr>
        <w:t xml:space="preserve"> and </w:t>
      </w:r>
      <w:proofErr w:type="spellStart"/>
      <w:r w:rsidR="002A00F9" w:rsidRPr="002A00F9">
        <w:rPr>
          <w:rFonts w:eastAsia="Times New Roman" w:cs="Times New Roman"/>
          <w:szCs w:val="24"/>
          <w:lang w:eastAsia="en-IN"/>
        </w:rPr>
        <w:t>Kumajas</w:t>
      </w:r>
      <w:proofErr w:type="spellEnd"/>
      <w:r w:rsidR="002A00F9" w:rsidRPr="002A00F9">
        <w:rPr>
          <w:rFonts w:eastAsia="Times New Roman" w:cs="Times New Roman"/>
          <w:szCs w:val="24"/>
          <w:lang w:eastAsia="en-IN"/>
        </w:rPr>
        <w:t>, 2024)</w:t>
      </w:r>
      <w:r>
        <w:t xml:space="preserve">. The main feature of this style of leadership is compliance with the standard operating procedures, monitoring of performance and disciplinary measures. </w:t>
      </w:r>
    </w:p>
    <w:p w14:paraId="73BF7458" w14:textId="77777777" w:rsidR="000773BB" w:rsidRDefault="000773BB" w:rsidP="000773BB">
      <w:r>
        <w:t>The leadership model of Kota Medical College Hospital indicates some traits of transactional leadership. Patient identification and surgical verification should have been in place as standard operating procedures and the onus to bring these procedures into practice was the responsibility of the departmental managers and senior clinicians. After the occurrence, the hospital administration formed an investigation team of three to help ascertain accountability and find out the lapse of procedure. On the one hand, it indicates that there was formal governance and compliance with regulations; on the other hand, it reflects that the intervention of the leadership came after the negative event had already happened.</w:t>
      </w:r>
    </w:p>
    <w:p w14:paraId="3BA45C77" w14:textId="66EE128E" w:rsidR="000773BB" w:rsidRDefault="000773BB" w:rsidP="000773BB">
      <w:r>
        <w:t>Importantly, the incident reveals the weakness of the approach of using transactional leadership exclusively. Even though there were rules and protocols, they were not enforced and observed properly. Employees followed standard procedures without personally checking patient identity, which means that compliance with the procedures replaced critical thinking. Thus, the role of transactional leadership in the organisation was reactive, not proactive, as the organisation only dealt with failure after patients were already injured.</w:t>
      </w:r>
    </w:p>
    <w:p w14:paraId="2B7C2569" w14:textId="77777777" w:rsidR="000773BB" w:rsidRPr="000773BB" w:rsidRDefault="000773BB" w:rsidP="000773BB">
      <w:pPr>
        <w:rPr>
          <w:b/>
          <w:bCs/>
        </w:rPr>
      </w:pPr>
      <w:r w:rsidRPr="000773BB">
        <w:rPr>
          <w:b/>
          <w:bCs/>
        </w:rPr>
        <w:t>Situational Leadership</w:t>
      </w:r>
    </w:p>
    <w:p w14:paraId="294DDCAF" w14:textId="2B17EC3C" w:rsidR="00917536" w:rsidRPr="00917536" w:rsidRDefault="000773BB" w:rsidP="002A00F9">
      <w:r>
        <w:t>The situational Leadership Theory created by Hersey and Blanchard (1969) suggests that leaders who are successful must change their leadership style based on the situation, organisational environment and competence of the team members</w:t>
      </w:r>
      <w:r w:rsidR="002A00F9" w:rsidRPr="002A00F9">
        <w:rPr>
          <w:rFonts w:eastAsia="Times New Roman" w:cs="Times New Roman"/>
          <w:szCs w:val="24"/>
          <w:lang w:eastAsia="en-IN"/>
        </w:rPr>
        <w:t>(</w:t>
      </w:r>
      <w:proofErr w:type="spellStart"/>
      <w:r w:rsidR="002A00F9" w:rsidRPr="002A00F9">
        <w:rPr>
          <w:rFonts w:eastAsia="Times New Roman" w:cs="Times New Roman"/>
          <w:szCs w:val="24"/>
          <w:lang w:eastAsia="en-IN"/>
        </w:rPr>
        <w:t>Marchito</w:t>
      </w:r>
      <w:proofErr w:type="spellEnd"/>
      <w:r w:rsidR="002A00F9" w:rsidRPr="002A00F9">
        <w:rPr>
          <w:rFonts w:eastAsia="Times New Roman" w:cs="Times New Roman"/>
          <w:szCs w:val="24"/>
          <w:lang w:eastAsia="en-IN"/>
        </w:rPr>
        <w:t xml:space="preserve">, </w:t>
      </w:r>
      <w:proofErr w:type="spellStart"/>
      <w:r w:rsidR="002A00F9" w:rsidRPr="002A00F9">
        <w:rPr>
          <w:rFonts w:eastAsia="Times New Roman" w:cs="Times New Roman"/>
          <w:szCs w:val="24"/>
          <w:lang w:eastAsia="en-IN"/>
        </w:rPr>
        <w:t>García</w:t>
      </w:r>
      <w:proofErr w:type="spellEnd"/>
      <w:r w:rsidR="002A00F9" w:rsidRPr="002A00F9">
        <w:rPr>
          <w:rFonts w:eastAsia="Times New Roman" w:cs="Times New Roman"/>
          <w:szCs w:val="24"/>
          <w:lang w:eastAsia="en-IN"/>
        </w:rPr>
        <w:t xml:space="preserve"> and de, 2025)</w:t>
      </w:r>
      <w:r>
        <w:t xml:space="preserve">. The environment that healthcare organisations work in is dynamic and unpredictable, and leaders need to act swiftly to adapt to a changing clinical situation without jeopardizing the safety of patients. </w:t>
      </w:r>
    </w:p>
    <w:p w14:paraId="427E4DC2" w14:textId="72D5198F" w:rsidR="000773BB" w:rsidRPr="000773BB" w:rsidRDefault="000773BB" w:rsidP="000773BB">
      <w:r>
        <w:t xml:space="preserve">The Kota Medical College incident is an example of not using situational leadership. As the patient experienced various phases of the surgical pathway, there was no leader or healthcare professional who realised the risks that were developing and adjusted the clinical process. Rather, employees still used normal procedures even when there was no proper patient identification. </w:t>
      </w:r>
    </w:p>
    <w:p w14:paraId="0279E253" w14:textId="77777777" w:rsidR="000773BB" w:rsidRPr="000773BB" w:rsidRDefault="000773BB" w:rsidP="000773BB">
      <w:pPr>
        <w:rPr>
          <w:b/>
          <w:bCs/>
        </w:rPr>
      </w:pPr>
      <w:r w:rsidRPr="000773BB">
        <w:rPr>
          <w:b/>
          <w:bCs/>
        </w:rPr>
        <w:t>Leadership and Emotional Intelligence (Distributed).</w:t>
      </w:r>
    </w:p>
    <w:p w14:paraId="18EC2B46" w14:textId="03BC6AF8" w:rsidR="000773BB" w:rsidRPr="002A00F9" w:rsidRDefault="000773BB" w:rsidP="002A00F9">
      <w:pPr>
        <w:rPr>
          <w:rFonts w:eastAsia="Times New Roman" w:cs="Times New Roman"/>
          <w:szCs w:val="24"/>
          <w:lang w:eastAsia="en-IN"/>
        </w:rPr>
      </w:pPr>
      <w:r>
        <w:t>Despite the crucial role of the senior management in the healthcare governance, contemporary healthcare acknowledges the value of the Distributed Leadership, in which leadership is distributed among multidisciplinary teams, instead of being centralised among senior management</w:t>
      </w:r>
      <w:r w:rsidR="002A00F9" w:rsidRPr="002A00F9">
        <w:t xml:space="preserve"> </w:t>
      </w:r>
      <w:r w:rsidR="002A00F9" w:rsidRPr="002A00F9">
        <w:rPr>
          <w:rFonts w:eastAsia="Times New Roman" w:cs="Times New Roman"/>
          <w:szCs w:val="24"/>
          <w:lang w:eastAsia="en-IN"/>
        </w:rPr>
        <w:t>(Svensson and von Knorring, 2025)</w:t>
      </w:r>
      <w:r>
        <w:t>. Distributed leadership also enables nurses, anaesthetists, surgeons and staff in the operating theatres to take an active part in making decisions and confront unsafe clinical practices irrespective of professional rank.</w:t>
      </w:r>
    </w:p>
    <w:p w14:paraId="5C67653A" w14:textId="04A12F1A" w:rsidR="000773BB" w:rsidRPr="002A00F9" w:rsidRDefault="000773BB" w:rsidP="002A00F9">
      <w:pPr>
        <w:rPr>
          <w:rFonts w:eastAsia="Times New Roman" w:cs="Times New Roman"/>
          <w:szCs w:val="24"/>
          <w:lang w:eastAsia="en-IN"/>
        </w:rPr>
      </w:pPr>
      <w:r>
        <w:t xml:space="preserve">Emotional Intelligence Leadership is closely connected with it and is </w:t>
      </w:r>
      <w:proofErr w:type="spellStart"/>
      <w:r>
        <w:t>centered</w:t>
      </w:r>
      <w:proofErr w:type="spellEnd"/>
      <w:r>
        <w:t xml:space="preserve"> on empathy, communication, self-awareness and relationship management</w:t>
      </w:r>
      <w:r w:rsidR="002A00F9" w:rsidRPr="002A00F9">
        <w:t xml:space="preserve"> </w:t>
      </w:r>
      <w:r w:rsidR="002A00F9" w:rsidRPr="002A00F9">
        <w:rPr>
          <w:rFonts w:eastAsia="Times New Roman" w:cs="Times New Roman"/>
          <w:szCs w:val="24"/>
          <w:lang w:eastAsia="en-IN"/>
        </w:rPr>
        <w:t>(Olabode, 2026)</w:t>
      </w:r>
      <w:r>
        <w:t xml:space="preserve">. Leaders who are emotionally intelligent have psychologically secure work environments that employees feel comfortable about expressing their concerns without fear of reprisal or punishment. </w:t>
      </w:r>
    </w:p>
    <w:p w14:paraId="05A33D69" w14:textId="77777777" w:rsidR="000773BB" w:rsidRPr="000773BB" w:rsidRDefault="000773BB" w:rsidP="000773BB">
      <w:pPr>
        <w:rPr>
          <w:b/>
          <w:bCs/>
        </w:rPr>
      </w:pPr>
      <w:r w:rsidRPr="000773BB">
        <w:rPr>
          <w:b/>
          <w:bCs/>
        </w:rPr>
        <w:t>Assessment of Leadership Effectiveness.</w:t>
      </w:r>
    </w:p>
    <w:p w14:paraId="6277A8BA" w14:textId="77777777" w:rsidR="000773BB" w:rsidRDefault="000773BB" w:rsidP="000773BB">
      <w:r>
        <w:t>A critical analysis of the case reveals that the leadership strategy implemented in Kota Medical College Hospital was not suitable in the complexity of the situation. The style of leadership was more reactive (command-based) than proactive (purpose-driven). Intervention at an organisational level was only after the family of the patient realised the error and reported it to healthcare providers. The following formation of an inquiry committee was indicative of organisational responsibility but was a reaction to failure, rather than a policy of avoiding damage.</w:t>
      </w:r>
    </w:p>
    <w:p w14:paraId="2390E1A1" w14:textId="5C7C6069" w:rsidR="000773BB" w:rsidRPr="00A64A1C" w:rsidRDefault="000773BB" w:rsidP="00A64A1C">
      <w:pPr>
        <w:rPr>
          <w:rFonts w:eastAsia="Times New Roman" w:cs="Times New Roman"/>
          <w:szCs w:val="24"/>
          <w:lang w:eastAsia="en-IN"/>
        </w:rPr>
      </w:pPr>
      <w:r>
        <w:t>International healthcare has shown evidence of this conclusion. The World Health Organization (WHO) suggests that every tenth patient is likely to suffer some kind of harm during healthcare delivery and over 50 percent of the adverse events can be averted by means of a better leadership and governance and safety systems</w:t>
      </w:r>
      <w:r w:rsidR="00A64A1C" w:rsidRPr="00A64A1C">
        <w:rPr>
          <w:rFonts w:eastAsia="Times New Roman" w:cs="Times New Roman"/>
          <w:szCs w:val="24"/>
          <w:lang w:eastAsia="en-IN"/>
        </w:rPr>
        <w:t>(World Health Organization, 2023)</w:t>
      </w:r>
      <w:r>
        <w:t>. Likewise, NHS England still registers wrong-patient surgery cases as Never Events, which proves that such cases should not be observed in the case when the recommended safety measures are regularly applied. However, the tentative NHS statistics of 2025</w:t>
      </w:r>
      <w:r w:rsidR="00A64A1C">
        <w:t>-</w:t>
      </w:r>
      <w:r>
        <w:t>2026 revealed 403 Never Events, which proves that the policies cannot work without efficient leadership and learning in organisations.</w:t>
      </w:r>
    </w:p>
    <w:p w14:paraId="082CB336" w14:textId="4FCE7849" w:rsidR="000773BB" w:rsidRDefault="000773BB" w:rsidP="000773BB">
      <w:r>
        <w:t xml:space="preserve">The effectiveness of the leadership can also be seen in the form of staff engagement and organisational culture. According to the 2024 NHS Staff Survey, approximately 68 percent of the employees said they were comfortable to raise concerns about their safety, which is an improvement, but the fact remains that approximately one-third of the staff members continue to have barriers to safe issue reporting. This evidence proves that leadership has a direct impact on communication, teamwork and patient safety outcomes. </w:t>
      </w:r>
    </w:p>
    <w:p w14:paraId="330CCE03" w14:textId="511E5AED" w:rsidR="000773BB" w:rsidRDefault="000773BB" w:rsidP="000773BB">
      <w:r>
        <w:t xml:space="preserve">Transformational leadership would have been more effective in promoting the organisational culture of safety, situational leadership would have allowed making adaptive decisions, distributed leadership would have allowed multidisciplinary teams to question unsafe practices, and emotional intelligence would have promoted open communication and psychological safety. All these leadership strategies together would have enhanced governance, increase the involvement of staff and greatly minimized chances of patient misidentification. </w:t>
      </w:r>
    </w:p>
    <w:p w14:paraId="342739D0" w14:textId="0D0C7C64" w:rsidR="001D56A5" w:rsidRPr="00CF346E" w:rsidRDefault="00A074AB" w:rsidP="00C000B3">
      <w:pPr>
        <w:pStyle w:val="NormalWeb"/>
        <w:rPr>
          <w:b/>
          <w:bCs/>
        </w:rPr>
      </w:pPr>
      <w:r w:rsidRPr="00CF346E">
        <w:rPr>
          <w:b/>
          <w:bCs/>
        </w:rPr>
        <w:t>d. Improvement, and Lessons Learned</w:t>
      </w:r>
    </w:p>
    <w:p w14:paraId="1DC832FC" w14:textId="77777777" w:rsidR="003F798B" w:rsidRDefault="003F798B" w:rsidP="003F798B">
      <w:pPr>
        <w:pStyle w:val="Heading2"/>
      </w:pPr>
      <w:bookmarkStart w:id="3" w:name="_Toc237011240"/>
      <w:r>
        <w:t>Improvement and Lessons Learned</w:t>
      </w:r>
      <w:bookmarkEnd w:id="3"/>
    </w:p>
    <w:p w14:paraId="7F565961" w14:textId="20D2D1C0" w:rsidR="00DE7709" w:rsidRDefault="00DE7709" w:rsidP="00DE7709">
      <w:r>
        <w:t xml:space="preserve">The case of the wrong-patient surgery at Kota Medical College Hospital shows that the occurrence of patient safety incidents is rather unlikely to be caused by the error of a single person. Rather, the negative event occurred as a result of the combination of poor leadership, poor governance, lapse of communication and poor execution of patient safety measures. The response was reactive governance as opposed to a proactive system to prevent harm although the hospital began an inquiry after the incident had taken place. </w:t>
      </w:r>
    </w:p>
    <w:p w14:paraId="2EAFDA79" w14:textId="5E27CAB4" w:rsidR="00DE7709" w:rsidRPr="00A64A1C" w:rsidRDefault="00DE7709" w:rsidP="00A64A1C">
      <w:pPr>
        <w:rPr>
          <w:rFonts w:eastAsia="Times New Roman" w:cs="Times New Roman"/>
          <w:szCs w:val="24"/>
          <w:lang w:eastAsia="en-IN"/>
        </w:rPr>
      </w:pPr>
      <w:r>
        <w:t>Among the opportunities that were lost the most was the inability to adopt effective patient identification processes prior to surgery. The international best practice dictates that healthcare professionals should ensure that they check at least two patient identifiers such as the name of the patient, date of birth or hospital identification number before any invasive procedure is performed</w:t>
      </w:r>
      <w:r w:rsidR="00A64A1C" w:rsidRPr="00A64A1C">
        <w:rPr>
          <w:rFonts w:eastAsia="Times New Roman" w:cs="Times New Roman"/>
          <w:szCs w:val="24"/>
          <w:lang w:eastAsia="en-IN"/>
        </w:rPr>
        <w:t>(</w:t>
      </w:r>
      <w:proofErr w:type="spellStart"/>
      <w:r w:rsidR="00A64A1C" w:rsidRPr="00A64A1C">
        <w:rPr>
          <w:rFonts w:eastAsia="Times New Roman" w:cs="Times New Roman"/>
          <w:szCs w:val="24"/>
          <w:lang w:eastAsia="en-IN"/>
        </w:rPr>
        <w:t>Riplinger</w:t>
      </w:r>
      <w:proofErr w:type="spellEnd"/>
      <w:r w:rsidR="00A64A1C" w:rsidRPr="00A64A1C">
        <w:rPr>
          <w:rFonts w:eastAsia="Times New Roman" w:cs="Times New Roman"/>
          <w:szCs w:val="24"/>
          <w:lang w:eastAsia="en-IN"/>
        </w:rPr>
        <w:t xml:space="preserve">, Jiménez and </w:t>
      </w:r>
      <w:proofErr w:type="spellStart"/>
      <w:r w:rsidR="00A64A1C" w:rsidRPr="00A64A1C">
        <w:rPr>
          <w:rFonts w:eastAsia="Times New Roman" w:cs="Times New Roman"/>
          <w:szCs w:val="24"/>
          <w:lang w:eastAsia="en-IN"/>
        </w:rPr>
        <w:t>Dooling</w:t>
      </w:r>
      <w:proofErr w:type="spellEnd"/>
      <w:r w:rsidR="00A64A1C" w:rsidRPr="00A64A1C">
        <w:rPr>
          <w:rFonts w:eastAsia="Times New Roman" w:cs="Times New Roman"/>
          <w:szCs w:val="24"/>
          <w:lang w:eastAsia="en-IN"/>
        </w:rPr>
        <w:t>, 2020)</w:t>
      </w:r>
      <w:r>
        <w:t xml:space="preserve">. Here, healthcare personnel depended on verbal confirmation more, and the wrong patient entered the operating theatre and underwent an </w:t>
      </w:r>
      <w:proofErr w:type="spellStart"/>
      <w:r>
        <w:t>anesthesia</w:t>
      </w:r>
      <w:proofErr w:type="spellEnd"/>
      <w:r>
        <w:t xml:space="preserve"> procedure. It is estimated by the World Health Organization (WHO) that one out of every ten patients suffer in the course of healthcare, and over half of patient injuries can be averted using a stronger governance, leadership and standardised safety practices. These results suggest that enhancing patient identification systems must be an organisational priority and not just an operational necessity.</w:t>
      </w:r>
    </w:p>
    <w:p w14:paraId="2B5D0DBA" w14:textId="77777777" w:rsidR="00DE7709" w:rsidRDefault="00DE7709" w:rsidP="00DE7709">
      <w:r>
        <w:t>The other significant weakness was the weak performance of organisational governance. Clinical audits, risk assessments and reviews of performance should be used to continuously check compliance with patient safety policies by the governance. But it was only after the family of the patient notified the hospital about his absence that the hospital realized the error, and this shows that the current governance mechanisms did not recognize the failure before the patient could suffer injuries. Instead of only using post-incident investigations, healthcare organisations need to implement ongoing clinical auditing of patient identification, informed consent and compliance with surgical safety checklists. Conducting governance reviews on a regular basis would help leaders recognize the emerging risks to prevent them turning into serious adverse events.</w:t>
      </w:r>
    </w:p>
    <w:p w14:paraId="2BE47422" w14:textId="77777777" w:rsidR="00DE7709" w:rsidRDefault="00DE7709" w:rsidP="00DE7709">
      <w:r>
        <w:t>Leadership was also a lost chance of improving an organisation. During the incident, the leadership was largely command-oriented, which concentrated on investigating the incident once it had happened as opposed to preventing it. Transformational and distributed leadership styles promote multidisciplinary teamwork, accountability and proactive risk management. Patient identity should be challenged and stoppage of procedures whenever there is inconsistency as the nurses, anaesthetists and the staff at the operating theatres should be empowered to suspend procedures. This type of empowerment enhances patient safety as it develops numerous ways of catching human error before it is too late.</w:t>
      </w:r>
    </w:p>
    <w:p w14:paraId="764814D7" w14:textId="77777777" w:rsidR="00DE7709" w:rsidRDefault="00DE7709" w:rsidP="00DE7709">
      <w:r>
        <w:t>They should also focus on enhancing communication in organisations. Communication breakdowns continue to be among the top causes of avoidable negative occurrences in healthcare. Multidisciplinary teams can be greatly enhanced in terms of transferring information across the board using structured communication tools like the SBAR (Situation, Background, Assessment and Recommendation) framework. Another solution that would help decrease the reliance on assumptions and enhance collaborative decision-making would be the introduction of mandatory preoperative briefing of the team and making each member of the surgical team actively involved in patient verification. In the same spirit, the implementation of digital patient identification systems, such as barcode wristbands or biometric identification systems, would offer extra safety measures in the face of patient misidentification.</w:t>
      </w:r>
    </w:p>
    <w:p w14:paraId="465469CD" w14:textId="5B71D1C7" w:rsidR="00DE7709" w:rsidRPr="00A64A1C" w:rsidRDefault="00DE7709" w:rsidP="00A64A1C">
      <w:pPr>
        <w:rPr>
          <w:rFonts w:eastAsia="Times New Roman" w:cs="Times New Roman"/>
          <w:szCs w:val="24"/>
          <w:lang w:eastAsia="en-IN"/>
        </w:rPr>
      </w:pPr>
      <w:r>
        <w:t>Organisational governance should also include evidence-based quality improvement initiatives. Plan-Do-Study-Act (PDSA) cycle is a structured model of testing and evaluating patient safety interventions to be implemented on a broader scale</w:t>
      </w:r>
      <w:r w:rsidR="00A64A1C" w:rsidRPr="00A64A1C">
        <w:rPr>
          <w:rFonts w:eastAsia="Times New Roman" w:cs="Times New Roman"/>
          <w:szCs w:val="24"/>
          <w:lang w:eastAsia="en-IN"/>
        </w:rPr>
        <w:t>(Bradley et al., 2024)</w:t>
      </w:r>
      <w:r>
        <w:t>. As an example, the hospital might implement electronic patient verification in a single surgical unit, test its validity with patient safety indicators, and implement the system step-by-step throughout the organisation. The application of Key Performance Indicators (KPIs) such as adherence to surgical safety checklists, accuracy of patient identification, the incidence rate and staff training rate would allow the leadership to objectively measure improvement and make evidence-based decisions.</w:t>
      </w:r>
    </w:p>
    <w:p w14:paraId="2F6BB451" w14:textId="77777777" w:rsidR="00DE7709" w:rsidRDefault="00DE7709" w:rsidP="00DE7709">
      <w:r>
        <w:t>Another important lesson of this case is to foster a more powerful patient safety culture. Effective healthcare organisations use incentives to motivate employees to report near misses, communication failures and patient safety issues without the fear of reprisals. These organisations are aware that it is better to learn through errors than to blame individuals. Psychological safety should thus be encouraged by leadership through open communication and multidisciplinary collaboration and lifelong learning. Simulation training and leadership development programmes with regular simulation training would enhance competence in the staff and also renew organisational commitment to patient-centred care.</w:t>
      </w:r>
    </w:p>
    <w:p w14:paraId="51F14EE8" w14:textId="77777777" w:rsidR="00DE7709" w:rsidRDefault="00DE7709" w:rsidP="00DE7709">
      <w:r>
        <w:t>It is also evident in the case that the centralisation of governance should be mixed with limited decentralisation. Although centralised leadership guarantees uniform policies, accountability and compliance with regulations, too much hierarchy can deter frontline staffs to challenge unsafe decisions. Allowing more decision making powers to the nurses, anaesthetists and operating theatre staff during patient checking would enhance the organisational resilience and not governance. There are several tiers of defence against human error provided by shared decision-making and organisational responsiveness in the event of clinical emergencies.</w:t>
      </w:r>
    </w:p>
    <w:p w14:paraId="3801F05B" w14:textId="0BBF27CD" w:rsidR="00265A0C" w:rsidRDefault="00265A0C" w:rsidP="00265A0C">
      <w:pPr>
        <w:pStyle w:val="Heading1"/>
      </w:pPr>
      <w:bookmarkStart w:id="4" w:name="_Toc237011241"/>
      <w:r>
        <w:t>Recommendations</w:t>
      </w:r>
      <w:bookmarkEnd w:id="4"/>
    </w:p>
    <w:p w14:paraId="7CBA00FA" w14:textId="43485278" w:rsidR="0031678F" w:rsidRDefault="0087343A" w:rsidP="0031678F">
      <w:pPr>
        <w:rPr>
          <w:rStyle w:val="cursor-pointer"/>
          <w:rFonts w:ascii="Geist Fallback" w:hAnsi="Geist Fallback"/>
          <w:sz w:val="23"/>
          <w:szCs w:val="23"/>
        </w:rPr>
      </w:pPr>
      <w:r>
        <w:rPr>
          <w:rStyle w:val="cursor-pointer"/>
          <w:rFonts w:ascii="Geist Fallback" w:hAnsi="Geist Fallback"/>
          <w:sz w:val="23"/>
          <w:szCs w:val="23"/>
        </w:rPr>
        <w:t>According to the results of this case study, Kota Medical College Hospital must embrace a holistic approach to improvement that enhances leadership, governance, communication and organisational learning.</w:t>
      </w:r>
      <w:r>
        <w:rPr>
          <w:rFonts w:ascii="Geist Fallback" w:hAnsi="Geist Fallback"/>
          <w:sz w:val="23"/>
          <w:szCs w:val="23"/>
        </w:rPr>
        <w:t xml:space="preserve"> </w:t>
      </w:r>
      <w:r>
        <w:rPr>
          <w:rStyle w:val="cursor-pointer"/>
          <w:rFonts w:ascii="Geist Fallback" w:hAnsi="Geist Fallback"/>
          <w:sz w:val="23"/>
          <w:szCs w:val="23"/>
        </w:rPr>
        <w:t>The incident was due to a patient identification error, but the analysis shows that the causes were deeper than individual negligence and were caused by flaws in the healthcare system.</w:t>
      </w:r>
      <w:r>
        <w:rPr>
          <w:rFonts w:ascii="Geist Fallback" w:hAnsi="Geist Fallback"/>
          <w:sz w:val="23"/>
          <w:szCs w:val="23"/>
        </w:rPr>
        <w:t xml:space="preserve"> </w:t>
      </w:r>
      <w:r>
        <w:rPr>
          <w:rStyle w:val="cursor-pointer"/>
          <w:rFonts w:ascii="Geist Fallback" w:hAnsi="Geist Fallback"/>
          <w:sz w:val="23"/>
          <w:szCs w:val="23"/>
        </w:rPr>
        <w:t>Thus, to promote sustainable improvement, organisational changes that are both human and systemic will be necessary.</w:t>
      </w:r>
      <w:r>
        <w:rPr>
          <w:rFonts w:ascii="Geist Fallback" w:hAnsi="Geist Fallback"/>
          <w:sz w:val="23"/>
          <w:szCs w:val="23"/>
        </w:rPr>
        <w:t xml:space="preserve"> </w:t>
      </w:r>
      <w:r>
        <w:rPr>
          <w:rStyle w:val="cursor-pointer"/>
          <w:rFonts w:ascii="Geist Fallback" w:hAnsi="Geist Fallback"/>
          <w:sz w:val="23"/>
          <w:szCs w:val="23"/>
        </w:rPr>
        <w:t>Transformational leadership is the most appropriate leadership style that the hospital should use since it ensures a patient-centred culture, empowers employees and incites them to constantly improve.</w:t>
      </w:r>
      <w:r>
        <w:rPr>
          <w:rFonts w:ascii="Geist Fallback" w:hAnsi="Geist Fallback"/>
          <w:sz w:val="23"/>
          <w:szCs w:val="23"/>
        </w:rPr>
        <w:t xml:space="preserve"> </w:t>
      </w:r>
      <w:r>
        <w:rPr>
          <w:rStyle w:val="cursor-pointer"/>
          <w:rFonts w:ascii="Geist Fallback" w:hAnsi="Geist Fallback"/>
          <w:sz w:val="23"/>
          <w:szCs w:val="23"/>
        </w:rPr>
        <w:t>Transformational leaders push healthcare professionals to be responsible in keeping the patients safe, promote innovations and open communication within the multidisciplinary teams.</w:t>
      </w:r>
      <w:r>
        <w:rPr>
          <w:rFonts w:ascii="Geist Fallback" w:hAnsi="Geist Fallback"/>
          <w:sz w:val="23"/>
          <w:szCs w:val="23"/>
        </w:rPr>
        <w:t xml:space="preserve"> </w:t>
      </w:r>
      <w:r>
        <w:rPr>
          <w:rStyle w:val="cursor-pointer"/>
          <w:rFonts w:ascii="Geist Fallback" w:hAnsi="Geist Fallback"/>
          <w:sz w:val="23"/>
          <w:szCs w:val="23"/>
        </w:rPr>
        <w:t>Nevertheless, the distributed leadership should supplement transformational leadership, as it allows nurses, anaesthetists and staff of the operating theatres to be actively involved in the process of decision-making.</w:t>
      </w:r>
      <w:r>
        <w:rPr>
          <w:rFonts w:ascii="Geist Fallback" w:hAnsi="Geist Fallback"/>
          <w:sz w:val="23"/>
          <w:szCs w:val="23"/>
        </w:rPr>
        <w:t xml:space="preserve"> </w:t>
      </w:r>
      <w:r>
        <w:rPr>
          <w:rStyle w:val="cursor-pointer"/>
          <w:rFonts w:ascii="Geist Fallback" w:hAnsi="Geist Fallback"/>
          <w:sz w:val="23"/>
          <w:szCs w:val="23"/>
        </w:rPr>
        <w:t>Giving frontline staff the authority to challenge patient identity and halt procedures when the safety of the patient is at risk would provide a range of filters to preventable errors.</w:t>
      </w:r>
      <w:r>
        <w:rPr>
          <w:rFonts w:ascii="Geist Fallback" w:hAnsi="Geist Fallback"/>
          <w:sz w:val="23"/>
          <w:szCs w:val="23"/>
        </w:rPr>
        <w:t xml:space="preserve"> </w:t>
      </w:r>
      <w:r>
        <w:rPr>
          <w:rStyle w:val="cursor-pointer"/>
          <w:rFonts w:ascii="Geist Fallback" w:hAnsi="Geist Fallback"/>
          <w:sz w:val="23"/>
          <w:szCs w:val="23"/>
        </w:rPr>
        <w:t>Moreover, the leaders are expected to possess emotional intelligence by providing the psychologically safe working environments where healthcare professionals are not afraid to report their errors, criticize unsafe practices and to promote quality improvement without having to worry about being blamed.</w:t>
      </w:r>
      <w:r>
        <w:rPr>
          <w:rFonts w:ascii="Geist Fallback" w:hAnsi="Geist Fallback"/>
          <w:sz w:val="23"/>
          <w:szCs w:val="23"/>
        </w:rPr>
        <w:t xml:space="preserve"> </w:t>
      </w:r>
      <w:r>
        <w:rPr>
          <w:rStyle w:val="cursor-pointer"/>
          <w:rFonts w:ascii="Geist Fallback" w:hAnsi="Geist Fallback"/>
          <w:sz w:val="23"/>
          <w:szCs w:val="23"/>
        </w:rPr>
        <w:t>The strengthening of governance systems should also be based on continuous checking instead of reactive investigations.</w:t>
      </w:r>
      <w:r>
        <w:rPr>
          <w:rFonts w:ascii="Geist Fallback" w:hAnsi="Geist Fallback"/>
          <w:sz w:val="23"/>
          <w:szCs w:val="23"/>
        </w:rPr>
        <w:t xml:space="preserve"> </w:t>
      </w:r>
      <w:r>
        <w:rPr>
          <w:rStyle w:val="cursor-pointer"/>
          <w:rFonts w:ascii="Geist Fallback" w:hAnsi="Geist Fallback"/>
          <w:sz w:val="23"/>
          <w:szCs w:val="23"/>
        </w:rPr>
        <w:t>The adherence to patient identification procedures, informed consent requirements and WHO Surgical Safety Checklist should be assessed with regular clinical audits.</w:t>
      </w:r>
      <w:r>
        <w:rPr>
          <w:rFonts w:ascii="Geist Fallback" w:hAnsi="Geist Fallback"/>
          <w:sz w:val="23"/>
          <w:szCs w:val="23"/>
        </w:rPr>
        <w:t xml:space="preserve"> </w:t>
      </w:r>
      <w:r>
        <w:rPr>
          <w:rStyle w:val="cursor-pointer"/>
          <w:rFonts w:ascii="Geist Fallback" w:hAnsi="Geist Fallback"/>
          <w:sz w:val="23"/>
          <w:szCs w:val="23"/>
        </w:rPr>
        <w:t>Incident reports, near miss and patient safety indicators should be reviewed monthly by governance committees to determine the organisational risks before adverse events take place.</w:t>
      </w:r>
      <w:r>
        <w:rPr>
          <w:rFonts w:ascii="Geist Fallback" w:hAnsi="Geist Fallback"/>
          <w:sz w:val="23"/>
          <w:szCs w:val="23"/>
        </w:rPr>
        <w:t xml:space="preserve"> </w:t>
      </w:r>
      <w:r>
        <w:rPr>
          <w:rStyle w:val="cursor-pointer"/>
          <w:rFonts w:ascii="Geist Fallback" w:hAnsi="Geist Fallback"/>
          <w:sz w:val="23"/>
          <w:szCs w:val="23"/>
        </w:rPr>
        <w:t>Moreover, the introduction of Key Performance Indicators (KPIs) such as patient identification compliance levels, surgical checklists fulfilled, the number of incidents reported, and the percentage of staff training would allow hospital leadership to objectively measure organisational performance and take evidence-supported actions to advance.</w:t>
      </w:r>
    </w:p>
    <w:p w14:paraId="6876EAF0" w14:textId="77777777" w:rsidR="00B73C76" w:rsidRDefault="0087343A" w:rsidP="0031678F">
      <w:pPr>
        <w:rPr>
          <w:rFonts w:ascii="Geist Fallback" w:hAnsi="Geist Fallback"/>
          <w:sz w:val="23"/>
          <w:szCs w:val="23"/>
        </w:rPr>
      </w:pPr>
      <w:r>
        <w:rPr>
          <w:rStyle w:val="cursor-pointer"/>
          <w:rFonts w:ascii="Geist Fallback" w:hAnsi="Geist Fallback"/>
          <w:sz w:val="23"/>
          <w:szCs w:val="23"/>
        </w:rPr>
        <w:t>Standardised multidisciplinary processes should be used to improve communication.</w:t>
      </w:r>
      <w:r>
        <w:rPr>
          <w:rFonts w:ascii="Geist Fallback" w:hAnsi="Geist Fallback"/>
          <w:sz w:val="23"/>
          <w:szCs w:val="23"/>
        </w:rPr>
        <w:t xml:space="preserve"> </w:t>
      </w:r>
      <w:r>
        <w:rPr>
          <w:rStyle w:val="cursor-pointer"/>
          <w:rFonts w:ascii="Geist Fallback" w:hAnsi="Geist Fallback"/>
          <w:sz w:val="23"/>
          <w:szCs w:val="23"/>
        </w:rPr>
        <w:t>team briefings and make use of structured communication methods like the SBAR (Situation, Background, Assessment and Recommendation) framework to enhance information sharing between clinical teams.</w:t>
      </w:r>
      <w:r>
        <w:rPr>
          <w:rFonts w:ascii="Geist Fallback" w:hAnsi="Geist Fallback"/>
          <w:sz w:val="23"/>
          <w:szCs w:val="23"/>
        </w:rPr>
        <w:t xml:space="preserve"> </w:t>
      </w:r>
      <w:r>
        <w:rPr>
          <w:rStyle w:val="cursor-pointer"/>
          <w:rFonts w:ascii="Geist Fallback" w:hAnsi="Geist Fallback"/>
          <w:sz w:val="23"/>
          <w:szCs w:val="23"/>
        </w:rPr>
        <w:t>Identification of the patient should be checked by all surgical team members prior to anaesthesia and surgery.</w:t>
      </w:r>
      <w:r>
        <w:rPr>
          <w:rFonts w:ascii="Geist Fallback" w:hAnsi="Geist Fallback"/>
          <w:sz w:val="23"/>
          <w:szCs w:val="23"/>
        </w:rPr>
        <w:t xml:space="preserve"> </w:t>
      </w:r>
      <w:r>
        <w:rPr>
          <w:rStyle w:val="cursor-pointer"/>
          <w:rFonts w:ascii="Geist Fallback" w:hAnsi="Geist Fallback"/>
          <w:sz w:val="23"/>
          <w:szCs w:val="23"/>
        </w:rPr>
        <w:t>The organisation also needs to invest in digital identification of patients such as barcode wristbands or biometric verification system to minimise the use of verbal confirmation and keep off chances of patient misidentification.</w:t>
      </w:r>
      <w:r>
        <w:rPr>
          <w:rFonts w:ascii="Geist Fallback" w:hAnsi="Geist Fallback"/>
          <w:sz w:val="23"/>
          <w:szCs w:val="23"/>
        </w:rPr>
        <w:t xml:space="preserve"> </w:t>
      </w:r>
      <w:r>
        <w:rPr>
          <w:rStyle w:val="cursor-pointer"/>
          <w:rFonts w:ascii="Geist Fallback" w:hAnsi="Geist Fallback"/>
          <w:sz w:val="23"/>
          <w:szCs w:val="23"/>
        </w:rPr>
        <w:t>The hospital can also maximise the available resources to enhance technical efficiency by adopting electronic health records, digital patient verification systems and automated incident reporting platforms.</w:t>
      </w:r>
      <w:r>
        <w:rPr>
          <w:rFonts w:ascii="Geist Fallback" w:hAnsi="Geist Fallback"/>
          <w:sz w:val="23"/>
          <w:szCs w:val="23"/>
        </w:rPr>
        <w:t xml:space="preserve"> </w:t>
      </w:r>
      <w:r>
        <w:rPr>
          <w:rStyle w:val="cursor-pointer"/>
          <w:rFonts w:ascii="Geist Fallback" w:hAnsi="Geist Fallback"/>
          <w:sz w:val="23"/>
          <w:szCs w:val="23"/>
        </w:rPr>
        <w:t>These technologies decrease duplication, minimise administrative errors and enhance workflow efficiency and enhance patient safety.</w:t>
      </w:r>
      <w:r>
        <w:rPr>
          <w:rFonts w:ascii="Geist Fallback" w:hAnsi="Geist Fallback"/>
          <w:sz w:val="23"/>
          <w:szCs w:val="23"/>
        </w:rPr>
        <w:t xml:space="preserve"> </w:t>
      </w:r>
      <w:r>
        <w:rPr>
          <w:rStyle w:val="cursor-pointer"/>
          <w:rFonts w:ascii="Geist Fallback" w:hAnsi="Geist Fallback"/>
          <w:sz w:val="23"/>
          <w:szCs w:val="23"/>
        </w:rPr>
        <w:t>The ongoing staff training and training by simulating medical care should also be offered to make sure that the healthcare professionals are up to date with patient identification processes, communication and emergency decision making.</w:t>
      </w:r>
      <w:r>
        <w:rPr>
          <w:rFonts w:ascii="Geist Fallback" w:hAnsi="Geist Fallback"/>
          <w:sz w:val="23"/>
          <w:szCs w:val="23"/>
        </w:rPr>
        <w:t xml:space="preserve"> </w:t>
      </w:r>
    </w:p>
    <w:p w14:paraId="7278AD2D" w14:textId="1A9886C5" w:rsidR="00B73C76" w:rsidRDefault="0087343A" w:rsidP="0031678F">
      <w:pPr>
        <w:rPr>
          <w:rStyle w:val="cursor-pointer"/>
          <w:rFonts w:ascii="Geist Fallback" w:hAnsi="Geist Fallback"/>
          <w:sz w:val="23"/>
          <w:szCs w:val="23"/>
        </w:rPr>
      </w:pPr>
      <w:r>
        <w:rPr>
          <w:rStyle w:val="cursor-pointer"/>
          <w:rFonts w:ascii="Geist Fallback" w:hAnsi="Geist Fallback"/>
          <w:sz w:val="23"/>
          <w:szCs w:val="23"/>
        </w:rPr>
        <w:t>To enhance allocative efficiency, one needs to channel the scarce healthcare resources to interventions that produce the most significant gains with respect to patient safety and quality of care.</w:t>
      </w:r>
      <w:r>
        <w:rPr>
          <w:rFonts w:ascii="Geist Fallback" w:hAnsi="Geist Fallback"/>
          <w:sz w:val="23"/>
          <w:szCs w:val="23"/>
        </w:rPr>
        <w:t xml:space="preserve"> </w:t>
      </w:r>
      <w:r>
        <w:rPr>
          <w:rStyle w:val="cursor-pointer"/>
          <w:rFonts w:ascii="Geist Fallback" w:hAnsi="Geist Fallback"/>
          <w:sz w:val="23"/>
          <w:szCs w:val="23"/>
        </w:rPr>
        <w:t>Patient safety technologies, workforce development, governance systems and continuous quality improvement programmes should be the main focus of investment as opposed to post-incident investigations alone.</w:t>
      </w:r>
      <w:r>
        <w:rPr>
          <w:rFonts w:ascii="Geist Fallback" w:hAnsi="Geist Fallback"/>
          <w:sz w:val="23"/>
          <w:szCs w:val="23"/>
        </w:rPr>
        <w:t xml:space="preserve"> </w:t>
      </w:r>
      <w:r>
        <w:rPr>
          <w:rStyle w:val="cursor-pointer"/>
          <w:rFonts w:ascii="Geist Fallback" w:hAnsi="Geist Fallback"/>
          <w:sz w:val="23"/>
          <w:szCs w:val="23"/>
        </w:rPr>
        <w:t>They should also invest in routine patient safety audits, leadership development programs and multidisciplinary training programs and make sure that the organisational developments are sustainable and cost efficient.</w:t>
      </w:r>
    </w:p>
    <w:p w14:paraId="48909E15" w14:textId="684321E8" w:rsidR="0087343A" w:rsidRDefault="0087343A" w:rsidP="0031678F">
      <w:r>
        <w:rPr>
          <w:rFonts w:ascii="Geist Fallback" w:hAnsi="Geist Fallback"/>
          <w:sz w:val="23"/>
          <w:szCs w:val="23"/>
        </w:rPr>
        <w:t xml:space="preserve"> </w:t>
      </w:r>
      <w:r>
        <w:rPr>
          <w:rStyle w:val="cursor-pointer"/>
          <w:rFonts w:ascii="Geist Fallback" w:hAnsi="Geist Fallback"/>
          <w:sz w:val="23"/>
          <w:szCs w:val="23"/>
        </w:rPr>
        <w:t>Life long organisational learning must be part of the governance of a hospital.</w:t>
      </w:r>
      <w:r>
        <w:rPr>
          <w:rFonts w:ascii="Geist Fallback" w:hAnsi="Geist Fallback"/>
          <w:sz w:val="23"/>
          <w:szCs w:val="23"/>
        </w:rPr>
        <w:t xml:space="preserve"> </w:t>
      </w:r>
      <w:r>
        <w:rPr>
          <w:rStyle w:val="cursor-pointer"/>
          <w:rFonts w:ascii="Geist Fallback" w:hAnsi="Geist Fallback"/>
          <w:sz w:val="23"/>
          <w:szCs w:val="23"/>
        </w:rPr>
        <w:t>The Plan-Do-Study-Act (PDSA) cycle is a type of cycle that should be used by the hospital to test the patient safety interventions, assess the outcomes and improve them according to the evidence.</w:t>
      </w:r>
      <w:r>
        <w:rPr>
          <w:rFonts w:ascii="Geist Fallback" w:hAnsi="Geist Fallback"/>
          <w:sz w:val="23"/>
          <w:szCs w:val="23"/>
        </w:rPr>
        <w:t xml:space="preserve"> </w:t>
      </w:r>
      <w:r>
        <w:rPr>
          <w:rStyle w:val="cursor-pointer"/>
          <w:rFonts w:ascii="Geist Fallback" w:hAnsi="Geist Fallback"/>
          <w:sz w:val="23"/>
          <w:szCs w:val="23"/>
        </w:rPr>
        <w:t>Structured Root Cause Analysis (RCA) of every adverse event and near miss must be conducted and the results disseminated throughout the departments to ensure that similar events are avoided in future.</w:t>
      </w:r>
      <w:r>
        <w:rPr>
          <w:rFonts w:ascii="Geist Fallback" w:hAnsi="Geist Fallback"/>
          <w:sz w:val="23"/>
          <w:szCs w:val="23"/>
        </w:rPr>
        <w:t xml:space="preserve"> </w:t>
      </w:r>
      <w:r>
        <w:rPr>
          <w:rStyle w:val="cursor-pointer"/>
          <w:rFonts w:ascii="Geist Fallback" w:hAnsi="Geist Fallback"/>
          <w:sz w:val="23"/>
          <w:szCs w:val="23"/>
        </w:rPr>
        <w:t>Knowledge sharing through creation of learning forums, multidisciplinary case reviews and frequent patient safety meetings would promote organisational resilience.</w:t>
      </w:r>
      <w:r>
        <w:rPr>
          <w:rFonts w:ascii="Geist Fallback" w:hAnsi="Geist Fallback"/>
          <w:sz w:val="23"/>
          <w:szCs w:val="23"/>
        </w:rPr>
        <w:t xml:space="preserve"> </w:t>
      </w:r>
      <w:r>
        <w:rPr>
          <w:rStyle w:val="cursor-pointer"/>
          <w:rFonts w:ascii="Geist Fallback" w:hAnsi="Geist Fallback"/>
          <w:sz w:val="23"/>
          <w:szCs w:val="23"/>
        </w:rPr>
        <w:t>Stakeholder involvement and co-production are also essential in maintaining long-term change.</w:t>
      </w:r>
      <w:r>
        <w:rPr>
          <w:rFonts w:ascii="Geist Fallback" w:hAnsi="Geist Fallback"/>
          <w:sz w:val="23"/>
          <w:szCs w:val="23"/>
        </w:rPr>
        <w:t xml:space="preserve"> </w:t>
      </w:r>
      <w:r>
        <w:rPr>
          <w:rStyle w:val="cursor-pointer"/>
          <w:rFonts w:ascii="Geist Fallback" w:hAnsi="Geist Fallback"/>
          <w:sz w:val="23"/>
          <w:szCs w:val="23"/>
        </w:rPr>
        <w:t>Patients and their families need to be advised to engage in safety programs by ensuring that they identify themselves prior to procedures, reporting issues and other feedbacks on healthcare experiences.</w:t>
      </w:r>
      <w:r>
        <w:rPr>
          <w:rFonts w:ascii="Geist Fallback" w:hAnsi="Geist Fallback"/>
          <w:sz w:val="23"/>
          <w:szCs w:val="23"/>
        </w:rPr>
        <w:t xml:space="preserve"> </w:t>
      </w:r>
      <w:r>
        <w:rPr>
          <w:rStyle w:val="cursor-pointer"/>
          <w:rFonts w:ascii="Geist Fallback" w:hAnsi="Geist Fallback"/>
          <w:sz w:val="23"/>
          <w:szCs w:val="23"/>
        </w:rPr>
        <w:t>When formulating patient safety policies, clinical staff, hospital management, policymakers and regulatory authorities must work together to make the improvement strategies practical, evidence-based, and responsive to challenges on the frontline.</w:t>
      </w:r>
      <w:r>
        <w:rPr>
          <w:rFonts w:ascii="Geist Fallback" w:hAnsi="Geist Fallback"/>
          <w:sz w:val="23"/>
          <w:szCs w:val="23"/>
        </w:rPr>
        <w:t xml:space="preserve"> </w:t>
      </w:r>
      <w:r>
        <w:rPr>
          <w:rStyle w:val="cursor-pointer"/>
          <w:rFonts w:ascii="Geist Fallback" w:hAnsi="Geist Fallback"/>
          <w:sz w:val="23"/>
          <w:szCs w:val="23"/>
        </w:rPr>
        <w:t>This collaborative governance enhances accountability and at the same time patient-centred care is the core of organisational decision making.</w:t>
      </w:r>
      <w:r>
        <w:rPr>
          <w:rFonts w:ascii="Geist Fallback" w:hAnsi="Geist Fallback"/>
          <w:sz w:val="23"/>
          <w:szCs w:val="23"/>
        </w:rPr>
        <w:t xml:space="preserve"> </w:t>
      </w:r>
      <w:r>
        <w:rPr>
          <w:rStyle w:val="cursor-pointer"/>
          <w:rFonts w:ascii="Geist Fallback" w:hAnsi="Geist Fallback"/>
          <w:sz w:val="23"/>
          <w:szCs w:val="23"/>
        </w:rPr>
        <w:t>All in all, sustainable improvement needs to be approached in an integrated way where transformational and distributed leadership are integrated with strong governance, digital innovation, continuous quality improvement and active stakeholder involvement.</w:t>
      </w:r>
      <w:r>
        <w:rPr>
          <w:rFonts w:ascii="Geist Fallback" w:hAnsi="Geist Fallback"/>
          <w:sz w:val="23"/>
          <w:szCs w:val="23"/>
        </w:rPr>
        <w:t xml:space="preserve"> </w:t>
      </w:r>
      <w:r>
        <w:rPr>
          <w:rStyle w:val="cursor-pointer"/>
          <w:rFonts w:ascii="Geist Fallback" w:hAnsi="Geist Fallback"/>
          <w:sz w:val="23"/>
          <w:szCs w:val="23"/>
        </w:rPr>
        <w:t>By following these recommendations, the organisation would have a stronger communication and a better learning process, leading to the increased patient safety and a significant decrease in the risk of such incidents in the future.</w:t>
      </w:r>
    </w:p>
    <w:p w14:paraId="3C90C9D3" w14:textId="25CB20E7" w:rsidR="00265A0C" w:rsidRDefault="00265A0C" w:rsidP="00265A0C">
      <w:pPr>
        <w:pStyle w:val="Heading1"/>
      </w:pPr>
      <w:bookmarkStart w:id="5" w:name="_Toc237011242"/>
      <w:r>
        <w:t>Conclusion</w:t>
      </w:r>
      <w:bookmarkEnd w:id="5"/>
    </w:p>
    <w:p w14:paraId="4E446EB2" w14:textId="73727306" w:rsidR="00070B02" w:rsidRDefault="006A188B" w:rsidP="00DB64E0">
      <w:pPr>
        <w:rPr>
          <w:rStyle w:val="cursor-pointer"/>
          <w:rFonts w:ascii="Geist Fallback" w:hAnsi="Geist Fallback"/>
          <w:sz w:val="23"/>
          <w:szCs w:val="23"/>
        </w:rPr>
      </w:pPr>
      <w:r>
        <w:rPr>
          <w:rStyle w:val="cursor-pointer"/>
          <w:rFonts w:ascii="Geist Fallback" w:hAnsi="Geist Fallback"/>
          <w:sz w:val="23"/>
          <w:szCs w:val="23"/>
        </w:rPr>
        <w:t>This report has critically evaluated the wrong-patient surgery in Kota Medical College Hospital in the context of leadership theories, governance principles, system thinking and organisational analysis.</w:t>
      </w:r>
      <w:r>
        <w:rPr>
          <w:rFonts w:ascii="Geist Fallback" w:hAnsi="Geist Fallback"/>
          <w:sz w:val="23"/>
          <w:szCs w:val="23"/>
        </w:rPr>
        <w:t xml:space="preserve"> </w:t>
      </w:r>
      <w:r>
        <w:rPr>
          <w:rStyle w:val="cursor-pointer"/>
          <w:rFonts w:ascii="Geist Fallback" w:hAnsi="Geist Fallback"/>
          <w:sz w:val="23"/>
          <w:szCs w:val="23"/>
        </w:rPr>
        <w:t>The results showed that the event was caused by interwoven patient identification, communication, leadership/governance failures and not a single clinical error.</w:t>
      </w:r>
      <w:r>
        <w:rPr>
          <w:rFonts w:ascii="Geist Fallback" w:hAnsi="Geist Fallback"/>
          <w:sz w:val="23"/>
          <w:szCs w:val="23"/>
        </w:rPr>
        <w:t xml:space="preserve"> </w:t>
      </w:r>
      <w:r>
        <w:rPr>
          <w:rStyle w:val="cursor-pointer"/>
          <w:rFonts w:ascii="Geist Fallback" w:hAnsi="Geist Fallback"/>
          <w:sz w:val="23"/>
          <w:szCs w:val="23"/>
        </w:rPr>
        <w:t>The analysis also determined that an organisational structure mostly centralised, together with reactive leadership and ineffective system feedback were factors that led to the negative outcome.</w:t>
      </w:r>
      <w:r>
        <w:rPr>
          <w:rFonts w:ascii="Geist Fallback" w:hAnsi="Geist Fallback"/>
          <w:sz w:val="23"/>
          <w:szCs w:val="23"/>
        </w:rPr>
        <w:t xml:space="preserve"> </w:t>
      </w:r>
      <w:r>
        <w:rPr>
          <w:rStyle w:val="cursor-pointer"/>
          <w:rFonts w:ascii="Geist Fallback" w:hAnsi="Geist Fallback"/>
          <w:sz w:val="23"/>
          <w:szCs w:val="23"/>
        </w:rPr>
        <w:t>The implementation of transformational, distributed and emotionally intelligent leadership, along with the presence of more robust governance and the use of evidence-based quality improvement would go a long way in enhancing patient safety and organisational performance.</w:t>
      </w:r>
      <w:r>
        <w:rPr>
          <w:rFonts w:ascii="Geist Fallback" w:hAnsi="Geist Fallback"/>
          <w:sz w:val="23"/>
          <w:szCs w:val="23"/>
        </w:rPr>
        <w:t xml:space="preserve"> </w:t>
      </w:r>
      <w:r>
        <w:rPr>
          <w:rStyle w:val="cursor-pointer"/>
          <w:rFonts w:ascii="Geist Fallback" w:hAnsi="Geist Fallback"/>
          <w:sz w:val="23"/>
          <w:szCs w:val="23"/>
        </w:rPr>
        <w:t>In conclusion, this case illustrates that a sustainable change in healthcare requires the combination of effective leadership and governance and systems thinking with unrelenting learning, multidisciplinary collaboration and evidence-based decision-making.</w:t>
      </w:r>
      <w:r>
        <w:rPr>
          <w:rFonts w:ascii="Geist Fallback" w:hAnsi="Geist Fallback"/>
          <w:sz w:val="23"/>
          <w:szCs w:val="23"/>
        </w:rPr>
        <w:t xml:space="preserve"> </w:t>
      </w:r>
      <w:r>
        <w:rPr>
          <w:rStyle w:val="cursor-pointer"/>
          <w:rFonts w:ascii="Geist Fallback" w:hAnsi="Geist Fallback"/>
          <w:sz w:val="23"/>
          <w:szCs w:val="23"/>
        </w:rPr>
        <w:t>The principles help healthcare organisations to be more accountable, minimize harm that can be avoided and provide safer and high-quality patient-centred care.</w:t>
      </w:r>
    </w:p>
    <w:p w14:paraId="08B3975B" w14:textId="77777777" w:rsidR="00070B02" w:rsidRDefault="00070B02">
      <w:pPr>
        <w:spacing w:line="259" w:lineRule="auto"/>
        <w:jc w:val="left"/>
        <w:rPr>
          <w:rStyle w:val="cursor-pointer"/>
          <w:rFonts w:ascii="Geist Fallback" w:hAnsi="Geist Fallback"/>
          <w:sz w:val="23"/>
          <w:szCs w:val="23"/>
        </w:rPr>
      </w:pPr>
      <w:r>
        <w:rPr>
          <w:rStyle w:val="cursor-pointer"/>
          <w:rFonts w:ascii="Geist Fallback" w:hAnsi="Geist Fallback"/>
          <w:sz w:val="23"/>
          <w:szCs w:val="23"/>
        </w:rPr>
        <w:br w:type="page"/>
      </w:r>
    </w:p>
    <w:p w14:paraId="371E1293" w14:textId="77777777" w:rsidR="00070B02" w:rsidRDefault="00070B02" w:rsidP="00070B02">
      <w:pPr>
        <w:pStyle w:val="Heading1"/>
        <w:spacing w:before="0" w:beforeAutospacing="0" w:after="240" w:afterAutospacing="0" w:line="360" w:lineRule="auto"/>
        <w:rPr>
          <w:sz w:val="36"/>
          <w:szCs w:val="36"/>
        </w:rPr>
      </w:pPr>
      <w:bookmarkStart w:id="6" w:name="_Toc237011243"/>
      <w:r>
        <w:rPr>
          <w:sz w:val="36"/>
          <w:szCs w:val="36"/>
        </w:rPr>
        <w:t>Reference list</w:t>
      </w:r>
      <w:bookmarkEnd w:id="6"/>
    </w:p>
    <w:p w14:paraId="17BB718A" w14:textId="77777777" w:rsidR="00070B02" w:rsidRDefault="00070B02" w:rsidP="00070B02">
      <w:pPr>
        <w:pStyle w:val="NormalWeb"/>
        <w:spacing w:before="0" w:beforeAutospacing="0" w:after="240" w:afterAutospacing="0" w:line="360" w:lineRule="auto"/>
      </w:pPr>
      <w:proofErr w:type="spellStart"/>
      <w:r>
        <w:t>Abughazalah</w:t>
      </w:r>
      <w:proofErr w:type="spellEnd"/>
      <w:r>
        <w:t xml:space="preserve">, M., Alsaggaf, W., Saifuddin, S. and Sarhan, S. (2024). Centralized vs. decentralized cloud computing in healthcare. </w:t>
      </w:r>
      <w:r>
        <w:rPr>
          <w:i/>
          <w:iCs/>
        </w:rPr>
        <w:t>Applied Sciences</w:t>
      </w:r>
      <w:r>
        <w:t>, [online] 14(17), pp.7765–7765. doi:10.3390/app14177765.</w:t>
      </w:r>
    </w:p>
    <w:p w14:paraId="0CFF7056" w14:textId="77777777" w:rsidR="00070B02" w:rsidRDefault="00070B02" w:rsidP="00070B02">
      <w:pPr>
        <w:pStyle w:val="NormalWeb"/>
        <w:spacing w:before="0" w:beforeAutospacing="0" w:after="240" w:afterAutospacing="0" w:line="360" w:lineRule="auto"/>
      </w:pPr>
      <w:r>
        <w:t xml:space="preserve">AHISP. (2026a). [online] </w:t>
      </w:r>
      <w:r>
        <w:rPr>
          <w:i/>
          <w:iCs/>
        </w:rPr>
        <w:t>Kglmeridian.com</w:t>
      </w:r>
      <w:r>
        <w:t>. Available at: https://ahisp.kglmeridian.com/view/journals/phim/20/3/article-1b.xml [Accessed 7 Aug. 2026].</w:t>
      </w:r>
    </w:p>
    <w:p w14:paraId="3E85455F" w14:textId="77777777" w:rsidR="00070B02" w:rsidRDefault="00070B02" w:rsidP="00070B02">
      <w:pPr>
        <w:pStyle w:val="NormalWeb"/>
        <w:spacing w:before="0" w:beforeAutospacing="0" w:after="240" w:afterAutospacing="0" w:line="360" w:lineRule="auto"/>
      </w:pPr>
      <w:r>
        <w:t xml:space="preserve">Bradley, C., </w:t>
      </w:r>
      <w:proofErr w:type="spellStart"/>
      <w:r>
        <w:t>Sumethasorn</w:t>
      </w:r>
      <w:proofErr w:type="spellEnd"/>
      <w:r>
        <w:t xml:space="preserve">, M., Jin Sun Kim, Wang, S., Martinez, L., Chang, M., Lemus, L., </w:t>
      </w:r>
      <w:proofErr w:type="spellStart"/>
      <w:r>
        <w:t>Behrod</w:t>
      </w:r>
      <w:proofErr w:type="spellEnd"/>
      <w:r>
        <w:t xml:space="preserve"> </w:t>
      </w:r>
      <w:proofErr w:type="spellStart"/>
      <w:r>
        <w:t>Katebian</w:t>
      </w:r>
      <w:proofErr w:type="spellEnd"/>
      <w:r>
        <w:t xml:space="preserve">, Bruce, D., Lee, A., Baden, R., Yee, H. and Buxbaum, J. (2024). Plan-do-study-act (PDSA) interventions to improve real-world endoscopy unit productivity. </w:t>
      </w:r>
      <w:r>
        <w:rPr>
          <w:i/>
          <w:iCs/>
        </w:rPr>
        <w:t>Endoscopy International Open</w:t>
      </w:r>
      <w:r>
        <w:t>, 12(5). doi:10.1055/a-2290-0263.</w:t>
      </w:r>
    </w:p>
    <w:p w14:paraId="19C314D9" w14:textId="77777777" w:rsidR="00070B02" w:rsidRDefault="00070B02" w:rsidP="00070B02">
      <w:pPr>
        <w:pStyle w:val="NormalWeb"/>
        <w:spacing w:before="0" w:beforeAutospacing="0" w:after="240" w:afterAutospacing="0" w:line="360" w:lineRule="auto"/>
      </w:pPr>
      <w:r>
        <w:t xml:space="preserve">Chokshi, M., Patil, B., Khanna, R., </w:t>
      </w:r>
      <w:proofErr w:type="spellStart"/>
      <w:r>
        <w:t>Neogi</w:t>
      </w:r>
      <w:proofErr w:type="spellEnd"/>
      <w:r>
        <w:t xml:space="preserve">, S.B., Sharma, J., Paul, V.K. and </w:t>
      </w:r>
      <w:proofErr w:type="spellStart"/>
      <w:r>
        <w:t>Zodpey</w:t>
      </w:r>
      <w:proofErr w:type="spellEnd"/>
      <w:r>
        <w:t xml:space="preserve">, S. (2016). Health systems in India. </w:t>
      </w:r>
      <w:r>
        <w:rPr>
          <w:i/>
          <w:iCs/>
        </w:rPr>
        <w:t>Journal of Perinatology</w:t>
      </w:r>
      <w:r>
        <w:t>, [online] 36(S3), pp.S9-S12. doi:10.1038/jp.2016.184.</w:t>
      </w:r>
    </w:p>
    <w:p w14:paraId="6C03794F" w14:textId="77777777" w:rsidR="00070B02" w:rsidRDefault="00070B02" w:rsidP="00070B02">
      <w:pPr>
        <w:pStyle w:val="NormalWeb"/>
        <w:spacing w:before="0" w:beforeAutospacing="0" w:after="240" w:afterAutospacing="0" w:line="360" w:lineRule="auto"/>
      </w:pPr>
      <w:r>
        <w:t xml:space="preserve">Curado, C. and Santos, R. (2021). Transformational leadership and work performance in health care: The mediating role of job satisfaction. </w:t>
      </w:r>
      <w:r>
        <w:rPr>
          <w:i/>
          <w:iCs/>
        </w:rPr>
        <w:t>Leadership in Health Services</w:t>
      </w:r>
      <w:r>
        <w:t>, [online] 35(2), pp.160–173. doi:10.1108/lhs-06-2021-0051.</w:t>
      </w:r>
    </w:p>
    <w:p w14:paraId="5C51B98B" w14:textId="77777777" w:rsidR="00070B02" w:rsidRDefault="00070B02" w:rsidP="00070B02">
      <w:pPr>
        <w:pStyle w:val="NormalWeb"/>
        <w:spacing w:before="0" w:beforeAutospacing="0" w:after="240" w:afterAutospacing="0" w:line="360" w:lineRule="auto"/>
      </w:pPr>
      <w:r>
        <w:t xml:space="preserve">El-Hage, U. and </w:t>
      </w:r>
      <w:proofErr w:type="spellStart"/>
      <w:r>
        <w:t>Sidani</w:t>
      </w:r>
      <w:proofErr w:type="spellEnd"/>
      <w:r>
        <w:t xml:space="preserve">, D. (2023). An exploration of the role of transformational leadership in times of institutionalization of change. </w:t>
      </w:r>
      <w:r>
        <w:rPr>
          <w:i/>
          <w:iCs/>
        </w:rPr>
        <w:t>Tuning Journal for Higher Education</w:t>
      </w:r>
      <w:r>
        <w:t>, [online] 11(1), pp.175–195. doi:10.18543/tjhe.2130.</w:t>
      </w:r>
    </w:p>
    <w:p w14:paraId="4647EE6D" w14:textId="77777777" w:rsidR="00070B02" w:rsidRDefault="00070B02" w:rsidP="00070B02">
      <w:pPr>
        <w:pStyle w:val="NormalWeb"/>
        <w:spacing w:before="0" w:beforeAutospacing="0" w:after="240" w:afterAutospacing="0" w:line="360" w:lineRule="auto"/>
      </w:pPr>
      <w:r>
        <w:t xml:space="preserve">England, N. (2024). </w:t>
      </w:r>
      <w:r>
        <w:rPr>
          <w:i/>
          <w:iCs/>
        </w:rPr>
        <w:t xml:space="preserve">NHS England » provisional never events 2024/25 data: 1 April 2024 to 31 </w:t>
      </w:r>
      <w:proofErr w:type="spellStart"/>
      <w:r>
        <w:rPr>
          <w:i/>
          <w:iCs/>
        </w:rPr>
        <w:t>december</w:t>
      </w:r>
      <w:proofErr w:type="spellEnd"/>
      <w:r>
        <w:rPr>
          <w:i/>
          <w:iCs/>
        </w:rPr>
        <w:t xml:space="preserve"> 2024</w:t>
      </w:r>
      <w:r>
        <w:t xml:space="preserve">. [online] </w:t>
      </w:r>
      <w:r>
        <w:rPr>
          <w:i/>
          <w:iCs/>
        </w:rPr>
        <w:t>England.nhs.uk</w:t>
      </w:r>
      <w:r>
        <w:t>. Available at: https://www.england.nhs.uk/long-read/provisional-never-events-2024-25-data-1-april-2024-to-31-december-2024/ [Accessed 7 Aug. 2026].</w:t>
      </w:r>
    </w:p>
    <w:p w14:paraId="509298C6" w14:textId="77777777" w:rsidR="00070B02" w:rsidRDefault="00070B02" w:rsidP="00070B02">
      <w:pPr>
        <w:pStyle w:val="NormalWeb"/>
        <w:spacing w:before="0" w:beforeAutospacing="0" w:after="240" w:afterAutospacing="0" w:line="360" w:lineRule="auto"/>
      </w:pPr>
      <w:r>
        <w:t xml:space="preserve">England, N. (2025). </w:t>
      </w:r>
      <w:r>
        <w:rPr>
          <w:i/>
          <w:iCs/>
        </w:rPr>
        <w:t xml:space="preserve">NHS England » provisional publication of never events reported as occurring between </w:t>
      </w:r>
      <w:proofErr w:type="spellStart"/>
      <w:r>
        <w:rPr>
          <w:i/>
          <w:iCs/>
        </w:rPr>
        <w:t>april</w:t>
      </w:r>
      <w:proofErr w:type="spellEnd"/>
      <w:r>
        <w:rPr>
          <w:i/>
          <w:iCs/>
        </w:rPr>
        <w:t xml:space="preserve"> 2025 and march 2026</w:t>
      </w:r>
      <w:r>
        <w:t xml:space="preserve">. [online] </w:t>
      </w:r>
      <w:r>
        <w:rPr>
          <w:i/>
          <w:iCs/>
        </w:rPr>
        <w:t>England.nhs.uk</w:t>
      </w:r>
      <w:r>
        <w:t>. Available at: https://www.england.nhs.uk/long-read/provisional-publication-of-never-events-reported-as-occurring-between-april-2025-and-march-2026/ [Accessed 7 Aug. 2026].</w:t>
      </w:r>
    </w:p>
    <w:p w14:paraId="22FBC138" w14:textId="77777777" w:rsidR="00070B02" w:rsidRDefault="00070B02" w:rsidP="00070B02">
      <w:pPr>
        <w:pStyle w:val="NormalWeb"/>
        <w:spacing w:before="0" w:beforeAutospacing="0" w:after="240" w:afterAutospacing="0" w:line="360" w:lineRule="auto"/>
      </w:pPr>
      <w:r>
        <w:t xml:space="preserve">Google Books. (2026b). </w:t>
      </w:r>
      <w:r>
        <w:rPr>
          <w:i/>
          <w:iCs/>
        </w:rPr>
        <w:t xml:space="preserve">International </w:t>
      </w:r>
      <w:proofErr w:type="spellStart"/>
      <w:r>
        <w:rPr>
          <w:i/>
          <w:iCs/>
        </w:rPr>
        <w:t>encyclopedia</w:t>
      </w:r>
      <w:proofErr w:type="spellEnd"/>
      <w:r>
        <w:rPr>
          <w:i/>
          <w:iCs/>
        </w:rPr>
        <w:t xml:space="preserve"> of business management</w:t>
      </w:r>
      <w:r>
        <w:t>. [online] Available at: https://books.google.com/books?hl=en&amp;lr=&amp;id=NVwmEQAAQBAJ&amp;oi=fnd&amp;pg=PA112&amp;dq=Transformational+Leadership+Theory+is+the+theory+created+by+Burns+(1978)+and+Bass+(1985)+and+is+based+on+motivating+employees+with+the+help+of+the+common+vision&amp;ots=rma7vpk_BD&amp;sig=QMU2WcjdaPHGz1UFugNZRN5n3CQ [Accessed 7 Aug. 2026].</w:t>
      </w:r>
    </w:p>
    <w:p w14:paraId="2F303A4A" w14:textId="77777777" w:rsidR="00070B02" w:rsidRDefault="00070B02" w:rsidP="00070B02">
      <w:pPr>
        <w:pStyle w:val="NormalWeb"/>
        <w:spacing w:before="0" w:beforeAutospacing="0" w:after="240" w:afterAutospacing="0" w:line="360" w:lineRule="auto"/>
      </w:pPr>
      <w:proofErr w:type="spellStart"/>
      <w:r>
        <w:t>Hejazi</w:t>
      </w:r>
      <w:proofErr w:type="spellEnd"/>
      <w:r>
        <w:t xml:space="preserve">, M.E., </w:t>
      </w:r>
      <w:proofErr w:type="spellStart"/>
      <w:r>
        <w:t>Alizadeh-dizaj</w:t>
      </w:r>
      <w:proofErr w:type="spellEnd"/>
      <w:r>
        <w:t xml:space="preserve">, G., </w:t>
      </w:r>
      <w:proofErr w:type="spellStart"/>
      <w:r>
        <w:t>Khoshsirat</w:t>
      </w:r>
      <w:proofErr w:type="spellEnd"/>
      <w:r>
        <w:t xml:space="preserve">, S., Raoofi, S. and Javan Biparva, A. (2026). Exploring collaborative strategies to improve patient safety in healthcare organizations: A qualitative study. </w:t>
      </w:r>
      <w:r>
        <w:rPr>
          <w:i/>
          <w:iCs/>
        </w:rPr>
        <w:t>PLOS One</w:t>
      </w:r>
      <w:r>
        <w:t>, 21(1), p.e0341022. doi:10.1371/journal.pone.0341022.</w:t>
      </w:r>
    </w:p>
    <w:p w14:paraId="68390485" w14:textId="77777777" w:rsidR="00070B02" w:rsidRDefault="00070B02" w:rsidP="00070B02">
      <w:pPr>
        <w:pStyle w:val="NormalWeb"/>
        <w:spacing w:before="0" w:beforeAutospacing="0" w:after="240" w:afterAutospacing="0" w:line="360" w:lineRule="auto"/>
      </w:pPr>
      <w:r>
        <w:t xml:space="preserve">Howick, J., Weston, A.B., Solomon, J., Nockels, K., Bostock, J. and </w:t>
      </w:r>
      <w:proofErr w:type="spellStart"/>
      <w:r>
        <w:t>Keshtkar</w:t>
      </w:r>
      <w:proofErr w:type="spellEnd"/>
      <w:r>
        <w:t xml:space="preserve">, L. (2024). How does communication affect patient safety? Protocol for a systematic review and logic model. </w:t>
      </w:r>
      <w:r>
        <w:rPr>
          <w:i/>
          <w:iCs/>
        </w:rPr>
        <w:t>BMJ Open</w:t>
      </w:r>
      <w:r>
        <w:t xml:space="preserve">, [online] 14(5), pp.1–8. </w:t>
      </w:r>
      <w:proofErr w:type="spellStart"/>
      <w:r>
        <w:t>doi:https</w:t>
      </w:r>
      <w:proofErr w:type="spellEnd"/>
      <w:r>
        <w:t>://doi.org/10.1136/bmjopen-2024-085312.</w:t>
      </w:r>
    </w:p>
    <w:p w14:paraId="6E6F41C6" w14:textId="77777777" w:rsidR="00070B02" w:rsidRDefault="00070B02" w:rsidP="00070B02">
      <w:pPr>
        <w:pStyle w:val="NormalWeb"/>
        <w:spacing w:before="0" w:beforeAutospacing="0" w:after="240" w:afterAutospacing="0" w:line="360" w:lineRule="auto"/>
      </w:pPr>
      <w:r>
        <w:t xml:space="preserve">Hoxha, G., Simeli, I., Theocharis, D., Vasileiou, A., Vasileiou, A. and </w:t>
      </w:r>
      <w:proofErr w:type="spellStart"/>
      <w:r>
        <w:t>Tsekouropoulos</w:t>
      </w:r>
      <w:proofErr w:type="spellEnd"/>
      <w:r>
        <w:t xml:space="preserve">, G. (2024). Sustainable Healthcare Quality and job satisfaction through organizational culture: Approaches and outcomes. </w:t>
      </w:r>
      <w:r>
        <w:rPr>
          <w:i/>
          <w:iCs/>
        </w:rPr>
        <w:t>Sustainability</w:t>
      </w:r>
      <w:r>
        <w:t>, 16(9), pp.3603–3603. doi:10.3390/su16093603.</w:t>
      </w:r>
    </w:p>
    <w:p w14:paraId="3D3B3281" w14:textId="77777777" w:rsidR="00070B02" w:rsidRDefault="00070B02" w:rsidP="00070B02">
      <w:pPr>
        <w:pStyle w:val="NormalWeb"/>
        <w:spacing w:before="0" w:beforeAutospacing="0" w:after="240" w:afterAutospacing="0" w:line="360" w:lineRule="auto"/>
      </w:pPr>
      <w:proofErr w:type="spellStart"/>
      <w:r>
        <w:t>Marchito</w:t>
      </w:r>
      <w:proofErr w:type="spellEnd"/>
      <w:r>
        <w:t xml:space="preserve">, A.D.P., </w:t>
      </w:r>
      <w:proofErr w:type="spellStart"/>
      <w:r>
        <w:t>García</w:t>
      </w:r>
      <w:proofErr w:type="spellEnd"/>
      <w:r>
        <w:t xml:space="preserve">, A.G. and de, M. (2025). The Hersey and Blanchard’s situational leadership model revisited: Its role in sustainable organizational development. </w:t>
      </w:r>
      <w:r>
        <w:rPr>
          <w:i/>
          <w:iCs/>
        </w:rPr>
        <w:t>World</w:t>
      </w:r>
      <w:r>
        <w:t>, [online] 6(2), pp.63–63. Available at: https://www.mdpi.com/2673-4060/6/2/63 [Accessed 7 Aug. 2026].</w:t>
      </w:r>
    </w:p>
    <w:p w14:paraId="230D5628" w14:textId="77777777" w:rsidR="00070B02" w:rsidRDefault="00070B02" w:rsidP="00070B02">
      <w:pPr>
        <w:pStyle w:val="NormalWeb"/>
        <w:spacing w:before="0" w:beforeAutospacing="0" w:after="240" w:afterAutospacing="0" w:line="360" w:lineRule="auto"/>
      </w:pPr>
      <w:proofErr w:type="spellStart"/>
      <w:r>
        <w:t>Ohrling</w:t>
      </w:r>
      <w:proofErr w:type="spellEnd"/>
      <w:r>
        <w:t xml:space="preserve">, M. (2026). Having and eating the cake? The centralisation paradox in decentralised healthcare governance: A scoping review. </w:t>
      </w:r>
      <w:r>
        <w:rPr>
          <w:i/>
          <w:iCs/>
        </w:rPr>
        <w:t>BMC Health Services Research</w:t>
      </w:r>
      <w:r>
        <w:t>, 26(1). doi:10.1186/s12913-026-15162-1.</w:t>
      </w:r>
    </w:p>
    <w:p w14:paraId="51AF0775" w14:textId="77777777" w:rsidR="00070B02" w:rsidRDefault="00070B02" w:rsidP="00070B02">
      <w:pPr>
        <w:pStyle w:val="NormalWeb"/>
        <w:spacing w:before="0" w:beforeAutospacing="0" w:after="240" w:afterAutospacing="0" w:line="360" w:lineRule="auto"/>
      </w:pPr>
      <w:r>
        <w:t>Olabode, O. (2026). Emotional intelligence: A principle for guiding leadership-staff relationship. [online] Available at: https://msipublishers.com/wp-content/uploads/2025/09/MSIJESS082025-GS.pdf [Accessed 7 Aug. 2026].</w:t>
      </w:r>
    </w:p>
    <w:p w14:paraId="42BE05EB" w14:textId="77777777" w:rsidR="00070B02" w:rsidRDefault="00070B02" w:rsidP="00070B02">
      <w:pPr>
        <w:pStyle w:val="NormalWeb"/>
        <w:spacing w:before="0" w:beforeAutospacing="0" w:after="240" w:afterAutospacing="0" w:line="360" w:lineRule="auto"/>
      </w:pPr>
      <w:r>
        <w:t xml:space="preserve">Riplinger, L., Jiménez, J.P. and Dooling, J.P. (2020). Patient identification techniques – approaches, implications, and findings. </w:t>
      </w:r>
      <w:r>
        <w:rPr>
          <w:i/>
          <w:iCs/>
        </w:rPr>
        <w:t>Yearbook of Medical Informatics</w:t>
      </w:r>
      <w:r>
        <w:t>, [online] 29(1), pp.81–86. doi:10.1055/s-0040-1701984.</w:t>
      </w:r>
    </w:p>
    <w:p w14:paraId="0EF5F03A" w14:textId="77777777" w:rsidR="00070B02" w:rsidRDefault="00070B02" w:rsidP="00070B02">
      <w:pPr>
        <w:pStyle w:val="NormalWeb"/>
        <w:spacing w:before="0" w:beforeAutospacing="0" w:after="240" w:afterAutospacing="0" w:line="360" w:lineRule="auto"/>
      </w:pPr>
      <w:r>
        <w:t xml:space="preserve">SCMP’s Asia desk (2025). </w:t>
      </w:r>
      <w:r>
        <w:rPr>
          <w:i/>
          <w:iCs/>
        </w:rPr>
        <w:t>Indian hospital probed after man mistakenly operated on while waiting on son’s surgery</w:t>
      </w:r>
      <w:r>
        <w:t>. [online] South China Morning Post. Available at: https://www.scmp.com/week-asia/health-environment/article/3307457/indian-hospital-probed-after-man-mistakenly-operated-while-waiting-sons-surgery [Accessed 7 Aug. 2026].</w:t>
      </w:r>
    </w:p>
    <w:p w14:paraId="0C0D8B1C" w14:textId="77777777" w:rsidR="00070B02" w:rsidRDefault="00070B02" w:rsidP="00070B02">
      <w:pPr>
        <w:pStyle w:val="NormalWeb"/>
        <w:spacing w:before="0" w:beforeAutospacing="0" w:after="240" w:afterAutospacing="0" w:line="360" w:lineRule="auto"/>
      </w:pPr>
      <w:r>
        <w:t xml:space="preserve">South China morning post. (2025a). [online] </w:t>
      </w:r>
      <w:r>
        <w:rPr>
          <w:i/>
          <w:iCs/>
        </w:rPr>
        <w:t>South China Morning Post</w:t>
      </w:r>
      <w:r>
        <w:t>. Available at: https://www.scmp.com/week-asia/health-environment/article/3307457/indian-hospital-probed-after-man-mistakenly-operated-while-waiting-sons-surgery?utm_source=chatgpt.com [Accessed 7 Aug. 2026].</w:t>
      </w:r>
    </w:p>
    <w:p w14:paraId="7E9E60D3" w14:textId="77777777" w:rsidR="00070B02" w:rsidRDefault="00070B02" w:rsidP="00070B02">
      <w:pPr>
        <w:pStyle w:val="NormalWeb"/>
        <w:spacing w:before="0" w:beforeAutospacing="0" w:after="240" w:afterAutospacing="0" w:line="360" w:lineRule="auto"/>
      </w:pPr>
      <w:r>
        <w:t xml:space="preserve">Svensson, I. and von Knorring, M. (2025). Connecting distributed leadership and leadership-as-practice to increase understanding of leadership as distributed in healthcare practice. </w:t>
      </w:r>
      <w:r>
        <w:rPr>
          <w:i/>
          <w:iCs/>
        </w:rPr>
        <w:t>Journal of Change Management</w:t>
      </w:r>
      <w:r>
        <w:t>, 25(1), pp.1–20. doi:10.1080/14697017.2025.2453136.</w:t>
      </w:r>
    </w:p>
    <w:p w14:paraId="1CF56C93" w14:textId="77777777" w:rsidR="00070B02" w:rsidRDefault="00070B02" w:rsidP="00070B02">
      <w:pPr>
        <w:pStyle w:val="NormalWeb"/>
        <w:spacing w:before="0" w:beforeAutospacing="0" w:after="240" w:afterAutospacing="0" w:line="360" w:lineRule="auto"/>
      </w:pPr>
      <w:r>
        <w:t>Tdmu.edu.ua. (2025b). [online] Available at: https://ojs.tdmu.edu.ua/index.php/visnyk-gigieny/article/download/15347/14121/49029 [Accessed 7 Aug. 2026].</w:t>
      </w:r>
    </w:p>
    <w:p w14:paraId="0E5308DD" w14:textId="77777777" w:rsidR="00070B02" w:rsidRDefault="00070B02" w:rsidP="00070B02">
      <w:pPr>
        <w:pStyle w:val="NormalWeb"/>
        <w:spacing w:before="0" w:beforeAutospacing="0" w:after="240" w:afterAutospacing="0" w:line="360" w:lineRule="auto"/>
      </w:pPr>
      <w:r>
        <w:t xml:space="preserve">Umoh E., B. (2025). Navigating organizational structures: How formalization, complexity, and centralization affect adaptive performance in the workplace. </w:t>
      </w:r>
      <w:r>
        <w:rPr>
          <w:i/>
          <w:iCs/>
        </w:rPr>
        <w:t>SSRN Electronic Journal</w:t>
      </w:r>
      <w:r>
        <w:t>. doi:10.2139/ssrn.5249491.</w:t>
      </w:r>
    </w:p>
    <w:p w14:paraId="2287C860" w14:textId="77777777" w:rsidR="00070B02" w:rsidRDefault="00070B02" w:rsidP="00070B02">
      <w:pPr>
        <w:pStyle w:val="NormalWeb"/>
        <w:spacing w:before="0" w:beforeAutospacing="0" w:after="240" w:afterAutospacing="0" w:line="360" w:lineRule="auto"/>
      </w:pPr>
      <w:r>
        <w:t xml:space="preserve">World Health Organization (2023). </w:t>
      </w:r>
      <w:r>
        <w:rPr>
          <w:i/>
          <w:iCs/>
        </w:rPr>
        <w:t>Patient safety</w:t>
      </w:r>
      <w:r>
        <w:t xml:space="preserve">. [online] </w:t>
      </w:r>
      <w:r>
        <w:rPr>
          <w:i/>
          <w:iCs/>
        </w:rPr>
        <w:t>World Health Organization</w:t>
      </w:r>
      <w:r>
        <w:t>. Available at: https://www.who.int/news-room/fact-sheets/detail/patient-safety [Accessed 7 Aug. 2026].</w:t>
      </w:r>
    </w:p>
    <w:p w14:paraId="4E1EC64B" w14:textId="77777777" w:rsidR="00070B02" w:rsidRDefault="00070B02" w:rsidP="00070B02">
      <w:pPr>
        <w:pStyle w:val="NormalWeb"/>
        <w:spacing w:before="0" w:beforeAutospacing="0" w:after="240" w:afterAutospacing="0" w:line="360" w:lineRule="auto"/>
      </w:pPr>
      <w:proofErr w:type="spellStart"/>
      <w:r>
        <w:t>Wuryaningrat</w:t>
      </w:r>
      <w:proofErr w:type="spellEnd"/>
      <w:r>
        <w:t xml:space="preserve">, N.F., </w:t>
      </w:r>
      <w:proofErr w:type="spellStart"/>
      <w:r>
        <w:t>Hidayat</w:t>
      </w:r>
      <w:proofErr w:type="spellEnd"/>
      <w:r>
        <w:t xml:space="preserve">, N. and </w:t>
      </w:r>
      <w:proofErr w:type="spellStart"/>
      <w:r>
        <w:t>Kumajas</w:t>
      </w:r>
      <w:proofErr w:type="spellEnd"/>
      <w:r>
        <w:t xml:space="preserve">, M.L. (2024). The impact of transformational and transactional leadership on employee performance. </w:t>
      </w:r>
      <w:proofErr w:type="spellStart"/>
      <w:r>
        <w:rPr>
          <w:i/>
          <w:iCs/>
        </w:rPr>
        <w:t>Klabat</w:t>
      </w:r>
      <w:proofErr w:type="spellEnd"/>
      <w:r>
        <w:rPr>
          <w:i/>
          <w:iCs/>
        </w:rPr>
        <w:t xml:space="preserve"> Journal of Management</w:t>
      </w:r>
      <w:r>
        <w:t>, [online] 5(2), pp.103–113. doi:10.60090/kjm.v5i2.1116.103-113.</w:t>
      </w:r>
    </w:p>
    <w:p w14:paraId="7530FD4D" w14:textId="77777777" w:rsidR="00C000B3" w:rsidRDefault="00C000B3" w:rsidP="00DB64E0"/>
    <w:sectPr w:rsidR="00C000B3" w:rsidSect="00F426DF">
      <w:footerReference w:type="default" r:id="rId9"/>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6371DA" w14:textId="77777777" w:rsidR="000D3580" w:rsidRDefault="000D3580" w:rsidP="00F426DF">
      <w:pPr>
        <w:spacing w:after="0" w:line="240" w:lineRule="auto"/>
      </w:pPr>
      <w:r>
        <w:separator/>
      </w:r>
    </w:p>
  </w:endnote>
  <w:endnote w:type="continuationSeparator" w:id="0">
    <w:p w14:paraId="6EEF3A4D" w14:textId="77777777" w:rsidR="000D3580" w:rsidRDefault="000D3580" w:rsidP="00F426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Geist Fallback">
    <w:altName w:val="Cambria"/>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6022542"/>
      <w:docPartObj>
        <w:docPartGallery w:val="Page Numbers (Bottom of Page)"/>
        <w:docPartUnique/>
      </w:docPartObj>
    </w:sdtPr>
    <w:sdtEndPr>
      <w:rPr>
        <w:noProof/>
      </w:rPr>
    </w:sdtEndPr>
    <w:sdtContent>
      <w:p w14:paraId="4730A709" w14:textId="766331A8" w:rsidR="00F426DF" w:rsidRDefault="00F426D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30E4C0" w14:textId="77777777" w:rsidR="00F426DF" w:rsidRDefault="00F426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BD33A3" w14:textId="77777777" w:rsidR="000D3580" w:rsidRDefault="000D3580" w:rsidP="00F426DF">
      <w:pPr>
        <w:spacing w:after="0" w:line="240" w:lineRule="auto"/>
      </w:pPr>
      <w:r>
        <w:separator/>
      </w:r>
    </w:p>
  </w:footnote>
  <w:footnote w:type="continuationSeparator" w:id="0">
    <w:p w14:paraId="2274AAFA" w14:textId="77777777" w:rsidR="000D3580" w:rsidRDefault="000D3580" w:rsidP="00F426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5173CE"/>
    <w:multiLevelType w:val="hybridMultilevel"/>
    <w:tmpl w:val="56C8A888"/>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436483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5F2"/>
    <w:rsid w:val="00070B02"/>
    <w:rsid w:val="000773BB"/>
    <w:rsid w:val="000962FD"/>
    <w:rsid w:val="000D3580"/>
    <w:rsid w:val="00161E60"/>
    <w:rsid w:val="00183CB8"/>
    <w:rsid w:val="001D56A5"/>
    <w:rsid w:val="0021193B"/>
    <w:rsid w:val="00265A0C"/>
    <w:rsid w:val="00275E8B"/>
    <w:rsid w:val="002921E1"/>
    <w:rsid w:val="002A00F9"/>
    <w:rsid w:val="0031678F"/>
    <w:rsid w:val="00336C64"/>
    <w:rsid w:val="0038787F"/>
    <w:rsid w:val="003F798B"/>
    <w:rsid w:val="00426BE8"/>
    <w:rsid w:val="004469A1"/>
    <w:rsid w:val="0046500F"/>
    <w:rsid w:val="00474D90"/>
    <w:rsid w:val="004E35B9"/>
    <w:rsid w:val="005139B9"/>
    <w:rsid w:val="005E4D64"/>
    <w:rsid w:val="005F520E"/>
    <w:rsid w:val="00693316"/>
    <w:rsid w:val="006A188B"/>
    <w:rsid w:val="00711212"/>
    <w:rsid w:val="00732BCA"/>
    <w:rsid w:val="00744772"/>
    <w:rsid w:val="007C269F"/>
    <w:rsid w:val="007D20D0"/>
    <w:rsid w:val="008129FB"/>
    <w:rsid w:val="00820502"/>
    <w:rsid w:val="0087343A"/>
    <w:rsid w:val="008B01C4"/>
    <w:rsid w:val="008B6E89"/>
    <w:rsid w:val="008D09E9"/>
    <w:rsid w:val="00917536"/>
    <w:rsid w:val="009213BF"/>
    <w:rsid w:val="00930C94"/>
    <w:rsid w:val="00932E42"/>
    <w:rsid w:val="009458A1"/>
    <w:rsid w:val="00992B8D"/>
    <w:rsid w:val="009C0525"/>
    <w:rsid w:val="00A074AB"/>
    <w:rsid w:val="00A64A1C"/>
    <w:rsid w:val="00A80629"/>
    <w:rsid w:val="00AD6DD0"/>
    <w:rsid w:val="00AF75F7"/>
    <w:rsid w:val="00B127BE"/>
    <w:rsid w:val="00B36D84"/>
    <w:rsid w:val="00B448BB"/>
    <w:rsid w:val="00B50FF4"/>
    <w:rsid w:val="00B52E92"/>
    <w:rsid w:val="00B73C76"/>
    <w:rsid w:val="00BA0723"/>
    <w:rsid w:val="00C000B3"/>
    <w:rsid w:val="00C215F2"/>
    <w:rsid w:val="00C642BC"/>
    <w:rsid w:val="00CF2408"/>
    <w:rsid w:val="00CF346E"/>
    <w:rsid w:val="00D0320E"/>
    <w:rsid w:val="00D119AA"/>
    <w:rsid w:val="00D4783F"/>
    <w:rsid w:val="00DA1EC8"/>
    <w:rsid w:val="00DB64E0"/>
    <w:rsid w:val="00DE72A1"/>
    <w:rsid w:val="00DE7709"/>
    <w:rsid w:val="00E708D8"/>
    <w:rsid w:val="00EE1C9B"/>
    <w:rsid w:val="00F3365B"/>
    <w:rsid w:val="00F426DF"/>
    <w:rsid w:val="00F47F4D"/>
    <w:rsid w:val="00F676E1"/>
    <w:rsid w:val="00FD39E5"/>
    <w:rsid w:val="00FE597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C5361"/>
  <w15:chartTrackingRefBased/>
  <w15:docId w15:val="{E812599F-E878-41A0-94AA-0DDB6D60C7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365B"/>
    <w:pPr>
      <w:spacing w:line="360" w:lineRule="auto"/>
      <w:jc w:val="both"/>
    </w:pPr>
    <w:rPr>
      <w:rFonts w:ascii="Times New Roman" w:hAnsi="Times New Roman"/>
      <w:sz w:val="24"/>
    </w:rPr>
  </w:style>
  <w:style w:type="paragraph" w:styleId="Heading1">
    <w:name w:val="heading 1"/>
    <w:basedOn w:val="Normal"/>
    <w:link w:val="Heading1Char"/>
    <w:uiPriority w:val="9"/>
    <w:qFormat/>
    <w:rsid w:val="00C642BC"/>
    <w:pPr>
      <w:spacing w:before="100" w:beforeAutospacing="1" w:after="100" w:afterAutospacing="1" w:line="240" w:lineRule="auto"/>
      <w:outlineLvl w:val="0"/>
    </w:pPr>
    <w:rPr>
      <w:rFonts w:eastAsia="Times New Roman" w:cs="Times New Roman"/>
      <w:b/>
      <w:bCs/>
      <w:kern w:val="36"/>
      <w:sz w:val="48"/>
      <w:szCs w:val="48"/>
      <w:lang w:eastAsia="en-IN"/>
    </w:rPr>
  </w:style>
  <w:style w:type="paragraph" w:styleId="Heading2">
    <w:name w:val="heading 2"/>
    <w:basedOn w:val="Normal"/>
    <w:next w:val="Normal"/>
    <w:link w:val="Heading2Char"/>
    <w:uiPriority w:val="9"/>
    <w:semiHidden/>
    <w:unhideWhenUsed/>
    <w:qFormat/>
    <w:rsid w:val="00161E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20502"/>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26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26DF"/>
  </w:style>
  <w:style w:type="paragraph" w:styleId="Footer">
    <w:name w:val="footer"/>
    <w:basedOn w:val="Normal"/>
    <w:link w:val="FooterChar"/>
    <w:uiPriority w:val="99"/>
    <w:unhideWhenUsed/>
    <w:rsid w:val="00F426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26DF"/>
  </w:style>
  <w:style w:type="character" w:customStyle="1" w:styleId="Heading1Char">
    <w:name w:val="Heading 1 Char"/>
    <w:basedOn w:val="DefaultParagraphFont"/>
    <w:link w:val="Heading1"/>
    <w:uiPriority w:val="9"/>
    <w:rsid w:val="00C642BC"/>
    <w:rPr>
      <w:rFonts w:ascii="Times New Roman" w:eastAsia="Times New Roman" w:hAnsi="Times New Roman" w:cs="Times New Roman"/>
      <w:b/>
      <w:bCs/>
      <w:kern w:val="36"/>
      <w:sz w:val="48"/>
      <w:szCs w:val="48"/>
      <w:lang w:eastAsia="en-IN"/>
    </w:rPr>
  </w:style>
  <w:style w:type="paragraph" w:styleId="NormalWeb">
    <w:name w:val="Normal (Web)"/>
    <w:basedOn w:val="Normal"/>
    <w:uiPriority w:val="99"/>
    <w:unhideWhenUsed/>
    <w:rsid w:val="00C642BC"/>
    <w:pPr>
      <w:spacing w:before="100" w:beforeAutospacing="1" w:after="100" w:afterAutospacing="1" w:line="240" w:lineRule="auto"/>
    </w:pPr>
    <w:rPr>
      <w:rFonts w:eastAsia="Times New Roman" w:cs="Times New Roman"/>
      <w:szCs w:val="24"/>
      <w:lang w:eastAsia="en-IN"/>
    </w:rPr>
  </w:style>
  <w:style w:type="paragraph" w:styleId="ListParagraph">
    <w:name w:val="List Paragraph"/>
    <w:basedOn w:val="Normal"/>
    <w:uiPriority w:val="34"/>
    <w:qFormat/>
    <w:rsid w:val="00930C94"/>
    <w:pPr>
      <w:ind w:left="720"/>
      <w:contextualSpacing/>
    </w:pPr>
  </w:style>
  <w:style w:type="paragraph" w:customStyle="1" w:styleId="isselectedend">
    <w:name w:val="isselectedend"/>
    <w:basedOn w:val="Normal"/>
    <w:rsid w:val="00DB64E0"/>
    <w:pPr>
      <w:spacing w:before="100" w:beforeAutospacing="1" w:after="100" w:afterAutospacing="1" w:line="240" w:lineRule="auto"/>
    </w:pPr>
    <w:rPr>
      <w:rFonts w:eastAsia="Times New Roman" w:cs="Times New Roman"/>
      <w:szCs w:val="24"/>
      <w:lang w:eastAsia="en-IN"/>
    </w:rPr>
  </w:style>
  <w:style w:type="character" w:styleId="Strong">
    <w:name w:val="Strong"/>
    <w:basedOn w:val="DefaultParagraphFont"/>
    <w:uiPriority w:val="22"/>
    <w:qFormat/>
    <w:rsid w:val="00DB64E0"/>
    <w:rPr>
      <w:b/>
      <w:bCs/>
    </w:rPr>
  </w:style>
  <w:style w:type="character" w:customStyle="1" w:styleId="Heading3Char">
    <w:name w:val="Heading 3 Char"/>
    <w:basedOn w:val="DefaultParagraphFont"/>
    <w:link w:val="Heading3"/>
    <w:uiPriority w:val="9"/>
    <w:semiHidden/>
    <w:rsid w:val="00820502"/>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161E60"/>
    <w:rPr>
      <w:rFonts w:asciiTheme="majorHAnsi" w:eastAsiaTheme="majorEastAsia" w:hAnsiTheme="majorHAnsi" w:cstheme="majorBidi"/>
      <w:color w:val="2F5496" w:themeColor="accent1" w:themeShade="BF"/>
      <w:sz w:val="26"/>
      <w:szCs w:val="26"/>
    </w:rPr>
  </w:style>
  <w:style w:type="character" w:customStyle="1" w:styleId="cursor-pointer">
    <w:name w:val="cursor-pointer"/>
    <w:basedOn w:val="DefaultParagraphFont"/>
    <w:rsid w:val="006A188B"/>
  </w:style>
  <w:style w:type="paragraph" w:styleId="TOCHeading">
    <w:name w:val="TOC Heading"/>
    <w:basedOn w:val="Heading1"/>
    <w:next w:val="Normal"/>
    <w:uiPriority w:val="39"/>
    <w:unhideWhenUsed/>
    <w:qFormat/>
    <w:rsid w:val="00B52E92"/>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B52E92"/>
    <w:pPr>
      <w:spacing w:after="100"/>
    </w:pPr>
  </w:style>
  <w:style w:type="paragraph" w:styleId="TOC2">
    <w:name w:val="toc 2"/>
    <w:basedOn w:val="Normal"/>
    <w:next w:val="Normal"/>
    <w:autoRedefine/>
    <w:uiPriority w:val="39"/>
    <w:unhideWhenUsed/>
    <w:rsid w:val="00B52E92"/>
    <w:pPr>
      <w:spacing w:after="100"/>
      <w:ind w:left="240"/>
    </w:pPr>
  </w:style>
  <w:style w:type="character" w:styleId="Hyperlink">
    <w:name w:val="Hyperlink"/>
    <w:basedOn w:val="DefaultParagraphFont"/>
    <w:uiPriority w:val="99"/>
    <w:unhideWhenUsed/>
    <w:rsid w:val="00B52E9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068030">
      <w:bodyDiv w:val="1"/>
      <w:marLeft w:val="0"/>
      <w:marRight w:val="0"/>
      <w:marTop w:val="0"/>
      <w:marBottom w:val="0"/>
      <w:divBdr>
        <w:top w:val="none" w:sz="0" w:space="0" w:color="auto"/>
        <w:left w:val="none" w:sz="0" w:space="0" w:color="auto"/>
        <w:bottom w:val="none" w:sz="0" w:space="0" w:color="auto"/>
        <w:right w:val="none" w:sz="0" w:space="0" w:color="auto"/>
      </w:divBdr>
    </w:div>
    <w:div w:id="109201596">
      <w:bodyDiv w:val="1"/>
      <w:marLeft w:val="0"/>
      <w:marRight w:val="0"/>
      <w:marTop w:val="0"/>
      <w:marBottom w:val="0"/>
      <w:divBdr>
        <w:top w:val="none" w:sz="0" w:space="0" w:color="auto"/>
        <w:left w:val="none" w:sz="0" w:space="0" w:color="auto"/>
        <w:bottom w:val="none" w:sz="0" w:space="0" w:color="auto"/>
        <w:right w:val="none" w:sz="0" w:space="0" w:color="auto"/>
      </w:divBdr>
    </w:div>
    <w:div w:id="271136258">
      <w:bodyDiv w:val="1"/>
      <w:marLeft w:val="0"/>
      <w:marRight w:val="0"/>
      <w:marTop w:val="0"/>
      <w:marBottom w:val="0"/>
      <w:divBdr>
        <w:top w:val="none" w:sz="0" w:space="0" w:color="auto"/>
        <w:left w:val="none" w:sz="0" w:space="0" w:color="auto"/>
        <w:bottom w:val="none" w:sz="0" w:space="0" w:color="auto"/>
        <w:right w:val="none" w:sz="0" w:space="0" w:color="auto"/>
      </w:divBdr>
    </w:div>
    <w:div w:id="284967465">
      <w:bodyDiv w:val="1"/>
      <w:marLeft w:val="0"/>
      <w:marRight w:val="0"/>
      <w:marTop w:val="0"/>
      <w:marBottom w:val="0"/>
      <w:divBdr>
        <w:top w:val="none" w:sz="0" w:space="0" w:color="auto"/>
        <w:left w:val="none" w:sz="0" w:space="0" w:color="auto"/>
        <w:bottom w:val="none" w:sz="0" w:space="0" w:color="auto"/>
        <w:right w:val="none" w:sz="0" w:space="0" w:color="auto"/>
      </w:divBdr>
    </w:div>
    <w:div w:id="331294612">
      <w:bodyDiv w:val="1"/>
      <w:marLeft w:val="0"/>
      <w:marRight w:val="0"/>
      <w:marTop w:val="0"/>
      <w:marBottom w:val="0"/>
      <w:divBdr>
        <w:top w:val="none" w:sz="0" w:space="0" w:color="auto"/>
        <w:left w:val="none" w:sz="0" w:space="0" w:color="auto"/>
        <w:bottom w:val="none" w:sz="0" w:space="0" w:color="auto"/>
        <w:right w:val="none" w:sz="0" w:space="0" w:color="auto"/>
      </w:divBdr>
    </w:div>
    <w:div w:id="463432074">
      <w:bodyDiv w:val="1"/>
      <w:marLeft w:val="0"/>
      <w:marRight w:val="0"/>
      <w:marTop w:val="0"/>
      <w:marBottom w:val="0"/>
      <w:divBdr>
        <w:top w:val="none" w:sz="0" w:space="0" w:color="auto"/>
        <w:left w:val="none" w:sz="0" w:space="0" w:color="auto"/>
        <w:bottom w:val="none" w:sz="0" w:space="0" w:color="auto"/>
        <w:right w:val="none" w:sz="0" w:space="0" w:color="auto"/>
      </w:divBdr>
    </w:div>
    <w:div w:id="465053029">
      <w:bodyDiv w:val="1"/>
      <w:marLeft w:val="0"/>
      <w:marRight w:val="0"/>
      <w:marTop w:val="0"/>
      <w:marBottom w:val="0"/>
      <w:divBdr>
        <w:top w:val="none" w:sz="0" w:space="0" w:color="auto"/>
        <w:left w:val="none" w:sz="0" w:space="0" w:color="auto"/>
        <w:bottom w:val="none" w:sz="0" w:space="0" w:color="auto"/>
        <w:right w:val="none" w:sz="0" w:space="0" w:color="auto"/>
      </w:divBdr>
    </w:div>
    <w:div w:id="546645718">
      <w:bodyDiv w:val="1"/>
      <w:marLeft w:val="0"/>
      <w:marRight w:val="0"/>
      <w:marTop w:val="0"/>
      <w:marBottom w:val="0"/>
      <w:divBdr>
        <w:top w:val="none" w:sz="0" w:space="0" w:color="auto"/>
        <w:left w:val="none" w:sz="0" w:space="0" w:color="auto"/>
        <w:bottom w:val="none" w:sz="0" w:space="0" w:color="auto"/>
        <w:right w:val="none" w:sz="0" w:space="0" w:color="auto"/>
      </w:divBdr>
    </w:div>
    <w:div w:id="563419552">
      <w:bodyDiv w:val="1"/>
      <w:marLeft w:val="0"/>
      <w:marRight w:val="0"/>
      <w:marTop w:val="0"/>
      <w:marBottom w:val="0"/>
      <w:divBdr>
        <w:top w:val="none" w:sz="0" w:space="0" w:color="auto"/>
        <w:left w:val="none" w:sz="0" w:space="0" w:color="auto"/>
        <w:bottom w:val="none" w:sz="0" w:space="0" w:color="auto"/>
        <w:right w:val="none" w:sz="0" w:space="0" w:color="auto"/>
      </w:divBdr>
    </w:div>
    <w:div w:id="612592416">
      <w:bodyDiv w:val="1"/>
      <w:marLeft w:val="0"/>
      <w:marRight w:val="0"/>
      <w:marTop w:val="0"/>
      <w:marBottom w:val="0"/>
      <w:divBdr>
        <w:top w:val="none" w:sz="0" w:space="0" w:color="auto"/>
        <w:left w:val="none" w:sz="0" w:space="0" w:color="auto"/>
        <w:bottom w:val="none" w:sz="0" w:space="0" w:color="auto"/>
        <w:right w:val="none" w:sz="0" w:space="0" w:color="auto"/>
      </w:divBdr>
    </w:div>
    <w:div w:id="747965784">
      <w:bodyDiv w:val="1"/>
      <w:marLeft w:val="0"/>
      <w:marRight w:val="0"/>
      <w:marTop w:val="0"/>
      <w:marBottom w:val="0"/>
      <w:divBdr>
        <w:top w:val="none" w:sz="0" w:space="0" w:color="auto"/>
        <w:left w:val="none" w:sz="0" w:space="0" w:color="auto"/>
        <w:bottom w:val="none" w:sz="0" w:space="0" w:color="auto"/>
        <w:right w:val="none" w:sz="0" w:space="0" w:color="auto"/>
      </w:divBdr>
    </w:div>
    <w:div w:id="795296143">
      <w:bodyDiv w:val="1"/>
      <w:marLeft w:val="0"/>
      <w:marRight w:val="0"/>
      <w:marTop w:val="0"/>
      <w:marBottom w:val="0"/>
      <w:divBdr>
        <w:top w:val="none" w:sz="0" w:space="0" w:color="auto"/>
        <w:left w:val="none" w:sz="0" w:space="0" w:color="auto"/>
        <w:bottom w:val="none" w:sz="0" w:space="0" w:color="auto"/>
        <w:right w:val="none" w:sz="0" w:space="0" w:color="auto"/>
      </w:divBdr>
    </w:div>
    <w:div w:id="847132739">
      <w:bodyDiv w:val="1"/>
      <w:marLeft w:val="0"/>
      <w:marRight w:val="0"/>
      <w:marTop w:val="0"/>
      <w:marBottom w:val="0"/>
      <w:divBdr>
        <w:top w:val="none" w:sz="0" w:space="0" w:color="auto"/>
        <w:left w:val="none" w:sz="0" w:space="0" w:color="auto"/>
        <w:bottom w:val="none" w:sz="0" w:space="0" w:color="auto"/>
        <w:right w:val="none" w:sz="0" w:space="0" w:color="auto"/>
      </w:divBdr>
    </w:div>
    <w:div w:id="864901868">
      <w:bodyDiv w:val="1"/>
      <w:marLeft w:val="0"/>
      <w:marRight w:val="0"/>
      <w:marTop w:val="0"/>
      <w:marBottom w:val="0"/>
      <w:divBdr>
        <w:top w:val="none" w:sz="0" w:space="0" w:color="auto"/>
        <w:left w:val="none" w:sz="0" w:space="0" w:color="auto"/>
        <w:bottom w:val="none" w:sz="0" w:space="0" w:color="auto"/>
        <w:right w:val="none" w:sz="0" w:space="0" w:color="auto"/>
      </w:divBdr>
    </w:div>
    <w:div w:id="874393740">
      <w:bodyDiv w:val="1"/>
      <w:marLeft w:val="0"/>
      <w:marRight w:val="0"/>
      <w:marTop w:val="0"/>
      <w:marBottom w:val="0"/>
      <w:divBdr>
        <w:top w:val="none" w:sz="0" w:space="0" w:color="auto"/>
        <w:left w:val="none" w:sz="0" w:space="0" w:color="auto"/>
        <w:bottom w:val="none" w:sz="0" w:space="0" w:color="auto"/>
        <w:right w:val="none" w:sz="0" w:space="0" w:color="auto"/>
      </w:divBdr>
    </w:div>
    <w:div w:id="880442116">
      <w:bodyDiv w:val="1"/>
      <w:marLeft w:val="0"/>
      <w:marRight w:val="0"/>
      <w:marTop w:val="0"/>
      <w:marBottom w:val="0"/>
      <w:divBdr>
        <w:top w:val="none" w:sz="0" w:space="0" w:color="auto"/>
        <w:left w:val="none" w:sz="0" w:space="0" w:color="auto"/>
        <w:bottom w:val="none" w:sz="0" w:space="0" w:color="auto"/>
        <w:right w:val="none" w:sz="0" w:space="0" w:color="auto"/>
      </w:divBdr>
    </w:div>
    <w:div w:id="893737497">
      <w:bodyDiv w:val="1"/>
      <w:marLeft w:val="0"/>
      <w:marRight w:val="0"/>
      <w:marTop w:val="0"/>
      <w:marBottom w:val="0"/>
      <w:divBdr>
        <w:top w:val="none" w:sz="0" w:space="0" w:color="auto"/>
        <w:left w:val="none" w:sz="0" w:space="0" w:color="auto"/>
        <w:bottom w:val="none" w:sz="0" w:space="0" w:color="auto"/>
        <w:right w:val="none" w:sz="0" w:space="0" w:color="auto"/>
      </w:divBdr>
    </w:div>
    <w:div w:id="942617817">
      <w:bodyDiv w:val="1"/>
      <w:marLeft w:val="0"/>
      <w:marRight w:val="0"/>
      <w:marTop w:val="0"/>
      <w:marBottom w:val="0"/>
      <w:divBdr>
        <w:top w:val="none" w:sz="0" w:space="0" w:color="auto"/>
        <w:left w:val="none" w:sz="0" w:space="0" w:color="auto"/>
        <w:bottom w:val="none" w:sz="0" w:space="0" w:color="auto"/>
        <w:right w:val="none" w:sz="0" w:space="0" w:color="auto"/>
      </w:divBdr>
    </w:div>
    <w:div w:id="965115742">
      <w:bodyDiv w:val="1"/>
      <w:marLeft w:val="0"/>
      <w:marRight w:val="0"/>
      <w:marTop w:val="0"/>
      <w:marBottom w:val="0"/>
      <w:divBdr>
        <w:top w:val="none" w:sz="0" w:space="0" w:color="auto"/>
        <w:left w:val="none" w:sz="0" w:space="0" w:color="auto"/>
        <w:bottom w:val="none" w:sz="0" w:space="0" w:color="auto"/>
        <w:right w:val="none" w:sz="0" w:space="0" w:color="auto"/>
      </w:divBdr>
    </w:div>
    <w:div w:id="1034618295">
      <w:bodyDiv w:val="1"/>
      <w:marLeft w:val="0"/>
      <w:marRight w:val="0"/>
      <w:marTop w:val="0"/>
      <w:marBottom w:val="0"/>
      <w:divBdr>
        <w:top w:val="none" w:sz="0" w:space="0" w:color="auto"/>
        <w:left w:val="none" w:sz="0" w:space="0" w:color="auto"/>
        <w:bottom w:val="none" w:sz="0" w:space="0" w:color="auto"/>
        <w:right w:val="none" w:sz="0" w:space="0" w:color="auto"/>
      </w:divBdr>
    </w:div>
    <w:div w:id="1123815796">
      <w:bodyDiv w:val="1"/>
      <w:marLeft w:val="0"/>
      <w:marRight w:val="0"/>
      <w:marTop w:val="0"/>
      <w:marBottom w:val="0"/>
      <w:divBdr>
        <w:top w:val="none" w:sz="0" w:space="0" w:color="auto"/>
        <w:left w:val="none" w:sz="0" w:space="0" w:color="auto"/>
        <w:bottom w:val="none" w:sz="0" w:space="0" w:color="auto"/>
        <w:right w:val="none" w:sz="0" w:space="0" w:color="auto"/>
      </w:divBdr>
    </w:div>
    <w:div w:id="1248997237">
      <w:bodyDiv w:val="1"/>
      <w:marLeft w:val="0"/>
      <w:marRight w:val="0"/>
      <w:marTop w:val="0"/>
      <w:marBottom w:val="0"/>
      <w:divBdr>
        <w:top w:val="none" w:sz="0" w:space="0" w:color="auto"/>
        <w:left w:val="none" w:sz="0" w:space="0" w:color="auto"/>
        <w:bottom w:val="none" w:sz="0" w:space="0" w:color="auto"/>
        <w:right w:val="none" w:sz="0" w:space="0" w:color="auto"/>
      </w:divBdr>
    </w:div>
    <w:div w:id="1399010166">
      <w:bodyDiv w:val="1"/>
      <w:marLeft w:val="0"/>
      <w:marRight w:val="0"/>
      <w:marTop w:val="0"/>
      <w:marBottom w:val="0"/>
      <w:divBdr>
        <w:top w:val="none" w:sz="0" w:space="0" w:color="auto"/>
        <w:left w:val="none" w:sz="0" w:space="0" w:color="auto"/>
        <w:bottom w:val="none" w:sz="0" w:space="0" w:color="auto"/>
        <w:right w:val="none" w:sz="0" w:space="0" w:color="auto"/>
      </w:divBdr>
    </w:div>
    <w:div w:id="1512993424">
      <w:bodyDiv w:val="1"/>
      <w:marLeft w:val="0"/>
      <w:marRight w:val="0"/>
      <w:marTop w:val="0"/>
      <w:marBottom w:val="0"/>
      <w:divBdr>
        <w:top w:val="none" w:sz="0" w:space="0" w:color="auto"/>
        <w:left w:val="none" w:sz="0" w:space="0" w:color="auto"/>
        <w:bottom w:val="none" w:sz="0" w:space="0" w:color="auto"/>
        <w:right w:val="none" w:sz="0" w:space="0" w:color="auto"/>
      </w:divBdr>
    </w:div>
    <w:div w:id="1561401997">
      <w:bodyDiv w:val="1"/>
      <w:marLeft w:val="0"/>
      <w:marRight w:val="0"/>
      <w:marTop w:val="0"/>
      <w:marBottom w:val="0"/>
      <w:divBdr>
        <w:top w:val="none" w:sz="0" w:space="0" w:color="auto"/>
        <w:left w:val="none" w:sz="0" w:space="0" w:color="auto"/>
        <w:bottom w:val="none" w:sz="0" w:space="0" w:color="auto"/>
        <w:right w:val="none" w:sz="0" w:space="0" w:color="auto"/>
      </w:divBdr>
    </w:div>
    <w:div w:id="1659992783">
      <w:bodyDiv w:val="1"/>
      <w:marLeft w:val="0"/>
      <w:marRight w:val="0"/>
      <w:marTop w:val="0"/>
      <w:marBottom w:val="0"/>
      <w:divBdr>
        <w:top w:val="none" w:sz="0" w:space="0" w:color="auto"/>
        <w:left w:val="none" w:sz="0" w:space="0" w:color="auto"/>
        <w:bottom w:val="none" w:sz="0" w:space="0" w:color="auto"/>
        <w:right w:val="none" w:sz="0" w:space="0" w:color="auto"/>
      </w:divBdr>
    </w:div>
    <w:div w:id="1681161304">
      <w:bodyDiv w:val="1"/>
      <w:marLeft w:val="0"/>
      <w:marRight w:val="0"/>
      <w:marTop w:val="0"/>
      <w:marBottom w:val="0"/>
      <w:divBdr>
        <w:top w:val="none" w:sz="0" w:space="0" w:color="auto"/>
        <w:left w:val="none" w:sz="0" w:space="0" w:color="auto"/>
        <w:bottom w:val="none" w:sz="0" w:space="0" w:color="auto"/>
        <w:right w:val="none" w:sz="0" w:space="0" w:color="auto"/>
      </w:divBdr>
    </w:div>
    <w:div w:id="1767069799">
      <w:bodyDiv w:val="1"/>
      <w:marLeft w:val="0"/>
      <w:marRight w:val="0"/>
      <w:marTop w:val="0"/>
      <w:marBottom w:val="0"/>
      <w:divBdr>
        <w:top w:val="none" w:sz="0" w:space="0" w:color="auto"/>
        <w:left w:val="none" w:sz="0" w:space="0" w:color="auto"/>
        <w:bottom w:val="none" w:sz="0" w:space="0" w:color="auto"/>
        <w:right w:val="none" w:sz="0" w:space="0" w:color="auto"/>
      </w:divBdr>
    </w:div>
    <w:div w:id="1898474675">
      <w:bodyDiv w:val="1"/>
      <w:marLeft w:val="0"/>
      <w:marRight w:val="0"/>
      <w:marTop w:val="0"/>
      <w:marBottom w:val="0"/>
      <w:divBdr>
        <w:top w:val="none" w:sz="0" w:space="0" w:color="auto"/>
        <w:left w:val="none" w:sz="0" w:space="0" w:color="auto"/>
        <w:bottom w:val="none" w:sz="0" w:space="0" w:color="auto"/>
        <w:right w:val="none" w:sz="0" w:space="0" w:color="auto"/>
      </w:divBdr>
    </w:div>
    <w:div w:id="1908222495">
      <w:bodyDiv w:val="1"/>
      <w:marLeft w:val="0"/>
      <w:marRight w:val="0"/>
      <w:marTop w:val="0"/>
      <w:marBottom w:val="0"/>
      <w:divBdr>
        <w:top w:val="none" w:sz="0" w:space="0" w:color="auto"/>
        <w:left w:val="none" w:sz="0" w:space="0" w:color="auto"/>
        <w:bottom w:val="none" w:sz="0" w:space="0" w:color="auto"/>
        <w:right w:val="none" w:sz="0" w:space="0" w:color="auto"/>
      </w:divBdr>
    </w:div>
    <w:div w:id="1975866843">
      <w:bodyDiv w:val="1"/>
      <w:marLeft w:val="0"/>
      <w:marRight w:val="0"/>
      <w:marTop w:val="0"/>
      <w:marBottom w:val="0"/>
      <w:divBdr>
        <w:top w:val="none" w:sz="0" w:space="0" w:color="auto"/>
        <w:left w:val="none" w:sz="0" w:space="0" w:color="auto"/>
        <w:bottom w:val="none" w:sz="0" w:space="0" w:color="auto"/>
        <w:right w:val="none" w:sz="0" w:space="0" w:color="auto"/>
      </w:divBdr>
    </w:div>
    <w:div w:id="2001497468">
      <w:bodyDiv w:val="1"/>
      <w:marLeft w:val="0"/>
      <w:marRight w:val="0"/>
      <w:marTop w:val="0"/>
      <w:marBottom w:val="0"/>
      <w:divBdr>
        <w:top w:val="none" w:sz="0" w:space="0" w:color="auto"/>
        <w:left w:val="none" w:sz="0" w:space="0" w:color="auto"/>
        <w:bottom w:val="none" w:sz="0" w:space="0" w:color="auto"/>
        <w:right w:val="none" w:sz="0" w:space="0" w:color="auto"/>
      </w:divBdr>
    </w:div>
    <w:div w:id="2046782534">
      <w:bodyDiv w:val="1"/>
      <w:marLeft w:val="0"/>
      <w:marRight w:val="0"/>
      <w:marTop w:val="0"/>
      <w:marBottom w:val="0"/>
      <w:divBdr>
        <w:top w:val="none" w:sz="0" w:space="0" w:color="auto"/>
        <w:left w:val="none" w:sz="0" w:space="0" w:color="auto"/>
        <w:bottom w:val="none" w:sz="0" w:space="0" w:color="auto"/>
        <w:right w:val="none" w:sz="0" w:space="0" w:color="auto"/>
      </w:divBdr>
    </w:div>
    <w:div w:id="2060782337">
      <w:bodyDiv w:val="1"/>
      <w:marLeft w:val="0"/>
      <w:marRight w:val="0"/>
      <w:marTop w:val="0"/>
      <w:marBottom w:val="0"/>
      <w:divBdr>
        <w:top w:val="none" w:sz="0" w:space="0" w:color="auto"/>
        <w:left w:val="none" w:sz="0" w:space="0" w:color="auto"/>
        <w:bottom w:val="none" w:sz="0" w:space="0" w:color="auto"/>
        <w:right w:val="none" w:sz="0" w:space="0" w:color="auto"/>
      </w:divBdr>
      <w:divsChild>
        <w:div w:id="93092252">
          <w:marLeft w:val="0"/>
          <w:marRight w:val="0"/>
          <w:marTop w:val="0"/>
          <w:marBottom w:val="0"/>
          <w:divBdr>
            <w:top w:val="none" w:sz="0" w:space="0" w:color="auto"/>
            <w:left w:val="none" w:sz="0" w:space="0" w:color="auto"/>
            <w:bottom w:val="none" w:sz="0" w:space="0" w:color="auto"/>
            <w:right w:val="none" w:sz="0" w:space="0" w:color="auto"/>
          </w:divBdr>
        </w:div>
      </w:divsChild>
    </w:div>
    <w:div w:id="2116096034">
      <w:bodyDiv w:val="1"/>
      <w:marLeft w:val="0"/>
      <w:marRight w:val="0"/>
      <w:marTop w:val="0"/>
      <w:marBottom w:val="0"/>
      <w:divBdr>
        <w:top w:val="none" w:sz="0" w:space="0" w:color="auto"/>
        <w:left w:val="none" w:sz="0" w:space="0" w:color="auto"/>
        <w:bottom w:val="none" w:sz="0" w:space="0" w:color="auto"/>
        <w:right w:val="none" w:sz="0" w:space="0" w:color="auto"/>
      </w:divBdr>
    </w:div>
    <w:div w:id="2116439184">
      <w:bodyDiv w:val="1"/>
      <w:marLeft w:val="0"/>
      <w:marRight w:val="0"/>
      <w:marTop w:val="0"/>
      <w:marBottom w:val="0"/>
      <w:divBdr>
        <w:top w:val="none" w:sz="0" w:space="0" w:color="auto"/>
        <w:left w:val="none" w:sz="0" w:space="0" w:color="auto"/>
        <w:bottom w:val="none" w:sz="0" w:space="0" w:color="auto"/>
        <w:right w:val="none" w:sz="0" w:space="0" w:color="auto"/>
      </w:divBdr>
    </w:div>
    <w:div w:id="2138984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4212C3-C5CA-4BE4-82AC-CB79EF2552F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6899</Words>
  <Characters>39329</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PATEL VRUTTI</cp:lastModifiedBy>
  <cp:revision>2</cp:revision>
  <cp:lastPrinted>2026-08-10T21:08:00Z</cp:lastPrinted>
  <dcterms:created xsi:type="dcterms:W3CDTF">2026-08-11T10:33:00Z</dcterms:created>
  <dcterms:modified xsi:type="dcterms:W3CDTF">2026-08-11T10:33:00Z</dcterms:modified>
</cp:coreProperties>
</file>