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4BC37E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11906">
              <w:rPr>
                <w:rFonts w:ascii="Times New Roman" w:hAnsi="Times New Roman" w:cs="Times New Roman"/>
                <w:b/>
                <w:color w:val="auto"/>
                <w:sz w:val="48"/>
              </w:rPr>
              <w:t>Alaw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2B4A1A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11906">
              <w:rPr>
                <w:rFonts w:ascii="Times New Roman" w:hAnsi="Times New Roman" w:cs="Times New Roman"/>
                <w:b/>
                <w:color w:val="auto"/>
                <w:sz w:val="48"/>
              </w:rPr>
              <w:t xml:space="preserve"> </w:t>
            </w:r>
            <w:r w:rsidR="00011906" w:rsidRPr="00830E17">
              <w:rPr>
                <w:rFonts w:ascii="Times New Roman" w:hAnsi="Times New Roman" w:cs="Times New Roman"/>
                <w:b/>
                <w:sz w:val="48"/>
              </w:rPr>
              <w:t>2521070@student.uwtsd.ac.uk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B176157" w14:textId="38E30D78" w:rsidR="00011906" w:rsidRPr="005D3F07" w:rsidRDefault="0001190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2521070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03550220" w14:textId="77777777" w:rsidR="00730FCE" w:rsidRDefault="00730FCE" w:rsidP="00730FCE">
            <w:pPr>
              <w:rPr>
                <w:rFonts w:ascii="Aptos" w:hAnsi="Aptos"/>
                <w:sz w:val="24"/>
                <w:szCs w:val="24"/>
                <w:u w:val="single"/>
              </w:rPr>
            </w:pPr>
            <w:r w:rsidRPr="00730FCE">
              <w:rPr>
                <w:rFonts w:ascii="Aptos" w:hAnsi="Aptos"/>
                <w:sz w:val="24"/>
                <w:szCs w:val="24"/>
                <w:u w:val="single"/>
              </w:rPr>
              <w:t>Introduction</w:t>
            </w:r>
          </w:p>
          <w:p w14:paraId="3706BFA1" w14:textId="77777777" w:rsidR="00730FCE" w:rsidRPr="00730FCE" w:rsidRDefault="00730FCE" w:rsidP="00730FCE">
            <w:pPr>
              <w:rPr>
                <w:rFonts w:ascii="Aptos" w:hAnsi="Aptos"/>
                <w:sz w:val="24"/>
                <w:szCs w:val="24"/>
                <w:u w:val="single"/>
              </w:rPr>
            </w:pPr>
          </w:p>
          <w:p w14:paraId="6F3F2A90" w14:textId="77777777" w:rsidR="00730FCE" w:rsidRDefault="00730FCE" w:rsidP="00730FCE">
            <w:pPr>
              <w:rPr>
                <w:rFonts w:ascii="Aptos" w:hAnsi="Aptos"/>
                <w:sz w:val="24"/>
                <w:szCs w:val="24"/>
              </w:rPr>
            </w:pPr>
            <w:r w:rsidRPr="00730FCE">
              <w:rPr>
                <w:rFonts w:ascii="Aptos" w:hAnsi="Aptos"/>
                <w:sz w:val="24"/>
                <w:szCs w:val="24"/>
              </w:rPr>
              <w:t xml:space="preserve">This case study will critically reflect on an assessment that I undertook with a citizen concerning the safeguarding of an adult at risk of abuse and neglect. I will demonstrate how this case relates or could relate to safeguarding legislation, policies, strategies and procedures within Wales, the United Kingdom, the European Union (EU) and outside the EU. I will also critically reflect on the case using social work theories and demonstrate my understanding of the three Social Care Wales learning outcomes. These include the integration of analysis in assessment, communication and collaborative working, and professional judgement in increasingly complex situations. </w:t>
            </w:r>
          </w:p>
          <w:p w14:paraId="223B907D" w14:textId="77777777" w:rsidR="00730FCE" w:rsidRPr="00730FCE" w:rsidRDefault="00730FCE" w:rsidP="00730FCE">
            <w:pPr>
              <w:rPr>
                <w:rFonts w:ascii="Aptos" w:hAnsi="Aptos"/>
                <w:sz w:val="24"/>
                <w:szCs w:val="24"/>
              </w:rPr>
            </w:pPr>
          </w:p>
          <w:p w14:paraId="6550C535" w14:textId="77777777" w:rsidR="00730FCE" w:rsidRDefault="00730FCE" w:rsidP="00730FCE">
            <w:pPr>
              <w:rPr>
                <w:rFonts w:ascii="Aptos" w:hAnsi="Aptos"/>
                <w:sz w:val="24"/>
                <w:szCs w:val="24"/>
                <w:u w:val="single"/>
              </w:rPr>
            </w:pPr>
            <w:r w:rsidRPr="00730FCE">
              <w:rPr>
                <w:rFonts w:ascii="Aptos" w:hAnsi="Aptos"/>
                <w:sz w:val="24"/>
                <w:szCs w:val="24"/>
                <w:u w:val="single"/>
              </w:rPr>
              <w:t>Context</w:t>
            </w:r>
          </w:p>
          <w:p w14:paraId="69EADD2B" w14:textId="77777777" w:rsidR="00730FCE" w:rsidRPr="00730FCE" w:rsidRDefault="00730FCE" w:rsidP="00730FCE">
            <w:pPr>
              <w:rPr>
                <w:rFonts w:ascii="Aptos" w:hAnsi="Aptos"/>
                <w:sz w:val="24"/>
                <w:szCs w:val="24"/>
                <w:u w:val="single"/>
              </w:rPr>
            </w:pPr>
          </w:p>
          <w:p w14:paraId="66AA6C93" w14:textId="77777777" w:rsidR="00730FCE" w:rsidRDefault="00730FCE" w:rsidP="00730FCE">
            <w:pPr>
              <w:rPr>
                <w:rFonts w:ascii="Aptos" w:hAnsi="Aptos"/>
                <w:color w:val="000000" w:themeColor="text1"/>
                <w:sz w:val="24"/>
                <w:szCs w:val="24"/>
              </w:rPr>
            </w:pPr>
            <w:r w:rsidRPr="00730FCE">
              <w:rPr>
                <w:rFonts w:ascii="Aptos" w:hAnsi="Aptos"/>
                <w:sz w:val="24"/>
                <w:szCs w:val="24"/>
              </w:rPr>
              <w:t xml:space="preserve">This case will critically reflect on a case study I undertook with Citizen 2. Citizen 2 moved from an urban city in England to live in a low socio-economic town in Wales. He has an extensive forensic history and came to the attention of mental health services. He has a diagnosis of Schizophrenia and Depression and struggles with substance and alcohol use. Citizen 2 also has physical health issues, including a brain injury acquired following a bar fight. This has had a negative impact on his overall wellbeing and affected his mood and confidence. He has had </w:t>
            </w:r>
            <w:r w:rsidRPr="00730FCE">
              <w:rPr>
                <w:rFonts w:ascii="Aptos" w:hAnsi="Aptos"/>
                <w:sz w:val="24"/>
                <w:szCs w:val="24"/>
              </w:rPr>
              <w:lastRenderedPageBreak/>
              <w:t xml:space="preserve">multiple periods of hospitalisation when unwell with his mental health and has had many services involved to support his recovery. He lives on his own in a one-bedroom flat, and his brother lives a few doors down from him. His brother is also known to services and struggles with substance and alcohol use. Citizen 2 also has a daughter who is under secondary mental health services and offers informal support to Citizen 2 when he is struggling with his mental health. He came to the attention of social services following a period of depression whereby he struggled to meet his care and support needs. I became involved following a request to complete a social care needs assessment under the </w:t>
            </w:r>
            <w:r w:rsidRPr="00730FCE">
              <w:rPr>
                <w:rFonts w:ascii="Aptos" w:hAnsi="Aptos"/>
                <w:i/>
                <w:iCs/>
                <w:color w:val="000000" w:themeColor="text1"/>
                <w:sz w:val="24"/>
                <w:szCs w:val="24"/>
              </w:rPr>
              <w:t>Social Services and Wellbeing (Wales) Act 2014.</w:t>
            </w:r>
            <w:r w:rsidRPr="00730FCE">
              <w:rPr>
                <w:rFonts w:ascii="Aptos" w:hAnsi="Aptos"/>
                <w:color w:val="000000" w:themeColor="text1"/>
                <w:sz w:val="24"/>
                <w:szCs w:val="24"/>
              </w:rPr>
              <w:t xml:space="preserve"> </w:t>
            </w:r>
          </w:p>
          <w:p w14:paraId="13B47BA5" w14:textId="77777777" w:rsidR="00730FCE" w:rsidRPr="00730FCE" w:rsidRDefault="00730FCE" w:rsidP="00730FCE">
            <w:pPr>
              <w:rPr>
                <w:rFonts w:ascii="Aptos" w:hAnsi="Aptos"/>
                <w:sz w:val="24"/>
                <w:szCs w:val="24"/>
              </w:rPr>
            </w:pPr>
          </w:p>
          <w:p w14:paraId="331439F1" w14:textId="44B2CC69" w:rsidR="00730FCE" w:rsidRDefault="00730FCE" w:rsidP="00730FCE">
            <w:pPr>
              <w:rPr>
                <w:rFonts w:ascii="Aptos" w:hAnsi="Aptos"/>
                <w:sz w:val="24"/>
                <w:szCs w:val="24"/>
              </w:rPr>
            </w:pPr>
            <w:r w:rsidRPr="00730FCE">
              <w:rPr>
                <w:rFonts w:ascii="Aptos" w:hAnsi="Aptos"/>
                <w:sz w:val="24"/>
                <w:szCs w:val="24"/>
              </w:rPr>
              <w:t xml:space="preserve">Shortly after I became involved, he was detained under Section 3 of the </w:t>
            </w:r>
            <w:r w:rsidRPr="00730FCE">
              <w:rPr>
                <w:rFonts w:ascii="Aptos" w:hAnsi="Aptos"/>
                <w:i/>
                <w:iCs/>
                <w:sz w:val="24"/>
                <w:szCs w:val="24"/>
              </w:rPr>
              <w:t>Mental Health Act 1983</w:t>
            </w:r>
            <w:r w:rsidRPr="00730FCE">
              <w:rPr>
                <w:rFonts w:ascii="Aptos" w:hAnsi="Aptos"/>
                <w:sz w:val="24"/>
                <w:szCs w:val="24"/>
              </w:rPr>
              <w:t xml:space="preserve">, where he received medical treatment in hospital for depression. During his stay in hospital, I visited him ahead of his discharge into the community. We discussed many aspects of his care and support needs but also brought up his financial situation. Following a conversation about his financial situation, some concerns were raised regarding potential financial abuse by his brother and others in his social circle. This triggered an investigation into whether a safeguarding report was required under the </w:t>
            </w:r>
            <w:r w:rsidRPr="00730FCE">
              <w:rPr>
                <w:rFonts w:ascii="Aptos" w:hAnsi="Aptos"/>
                <w:i/>
                <w:iCs/>
                <w:sz w:val="24"/>
                <w:szCs w:val="24"/>
              </w:rPr>
              <w:t>Social Services and Wellbeing (Wales) Act 2014</w:t>
            </w:r>
            <w:r w:rsidRPr="00730FCE">
              <w:rPr>
                <w:rFonts w:ascii="Aptos" w:hAnsi="Aptos"/>
                <w:sz w:val="24"/>
                <w:szCs w:val="24"/>
              </w:rPr>
              <w:t xml:space="preserve">. </w:t>
            </w:r>
          </w:p>
          <w:p w14:paraId="59CD49E7" w14:textId="77777777" w:rsidR="00730FCE" w:rsidRPr="00730FCE" w:rsidRDefault="00730FCE" w:rsidP="00730FCE">
            <w:pPr>
              <w:rPr>
                <w:rFonts w:ascii="Aptos" w:hAnsi="Aptos"/>
                <w:sz w:val="24"/>
                <w:szCs w:val="24"/>
              </w:rPr>
            </w:pPr>
          </w:p>
          <w:p w14:paraId="048EEDB7" w14:textId="77777777" w:rsidR="00730FCE" w:rsidRPr="00730FCE" w:rsidRDefault="00730FCE" w:rsidP="00730FCE">
            <w:pPr>
              <w:rPr>
                <w:rFonts w:ascii="Aptos" w:hAnsi="Aptos"/>
                <w:sz w:val="24"/>
                <w:szCs w:val="24"/>
                <w:u w:val="single"/>
              </w:rPr>
            </w:pPr>
            <w:r w:rsidRPr="00730FCE">
              <w:rPr>
                <w:rFonts w:ascii="Aptos" w:hAnsi="Aptos"/>
                <w:sz w:val="24"/>
                <w:szCs w:val="24"/>
                <w:u w:val="single"/>
              </w:rPr>
              <w:t>Legislation</w:t>
            </w:r>
          </w:p>
          <w:p w14:paraId="29FF93AA" w14:textId="7A4246E4" w:rsidR="00730FCE" w:rsidRPr="00730FCE" w:rsidRDefault="00730FCE" w:rsidP="00730FCE">
            <w:pPr>
              <w:rPr>
                <w:rFonts w:ascii="Aptos" w:hAnsi="Aptos"/>
                <w:b/>
                <w:bCs/>
                <w:sz w:val="24"/>
                <w:szCs w:val="24"/>
                <w:u w:val="single"/>
              </w:rPr>
            </w:pPr>
          </w:p>
          <w:p w14:paraId="4CD0B4AD" w14:textId="77777777" w:rsidR="00730FCE" w:rsidRDefault="00730FCE" w:rsidP="00730FCE">
            <w:pPr>
              <w:rPr>
                <w:rFonts w:ascii="Aptos" w:hAnsi="Aptos"/>
                <w:sz w:val="24"/>
                <w:szCs w:val="24"/>
              </w:rPr>
            </w:pPr>
            <w:r w:rsidRPr="00730FCE">
              <w:rPr>
                <w:rFonts w:ascii="Aptos" w:hAnsi="Aptos"/>
                <w:sz w:val="24"/>
                <w:szCs w:val="24"/>
              </w:rPr>
              <w:t xml:space="preserve">The core legislation used in Wales is the </w:t>
            </w:r>
            <w:r w:rsidRPr="00730FCE">
              <w:rPr>
                <w:rFonts w:ascii="Aptos" w:hAnsi="Aptos"/>
                <w:i/>
                <w:iCs/>
                <w:sz w:val="24"/>
                <w:szCs w:val="24"/>
              </w:rPr>
              <w:t>Social Services and Wellbeing (Wales) Act 2014</w:t>
            </w:r>
            <w:r w:rsidRPr="00730FCE">
              <w:rPr>
                <w:rFonts w:ascii="Aptos" w:hAnsi="Aptos"/>
                <w:sz w:val="24"/>
                <w:szCs w:val="24"/>
              </w:rPr>
              <w:t>. Section 126 of the Act identifies the duty to report an “adult at risk”. This refers to someone who is experiencing or is at risk of abuse and neglect, has needs for care and support, and, because of those needs, is unable to protect themselves from abuse or neglect (</w:t>
            </w:r>
            <w:r w:rsidRPr="00730FCE">
              <w:rPr>
                <w:rFonts w:ascii="Aptos" w:hAnsi="Aptos"/>
                <w:i/>
                <w:iCs/>
                <w:sz w:val="24"/>
                <w:szCs w:val="24"/>
              </w:rPr>
              <w:t>Social Services and Wellbeing (Wales) Act 2014</w:t>
            </w:r>
            <w:r w:rsidRPr="00730FCE">
              <w:rPr>
                <w:rFonts w:ascii="Aptos" w:hAnsi="Aptos"/>
                <w:sz w:val="24"/>
                <w:szCs w:val="24"/>
              </w:rPr>
              <w:t xml:space="preserve">). In England, the core legislation underpinning safeguarding duties is the </w:t>
            </w:r>
            <w:r w:rsidRPr="00730FCE">
              <w:rPr>
                <w:rFonts w:ascii="Aptos" w:hAnsi="Aptos"/>
                <w:i/>
                <w:iCs/>
                <w:sz w:val="24"/>
                <w:szCs w:val="24"/>
              </w:rPr>
              <w:t>Care Act 2014</w:t>
            </w:r>
            <w:r w:rsidRPr="00730FCE">
              <w:rPr>
                <w:rFonts w:ascii="Aptos" w:hAnsi="Aptos"/>
                <w:sz w:val="24"/>
                <w:szCs w:val="24"/>
              </w:rPr>
              <w:t xml:space="preserve">. Section 42 of the </w:t>
            </w:r>
            <w:r w:rsidRPr="00730FCE">
              <w:rPr>
                <w:rFonts w:ascii="Aptos" w:hAnsi="Aptos"/>
                <w:i/>
                <w:iCs/>
                <w:sz w:val="24"/>
                <w:szCs w:val="24"/>
              </w:rPr>
              <w:t>Care Act 2014</w:t>
            </w:r>
            <w:r w:rsidRPr="00730FCE">
              <w:rPr>
                <w:rFonts w:ascii="Aptos" w:hAnsi="Aptos"/>
                <w:sz w:val="24"/>
                <w:szCs w:val="24"/>
              </w:rPr>
              <w:t xml:space="preserve"> states that practitioners have a duty to make enquiries if they believe that an adult in their area with care and support needs is at risk of abuse and neglect (</w:t>
            </w:r>
            <w:r w:rsidRPr="00730FCE">
              <w:rPr>
                <w:rFonts w:ascii="Aptos" w:hAnsi="Aptos"/>
                <w:i/>
                <w:iCs/>
                <w:sz w:val="24"/>
                <w:szCs w:val="24"/>
              </w:rPr>
              <w:t>Care Act 2014</w:t>
            </w:r>
            <w:r w:rsidRPr="00730FCE">
              <w:rPr>
                <w:rFonts w:ascii="Aptos" w:hAnsi="Aptos"/>
                <w:sz w:val="24"/>
                <w:szCs w:val="24"/>
              </w:rPr>
              <w:t xml:space="preserve">). Both pieces of legislation identify the overarching safeguarding duty to protect “adults at risk” of harm, abuse and neglect. In the EU, the Hague Conference on Private International Law (2022) protects adults in over ten European countries. This offers protection to adults across European borders. It aims to uphold the human rights of adults within the EU and offers adults with care and support needs protection from abuse and neglect. Internationally, the core legal safeguarding framework is underpinned by the </w:t>
            </w:r>
            <w:r w:rsidRPr="00730FCE">
              <w:rPr>
                <w:rFonts w:ascii="Aptos" w:hAnsi="Aptos"/>
                <w:i/>
                <w:iCs/>
                <w:sz w:val="24"/>
                <w:szCs w:val="24"/>
                <w:lang w:val="en-US"/>
              </w:rPr>
              <w:t>Human Rights Act 1998</w:t>
            </w:r>
            <w:r w:rsidRPr="00730FCE">
              <w:rPr>
                <w:rFonts w:ascii="Aptos" w:hAnsi="Aptos"/>
                <w:sz w:val="24"/>
                <w:szCs w:val="24"/>
                <w:lang w:val="en-US"/>
              </w:rPr>
              <w:t xml:space="preserve">. The </w:t>
            </w:r>
            <w:r w:rsidRPr="00730FCE">
              <w:rPr>
                <w:rFonts w:ascii="Aptos" w:hAnsi="Aptos"/>
                <w:i/>
                <w:iCs/>
                <w:sz w:val="24"/>
                <w:szCs w:val="24"/>
                <w:lang w:val="en-US"/>
              </w:rPr>
              <w:t>Human Rights Act 1998</w:t>
            </w:r>
            <w:r w:rsidRPr="00730FCE">
              <w:rPr>
                <w:rFonts w:ascii="Aptos" w:hAnsi="Aptos"/>
                <w:sz w:val="24"/>
                <w:szCs w:val="24"/>
                <w:lang w:val="en-US"/>
              </w:rPr>
              <w:t xml:space="preserve"> identifies the core articles on fundamental human rights and freedoms. The key articles relating to this safeguarding case were Article 2: right to life, Article 3: Prohibition of torture, Article 5: right to liberty and security, and Article 8: right to respect for private and family life (</w:t>
            </w:r>
            <w:r w:rsidRPr="00730FCE">
              <w:rPr>
                <w:rFonts w:ascii="Aptos" w:hAnsi="Aptos"/>
                <w:i/>
                <w:iCs/>
                <w:sz w:val="24"/>
                <w:szCs w:val="24"/>
                <w:lang w:val="en-US"/>
              </w:rPr>
              <w:t>Human Rights Act 1998</w:t>
            </w:r>
            <w:r w:rsidRPr="00730FCE">
              <w:rPr>
                <w:rFonts w:ascii="Aptos" w:hAnsi="Aptos"/>
                <w:sz w:val="24"/>
                <w:szCs w:val="24"/>
                <w:lang w:val="en-US"/>
              </w:rPr>
              <w:t xml:space="preserve">). </w:t>
            </w:r>
            <w:r w:rsidRPr="00730FCE">
              <w:rPr>
                <w:rFonts w:ascii="Aptos" w:hAnsi="Aptos"/>
                <w:sz w:val="24"/>
                <w:szCs w:val="24"/>
              </w:rPr>
              <w:t xml:space="preserve">The key concern in this case related to whether there was reason to believe Citizen 2 was being financially abused and required a safeguarding report to protect against the risk of abuse and neglect under Section 126 of the </w:t>
            </w:r>
            <w:r w:rsidRPr="00730FCE">
              <w:rPr>
                <w:rFonts w:ascii="Aptos" w:hAnsi="Aptos"/>
                <w:i/>
                <w:iCs/>
                <w:sz w:val="24"/>
                <w:szCs w:val="24"/>
              </w:rPr>
              <w:t>Social Services and Wellbeing (Wales) Act 2014</w:t>
            </w:r>
            <w:r w:rsidRPr="00730FCE">
              <w:rPr>
                <w:rFonts w:ascii="Aptos" w:hAnsi="Aptos"/>
                <w:sz w:val="24"/>
                <w:szCs w:val="24"/>
              </w:rPr>
              <w:t xml:space="preserve">. </w:t>
            </w:r>
          </w:p>
          <w:p w14:paraId="1ED415E7" w14:textId="77777777" w:rsidR="00730FCE" w:rsidRPr="00730FCE" w:rsidRDefault="00730FCE" w:rsidP="00730FCE">
            <w:pPr>
              <w:rPr>
                <w:rFonts w:ascii="Aptos" w:hAnsi="Aptos"/>
                <w:sz w:val="24"/>
                <w:szCs w:val="24"/>
              </w:rPr>
            </w:pPr>
          </w:p>
          <w:p w14:paraId="7DB03B78" w14:textId="4722605C" w:rsidR="00730FCE" w:rsidRDefault="00730FCE" w:rsidP="00730FCE">
            <w:pPr>
              <w:rPr>
                <w:rFonts w:ascii="Aptos" w:hAnsi="Aptos"/>
                <w:color w:val="000000" w:themeColor="text1"/>
                <w:sz w:val="24"/>
                <w:szCs w:val="24"/>
              </w:rPr>
            </w:pPr>
            <w:r w:rsidRPr="00730FCE">
              <w:rPr>
                <w:rFonts w:ascii="Aptos" w:hAnsi="Aptos"/>
                <w:sz w:val="24"/>
                <w:szCs w:val="24"/>
              </w:rPr>
              <w:t xml:space="preserve">Wales Safeguarding Procedures (2026) states that there must be an overriding consideration to seek consent prior to making a safeguarding report. The key legislation relating to having </w:t>
            </w:r>
            <w:r w:rsidRPr="00730FCE">
              <w:rPr>
                <w:rFonts w:ascii="Aptos" w:hAnsi="Aptos"/>
                <w:sz w:val="24"/>
                <w:szCs w:val="24"/>
              </w:rPr>
              <w:lastRenderedPageBreak/>
              <w:t xml:space="preserve">capacity to consent is the </w:t>
            </w:r>
            <w:r w:rsidRPr="00730FCE">
              <w:rPr>
                <w:rFonts w:ascii="Aptos" w:hAnsi="Aptos"/>
                <w:i/>
                <w:iCs/>
                <w:sz w:val="24"/>
                <w:szCs w:val="24"/>
              </w:rPr>
              <w:t>Mental Capacity Act 2005</w:t>
            </w:r>
            <w:r w:rsidRPr="00730FCE">
              <w:rPr>
                <w:rFonts w:ascii="Aptos" w:hAnsi="Aptos"/>
                <w:sz w:val="24"/>
                <w:szCs w:val="24"/>
              </w:rPr>
              <w:t xml:space="preserve">. Citizen 2 is a chronic alcohol and substance user. At times, this means that his capacity to make decisions can fluctuate depending on whether he is under the influence of drugs and alcohol. In addition, Citizen 2 has a diagnosis of Schizophrenia and depression, which may at times impact his capacity to make certain decisions. The </w:t>
            </w:r>
            <w:r w:rsidRPr="00730FCE">
              <w:rPr>
                <w:rFonts w:ascii="Aptos" w:hAnsi="Aptos"/>
                <w:i/>
                <w:iCs/>
                <w:sz w:val="24"/>
                <w:szCs w:val="24"/>
              </w:rPr>
              <w:t>Mental Capacity Act 2005</w:t>
            </w:r>
            <w:r w:rsidRPr="00730FCE">
              <w:rPr>
                <w:rFonts w:ascii="Aptos" w:hAnsi="Aptos"/>
                <w:sz w:val="24"/>
                <w:szCs w:val="24"/>
              </w:rPr>
              <w:t xml:space="preserve"> Code of Practice asks, “whether the individual concerned is likely to regain capacity to make that particular decision in the future”, it may then be possible to delay the decision until they can make it themselves (Department of Constitutional Affairs, 2013, p.77). The decision in question was whether Citizen 2 had capacity to make decisions relating to his finances. This was undertaken during </w:t>
            </w:r>
            <w:r w:rsidR="008B33F9" w:rsidRPr="00730FCE">
              <w:rPr>
                <w:rFonts w:ascii="Aptos" w:hAnsi="Aptos"/>
                <w:sz w:val="24"/>
                <w:szCs w:val="24"/>
              </w:rPr>
              <w:t>a period</w:t>
            </w:r>
            <w:r w:rsidRPr="00730FCE">
              <w:rPr>
                <w:rFonts w:ascii="Aptos" w:hAnsi="Aptos"/>
                <w:sz w:val="24"/>
                <w:szCs w:val="24"/>
              </w:rPr>
              <w:t xml:space="preserve"> whilst he was in hospital receiving treatment for his mental health, and not under the influence of alcohol or substances. </w:t>
            </w:r>
            <w:r w:rsidRPr="00730FCE">
              <w:rPr>
                <w:rFonts w:ascii="Aptos" w:hAnsi="Aptos"/>
                <w:color w:val="000000" w:themeColor="text1"/>
                <w:sz w:val="24"/>
                <w:szCs w:val="24"/>
              </w:rPr>
              <w:t>During his period in hospital, I felt that it was the best opportunity to assess Citizen 2’s capacity around the decision relating to his finances. It is also important to note that someone should not be deemed to lack capacity because they have been deemed to make unwise decisions (</w:t>
            </w:r>
            <w:r w:rsidRPr="00730FCE">
              <w:rPr>
                <w:rFonts w:ascii="Aptos" w:hAnsi="Aptos"/>
                <w:i/>
                <w:iCs/>
                <w:color w:val="000000" w:themeColor="text1"/>
                <w:sz w:val="24"/>
                <w:szCs w:val="24"/>
              </w:rPr>
              <w:t>Mental Capacity Act 2005</w:t>
            </w:r>
            <w:r w:rsidRPr="00730FCE">
              <w:rPr>
                <w:rFonts w:ascii="Aptos" w:hAnsi="Aptos"/>
                <w:color w:val="000000" w:themeColor="text1"/>
                <w:sz w:val="24"/>
                <w:szCs w:val="24"/>
              </w:rPr>
              <w:t>). If someone is deemed to lack capacity to make decisions, a best interest meeting is undertaken, gathering the wishes of the citizen as well as the professional opinions of all those involved in their care and support (</w:t>
            </w:r>
            <w:r w:rsidRPr="00730FCE">
              <w:rPr>
                <w:rFonts w:ascii="Aptos" w:hAnsi="Aptos"/>
                <w:i/>
                <w:iCs/>
                <w:color w:val="000000" w:themeColor="text1"/>
                <w:sz w:val="24"/>
                <w:szCs w:val="24"/>
              </w:rPr>
              <w:t>Mental Capacity Act 2005</w:t>
            </w:r>
            <w:r w:rsidRPr="00730FCE">
              <w:rPr>
                <w:rFonts w:ascii="Aptos" w:hAnsi="Aptos"/>
                <w:color w:val="000000" w:themeColor="text1"/>
                <w:sz w:val="24"/>
                <w:szCs w:val="24"/>
              </w:rPr>
              <w:t xml:space="preserve">). </w:t>
            </w:r>
          </w:p>
          <w:p w14:paraId="774BDC59" w14:textId="77777777" w:rsidR="00730FCE" w:rsidRPr="00730FCE" w:rsidRDefault="00730FCE" w:rsidP="00730FCE">
            <w:pPr>
              <w:rPr>
                <w:rFonts w:ascii="Aptos" w:hAnsi="Aptos"/>
                <w:sz w:val="24"/>
                <w:szCs w:val="24"/>
              </w:rPr>
            </w:pPr>
          </w:p>
          <w:p w14:paraId="6CE656A3" w14:textId="65B0600C" w:rsidR="00730FCE" w:rsidRPr="00730FCE" w:rsidRDefault="00730FCE" w:rsidP="00730FCE">
            <w:pPr>
              <w:rPr>
                <w:rFonts w:ascii="Aptos" w:hAnsi="Aptos"/>
                <w:sz w:val="24"/>
                <w:szCs w:val="24"/>
              </w:rPr>
            </w:pPr>
            <w:r w:rsidRPr="00730FCE">
              <w:rPr>
                <w:rFonts w:ascii="Aptos" w:hAnsi="Aptos"/>
                <w:sz w:val="24"/>
                <w:szCs w:val="24"/>
              </w:rPr>
              <w:t xml:space="preserve">An important aspect within the safeguarding process is respecting the language and culture of the citizens we support. The Welsh Government (2022) highlights the importance for practitioners to proactively offer services in Welsh under the “Active Offer” and “More than Just Words” framework. Discussions took place with </w:t>
            </w:r>
            <w:r w:rsidR="00DB778B">
              <w:rPr>
                <w:rFonts w:ascii="Aptos" w:hAnsi="Aptos"/>
                <w:sz w:val="24"/>
                <w:szCs w:val="24"/>
              </w:rPr>
              <w:t>C</w:t>
            </w:r>
            <w:r w:rsidRPr="00730FCE">
              <w:rPr>
                <w:rFonts w:ascii="Aptos" w:hAnsi="Aptos"/>
                <w:sz w:val="24"/>
                <w:szCs w:val="24"/>
              </w:rPr>
              <w:t xml:space="preserve">itizen 2 at the start of my work with him. During these conversations, his background, culture and language were explored. He did not speak Welsh, therefore, assessments regarding the safeguarding concerns took place in his preferred language of English, respecting his wishes around language and communication. This enables a more person-centred approach through the safeguarding process. Welsh Government (2017) States that making an ‘Active Offer’ recognises that effective communication is key in the preferred language of citizens; it is particularly important for vulnerable adults who may have difficulty expressing their needs, wishes, and views. </w:t>
            </w:r>
          </w:p>
          <w:p w14:paraId="2AEE44E7" w14:textId="77777777" w:rsidR="00730FCE" w:rsidRDefault="00730FCE" w:rsidP="00730FCE">
            <w:pPr>
              <w:rPr>
                <w:rFonts w:ascii="Aptos" w:hAnsi="Aptos"/>
                <w:sz w:val="24"/>
                <w:szCs w:val="24"/>
              </w:rPr>
            </w:pPr>
          </w:p>
          <w:p w14:paraId="5B96A8B8" w14:textId="2A1C16EE" w:rsidR="00730FCE" w:rsidRPr="00730FCE" w:rsidRDefault="00730FCE" w:rsidP="00730FCE">
            <w:pPr>
              <w:rPr>
                <w:rFonts w:ascii="Aptos" w:hAnsi="Aptos"/>
                <w:sz w:val="24"/>
                <w:szCs w:val="24"/>
              </w:rPr>
            </w:pPr>
            <w:r w:rsidRPr="00730FCE">
              <w:rPr>
                <w:rFonts w:ascii="Aptos" w:hAnsi="Aptos"/>
                <w:sz w:val="24"/>
                <w:szCs w:val="24"/>
              </w:rPr>
              <w:t xml:space="preserve">Additional legislation in the UK was also relevant to this case. The </w:t>
            </w:r>
            <w:r w:rsidRPr="00730FCE">
              <w:rPr>
                <w:rFonts w:ascii="Aptos" w:hAnsi="Aptos"/>
                <w:i/>
                <w:iCs/>
                <w:sz w:val="24"/>
                <w:szCs w:val="24"/>
              </w:rPr>
              <w:t>Equality Act 2010</w:t>
            </w:r>
            <w:r w:rsidRPr="00730FCE">
              <w:rPr>
                <w:rFonts w:ascii="Aptos" w:hAnsi="Aptos"/>
                <w:sz w:val="24"/>
                <w:szCs w:val="24"/>
              </w:rPr>
              <w:t xml:space="preserve"> protects adults from discrimination, harassment or victimisation because of a protected characteristic (</w:t>
            </w:r>
            <w:r w:rsidRPr="00730FCE">
              <w:rPr>
                <w:rFonts w:ascii="Aptos" w:hAnsi="Aptos"/>
                <w:i/>
                <w:iCs/>
                <w:sz w:val="24"/>
                <w:szCs w:val="24"/>
              </w:rPr>
              <w:t>Equality Act 2010</w:t>
            </w:r>
            <w:r w:rsidRPr="00730FCE">
              <w:rPr>
                <w:rFonts w:ascii="Aptos" w:hAnsi="Aptos"/>
                <w:sz w:val="24"/>
                <w:szCs w:val="24"/>
              </w:rPr>
              <w:t xml:space="preserve">). Section 4 of </w:t>
            </w:r>
            <w:r w:rsidRPr="00730FCE">
              <w:rPr>
                <w:rFonts w:ascii="Aptos" w:hAnsi="Aptos"/>
                <w:i/>
                <w:iCs/>
                <w:sz w:val="24"/>
                <w:szCs w:val="24"/>
              </w:rPr>
              <w:t>the Equality Act 2010</w:t>
            </w:r>
            <w:r w:rsidRPr="00730FCE">
              <w:rPr>
                <w:rFonts w:ascii="Aptos" w:hAnsi="Aptos"/>
                <w:sz w:val="24"/>
                <w:szCs w:val="24"/>
              </w:rPr>
              <w:t xml:space="preserve"> defines protected characteristics; these include age, disability, gender reassignment, marriage and civil partnership, pregnancy and maternity, race, religion or belief, sex, and sexual orientation (</w:t>
            </w:r>
            <w:r w:rsidRPr="00730FCE">
              <w:rPr>
                <w:rFonts w:ascii="Aptos" w:hAnsi="Aptos"/>
                <w:i/>
                <w:iCs/>
                <w:sz w:val="24"/>
                <w:szCs w:val="24"/>
              </w:rPr>
              <w:t>Equality Act 2010</w:t>
            </w:r>
            <w:r w:rsidRPr="00730FCE">
              <w:rPr>
                <w:rFonts w:ascii="Aptos" w:hAnsi="Aptos"/>
                <w:sz w:val="24"/>
                <w:szCs w:val="24"/>
              </w:rPr>
              <w:t xml:space="preserve">). Citizen 2 has a diagnosis of schizophrenia, depression and an acquired brain injury. Therefore, throughout my work with </w:t>
            </w:r>
            <w:r w:rsidR="00DB778B">
              <w:rPr>
                <w:rFonts w:ascii="Aptos" w:hAnsi="Aptos"/>
                <w:sz w:val="24"/>
                <w:szCs w:val="24"/>
              </w:rPr>
              <w:t>C</w:t>
            </w:r>
            <w:r w:rsidRPr="00730FCE">
              <w:rPr>
                <w:rFonts w:ascii="Aptos" w:hAnsi="Aptos"/>
                <w:sz w:val="24"/>
                <w:szCs w:val="24"/>
              </w:rPr>
              <w:t xml:space="preserve">itizen 2, I needed to recognise the need to safeguard and protect Citizen 2 from discrimination, harassment, or victimisation due to his physical and mental impairments. This was particularly important during any assessments and interventions that were conducted throughout the safeguarding process. Reasonable adjustments were made through communication, such as providing information in easy read formats, giving </w:t>
            </w:r>
            <w:r w:rsidR="00DB778B">
              <w:rPr>
                <w:rFonts w:ascii="Aptos" w:hAnsi="Aptos"/>
                <w:sz w:val="24"/>
                <w:szCs w:val="24"/>
              </w:rPr>
              <w:t>C</w:t>
            </w:r>
            <w:r w:rsidRPr="00730FCE">
              <w:rPr>
                <w:rFonts w:ascii="Aptos" w:hAnsi="Aptos"/>
                <w:sz w:val="24"/>
                <w:szCs w:val="24"/>
              </w:rPr>
              <w:t xml:space="preserve">itizen 2 regular breaks, and offering </w:t>
            </w:r>
            <w:r w:rsidR="00DB778B">
              <w:rPr>
                <w:rFonts w:ascii="Aptos" w:hAnsi="Aptos"/>
                <w:sz w:val="24"/>
                <w:szCs w:val="24"/>
              </w:rPr>
              <w:t>C</w:t>
            </w:r>
            <w:r w:rsidRPr="00730FCE">
              <w:rPr>
                <w:rFonts w:ascii="Aptos" w:hAnsi="Aptos"/>
                <w:sz w:val="24"/>
                <w:szCs w:val="24"/>
              </w:rPr>
              <w:t xml:space="preserve">itizen 2 an opportunity for an advocate or representative. </w:t>
            </w:r>
          </w:p>
          <w:p w14:paraId="3DD37E46" w14:textId="77777777" w:rsidR="00730FCE" w:rsidRPr="00730FCE" w:rsidRDefault="00730FCE" w:rsidP="00730FCE">
            <w:pPr>
              <w:rPr>
                <w:rFonts w:ascii="Aptos" w:hAnsi="Aptos"/>
                <w:sz w:val="24"/>
                <w:szCs w:val="24"/>
              </w:rPr>
            </w:pPr>
          </w:p>
          <w:p w14:paraId="75A01EB0" w14:textId="77777777" w:rsidR="00730FCE" w:rsidRPr="00730FCE" w:rsidRDefault="00730FCE" w:rsidP="00730FCE">
            <w:pPr>
              <w:rPr>
                <w:rFonts w:ascii="Aptos" w:hAnsi="Aptos"/>
                <w:color w:val="000000" w:themeColor="text1"/>
                <w:sz w:val="24"/>
                <w:szCs w:val="24"/>
                <w:u w:val="single"/>
              </w:rPr>
            </w:pPr>
            <w:r w:rsidRPr="00730FCE">
              <w:rPr>
                <w:rFonts w:ascii="Aptos" w:hAnsi="Aptos"/>
                <w:color w:val="000000" w:themeColor="text1"/>
                <w:sz w:val="24"/>
                <w:szCs w:val="24"/>
                <w:u w:val="single"/>
              </w:rPr>
              <w:t>Strategies and Procedures</w:t>
            </w:r>
          </w:p>
          <w:p w14:paraId="1AC64F49" w14:textId="77777777" w:rsidR="00730FCE" w:rsidRDefault="00730FCE" w:rsidP="00730FCE">
            <w:pPr>
              <w:rPr>
                <w:rFonts w:ascii="Aptos" w:hAnsi="Aptos"/>
                <w:color w:val="000000" w:themeColor="text1"/>
                <w:sz w:val="24"/>
                <w:szCs w:val="24"/>
              </w:rPr>
            </w:pPr>
            <w:r w:rsidRPr="00730FCE">
              <w:rPr>
                <w:rFonts w:ascii="Aptos" w:hAnsi="Aptos"/>
                <w:color w:val="000000" w:themeColor="text1"/>
                <w:sz w:val="24"/>
                <w:szCs w:val="24"/>
              </w:rPr>
              <w:lastRenderedPageBreak/>
              <w:t>The strategies and procedures undertaken throughout this case were underpinned by legislation outlined above, as well as XXX local authority’s own strategies and procedures. The XXX local authority provides an organisational policy and guidelines on how to safeguard adults. The policy highlights XXX local authority’s duty to undertake legal commitments to safeguard adults at risk of harm (</w:t>
            </w:r>
            <w:r w:rsidRPr="00730FCE">
              <w:rPr>
                <w:rFonts w:ascii="Aptos" w:hAnsi="Aptos"/>
                <w:sz w:val="24"/>
                <w:szCs w:val="24"/>
              </w:rPr>
              <w:t>XXX Local Authority, 2022</w:t>
            </w:r>
            <w:r w:rsidRPr="00730FCE">
              <w:rPr>
                <w:rFonts w:ascii="Aptos" w:hAnsi="Aptos"/>
                <w:color w:val="000000" w:themeColor="text1"/>
                <w:sz w:val="24"/>
                <w:szCs w:val="24"/>
              </w:rPr>
              <w:t xml:space="preserve">). It highlights the statutory roles and duties of practitioners and identifies key legislation and policies, which include the </w:t>
            </w:r>
            <w:r w:rsidRPr="00730FCE">
              <w:rPr>
                <w:rFonts w:ascii="Aptos" w:hAnsi="Aptos"/>
                <w:i/>
                <w:iCs/>
                <w:color w:val="000000" w:themeColor="text1"/>
                <w:sz w:val="24"/>
                <w:szCs w:val="24"/>
              </w:rPr>
              <w:t>Social Services and Wellbeing (Wales) Act 2014</w:t>
            </w:r>
            <w:r w:rsidRPr="00730FCE">
              <w:rPr>
                <w:rFonts w:ascii="Aptos" w:hAnsi="Aptos"/>
                <w:color w:val="000000" w:themeColor="text1"/>
                <w:sz w:val="24"/>
                <w:szCs w:val="24"/>
              </w:rPr>
              <w:t xml:space="preserve">, as well as the Wales Safeguarding Procedures (XXX Local Authority, 2022). The key principles outlined in Wales Safeguarding Procedures (2026) were used as guidance throughout this case.  </w:t>
            </w:r>
          </w:p>
          <w:p w14:paraId="5D6B44E7" w14:textId="77777777" w:rsidR="00730FCE" w:rsidRPr="00730FCE" w:rsidRDefault="00730FCE" w:rsidP="00730FCE">
            <w:pPr>
              <w:rPr>
                <w:rFonts w:ascii="Aptos" w:hAnsi="Aptos"/>
                <w:color w:val="000000" w:themeColor="text1"/>
                <w:sz w:val="24"/>
                <w:szCs w:val="24"/>
              </w:rPr>
            </w:pPr>
          </w:p>
          <w:p w14:paraId="44DC550C" w14:textId="35DC5549" w:rsidR="00730FCE" w:rsidRDefault="00730FCE" w:rsidP="00730FCE">
            <w:pPr>
              <w:rPr>
                <w:rFonts w:ascii="Aptos" w:hAnsi="Aptos"/>
                <w:color w:val="000000" w:themeColor="text1"/>
                <w:sz w:val="24"/>
                <w:szCs w:val="24"/>
              </w:rPr>
            </w:pPr>
            <w:r w:rsidRPr="00730FCE">
              <w:rPr>
                <w:rFonts w:ascii="Aptos" w:hAnsi="Aptos"/>
                <w:color w:val="000000" w:themeColor="text1"/>
                <w:sz w:val="24"/>
                <w:szCs w:val="24"/>
              </w:rPr>
              <w:t xml:space="preserve">During the first interaction with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he was wary of discussing his financial situation with me. He showed visible distress when I brought up that he would not be receiving his personal independent payment in hospital. When asking him about his expenditure, he could not identify why he would need this income whilst in hospital. He appeared to be distressed over this; however, he would not indicate why. Immediately, this raised some concerns over what was causing him so much worry. Due to the significant amount of distress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showed around his finances, I decided to revisit the conversation again </w:t>
            </w:r>
            <w:proofErr w:type="gramStart"/>
            <w:r w:rsidRPr="00730FCE">
              <w:rPr>
                <w:rFonts w:ascii="Aptos" w:hAnsi="Aptos"/>
                <w:color w:val="000000" w:themeColor="text1"/>
                <w:sz w:val="24"/>
                <w:szCs w:val="24"/>
              </w:rPr>
              <w:t>at a later time</w:t>
            </w:r>
            <w:proofErr w:type="gramEnd"/>
            <w:r w:rsidRPr="00730FCE">
              <w:rPr>
                <w:rFonts w:ascii="Aptos" w:hAnsi="Aptos"/>
                <w:color w:val="000000" w:themeColor="text1"/>
                <w:sz w:val="24"/>
                <w:szCs w:val="24"/>
              </w:rPr>
              <w:t xml:space="preserve">. I shared my concerns with other professionals involved, who also raised concerns regarding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2’s brother and potential financial exploitation. They explained that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was consistently in debt and had noticed that he was not staying at his property but staying with his brother despite being only a few doors down. In addition, his daughter disclosed concerns regarding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2’s brother financially abusing him. Whilst these concerns could not be proven as evidence of abuse alone, it indicated that further investigations needed to take place to establish whether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was an adult at risk of abuse. </w:t>
            </w:r>
          </w:p>
          <w:p w14:paraId="4DA3E177" w14:textId="77777777" w:rsidR="00730FCE" w:rsidRPr="00730FCE" w:rsidRDefault="00730FCE" w:rsidP="00730FCE">
            <w:pPr>
              <w:rPr>
                <w:rFonts w:ascii="Aptos" w:hAnsi="Aptos"/>
                <w:color w:val="000000" w:themeColor="text1"/>
                <w:sz w:val="24"/>
                <w:szCs w:val="24"/>
              </w:rPr>
            </w:pPr>
          </w:p>
          <w:p w14:paraId="53B789AC" w14:textId="77AFBFB1" w:rsidR="00730FCE" w:rsidRDefault="00730FCE" w:rsidP="00730FCE">
            <w:pPr>
              <w:rPr>
                <w:rFonts w:ascii="Aptos" w:hAnsi="Aptos"/>
                <w:color w:val="000000" w:themeColor="text1"/>
                <w:sz w:val="24"/>
                <w:szCs w:val="24"/>
              </w:rPr>
            </w:pPr>
            <w:r w:rsidRPr="00730FCE">
              <w:rPr>
                <w:rFonts w:ascii="Aptos" w:hAnsi="Aptos"/>
                <w:color w:val="000000" w:themeColor="text1"/>
                <w:sz w:val="24"/>
                <w:szCs w:val="24"/>
              </w:rPr>
              <w:t xml:space="preserve">Understanding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2’s cultural background and lifestyle was crucial in this case. The first principle is to prioritise the wishes, feelings and needs of the adult at risk (Wales Safeguarding Procedures, 2021). This includes taking into consideration their culture, language and communication needs in line with working in Wales (Wales Safeguarding Procedures, 2021). The most effective way of gathering this was to build a rapport with Citizen 2. Having open and honest conversations helped Citizen 2 feel more comfortable sharing information and discussing his worries and concerns. It also helped me understand his values and cultural identity. It was evident through conversations with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that one of his core values was being family oriented. This meant that any discussions around his brother potentially financially exploiting him had to be taken with a lot of care and sensitivity. As such, conversations needed not to be accusatory. Asking more open-ended questions around his spending habits was much more successful in understanding whether financial abuse was taking place. Citizen 2 admitted that he was given money away to others; however, he was hesitant to give any names. His hesitation was understandable given his past forensic history and difficulty with the police. </w:t>
            </w:r>
          </w:p>
          <w:p w14:paraId="2BD1AD3A" w14:textId="77777777" w:rsidR="00730FCE" w:rsidRPr="00730FCE" w:rsidRDefault="00730FCE" w:rsidP="00730FCE">
            <w:pPr>
              <w:rPr>
                <w:rFonts w:ascii="Aptos" w:hAnsi="Aptos"/>
                <w:color w:val="000000" w:themeColor="text1"/>
                <w:sz w:val="24"/>
                <w:szCs w:val="24"/>
              </w:rPr>
            </w:pPr>
          </w:p>
          <w:p w14:paraId="43295CEE" w14:textId="6DB820FF" w:rsidR="00730FCE" w:rsidRDefault="00730FCE" w:rsidP="00730FCE">
            <w:pPr>
              <w:rPr>
                <w:rFonts w:ascii="Aptos" w:hAnsi="Aptos"/>
                <w:color w:val="000000" w:themeColor="text1"/>
                <w:sz w:val="24"/>
                <w:szCs w:val="24"/>
              </w:rPr>
            </w:pPr>
            <w:r w:rsidRPr="00730FCE">
              <w:rPr>
                <w:rFonts w:ascii="Aptos" w:hAnsi="Aptos"/>
                <w:color w:val="000000" w:themeColor="text1"/>
                <w:sz w:val="24"/>
                <w:szCs w:val="24"/>
              </w:rPr>
              <w:t>The next procedure undertaken in this case was a mental capacity assessment (</w:t>
            </w:r>
            <w:r w:rsidRPr="00730FCE">
              <w:rPr>
                <w:rFonts w:ascii="Aptos" w:hAnsi="Aptos"/>
                <w:i/>
                <w:iCs/>
                <w:color w:val="000000" w:themeColor="text1"/>
                <w:sz w:val="24"/>
                <w:szCs w:val="24"/>
              </w:rPr>
              <w:t>Mental Capacity Act 2005)</w:t>
            </w:r>
            <w:r w:rsidRPr="00730FCE">
              <w:rPr>
                <w:rFonts w:ascii="Aptos" w:hAnsi="Aptos"/>
                <w:color w:val="000000" w:themeColor="text1"/>
                <w:sz w:val="24"/>
                <w:szCs w:val="24"/>
              </w:rPr>
              <w:t xml:space="preserve">. This focused on the decision whether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had the mental capacity to make decisions relating to his finances. The mental capacity assessment was undertaken within a hospital setting, at a time which suited him, as per the </w:t>
            </w:r>
            <w:r w:rsidRPr="00730FCE">
              <w:rPr>
                <w:rFonts w:ascii="Aptos" w:hAnsi="Aptos"/>
                <w:i/>
                <w:iCs/>
                <w:color w:val="000000" w:themeColor="text1"/>
                <w:sz w:val="24"/>
                <w:szCs w:val="24"/>
              </w:rPr>
              <w:t>Mental Capacity Act 2005</w:t>
            </w:r>
            <w:r w:rsidRPr="00730FCE">
              <w:rPr>
                <w:rFonts w:ascii="Aptos" w:hAnsi="Aptos"/>
                <w:color w:val="000000" w:themeColor="text1"/>
                <w:sz w:val="24"/>
                <w:szCs w:val="24"/>
              </w:rPr>
              <w:t xml:space="preserve"> </w:t>
            </w:r>
            <w:r w:rsidRPr="00730FCE">
              <w:rPr>
                <w:rFonts w:ascii="Aptos" w:hAnsi="Aptos"/>
                <w:color w:val="000000" w:themeColor="text1"/>
                <w:sz w:val="24"/>
                <w:szCs w:val="24"/>
              </w:rPr>
              <w:lastRenderedPageBreak/>
              <w:t xml:space="preserve">statutory principles. Citizen 2 showed good understanding of his finances, the risks around not managing his finances, and how to manage this day-to-day. His reasons as to why he was giving money away to others were reasonable and in line with his own cultural identity and values.  As such, I felt that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at the time of the assessment had capacity to make decisions around his finances. I asked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whether he felt at risk of financial abuse and therefore would like me to report this to safeguarding. However, this offer was declined by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I had discussions with XXX local authority’s safeguarding team and my line manager as per XXX local authority safeguarding policy and guidance (XXX Local Authority, 2022). I decided that as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had the mental capacity to make decisions around his finances and did not consent to a safeguarding report, a safeguarding report under Section 126 of the </w:t>
            </w:r>
            <w:r w:rsidRPr="00730FCE">
              <w:rPr>
                <w:rFonts w:ascii="Aptos" w:hAnsi="Aptos"/>
                <w:i/>
                <w:iCs/>
                <w:color w:val="000000" w:themeColor="text1"/>
                <w:sz w:val="24"/>
                <w:szCs w:val="24"/>
              </w:rPr>
              <w:t xml:space="preserve">Social Services and Wellbeing (Wales) Act 2014 </w:t>
            </w:r>
            <w:r w:rsidRPr="00730FCE">
              <w:rPr>
                <w:rFonts w:ascii="Aptos" w:hAnsi="Aptos"/>
                <w:color w:val="000000" w:themeColor="text1"/>
                <w:sz w:val="24"/>
                <w:szCs w:val="24"/>
              </w:rPr>
              <w:t xml:space="preserve">was not required in this instance. </w:t>
            </w:r>
          </w:p>
          <w:p w14:paraId="6C00F181" w14:textId="77777777" w:rsidR="00730FCE" w:rsidRPr="00730FCE" w:rsidRDefault="00730FCE" w:rsidP="00730FCE">
            <w:pPr>
              <w:rPr>
                <w:rFonts w:ascii="Aptos" w:hAnsi="Aptos"/>
                <w:color w:val="000000" w:themeColor="text1"/>
                <w:sz w:val="24"/>
                <w:szCs w:val="24"/>
              </w:rPr>
            </w:pPr>
          </w:p>
          <w:p w14:paraId="0D1F9A11" w14:textId="0B0E3284" w:rsidR="00730FCE" w:rsidRDefault="00730FCE" w:rsidP="00730FCE">
            <w:pPr>
              <w:rPr>
                <w:rFonts w:ascii="Aptos" w:hAnsi="Aptos"/>
                <w:color w:val="000000" w:themeColor="text1"/>
                <w:sz w:val="24"/>
                <w:szCs w:val="24"/>
              </w:rPr>
            </w:pPr>
            <w:r w:rsidRPr="00730FCE">
              <w:rPr>
                <w:rFonts w:ascii="Aptos" w:hAnsi="Aptos"/>
                <w:color w:val="000000" w:themeColor="text1"/>
                <w:sz w:val="24"/>
                <w:szCs w:val="24"/>
              </w:rPr>
              <w:t xml:space="preserve">If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had lacked the mental capacity to make decisions around his finances, it may have resulted in a different outcome. It is important to identify the strategies and procedures that I would have taken if this had been the case. If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had lacked capacity around decisions relating to his finances, it would have led to a best interest decision being made by the professionals involved as per the principles of Section 1 of the </w:t>
            </w:r>
            <w:r w:rsidRPr="00730FCE">
              <w:rPr>
                <w:rFonts w:ascii="Aptos" w:hAnsi="Aptos"/>
                <w:i/>
                <w:iCs/>
                <w:color w:val="000000" w:themeColor="text1"/>
                <w:sz w:val="24"/>
                <w:szCs w:val="24"/>
              </w:rPr>
              <w:t>Mental Capacity Act 2005</w:t>
            </w:r>
            <w:r w:rsidRPr="00730FCE">
              <w:rPr>
                <w:rFonts w:ascii="Aptos" w:hAnsi="Aptos"/>
                <w:color w:val="000000" w:themeColor="text1"/>
                <w:sz w:val="24"/>
                <w:szCs w:val="24"/>
              </w:rPr>
              <w:t xml:space="preserve">. Wales Safeguarding Procedures (2026) identifies that if an adult lacks the mental capacity to make specific decisions, in some circumstances the professionals may override the adult’s wishes and autonomy to consent to a safeguarding report. If a safeguarding report was submitted under a best interest decision, then XXX local authority’s safeguarding team and I would have a legal duty to make enquiries under Section 126 of the </w:t>
            </w:r>
            <w:r w:rsidRPr="00730FCE">
              <w:rPr>
                <w:rFonts w:ascii="Aptos" w:hAnsi="Aptos"/>
                <w:i/>
                <w:iCs/>
                <w:color w:val="000000" w:themeColor="text1"/>
                <w:sz w:val="24"/>
                <w:szCs w:val="24"/>
              </w:rPr>
              <w:t>Social Services and Wellbeing (Wales) Act 2014.</w:t>
            </w:r>
            <w:r w:rsidRPr="00730FCE">
              <w:rPr>
                <w:rFonts w:ascii="Aptos" w:hAnsi="Aptos"/>
                <w:color w:val="000000" w:themeColor="text1"/>
                <w:sz w:val="24"/>
                <w:szCs w:val="24"/>
              </w:rPr>
              <w:t xml:space="preserve"> Following on from the safeguarding report, it may have led to a strategy meeting with a multi-disciplinary approach, with actions on how we can best protect </w:t>
            </w:r>
            <w:r w:rsidR="00DB778B">
              <w:rPr>
                <w:rFonts w:ascii="Aptos" w:hAnsi="Aptos"/>
                <w:color w:val="000000" w:themeColor="text1"/>
                <w:sz w:val="24"/>
                <w:szCs w:val="24"/>
              </w:rPr>
              <w:t>C</w:t>
            </w:r>
            <w:r w:rsidRPr="00730FCE">
              <w:rPr>
                <w:rFonts w:ascii="Aptos" w:hAnsi="Aptos"/>
                <w:color w:val="000000" w:themeColor="text1"/>
                <w:sz w:val="24"/>
                <w:szCs w:val="24"/>
              </w:rPr>
              <w:t xml:space="preserve">itizen 2 from the abuse. This would </w:t>
            </w:r>
            <w:proofErr w:type="gramStart"/>
            <w:r w:rsidRPr="00730FCE">
              <w:rPr>
                <w:rFonts w:ascii="Aptos" w:hAnsi="Aptos"/>
                <w:color w:val="000000" w:themeColor="text1"/>
                <w:sz w:val="24"/>
                <w:szCs w:val="24"/>
              </w:rPr>
              <w:t>take into account</w:t>
            </w:r>
            <w:proofErr w:type="gramEnd"/>
            <w:r w:rsidRPr="00730FCE">
              <w:rPr>
                <w:rFonts w:ascii="Aptos" w:hAnsi="Aptos"/>
                <w:color w:val="000000" w:themeColor="text1"/>
                <w:sz w:val="24"/>
                <w:szCs w:val="24"/>
              </w:rPr>
              <w:t xml:space="preserve"> the desired outcome of the adult at risk, with support from an advocate or representative (Wales Safeguarding Procedures, 2026).</w:t>
            </w:r>
          </w:p>
          <w:p w14:paraId="24DF0150" w14:textId="7B3DCE48" w:rsidR="00730FCE" w:rsidRPr="00730FCE" w:rsidRDefault="00730FCE" w:rsidP="00730FCE">
            <w:pPr>
              <w:rPr>
                <w:rFonts w:ascii="Aptos" w:hAnsi="Aptos"/>
                <w:color w:val="000000" w:themeColor="text1"/>
                <w:sz w:val="24"/>
                <w:szCs w:val="24"/>
              </w:rPr>
            </w:pPr>
            <w:r w:rsidRPr="00730FCE">
              <w:rPr>
                <w:rFonts w:ascii="Aptos" w:hAnsi="Aptos"/>
                <w:color w:val="000000" w:themeColor="text1"/>
                <w:sz w:val="24"/>
                <w:szCs w:val="24"/>
              </w:rPr>
              <w:t xml:space="preserve"> </w:t>
            </w:r>
          </w:p>
          <w:p w14:paraId="1A420E4A" w14:textId="77777777" w:rsidR="00730FCE" w:rsidRDefault="00730FCE" w:rsidP="00730FCE">
            <w:pPr>
              <w:rPr>
                <w:rFonts w:ascii="Aptos" w:hAnsi="Aptos"/>
                <w:sz w:val="24"/>
                <w:szCs w:val="24"/>
                <w:u w:val="single"/>
              </w:rPr>
            </w:pPr>
            <w:r w:rsidRPr="00730FCE">
              <w:rPr>
                <w:rFonts w:ascii="Aptos" w:hAnsi="Aptos"/>
                <w:sz w:val="24"/>
                <w:szCs w:val="24"/>
                <w:u w:val="single"/>
              </w:rPr>
              <w:t>Analysis and Professional Judgement</w:t>
            </w:r>
          </w:p>
          <w:p w14:paraId="3E99822A" w14:textId="77777777" w:rsidR="00730FCE" w:rsidRPr="00730FCE" w:rsidRDefault="00730FCE" w:rsidP="00730FCE">
            <w:pPr>
              <w:rPr>
                <w:rFonts w:ascii="Aptos" w:hAnsi="Aptos"/>
                <w:sz w:val="24"/>
                <w:szCs w:val="24"/>
                <w:u w:val="single"/>
              </w:rPr>
            </w:pPr>
          </w:p>
          <w:p w14:paraId="732AF782" w14:textId="77777777" w:rsidR="00730FCE" w:rsidRPr="00730FCE" w:rsidRDefault="00730FCE" w:rsidP="00730FCE">
            <w:pPr>
              <w:rPr>
                <w:rFonts w:ascii="Aptos" w:hAnsi="Aptos"/>
                <w:sz w:val="24"/>
                <w:szCs w:val="24"/>
              </w:rPr>
            </w:pPr>
            <w:r w:rsidRPr="00730FCE">
              <w:rPr>
                <w:rFonts w:ascii="Aptos" w:hAnsi="Aptos"/>
                <w:sz w:val="24"/>
                <w:szCs w:val="24"/>
              </w:rPr>
              <w:t xml:space="preserve">One area within this case that I drew particular focus on was using analysis and professional judgement within a complex safeguarding context. As social workers, it is important to highlight that making decisions in increasingly complex situations can generate anxiety for practitioners (Taylor and Whittaker, 2018). In the case of Citizen 2, it was important to utilise an evidence-based approach to understand the information, which required me to use effective analysis and professional judgement. Gilgun (2005) identifies four key areas of an evidence-based approach in social work practice. These include research and theory, practice wisdom and professional values, our personal assumptions, and what clients bring to practice situations. Being able to reflect on my own personal biases that may subconsciously influence my professional judgement and analysis of situations is crucial within safeguarding. Sakamoto and Pitner (2005) highlight the importance of critical consciousness within social work practice. They state that it is imperative that social workers examine how our own biases, assumptions and cultures affect the ways in which we perceive situations and decision-making (Sakamoto and Pitner, 2005). An example of this is through how Citizen 2’s way of making ends meet by relying financially on others in his social circle. Through understanding my own biases and </w:t>
            </w:r>
            <w:r w:rsidRPr="00730FCE">
              <w:rPr>
                <w:rFonts w:ascii="Aptos" w:hAnsi="Aptos"/>
                <w:sz w:val="24"/>
                <w:szCs w:val="24"/>
              </w:rPr>
              <w:lastRenderedPageBreak/>
              <w:t xml:space="preserve">privileges around class systems, I was able to reflect on the choices made by Citizen 2. This aligns with professional values, as it states that one of the core principles within social work practice is promoting individual choice and practising anti-discriminatory practice (Social Care Wales, 2026). Understanding personal bias and assumptions enabled me to make professional judgements using an anti-oppressive approach within the safeguarding legal framework. </w:t>
            </w:r>
          </w:p>
          <w:p w14:paraId="35C1420C" w14:textId="77777777" w:rsidR="00730FCE" w:rsidRDefault="00730FCE" w:rsidP="00730F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ptos" w:hAnsi="Aptos"/>
                <w:sz w:val="24"/>
                <w:szCs w:val="24"/>
              </w:rPr>
            </w:pPr>
          </w:p>
          <w:p w14:paraId="52663322" w14:textId="5D6F9815" w:rsidR="00730FCE" w:rsidRPr="00730FCE" w:rsidRDefault="00730FCE" w:rsidP="00730F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ptos" w:hAnsi="Aptos"/>
                <w:sz w:val="24"/>
                <w:szCs w:val="24"/>
              </w:rPr>
            </w:pPr>
            <w:r w:rsidRPr="00730FCE">
              <w:rPr>
                <w:rFonts w:ascii="Aptos" w:hAnsi="Aptos"/>
                <w:sz w:val="24"/>
                <w:szCs w:val="24"/>
              </w:rPr>
              <w:t>Another important aspect of professional judgement and analysis within safeguarding is accountability. Being able to justify professional judgements is important within social work practice. The North Wales Safeguarding Board (2020) provides guidance on how practitioners can evidence difficult decision-making. They highlight the importance of gathering facts rather than opinion, assessing risk and developing strategy, as well as considering responsibilities and accountability and recording and reviewing, among other factors. It is also highlighted by Social Care Wales (2026</w:t>
            </w:r>
            <w:r w:rsidR="00A15366">
              <w:rPr>
                <w:rFonts w:ascii="Aptos" w:hAnsi="Aptos"/>
                <w:sz w:val="24"/>
                <w:szCs w:val="24"/>
              </w:rPr>
              <w:t>a</w:t>
            </w:r>
            <w:r w:rsidRPr="00730FCE">
              <w:rPr>
                <w:rFonts w:ascii="Aptos" w:hAnsi="Aptos"/>
                <w:sz w:val="24"/>
                <w:szCs w:val="24"/>
              </w:rPr>
              <w:t>) in the codes of professional practice, the importance of accountability and professional development. One of the ways practitioners can evidence this is through record-keeping that is accurate, factual and respectful (Social Care Wales, 2026</w:t>
            </w:r>
            <w:r w:rsidR="00A15366">
              <w:rPr>
                <w:rFonts w:ascii="Aptos" w:hAnsi="Aptos"/>
                <w:sz w:val="24"/>
                <w:szCs w:val="24"/>
              </w:rPr>
              <w:t>a</w:t>
            </w:r>
            <w:r w:rsidRPr="00730FCE">
              <w:rPr>
                <w:rFonts w:ascii="Aptos" w:hAnsi="Aptos"/>
                <w:sz w:val="24"/>
                <w:szCs w:val="24"/>
              </w:rPr>
              <w:t xml:space="preserve">). It was important in this case that the discussions that took place with </w:t>
            </w:r>
            <w:r w:rsidR="00DB778B">
              <w:rPr>
                <w:rFonts w:ascii="Aptos" w:hAnsi="Aptos"/>
                <w:sz w:val="24"/>
                <w:szCs w:val="24"/>
              </w:rPr>
              <w:t>C</w:t>
            </w:r>
            <w:r w:rsidRPr="00730FCE">
              <w:rPr>
                <w:rFonts w:ascii="Aptos" w:hAnsi="Aptos"/>
                <w:sz w:val="24"/>
                <w:szCs w:val="24"/>
              </w:rPr>
              <w:t xml:space="preserve">itizen 2 were recorded in an accurate and timely manner, as this provides clear evidence as to why I made the judgements </w:t>
            </w:r>
            <w:r w:rsidR="008B33F9" w:rsidRPr="00730FCE">
              <w:rPr>
                <w:rFonts w:ascii="Aptos" w:hAnsi="Aptos"/>
                <w:sz w:val="24"/>
                <w:szCs w:val="24"/>
              </w:rPr>
              <w:t>regarding</w:t>
            </w:r>
            <w:r w:rsidRPr="00730FCE">
              <w:rPr>
                <w:rFonts w:ascii="Aptos" w:hAnsi="Aptos"/>
                <w:sz w:val="24"/>
                <w:szCs w:val="24"/>
              </w:rPr>
              <w:t xml:space="preserve"> the safeguarding of </w:t>
            </w:r>
            <w:r w:rsidR="00DB778B">
              <w:rPr>
                <w:rFonts w:ascii="Aptos" w:hAnsi="Aptos"/>
                <w:sz w:val="24"/>
                <w:szCs w:val="24"/>
              </w:rPr>
              <w:t>C</w:t>
            </w:r>
            <w:r w:rsidRPr="00730FCE">
              <w:rPr>
                <w:rFonts w:ascii="Aptos" w:hAnsi="Aptos"/>
                <w:sz w:val="24"/>
                <w:szCs w:val="24"/>
              </w:rPr>
              <w:t xml:space="preserve">itizen 2 in this case. </w:t>
            </w:r>
          </w:p>
          <w:p w14:paraId="35C47166" w14:textId="77777777" w:rsidR="00730FCE" w:rsidRPr="00730FCE" w:rsidRDefault="00730FCE" w:rsidP="00730FC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ptos" w:hAnsi="Aptos" w:cs="Helvetica"/>
                <w:sz w:val="24"/>
                <w:szCs w:val="24"/>
              </w:rPr>
            </w:pPr>
          </w:p>
          <w:p w14:paraId="4C3F2BEC" w14:textId="77777777" w:rsidR="00730FCE" w:rsidRPr="00730FCE" w:rsidRDefault="00730FCE" w:rsidP="00730FCE">
            <w:pPr>
              <w:rPr>
                <w:rFonts w:ascii="Aptos" w:hAnsi="Aptos"/>
                <w:sz w:val="24"/>
                <w:szCs w:val="24"/>
                <w:u w:val="single"/>
              </w:rPr>
            </w:pPr>
            <w:r w:rsidRPr="00730FCE">
              <w:rPr>
                <w:rFonts w:ascii="Aptos" w:hAnsi="Aptos"/>
                <w:sz w:val="24"/>
                <w:szCs w:val="24"/>
                <w:u w:val="single"/>
              </w:rPr>
              <w:t xml:space="preserve">Multi-Agency Working </w:t>
            </w:r>
          </w:p>
          <w:p w14:paraId="39489B51" w14:textId="77777777" w:rsidR="00730FCE" w:rsidRPr="00730FCE" w:rsidRDefault="00730FCE" w:rsidP="00730FCE">
            <w:pPr>
              <w:rPr>
                <w:rFonts w:ascii="Aptos" w:hAnsi="Aptos"/>
                <w:b/>
                <w:bCs/>
                <w:sz w:val="24"/>
                <w:szCs w:val="24"/>
                <w:u w:val="single"/>
              </w:rPr>
            </w:pPr>
          </w:p>
          <w:p w14:paraId="2E84DCB8" w14:textId="7D010CCF" w:rsidR="00730FCE" w:rsidRDefault="00730FCE" w:rsidP="00730FCE">
            <w:pPr>
              <w:rPr>
                <w:rFonts w:ascii="Aptos" w:hAnsi="Aptos"/>
                <w:sz w:val="24"/>
                <w:szCs w:val="24"/>
              </w:rPr>
            </w:pPr>
            <w:r w:rsidRPr="00730FCE">
              <w:rPr>
                <w:rFonts w:ascii="Aptos" w:hAnsi="Aptos"/>
                <w:sz w:val="24"/>
                <w:szCs w:val="24"/>
              </w:rPr>
              <w:t xml:space="preserve">In safeguarding procedures under the Wales Safeguarding Procedures (2020), professionals must practice multi-agency working. According to the thematic review of Ball, Monaghan and McManus (2025), there are common themes uncovered from adult case reviews. One of these is the importance of multi-agency working. It states that “to support individuals holistically and meet a variety of needs, practitioners have to work collaboratively to draw on a broader repertoire of skills” (Ball, Monaghan and McManus, 2025, p.20). This highlights the importance of working collaboratively with other agencies when safeguarding adults at risk. Throughout this case, multi-agency partnership working was utilised to share information and support decision-making in a collaborative way. One of the ways this was undertaken was through regular multi-disciplinary meetings. These included a multitude of agencies, including the community mental health teams, safeguarding teams, the local authority, the housing team and the police. The positive outcomes from working collaboratively with other agencies included having a multi-faceted perspective and understanding how best to intervene. Throughout the multidisciplinary meetings, we shared evidence gathered by each professional. It was particularly useful having the housing team involved during the meetings, as the support worker involved had a strong relationship with the citizen and had access to information other professionals did not. It also gave us insight into his home environment, and we were able to establish whether there was a risk of cuckooing. The police offered support with approaching </w:t>
            </w:r>
            <w:r w:rsidR="00DB778B">
              <w:rPr>
                <w:rFonts w:ascii="Aptos" w:hAnsi="Aptos"/>
                <w:sz w:val="24"/>
                <w:szCs w:val="24"/>
              </w:rPr>
              <w:t>C</w:t>
            </w:r>
            <w:r w:rsidRPr="00730FCE">
              <w:rPr>
                <w:rFonts w:ascii="Aptos" w:hAnsi="Aptos"/>
                <w:sz w:val="24"/>
                <w:szCs w:val="24"/>
              </w:rPr>
              <w:t xml:space="preserve">itizen 2 through a neighbouring policing approach, and we were also able to access their intel as to whether any of those involved had come to the police’s attention. Another positive aspect of multi-agency working is the management of risk. SCIE (2024) states that partnership working is crucial for robust risk management plans and support plans </w:t>
            </w:r>
            <w:r w:rsidR="008B33F9" w:rsidRPr="00730FCE">
              <w:rPr>
                <w:rFonts w:ascii="Aptos" w:hAnsi="Aptos"/>
                <w:sz w:val="24"/>
                <w:szCs w:val="24"/>
              </w:rPr>
              <w:t>for</w:t>
            </w:r>
            <w:r w:rsidRPr="00730FCE">
              <w:rPr>
                <w:rFonts w:ascii="Aptos" w:hAnsi="Aptos"/>
                <w:sz w:val="24"/>
                <w:szCs w:val="24"/>
              </w:rPr>
              <w:t xml:space="preserve"> citizens to receive appropriate and timely support. This highlights the benefit of having a holistic overview with </w:t>
            </w:r>
            <w:r w:rsidRPr="00730FCE">
              <w:rPr>
                <w:rFonts w:ascii="Aptos" w:hAnsi="Aptos"/>
                <w:sz w:val="24"/>
                <w:szCs w:val="24"/>
              </w:rPr>
              <w:lastRenderedPageBreak/>
              <w:t xml:space="preserve">knowledge from other agencies </w:t>
            </w:r>
            <w:r w:rsidR="008B33F9" w:rsidRPr="00730FCE">
              <w:rPr>
                <w:rFonts w:ascii="Aptos" w:hAnsi="Aptos"/>
                <w:sz w:val="24"/>
                <w:szCs w:val="24"/>
              </w:rPr>
              <w:t>to</w:t>
            </w:r>
            <w:r w:rsidRPr="00730FCE">
              <w:rPr>
                <w:rFonts w:ascii="Aptos" w:hAnsi="Aptos"/>
                <w:sz w:val="24"/>
                <w:szCs w:val="24"/>
              </w:rPr>
              <w:t xml:space="preserve"> assess and manage risk in an appropriate manner. In this case, professionals were able to collectively assess the risks involved with the safeguarding concerns and conduct a support plan with all professionals involved.  </w:t>
            </w:r>
          </w:p>
          <w:p w14:paraId="611E4A67" w14:textId="77777777" w:rsidR="00730FCE" w:rsidRPr="00730FCE" w:rsidRDefault="00730FCE" w:rsidP="00730FCE">
            <w:pPr>
              <w:rPr>
                <w:rFonts w:ascii="Aptos" w:hAnsi="Aptos"/>
                <w:sz w:val="24"/>
                <w:szCs w:val="24"/>
              </w:rPr>
            </w:pPr>
          </w:p>
          <w:p w14:paraId="3A144C78" w14:textId="22672617" w:rsidR="00730FCE" w:rsidRDefault="00730FCE" w:rsidP="00730FCE">
            <w:pPr>
              <w:rPr>
                <w:rFonts w:ascii="Aptos" w:hAnsi="Aptos"/>
                <w:sz w:val="24"/>
                <w:szCs w:val="24"/>
              </w:rPr>
            </w:pPr>
            <w:r w:rsidRPr="00730FCE">
              <w:rPr>
                <w:rFonts w:ascii="Aptos" w:hAnsi="Aptos"/>
                <w:sz w:val="24"/>
                <w:szCs w:val="24"/>
              </w:rPr>
              <w:t>Welsh Government (2016</w:t>
            </w:r>
            <w:r w:rsidR="00545F5B">
              <w:rPr>
                <w:rFonts w:ascii="Aptos" w:hAnsi="Aptos"/>
                <w:sz w:val="24"/>
                <w:szCs w:val="24"/>
              </w:rPr>
              <w:t>b</w:t>
            </w:r>
            <w:r w:rsidRPr="00730FCE">
              <w:rPr>
                <w:rFonts w:ascii="Aptos" w:hAnsi="Aptos"/>
                <w:sz w:val="24"/>
                <w:szCs w:val="24"/>
              </w:rPr>
              <w:t xml:space="preserve">) highlights that practitioners must share information in accordance with the </w:t>
            </w:r>
            <w:r w:rsidRPr="00730FCE">
              <w:rPr>
                <w:rFonts w:ascii="Aptos" w:hAnsi="Aptos"/>
                <w:i/>
                <w:iCs/>
                <w:sz w:val="24"/>
                <w:szCs w:val="24"/>
              </w:rPr>
              <w:t>Data Protection Act 1998</w:t>
            </w:r>
            <w:r w:rsidRPr="00730FCE">
              <w:rPr>
                <w:rFonts w:ascii="Aptos" w:hAnsi="Aptos"/>
                <w:sz w:val="24"/>
                <w:szCs w:val="24"/>
              </w:rPr>
              <w:t xml:space="preserve"> and more recently the </w:t>
            </w:r>
            <w:r w:rsidRPr="00730FCE">
              <w:rPr>
                <w:rFonts w:ascii="Aptos" w:hAnsi="Aptos"/>
                <w:i/>
                <w:iCs/>
                <w:sz w:val="24"/>
                <w:szCs w:val="24"/>
              </w:rPr>
              <w:t>Data Protection Act 2018.</w:t>
            </w:r>
            <w:r w:rsidRPr="00730FCE">
              <w:rPr>
                <w:rFonts w:ascii="Aptos" w:hAnsi="Aptos"/>
                <w:sz w:val="24"/>
                <w:szCs w:val="24"/>
              </w:rPr>
              <w:t xml:space="preserve"> They identify that there are some circumstances where sharing confidential information without consent will be justifiable, this includes when there is reasonable cause to believe that an adult is suffering or at risk of serious harm (Welsh Government, 2016</w:t>
            </w:r>
            <w:r w:rsidR="00545F5B">
              <w:rPr>
                <w:rFonts w:ascii="Aptos" w:hAnsi="Aptos"/>
                <w:sz w:val="24"/>
                <w:szCs w:val="24"/>
              </w:rPr>
              <w:t>b</w:t>
            </w:r>
            <w:r w:rsidRPr="00730FCE">
              <w:rPr>
                <w:rFonts w:ascii="Aptos" w:hAnsi="Aptos"/>
                <w:sz w:val="24"/>
                <w:szCs w:val="24"/>
              </w:rPr>
              <w:t xml:space="preserve">). As such, concerns regarding the potential financial abuse of </w:t>
            </w:r>
            <w:r w:rsidR="00DB778B">
              <w:rPr>
                <w:rFonts w:ascii="Aptos" w:hAnsi="Aptos"/>
                <w:sz w:val="24"/>
                <w:szCs w:val="24"/>
              </w:rPr>
              <w:t>C</w:t>
            </w:r>
            <w:r w:rsidRPr="00730FCE">
              <w:rPr>
                <w:rFonts w:ascii="Aptos" w:hAnsi="Aptos"/>
                <w:sz w:val="24"/>
                <w:szCs w:val="24"/>
              </w:rPr>
              <w:t xml:space="preserve">itizen 2 were shared with the professionals involved in his care and support, in addition to my immediate line manager. Further advice was also sought through XXX local authority safeguarding officers, and the local health board’s safeguarding team due to the complexities within the case. </w:t>
            </w:r>
          </w:p>
          <w:p w14:paraId="7A7DB611" w14:textId="77777777" w:rsidR="00730FCE" w:rsidRPr="00730FCE" w:rsidRDefault="00730FCE" w:rsidP="00730FCE">
            <w:pPr>
              <w:rPr>
                <w:rFonts w:ascii="Aptos" w:hAnsi="Aptos"/>
                <w:sz w:val="24"/>
                <w:szCs w:val="24"/>
              </w:rPr>
            </w:pPr>
          </w:p>
          <w:p w14:paraId="37C67854" w14:textId="0CBAE0C3" w:rsidR="00730FCE" w:rsidRDefault="00730FCE" w:rsidP="00730FCE">
            <w:pPr>
              <w:rPr>
                <w:rFonts w:ascii="Aptos" w:hAnsi="Aptos"/>
                <w:sz w:val="24"/>
                <w:szCs w:val="24"/>
              </w:rPr>
            </w:pPr>
            <w:r w:rsidRPr="00730FCE">
              <w:rPr>
                <w:rFonts w:ascii="Aptos" w:hAnsi="Aptos"/>
                <w:sz w:val="24"/>
                <w:szCs w:val="24"/>
              </w:rPr>
              <w:t xml:space="preserve">There are also barriers to multi-agency working that must be acknowledged. Ball, McElwee and McManus (2024) state that some of the barriers around multi-agency safeguarding include uncertainty around the roles and responsibilities as well as not having information shared promptly. One of the key issues I found during the case was being able to co-work effectively with health colleagues. There were numerous times when I had been struggling to </w:t>
            </w:r>
            <w:proofErr w:type="gramStart"/>
            <w:r w:rsidRPr="00730FCE">
              <w:rPr>
                <w:rFonts w:ascii="Aptos" w:hAnsi="Aptos"/>
                <w:sz w:val="24"/>
                <w:szCs w:val="24"/>
              </w:rPr>
              <w:t>make contact with</w:t>
            </w:r>
            <w:proofErr w:type="gramEnd"/>
            <w:r w:rsidRPr="00730FCE">
              <w:rPr>
                <w:rFonts w:ascii="Aptos" w:hAnsi="Aptos"/>
                <w:sz w:val="24"/>
                <w:szCs w:val="24"/>
              </w:rPr>
              <w:t xml:space="preserve"> Citizen </w:t>
            </w:r>
            <w:r w:rsidR="008B33F9" w:rsidRPr="00730FCE">
              <w:rPr>
                <w:rFonts w:ascii="Aptos" w:hAnsi="Aptos"/>
                <w:sz w:val="24"/>
                <w:szCs w:val="24"/>
              </w:rPr>
              <w:t>2 and</w:t>
            </w:r>
            <w:r w:rsidRPr="00730FCE">
              <w:rPr>
                <w:rFonts w:ascii="Aptos" w:hAnsi="Aptos"/>
                <w:sz w:val="24"/>
                <w:szCs w:val="24"/>
              </w:rPr>
              <w:t xml:space="preserve"> later found out that other professionals had met with Citizen 2 with the opportunity for joint visits. In addition, there was information shared with some professionals within the multi-disciplinary team but not all. This made it difficult to undertake intervention and respond to information promptly. This highlights that multi-agency working has areas in which it can still be improved to support the safeguarding and protection of adults at risk of harm. </w:t>
            </w:r>
          </w:p>
          <w:p w14:paraId="059531D0" w14:textId="77777777" w:rsidR="00730FCE" w:rsidRPr="00730FCE" w:rsidRDefault="00730FCE" w:rsidP="00730FCE">
            <w:pPr>
              <w:rPr>
                <w:rFonts w:ascii="Aptos" w:hAnsi="Aptos"/>
                <w:color w:val="000000" w:themeColor="text1"/>
                <w:sz w:val="24"/>
                <w:szCs w:val="24"/>
              </w:rPr>
            </w:pPr>
          </w:p>
          <w:p w14:paraId="5402F519" w14:textId="77777777" w:rsidR="00730FCE" w:rsidRDefault="00730FCE" w:rsidP="00730FCE">
            <w:pPr>
              <w:rPr>
                <w:rFonts w:ascii="Aptos" w:hAnsi="Aptos"/>
                <w:sz w:val="24"/>
                <w:szCs w:val="24"/>
                <w:u w:val="single"/>
              </w:rPr>
            </w:pPr>
            <w:r w:rsidRPr="00730FCE">
              <w:rPr>
                <w:rFonts w:ascii="Aptos" w:hAnsi="Aptos"/>
                <w:sz w:val="24"/>
                <w:szCs w:val="24"/>
                <w:u w:val="single"/>
              </w:rPr>
              <w:t>Social Work Theory</w:t>
            </w:r>
          </w:p>
          <w:p w14:paraId="13716CEB" w14:textId="77777777" w:rsidR="00730FCE" w:rsidRPr="00730FCE" w:rsidRDefault="00730FCE" w:rsidP="00730FCE">
            <w:pPr>
              <w:rPr>
                <w:rFonts w:ascii="Aptos" w:hAnsi="Aptos"/>
                <w:sz w:val="24"/>
                <w:szCs w:val="24"/>
                <w:u w:val="single"/>
              </w:rPr>
            </w:pPr>
          </w:p>
          <w:p w14:paraId="10819DF8" w14:textId="77777777" w:rsidR="00730FCE" w:rsidRDefault="00730FCE" w:rsidP="00730FCE">
            <w:pPr>
              <w:rPr>
                <w:rFonts w:ascii="Aptos" w:hAnsi="Aptos"/>
                <w:sz w:val="24"/>
                <w:szCs w:val="24"/>
              </w:rPr>
            </w:pPr>
            <w:r w:rsidRPr="00730FCE">
              <w:rPr>
                <w:rFonts w:ascii="Aptos" w:hAnsi="Aptos"/>
                <w:sz w:val="24"/>
                <w:szCs w:val="24"/>
              </w:rPr>
              <w:t xml:space="preserve">Within adult safeguarding, it is crucial that the individual is kept at the centre of the work we do. One of the ways this is done in social work practice is through person-centred care. Throughout the safeguarding investigation, it was important that Citizen 2’s wishes and feelings were acknowledged and respected. It was through consistent open conversations with Citizen 2 about the concerns that we were able to reach a resolution in a person-centred approach. Peart (2023) explains that it is important that practitioners respect citizens’ choices and recognise their diverse backgrounds, beliefs and values and give them the information and resources to make their own choices. This is reinforced in the </w:t>
            </w:r>
            <w:r w:rsidRPr="00730FCE">
              <w:rPr>
                <w:rFonts w:ascii="Aptos" w:hAnsi="Aptos"/>
                <w:i/>
                <w:iCs/>
                <w:sz w:val="24"/>
                <w:szCs w:val="24"/>
              </w:rPr>
              <w:t>Social Services and Wellbeing (Wales) Act 2014</w:t>
            </w:r>
            <w:r w:rsidRPr="00730FCE">
              <w:rPr>
                <w:rFonts w:ascii="Aptos" w:hAnsi="Aptos"/>
                <w:sz w:val="24"/>
                <w:szCs w:val="24"/>
              </w:rPr>
              <w:t xml:space="preserve">, which highlights the rights of the individual as paramount to a person-centred approach (Wales Safeguarding Procedures, 2020). By keeping Citizen 2 at the heart of the investigation, we were able to understand his cultural sensitivities and support him to make informed choices of his own. We were able to understand that Citizen 2’s relationship with his brother and others in his social circle, and the choices he made were to support others financially at a detriment to himself at times. Whilst Citizen 2 acknowledged that this put himself in a precarious financial situation, he was able to explain to us why he made the decisions he made. </w:t>
            </w:r>
          </w:p>
          <w:p w14:paraId="30EF5868" w14:textId="77777777" w:rsidR="00730FCE" w:rsidRPr="00730FCE" w:rsidRDefault="00730FCE" w:rsidP="00730FCE">
            <w:pPr>
              <w:rPr>
                <w:rFonts w:ascii="Aptos" w:hAnsi="Aptos"/>
                <w:sz w:val="24"/>
                <w:szCs w:val="24"/>
              </w:rPr>
            </w:pPr>
          </w:p>
          <w:p w14:paraId="5795FD6C" w14:textId="77777777" w:rsidR="00730FCE" w:rsidRDefault="00730FCE" w:rsidP="00730FCE">
            <w:pPr>
              <w:rPr>
                <w:rFonts w:ascii="Aptos" w:hAnsi="Aptos"/>
                <w:sz w:val="24"/>
                <w:szCs w:val="24"/>
              </w:rPr>
            </w:pPr>
            <w:r w:rsidRPr="00730FCE">
              <w:rPr>
                <w:rFonts w:ascii="Aptos" w:hAnsi="Aptos"/>
                <w:sz w:val="24"/>
                <w:szCs w:val="24"/>
              </w:rPr>
              <w:t xml:space="preserve">Understanding the context of Citizen 2’s social background and lifestyle was important in this case. One dimension of understanding this is through social exclusion. Citizen 2 was born in an urban city where criminal activity was much more prevalent. In his younger years, Citizen 2 found himself involved in criminal activities and anti-social behaviour. He then moved to Wales, looking for better opportunities and greater quality of life, but ended up in a deprived town with high rates of unemployment and deprivation. </w:t>
            </w:r>
            <w:proofErr w:type="spellStart"/>
            <w:r w:rsidRPr="00730FCE">
              <w:rPr>
                <w:rFonts w:ascii="Aptos" w:hAnsi="Aptos"/>
                <w:sz w:val="24"/>
                <w:szCs w:val="24"/>
              </w:rPr>
              <w:t>Backwith</w:t>
            </w:r>
            <w:proofErr w:type="spellEnd"/>
            <w:r w:rsidRPr="00730FCE">
              <w:rPr>
                <w:rFonts w:ascii="Aptos" w:hAnsi="Aptos"/>
                <w:sz w:val="24"/>
                <w:szCs w:val="24"/>
              </w:rPr>
              <w:t xml:space="preserve"> (2015) states that “a key aspect of social exclusion is that it is multi-dimensional – excluded people are disadvantaged in many different areas of their lives” (</w:t>
            </w:r>
            <w:proofErr w:type="spellStart"/>
            <w:r w:rsidRPr="00730FCE">
              <w:rPr>
                <w:rFonts w:ascii="Aptos" w:hAnsi="Aptos"/>
                <w:sz w:val="24"/>
                <w:szCs w:val="24"/>
              </w:rPr>
              <w:t>Backwith</w:t>
            </w:r>
            <w:proofErr w:type="spellEnd"/>
            <w:r w:rsidRPr="00730FCE">
              <w:rPr>
                <w:rFonts w:ascii="Aptos" w:hAnsi="Aptos"/>
                <w:sz w:val="24"/>
                <w:szCs w:val="24"/>
              </w:rPr>
              <w:t xml:space="preserve">, 2015, p.32). In Citizen 2’s case, he experienced the intersectionality of poverty, unemployment, mental health issues, physical health issues and alcohol and substance misuse. </w:t>
            </w:r>
          </w:p>
          <w:p w14:paraId="7125667B" w14:textId="77777777" w:rsidR="00730FCE" w:rsidRPr="00730FCE" w:rsidRDefault="00730FCE" w:rsidP="00730FCE">
            <w:pPr>
              <w:rPr>
                <w:rFonts w:ascii="Aptos" w:hAnsi="Aptos"/>
                <w:sz w:val="24"/>
                <w:szCs w:val="24"/>
              </w:rPr>
            </w:pPr>
          </w:p>
          <w:p w14:paraId="3027F945" w14:textId="3D5B6BFB" w:rsidR="00730FCE" w:rsidRDefault="00730FCE" w:rsidP="00730FCE">
            <w:pPr>
              <w:rPr>
                <w:rFonts w:ascii="Aptos" w:hAnsi="Aptos"/>
                <w:sz w:val="24"/>
                <w:szCs w:val="24"/>
              </w:rPr>
            </w:pPr>
            <w:r w:rsidRPr="00730FCE">
              <w:rPr>
                <w:rFonts w:ascii="Aptos" w:hAnsi="Aptos"/>
                <w:sz w:val="24"/>
                <w:szCs w:val="24"/>
              </w:rPr>
              <w:t xml:space="preserve">Citizen 2 could be linked to underclass theory through the intersectionality of inequality he experiences in his daily life. Greene (2024) describes the underclass as a social group that is often associated with poverty, unstable family structures, criminal activity and dependence on welfare. This relates to Citizen 2, as his normality has become a life of deprivation, marginalisation and social exclusion through many different areas of his life. His choices reflect the hardships he has experienced throughout his life and the people he surrounds himself with. This is reflected in the choices he makes within his life. His values are centred around his social circle and family, as well as finding coping mechanisms to get through his hardships in daily life. This is significant as it helps us understand why </w:t>
            </w:r>
            <w:r w:rsidR="00DB778B">
              <w:rPr>
                <w:rFonts w:ascii="Aptos" w:hAnsi="Aptos"/>
                <w:sz w:val="24"/>
                <w:szCs w:val="24"/>
              </w:rPr>
              <w:t>C</w:t>
            </w:r>
            <w:r w:rsidRPr="00730FCE">
              <w:rPr>
                <w:rFonts w:ascii="Aptos" w:hAnsi="Aptos"/>
                <w:sz w:val="24"/>
                <w:szCs w:val="24"/>
              </w:rPr>
              <w:t xml:space="preserve">itizen 2 makes what others may consider unwise choices, however, for him, this is how he has adapted in his social environment. </w:t>
            </w:r>
          </w:p>
          <w:p w14:paraId="2AF25526" w14:textId="77777777" w:rsidR="00730FCE" w:rsidRPr="00730FCE" w:rsidRDefault="00730FCE" w:rsidP="00730FCE">
            <w:pPr>
              <w:rPr>
                <w:rFonts w:ascii="Aptos" w:hAnsi="Aptos"/>
                <w:sz w:val="24"/>
                <w:szCs w:val="24"/>
              </w:rPr>
            </w:pPr>
          </w:p>
          <w:p w14:paraId="0892882A" w14:textId="77777777" w:rsidR="00730FCE" w:rsidRDefault="00730FCE" w:rsidP="00730FCE">
            <w:pPr>
              <w:rPr>
                <w:rFonts w:ascii="Aptos" w:hAnsi="Aptos"/>
                <w:sz w:val="24"/>
                <w:szCs w:val="24"/>
                <w:u w:val="single"/>
              </w:rPr>
            </w:pPr>
            <w:r w:rsidRPr="00730FCE">
              <w:rPr>
                <w:rFonts w:ascii="Aptos" w:hAnsi="Aptos"/>
                <w:sz w:val="24"/>
                <w:szCs w:val="24"/>
                <w:u w:val="single"/>
              </w:rPr>
              <w:t xml:space="preserve">Conclusion </w:t>
            </w:r>
          </w:p>
          <w:p w14:paraId="3C44F63A" w14:textId="77777777" w:rsidR="00730FCE" w:rsidRPr="00730FCE" w:rsidRDefault="00730FCE" w:rsidP="00730FCE">
            <w:pPr>
              <w:rPr>
                <w:rFonts w:ascii="Aptos" w:hAnsi="Aptos"/>
                <w:sz w:val="24"/>
                <w:szCs w:val="24"/>
                <w:u w:val="single"/>
              </w:rPr>
            </w:pPr>
          </w:p>
          <w:p w14:paraId="0351EB22" w14:textId="6925E272" w:rsidR="008B33F9" w:rsidRPr="00730FCE" w:rsidRDefault="00730FCE" w:rsidP="00730FCE">
            <w:pPr>
              <w:rPr>
                <w:rFonts w:ascii="Aptos" w:hAnsi="Aptos"/>
                <w:sz w:val="24"/>
                <w:szCs w:val="24"/>
              </w:rPr>
            </w:pPr>
            <w:r w:rsidRPr="00730FCE">
              <w:rPr>
                <w:rFonts w:ascii="Aptos" w:hAnsi="Aptos"/>
                <w:sz w:val="24"/>
                <w:szCs w:val="24"/>
              </w:rPr>
              <w:t xml:space="preserve">To conclude, this case study discussed the key legislation used to safeguard adults at risk of abuse and neglect in Wales, the UK, the EU and internationally. This includes the </w:t>
            </w:r>
            <w:r w:rsidRPr="00730FCE">
              <w:rPr>
                <w:rFonts w:ascii="Aptos" w:hAnsi="Aptos"/>
                <w:i/>
                <w:iCs/>
                <w:sz w:val="24"/>
                <w:szCs w:val="24"/>
              </w:rPr>
              <w:t>Social Services and Wellbeing (Wales) Act 2014</w:t>
            </w:r>
            <w:r w:rsidRPr="00730FCE">
              <w:rPr>
                <w:rFonts w:ascii="Aptos" w:hAnsi="Aptos"/>
                <w:sz w:val="24"/>
                <w:szCs w:val="24"/>
              </w:rPr>
              <w:t xml:space="preserve"> in Wales, the </w:t>
            </w:r>
            <w:r w:rsidRPr="00730FCE">
              <w:rPr>
                <w:rFonts w:ascii="Aptos" w:hAnsi="Aptos"/>
                <w:i/>
                <w:iCs/>
                <w:sz w:val="24"/>
                <w:szCs w:val="24"/>
              </w:rPr>
              <w:t xml:space="preserve">Care Act 2014 </w:t>
            </w:r>
            <w:r w:rsidRPr="00730FCE">
              <w:rPr>
                <w:rFonts w:ascii="Aptos" w:hAnsi="Aptos"/>
                <w:sz w:val="24"/>
                <w:szCs w:val="24"/>
              </w:rPr>
              <w:t xml:space="preserve">in England, as well as the European Hague Conference on Private International Law (2022) and the </w:t>
            </w:r>
            <w:r w:rsidRPr="00730FCE">
              <w:rPr>
                <w:rFonts w:ascii="Aptos" w:hAnsi="Aptos"/>
                <w:i/>
                <w:iCs/>
                <w:sz w:val="24"/>
                <w:szCs w:val="24"/>
              </w:rPr>
              <w:t xml:space="preserve">Human Rights Act 1998 </w:t>
            </w:r>
            <w:r w:rsidRPr="00730FCE">
              <w:rPr>
                <w:rFonts w:ascii="Aptos" w:hAnsi="Aptos"/>
                <w:sz w:val="24"/>
                <w:szCs w:val="24"/>
              </w:rPr>
              <w:t xml:space="preserve">internationally. It highlights the consideration of language, communication and culture through the “Active Offer’ and “More than just words” framework (Welsh Government, 2017; 2022). I also reference the importance of making reasonable adjustments in line with the </w:t>
            </w:r>
            <w:r w:rsidRPr="00730FCE">
              <w:rPr>
                <w:rFonts w:ascii="Aptos" w:hAnsi="Aptos"/>
                <w:i/>
                <w:iCs/>
                <w:sz w:val="24"/>
                <w:szCs w:val="24"/>
              </w:rPr>
              <w:t>Equality Act 2010</w:t>
            </w:r>
            <w:r w:rsidRPr="00730FCE">
              <w:rPr>
                <w:rFonts w:ascii="Aptos" w:hAnsi="Aptos"/>
                <w:sz w:val="24"/>
                <w:szCs w:val="24"/>
              </w:rPr>
              <w:t xml:space="preserve">. I pay particular attention to the complexities within adult safeguarding procedures around capacity and consent under the </w:t>
            </w:r>
            <w:r w:rsidRPr="00730FCE">
              <w:rPr>
                <w:rFonts w:ascii="Aptos" w:hAnsi="Aptos"/>
                <w:i/>
                <w:iCs/>
                <w:sz w:val="24"/>
                <w:szCs w:val="24"/>
              </w:rPr>
              <w:t>Mental Capacity Act 2005</w:t>
            </w:r>
            <w:r w:rsidRPr="00730FCE">
              <w:rPr>
                <w:rFonts w:ascii="Aptos" w:hAnsi="Aptos"/>
                <w:sz w:val="24"/>
                <w:szCs w:val="24"/>
              </w:rPr>
              <w:t>. I explain the strategies and procedures I took as well as consideration to procedures if the outcome of the mental capacity act assessment had been different. In addition, I reflect on the theories and approaches relevant to the case within the adult safeguarding context</w:t>
            </w:r>
            <w:r>
              <w:rPr>
                <w:rFonts w:ascii="Aptos" w:hAnsi="Aptos"/>
                <w:sz w:val="24"/>
                <w:szCs w:val="24"/>
              </w:rPr>
              <w:t xml:space="preserve"> such as intersectionality, person-centred approaches and social class systems</w:t>
            </w:r>
            <w:r w:rsidRPr="00730FCE">
              <w:rPr>
                <w:rFonts w:ascii="Aptos" w:hAnsi="Aptos"/>
                <w:sz w:val="24"/>
                <w:szCs w:val="24"/>
              </w:rPr>
              <w:t xml:space="preserve">. </w:t>
            </w:r>
            <w:r>
              <w:rPr>
                <w:rFonts w:ascii="Aptos" w:hAnsi="Aptos"/>
                <w:sz w:val="24"/>
                <w:szCs w:val="24"/>
              </w:rPr>
              <w:t xml:space="preserve">I discuss the importance of professional judgement and analysis and multi-agency working, with reference to anti-oppressive practice, sharing information and accountability. </w:t>
            </w:r>
            <w:r w:rsidRPr="00730FCE">
              <w:rPr>
                <w:rFonts w:ascii="Aptos" w:hAnsi="Aptos"/>
                <w:sz w:val="24"/>
                <w:szCs w:val="24"/>
              </w:rPr>
              <w:t xml:space="preserve">This case study demonstrates how </w:t>
            </w:r>
            <w:r w:rsidR="008B33F9">
              <w:rPr>
                <w:rFonts w:ascii="Aptos" w:hAnsi="Aptos"/>
                <w:sz w:val="24"/>
                <w:szCs w:val="24"/>
              </w:rPr>
              <w:t>I met the</w:t>
            </w:r>
            <w:r w:rsidRPr="00730FCE">
              <w:rPr>
                <w:rFonts w:ascii="Aptos" w:hAnsi="Aptos"/>
                <w:sz w:val="24"/>
                <w:szCs w:val="24"/>
              </w:rPr>
              <w:t xml:space="preserve"> three Social Care Wales learning outcomes</w:t>
            </w:r>
            <w:r w:rsidR="008B33F9">
              <w:rPr>
                <w:rFonts w:ascii="Aptos" w:hAnsi="Aptos"/>
                <w:sz w:val="24"/>
                <w:szCs w:val="24"/>
              </w:rPr>
              <w:t>;</w:t>
            </w:r>
            <w:r w:rsidRPr="00730FCE">
              <w:rPr>
                <w:rFonts w:ascii="Aptos" w:hAnsi="Aptos"/>
                <w:sz w:val="24"/>
                <w:szCs w:val="24"/>
              </w:rPr>
              <w:t xml:space="preserve"> the integration of analysis in assessment, collaborative working</w:t>
            </w:r>
            <w:r w:rsidR="008B33F9">
              <w:rPr>
                <w:rFonts w:ascii="Aptos" w:hAnsi="Aptos"/>
                <w:sz w:val="24"/>
                <w:szCs w:val="24"/>
              </w:rPr>
              <w:t>,</w:t>
            </w:r>
            <w:r w:rsidRPr="00730FCE">
              <w:rPr>
                <w:rFonts w:ascii="Aptos" w:hAnsi="Aptos"/>
                <w:sz w:val="24"/>
                <w:szCs w:val="24"/>
              </w:rPr>
              <w:t xml:space="preserve"> and </w:t>
            </w:r>
            <w:r w:rsidR="008B33F9">
              <w:rPr>
                <w:rFonts w:ascii="Aptos" w:hAnsi="Aptos"/>
                <w:sz w:val="24"/>
                <w:szCs w:val="24"/>
              </w:rPr>
              <w:t xml:space="preserve">making </w:t>
            </w:r>
            <w:r w:rsidRPr="00730FCE">
              <w:rPr>
                <w:rFonts w:ascii="Aptos" w:hAnsi="Aptos"/>
                <w:sz w:val="24"/>
                <w:szCs w:val="24"/>
              </w:rPr>
              <w:t>professional judgements in increasingly complex situations</w:t>
            </w:r>
            <w:r w:rsidR="008B33F9">
              <w:rPr>
                <w:rFonts w:ascii="Aptos" w:hAnsi="Aptos"/>
                <w:sz w:val="24"/>
                <w:szCs w:val="24"/>
              </w:rPr>
              <w:t xml:space="preserve"> within adult safeguarding. </w:t>
            </w:r>
          </w:p>
          <w:p w14:paraId="12DC2F24" w14:textId="24094196" w:rsidR="00D3203C" w:rsidRDefault="00D3203C" w:rsidP="00FF7EBB">
            <w:pPr>
              <w:jc w:val="both"/>
              <w:rPr>
                <w:iCs/>
                <w:sz w:val="24"/>
                <w:szCs w:val="24"/>
              </w:rPr>
            </w:pPr>
          </w:p>
          <w:p w14:paraId="57177021" w14:textId="48A2A305" w:rsidR="008B33F9" w:rsidRPr="008B33F9" w:rsidRDefault="008B33F9" w:rsidP="00FF7EBB">
            <w:pPr>
              <w:jc w:val="both"/>
              <w:rPr>
                <w:rFonts w:ascii="Aptos" w:hAnsi="Aptos"/>
                <w:iCs/>
                <w:sz w:val="24"/>
                <w:szCs w:val="24"/>
              </w:rPr>
            </w:pPr>
            <w:r w:rsidRPr="008B33F9">
              <w:rPr>
                <w:rFonts w:ascii="Aptos" w:hAnsi="Aptos"/>
                <w:iCs/>
                <w:sz w:val="24"/>
                <w:szCs w:val="24"/>
              </w:rPr>
              <w:t>4055 Words</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7C162" w14:textId="77777777" w:rsidR="008B1808" w:rsidRDefault="008B1808">
      <w:r>
        <w:separator/>
      </w:r>
    </w:p>
  </w:endnote>
  <w:endnote w:type="continuationSeparator" w:id="0">
    <w:p w14:paraId="02FD60E5" w14:textId="77777777" w:rsidR="008B1808" w:rsidRDefault="008B1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22BB0" w14:textId="77777777" w:rsidR="008B1808" w:rsidRDefault="008B1808">
      <w:r>
        <w:separator/>
      </w:r>
    </w:p>
  </w:footnote>
  <w:footnote w:type="continuationSeparator" w:id="0">
    <w:p w14:paraId="7670A3AA" w14:textId="77777777" w:rsidR="008B1808" w:rsidRDefault="008B1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D18"/>
    <w:rsid w:val="0001190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2D00"/>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673B"/>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F5B"/>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0FCE"/>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4C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1808"/>
    <w:rsid w:val="008B28E7"/>
    <w:rsid w:val="008B33F9"/>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3B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2E61"/>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5366"/>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5FD3"/>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778B"/>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6CB"/>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4256</Words>
  <Characters>23303</Characters>
  <Application>Microsoft Office Word</Application>
  <DocSecurity>0</DocSecurity>
  <Lines>388</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Alaw Hughes</cp:lastModifiedBy>
  <cp:revision>6</cp:revision>
  <cp:lastPrinted>2020-02-11T19:20:00Z</cp:lastPrinted>
  <dcterms:created xsi:type="dcterms:W3CDTF">2026-09-28T11:49:00Z</dcterms:created>
  <dcterms:modified xsi:type="dcterms:W3CDTF">2026-10-07T08:16:00Z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