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14:ligatures w14:val="standardContextual"/>
        </w:rPr>
        <w:id w:val="-1491317805"/>
        <w:docPartObj>
          <w:docPartGallery w:val="Cover Pages"/>
          <w:docPartUnique/>
        </w:docPartObj>
      </w:sdtPr>
      <w:sdtEndPr>
        <w:rPr>
          <w:b/>
          <w:bCs/>
        </w:rPr>
      </w:sdtEndPr>
      <w:sdtContent>
        <w:p w14:paraId="1781C57F" w14:textId="77777777" w:rsidR="006305F6" w:rsidRPr="00A9629B" w:rsidRDefault="006305F6" w:rsidP="00A9629B">
          <w:pPr>
            <w:pStyle w:val="NoSpacing"/>
            <w:spacing w:line="360" w:lineRule="auto"/>
            <w:jc w:val="both"/>
            <w:rPr>
              <w:rFonts w:ascii="Arial" w:hAnsi="Arial" w:cs="Arial"/>
              <w:sz w:val="24"/>
              <w:szCs w:val="24"/>
            </w:rPr>
          </w:pPr>
        </w:p>
        <w:p w14:paraId="2CEA5401" w14:textId="77777777" w:rsidR="004D67A1" w:rsidRDefault="006305F6" w:rsidP="00A9629B">
          <w:pPr>
            <w:spacing w:line="360" w:lineRule="auto"/>
            <w:jc w:val="both"/>
            <w:rPr>
              <w:rFonts w:ascii="Arial" w:hAnsi="Arial" w:cs="Arial"/>
              <w:b/>
              <w:bCs/>
            </w:rPr>
          </w:pPr>
          <w:r w:rsidRPr="00A9629B">
            <w:rPr>
              <w:rFonts w:ascii="Arial" w:hAnsi="Arial" w:cs="Arial"/>
              <w:noProof/>
            </w:rPr>
            <mc:AlternateContent>
              <mc:Choice Requires="wps">
                <w:drawing>
                  <wp:anchor distT="0" distB="0" distL="114300" distR="114300" simplePos="0" relativeHeight="251659264" behindDoc="0" locked="0" layoutInCell="1" allowOverlap="1" wp14:anchorId="6BAA9EB8" wp14:editId="0B97EE8F">
                    <wp:simplePos x="0" y="0"/>
                    <wp:positionH relativeFrom="page">
                      <wp:posOffset>1466850</wp:posOffset>
                    </wp:positionH>
                    <wp:positionV relativeFrom="page">
                      <wp:posOffset>3511846</wp:posOffset>
                    </wp:positionV>
                    <wp:extent cx="4766310" cy="5943600"/>
                    <wp:effectExtent l="0" t="0" r="15240" b="0"/>
                    <wp:wrapNone/>
                    <wp:docPr id="32" name="Text Box 28"/>
                    <wp:cNvGraphicFramePr/>
                    <a:graphic xmlns:a="http://schemas.openxmlformats.org/drawingml/2006/main">
                      <a:graphicData uri="http://schemas.microsoft.com/office/word/2010/wordprocessingShape">
                        <wps:wsp>
                          <wps:cNvSpPr txBox="1"/>
                          <wps:spPr>
                            <a:xfrm>
                              <a:off x="0" y="0"/>
                              <a:ext cx="4766310" cy="5943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C0D2AE" w14:textId="305AB42B"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Module Name: Strategic Management</w:t>
                                </w:r>
                              </w:p>
                              <w:p w14:paraId="405F42D0" w14:textId="20CB69CD"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Module Code: LCMB7003</w:t>
                                </w:r>
                              </w:p>
                              <w:p w14:paraId="21930B18" w14:textId="77777777" w:rsidR="006305F6" w:rsidRPr="00860490" w:rsidRDefault="006305F6" w:rsidP="006305F6">
                                <w:pPr>
                                  <w:pStyle w:val="NoSpacing"/>
                                  <w:spacing w:line="360" w:lineRule="auto"/>
                                  <w:jc w:val="center"/>
                                  <w:rPr>
                                    <w:rFonts w:ascii="Arial" w:hAnsi="Arial" w:cs="Arial"/>
                                    <w:b/>
                                    <w:bCs/>
                                    <w:sz w:val="32"/>
                                    <w:szCs w:val="32"/>
                                  </w:rPr>
                                </w:pPr>
                              </w:p>
                              <w:p w14:paraId="7C8FA6AF" w14:textId="1D017602"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Assessment component - Individual report (Sainsbury’s)</w:t>
                                </w:r>
                              </w:p>
                              <w:p w14:paraId="0D01AA88" w14:textId="77777777" w:rsidR="006305F6" w:rsidRPr="00860490" w:rsidRDefault="006305F6" w:rsidP="006305F6">
                                <w:pPr>
                                  <w:pStyle w:val="NoSpacing"/>
                                  <w:spacing w:line="360" w:lineRule="auto"/>
                                  <w:jc w:val="center"/>
                                  <w:rPr>
                                    <w:rFonts w:ascii="Arial" w:hAnsi="Arial" w:cs="Arial"/>
                                    <w:b/>
                                    <w:bCs/>
                                    <w:sz w:val="32"/>
                                    <w:szCs w:val="32"/>
                                  </w:rPr>
                                </w:pPr>
                              </w:p>
                              <w:p w14:paraId="2DFA903F" w14:textId="1F0B56B8"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 xml:space="preserve">Lecturer’s Name: </w:t>
                                </w:r>
                                <w:r w:rsidR="004D67A1" w:rsidRPr="004D67A1">
                                  <w:rPr>
                                    <w:rFonts w:ascii="Arial" w:hAnsi="Arial" w:cs="Arial"/>
                                    <w:b/>
                                    <w:bCs/>
                                    <w:sz w:val="32"/>
                                    <w:szCs w:val="32"/>
                                  </w:rPr>
                                  <w:t>Hoang Nguyen</w:t>
                                </w:r>
                              </w:p>
                              <w:p w14:paraId="007C805B" w14:textId="77777777" w:rsidR="006305F6" w:rsidRPr="00860490" w:rsidRDefault="006305F6" w:rsidP="006305F6">
                                <w:pPr>
                                  <w:pStyle w:val="NoSpacing"/>
                                  <w:spacing w:line="360" w:lineRule="auto"/>
                                  <w:jc w:val="center"/>
                                  <w:rPr>
                                    <w:rFonts w:ascii="Arial" w:hAnsi="Arial" w:cs="Arial"/>
                                    <w:b/>
                                    <w:bCs/>
                                    <w:sz w:val="32"/>
                                    <w:szCs w:val="32"/>
                                  </w:rPr>
                                </w:pPr>
                              </w:p>
                              <w:p w14:paraId="4354D0C4" w14:textId="77777777"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Student Name: Borhan Uddin</w:t>
                                </w:r>
                              </w:p>
                              <w:p w14:paraId="27D9C167" w14:textId="77777777"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Student ID: 2503890</w:t>
                                </w:r>
                              </w:p>
                              <w:p w14:paraId="67DD5552" w14:textId="77777777" w:rsidR="006305F6" w:rsidRPr="00860490" w:rsidRDefault="006305F6" w:rsidP="006305F6">
                                <w:pPr>
                                  <w:pStyle w:val="NoSpacing"/>
                                  <w:spacing w:line="360" w:lineRule="auto"/>
                                  <w:jc w:val="center"/>
                                  <w:rPr>
                                    <w:rFonts w:ascii="Arial" w:hAnsi="Arial" w:cs="Arial"/>
                                    <w:b/>
                                    <w:bCs/>
                                    <w:sz w:val="32"/>
                                    <w:szCs w:val="32"/>
                                  </w:rPr>
                                </w:pPr>
                              </w:p>
                              <w:p w14:paraId="4A3DF11A" w14:textId="25032E2C" w:rsidR="004D67A1" w:rsidRDefault="004D67A1" w:rsidP="006305F6">
                                <w:pPr>
                                  <w:pStyle w:val="NoSpacing"/>
                                  <w:spacing w:line="360" w:lineRule="auto"/>
                                  <w:jc w:val="center"/>
                                  <w:rPr>
                                    <w:rFonts w:ascii="Arial" w:hAnsi="Arial" w:cs="Arial"/>
                                    <w:b/>
                                    <w:bCs/>
                                    <w:sz w:val="32"/>
                                    <w:szCs w:val="32"/>
                                  </w:rPr>
                                </w:pPr>
                                <w:r>
                                  <w:rPr>
                                    <w:rFonts w:ascii="Arial" w:hAnsi="Arial" w:cs="Arial"/>
                                    <w:b/>
                                    <w:bCs/>
                                    <w:sz w:val="32"/>
                                    <w:szCs w:val="32"/>
                                  </w:rPr>
                                  <w:t>Word Count: 4</w:t>
                                </w:r>
                                <w:r w:rsidR="00FC1F0E">
                                  <w:rPr>
                                    <w:rFonts w:ascii="Arial" w:hAnsi="Arial" w:cs="Arial"/>
                                    <w:b/>
                                    <w:bCs/>
                                    <w:sz w:val="32"/>
                                    <w:szCs w:val="32"/>
                                  </w:rPr>
                                  <w:t>947</w:t>
                                </w:r>
                              </w:p>
                              <w:p w14:paraId="123D1568" w14:textId="30410A89"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 xml:space="preserve">Submission Date: </w:t>
                                </w:r>
                                <w:r w:rsidR="004D67A1">
                                  <w:rPr>
                                    <w:rFonts w:ascii="Arial" w:hAnsi="Arial" w:cs="Arial"/>
                                    <w:b/>
                                    <w:bCs/>
                                    <w:sz w:val="32"/>
                                    <w:szCs w:val="32"/>
                                  </w:rPr>
                                  <w:t>1</w:t>
                                </w:r>
                                <w:r w:rsidR="004D67A1" w:rsidRPr="004D67A1">
                                  <w:rPr>
                                    <w:rFonts w:ascii="Arial" w:hAnsi="Arial" w:cs="Arial"/>
                                    <w:b/>
                                    <w:bCs/>
                                    <w:sz w:val="32"/>
                                    <w:szCs w:val="32"/>
                                    <w:vertAlign w:val="superscript"/>
                                  </w:rPr>
                                  <w:t>st</w:t>
                                </w:r>
                                <w:r w:rsidR="004D67A1">
                                  <w:rPr>
                                    <w:rFonts w:ascii="Arial" w:hAnsi="Arial" w:cs="Arial"/>
                                    <w:b/>
                                    <w:bCs/>
                                    <w:sz w:val="32"/>
                                    <w:szCs w:val="32"/>
                                  </w:rPr>
                                  <w:t xml:space="preserve"> May</w:t>
                                </w:r>
                                <w:r w:rsidR="003E04C0">
                                  <w:rPr>
                                    <w:rFonts w:ascii="Arial" w:hAnsi="Arial" w:cs="Arial"/>
                                    <w:b/>
                                    <w:bCs/>
                                    <w:sz w:val="32"/>
                                    <w:szCs w:val="32"/>
                                  </w:rPr>
                                  <w:t>, 2026</w:t>
                                </w:r>
                              </w:p>
                              <w:p w14:paraId="4C6AFD10" w14:textId="77777777" w:rsidR="006305F6" w:rsidRPr="00860490" w:rsidRDefault="006305F6" w:rsidP="006305F6">
                                <w:pPr>
                                  <w:pStyle w:val="NoSpacing"/>
                                  <w:spacing w:line="360" w:lineRule="auto"/>
                                  <w:jc w:val="center"/>
                                  <w:rPr>
                                    <w:rFonts w:ascii="Arial" w:hAnsi="Arial" w:cs="Arial"/>
                                    <w:b/>
                                    <w:bCs/>
                                    <w:sz w:val="32"/>
                                    <w:szCs w:val="32"/>
                                  </w:rPr>
                                </w:pPr>
                              </w:p>
                              <w:p w14:paraId="3F7B3730" w14:textId="77777777" w:rsidR="006305F6" w:rsidRPr="00860490" w:rsidRDefault="006305F6" w:rsidP="006305F6">
                                <w:pPr>
                                  <w:pStyle w:val="NoSpacing"/>
                                  <w:spacing w:line="360" w:lineRule="auto"/>
                                  <w:jc w:val="center"/>
                                  <w:rPr>
                                    <w:rFonts w:ascii="Arial" w:hAnsi="Arial" w:cs="Arial"/>
                                    <w:b/>
                                    <w:bCs/>
                                    <w:sz w:val="32"/>
                                    <w:szCs w:val="32"/>
                                  </w:rPr>
                                </w:pPr>
                              </w:p>
                              <w:p w14:paraId="7501073F" w14:textId="77777777" w:rsidR="006305F6" w:rsidRPr="00860490" w:rsidRDefault="006305F6" w:rsidP="006305F6">
                                <w:pPr>
                                  <w:pStyle w:val="NoSpacing"/>
                                  <w:spacing w:line="360" w:lineRule="auto"/>
                                  <w:jc w:val="center"/>
                                  <w:rPr>
                                    <w:rFonts w:ascii="Arial" w:hAnsi="Arial" w:cs="Arial"/>
                                    <w:b/>
                                    <w:bCs/>
                                    <w:sz w:val="32"/>
                                    <w:szCs w:val="32"/>
                                  </w:rPr>
                                </w:pPr>
                              </w:p>
                              <w:p w14:paraId="438001C9" w14:textId="77777777" w:rsidR="006305F6" w:rsidRPr="00860490" w:rsidRDefault="006305F6" w:rsidP="006305F6">
                                <w:pPr>
                                  <w:pStyle w:val="NoSpacing"/>
                                  <w:spacing w:line="360" w:lineRule="auto"/>
                                  <w:jc w:val="center"/>
                                  <w:rPr>
                                    <w:rFonts w:ascii="Arial" w:hAnsi="Arial" w:cs="Arial"/>
                                    <w:b/>
                                    <w:bCs/>
                                    <w:sz w:val="32"/>
                                    <w:szCs w:val="32"/>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BAA9EB8" id="_x0000_t202" coordsize="21600,21600" o:spt="202" path="m,l,21600r21600,l21600,xe">
                    <v:stroke joinstyle="miter"/>
                    <v:path gradientshapeok="t" o:connecttype="rect"/>
                  </v:shapetype>
                  <v:shape id="Text Box 28" o:spid="_x0000_s1026" type="#_x0000_t202" style="position:absolute;left:0;text-align:left;margin-left:115.5pt;margin-top:276.5pt;width:375.3pt;height:46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" filled="f" stroked="f" strokeweight=".5pt">
                    <v:textbox inset="0,0,0,0">
                      <w:txbxContent>
                        <w:p w14:paraId="40C0D2AE" w14:textId="305AB42B"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Module Name: Strategic Management</w:t>
                          </w:r>
                        </w:p>
                        <w:p w14:paraId="405F42D0" w14:textId="20CB69CD"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Module Code: LCMB7003</w:t>
                          </w:r>
                        </w:p>
                        <w:p w14:paraId="21930B18" w14:textId="77777777" w:rsidR="006305F6" w:rsidRPr="00860490" w:rsidRDefault="006305F6" w:rsidP="006305F6">
                          <w:pPr>
                            <w:pStyle w:val="NoSpacing"/>
                            <w:spacing w:line="360" w:lineRule="auto"/>
                            <w:jc w:val="center"/>
                            <w:rPr>
                              <w:rFonts w:ascii="Arial" w:hAnsi="Arial" w:cs="Arial"/>
                              <w:b/>
                              <w:bCs/>
                              <w:sz w:val="32"/>
                              <w:szCs w:val="32"/>
                            </w:rPr>
                          </w:pPr>
                        </w:p>
                        <w:p w14:paraId="7C8FA6AF" w14:textId="1D017602"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Assessment component - Individual report (Sainsbury’s)</w:t>
                          </w:r>
                        </w:p>
                        <w:p w14:paraId="0D01AA88" w14:textId="77777777" w:rsidR="006305F6" w:rsidRPr="00860490" w:rsidRDefault="006305F6" w:rsidP="006305F6">
                          <w:pPr>
                            <w:pStyle w:val="NoSpacing"/>
                            <w:spacing w:line="360" w:lineRule="auto"/>
                            <w:jc w:val="center"/>
                            <w:rPr>
                              <w:rFonts w:ascii="Arial" w:hAnsi="Arial" w:cs="Arial"/>
                              <w:b/>
                              <w:bCs/>
                              <w:sz w:val="32"/>
                              <w:szCs w:val="32"/>
                            </w:rPr>
                          </w:pPr>
                        </w:p>
                        <w:p w14:paraId="2DFA903F" w14:textId="1F0B56B8"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 xml:space="preserve">Lecturer’s Name: </w:t>
                          </w:r>
                          <w:r w:rsidR="004D67A1" w:rsidRPr="004D67A1">
                            <w:rPr>
                              <w:rFonts w:ascii="Arial" w:hAnsi="Arial" w:cs="Arial"/>
                              <w:b/>
                              <w:bCs/>
                              <w:sz w:val="32"/>
                              <w:szCs w:val="32"/>
                            </w:rPr>
                            <w:t>Hoang Nguyen</w:t>
                          </w:r>
                        </w:p>
                        <w:p w14:paraId="007C805B" w14:textId="77777777" w:rsidR="006305F6" w:rsidRPr="00860490" w:rsidRDefault="006305F6" w:rsidP="006305F6">
                          <w:pPr>
                            <w:pStyle w:val="NoSpacing"/>
                            <w:spacing w:line="360" w:lineRule="auto"/>
                            <w:jc w:val="center"/>
                            <w:rPr>
                              <w:rFonts w:ascii="Arial" w:hAnsi="Arial" w:cs="Arial"/>
                              <w:b/>
                              <w:bCs/>
                              <w:sz w:val="32"/>
                              <w:szCs w:val="32"/>
                            </w:rPr>
                          </w:pPr>
                        </w:p>
                        <w:p w14:paraId="4354D0C4" w14:textId="77777777"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Student Name: Borhan Uddin</w:t>
                          </w:r>
                        </w:p>
                        <w:p w14:paraId="27D9C167" w14:textId="77777777"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Student ID: 2503890</w:t>
                          </w:r>
                        </w:p>
                        <w:p w14:paraId="67DD5552" w14:textId="77777777" w:rsidR="006305F6" w:rsidRPr="00860490" w:rsidRDefault="006305F6" w:rsidP="006305F6">
                          <w:pPr>
                            <w:pStyle w:val="NoSpacing"/>
                            <w:spacing w:line="360" w:lineRule="auto"/>
                            <w:jc w:val="center"/>
                            <w:rPr>
                              <w:rFonts w:ascii="Arial" w:hAnsi="Arial" w:cs="Arial"/>
                              <w:b/>
                              <w:bCs/>
                              <w:sz w:val="32"/>
                              <w:szCs w:val="32"/>
                            </w:rPr>
                          </w:pPr>
                        </w:p>
                        <w:p w14:paraId="4A3DF11A" w14:textId="25032E2C" w:rsidR="004D67A1" w:rsidRDefault="004D67A1" w:rsidP="006305F6">
                          <w:pPr>
                            <w:pStyle w:val="NoSpacing"/>
                            <w:spacing w:line="360" w:lineRule="auto"/>
                            <w:jc w:val="center"/>
                            <w:rPr>
                              <w:rFonts w:ascii="Arial" w:hAnsi="Arial" w:cs="Arial"/>
                              <w:b/>
                              <w:bCs/>
                              <w:sz w:val="32"/>
                              <w:szCs w:val="32"/>
                            </w:rPr>
                          </w:pPr>
                          <w:r>
                            <w:rPr>
                              <w:rFonts w:ascii="Arial" w:hAnsi="Arial" w:cs="Arial"/>
                              <w:b/>
                              <w:bCs/>
                              <w:sz w:val="32"/>
                              <w:szCs w:val="32"/>
                            </w:rPr>
                            <w:t>Word Count: 4</w:t>
                          </w:r>
                          <w:r w:rsidR="00FC1F0E">
                            <w:rPr>
                              <w:rFonts w:ascii="Arial" w:hAnsi="Arial" w:cs="Arial"/>
                              <w:b/>
                              <w:bCs/>
                              <w:sz w:val="32"/>
                              <w:szCs w:val="32"/>
                            </w:rPr>
                            <w:t>947</w:t>
                          </w:r>
                        </w:p>
                        <w:p w14:paraId="123D1568" w14:textId="30410A89" w:rsidR="006305F6" w:rsidRPr="00860490" w:rsidRDefault="006305F6" w:rsidP="006305F6">
                          <w:pPr>
                            <w:pStyle w:val="NoSpacing"/>
                            <w:spacing w:line="360" w:lineRule="auto"/>
                            <w:jc w:val="center"/>
                            <w:rPr>
                              <w:rFonts w:ascii="Arial" w:hAnsi="Arial" w:cs="Arial"/>
                              <w:b/>
                              <w:bCs/>
                              <w:sz w:val="32"/>
                              <w:szCs w:val="32"/>
                            </w:rPr>
                          </w:pPr>
                          <w:r w:rsidRPr="00860490">
                            <w:rPr>
                              <w:rFonts w:ascii="Arial" w:hAnsi="Arial" w:cs="Arial"/>
                              <w:b/>
                              <w:bCs/>
                              <w:sz w:val="32"/>
                              <w:szCs w:val="32"/>
                            </w:rPr>
                            <w:t xml:space="preserve">Submission Date: </w:t>
                          </w:r>
                          <w:r w:rsidR="004D67A1">
                            <w:rPr>
                              <w:rFonts w:ascii="Arial" w:hAnsi="Arial" w:cs="Arial"/>
                              <w:b/>
                              <w:bCs/>
                              <w:sz w:val="32"/>
                              <w:szCs w:val="32"/>
                            </w:rPr>
                            <w:t>1</w:t>
                          </w:r>
                          <w:r w:rsidR="004D67A1" w:rsidRPr="004D67A1">
                            <w:rPr>
                              <w:rFonts w:ascii="Arial" w:hAnsi="Arial" w:cs="Arial"/>
                              <w:b/>
                              <w:bCs/>
                              <w:sz w:val="32"/>
                              <w:szCs w:val="32"/>
                              <w:vertAlign w:val="superscript"/>
                            </w:rPr>
                            <w:t>st</w:t>
                          </w:r>
                          <w:r w:rsidR="004D67A1">
                            <w:rPr>
                              <w:rFonts w:ascii="Arial" w:hAnsi="Arial" w:cs="Arial"/>
                              <w:b/>
                              <w:bCs/>
                              <w:sz w:val="32"/>
                              <w:szCs w:val="32"/>
                            </w:rPr>
                            <w:t xml:space="preserve"> May</w:t>
                          </w:r>
                          <w:r w:rsidR="003E04C0">
                            <w:rPr>
                              <w:rFonts w:ascii="Arial" w:hAnsi="Arial" w:cs="Arial"/>
                              <w:b/>
                              <w:bCs/>
                              <w:sz w:val="32"/>
                              <w:szCs w:val="32"/>
                            </w:rPr>
                            <w:t>, 2026</w:t>
                          </w:r>
                        </w:p>
                        <w:p w14:paraId="4C6AFD10" w14:textId="77777777" w:rsidR="006305F6" w:rsidRPr="00860490" w:rsidRDefault="006305F6" w:rsidP="006305F6">
                          <w:pPr>
                            <w:pStyle w:val="NoSpacing"/>
                            <w:spacing w:line="360" w:lineRule="auto"/>
                            <w:jc w:val="center"/>
                            <w:rPr>
                              <w:rFonts w:ascii="Arial" w:hAnsi="Arial" w:cs="Arial"/>
                              <w:b/>
                              <w:bCs/>
                              <w:sz w:val="32"/>
                              <w:szCs w:val="32"/>
                            </w:rPr>
                          </w:pPr>
                        </w:p>
                        <w:p w14:paraId="3F7B3730" w14:textId="77777777" w:rsidR="006305F6" w:rsidRPr="00860490" w:rsidRDefault="006305F6" w:rsidP="006305F6">
                          <w:pPr>
                            <w:pStyle w:val="NoSpacing"/>
                            <w:spacing w:line="360" w:lineRule="auto"/>
                            <w:jc w:val="center"/>
                            <w:rPr>
                              <w:rFonts w:ascii="Arial" w:hAnsi="Arial" w:cs="Arial"/>
                              <w:b/>
                              <w:bCs/>
                              <w:sz w:val="32"/>
                              <w:szCs w:val="32"/>
                            </w:rPr>
                          </w:pPr>
                        </w:p>
                        <w:p w14:paraId="7501073F" w14:textId="77777777" w:rsidR="006305F6" w:rsidRPr="00860490" w:rsidRDefault="006305F6" w:rsidP="006305F6">
                          <w:pPr>
                            <w:pStyle w:val="NoSpacing"/>
                            <w:spacing w:line="360" w:lineRule="auto"/>
                            <w:jc w:val="center"/>
                            <w:rPr>
                              <w:rFonts w:ascii="Arial" w:hAnsi="Arial" w:cs="Arial"/>
                              <w:b/>
                              <w:bCs/>
                              <w:sz w:val="32"/>
                              <w:szCs w:val="32"/>
                            </w:rPr>
                          </w:pPr>
                        </w:p>
                        <w:p w14:paraId="438001C9" w14:textId="77777777" w:rsidR="006305F6" w:rsidRPr="00860490" w:rsidRDefault="006305F6" w:rsidP="006305F6">
                          <w:pPr>
                            <w:pStyle w:val="NoSpacing"/>
                            <w:spacing w:line="360" w:lineRule="auto"/>
                            <w:jc w:val="center"/>
                            <w:rPr>
                              <w:rFonts w:ascii="Arial" w:hAnsi="Arial" w:cs="Arial"/>
                              <w:b/>
                              <w:bCs/>
                              <w:sz w:val="32"/>
                              <w:szCs w:val="32"/>
                            </w:rPr>
                          </w:pPr>
                        </w:p>
                      </w:txbxContent>
                    </v:textbox>
                    <w10:wrap anchorx="page" anchory="page"/>
                  </v:shape>
                </w:pict>
              </mc:Fallback>
            </mc:AlternateContent>
          </w:r>
          <w:r w:rsidRPr="00A9629B">
            <w:rPr>
              <w:rFonts w:ascii="Arial" w:hAnsi="Arial" w:cs="Arial"/>
              <w:noProof/>
            </w:rPr>
            <w:drawing>
              <wp:anchor distT="0" distB="0" distL="114300" distR="114300" simplePos="0" relativeHeight="251660288" behindDoc="1" locked="0" layoutInCell="1" allowOverlap="1" wp14:anchorId="5EA7A536" wp14:editId="6079EA79">
                <wp:simplePos x="0" y="0"/>
                <wp:positionH relativeFrom="column">
                  <wp:posOffset>1373609</wp:posOffset>
                </wp:positionH>
                <wp:positionV relativeFrom="paragraph">
                  <wp:posOffset>101981</wp:posOffset>
                </wp:positionV>
                <wp:extent cx="3124541" cy="1733550"/>
                <wp:effectExtent l="0" t="0" r="0" b="0"/>
                <wp:wrapNone/>
                <wp:docPr id="21034261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42616" name="Picture 210342616"/>
                        <pic:cNvPicPr/>
                      </pic:nvPicPr>
                      <pic:blipFill>
                        <a:blip r:embed="rId8">
                          <a:extLst>
                            <a:ext uri="{28A0092B-C50C-407E-A947-70E740481C1C}">
                              <a14:useLocalDpi xmlns:a14="http://schemas.microsoft.com/office/drawing/2010/main" val="0"/>
                            </a:ext>
                          </a:extLst>
                        </a:blip>
                        <a:stretch>
                          <a:fillRect/>
                        </a:stretch>
                      </pic:blipFill>
                      <pic:spPr>
                        <a:xfrm>
                          <a:off x="0" y="0"/>
                          <a:ext cx="3124541" cy="1733550"/>
                        </a:xfrm>
                        <a:prstGeom prst="rect">
                          <a:avLst/>
                        </a:prstGeom>
                      </pic:spPr>
                    </pic:pic>
                  </a:graphicData>
                </a:graphic>
                <wp14:sizeRelH relativeFrom="margin">
                  <wp14:pctWidth>0</wp14:pctWidth>
                </wp14:sizeRelH>
                <wp14:sizeRelV relativeFrom="margin">
                  <wp14:pctHeight>0</wp14:pctHeight>
                </wp14:sizeRelV>
              </wp:anchor>
            </w:drawing>
          </w:r>
          <w:r w:rsidRPr="00A9629B">
            <w:rPr>
              <w:rFonts w:ascii="Arial" w:hAnsi="Arial" w:cs="Arial"/>
              <w:b/>
              <w:bCs/>
            </w:rPr>
            <w:br w:type="page"/>
          </w:r>
        </w:p>
        <w:p w14:paraId="2EF59555" w14:textId="24FD632F" w:rsidR="004D67A1" w:rsidRPr="004D67A1" w:rsidRDefault="004D67A1" w:rsidP="004D67A1">
          <w:pPr>
            <w:rPr>
              <w:rFonts w:ascii="Arial" w:hAnsi="Arial" w:cs="Arial"/>
              <w:b/>
              <w:bCs/>
              <w:sz w:val="28"/>
              <w:szCs w:val="28"/>
            </w:rPr>
          </w:pPr>
          <w:r w:rsidRPr="004D67A1">
            <w:rPr>
              <w:rFonts w:ascii="Arial" w:hAnsi="Arial" w:cs="Arial"/>
              <w:b/>
              <w:bCs/>
              <w:sz w:val="28"/>
              <w:szCs w:val="28"/>
            </w:rPr>
            <w:lastRenderedPageBreak/>
            <w:t>AI Use Acknowledgement</w:t>
          </w:r>
        </w:p>
        <w:p w14:paraId="496CE2D2" w14:textId="09E4F75B" w:rsidR="00F301A5" w:rsidRPr="00F301A5" w:rsidRDefault="00F301A5" w:rsidP="00F301A5">
          <w:pPr>
            <w:rPr>
              <w:rFonts w:ascii="Arial" w:hAnsi="Arial" w:cs="Arial"/>
            </w:rPr>
          </w:pPr>
          <w:r w:rsidRPr="00F301A5">
            <w:rPr>
              <w:rFonts w:ascii="Arial" w:hAnsi="Arial" w:cs="Arial"/>
            </w:rPr>
            <w:t>I acknowledge the use of ChatGPT (</w:t>
          </w:r>
          <w:hyperlink r:id="rId9" w:history="1">
            <w:r w:rsidRPr="00F301A5">
              <w:rPr>
                <w:rStyle w:val="Hyperlink"/>
                <w:rFonts w:ascii="Arial" w:hAnsi="Arial" w:cs="Arial"/>
              </w:rPr>
              <w:t>https://chat.openai.com/</w:t>
            </w:r>
          </w:hyperlink>
          <w:r w:rsidRPr="00F301A5">
            <w:rPr>
              <w:rFonts w:ascii="Arial" w:hAnsi="Arial" w:cs="Arial"/>
            </w:rPr>
            <w:t>) on 17</w:t>
          </w:r>
          <w:r w:rsidR="00E11645" w:rsidRPr="00E11645">
            <w:rPr>
              <w:rFonts w:ascii="Arial" w:hAnsi="Arial" w:cs="Arial"/>
              <w:vertAlign w:val="superscript"/>
            </w:rPr>
            <w:t>th</w:t>
          </w:r>
          <w:r w:rsidRPr="00F301A5">
            <w:rPr>
              <w:rFonts w:ascii="Arial" w:hAnsi="Arial" w:cs="Arial"/>
            </w:rPr>
            <w:t xml:space="preserve"> April </w:t>
          </w:r>
          <w:r w:rsidR="00E11645">
            <w:rPr>
              <w:rFonts w:ascii="Arial" w:hAnsi="Arial" w:cs="Arial"/>
            </w:rPr>
            <w:t>– 25</w:t>
          </w:r>
          <w:r w:rsidR="00E11645" w:rsidRPr="00E11645">
            <w:rPr>
              <w:rFonts w:ascii="Arial" w:hAnsi="Arial" w:cs="Arial"/>
              <w:vertAlign w:val="superscript"/>
            </w:rPr>
            <w:t>th</w:t>
          </w:r>
          <w:r w:rsidR="00E11645">
            <w:rPr>
              <w:rFonts w:ascii="Arial" w:hAnsi="Arial" w:cs="Arial"/>
            </w:rPr>
            <w:t xml:space="preserve"> April </w:t>
          </w:r>
          <w:r w:rsidRPr="00F301A5">
            <w:rPr>
              <w:rFonts w:ascii="Arial" w:hAnsi="Arial" w:cs="Arial"/>
            </w:rPr>
            <w:t>2026 to support my work in structuring and analysing this assignment.</w:t>
          </w:r>
        </w:p>
        <w:p w14:paraId="7146678E" w14:textId="77777777" w:rsidR="00F301A5" w:rsidRPr="00F301A5" w:rsidRDefault="00F301A5" w:rsidP="00F301A5">
          <w:pPr>
            <w:rPr>
              <w:rFonts w:ascii="Arial" w:hAnsi="Arial" w:cs="Arial"/>
            </w:rPr>
          </w:pPr>
          <w:r w:rsidRPr="00F301A5">
            <w:rPr>
              <w:rFonts w:ascii="Arial" w:hAnsi="Arial" w:cs="Arial"/>
            </w:rPr>
            <w:t>I used the prompt(s):</w:t>
          </w:r>
        </w:p>
        <w:p w14:paraId="34FFA78D" w14:textId="77777777" w:rsidR="00F301A5" w:rsidRPr="00F301A5" w:rsidRDefault="00F301A5" w:rsidP="00F301A5">
          <w:pPr>
            <w:numPr>
              <w:ilvl w:val="0"/>
              <w:numId w:val="12"/>
            </w:numPr>
            <w:rPr>
              <w:rFonts w:ascii="Arial" w:hAnsi="Arial" w:cs="Arial"/>
            </w:rPr>
          </w:pPr>
          <w:r w:rsidRPr="00F301A5">
            <w:rPr>
              <w:rFonts w:ascii="Arial" w:hAnsi="Arial" w:cs="Arial"/>
            </w:rPr>
            <w:t>Provide a structured outline for a strategic management assignment on Sainsbury’s.</w:t>
          </w:r>
        </w:p>
        <w:p w14:paraId="4ECB9487" w14:textId="77777777" w:rsidR="00F301A5" w:rsidRPr="00F301A5" w:rsidRDefault="00F301A5" w:rsidP="00F301A5">
          <w:pPr>
            <w:numPr>
              <w:ilvl w:val="0"/>
              <w:numId w:val="12"/>
            </w:numPr>
            <w:rPr>
              <w:rFonts w:ascii="Arial" w:hAnsi="Arial" w:cs="Arial"/>
            </w:rPr>
          </w:pPr>
          <w:r w:rsidRPr="00F301A5">
            <w:rPr>
              <w:rFonts w:ascii="Arial" w:hAnsi="Arial" w:cs="Arial"/>
            </w:rPr>
            <w:t>Explain and apply PESTEL analysis to Sainsbury’s with critical evaluation.</w:t>
          </w:r>
        </w:p>
        <w:p w14:paraId="730DE3BE" w14:textId="77777777" w:rsidR="00F301A5" w:rsidRPr="00F301A5" w:rsidRDefault="00F301A5" w:rsidP="00F301A5">
          <w:pPr>
            <w:numPr>
              <w:ilvl w:val="0"/>
              <w:numId w:val="12"/>
            </w:numPr>
            <w:rPr>
              <w:rFonts w:ascii="Arial" w:hAnsi="Arial" w:cs="Arial"/>
            </w:rPr>
          </w:pPr>
          <w:r w:rsidRPr="00F301A5">
            <w:rPr>
              <w:rFonts w:ascii="Arial" w:hAnsi="Arial" w:cs="Arial"/>
            </w:rPr>
            <w:t>Apply VRIO framework to analyse Sainsbury’s internal resources.</w:t>
          </w:r>
        </w:p>
        <w:p w14:paraId="76E6F505" w14:textId="77777777" w:rsidR="00F301A5" w:rsidRPr="00F301A5" w:rsidRDefault="00F301A5" w:rsidP="00F301A5">
          <w:pPr>
            <w:numPr>
              <w:ilvl w:val="0"/>
              <w:numId w:val="12"/>
            </w:numPr>
            <w:rPr>
              <w:rFonts w:ascii="Arial" w:hAnsi="Arial" w:cs="Arial"/>
            </w:rPr>
          </w:pPr>
          <w:r w:rsidRPr="00F301A5">
            <w:rPr>
              <w:rFonts w:ascii="Arial" w:hAnsi="Arial" w:cs="Arial"/>
            </w:rPr>
            <w:t>Explain Balanced Scorecard and link it with Sainsbury’s strategy.</w:t>
          </w:r>
        </w:p>
        <w:p w14:paraId="1552AA8B" w14:textId="77777777" w:rsidR="00F301A5" w:rsidRPr="00F301A5" w:rsidRDefault="00F301A5" w:rsidP="00F301A5">
          <w:pPr>
            <w:numPr>
              <w:ilvl w:val="0"/>
              <w:numId w:val="12"/>
            </w:numPr>
            <w:rPr>
              <w:rFonts w:ascii="Arial" w:hAnsi="Arial" w:cs="Arial"/>
            </w:rPr>
          </w:pPr>
          <w:r w:rsidRPr="00F301A5">
            <w:rPr>
              <w:rFonts w:ascii="Arial" w:hAnsi="Arial" w:cs="Arial"/>
            </w:rPr>
            <w:t>Improve clarity and academic structure of my written paragraphs.</w:t>
          </w:r>
        </w:p>
        <w:p w14:paraId="1F65555D" w14:textId="77777777" w:rsidR="00F301A5" w:rsidRPr="00F301A5" w:rsidRDefault="00F301A5" w:rsidP="00F301A5">
          <w:pPr>
            <w:rPr>
              <w:rFonts w:ascii="Arial" w:hAnsi="Arial" w:cs="Arial"/>
            </w:rPr>
          </w:pPr>
          <w:r w:rsidRPr="00F301A5">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6AD5FAF7" w14:textId="54608106" w:rsidR="004D67A1" w:rsidRPr="004D67A1" w:rsidRDefault="004D67A1" w:rsidP="00F301A5">
          <w:pPr>
            <w:rPr>
              <w:rFonts w:ascii="Arial" w:hAnsi="Arial" w:cs="Arial"/>
            </w:rPr>
          </w:pPr>
        </w:p>
        <w:p w14:paraId="4D1E0CF1" w14:textId="2E09CFA4" w:rsidR="004D67A1" w:rsidRDefault="004D67A1">
          <w:pPr>
            <w:rPr>
              <w:rFonts w:ascii="Arial" w:hAnsi="Arial" w:cs="Arial"/>
              <w:b/>
              <w:bCs/>
            </w:rPr>
          </w:pPr>
        </w:p>
        <w:p w14:paraId="5E235F00" w14:textId="77777777" w:rsidR="004D67A1" w:rsidRDefault="004D67A1" w:rsidP="00A9629B">
          <w:pPr>
            <w:spacing w:line="360" w:lineRule="auto"/>
            <w:jc w:val="both"/>
            <w:rPr>
              <w:rFonts w:ascii="Arial" w:hAnsi="Arial" w:cs="Arial"/>
              <w:b/>
              <w:bCs/>
            </w:rPr>
          </w:pPr>
        </w:p>
        <w:p w14:paraId="3F441249" w14:textId="77777777" w:rsidR="004D67A1" w:rsidRDefault="004D67A1" w:rsidP="00A9629B">
          <w:pPr>
            <w:spacing w:line="360" w:lineRule="auto"/>
            <w:jc w:val="both"/>
            <w:rPr>
              <w:rFonts w:ascii="Arial" w:hAnsi="Arial" w:cs="Arial"/>
              <w:b/>
              <w:bCs/>
            </w:rPr>
          </w:pPr>
        </w:p>
        <w:p w14:paraId="56F87946" w14:textId="77777777" w:rsidR="004D67A1" w:rsidRDefault="004D67A1" w:rsidP="00A9629B">
          <w:pPr>
            <w:spacing w:line="360" w:lineRule="auto"/>
            <w:jc w:val="both"/>
            <w:rPr>
              <w:rFonts w:ascii="Arial" w:hAnsi="Arial" w:cs="Arial"/>
              <w:b/>
              <w:bCs/>
            </w:rPr>
          </w:pPr>
        </w:p>
        <w:p w14:paraId="6BCADA85" w14:textId="77777777" w:rsidR="004D67A1" w:rsidRDefault="004D67A1" w:rsidP="00A9629B">
          <w:pPr>
            <w:spacing w:line="360" w:lineRule="auto"/>
            <w:jc w:val="both"/>
            <w:rPr>
              <w:rFonts w:ascii="Arial" w:hAnsi="Arial" w:cs="Arial"/>
              <w:b/>
              <w:bCs/>
            </w:rPr>
          </w:pPr>
        </w:p>
        <w:p w14:paraId="61C560F7" w14:textId="77777777" w:rsidR="004D67A1" w:rsidRDefault="004D67A1" w:rsidP="00A9629B">
          <w:pPr>
            <w:spacing w:line="360" w:lineRule="auto"/>
            <w:jc w:val="both"/>
            <w:rPr>
              <w:rFonts w:ascii="Arial" w:hAnsi="Arial" w:cs="Arial"/>
              <w:b/>
              <w:bCs/>
            </w:rPr>
          </w:pPr>
        </w:p>
        <w:p w14:paraId="0116E27F" w14:textId="77777777" w:rsidR="004D67A1" w:rsidRDefault="004D67A1" w:rsidP="00A9629B">
          <w:pPr>
            <w:spacing w:line="360" w:lineRule="auto"/>
            <w:jc w:val="both"/>
            <w:rPr>
              <w:rFonts w:ascii="Arial" w:hAnsi="Arial" w:cs="Arial"/>
              <w:b/>
              <w:bCs/>
            </w:rPr>
          </w:pPr>
        </w:p>
        <w:p w14:paraId="097DF6DE" w14:textId="77777777" w:rsidR="004D67A1" w:rsidRDefault="004D67A1" w:rsidP="00A9629B">
          <w:pPr>
            <w:spacing w:line="360" w:lineRule="auto"/>
            <w:jc w:val="both"/>
            <w:rPr>
              <w:rFonts w:ascii="Arial" w:hAnsi="Arial" w:cs="Arial"/>
              <w:b/>
              <w:bCs/>
            </w:rPr>
          </w:pPr>
        </w:p>
        <w:p w14:paraId="49A8C057" w14:textId="77777777" w:rsidR="004D67A1" w:rsidRDefault="004D67A1" w:rsidP="00A9629B">
          <w:pPr>
            <w:spacing w:line="360" w:lineRule="auto"/>
            <w:jc w:val="both"/>
            <w:rPr>
              <w:rFonts w:ascii="Arial" w:hAnsi="Arial" w:cs="Arial"/>
              <w:b/>
              <w:bCs/>
            </w:rPr>
          </w:pPr>
        </w:p>
        <w:p w14:paraId="777BB250" w14:textId="77777777" w:rsidR="004D67A1" w:rsidRDefault="004D67A1" w:rsidP="00A9629B">
          <w:pPr>
            <w:spacing w:line="360" w:lineRule="auto"/>
            <w:jc w:val="both"/>
            <w:rPr>
              <w:rFonts w:ascii="Arial" w:hAnsi="Arial" w:cs="Arial"/>
              <w:b/>
              <w:bCs/>
            </w:rPr>
          </w:pPr>
        </w:p>
        <w:p w14:paraId="0D3ECBC5" w14:textId="77777777" w:rsidR="004D67A1" w:rsidRDefault="004D67A1" w:rsidP="00A9629B">
          <w:pPr>
            <w:spacing w:line="360" w:lineRule="auto"/>
            <w:jc w:val="both"/>
            <w:rPr>
              <w:rFonts w:ascii="Arial" w:hAnsi="Arial" w:cs="Arial"/>
              <w:b/>
              <w:bCs/>
            </w:rPr>
          </w:pPr>
        </w:p>
        <w:p w14:paraId="1A7AFF48" w14:textId="77777777" w:rsidR="004D67A1" w:rsidRDefault="004D67A1" w:rsidP="00A9629B">
          <w:pPr>
            <w:spacing w:line="360" w:lineRule="auto"/>
            <w:jc w:val="both"/>
            <w:rPr>
              <w:rFonts w:ascii="Arial" w:hAnsi="Arial" w:cs="Arial"/>
              <w:b/>
              <w:bCs/>
            </w:rPr>
          </w:pPr>
        </w:p>
        <w:p w14:paraId="4AABC608" w14:textId="77777777" w:rsidR="004D67A1" w:rsidRDefault="004D67A1" w:rsidP="00A9629B">
          <w:pPr>
            <w:spacing w:line="360" w:lineRule="auto"/>
            <w:jc w:val="both"/>
            <w:rPr>
              <w:rFonts w:ascii="Arial" w:hAnsi="Arial" w:cs="Arial"/>
              <w:b/>
              <w:bCs/>
            </w:rPr>
          </w:pPr>
        </w:p>
        <w:p w14:paraId="68825959" w14:textId="7BA02B58" w:rsidR="006305F6" w:rsidRPr="00A9629B" w:rsidRDefault="00000000" w:rsidP="00A9629B">
          <w:pPr>
            <w:spacing w:line="360" w:lineRule="auto"/>
            <w:jc w:val="both"/>
            <w:rPr>
              <w:rFonts w:ascii="Arial" w:hAnsi="Arial" w:cs="Arial"/>
              <w:b/>
              <w:bCs/>
            </w:rPr>
          </w:pPr>
        </w:p>
      </w:sdtContent>
    </w:sdt>
    <w:sdt>
      <w:sdtPr>
        <w:rPr>
          <w:rFonts w:asciiTheme="minorHAnsi" w:eastAsiaTheme="minorHAnsi" w:hAnsiTheme="minorHAnsi" w:cstheme="minorBidi"/>
          <w:color w:val="auto"/>
          <w:kern w:val="2"/>
          <w:sz w:val="24"/>
          <w:szCs w:val="24"/>
          <w14:ligatures w14:val="standardContextual"/>
        </w:rPr>
        <w:id w:val="697129879"/>
        <w:docPartObj>
          <w:docPartGallery w:val="Table of Contents"/>
          <w:docPartUnique/>
        </w:docPartObj>
      </w:sdtPr>
      <w:sdtEndPr>
        <w:rPr>
          <w:b/>
          <w:bCs/>
          <w:noProof/>
        </w:rPr>
      </w:sdtEndPr>
      <w:sdtContent>
        <w:p w14:paraId="7A9BFC98" w14:textId="7805E248" w:rsidR="00A9629B" w:rsidRDefault="00A9629B">
          <w:pPr>
            <w:pStyle w:val="TOCHeading"/>
          </w:pPr>
          <w:r>
            <w:t>Table of Contents</w:t>
          </w:r>
        </w:p>
        <w:p w14:paraId="5864A94D" w14:textId="13E539B7" w:rsidR="00FC1F0E" w:rsidRDefault="00A9629B">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28488637" w:history="1">
            <w:r w:rsidR="00FC1F0E" w:rsidRPr="00417025">
              <w:rPr>
                <w:rStyle w:val="Hyperlink"/>
                <w:noProof/>
              </w:rPr>
              <w:t>SECTION 1: STRATEGIC ANALYSIS</w:t>
            </w:r>
            <w:r w:rsidR="00FC1F0E">
              <w:rPr>
                <w:noProof/>
                <w:webHidden/>
              </w:rPr>
              <w:tab/>
            </w:r>
            <w:r w:rsidR="00FC1F0E">
              <w:rPr>
                <w:noProof/>
                <w:webHidden/>
              </w:rPr>
              <w:fldChar w:fldCharType="begin"/>
            </w:r>
            <w:r w:rsidR="00FC1F0E">
              <w:rPr>
                <w:noProof/>
                <w:webHidden/>
              </w:rPr>
              <w:instrText xml:space="preserve"> PAGEREF _Toc228488637 \h </w:instrText>
            </w:r>
            <w:r w:rsidR="00FC1F0E">
              <w:rPr>
                <w:noProof/>
                <w:webHidden/>
              </w:rPr>
            </w:r>
            <w:r w:rsidR="00FC1F0E">
              <w:rPr>
                <w:noProof/>
                <w:webHidden/>
              </w:rPr>
              <w:fldChar w:fldCharType="separate"/>
            </w:r>
            <w:r w:rsidR="00FC1F0E">
              <w:rPr>
                <w:noProof/>
                <w:webHidden/>
              </w:rPr>
              <w:t>4</w:t>
            </w:r>
            <w:r w:rsidR="00FC1F0E">
              <w:rPr>
                <w:noProof/>
                <w:webHidden/>
              </w:rPr>
              <w:fldChar w:fldCharType="end"/>
            </w:r>
          </w:hyperlink>
        </w:p>
        <w:p w14:paraId="28BFDE65" w14:textId="4FA9BE73" w:rsidR="00FC1F0E" w:rsidRDefault="00FC1F0E">
          <w:pPr>
            <w:pStyle w:val="TOC1"/>
            <w:tabs>
              <w:tab w:val="right" w:leader="dot" w:pos="9016"/>
            </w:tabs>
            <w:rPr>
              <w:rFonts w:eastAsiaTheme="minorEastAsia"/>
              <w:noProof/>
            </w:rPr>
          </w:pPr>
          <w:hyperlink w:anchor="_Toc228488638" w:history="1">
            <w:r w:rsidRPr="00417025">
              <w:rPr>
                <w:rStyle w:val="Hyperlink"/>
                <w:noProof/>
              </w:rPr>
              <w:t>1. Organisational Context &amp; Overview</w:t>
            </w:r>
            <w:r>
              <w:rPr>
                <w:noProof/>
                <w:webHidden/>
              </w:rPr>
              <w:tab/>
            </w:r>
            <w:r>
              <w:rPr>
                <w:noProof/>
                <w:webHidden/>
              </w:rPr>
              <w:fldChar w:fldCharType="begin"/>
            </w:r>
            <w:r>
              <w:rPr>
                <w:noProof/>
                <w:webHidden/>
              </w:rPr>
              <w:instrText xml:space="preserve"> PAGEREF _Toc228488638 \h </w:instrText>
            </w:r>
            <w:r>
              <w:rPr>
                <w:noProof/>
                <w:webHidden/>
              </w:rPr>
            </w:r>
            <w:r>
              <w:rPr>
                <w:noProof/>
                <w:webHidden/>
              </w:rPr>
              <w:fldChar w:fldCharType="separate"/>
            </w:r>
            <w:r>
              <w:rPr>
                <w:noProof/>
                <w:webHidden/>
              </w:rPr>
              <w:t>4</w:t>
            </w:r>
            <w:r>
              <w:rPr>
                <w:noProof/>
                <w:webHidden/>
              </w:rPr>
              <w:fldChar w:fldCharType="end"/>
            </w:r>
          </w:hyperlink>
        </w:p>
        <w:p w14:paraId="63C37FFD" w14:textId="0CB942B1" w:rsidR="00FC1F0E" w:rsidRDefault="00FC1F0E">
          <w:pPr>
            <w:pStyle w:val="TOC2"/>
            <w:tabs>
              <w:tab w:val="right" w:leader="dot" w:pos="9016"/>
            </w:tabs>
            <w:rPr>
              <w:rFonts w:eastAsiaTheme="minorEastAsia"/>
              <w:noProof/>
            </w:rPr>
          </w:pPr>
          <w:hyperlink w:anchor="_Toc228488639" w:history="1">
            <w:r w:rsidRPr="00417025">
              <w:rPr>
                <w:rStyle w:val="Hyperlink"/>
                <w:noProof/>
              </w:rPr>
              <w:t>1.1 Introduction to Sainsbury’s</w:t>
            </w:r>
            <w:r>
              <w:rPr>
                <w:noProof/>
                <w:webHidden/>
              </w:rPr>
              <w:tab/>
            </w:r>
            <w:r>
              <w:rPr>
                <w:noProof/>
                <w:webHidden/>
              </w:rPr>
              <w:fldChar w:fldCharType="begin"/>
            </w:r>
            <w:r>
              <w:rPr>
                <w:noProof/>
                <w:webHidden/>
              </w:rPr>
              <w:instrText xml:space="preserve"> PAGEREF _Toc228488639 \h </w:instrText>
            </w:r>
            <w:r>
              <w:rPr>
                <w:noProof/>
                <w:webHidden/>
              </w:rPr>
            </w:r>
            <w:r>
              <w:rPr>
                <w:noProof/>
                <w:webHidden/>
              </w:rPr>
              <w:fldChar w:fldCharType="separate"/>
            </w:r>
            <w:r>
              <w:rPr>
                <w:noProof/>
                <w:webHidden/>
              </w:rPr>
              <w:t>4</w:t>
            </w:r>
            <w:r>
              <w:rPr>
                <w:noProof/>
                <w:webHidden/>
              </w:rPr>
              <w:fldChar w:fldCharType="end"/>
            </w:r>
          </w:hyperlink>
        </w:p>
        <w:p w14:paraId="5E11E8B2" w14:textId="4F22C787" w:rsidR="00FC1F0E" w:rsidRDefault="00FC1F0E">
          <w:pPr>
            <w:pStyle w:val="TOC2"/>
            <w:tabs>
              <w:tab w:val="right" w:leader="dot" w:pos="9016"/>
            </w:tabs>
            <w:rPr>
              <w:rFonts w:eastAsiaTheme="minorEastAsia"/>
              <w:noProof/>
            </w:rPr>
          </w:pPr>
          <w:hyperlink w:anchor="_Toc228488640" w:history="1">
            <w:r w:rsidRPr="00417025">
              <w:rPr>
                <w:rStyle w:val="Hyperlink"/>
                <w:noProof/>
              </w:rPr>
              <w:t>1.2 Mission, Vision &amp; Values</w:t>
            </w:r>
            <w:r>
              <w:rPr>
                <w:noProof/>
                <w:webHidden/>
              </w:rPr>
              <w:tab/>
            </w:r>
            <w:r>
              <w:rPr>
                <w:noProof/>
                <w:webHidden/>
              </w:rPr>
              <w:fldChar w:fldCharType="begin"/>
            </w:r>
            <w:r>
              <w:rPr>
                <w:noProof/>
                <w:webHidden/>
              </w:rPr>
              <w:instrText xml:space="preserve"> PAGEREF _Toc228488640 \h </w:instrText>
            </w:r>
            <w:r>
              <w:rPr>
                <w:noProof/>
                <w:webHidden/>
              </w:rPr>
            </w:r>
            <w:r>
              <w:rPr>
                <w:noProof/>
                <w:webHidden/>
              </w:rPr>
              <w:fldChar w:fldCharType="separate"/>
            </w:r>
            <w:r>
              <w:rPr>
                <w:noProof/>
                <w:webHidden/>
              </w:rPr>
              <w:t>4</w:t>
            </w:r>
            <w:r>
              <w:rPr>
                <w:noProof/>
                <w:webHidden/>
              </w:rPr>
              <w:fldChar w:fldCharType="end"/>
            </w:r>
          </w:hyperlink>
        </w:p>
        <w:p w14:paraId="7018E20F" w14:textId="2A948E0C" w:rsidR="00FC1F0E" w:rsidRDefault="00FC1F0E">
          <w:pPr>
            <w:pStyle w:val="TOC2"/>
            <w:tabs>
              <w:tab w:val="right" w:leader="dot" w:pos="9016"/>
            </w:tabs>
            <w:rPr>
              <w:rFonts w:eastAsiaTheme="minorEastAsia"/>
              <w:noProof/>
            </w:rPr>
          </w:pPr>
          <w:hyperlink w:anchor="_Toc228488641" w:history="1">
            <w:r w:rsidRPr="00417025">
              <w:rPr>
                <w:rStyle w:val="Hyperlink"/>
                <w:noProof/>
              </w:rPr>
              <w:t>1.3 Business Model</w:t>
            </w:r>
            <w:r>
              <w:rPr>
                <w:noProof/>
                <w:webHidden/>
              </w:rPr>
              <w:tab/>
            </w:r>
            <w:r>
              <w:rPr>
                <w:noProof/>
                <w:webHidden/>
              </w:rPr>
              <w:fldChar w:fldCharType="begin"/>
            </w:r>
            <w:r>
              <w:rPr>
                <w:noProof/>
                <w:webHidden/>
              </w:rPr>
              <w:instrText xml:space="preserve"> PAGEREF _Toc228488641 \h </w:instrText>
            </w:r>
            <w:r>
              <w:rPr>
                <w:noProof/>
                <w:webHidden/>
              </w:rPr>
            </w:r>
            <w:r>
              <w:rPr>
                <w:noProof/>
                <w:webHidden/>
              </w:rPr>
              <w:fldChar w:fldCharType="separate"/>
            </w:r>
            <w:r>
              <w:rPr>
                <w:noProof/>
                <w:webHidden/>
              </w:rPr>
              <w:t>5</w:t>
            </w:r>
            <w:r>
              <w:rPr>
                <w:noProof/>
                <w:webHidden/>
              </w:rPr>
              <w:fldChar w:fldCharType="end"/>
            </w:r>
          </w:hyperlink>
        </w:p>
        <w:p w14:paraId="05A53AC9" w14:textId="2687A49A" w:rsidR="00FC1F0E" w:rsidRDefault="00FC1F0E">
          <w:pPr>
            <w:pStyle w:val="TOC2"/>
            <w:tabs>
              <w:tab w:val="right" w:leader="dot" w:pos="9016"/>
            </w:tabs>
            <w:rPr>
              <w:rFonts w:eastAsiaTheme="minorEastAsia"/>
              <w:noProof/>
            </w:rPr>
          </w:pPr>
          <w:hyperlink w:anchor="_Toc228488642" w:history="1">
            <w:r w:rsidRPr="00417025">
              <w:rPr>
                <w:rStyle w:val="Hyperlink"/>
                <w:noProof/>
              </w:rPr>
              <w:t>1.4 Industry &amp; Competitors</w:t>
            </w:r>
            <w:r>
              <w:rPr>
                <w:noProof/>
                <w:webHidden/>
              </w:rPr>
              <w:tab/>
            </w:r>
            <w:r>
              <w:rPr>
                <w:noProof/>
                <w:webHidden/>
              </w:rPr>
              <w:fldChar w:fldCharType="begin"/>
            </w:r>
            <w:r>
              <w:rPr>
                <w:noProof/>
                <w:webHidden/>
              </w:rPr>
              <w:instrText xml:space="preserve"> PAGEREF _Toc228488642 \h </w:instrText>
            </w:r>
            <w:r>
              <w:rPr>
                <w:noProof/>
                <w:webHidden/>
              </w:rPr>
            </w:r>
            <w:r>
              <w:rPr>
                <w:noProof/>
                <w:webHidden/>
              </w:rPr>
              <w:fldChar w:fldCharType="separate"/>
            </w:r>
            <w:r>
              <w:rPr>
                <w:noProof/>
                <w:webHidden/>
              </w:rPr>
              <w:t>5</w:t>
            </w:r>
            <w:r>
              <w:rPr>
                <w:noProof/>
                <w:webHidden/>
              </w:rPr>
              <w:fldChar w:fldCharType="end"/>
            </w:r>
          </w:hyperlink>
        </w:p>
        <w:p w14:paraId="2ECCE2B3" w14:textId="0A75EAAA" w:rsidR="00FC1F0E" w:rsidRDefault="00FC1F0E">
          <w:pPr>
            <w:pStyle w:val="TOC1"/>
            <w:tabs>
              <w:tab w:val="right" w:leader="dot" w:pos="9016"/>
            </w:tabs>
            <w:rPr>
              <w:rFonts w:eastAsiaTheme="minorEastAsia"/>
              <w:noProof/>
            </w:rPr>
          </w:pPr>
          <w:hyperlink w:anchor="_Toc228488643" w:history="1">
            <w:r w:rsidRPr="00417025">
              <w:rPr>
                <w:rStyle w:val="Hyperlink"/>
                <w:noProof/>
              </w:rPr>
              <w:t>2. External &amp; Internal Environment Analysis</w:t>
            </w:r>
            <w:r>
              <w:rPr>
                <w:noProof/>
                <w:webHidden/>
              </w:rPr>
              <w:tab/>
            </w:r>
            <w:r>
              <w:rPr>
                <w:noProof/>
                <w:webHidden/>
              </w:rPr>
              <w:fldChar w:fldCharType="begin"/>
            </w:r>
            <w:r>
              <w:rPr>
                <w:noProof/>
                <w:webHidden/>
              </w:rPr>
              <w:instrText xml:space="preserve"> PAGEREF _Toc228488643 \h </w:instrText>
            </w:r>
            <w:r>
              <w:rPr>
                <w:noProof/>
                <w:webHidden/>
              </w:rPr>
            </w:r>
            <w:r>
              <w:rPr>
                <w:noProof/>
                <w:webHidden/>
              </w:rPr>
              <w:fldChar w:fldCharType="separate"/>
            </w:r>
            <w:r>
              <w:rPr>
                <w:noProof/>
                <w:webHidden/>
              </w:rPr>
              <w:t>5</w:t>
            </w:r>
            <w:r>
              <w:rPr>
                <w:noProof/>
                <w:webHidden/>
              </w:rPr>
              <w:fldChar w:fldCharType="end"/>
            </w:r>
          </w:hyperlink>
        </w:p>
        <w:p w14:paraId="0521B0EB" w14:textId="7D439F1A" w:rsidR="00FC1F0E" w:rsidRDefault="00FC1F0E">
          <w:pPr>
            <w:pStyle w:val="TOC2"/>
            <w:tabs>
              <w:tab w:val="right" w:leader="dot" w:pos="9016"/>
            </w:tabs>
            <w:rPr>
              <w:rFonts w:eastAsiaTheme="minorEastAsia"/>
              <w:noProof/>
            </w:rPr>
          </w:pPr>
          <w:hyperlink w:anchor="_Toc228488644" w:history="1">
            <w:r w:rsidRPr="00417025">
              <w:rPr>
                <w:rStyle w:val="Hyperlink"/>
                <w:noProof/>
              </w:rPr>
              <w:t>2.1 PESTEL Analysis of Sainsbury’s</w:t>
            </w:r>
            <w:r>
              <w:rPr>
                <w:noProof/>
                <w:webHidden/>
              </w:rPr>
              <w:tab/>
            </w:r>
            <w:r>
              <w:rPr>
                <w:noProof/>
                <w:webHidden/>
              </w:rPr>
              <w:fldChar w:fldCharType="begin"/>
            </w:r>
            <w:r>
              <w:rPr>
                <w:noProof/>
                <w:webHidden/>
              </w:rPr>
              <w:instrText xml:space="preserve"> PAGEREF _Toc228488644 \h </w:instrText>
            </w:r>
            <w:r>
              <w:rPr>
                <w:noProof/>
                <w:webHidden/>
              </w:rPr>
            </w:r>
            <w:r>
              <w:rPr>
                <w:noProof/>
                <w:webHidden/>
              </w:rPr>
              <w:fldChar w:fldCharType="separate"/>
            </w:r>
            <w:r>
              <w:rPr>
                <w:noProof/>
                <w:webHidden/>
              </w:rPr>
              <w:t>5</w:t>
            </w:r>
            <w:r>
              <w:rPr>
                <w:noProof/>
                <w:webHidden/>
              </w:rPr>
              <w:fldChar w:fldCharType="end"/>
            </w:r>
          </w:hyperlink>
        </w:p>
        <w:p w14:paraId="788CCA36" w14:textId="5AE12D1E" w:rsidR="00FC1F0E" w:rsidRDefault="00FC1F0E">
          <w:pPr>
            <w:pStyle w:val="TOC2"/>
            <w:tabs>
              <w:tab w:val="right" w:leader="dot" w:pos="9016"/>
            </w:tabs>
            <w:rPr>
              <w:rFonts w:eastAsiaTheme="minorEastAsia"/>
              <w:noProof/>
            </w:rPr>
          </w:pPr>
          <w:hyperlink w:anchor="_Toc228488645" w:history="1">
            <w:r w:rsidRPr="00417025">
              <w:rPr>
                <w:rStyle w:val="Hyperlink"/>
                <w:noProof/>
              </w:rPr>
              <w:t>2.2 Industry Analysis – Critical Success Factors</w:t>
            </w:r>
            <w:r>
              <w:rPr>
                <w:noProof/>
                <w:webHidden/>
              </w:rPr>
              <w:tab/>
            </w:r>
            <w:r>
              <w:rPr>
                <w:noProof/>
                <w:webHidden/>
              </w:rPr>
              <w:fldChar w:fldCharType="begin"/>
            </w:r>
            <w:r>
              <w:rPr>
                <w:noProof/>
                <w:webHidden/>
              </w:rPr>
              <w:instrText xml:space="preserve"> PAGEREF _Toc228488645 \h </w:instrText>
            </w:r>
            <w:r>
              <w:rPr>
                <w:noProof/>
                <w:webHidden/>
              </w:rPr>
            </w:r>
            <w:r>
              <w:rPr>
                <w:noProof/>
                <w:webHidden/>
              </w:rPr>
              <w:fldChar w:fldCharType="separate"/>
            </w:r>
            <w:r>
              <w:rPr>
                <w:noProof/>
                <w:webHidden/>
              </w:rPr>
              <w:t>8</w:t>
            </w:r>
            <w:r>
              <w:rPr>
                <w:noProof/>
                <w:webHidden/>
              </w:rPr>
              <w:fldChar w:fldCharType="end"/>
            </w:r>
          </w:hyperlink>
        </w:p>
        <w:p w14:paraId="4C366537" w14:textId="3200F503" w:rsidR="00FC1F0E" w:rsidRDefault="00FC1F0E">
          <w:pPr>
            <w:pStyle w:val="TOC2"/>
            <w:tabs>
              <w:tab w:val="right" w:leader="dot" w:pos="9016"/>
            </w:tabs>
            <w:rPr>
              <w:rFonts w:eastAsiaTheme="minorEastAsia"/>
              <w:noProof/>
            </w:rPr>
          </w:pPr>
          <w:hyperlink w:anchor="_Toc228488646" w:history="1">
            <w:r w:rsidRPr="00417025">
              <w:rPr>
                <w:rStyle w:val="Hyperlink"/>
                <w:noProof/>
              </w:rPr>
              <w:t>2.3 Internal Analysis</w:t>
            </w:r>
            <w:r>
              <w:rPr>
                <w:noProof/>
                <w:webHidden/>
              </w:rPr>
              <w:tab/>
            </w:r>
            <w:r>
              <w:rPr>
                <w:noProof/>
                <w:webHidden/>
              </w:rPr>
              <w:fldChar w:fldCharType="begin"/>
            </w:r>
            <w:r>
              <w:rPr>
                <w:noProof/>
                <w:webHidden/>
              </w:rPr>
              <w:instrText xml:space="preserve"> PAGEREF _Toc228488646 \h </w:instrText>
            </w:r>
            <w:r>
              <w:rPr>
                <w:noProof/>
                <w:webHidden/>
              </w:rPr>
            </w:r>
            <w:r>
              <w:rPr>
                <w:noProof/>
                <w:webHidden/>
              </w:rPr>
              <w:fldChar w:fldCharType="separate"/>
            </w:r>
            <w:r>
              <w:rPr>
                <w:noProof/>
                <w:webHidden/>
              </w:rPr>
              <w:t>8</w:t>
            </w:r>
            <w:r>
              <w:rPr>
                <w:noProof/>
                <w:webHidden/>
              </w:rPr>
              <w:fldChar w:fldCharType="end"/>
            </w:r>
          </w:hyperlink>
        </w:p>
        <w:p w14:paraId="5DD5C286" w14:textId="27D7F8B3" w:rsidR="00FC1F0E" w:rsidRDefault="00FC1F0E">
          <w:pPr>
            <w:pStyle w:val="TOC2"/>
            <w:tabs>
              <w:tab w:val="right" w:leader="dot" w:pos="9016"/>
            </w:tabs>
            <w:rPr>
              <w:rFonts w:eastAsiaTheme="minorEastAsia"/>
              <w:noProof/>
            </w:rPr>
          </w:pPr>
          <w:hyperlink w:anchor="_Toc228488647" w:history="1">
            <w:r w:rsidRPr="00417025">
              <w:rPr>
                <w:rStyle w:val="Hyperlink"/>
                <w:noProof/>
              </w:rPr>
              <w:t>2.4 VRIO Framework</w:t>
            </w:r>
            <w:r>
              <w:rPr>
                <w:noProof/>
                <w:webHidden/>
              </w:rPr>
              <w:tab/>
            </w:r>
            <w:r>
              <w:rPr>
                <w:noProof/>
                <w:webHidden/>
              </w:rPr>
              <w:fldChar w:fldCharType="begin"/>
            </w:r>
            <w:r>
              <w:rPr>
                <w:noProof/>
                <w:webHidden/>
              </w:rPr>
              <w:instrText xml:space="preserve"> PAGEREF _Toc228488647 \h </w:instrText>
            </w:r>
            <w:r>
              <w:rPr>
                <w:noProof/>
                <w:webHidden/>
              </w:rPr>
            </w:r>
            <w:r>
              <w:rPr>
                <w:noProof/>
                <w:webHidden/>
              </w:rPr>
              <w:fldChar w:fldCharType="separate"/>
            </w:r>
            <w:r>
              <w:rPr>
                <w:noProof/>
                <w:webHidden/>
              </w:rPr>
              <w:t>9</w:t>
            </w:r>
            <w:r>
              <w:rPr>
                <w:noProof/>
                <w:webHidden/>
              </w:rPr>
              <w:fldChar w:fldCharType="end"/>
            </w:r>
          </w:hyperlink>
        </w:p>
        <w:p w14:paraId="6C947CD2" w14:textId="1C14897E" w:rsidR="00FC1F0E" w:rsidRDefault="00FC1F0E">
          <w:pPr>
            <w:pStyle w:val="TOC2"/>
            <w:tabs>
              <w:tab w:val="right" w:leader="dot" w:pos="9016"/>
            </w:tabs>
            <w:rPr>
              <w:rFonts w:eastAsiaTheme="minorEastAsia"/>
              <w:noProof/>
            </w:rPr>
          </w:pPr>
          <w:hyperlink w:anchor="_Toc228488648" w:history="1">
            <w:r w:rsidRPr="00417025">
              <w:rPr>
                <w:rStyle w:val="Hyperlink"/>
                <w:noProof/>
              </w:rPr>
              <w:t>2.5 Linking Internal Strengths to Competitive Advantage</w:t>
            </w:r>
            <w:r>
              <w:rPr>
                <w:noProof/>
                <w:webHidden/>
              </w:rPr>
              <w:tab/>
            </w:r>
            <w:r>
              <w:rPr>
                <w:noProof/>
                <w:webHidden/>
              </w:rPr>
              <w:fldChar w:fldCharType="begin"/>
            </w:r>
            <w:r>
              <w:rPr>
                <w:noProof/>
                <w:webHidden/>
              </w:rPr>
              <w:instrText xml:space="preserve"> PAGEREF _Toc228488648 \h </w:instrText>
            </w:r>
            <w:r>
              <w:rPr>
                <w:noProof/>
                <w:webHidden/>
              </w:rPr>
            </w:r>
            <w:r>
              <w:rPr>
                <w:noProof/>
                <w:webHidden/>
              </w:rPr>
              <w:fldChar w:fldCharType="separate"/>
            </w:r>
            <w:r>
              <w:rPr>
                <w:noProof/>
                <w:webHidden/>
              </w:rPr>
              <w:t>10</w:t>
            </w:r>
            <w:r>
              <w:rPr>
                <w:noProof/>
                <w:webHidden/>
              </w:rPr>
              <w:fldChar w:fldCharType="end"/>
            </w:r>
          </w:hyperlink>
        </w:p>
        <w:p w14:paraId="178584F2" w14:textId="113D0313" w:rsidR="00FC1F0E" w:rsidRDefault="00FC1F0E">
          <w:pPr>
            <w:pStyle w:val="TOC1"/>
            <w:tabs>
              <w:tab w:val="right" w:leader="dot" w:pos="9016"/>
            </w:tabs>
            <w:rPr>
              <w:rFonts w:eastAsiaTheme="minorEastAsia"/>
              <w:noProof/>
            </w:rPr>
          </w:pPr>
          <w:hyperlink w:anchor="_Toc228488649" w:history="1">
            <w:r w:rsidRPr="00417025">
              <w:rPr>
                <w:rStyle w:val="Hyperlink"/>
                <w:noProof/>
              </w:rPr>
              <w:t>3. CSR &amp; Sustainability – Sainsbury’s</w:t>
            </w:r>
            <w:r>
              <w:rPr>
                <w:noProof/>
                <w:webHidden/>
              </w:rPr>
              <w:tab/>
            </w:r>
            <w:r>
              <w:rPr>
                <w:noProof/>
                <w:webHidden/>
              </w:rPr>
              <w:fldChar w:fldCharType="begin"/>
            </w:r>
            <w:r>
              <w:rPr>
                <w:noProof/>
                <w:webHidden/>
              </w:rPr>
              <w:instrText xml:space="preserve"> PAGEREF _Toc228488649 \h </w:instrText>
            </w:r>
            <w:r>
              <w:rPr>
                <w:noProof/>
                <w:webHidden/>
              </w:rPr>
            </w:r>
            <w:r>
              <w:rPr>
                <w:noProof/>
                <w:webHidden/>
              </w:rPr>
              <w:fldChar w:fldCharType="separate"/>
            </w:r>
            <w:r>
              <w:rPr>
                <w:noProof/>
                <w:webHidden/>
              </w:rPr>
              <w:t>10</w:t>
            </w:r>
            <w:r>
              <w:rPr>
                <w:noProof/>
                <w:webHidden/>
              </w:rPr>
              <w:fldChar w:fldCharType="end"/>
            </w:r>
          </w:hyperlink>
        </w:p>
        <w:p w14:paraId="7849E6BE" w14:textId="0E404214" w:rsidR="00FC1F0E" w:rsidRDefault="00FC1F0E">
          <w:pPr>
            <w:pStyle w:val="TOC1"/>
            <w:tabs>
              <w:tab w:val="right" w:leader="dot" w:pos="9016"/>
            </w:tabs>
            <w:rPr>
              <w:rFonts w:eastAsiaTheme="minorEastAsia"/>
              <w:noProof/>
            </w:rPr>
          </w:pPr>
          <w:hyperlink w:anchor="_Toc228488650" w:history="1">
            <w:r w:rsidRPr="00417025">
              <w:rPr>
                <w:rStyle w:val="Hyperlink"/>
                <w:noProof/>
              </w:rPr>
              <w:t>4. Balanced Scorecard Analysis – Sainsbury’s</w:t>
            </w:r>
            <w:r>
              <w:rPr>
                <w:noProof/>
                <w:webHidden/>
              </w:rPr>
              <w:tab/>
            </w:r>
            <w:r>
              <w:rPr>
                <w:noProof/>
                <w:webHidden/>
              </w:rPr>
              <w:fldChar w:fldCharType="begin"/>
            </w:r>
            <w:r>
              <w:rPr>
                <w:noProof/>
                <w:webHidden/>
              </w:rPr>
              <w:instrText xml:space="preserve"> PAGEREF _Toc228488650 \h </w:instrText>
            </w:r>
            <w:r>
              <w:rPr>
                <w:noProof/>
                <w:webHidden/>
              </w:rPr>
            </w:r>
            <w:r>
              <w:rPr>
                <w:noProof/>
                <w:webHidden/>
              </w:rPr>
              <w:fldChar w:fldCharType="separate"/>
            </w:r>
            <w:r>
              <w:rPr>
                <w:noProof/>
                <w:webHidden/>
              </w:rPr>
              <w:t>11</w:t>
            </w:r>
            <w:r>
              <w:rPr>
                <w:noProof/>
                <w:webHidden/>
              </w:rPr>
              <w:fldChar w:fldCharType="end"/>
            </w:r>
          </w:hyperlink>
        </w:p>
        <w:p w14:paraId="4625F505" w14:textId="25DDEB05" w:rsidR="00FC1F0E" w:rsidRDefault="00FC1F0E">
          <w:pPr>
            <w:pStyle w:val="TOC1"/>
            <w:tabs>
              <w:tab w:val="right" w:leader="dot" w:pos="9016"/>
            </w:tabs>
            <w:rPr>
              <w:rFonts w:eastAsiaTheme="minorEastAsia"/>
              <w:noProof/>
            </w:rPr>
          </w:pPr>
          <w:hyperlink w:anchor="_Toc228488651" w:history="1">
            <w:r w:rsidRPr="00417025">
              <w:rPr>
                <w:rStyle w:val="Hyperlink"/>
                <w:noProof/>
              </w:rPr>
              <w:t>5. Strategic Choices &amp; Implementation – Sainsbury’s</w:t>
            </w:r>
            <w:r>
              <w:rPr>
                <w:noProof/>
                <w:webHidden/>
              </w:rPr>
              <w:tab/>
            </w:r>
            <w:r>
              <w:rPr>
                <w:noProof/>
                <w:webHidden/>
              </w:rPr>
              <w:fldChar w:fldCharType="begin"/>
            </w:r>
            <w:r>
              <w:rPr>
                <w:noProof/>
                <w:webHidden/>
              </w:rPr>
              <w:instrText xml:space="preserve"> PAGEREF _Toc228488651 \h </w:instrText>
            </w:r>
            <w:r>
              <w:rPr>
                <w:noProof/>
                <w:webHidden/>
              </w:rPr>
            </w:r>
            <w:r>
              <w:rPr>
                <w:noProof/>
                <w:webHidden/>
              </w:rPr>
              <w:fldChar w:fldCharType="separate"/>
            </w:r>
            <w:r>
              <w:rPr>
                <w:noProof/>
                <w:webHidden/>
              </w:rPr>
              <w:t>14</w:t>
            </w:r>
            <w:r>
              <w:rPr>
                <w:noProof/>
                <w:webHidden/>
              </w:rPr>
              <w:fldChar w:fldCharType="end"/>
            </w:r>
          </w:hyperlink>
        </w:p>
        <w:p w14:paraId="39358D2B" w14:textId="5A8916B4" w:rsidR="00FC1F0E" w:rsidRDefault="00FC1F0E">
          <w:pPr>
            <w:pStyle w:val="TOC2"/>
            <w:tabs>
              <w:tab w:val="right" w:leader="dot" w:pos="9016"/>
            </w:tabs>
            <w:rPr>
              <w:rFonts w:eastAsiaTheme="minorEastAsia"/>
              <w:noProof/>
            </w:rPr>
          </w:pPr>
          <w:hyperlink w:anchor="_Toc228488652" w:history="1">
            <w:r w:rsidRPr="00417025">
              <w:rPr>
                <w:rStyle w:val="Hyperlink"/>
                <w:noProof/>
              </w:rPr>
              <w:t>5.1 Business-Level Strategy</w:t>
            </w:r>
            <w:r>
              <w:rPr>
                <w:noProof/>
                <w:webHidden/>
              </w:rPr>
              <w:tab/>
            </w:r>
            <w:r>
              <w:rPr>
                <w:noProof/>
                <w:webHidden/>
              </w:rPr>
              <w:fldChar w:fldCharType="begin"/>
            </w:r>
            <w:r>
              <w:rPr>
                <w:noProof/>
                <w:webHidden/>
              </w:rPr>
              <w:instrText xml:space="preserve"> PAGEREF _Toc228488652 \h </w:instrText>
            </w:r>
            <w:r>
              <w:rPr>
                <w:noProof/>
                <w:webHidden/>
              </w:rPr>
            </w:r>
            <w:r>
              <w:rPr>
                <w:noProof/>
                <w:webHidden/>
              </w:rPr>
              <w:fldChar w:fldCharType="separate"/>
            </w:r>
            <w:r>
              <w:rPr>
                <w:noProof/>
                <w:webHidden/>
              </w:rPr>
              <w:t>14</w:t>
            </w:r>
            <w:r>
              <w:rPr>
                <w:noProof/>
                <w:webHidden/>
              </w:rPr>
              <w:fldChar w:fldCharType="end"/>
            </w:r>
          </w:hyperlink>
        </w:p>
        <w:p w14:paraId="567587FB" w14:textId="16AE56E2" w:rsidR="00FC1F0E" w:rsidRDefault="00FC1F0E">
          <w:pPr>
            <w:pStyle w:val="TOC2"/>
            <w:tabs>
              <w:tab w:val="right" w:leader="dot" w:pos="9016"/>
            </w:tabs>
            <w:rPr>
              <w:rFonts w:eastAsiaTheme="minorEastAsia"/>
              <w:noProof/>
            </w:rPr>
          </w:pPr>
          <w:hyperlink w:anchor="_Toc228488653" w:history="1">
            <w:r w:rsidRPr="00417025">
              <w:rPr>
                <w:rStyle w:val="Hyperlink"/>
                <w:noProof/>
              </w:rPr>
              <w:t>5.2 Corporate-Level Strategy</w:t>
            </w:r>
            <w:r>
              <w:rPr>
                <w:noProof/>
                <w:webHidden/>
              </w:rPr>
              <w:tab/>
            </w:r>
            <w:r>
              <w:rPr>
                <w:noProof/>
                <w:webHidden/>
              </w:rPr>
              <w:fldChar w:fldCharType="begin"/>
            </w:r>
            <w:r>
              <w:rPr>
                <w:noProof/>
                <w:webHidden/>
              </w:rPr>
              <w:instrText xml:space="preserve"> PAGEREF _Toc228488653 \h </w:instrText>
            </w:r>
            <w:r>
              <w:rPr>
                <w:noProof/>
                <w:webHidden/>
              </w:rPr>
            </w:r>
            <w:r>
              <w:rPr>
                <w:noProof/>
                <w:webHidden/>
              </w:rPr>
              <w:fldChar w:fldCharType="separate"/>
            </w:r>
            <w:r>
              <w:rPr>
                <w:noProof/>
                <w:webHidden/>
              </w:rPr>
              <w:t>15</w:t>
            </w:r>
            <w:r>
              <w:rPr>
                <w:noProof/>
                <w:webHidden/>
              </w:rPr>
              <w:fldChar w:fldCharType="end"/>
            </w:r>
          </w:hyperlink>
        </w:p>
        <w:p w14:paraId="75EE8E75" w14:textId="1696888A" w:rsidR="00FC1F0E" w:rsidRDefault="00FC1F0E">
          <w:pPr>
            <w:pStyle w:val="TOC2"/>
            <w:tabs>
              <w:tab w:val="right" w:leader="dot" w:pos="9016"/>
            </w:tabs>
            <w:rPr>
              <w:rFonts w:eastAsiaTheme="minorEastAsia"/>
              <w:noProof/>
            </w:rPr>
          </w:pPr>
          <w:hyperlink w:anchor="_Toc228488654" w:history="1">
            <w:r w:rsidRPr="00417025">
              <w:rPr>
                <w:rStyle w:val="Hyperlink"/>
                <w:noProof/>
              </w:rPr>
              <w:t>5.3 Change Management</w:t>
            </w:r>
            <w:r>
              <w:rPr>
                <w:noProof/>
                <w:webHidden/>
              </w:rPr>
              <w:tab/>
            </w:r>
            <w:r>
              <w:rPr>
                <w:noProof/>
                <w:webHidden/>
              </w:rPr>
              <w:fldChar w:fldCharType="begin"/>
            </w:r>
            <w:r>
              <w:rPr>
                <w:noProof/>
                <w:webHidden/>
              </w:rPr>
              <w:instrText xml:space="preserve"> PAGEREF _Toc228488654 \h </w:instrText>
            </w:r>
            <w:r>
              <w:rPr>
                <w:noProof/>
                <w:webHidden/>
              </w:rPr>
            </w:r>
            <w:r>
              <w:rPr>
                <w:noProof/>
                <w:webHidden/>
              </w:rPr>
              <w:fldChar w:fldCharType="separate"/>
            </w:r>
            <w:r>
              <w:rPr>
                <w:noProof/>
                <w:webHidden/>
              </w:rPr>
              <w:t>15</w:t>
            </w:r>
            <w:r>
              <w:rPr>
                <w:noProof/>
                <w:webHidden/>
              </w:rPr>
              <w:fldChar w:fldCharType="end"/>
            </w:r>
          </w:hyperlink>
        </w:p>
        <w:p w14:paraId="5BDC1C62" w14:textId="42516B30" w:rsidR="00FC1F0E" w:rsidRDefault="00FC1F0E">
          <w:pPr>
            <w:pStyle w:val="TOC1"/>
            <w:tabs>
              <w:tab w:val="right" w:leader="dot" w:pos="9016"/>
            </w:tabs>
            <w:rPr>
              <w:rFonts w:eastAsiaTheme="minorEastAsia"/>
              <w:noProof/>
            </w:rPr>
          </w:pPr>
          <w:hyperlink w:anchor="_Toc228488655" w:history="1">
            <w:r w:rsidRPr="00417025">
              <w:rPr>
                <w:rStyle w:val="Hyperlink"/>
                <w:noProof/>
              </w:rPr>
              <w:t>6. Strategic Evaluation &amp; Recommendations – Sainsbury’s</w:t>
            </w:r>
            <w:r>
              <w:rPr>
                <w:noProof/>
                <w:webHidden/>
              </w:rPr>
              <w:tab/>
            </w:r>
            <w:r>
              <w:rPr>
                <w:noProof/>
                <w:webHidden/>
              </w:rPr>
              <w:fldChar w:fldCharType="begin"/>
            </w:r>
            <w:r>
              <w:rPr>
                <w:noProof/>
                <w:webHidden/>
              </w:rPr>
              <w:instrText xml:space="preserve"> PAGEREF _Toc228488655 \h </w:instrText>
            </w:r>
            <w:r>
              <w:rPr>
                <w:noProof/>
                <w:webHidden/>
              </w:rPr>
            </w:r>
            <w:r>
              <w:rPr>
                <w:noProof/>
                <w:webHidden/>
              </w:rPr>
              <w:fldChar w:fldCharType="separate"/>
            </w:r>
            <w:r>
              <w:rPr>
                <w:noProof/>
                <w:webHidden/>
              </w:rPr>
              <w:t>16</w:t>
            </w:r>
            <w:r>
              <w:rPr>
                <w:noProof/>
                <w:webHidden/>
              </w:rPr>
              <w:fldChar w:fldCharType="end"/>
            </w:r>
          </w:hyperlink>
        </w:p>
        <w:p w14:paraId="2639BB70" w14:textId="6D4C7EB4" w:rsidR="00FC1F0E" w:rsidRDefault="00FC1F0E">
          <w:pPr>
            <w:pStyle w:val="TOC2"/>
            <w:tabs>
              <w:tab w:val="right" w:leader="dot" w:pos="9016"/>
            </w:tabs>
            <w:rPr>
              <w:rFonts w:eastAsiaTheme="minorEastAsia"/>
              <w:noProof/>
            </w:rPr>
          </w:pPr>
          <w:hyperlink w:anchor="_Toc228488656" w:history="1">
            <w:r w:rsidRPr="00417025">
              <w:rPr>
                <w:rStyle w:val="Hyperlink"/>
                <w:noProof/>
              </w:rPr>
              <w:t>6.1 SWOT Analysis</w:t>
            </w:r>
            <w:r>
              <w:rPr>
                <w:noProof/>
                <w:webHidden/>
              </w:rPr>
              <w:tab/>
            </w:r>
            <w:r>
              <w:rPr>
                <w:noProof/>
                <w:webHidden/>
              </w:rPr>
              <w:fldChar w:fldCharType="begin"/>
            </w:r>
            <w:r>
              <w:rPr>
                <w:noProof/>
                <w:webHidden/>
              </w:rPr>
              <w:instrText xml:space="preserve"> PAGEREF _Toc228488656 \h </w:instrText>
            </w:r>
            <w:r>
              <w:rPr>
                <w:noProof/>
                <w:webHidden/>
              </w:rPr>
            </w:r>
            <w:r>
              <w:rPr>
                <w:noProof/>
                <w:webHidden/>
              </w:rPr>
              <w:fldChar w:fldCharType="separate"/>
            </w:r>
            <w:r>
              <w:rPr>
                <w:noProof/>
                <w:webHidden/>
              </w:rPr>
              <w:t>16</w:t>
            </w:r>
            <w:r>
              <w:rPr>
                <w:noProof/>
                <w:webHidden/>
              </w:rPr>
              <w:fldChar w:fldCharType="end"/>
            </w:r>
          </w:hyperlink>
        </w:p>
        <w:p w14:paraId="0FD87761" w14:textId="33B9BBB5" w:rsidR="00FC1F0E" w:rsidRDefault="00FC1F0E">
          <w:pPr>
            <w:pStyle w:val="TOC2"/>
            <w:tabs>
              <w:tab w:val="right" w:leader="dot" w:pos="9016"/>
            </w:tabs>
            <w:rPr>
              <w:rFonts w:eastAsiaTheme="minorEastAsia"/>
              <w:noProof/>
            </w:rPr>
          </w:pPr>
          <w:hyperlink w:anchor="_Toc228488657" w:history="1">
            <w:r w:rsidRPr="00417025">
              <w:rPr>
                <w:rStyle w:val="Hyperlink"/>
                <w:noProof/>
              </w:rPr>
              <w:t>6.2 Strategy Evaluation Tools – Ansoff Matrix</w:t>
            </w:r>
            <w:r>
              <w:rPr>
                <w:noProof/>
                <w:webHidden/>
              </w:rPr>
              <w:tab/>
            </w:r>
            <w:r>
              <w:rPr>
                <w:noProof/>
                <w:webHidden/>
              </w:rPr>
              <w:fldChar w:fldCharType="begin"/>
            </w:r>
            <w:r>
              <w:rPr>
                <w:noProof/>
                <w:webHidden/>
              </w:rPr>
              <w:instrText xml:space="preserve"> PAGEREF _Toc228488657 \h </w:instrText>
            </w:r>
            <w:r>
              <w:rPr>
                <w:noProof/>
                <w:webHidden/>
              </w:rPr>
            </w:r>
            <w:r>
              <w:rPr>
                <w:noProof/>
                <w:webHidden/>
              </w:rPr>
              <w:fldChar w:fldCharType="separate"/>
            </w:r>
            <w:r>
              <w:rPr>
                <w:noProof/>
                <w:webHidden/>
              </w:rPr>
              <w:t>17</w:t>
            </w:r>
            <w:r>
              <w:rPr>
                <w:noProof/>
                <w:webHidden/>
              </w:rPr>
              <w:fldChar w:fldCharType="end"/>
            </w:r>
          </w:hyperlink>
        </w:p>
        <w:p w14:paraId="7E6886D9" w14:textId="283FC3DE" w:rsidR="00FC1F0E" w:rsidRDefault="00FC1F0E">
          <w:pPr>
            <w:pStyle w:val="TOC2"/>
            <w:tabs>
              <w:tab w:val="right" w:leader="dot" w:pos="9016"/>
            </w:tabs>
            <w:rPr>
              <w:rFonts w:eastAsiaTheme="minorEastAsia"/>
              <w:noProof/>
            </w:rPr>
          </w:pPr>
          <w:hyperlink w:anchor="_Toc228488658" w:history="1">
            <w:r w:rsidRPr="00417025">
              <w:rPr>
                <w:rStyle w:val="Hyperlink"/>
                <w:noProof/>
              </w:rPr>
              <w:t>6.3 Recommendations</w:t>
            </w:r>
            <w:r>
              <w:rPr>
                <w:noProof/>
                <w:webHidden/>
              </w:rPr>
              <w:tab/>
            </w:r>
            <w:r>
              <w:rPr>
                <w:noProof/>
                <w:webHidden/>
              </w:rPr>
              <w:fldChar w:fldCharType="begin"/>
            </w:r>
            <w:r>
              <w:rPr>
                <w:noProof/>
                <w:webHidden/>
              </w:rPr>
              <w:instrText xml:space="preserve"> PAGEREF _Toc228488658 \h </w:instrText>
            </w:r>
            <w:r>
              <w:rPr>
                <w:noProof/>
                <w:webHidden/>
              </w:rPr>
            </w:r>
            <w:r>
              <w:rPr>
                <w:noProof/>
                <w:webHidden/>
              </w:rPr>
              <w:fldChar w:fldCharType="separate"/>
            </w:r>
            <w:r>
              <w:rPr>
                <w:noProof/>
                <w:webHidden/>
              </w:rPr>
              <w:t>18</w:t>
            </w:r>
            <w:r>
              <w:rPr>
                <w:noProof/>
                <w:webHidden/>
              </w:rPr>
              <w:fldChar w:fldCharType="end"/>
            </w:r>
          </w:hyperlink>
        </w:p>
        <w:p w14:paraId="0B0A1F08" w14:textId="7A4231C6" w:rsidR="00FC1F0E" w:rsidRDefault="00FC1F0E">
          <w:pPr>
            <w:pStyle w:val="TOC1"/>
            <w:tabs>
              <w:tab w:val="right" w:leader="dot" w:pos="9016"/>
            </w:tabs>
            <w:rPr>
              <w:rFonts w:eastAsiaTheme="minorEastAsia"/>
              <w:noProof/>
            </w:rPr>
          </w:pPr>
          <w:hyperlink w:anchor="_Toc228488659" w:history="1">
            <w:r w:rsidRPr="00417025">
              <w:rPr>
                <w:rStyle w:val="Hyperlink"/>
                <w:noProof/>
              </w:rPr>
              <w:t>SECTION 2: REFLECTIVE ACCOUNT</w:t>
            </w:r>
            <w:r>
              <w:rPr>
                <w:noProof/>
                <w:webHidden/>
              </w:rPr>
              <w:tab/>
            </w:r>
            <w:r>
              <w:rPr>
                <w:noProof/>
                <w:webHidden/>
              </w:rPr>
              <w:fldChar w:fldCharType="begin"/>
            </w:r>
            <w:r>
              <w:rPr>
                <w:noProof/>
                <w:webHidden/>
              </w:rPr>
              <w:instrText xml:space="preserve"> PAGEREF _Toc228488659 \h </w:instrText>
            </w:r>
            <w:r>
              <w:rPr>
                <w:noProof/>
                <w:webHidden/>
              </w:rPr>
            </w:r>
            <w:r>
              <w:rPr>
                <w:noProof/>
                <w:webHidden/>
              </w:rPr>
              <w:fldChar w:fldCharType="separate"/>
            </w:r>
            <w:r>
              <w:rPr>
                <w:noProof/>
                <w:webHidden/>
              </w:rPr>
              <w:t>19</w:t>
            </w:r>
            <w:r>
              <w:rPr>
                <w:noProof/>
                <w:webHidden/>
              </w:rPr>
              <w:fldChar w:fldCharType="end"/>
            </w:r>
          </w:hyperlink>
        </w:p>
        <w:p w14:paraId="1E553479" w14:textId="38293727" w:rsidR="00FC1F0E" w:rsidRDefault="00FC1F0E">
          <w:pPr>
            <w:pStyle w:val="TOC1"/>
            <w:tabs>
              <w:tab w:val="right" w:leader="dot" w:pos="9016"/>
            </w:tabs>
            <w:rPr>
              <w:rFonts w:eastAsiaTheme="minorEastAsia"/>
              <w:noProof/>
            </w:rPr>
          </w:pPr>
          <w:hyperlink w:anchor="_Toc228488660" w:history="1">
            <w:r w:rsidRPr="00417025">
              <w:rPr>
                <w:rStyle w:val="Hyperlink"/>
                <w:noProof/>
              </w:rPr>
              <w:t>1. Description</w:t>
            </w:r>
            <w:r>
              <w:rPr>
                <w:noProof/>
                <w:webHidden/>
              </w:rPr>
              <w:tab/>
            </w:r>
            <w:r>
              <w:rPr>
                <w:noProof/>
                <w:webHidden/>
              </w:rPr>
              <w:fldChar w:fldCharType="begin"/>
            </w:r>
            <w:r>
              <w:rPr>
                <w:noProof/>
                <w:webHidden/>
              </w:rPr>
              <w:instrText xml:space="preserve"> PAGEREF _Toc228488660 \h </w:instrText>
            </w:r>
            <w:r>
              <w:rPr>
                <w:noProof/>
                <w:webHidden/>
              </w:rPr>
            </w:r>
            <w:r>
              <w:rPr>
                <w:noProof/>
                <w:webHidden/>
              </w:rPr>
              <w:fldChar w:fldCharType="separate"/>
            </w:r>
            <w:r>
              <w:rPr>
                <w:noProof/>
                <w:webHidden/>
              </w:rPr>
              <w:t>20</w:t>
            </w:r>
            <w:r>
              <w:rPr>
                <w:noProof/>
                <w:webHidden/>
              </w:rPr>
              <w:fldChar w:fldCharType="end"/>
            </w:r>
          </w:hyperlink>
        </w:p>
        <w:p w14:paraId="45CAD322" w14:textId="47184D71" w:rsidR="00FC1F0E" w:rsidRDefault="00FC1F0E">
          <w:pPr>
            <w:pStyle w:val="TOC1"/>
            <w:tabs>
              <w:tab w:val="right" w:leader="dot" w:pos="9016"/>
            </w:tabs>
            <w:rPr>
              <w:rFonts w:eastAsiaTheme="minorEastAsia"/>
              <w:noProof/>
            </w:rPr>
          </w:pPr>
          <w:hyperlink w:anchor="_Toc228488661" w:history="1">
            <w:r w:rsidRPr="00417025">
              <w:rPr>
                <w:rStyle w:val="Hyperlink"/>
                <w:noProof/>
              </w:rPr>
              <w:t>2. Feelings</w:t>
            </w:r>
            <w:r>
              <w:rPr>
                <w:noProof/>
                <w:webHidden/>
              </w:rPr>
              <w:tab/>
            </w:r>
            <w:r>
              <w:rPr>
                <w:noProof/>
                <w:webHidden/>
              </w:rPr>
              <w:fldChar w:fldCharType="begin"/>
            </w:r>
            <w:r>
              <w:rPr>
                <w:noProof/>
                <w:webHidden/>
              </w:rPr>
              <w:instrText xml:space="preserve"> PAGEREF _Toc228488661 \h </w:instrText>
            </w:r>
            <w:r>
              <w:rPr>
                <w:noProof/>
                <w:webHidden/>
              </w:rPr>
            </w:r>
            <w:r>
              <w:rPr>
                <w:noProof/>
                <w:webHidden/>
              </w:rPr>
              <w:fldChar w:fldCharType="separate"/>
            </w:r>
            <w:r>
              <w:rPr>
                <w:noProof/>
                <w:webHidden/>
              </w:rPr>
              <w:t>20</w:t>
            </w:r>
            <w:r>
              <w:rPr>
                <w:noProof/>
                <w:webHidden/>
              </w:rPr>
              <w:fldChar w:fldCharType="end"/>
            </w:r>
          </w:hyperlink>
        </w:p>
        <w:p w14:paraId="11129CA4" w14:textId="14FD4C41" w:rsidR="00FC1F0E" w:rsidRDefault="00FC1F0E">
          <w:pPr>
            <w:pStyle w:val="TOC1"/>
            <w:tabs>
              <w:tab w:val="right" w:leader="dot" w:pos="9016"/>
            </w:tabs>
            <w:rPr>
              <w:rFonts w:eastAsiaTheme="minorEastAsia"/>
              <w:noProof/>
            </w:rPr>
          </w:pPr>
          <w:hyperlink w:anchor="_Toc228488662" w:history="1">
            <w:r w:rsidRPr="00417025">
              <w:rPr>
                <w:rStyle w:val="Hyperlink"/>
                <w:noProof/>
              </w:rPr>
              <w:t>3. Evaluation</w:t>
            </w:r>
            <w:r>
              <w:rPr>
                <w:noProof/>
                <w:webHidden/>
              </w:rPr>
              <w:tab/>
            </w:r>
            <w:r>
              <w:rPr>
                <w:noProof/>
                <w:webHidden/>
              </w:rPr>
              <w:fldChar w:fldCharType="begin"/>
            </w:r>
            <w:r>
              <w:rPr>
                <w:noProof/>
                <w:webHidden/>
              </w:rPr>
              <w:instrText xml:space="preserve"> PAGEREF _Toc228488662 \h </w:instrText>
            </w:r>
            <w:r>
              <w:rPr>
                <w:noProof/>
                <w:webHidden/>
              </w:rPr>
            </w:r>
            <w:r>
              <w:rPr>
                <w:noProof/>
                <w:webHidden/>
              </w:rPr>
              <w:fldChar w:fldCharType="separate"/>
            </w:r>
            <w:r>
              <w:rPr>
                <w:noProof/>
                <w:webHidden/>
              </w:rPr>
              <w:t>21</w:t>
            </w:r>
            <w:r>
              <w:rPr>
                <w:noProof/>
                <w:webHidden/>
              </w:rPr>
              <w:fldChar w:fldCharType="end"/>
            </w:r>
          </w:hyperlink>
        </w:p>
        <w:p w14:paraId="120FF887" w14:textId="7A38B7A6" w:rsidR="00FC1F0E" w:rsidRDefault="00FC1F0E">
          <w:pPr>
            <w:pStyle w:val="TOC1"/>
            <w:tabs>
              <w:tab w:val="right" w:leader="dot" w:pos="9016"/>
            </w:tabs>
            <w:rPr>
              <w:rFonts w:eastAsiaTheme="minorEastAsia"/>
              <w:noProof/>
            </w:rPr>
          </w:pPr>
          <w:hyperlink w:anchor="_Toc228488663" w:history="1">
            <w:r w:rsidRPr="00417025">
              <w:rPr>
                <w:rStyle w:val="Hyperlink"/>
                <w:noProof/>
              </w:rPr>
              <w:t>4. Analysis</w:t>
            </w:r>
            <w:r>
              <w:rPr>
                <w:noProof/>
                <w:webHidden/>
              </w:rPr>
              <w:tab/>
            </w:r>
            <w:r>
              <w:rPr>
                <w:noProof/>
                <w:webHidden/>
              </w:rPr>
              <w:fldChar w:fldCharType="begin"/>
            </w:r>
            <w:r>
              <w:rPr>
                <w:noProof/>
                <w:webHidden/>
              </w:rPr>
              <w:instrText xml:space="preserve"> PAGEREF _Toc228488663 \h </w:instrText>
            </w:r>
            <w:r>
              <w:rPr>
                <w:noProof/>
                <w:webHidden/>
              </w:rPr>
            </w:r>
            <w:r>
              <w:rPr>
                <w:noProof/>
                <w:webHidden/>
              </w:rPr>
              <w:fldChar w:fldCharType="separate"/>
            </w:r>
            <w:r>
              <w:rPr>
                <w:noProof/>
                <w:webHidden/>
              </w:rPr>
              <w:t>21</w:t>
            </w:r>
            <w:r>
              <w:rPr>
                <w:noProof/>
                <w:webHidden/>
              </w:rPr>
              <w:fldChar w:fldCharType="end"/>
            </w:r>
          </w:hyperlink>
        </w:p>
        <w:p w14:paraId="09BE0852" w14:textId="7571FFCC" w:rsidR="00FC1F0E" w:rsidRDefault="00FC1F0E">
          <w:pPr>
            <w:pStyle w:val="TOC1"/>
            <w:tabs>
              <w:tab w:val="right" w:leader="dot" w:pos="9016"/>
            </w:tabs>
            <w:rPr>
              <w:rFonts w:eastAsiaTheme="minorEastAsia"/>
              <w:noProof/>
            </w:rPr>
          </w:pPr>
          <w:hyperlink w:anchor="_Toc228488664" w:history="1">
            <w:r w:rsidRPr="00417025">
              <w:rPr>
                <w:rStyle w:val="Hyperlink"/>
                <w:noProof/>
              </w:rPr>
              <w:t>5. Conclusion</w:t>
            </w:r>
            <w:r>
              <w:rPr>
                <w:noProof/>
                <w:webHidden/>
              </w:rPr>
              <w:tab/>
            </w:r>
            <w:r>
              <w:rPr>
                <w:noProof/>
                <w:webHidden/>
              </w:rPr>
              <w:fldChar w:fldCharType="begin"/>
            </w:r>
            <w:r>
              <w:rPr>
                <w:noProof/>
                <w:webHidden/>
              </w:rPr>
              <w:instrText xml:space="preserve"> PAGEREF _Toc228488664 \h </w:instrText>
            </w:r>
            <w:r>
              <w:rPr>
                <w:noProof/>
                <w:webHidden/>
              </w:rPr>
            </w:r>
            <w:r>
              <w:rPr>
                <w:noProof/>
                <w:webHidden/>
              </w:rPr>
              <w:fldChar w:fldCharType="separate"/>
            </w:r>
            <w:r>
              <w:rPr>
                <w:noProof/>
                <w:webHidden/>
              </w:rPr>
              <w:t>22</w:t>
            </w:r>
            <w:r>
              <w:rPr>
                <w:noProof/>
                <w:webHidden/>
              </w:rPr>
              <w:fldChar w:fldCharType="end"/>
            </w:r>
          </w:hyperlink>
        </w:p>
        <w:p w14:paraId="5A51EAE2" w14:textId="0F4F32FD" w:rsidR="00FC1F0E" w:rsidRDefault="00FC1F0E">
          <w:pPr>
            <w:pStyle w:val="TOC1"/>
            <w:tabs>
              <w:tab w:val="right" w:leader="dot" w:pos="9016"/>
            </w:tabs>
            <w:rPr>
              <w:rFonts w:eastAsiaTheme="minorEastAsia"/>
              <w:noProof/>
            </w:rPr>
          </w:pPr>
          <w:hyperlink w:anchor="_Toc228488665" w:history="1">
            <w:r w:rsidRPr="00417025">
              <w:rPr>
                <w:rStyle w:val="Hyperlink"/>
                <w:noProof/>
              </w:rPr>
              <w:t>6. Action Plan</w:t>
            </w:r>
            <w:r>
              <w:rPr>
                <w:noProof/>
                <w:webHidden/>
              </w:rPr>
              <w:tab/>
            </w:r>
            <w:r>
              <w:rPr>
                <w:noProof/>
                <w:webHidden/>
              </w:rPr>
              <w:fldChar w:fldCharType="begin"/>
            </w:r>
            <w:r>
              <w:rPr>
                <w:noProof/>
                <w:webHidden/>
              </w:rPr>
              <w:instrText xml:space="preserve"> PAGEREF _Toc228488665 \h </w:instrText>
            </w:r>
            <w:r>
              <w:rPr>
                <w:noProof/>
                <w:webHidden/>
              </w:rPr>
            </w:r>
            <w:r>
              <w:rPr>
                <w:noProof/>
                <w:webHidden/>
              </w:rPr>
              <w:fldChar w:fldCharType="separate"/>
            </w:r>
            <w:r>
              <w:rPr>
                <w:noProof/>
                <w:webHidden/>
              </w:rPr>
              <w:t>22</w:t>
            </w:r>
            <w:r>
              <w:rPr>
                <w:noProof/>
                <w:webHidden/>
              </w:rPr>
              <w:fldChar w:fldCharType="end"/>
            </w:r>
          </w:hyperlink>
        </w:p>
        <w:p w14:paraId="13ACC9AE" w14:textId="4D20F8E6" w:rsidR="00FC1F0E" w:rsidRDefault="00FC1F0E">
          <w:pPr>
            <w:pStyle w:val="TOC1"/>
            <w:tabs>
              <w:tab w:val="right" w:leader="dot" w:pos="9016"/>
            </w:tabs>
            <w:rPr>
              <w:rFonts w:eastAsiaTheme="minorEastAsia"/>
              <w:noProof/>
            </w:rPr>
          </w:pPr>
          <w:hyperlink w:anchor="_Toc228488666" w:history="1">
            <w:r w:rsidRPr="00417025">
              <w:rPr>
                <w:rStyle w:val="Hyperlink"/>
                <w:noProof/>
              </w:rPr>
              <w:t>References</w:t>
            </w:r>
            <w:r>
              <w:rPr>
                <w:noProof/>
                <w:webHidden/>
              </w:rPr>
              <w:tab/>
            </w:r>
            <w:r>
              <w:rPr>
                <w:noProof/>
                <w:webHidden/>
              </w:rPr>
              <w:fldChar w:fldCharType="begin"/>
            </w:r>
            <w:r>
              <w:rPr>
                <w:noProof/>
                <w:webHidden/>
              </w:rPr>
              <w:instrText xml:space="preserve"> PAGEREF _Toc228488666 \h </w:instrText>
            </w:r>
            <w:r>
              <w:rPr>
                <w:noProof/>
                <w:webHidden/>
              </w:rPr>
            </w:r>
            <w:r>
              <w:rPr>
                <w:noProof/>
                <w:webHidden/>
              </w:rPr>
              <w:fldChar w:fldCharType="separate"/>
            </w:r>
            <w:r>
              <w:rPr>
                <w:noProof/>
                <w:webHidden/>
              </w:rPr>
              <w:t>23</w:t>
            </w:r>
            <w:r>
              <w:rPr>
                <w:noProof/>
                <w:webHidden/>
              </w:rPr>
              <w:fldChar w:fldCharType="end"/>
            </w:r>
          </w:hyperlink>
        </w:p>
        <w:p w14:paraId="4D364F60" w14:textId="66C1C910" w:rsidR="00A9629B" w:rsidRDefault="00A9629B">
          <w:r>
            <w:rPr>
              <w:b/>
              <w:bCs/>
              <w:noProof/>
            </w:rPr>
            <w:fldChar w:fldCharType="end"/>
          </w:r>
        </w:p>
      </w:sdtContent>
    </w:sdt>
    <w:p w14:paraId="1B219684" w14:textId="77777777" w:rsidR="007A1995" w:rsidRDefault="007A1995" w:rsidP="00FE68C3">
      <w:pPr>
        <w:pStyle w:val="Heading3"/>
        <w:sectPr w:rsidR="007A1995" w:rsidSect="006305F6">
          <w:pgSz w:w="11906" w:h="16838" w:code="9"/>
          <w:pgMar w:top="1440" w:right="1440" w:bottom="1440" w:left="1440" w:header="720" w:footer="720" w:gutter="0"/>
          <w:cols w:space="720"/>
          <w:docGrid w:linePitch="360"/>
        </w:sectPr>
      </w:pPr>
    </w:p>
    <w:p w14:paraId="5ACAFF83" w14:textId="77777777" w:rsidR="00FE68C3" w:rsidRDefault="00FE68C3" w:rsidP="009B703F">
      <w:pPr>
        <w:pStyle w:val="Title"/>
      </w:pPr>
      <w:bookmarkStart w:id="0" w:name="_Toc228488637"/>
      <w:r w:rsidRPr="00FE68C3">
        <w:lastRenderedPageBreak/>
        <w:t>SECTION 1: STRATEGIC ANALYSIS</w:t>
      </w:r>
      <w:bookmarkEnd w:id="0"/>
    </w:p>
    <w:p w14:paraId="040A2808" w14:textId="506F598B" w:rsidR="006305F6" w:rsidRPr="00FE68C3" w:rsidRDefault="006305F6" w:rsidP="00FE68C3">
      <w:pPr>
        <w:pStyle w:val="Heading1"/>
      </w:pPr>
      <w:bookmarkStart w:id="1" w:name="_Toc228488638"/>
      <w:r w:rsidRPr="00FE68C3">
        <w:t>1. Organisational Context &amp; Overview</w:t>
      </w:r>
      <w:bookmarkEnd w:id="1"/>
      <w:r w:rsidRPr="00FE68C3">
        <w:t xml:space="preserve"> </w:t>
      </w:r>
    </w:p>
    <w:p w14:paraId="14AE7B0C" w14:textId="4F443ED2" w:rsidR="006305F6" w:rsidRPr="00A9629B" w:rsidRDefault="006305F6" w:rsidP="00A9629B">
      <w:pPr>
        <w:pStyle w:val="Heading2"/>
      </w:pPr>
      <w:bookmarkStart w:id="2" w:name="_Toc228488639"/>
      <w:r w:rsidRPr="00A9629B">
        <w:t>1.1 Introduction to Sainsbury’s</w:t>
      </w:r>
      <w:bookmarkEnd w:id="2"/>
      <w:r w:rsidRPr="00A9629B">
        <w:t xml:space="preserve"> </w:t>
      </w:r>
    </w:p>
    <w:p w14:paraId="04B3416C" w14:textId="5BF731E7" w:rsidR="006305F6" w:rsidRPr="00A9629B" w:rsidRDefault="006305F6" w:rsidP="00A9629B">
      <w:pPr>
        <w:spacing w:line="360" w:lineRule="auto"/>
        <w:jc w:val="both"/>
        <w:rPr>
          <w:rFonts w:ascii="Arial" w:hAnsi="Arial" w:cs="Arial"/>
        </w:rPr>
      </w:pPr>
      <w:r w:rsidRPr="00A9629B">
        <w:rPr>
          <w:rFonts w:ascii="Arial" w:hAnsi="Arial" w:cs="Arial"/>
        </w:rPr>
        <w:t>Sainsbury’s is one of the leading retail organisations in the United Kingdom, established in 1869 by John James Sainsbury. Headquartered in London, the company has evolved from a single dairy shop into one of the “Big Four” supermarket chains in the UK grocery sector. As of recent reports, Sainsbury’s holds approximately 15–16% market share in the UK grocery industry, positioning it as the second-largest supermarket chain after Tesco (Statista, 2024).</w:t>
      </w:r>
      <w:r w:rsidR="00E11645">
        <w:rPr>
          <w:rFonts w:ascii="Arial" w:hAnsi="Arial" w:cs="Arial"/>
        </w:rPr>
        <w:t xml:space="preserve"> </w:t>
      </w:r>
      <w:r w:rsidR="00E11645" w:rsidRPr="00E11645">
        <w:rPr>
          <w:rFonts w:ascii="Arial" w:hAnsi="Arial" w:cs="Arial"/>
        </w:rPr>
        <w:t>Sainsbury’s is one of the largest supermarket chains in the United Kingdom, holding approximately 15–16% market share in the grocery sector (Statista, 2024). The company operates over 1,400 stores and has expanded into online retail and financial services, generating over £31 billion in revenue (J Sainsbury plc, 2024).</w:t>
      </w:r>
    </w:p>
    <w:p w14:paraId="6BE17957" w14:textId="77777777" w:rsidR="006305F6" w:rsidRPr="00A9629B" w:rsidRDefault="006305F6" w:rsidP="00A9629B">
      <w:pPr>
        <w:spacing w:line="360" w:lineRule="auto"/>
        <w:jc w:val="both"/>
        <w:rPr>
          <w:rFonts w:ascii="Arial" w:hAnsi="Arial" w:cs="Arial"/>
        </w:rPr>
      </w:pPr>
      <w:r w:rsidRPr="00A9629B">
        <w:rPr>
          <w:rFonts w:ascii="Arial" w:hAnsi="Arial" w:cs="Arial"/>
        </w:rPr>
        <w:t>The organisation operates over 1,400 stores across the UK, including supermarkets and convenience outlets, supported by a strong online retail infrastructure. Its operations extend beyond food retail into clothing through its “Tu” brand, financial services via Sainsbury’s Bank, and digital grocery delivery services. In the financial year 2023/2024, Sainsbury’s reported revenues exceeding £31 billion, reflecting its strong market presence and diversified business model (Sainsbury’s Annual Report, 2024).</w:t>
      </w:r>
    </w:p>
    <w:p w14:paraId="43F8E5C8" w14:textId="77777777" w:rsidR="006305F6" w:rsidRPr="00A9629B" w:rsidRDefault="006305F6" w:rsidP="00A9629B">
      <w:pPr>
        <w:spacing w:line="360" w:lineRule="auto"/>
        <w:jc w:val="both"/>
        <w:rPr>
          <w:rFonts w:ascii="Arial" w:hAnsi="Arial" w:cs="Arial"/>
        </w:rPr>
      </w:pPr>
      <w:r w:rsidRPr="00A9629B">
        <w:rPr>
          <w:rFonts w:ascii="Arial" w:hAnsi="Arial" w:cs="Arial"/>
        </w:rPr>
        <w:t>Overall, Sainsbury’s has established itself as a multi-channel retailer focusing on quality, innovation, and customer-centric services within a highly competitive retail environment.</w:t>
      </w:r>
    </w:p>
    <w:p w14:paraId="500928CA" w14:textId="1B2718AA" w:rsidR="006305F6" w:rsidRPr="00A9629B" w:rsidRDefault="006305F6" w:rsidP="00A9629B">
      <w:pPr>
        <w:pStyle w:val="Heading2"/>
      </w:pPr>
      <w:bookmarkStart w:id="3" w:name="_Toc228488640"/>
      <w:r w:rsidRPr="00A9629B">
        <w:t>1.2 Mission, Vision &amp; Values</w:t>
      </w:r>
      <w:bookmarkEnd w:id="3"/>
      <w:r w:rsidRPr="00A9629B">
        <w:t xml:space="preserve"> </w:t>
      </w:r>
    </w:p>
    <w:p w14:paraId="53F4F1A7" w14:textId="5113BB4C" w:rsidR="006305F6" w:rsidRPr="00A9629B" w:rsidRDefault="00E11645" w:rsidP="00E11645">
      <w:pPr>
        <w:spacing w:line="360" w:lineRule="auto"/>
        <w:jc w:val="both"/>
        <w:rPr>
          <w:rFonts w:ascii="Arial" w:hAnsi="Arial" w:cs="Arial"/>
        </w:rPr>
      </w:pPr>
      <w:r w:rsidRPr="00E11645">
        <w:rPr>
          <w:rFonts w:ascii="Arial" w:hAnsi="Arial" w:cs="Arial"/>
        </w:rPr>
        <w:t>Sainsbury’s strategic direction is guided by its mission to deliver high-quality products while ensuring value for money and customer satisfaction (J Sainsbury plc, 2024). The company’s vision focuses on becoming a leading omnichannel retailer by integrating physical stores with digital platforms (J Sainsbury plc, 2025). Its core values emphasise sustainability, community engagement, and ethical sourcing, which are reflected in its “Plan for Better” strategy (J Sainsbury plc, 2025).</w:t>
      </w:r>
    </w:p>
    <w:p w14:paraId="270AA9C8" w14:textId="1AE7FAA1" w:rsidR="006305F6" w:rsidRPr="00A9629B" w:rsidRDefault="006305F6" w:rsidP="00A9629B">
      <w:pPr>
        <w:pStyle w:val="Heading2"/>
      </w:pPr>
      <w:bookmarkStart w:id="4" w:name="_Toc228488641"/>
      <w:r w:rsidRPr="00A9629B">
        <w:lastRenderedPageBreak/>
        <w:t>1.3 Business Model</w:t>
      </w:r>
      <w:bookmarkEnd w:id="4"/>
      <w:r w:rsidRPr="00A9629B">
        <w:t xml:space="preserve"> </w:t>
      </w:r>
    </w:p>
    <w:p w14:paraId="5F201939" w14:textId="77777777" w:rsidR="006305F6" w:rsidRPr="00A9629B" w:rsidRDefault="006305F6" w:rsidP="00A9629B">
      <w:pPr>
        <w:spacing w:line="360" w:lineRule="auto"/>
        <w:jc w:val="both"/>
        <w:rPr>
          <w:rFonts w:ascii="Arial" w:hAnsi="Arial" w:cs="Arial"/>
        </w:rPr>
      </w:pPr>
      <w:r w:rsidRPr="00A9629B">
        <w:rPr>
          <w:rFonts w:ascii="Arial" w:hAnsi="Arial" w:cs="Arial"/>
        </w:rPr>
        <w:t>Sainsbury’s operates an omnichannel business model that integrates physical retail stores with online shopping platforms, enabling customers to shop conveniently across multiple channels. Its primary revenue streams include grocery sales, general merchandise (including clothing and home products), and financial services offered through Sainsbury’s Bank.</w:t>
      </w:r>
    </w:p>
    <w:p w14:paraId="6D74890E" w14:textId="4A1AA472" w:rsidR="006305F6" w:rsidRPr="00A9629B" w:rsidRDefault="006305F6" w:rsidP="00A9629B">
      <w:pPr>
        <w:spacing w:line="360" w:lineRule="auto"/>
        <w:jc w:val="both"/>
        <w:rPr>
          <w:rFonts w:ascii="Arial" w:hAnsi="Arial" w:cs="Arial"/>
        </w:rPr>
      </w:pPr>
      <w:r w:rsidRPr="00A9629B">
        <w:rPr>
          <w:rFonts w:ascii="Arial" w:hAnsi="Arial" w:cs="Arial"/>
        </w:rPr>
        <w:t xml:space="preserve">The company adopts a hybrid strategic positioning, combining competitive pricing with a focus on product quality. This allows Sainsbury’s to appeal to both price-sensitive and quality-conscious consumers. Additionally, its acquisition of Argos has strengthened its non-food retail segment, </w:t>
      </w:r>
      <w:r w:rsidR="00D5142C" w:rsidRPr="00A9629B">
        <w:rPr>
          <w:rFonts w:ascii="Arial" w:hAnsi="Arial" w:cs="Arial"/>
        </w:rPr>
        <w:t>enhanced</w:t>
      </w:r>
      <w:r w:rsidRPr="00A9629B">
        <w:rPr>
          <w:rFonts w:ascii="Arial" w:hAnsi="Arial" w:cs="Arial"/>
        </w:rPr>
        <w:t xml:space="preserve"> operational efficiency and expanding its market reach (Johnson et al., 2020).</w:t>
      </w:r>
    </w:p>
    <w:p w14:paraId="5A67F73D" w14:textId="5BFB6523" w:rsidR="006305F6" w:rsidRPr="00A9629B" w:rsidRDefault="006305F6" w:rsidP="00A9629B">
      <w:pPr>
        <w:pStyle w:val="Heading2"/>
      </w:pPr>
      <w:bookmarkStart w:id="5" w:name="_Toc228488642"/>
      <w:r w:rsidRPr="00A9629B">
        <w:t>1.4 Industry &amp; Competitors</w:t>
      </w:r>
      <w:bookmarkEnd w:id="5"/>
      <w:r w:rsidRPr="00A9629B">
        <w:t xml:space="preserve"> </w:t>
      </w:r>
    </w:p>
    <w:p w14:paraId="6184B52D" w14:textId="77777777" w:rsidR="006305F6" w:rsidRPr="00A9629B" w:rsidRDefault="006305F6" w:rsidP="00A9629B">
      <w:pPr>
        <w:spacing w:line="360" w:lineRule="auto"/>
        <w:jc w:val="both"/>
        <w:rPr>
          <w:rFonts w:ascii="Arial" w:hAnsi="Arial" w:cs="Arial"/>
        </w:rPr>
      </w:pPr>
      <w:r w:rsidRPr="00A9629B">
        <w:rPr>
          <w:rFonts w:ascii="Arial" w:hAnsi="Arial" w:cs="Arial"/>
        </w:rPr>
        <w:t>Sainsbury’s operates within the highly competitive UK grocery retail industry, characterised by intense price competition and evolving consumer preferences. Its key competitors include Tesco, Asda, and discount retailers such as Aldi and Lidl, which exert significant pressure through low-cost strategies.</w:t>
      </w:r>
    </w:p>
    <w:p w14:paraId="240043C3" w14:textId="4D3E1843" w:rsidR="006305F6" w:rsidRPr="00A9629B" w:rsidRDefault="006305F6" w:rsidP="00A9629B">
      <w:pPr>
        <w:pStyle w:val="Heading1"/>
      </w:pPr>
      <w:bookmarkStart w:id="6" w:name="_Toc228488643"/>
      <w:r w:rsidRPr="00A9629B">
        <w:t>2. External &amp; Internal Environment Analysis</w:t>
      </w:r>
      <w:bookmarkEnd w:id="6"/>
      <w:r w:rsidRPr="00A9629B">
        <w:t xml:space="preserve"> </w:t>
      </w:r>
    </w:p>
    <w:p w14:paraId="2A261120" w14:textId="77B550C8" w:rsidR="006305F6" w:rsidRPr="00A9629B" w:rsidRDefault="006305F6" w:rsidP="00A9629B">
      <w:pPr>
        <w:pStyle w:val="Heading2"/>
      </w:pPr>
      <w:bookmarkStart w:id="7" w:name="_Toc228488644"/>
      <w:r w:rsidRPr="00A9629B">
        <w:t>2.1 PESTEL Analysis of Sainsbury’s</w:t>
      </w:r>
      <w:bookmarkEnd w:id="7"/>
      <w:r w:rsidRPr="00A9629B">
        <w:t xml:space="preserve"> </w:t>
      </w:r>
    </w:p>
    <w:p w14:paraId="116BD29E" w14:textId="77777777" w:rsidR="006305F6" w:rsidRPr="00A9629B" w:rsidRDefault="006305F6" w:rsidP="00A9629B">
      <w:pPr>
        <w:spacing w:line="360" w:lineRule="auto"/>
        <w:jc w:val="both"/>
        <w:rPr>
          <w:rFonts w:ascii="Arial" w:hAnsi="Arial" w:cs="Arial"/>
        </w:rPr>
      </w:pPr>
      <w:r w:rsidRPr="00A9629B">
        <w:rPr>
          <w:rFonts w:ascii="Arial" w:hAnsi="Arial" w:cs="Arial"/>
        </w:rPr>
        <w:t>A PESTEL analysis enables a critical evaluation of the macro-environmental factors influencing Sainsbury’s strategic decisions within the UK retail sector.</w:t>
      </w:r>
    </w:p>
    <w:p w14:paraId="707BB0A4" w14:textId="77777777" w:rsidR="006305F6" w:rsidRPr="00A9629B" w:rsidRDefault="006305F6" w:rsidP="00A9629B">
      <w:pPr>
        <w:spacing w:line="360" w:lineRule="auto"/>
        <w:jc w:val="both"/>
        <w:rPr>
          <w:rFonts w:ascii="Arial" w:hAnsi="Arial" w:cs="Arial"/>
          <w:b/>
          <w:bCs/>
        </w:rPr>
      </w:pPr>
      <w:r w:rsidRPr="00A9629B">
        <w:rPr>
          <w:rFonts w:ascii="Arial" w:hAnsi="Arial" w:cs="Arial"/>
          <w:b/>
          <w:bCs/>
        </w:rPr>
        <w:t>Political Factors</w:t>
      </w:r>
    </w:p>
    <w:p w14:paraId="54347B16" w14:textId="77777777" w:rsidR="006305F6" w:rsidRPr="00A9629B" w:rsidRDefault="006305F6" w:rsidP="00A9629B">
      <w:pPr>
        <w:spacing w:line="360" w:lineRule="auto"/>
        <w:jc w:val="both"/>
        <w:rPr>
          <w:rFonts w:ascii="Arial" w:hAnsi="Arial" w:cs="Arial"/>
        </w:rPr>
      </w:pPr>
      <w:r w:rsidRPr="00A9629B">
        <w:rPr>
          <w:rFonts w:ascii="Arial" w:hAnsi="Arial" w:cs="Arial"/>
        </w:rPr>
        <w:t>The UK’s exit from the European Union (Brexit) has significantly impacted Sainsbury’s supply chain and sourcing strategies. Increased trade barriers, customs checks, and regulatory divergence have raised import costs and caused supply disruptions. Additionally, government policies regarding taxation, minimum wage increases, and business rates directly affect operational costs.</w:t>
      </w:r>
    </w:p>
    <w:p w14:paraId="7C62F067" w14:textId="77777777" w:rsidR="006305F6" w:rsidRPr="00A9629B" w:rsidRDefault="006305F6" w:rsidP="00A9629B">
      <w:pPr>
        <w:spacing w:line="360" w:lineRule="auto"/>
        <w:jc w:val="both"/>
        <w:rPr>
          <w:rFonts w:ascii="Arial" w:hAnsi="Arial" w:cs="Arial"/>
        </w:rPr>
      </w:pPr>
      <w:r w:rsidRPr="00A9629B">
        <w:rPr>
          <w:rFonts w:ascii="Arial" w:hAnsi="Arial" w:cs="Arial"/>
        </w:rPr>
        <w:t xml:space="preserve">From a strategic perspective, these political pressures have compelled Sainsbury’s to strengthen domestic sourcing and enhance supply chain resilience. While Brexit presents </w:t>
      </w:r>
      <w:r w:rsidRPr="00D5142C">
        <w:rPr>
          <w:rFonts w:ascii="Arial" w:hAnsi="Arial" w:cs="Arial"/>
        </w:rPr>
        <w:t>a threat through increased costs, it also offers an opportunity</w:t>
      </w:r>
      <w:r w:rsidRPr="00A9629B">
        <w:rPr>
          <w:rFonts w:ascii="Arial" w:hAnsi="Arial" w:cs="Arial"/>
        </w:rPr>
        <w:t xml:space="preserve"> to promote locally sourced products, aligning with consumer preferences for British goods (Johnson et al., 2020).</w:t>
      </w:r>
    </w:p>
    <w:p w14:paraId="6FB22106" w14:textId="59CA03E8" w:rsidR="006305F6" w:rsidRPr="00A9629B" w:rsidRDefault="006305F6" w:rsidP="00A9629B">
      <w:pPr>
        <w:spacing w:line="360" w:lineRule="auto"/>
        <w:jc w:val="both"/>
        <w:rPr>
          <w:rFonts w:ascii="Arial" w:hAnsi="Arial" w:cs="Arial"/>
        </w:rPr>
      </w:pPr>
      <w:r w:rsidRPr="00A9629B">
        <w:rPr>
          <w:rFonts w:ascii="Arial" w:hAnsi="Arial" w:cs="Arial"/>
          <w:b/>
          <w:bCs/>
        </w:rPr>
        <w:lastRenderedPageBreak/>
        <w:t>Economic Factors</w:t>
      </w:r>
    </w:p>
    <w:p w14:paraId="1FA9D632" w14:textId="77777777" w:rsidR="006305F6" w:rsidRPr="00A9629B" w:rsidRDefault="006305F6" w:rsidP="00A9629B">
      <w:pPr>
        <w:spacing w:line="360" w:lineRule="auto"/>
        <w:jc w:val="both"/>
        <w:rPr>
          <w:rFonts w:ascii="Arial" w:hAnsi="Arial" w:cs="Arial"/>
        </w:rPr>
      </w:pPr>
      <w:r w:rsidRPr="00A9629B">
        <w:rPr>
          <w:rFonts w:ascii="Arial" w:hAnsi="Arial" w:cs="Arial"/>
        </w:rPr>
        <w:t>The UK economy has faced rising inflation and a cost-of-living crisis, significantly influencing consumer purchasing behaviour. As disposable incomes decline, consumers increasingly prioritise affordability, leading to a shift towards discount retailers such as Aldi and Lidl.</w:t>
      </w:r>
    </w:p>
    <w:p w14:paraId="518B0F1C" w14:textId="77777777" w:rsidR="006305F6" w:rsidRPr="00A9629B" w:rsidRDefault="006305F6" w:rsidP="00A9629B">
      <w:pPr>
        <w:spacing w:line="360" w:lineRule="auto"/>
        <w:jc w:val="both"/>
        <w:rPr>
          <w:rFonts w:ascii="Arial" w:hAnsi="Arial" w:cs="Arial"/>
        </w:rPr>
      </w:pPr>
      <w:r w:rsidRPr="00D5142C">
        <w:rPr>
          <w:rFonts w:ascii="Arial" w:hAnsi="Arial" w:cs="Arial"/>
        </w:rPr>
        <w:t>This economic pressure poses a major threat to Sainsbury’s, which traditionally positions itself as a mid-range retailer. In response, the company has adopted pricing strategies such as price matching and value-focused product lines. However, the situation also creates an opportunity to attract</w:t>
      </w:r>
      <w:r w:rsidRPr="00A9629B">
        <w:rPr>
          <w:rFonts w:ascii="Arial" w:hAnsi="Arial" w:cs="Arial"/>
        </w:rPr>
        <w:t xml:space="preserve"> price-sensitive customers through private-label offerings and promotional campaigns (Kotler and Keller, 2016).</w:t>
      </w:r>
    </w:p>
    <w:p w14:paraId="59B882B7" w14:textId="4165B5F6" w:rsidR="006305F6" w:rsidRPr="00A9629B" w:rsidRDefault="006305F6" w:rsidP="00A9629B">
      <w:pPr>
        <w:spacing w:line="360" w:lineRule="auto"/>
        <w:jc w:val="both"/>
        <w:rPr>
          <w:rFonts w:ascii="Arial" w:hAnsi="Arial" w:cs="Arial"/>
        </w:rPr>
      </w:pPr>
      <w:r w:rsidRPr="00A9629B">
        <w:rPr>
          <w:rFonts w:ascii="Arial" w:hAnsi="Arial" w:cs="Arial"/>
          <w:b/>
          <w:bCs/>
        </w:rPr>
        <w:t>Social Factors</w:t>
      </w:r>
    </w:p>
    <w:p w14:paraId="167B9EF8" w14:textId="77777777" w:rsidR="006305F6" w:rsidRPr="00A9629B" w:rsidRDefault="006305F6" w:rsidP="00A9629B">
      <w:pPr>
        <w:spacing w:line="360" w:lineRule="auto"/>
        <w:jc w:val="both"/>
        <w:rPr>
          <w:rFonts w:ascii="Arial" w:hAnsi="Arial" w:cs="Arial"/>
        </w:rPr>
      </w:pPr>
      <w:r w:rsidRPr="00A9629B">
        <w:rPr>
          <w:rFonts w:ascii="Arial" w:hAnsi="Arial" w:cs="Arial"/>
        </w:rPr>
        <w:t>Changing consumer preferences significantly influence Sainsbury’s strategic direction. There is increasing demand for healthier, organic, and ethically sourced products, alongside a growing emphasis on convenience. The rise of busy lifestyles has accelerated demand for ready-to-eat meals and online grocery services.</w:t>
      </w:r>
    </w:p>
    <w:p w14:paraId="1F8E4692" w14:textId="77777777" w:rsidR="006305F6" w:rsidRPr="00A9629B" w:rsidRDefault="006305F6" w:rsidP="00A9629B">
      <w:pPr>
        <w:spacing w:line="360" w:lineRule="auto"/>
        <w:jc w:val="both"/>
        <w:rPr>
          <w:rFonts w:ascii="Arial" w:hAnsi="Arial" w:cs="Arial"/>
        </w:rPr>
      </w:pPr>
      <w:r w:rsidRPr="00A9629B">
        <w:rPr>
          <w:rFonts w:ascii="Arial" w:hAnsi="Arial" w:cs="Arial"/>
        </w:rPr>
        <w:t xml:space="preserve">These trends provide a clear </w:t>
      </w:r>
      <w:r w:rsidRPr="00D5142C">
        <w:rPr>
          <w:rFonts w:ascii="Arial" w:hAnsi="Arial" w:cs="Arial"/>
        </w:rPr>
        <w:t>opportunity for Sainsbury’s to differentiate itself through premium and health-focused product ranges. However, failure to meet these expectations could result in a threat to brand</w:t>
      </w:r>
      <w:r w:rsidRPr="00A9629B">
        <w:rPr>
          <w:rFonts w:ascii="Arial" w:hAnsi="Arial" w:cs="Arial"/>
        </w:rPr>
        <w:t xml:space="preserve"> loyalty. Consequently, Sainsbury’s has expanded its organic and plant-based offerings while enhancing its online delivery services (Sainsbury’s, 2024).</w:t>
      </w:r>
    </w:p>
    <w:p w14:paraId="2358F023" w14:textId="2937B633" w:rsidR="006305F6" w:rsidRPr="00A9629B" w:rsidRDefault="006305F6" w:rsidP="00A9629B">
      <w:pPr>
        <w:spacing w:line="360" w:lineRule="auto"/>
        <w:jc w:val="both"/>
        <w:rPr>
          <w:rFonts w:ascii="Arial" w:hAnsi="Arial" w:cs="Arial"/>
        </w:rPr>
      </w:pPr>
      <w:r w:rsidRPr="00A9629B">
        <w:rPr>
          <w:rFonts w:ascii="Arial" w:hAnsi="Arial" w:cs="Arial"/>
          <w:b/>
          <w:bCs/>
        </w:rPr>
        <w:t>Technological Factors</w:t>
      </w:r>
    </w:p>
    <w:p w14:paraId="26012590" w14:textId="77777777" w:rsidR="006305F6" w:rsidRPr="00A9629B" w:rsidRDefault="006305F6" w:rsidP="00A9629B">
      <w:pPr>
        <w:spacing w:line="360" w:lineRule="auto"/>
        <w:jc w:val="both"/>
        <w:rPr>
          <w:rFonts w:ascii="Arial" w:hAnsi="Arial" w:cs="Arial"/>
        </w:rPr>
      </w:pPr>
      <w:r w:rsidRPr="00A9629B">
        <w:rPr>
          <w:rFonts w:ascii="Arial" w:hAnsi="Arial" w:cs="Arial"/>
        </w:rPr>
        <w:t>Technological advancements have transformed the retail landscape, particularly in e-commerce, data analytics, and automation. Sainsbury’s has invested heavily in online platforms, mobile applications, and digital payment systems to improve customer experience.</w:t>
      </w:r>
    </w:p>
    <w:p w14:paraId="150ADDA8" w14:textId="77777777" w:rsidR="006305F6" w:rsidRPr="00A9629B" w:rsidRDefault="006305F6" w:rsidP="00A9629B">
      <w:pPr>
        <w:spacing w:line="360" w:lineRule="auto"/>
        <w:jc w:val="both"/>
        <w:rPr>
          <w:rFonts w:ascii="Arial" w:hAnsi="Arial" w:cs="Arial"/>
        </w:rPr>
      </w:pPr>
      <w:r w:rsidRPr="00A9629B">
        <w:rPr>
          <w:rFonts w:ascii="Arial" w:hAnsi="Arial" w:cs="Arial"/>
        </w:rPr>
        <w:t xml:space="preserve">The adoption of artificial intelligence (AI) and data analytics allows the company to personalise marketing strategies and optimise inventory management. These developments present a </w:t>
      </w:r>
      <w:r w:rsidRPr="00D5142C">
        <w:rPr>
          <w:rFonts w:ascii="Arial" w:hAnsi="Arial" w:cs="Arial"/>
        </w:rPr>
        <w:t>significant opportunity to enhance operational efficiency and customer engagement. However, rapid technological change also poses a threat, as</w:t>
      </w:r>
      <w:r w:rsidRPr="00A9629B">
        <w:rPr>
          <w:rFonts w:ascii="Arial" w:hAnsi="Arial" w:cs="Arial"/>
        </w:rPr>
        <w:t xml:space="preserve"> </w:t>
      </w:r>
      <w:r w:rsidRPr="00A9629B">
        <w:rPr>
          <w:rFonts w:ascii="Arial" w:hAnsi="Arial" w:cs="Arial"/>
        </w:rPr>
        <w:lastRenderedPageBreak/>
        <w:t>competitors such as Tesco continue to innovate aggressively (Laudon and Laudon, 2021).</w:t>
      </w:r>
    </w:p>
    <w:p w14:paraId="05B647AF" w14:textId="2901D0E3" w:rsidR="006305F6" w:rsidRPr="00A9629B" w:rsidRDefault="006305F6" w:rsidP="00A9629B">
      <w:pPr>
        <w:spacing w:line="360" w:lineRule="auto"/>
        <w:jc w:val="both"/>
        <w:rPr>
          <w:rFonts w:ascii="Arial" w:hAnsi="Arial" w:cs="Arial"/>
        </w:rPr>
      </w:pPr>
      <w:r w:rsidRPr="00A9629B">
        <w:rPr>
          <w:rFonts w:ascii="Arial" w:hAnsi="Arial" w:cs="Arial"/>
          <w:b/>
          <w:bCs/>
        </w:rPr>
        <w:t>Environmental Factors</w:t>
      </w:r>
    </w:p>
    <w:p w14:paraId="3CE8CB4F" w14:textId="77777777" w:rsidR="006305F6" w:rsidRPr="00A9629B" w:rsidRDefault="006305F6" w:rsidP="00A9629B">
      <w:pPr>
        <w:spacing w:line="360" w:lineRule="auto"/>
        <w:jc w:val="both"/>
        <w:rPr>
          <w:rFonts w:ascii="Arial" w:hAnsi="Arial" w:cs="Arial"/>
        </w:rPr>
      </w:pPr>
      <w:r w:rsidRPr="00A9629B">
        <w:rPr>
          <w:rFonts w:ascii="Arial" w:hAnsi="Arial" w:cs="Arial"/>
        </w:rPr>
        <w:t>Sustainability has become a critical strategic issue in the retail sector. Sainsbury’s faces increasing pressure to reduce carbon emissions, minimise plastic usage, and ensure ethical sourcing. The company has committed to achieving net-zero emissions and reducing food waste.</w:t>
      </w:r>
    </w:p>
    <w:p w14:paraId="49CC5B28" w14:textId="77777777" w:rsidR="006305F6" w:rsidRPr="00A9629B" w:rsidRDefault="006305F6" w:rsidP="00A9629B">
      <w:pPr>
        <w:spacing w:line="360" w:lineRule="auto"/>
        <w:jc w:val="both"/>
        <w:rPr>
          <w:rFonts w:ascii="Arial" w:hAnsi="Arial" w:cs="Arial"/>
        </w:rPr>
      </w:pPr>
      <w:r w:rsidRPr="00A9629B">
        <w:rPr>
          <w:rFonts w:ascii="Arial" w:hAnsi="Arial" w:cs="Arial"/>
        </w:rPr>
        <w:t xml:space="preserve">These environmental challenges represent both </w:t>
      </w:r>
      <w:r w:rsidRPr="00D5142C">
        <w:rPr>
          <w:rFonts w:ascii="Arial" w:hAnsi="Arial" w:cs="Arial"/>
        </w:rPr>
        <w:t>a threat and an opportunity. While</w:t>
      </w:r>
      <w:r w:rsidRPr="00A9629B">
        <w:rPr>
          <w:rFonts w:ascii="Arial" w:hAnsi="Arial" w:cs="Arial"/>
        </w:rPr>
        <w:t xml:space="preserve"> compliance with environmental regulations increases costs, sustainability initiatives enhance brand reputation and attract environmentally conscious consumers. As a result, sustainability has become a key component of Sainsbury’s long-term strategy (Grant, 2022).</w:t>
      </w:r>
    </w:p>
    <w:p w14:paraId="74D67FF6" w14:textId="621E4C78" w:rsidR="006305F6" w:rsidRPr="00A9629B" w:rsidRDefault="006305F6" w:rsidP="00A9629B">
      <w:pPr>
        <w:spacing w:line="360" w:lineRule="auto"/>
        <w:jc w:val="both"/>
        <w:rPr>
          <w:rFonts w:ascii="Arial" w:hAnsi="Arial" w:cs="Arial"/>
        </w:rPr>
      </w:pPr>
      <w:r w:rsidRPr="00A9629B">
        <w:rPr>
          <w:rFonts w:ascii="Arial" w:hAnsi="Arial" w:cs="Arial"/>
          <w:b/>
          <w:bCs/>
        </w:rPr>
        <w:t>Legal Factors</w:t>
      </w:r>
    </w:p>
    <w:p w14:paraId="63F80224" w14:textId="77777777" w:rsidR="006305F6" w:rsidRPr="00A9629B" w:rsidRDefault="006305F6" w:rsidP="00A9629B">
      <w:pPr>
        <w:spacing w:line="360" w:lineRule="auto"/>
        <w:jc w:val="both"/>
        <w:rPr>
          <w:rFonts w:ascii="Arial" w:hAnsi="Arial" w:cs="Arial"/>
        </w:rPr>
      </w:pPr>
      <w:r w:rsidRPr="00A9629B">
        <w:rPr>
          <w:rFonts w:ascii="Arial" w:hAnsi="Arial" w:cs="Arial"/>
        </w:rPr>
        <w:t>Sainsbury’s operates within a highly regulated environment, with strict compliance requirements related to food safety, employment law, and consumer protection. Regulations such as the UK Food Safety Act and labour laws impose operational constraints and increase administrative complexity.</w:t>
      </w:r>
    </w:p>
    <w:p w14:paraId="3C770FFF" w14:textId="6A21B742" w:rsidR="006305F6" w:rsidRDefault="006305F6" w:rsidP="00A9629B">
      <w:pPr>
        <w:spacing w:line="360" w:lineRule="auto"/>
        <w:jc w:val="both"/>
        <w:rPr>
          <w:rFonts w:ascii="Arial" w:hAnsi="Arial" w:cs="Arial"/>
        </w:rPr>
      </w:pPr>
      <w:r w:rsidRPr="00A9629B">
        <w:rPr>
          <w:rFonts w:ascii="Arial" w:hAnsi="Arial" w:cs="Arial"/>
        </w:rPr>
        <w:t xml:space="preserve">Legal compliance </w:t>
      </w:r>
      <w:r w:rsidRPr="00D5142C">
        <w:rPr>
          <w:rFonts w:ascii="Arial" w:hAnsi="Arial" w:cs="Arial"/>
        </w:rPr>
        <w:t>represents a threat due to the potential for penalties and reputational damage in case of non-compliance. However, adherence to high standards also provides an opportunity to</w:t>
      </w:r>
      <w:r w:rsidRPr="00A9629B">
        <w:rPr>
          <w:rFonts w:ascii="Arial" w:hAnsi="Arial" w:cs="Arial"/>
        </w:rPr>
        <w:t xml:space="preserve"> build trust and credibility among consumers, reinforcing the company’s brand image (Johnson et al., 2020).</w:t>
      </w:r>
      <w:r w:rsidR="00AC30B2">
        <w:rPr>
          <w:rFonts w:ascii="Arial" w:hAnsi="Arial" w:cs="Arial"/>
        </w:rPr>
        <w:t xml:space="preserve"> </w:t>
      </w:r>
      <w:r w:rsidR="00AC30B2" w:rsidRPr="00AC30B2">
        <w:rPr>
          <w:rFonts w:ascii="Arial" w:hAnsi="Arial" w:cs="Arial"/>
        </w:rPr>
        <w:t>The external factors identified in the PESTEL analysis directly influence Sainsbury’s internal strategic position. For example, economic pressures such as inflation and the cost-of-living crisis contribute to increased price competition, which is reflected as a key weakness in the SWOT analysis. Similarly, technological advancements identified in PESTEL create opportunities for digital expansion, which appear as strengths in Sainsbury’s internal capabilities.</w:t>
      </w:r>
    </w:p>
    <w:p w14:paraId="114AAA21" w14:textId="6BB6D693" w:rsidR="00212574" w:rsidRPr="00A9629B" w:rsidRDefault="00212574" w:rsidP="00A9629B">
      <w:pPr>
        <w:spacing w:line="360" w:lineRule="auto"/>
        <w:jc w:val="both"/>
        <w:rPr>
          <w:rFonts w:ascii="Arial" w:hAnsi="Arial" w:cs="Arial"/>
        </w:rPr>
      </w:pPr>
      <w:r w:rsidRPr="00212574">
        <w:rPr>
          <w:rFonts w:ascii="Arial" w:hAnsi="Arial" w:cs="Arial"/>
        </w:rPr>
        <w:t>This is important because these external factors directly affect Sainsbury’s decisions, especially pricing, supply chain, and digital investment. If the company fails to respond, it may lose customers to cheaper competitors.</w:t>
      </w:r>
    </w:p>
    <w:p w14:paraId="200FE2B6" w14:textId="057857C9" w:rsidR="006305F6" w:rsidRPr="00A9629B" w:rsidRDefault="006305F6" w:rsidP="00A9629B">
      <w:pPr>
        <w:pStyle w:val="Heading2"/>
      </w:pPr>
      <w:bookmarkStart w:id="8" w:name="_Toc228488645"/>
      <w:r w:rsidRPr="00A9629B">
        <w:lastRenderedPageBreak/>
        <w:t>2.2 Industry Analysis – Critical Success Factors</w:t>
      </w:r>
      <w:bookmarkEnd w:id="8"/>
      <w:r w:rsidRPr="00A9629B">
        <w:t xml:space="preserve"> </w:t>
      </w:r>
    </w:p>
    <w:p w14:paraId="1C792EA5" w14:textId="77777777" w:rsidR="006305F6" w:rsidRPr="00A9629B" w:rsidRDefault="006305F6" w:rsidP="00A9629B">
      <w:pPr>
        <w:spacing w:line="360" w:lineRule="auto"/>
        <w:jc w:val="both"/>
        <w:rPr>
          <w:rFonts w:ascii="Arial" w:hAnsi="Arial" w:cs="Arial"/>
        </w:rPr>
      </w:pPr>
      <w:r w:rsidRPr="00A9629B">
        <w:rPr>
          <w:rFonts w:ascii="Arial" w:hAnsi="Arial" w:cs="Arial"/>
        </w:rPr>
        <w:t>The UK grocery retail industry is characterised by intense competition, low profit margins, and rapidly evolving consumer expectations. Several critical success factors determine organisational performance within this sector.</w:t>
      </w:r>
    </w:p>
    <w:p w14:paraId="6FFF3134" w14:textId="77777777" w:rsidR="006305F6" w:rsidRPr="00D5142C" w:rsidRDefault="006305F6" w:rsidP="00A9629B">
      <w:pPr>
        <w:spacing w:line="360" w:lineRule="auto"/>
        <w:jc w:val="both"/>
        <w:rPr>
          <w:rFonts w:ascii="Arial" w:hAnsi="Arial" w:cs="Arial"/>
        </w:rPr>
      </w:pPr>
      <w:r w:rsidRPr="00D5142C">
        <w:rPr>
          <w:rFonts w:ascii="Arial" w:hAnsi="Arial" w:cs="Arial"/>
        </w:rPr>
        <w:t>Firstly, competitive pricing is essential, particularly due to the growing dominance of discount retailers such as Aldi and Lidl. These competitors have redefined pricing expectations, forcing established supermarkets like Sainsbury’s to adopt cost-efficient strategies.</w:t>
      </w:r>
    </w:p>
    <w:p w14:paraId="2C0F79C0" w14:textId="77777777" w:rsidR="006305F6" w:rsidRPr="00D5142C" w:rsidRDefault="006305F6" w:rsidP="00A9629B">
      <w:pPr>
        <w:spacing w:line="360" w:lineRule="auto"/>
        <w:jc w:val="both"/>
        <w:rPr>
          <w:rFonts w:ascii="Arial" w:hAnsi="Arial" w:cs="Arial"/>
        </w:rPr>
      </w:pPr>
      <w:r w:rsidRPr="00D5142C">
        <w:rPr>
          <w:rFonts w:ascii="Arial" w:hAnsi="Arial" w:cs="Arial"/>
        </w:rPr>
        <w:t>Secondly, supply chain efficiency plays a crucial role in maintaining product availability and controlling costs. Efficient logistics and inventory management systems enable retailers to respond quickly to demand fluctuations.</w:t>
      </w:r>
    </w:p>
    <w:p w14:paraId="68BE76EA" w14:textId="77777777" w:rsidR="006305F6" w:rsidRPr="00D5142C" w:rsidRDefault="006305F6" w:rsidP="00A9629B">
      <w:pPr>
        <w:spacing w:line="360" w:lineRule="auto"/>
        <w:jc w:val="both"/>
        <w:rPr>
          <w:rFonts w:ascii="Arial" w:hAnsi="Arial" w:cs="Arial"/>
        </w:rPr>
      </w:pPr>
      <w:r w:rsidRPr="00D5142C">
        <w:rPr>
          <w:rFonts w:ascii="Arial" w:hAnsi="Arial" w:cs="Arial"/>
        </w:rPr>
        <w:t>Thirdly, brand trust and reputation are vital in influencing customer loyalty. Sainsbury’s has historically positioned itself as a provider of high-quality products, which strengthens its competitive advantage in the mid-market segment.</w:t>
      </w:r>
    </w:p>
    <w:p w14:paraId="6DE4E9BD" w14:textId="77777777" w:rsidR="006305F6" w:rsidRPr="00A9629B" w:rsidRDefault="006305F6" w:rsidP="00A9629B">
      <w:pPr>
        <w:spacing w:line="360" w:lineRule="auto"/>
        <w:jc w:val="both"/>
        <w:rPr>
          <w:rFonts w:ascii="Arial" w:hAnsi="Arial" w:cs="Arial"/>
        </w:rPr>
      </w:pPr>
      <w:r w:rsidRPr="00D5142C">
        <w:rPr>
          <w:rFonts w:ascii="Arial" w:hAnsi="Arial" w:cs="Arial"/>
        </w:rPr>
        <w:t>Finally, digital transformation has become increasingly important, with the rise of online grocery shopping and</w:t>
      </w:r>
      <w:r w:rsidRPr="00A9629B">
        <w:rPr>
          <w:rFonts w:ascii="Arial" w:hAnsi="Arial" w:cs="Arial"/>
        </w:rPr>
        <w:t xml:space="preserve"> home delivery services. Retailers must invest in digital infrastructure to remain competitive.</w:t>
      </w:r>
    </w:p>
    <w:p w14:paraId="01E7E5BC" w14:textId="77777777" w:rsidR="006305F6" w:rsidRPr="00A9629B" w:rsidRDefault="006305F6" w:rsidP="00A9629B">
      <w:pPr>
        <w:spacing w:line="360" w:lineRule="auto"/>
        <w:jc w:val="both"/>
        <w:rPr>
          <w:rFonts w:ascii="Arial" w:hAnsi="Arial" w:cs="Arial"/>
        </w:rPr>
      </w:pPr>
      <w:r w:rsidRPr="00A9629B">
        <w:rPr>
          <w:rFonts w:ascii="Arial" w:hAnsi="Arial" w:cs="Arial"/>
        </w:rPr>
        <w:t>Overall, these factors highlight the need for Sainsbury’s to balance cost efficiency with quality differentiation while adapting to changing consumer behaviours and technological advancements (Porter, 1985).</w:t>
      </w:r>
    </w:p>
    <w:p w14:paraId="174A18BB" w14:textId="50CA55F8" w:rsidR="006305F6" w:rsidRPr="00A9629B" w:rsidRDefault="006305F6" w:rsidP="00A9629B">
      <w:pPr>
        <w:pStyle w:val="Heading2"/>
      </w:pPr>
      <w:bookmarkStart w:id="9" w:name="_Toc228488646"/>
      <w:r w:rsidRPr="00A9629B">
        <w:t>2.3 Internal Analysis</w:t>
      </w:r>
      <w:bookmarkEnd w:id="9"/>
      <w:r w:rsidRPr="00A9629B">
        <w:t xml:space="preserve"> </w:t>
      </w:r>
    </w:p>
    <w:p w14:paraId="10A36ABE" w14:textId="77777777" w:rsidR="006305F6" w:rsidRPr="00A9629B" w:rsidRDefault="006305F6" w:rsidP="00A9629B">
      <w:pPr>
        <w:spacing w:line="360" w:lineRule="auto"/>
        <w:jc w:val="both"/>
        <w:rPr>
          <w:rFonts w:ascii="Arial" w:hAnsi="Arial" w:cs="Arial"/>
        </w:rPr>
      </w:pPr>
      <w:r w:rsidRPr="00A9629B">
        <w:rPr>
          <w:rFonts w:ascii="Arial" w:hAnsi="Arial" w:cs="Arial"/>
        </w:rPr>
        <w:t>An internal analysis of Sainsbury’s focuses on its resources and capabilities, which underpin its strategic positioning.</w:t>
      </w:r>
    </w:p>
    <w:p w14:paraId="6842C653" w14:textId="77777777" w:rsidR="006305F6" w:rsidRPr="00A9629B" w:rsidRDefault="006305F6" w:rsidP="00A9629B">
      <w:pPr>
        <w:spacing w:line="360" w:lineRule="auto"/>
        <w:jc w:val="both"/>
        <w:rPr>
          <w:rFonts w:ascii="Arial" w:hAnsi="Arial" w:cs="Arial"/>
          <w:b/>
          <w:bCs/>
        </w:rPr>
      </w:pPr>
      <w:r w:rsidRPr="00A9629B">
        <w:rPr>
          <w:rFonts w:ascii="Arial" w:hAnsi="Arial" w:cs="Arial"/>
          <w:b/>
          <w:bCs/>
        </w:rPr>
        <w:t>Resources</w:t>
      </w:r>
    </w:p>
    <w:p w14:paraId="64BF4D0B" w14:textId="77777777" w:rsidR="006305F6" w:rsidRPr="00D5142C" w:rsidRDefault="006305F6" w:rsidP="00A9629B">
      <w:pPr>
        <w:spacing w:line="360" w:lineRule="auto"/>
        <w:jc w:val="both"/>
        <w:rPr>
          <w:rFonts w:ascii="Arial" w:hAnsi="Arial" w:cs="Arial"/>
        </w:rPr>
      </w:pPr>
      <w:r w:rsidRPr="00A9629B">
        <w:rPr>
          <w:rFonts w:ascii="Arial" w:hAnsi="Arial" w:cs="Arial"/>
        </w:rPr>
        <w:t xml:space="preserve">Sainsbury’s </w:t>
      </w:r>
      <w:r w:rsidRPr="00D5142C">
        <w:rPr>
          <w:rFonts w:ascii="Arial" w:hAnsi="Arial" w:cs="Arial"/>
        </w:rPr>
        <w:t>possesses extensive physical resources, including a nationwide network of supermarkets, convenience stores, and advanced distribution centres. These assets enable efficient product distribution and accessibility for customers.</w:t>
      </w:r>
    </w:p>
    <w:p w14:paraId="19FB989B" w14:textId="77777777" w:rsidR="006305F6" w:rsidRPr="00A9629B" w:rsidRDefault="006305F6" w:rsidP="00A9629B">
      <w:pPr>
        <w:spacing w:line="360" w:lineRule="auto"/>
        <w:jc w:val="both"/>
        <w:rPr>
          <w:rFonts w:ascii="Arial" w:hAnsi="Arial" w:cs="Arial"/>
        </w:rPr>
      </w:pPr>
      <w:r w:rsidRPr="00D5142C">
        <w:rPr>
          <w:rFonts w:ascii="Arial" w:hAnsi="Arial" w:cs="Arial"/>
        </w:rPr>
        <w:t>From a financial perspective, the company demonstrates strong revenue generation and investment capacity</w:t>
      </w:r>
      <w:r w:rsidRPr="00A9629B">
        <w:rPr>
          <w:rFonts w:ascii="Arial" w:hAnsi="Arial" w:cs="Arial"/>
        </w:rPr>
        <w:t>, allowing it to fund technological innovations and strategic initiatives.</w:t>
      </w:r>
    </w:p>
    <w:p w14:paraId="641A4494" w14:textId="77777777" w:rsidR="006305F6" w:rsidRPr="00A9629B" w:rsidRDefault="006305F6" w:rsidP="00A9629B">
      <w:pPr>
        <w:spacing w:line="360" w:lineRule="auto"/>
        <w:jc w:val="both"/>
        <w:rPr>
          <w:rFonts w:ascii="Arial" w:hAnsi="Arial" w:cs="Arial"/>
        </w:rPr>
      </w:pPr>
      <w:r w:rsidRPr="00A9629B">
        <w:rPr>
          <w:rFonts w:ascii="Arial" w:hAnsi="Arial" w:cs="Arial"/>
        </w:rPr>
        <w:lastRenderedPageBreak/>
        <w:t xml:space="preserve">In terms </w:t>
      </w:r>
      <w:r w:rsidRPr="00D5142C">
        <w:rPr>
          <w:rFonts w:ascii="Arial" w:hAnsi="Arial" w:cs="Arial"/>
        </w:rPr>
        <w:t>of human resources, Sainsbury’s</w:t>
      </w:r>
      <w:r w:rsidRPr="00A9629B">
        <w:rPr>
          <w:rFonts w:ascii="Arial" w:hAnsi="Arial" w:cs="Arial"/>
        </w:rPr>
        <w:t xml:space="preserve"> employs a large workforce with expertise in retail operations, customer service, and supply chain management. Employee training and development programmes further enhance organisational performance.</w:t>
      </w:r>
    </w:p>
    <w:p w14:paraId="65449DC0" w14:textId="0A2228AB" w:rsidR="006305F6" w:rsidRPr="00A9629B" w:rsidRDefault="006305F6" w:rsidP="00A9629B">
      <w:pPr>
        <w:spacing w:line="360" w:lineRule="auto"/>
        <w:jc w:val="both"/>
        <w:rPr>
          <w:rFonts w:ascii="Arial" w:hAnsi="Arial" w:cs="Arial"/>
        </w:rPr>
      </w:pPr>
      <w:r w:rsidRPr="00A9629B">
        <w:rPr>
          <w:rFonts w:ascii="Arial" w:hAnsi="Arial" w:cs="Arial"/>
          <w:b/>
          <w:bCs/>
        </w:rPr>
        <w:t>Capabilities</w:t>
      </w:r>
    </w:p>
    <w:p w14:paraId="1464C3DE" w14:textId="77777777" w:rsidR="006305F6" w:rsidRPr="00D5142C" w:rsidRDefault="006305F6" w:rsidP="00A9629B">
      <w:pPr>
        <w:spacing w:line="360" w:lineRule="auto"/>
        <w:jc w:val="both"/>
        <w:rPr>
          <w:rFonts w:ascii="Arial" w:hAnsi="Arial" w:cs="Arial"/>
        </w:rPr>
      </w:pPr>
      <w:r w:rsidRPr="00A9629B">
        <w:rPr>
          <w:rFonts w:ascii="Arial" w:hAnsi="Arial" w:cs="Arial"/>
        </w:rPr>
        <w:t xml:space="preserve">Sainsbury’s core capabilities lie </w:t>
      </w:r>
      <w:r w:rsidRPr="00D5142C">
        <w:rPr>
          <w:rFonts w:ascii="Arial" w:hAnsi="Arial" w:cs="Arial"/>
        </w:rPr>
        <w:t>in its supply chain management, which ensures efficient procurement, storage, and distribution of goods. Its well-integrated logistics system supports both in-store and online operations.</w:t>
      </w:r>
    </w:p>
    <w:p w14:paraId="78BACB73" w14:textId="77777777" w:rsidR="006305F6" w:rsidRPr="00D5142C" w:rsidRDefault="006305F6" w:rsidP="00A9629B">
      <w:pPr>
        <w:spacing w:line="360" w:lineRule="auto"/>
        <w:jc w:val="both"/>
        <w:rPr>
          <w:rFonts w:ascii="Arial" w:hAnsi="Arial" w:cs="Arial"/>
        </w:rPr>
      </w:pPr>
      <w:r w:rsidRPr="00D5142C">
        <w:rPr>
          <w:rFonts w:ascii="Arial" w:hAnsi="Arial" w:cs="Arial"/>
        </w:rPr>
        <w:t>Another key capability is brand loyalty, built through consistent product quality and customer service. The company’s Nectar loyalty programme further strengthens customer retention.</w:t>
      </w:r>
    </w:p>
    <w:p w14:paraId="311BF6A3" w14:textId="77777777" w:rsidR="006305F6" w:rsidRPr="00A9629B" w:rsidRDefault="006305F6" w:rsidP="00A9629B">
      <w:pPr>
        <w:spacing w:line="360" w:lineRule="auto"/>
        <w:jc w:val="both"/>
        <w:rPr>
          <w:rFonts w:ascii="Arial" w:hAnsi="Arial" w:cs="Arial"/>
        </w:rPr>
      </w:pPr>
      <w:r w:rsidRPr="00D5142C">
        <w:rPr>
          <w:rFonts w:ascii="Arial" w:hAnsi="Arial" w:cs="Arial"/>
        </w:rPr>
        <w:t>Additionally, Sainsbury’s has developed strong digital capabilities, including an advanced online grocery platform and home delivery services. These capabilities have become increasingly important in the post-pandemic retail environment</w:t>
      </w:r>
      <w:r w:rsidRPr="00A9629B">
        <w:rPr>
          <w:rFonts w:ascii="Arial" w:hAnsi="Arial" w:cs="Arial"/>
        </w:rPr>
        <w:t>.</w:t>
      </w:r>
    </w:p>
    <w:p w14:paraId="18D1886F" w14:textId="77777777" w:rsidR="006305F6" w:rsidRPr="00A9629B" w:rsidRDefault="006305F6" w:rsidP="00A9629B">
      <w:pPr>
        <w:spacing w:line="360" w:lineRule="auto"/>
        <w:jc w:val="both"/>
        <w:rPr>
          <w:rFonts w:ascii="Arial" w:hAnsi="Arial" w:cs="Arial"/>
        </w:rPr>
      </w:pPr>
      <w:r w:rsidRPr="00A9629B">
        <w:rPr>
          <w:rFonts w:ascii="Arial" w:hAnsi="Arial" w:cs="Arial"/>
        </w:rPr>
        <w:t>Overall, Sainsbury’s internal strengths provide a solid foundation for sustaining competitive advantage in a highly competitive market.</w:t>
      </w:r>
    </w:p>
    <w:p w14:paraId="77AA78A1" w14:textId="296D23F5" w:rsidR="006305F6" w:rsidRPr="00A9629B" w:rsidRDefault="006305F6" w:rsidP="00A9629B">
      <w:pPr>
        <w:pStyle w:val="Heading2"/>
      </w:pPr>
      <w:bookmarkStart w:id="10" w:name="_Toc228488647"/>
      <w:r w:rsidRPr="00A9629B">
        <w:t>2.4 VRIO Framework</w:t>
      </w:r>
      <w:bookmarkEnd w:id="10"/>
      <w:r w:rsidRPr="00A9629B">
        <w:t xml:space="preserve"> </w:t>
      </w:r>
    </w:p>
    <w:p w14:paraId="571D267E" w14:textId="77777777" w:rsidR="00AC30B2" w:rsidRPr="00AC30B2" w:rsidRDefault="00AC30B2" w:rsidP="00AC30B2">
      <w:pPr>
        <w:spacing w:line="360" w:lineRule="auto"/>
        <w:jc w:val="both"/>
        <w:rPr>
          <w:rFonts w:ascii="Arial" w:hAnsi="Arial" w:cs="Arial"/>
        </w:rPr>
      </w:pPr>
      <w:r w:rsidRPr="00AC30B2">
        <w:rPr>
          <w:rFonts w:ascii="Arial" w:hAnsi="Arial" w:cs="Arial"/>
        </w:rPr>
        <w:t>Sainsbury’s brand reputation is a valuable resource as it enhances customer trust and loyalty, which directly contributes to sustained sales performance. It is relatively rare within the UK grocery sector, particularly in the mid-premium segment. The brand is difficult to imitate due to its long history and established market presence. The organisation is well structured to leverage this resource through marketing and customer engagement strategies. Therefore, brand reputation provides a sustained competitive advantage (Barney, 1991).</w:t>
      </w:r>
    </w:p>
    <w:p w14:paraId="145A8438" w14:textId="77777777" w:rsidR="00AC30B2" w:rsidRPr="00AC30B2" w:rsidRDefault="00AC30B2" w:rsidP="00AC30B2">
      <w:pPr>
        <w:spacing w:line="360" w:lineRule="auto"/>
        <w:jc w:val="both"/>
        <w:rPr>
          <w:rFonts w:ascii="Arial" w:hAnsi="Arial" w:cs="Arial"/>
        </w:rPr>
      </w:pPr>
      <w:r w:rsidRPr="00AC30B2">
        <w:rPr>
          <w:rFonts w:ascii="Arial" w:hAnsi="Arial" w:cs="Arial"/>
        </w:rPr>
        <w:t>Sainsbury’s supply chain capability is also valuable, as it ensures product availability and cost efficiency. However, it is not rare, as competitors such as Tesco possess similar systems. While supply chain processes are costly to replicate, they are not impossible to imitate. The company is effectively organised to utilise this capability. As a result, supply chain management provides a temporary competitive advantage.</w:t>
      </w:r>
    </w:p>
    <w:p w14:paraId="33A835B3" w14:textId="76D8FF5B" w:rsidR="006305F6" w:rsidRDefault="00AC30B2" w:rsidP="00A9629B">
      <w:pPr>
        <w:spacing w:line="360" w:lineRule="auto"/>
        <w:jc w:val="both"/>
        <w:rPr>
          <w:rFonts w:ascii="Arial" w:hAnsi="Arial" w:cs="Arial"/>
        </w:rPr>
      </w:pPr>
      <w:r w:rsidRPr="00AC30B2">
        <w:rPr>
          <w:rFonts w:ascii="Arial" w:hAnsi="Arial" w:cs="Arial"/>
        </w:rPr>
        <w:t xml:space="preserve">Sainsbury’s digital platform, including online delivery and data-driven systems, is valuable in meeting changing consumer preferences. However, it is not rare, as most </w:t>
      </w:r>
      <w:r w:rsidRPr="00AC30B2">
        <w:rPr>
          <w:rFonts w:ascii="Arial" w:hAnsi="Arial" w:cs="Arial"/>
        </w:rPr>
        <w:lastRenderedPageBreak/>
        <w:t>competitors have developed similar digital capabilities. It is moderately difficult to imitate due to investment requirements. The organisation supports this capability effectively. Therefore, it provides competitive parity rather than sustained advantage.</w:t>
      </w:r>
    </w:p>
    <w:p w14:paraId="4BE94F2B" w14:textId="5E9A8667" w:rsidR="00682523" w:rsidRPr="00A9629B" w:rsidRDefault="00682523" w:rsidP="00A9629B">
      <w:pPr>
        <w:spacing w:line="360" w:lineRule="auto"/>
        <w:jc w:val="both"/>
        <w:rPr>
          <w:rFonts w:ascii="Arial" w:hAnsi="Arial" w:cs="Arial"/>
        </w:rPr>
      </w:pPr>
      <w:r w:rsidRPr="00682523">
        <w:rPr>
          <w:rFonts w:ascii="Arial" w:hAnsi="Arial" w:cs="Arial"/>
        </w:rPr>
        <w:t>This is important because only certain resources, such as brand reputation, provide long-term advantage, while others only help Sainsbury’s stay competitive in the short term.</w:t>
      </w:r>
    </w:p>
    <w:p w14:paraId="2360E5B2" w14:textId="71ACF47C" w:rsidR="006305F6" w:rsidRPr="00A9629B" w:rsidRDefault="006305F6" w:rsidP="00A9629B">
      <w:pPr>
        <w:pStyle w:val="Heading2"/>
      </w:pPr>
      <w:bookmarkStart w:id="11" w:name="_Toc228488648"/>
      <w:r w:rsidRPr="00A9629B">
        <w:t>2.5 Linking Internal Strengths to Competitive Advantage</w:t>
      </w:r>
      <w:bookmarkEnd w:id="11"/>
      <w:r w:rsidRPr="00A9629B">
        <w:t xml:space="preserve"> </w:t>
      </w:r>
    </w:p>
    <w:p w14:paraId="5758A718" w14:textId="77777777" w:rsidR="006305F6" w:rsidRPr="00A9629B" w:rsidRDefault="006305F6" w:rsidP="00A9629B">
      <w:pPr>
        <w:spacing w:line="360" w:lineRule="auto"/>
        <w:jc w:val="both"/>
        <w:rPr>
          <w:rFonts w:ascii="Arial" w:hAnsi="Arial" w:cs="Arial"/>
        </w:rPr>
      </w:pPr>
      <w:r w:rsidRPr="00A9629B">
        <w:rPr>
          <w:rFonts w:ascii="Arial" w:hAnsi="Arial" w:cs="Arial"/>
        </w:rPr>
        <w:t>Sainsbury’s internal strengths play a crucial role in enhancing its competitive positioning against key rivals such as Tesco and discount retailers like Aldi.</w:t>
      </w:r>
    </w:p>
    <w:p w14:paraId="7F0F1DDB" w14:textId="77777777" w:rsidR="006305F6" w:rsidRPr="00D5142C" w:rsidRDefault="006305F6" w:rsidP="00A9629B">
      <w:pPr>
        <w:spacing w:line="360" w:lineRule="auto"/>
        <w:jc w:val="both"/>
        <w:rPr>
          <w:rFonts w:ascii="Arial" w:hAnsi="Arial" w:cs="Arial"/>
        </w:rPr>
      </w:pPr>
      <w:r w:rsidRPr="00D5142C">
        <w:rPr>
          <w:rFonts w:ascii="Arial" w:hAnsi="Arial" w:cs="Arial"/>
        </w:rPr>
        <w:t>The company’s quality-focused positioning differentiates it from low-cost competitors, enabling it to attract customers who prioritise product quality over price. This strategy allows Sainsbury’s to maintain a distinct market segment despite intense price competition.</w:t>
      </w:r>
    </w:p>
    <w:p w14:paraId="01F9481C" w14:textId="77777777" w:rsidR="006305F6" w:rsidRPr="00D5142C" w:rsidRDefault="006305F6" w:rsidP="00A9629B">
      <w:pPr>
        <w:spacing w:line="360" w:lineRule="auto"/>
        <w:jc w:val="both"/>
        <w:rPr>
          <w:rFonts w:ascii="Arial" w:hAnsi="Arial" w:cs="Arial"/>
        </w:rPr>
      </w:pPr>
      <w:r w:rsidRPr="00D5142C">
        <w:rPr>
          <w:rFonts w:ascii="Arial" w:hAnsi="Arial" w:cs="Arial"/>
        </w:rPr>
        <w:t>Furthermore, its digital delivery capabilities provide a competitive advantage in the growing online grocery market. By offering convenient and reliable delivery services, Sainsbury’s enhances customer satisfaction and retention.</w:t>
      </w:r>
    </w:p>
    <w:p w14:paraId="534FFCDD" w14:textId="77777777" w:rsidR="006305F6" w:rsidRPr="00A9629B" w:rsidRDefault="006305F6" w:rsidP="00A9629B">
      <w:pPr>
        <w:spacing w:line="360" w:lineRule="auto"/>
        <w:jc w:val="both"/>
        <w:rPr>
          <w:rFonts w:ascii="Arial" w:hAnsi="Arial" w:cs="Arial"/>
        </w:rPr>
      </w:pPr>
      <w:r w:rsidRPr="00D5142C">
        <w:rPr>
          <w:rFonts w:ascii="Arial" w:hAnsi="Arial" w:cs="Arial"/>
        </w:rPr>
        <w:t>Its brand reputation and loyalty programmes further strengthen customer relationships, reducing the likelihood of switching to competitors</w:t>
      </w:r>
      <w:r w:rsidRPr="00A9629B">
        <w:rPr>
          <w:rFonts w:ascii="Arial" w:hAnsi="Arial" w:cs="Arial"/>
        </w:rPr>
        <w:t>.</w:t>
      </w:r>
    </w:p>
    <w:p w14:paraId="3EA487F3" w14:textId="77777777" w:rsidR="006305F6" w:rsidRPr="00A9629B" w:rsidRDefault="006305F6" w:rsidP="00A9629B">
      <w:pPr>
        <w:spacing w:line="360" w:lineRule="auto"/>
        <w:jc w:val="both"/>
        <w:rPr>
          <w:rFonts w:ascii="Arial" w:hAnsi="Arial" w:cs="Arial"/>
        </w:rPr>
      </w:pPr>
      <w:r w:rsidRPr="00A9629B">
        <w:rPr>
          <w:rFonts w:ascii="Arial" w:hAnsi="Arial" w:cs="Arial"/>
        </w:rPr>
        <w:t>Overall, Sainsbury’s ability to leverage its internal strengths enables it to balance cost pressures with differentiation, thereby sustaining its competitive advantage in a challenging retail environment (Porter, 1985).</w:t>
      </w:r>
    </w:p>
    <w:p w14:paraId="1938E310" w14:textId="066877CB" w:rsidR="009D2ADA" w:rsidRPr="00A9629B" w:rsidRDefault="009D2ADA" w:rsidP="00A9629B">
      <w:pPr>
        <w:pStyle w:val="Heading1"/>
      </w:pPr>
      <w:bookmarkStart w:id="12" w:name="_Toc228488649"/>
      <w:r w:rsidRPr="00A9629B">
        <w:t>3. CSR &amp; Sustainability – Sainsbury’s</w:t>
      </w:r>
      <w:bookmarkEnd w:id="12"/>
      <w:r w:rsidRPr="00A9629B">
        <w:t xml:space="preserve"> </w:t>
      </w:r>
    </w:p>
    <w:p w14:paraId="366BA4E5" w14:textId="77777777" w:rsidR="009D2ADA" w:rsidRPr="00A9629B" w:rsidRDefault="009D2ADA" w:rsidP="00A9629B">
      <w:pPr>
        <w:spacing w:line="360" w:lineRule="auto"/>
        <w:jc w:val="both"/>
        <w:rPr>
          <w:rFonts w:ascii="Arial" w:hAnsi="Arial" w:cs="Arial"/>
        </w:rPr>
      </w:pPr>
      <w:r w:rsidRPr="00D5142C">
        <w:rPr>
          <w:rFonts w:ascii="Arial" w:hAnsi="Arial" w:cs="Arial"/>
        </w:rPr>
        <w:t>Sainsbury’s Corporate Social Responsibility (CSR) is embedded within its “Plan for Better” strategy, which integrates environmental sustainability, ethical sourcing, and social value creation into its core business operations. This reflects a strategic CSR approach, aligning with stakeholder theory (Freeman, 1984), where</w:t>
      </w:r>
      <w:r w:rsidRPr="00A9629B">
        <w:rPr>
          <w:rFonts w:ascii="Arial" w:hAnsi="Arial" w:cs="Arial"/>
        </w:rPr>
        <w:t xml:space="preserve"> firms create value for customers, society, and shareholders simultaneously.</w:t>
      </w:r>
    </w:p>
    <w:p w14:paraId="5AA1B4FD" w14:textId="2565DDAF" w:rsidR="009D2ADA" w:rsidRPr="00A9629B" w:rsidRDefault="009D2ADA" w:rsidP="00A9629B">
      <w:pPr>
        <w:spacing w:line="360" w:lineRule="auto"/>
        <w:jc w:val="both"/>
        <w:rPr>
          <w:rFonts w:ascii="Arial" w:hAnsi="Arial" w:cs="Arial"/>
          <w:b/>
          <w:bCs/>
        </w:rPr>
      </w:pPr>
      <w:r w:rsidRPr="00A9629B">
        <w:rPr>
          <w:rFonts w:ascii="Arial" w:hAnsi="Arial" w:cs="Arial"/>
          <w:b/>
          <w:bCs/>
        </w:rPr>
        <w:t xml:space="preserve">Environmental Initiatives </w:t>
      </w:r>
    </w:p>
    <w:p w14:paraId="51C6B173" w14:textId="77777777" w:rsidR="00FC1F0E" w:rsidRPr="00FC1F0E" w:rsidRDefault="00FC1F0E" w:rsidP="00FC1F0E">
      <w:pPr>
        <w:spacing w:line="360" w:lineRule="auto"/>
        <w:jc w:val="both"/>
        <w:rPr>
          <w:rFonts w:ascii="Arial" w:hAnsi="Arial" w:cs="Arial"/>
        </w:rPr>
      </w:pPr>
      <w:r w:rsidRPr="00FC1F0E">
        <w:rPr>
          <w:rFonts w:ascii="Arial" w:hAnsi="Arial" w:cs="Arial"/>
        </w:rPr>
        <w:t xml:space="preserve">Sainsbury’s aims to reach net-zero carbon emissions by 2040, supported by major investment and emission reduction across its operations. It has already reduced </w:t>
      </w:r>
      <w:r w:rsidRPr="00FC1F0E">
        <w:rPr>
          <w:rFonts w:ascii="Arial" w:hAnsi="Arial" w:cs="Arial"/>
        </w:rPr>
        <w:lastRenderedPageBreak/>
        <w:t>emissions significantly, showing real progress. The company is also working to reduce plastic by introducing recyclable packaging and cutting down plastic use each year.</w:t>
      </w:r>
    </w:p>
    <w:p w14:paraId="123A3B97" w14:textId="5F487F63" w:rsidR="009D2ADA" w:rsidRPr="00A9629B" w:rsidRDefault="00FC1F0E" w:rsidP="00A9629B">
      <w:pPr>
        <w:spacing w:line="360" w:lineRule="auto"/>
        <w:jc w:val="both"/>
        <w:rPr>
          <w:rFonts w:ascii="Arial" w:hAnsi="Arial" w:cs="Arial"/>
        </w:rPr>
      </w:pPr>
      <w:r w:rsidRPr="00FC1F0E">
        <w:rPr>
          <w:rFonts w:ascii="Arial" w:hAnsi="Arial" w:cs="Arial"/>
        </w:rPr>
        <w:t>These actions help improve its brand image and reduce long-term costs, but they also require high initial investment, which may affect short-term profits.</w:t>
      </w:r>
    </w:p>
    <w:p w14:paraId="5F0CC0C8" w14:textId="77777777" w:rsidR="009D2ADA" w:rsidRPr="00A9629B" w:rsidRDefault="009D2ADA" w:rsidP="00A9629B">
      <w:pPr>
        <w:spacing w:line="360" w:lineRule="auto"/>
        <w:jc w:val="both"/>
        <w:rPr>
          <w:rFonts w:ascii="Arial" w:hAnsi="Arial" w:cs="Arial"/>
          <w:b/>
          <w:bCs/>
        </w:rPr>
      </w:pPr>
      <w:r w:rsidRPr="00A9629B">
        <w:rPr>
          <w:rFonts w:ascii="Arial" w:hAnsi="Arial" w:cs="Arial"/>
          <w:b/>
          <w:bCs/>
        </w:rPr>
        <w:t>Social Responsibility &amp; Ethical Practices</w:t>
      </w:r>
    </w:p>
    <w:p w14:paraId="23209B55" w14:textId="6B10590D" w:rsidR="009D2ADA" w:rsidRPr="00A9629B" w:rsidRDefault="009D2ADA" w:rsidP="00A9629B">
      <w:pPr>
        <w:spacing w:line="360" w:lineRule="auto"/>
        <w:jc w:val="both"/>
        <w:rPr>
          <w:rFonts w:ascii="Arial" w:hAnsi="Arial" w:cs="Arial"/>
        </w:rPr>
      </w:pPr>
      <w:r w:rsidRPr="00A9629B">
        <w:rPr>
          <w:rFonts w:ascii="Arial" w:hAnsi="Arial" w:cs="Arial"/>
        </w:rPr>
        <w:t xml:space="preserve">Sainsbury’s CSR </w:t>
      </w:r>
      <w:r w:rsidRPr="00D5142C">
        <w:rPr>
          <w:rFonts w:ascii="Arial" w:hAnsi="Arial" w:cs="Arial"/>
        </w:rPr>
        <w:t>extends to community engagement and ethical sourcing. The company has redistributed surplus food to communities and raised millions for social causes. It also promotes supply chain transparency and human rights, ensuring fair treatment of workers and sustainable sourcing practices</w:t>
      </w:r>
      <w:r w:rsidR="00A9629B" w:rsidRPr="00D5142C">
        <w:rPr>
          <w:rFonts w:ascii="Arial" w:hAnsi="Arial" w:cs="Arial"/>
        </w:rPr>
        <w:t xml:space="preserve">. </w:t>
      </w:r>
      <w:r w:rsidRPr="00D5142C">
        <w:rPr>
          <w:rFonts w:ascii="Arial" w:hAnsi="Arial" w:cs="Arial"/>
        </w:rPr>
        <w:t>These actions strengthen stakeholder trust and brand loyalty, which are critical success factors in the highly competitive UK retail market. Ethical</w:t>
      </w:r>
      <w:r w:rsidRPr="00A9629B">
        <w:rPr>
          <w:rFonts w:ascii="Arial" w:hAnsi="Arial" w:cs="Arial"/>
        </w:rPr>
        <w:t xml:space="preserve"> sourcing also reduces reputational risks associated with global supply chains.</w:t>
      </w:r>
    </w:p>
    <w:p w14:paraId="34F3CD5E" w14:textId="77777777" w:rsidR="009D2ADA" w:rsidRPr="00A9629B" w:rsidRDefault="009D2ADA" w:rsidP="00A9629B">
      <w:pPr>
        <w:spacing w:line="360" w:lineRule="auto"/>
        <w:jc w:val="both"/>
        <w:rPr>
          <w:rFonts w:ascii="Arial" w:hAnsi="Arial" w:cs="Arial"/>
          <w:b/>
          <w:bCs/>
        </w:rPr>
      </w:pPr>
      <w:r w:rsidRPr="00A9629B">
        <w:rPr>
          <w:rFonts w:ascii="Arial" w:hAnsi="Arial" w:cs="Arial"/>
          <w:b/>
          <w:bCs/>
        </w:rPr>
        <w:t>Critical Evaluation: Genuine CSR or Strategic Branding?</w:t>
      </w:r>
    </w:p>
    <w:p w14:paraId="081A5F8D" w14:textId="77777777" w:rsidR="009D2ADA" w:rsidRPr="00D5142C" w:rsidRDefault="009D2ADA" w:rsidP="00A9629B">
      <w:pPr>
        <w:spacing w:line="360" w:lineRule="auto"/>
        <w:jc w:val="both"/>
        <w:rPr>
          <w:rFonts w:ascii="Arial" w:hAnsi="Arial" w:cs="Arial"/>
        </w:rPr>
      </w:pPr>
      <w:r w:rsidRPr="00D5142C">
        <w:rPr>
          <w:rFonts w:ascii="Arial" w:hAnsi="Arial" w:cs="Arial"/>
        </w:rPr>
        <w:t>While Sainsbury’s demonstrates strong CSR performance, its initiatives are not purely altruistic. They are strategically aligned with competitive positioning, particularly as consumers increasingly prioritise sustainability. CSR acts as a differentiation strategy, especially against low-cost competitors like Aldi and Lidl, who compete primarily on price.</w:t>
      </w:r>
    </w:p>
    <w:p w14:paraId="76D053E0" w14:textId="77777777" w:rsidR="009D2ADA" w:rsidRPr="00D5142C" w:rsidRDefault="009D2ADA" w:rsidP="00A9629B">
      <w:pPr>
        <w:spacing w:line="360" w:lineRule="auto"/>
        <w:jc w:val="both"/>
        <w:rPr>
          <w:rFonts w:ascii="Arial" w:hAnsi="Arial" w:cs="Arial"/>
        </w:rPr>
      </w:pPr>
      <w:r w:rsidRPr="00D5142C">
        <w:rPr>
          <w:rFonts w:ascii="Arial" w:hAnsi="Arial" w:cs="Arial"/>
        </w:rPr>
        <w:t>However, critics may argue that some initiatives (e.g., packaging changes or eco-labels) also function as green marketing tools, enhancing brand image while maintaining sales growth.</w:t>
      </w:r>
    </w:p>
    <w:p w14:paraId="65AE7711" w14:textId="57F72DD2" w:rsidR="009D2ADA" w:rsidRPr="00A9629B" w:rsidRDefault="009D2ADA" w:rsidP="00A9629B">
      <w:pPr>
        <w:spacing w:line="360" w:lineRule="auto"/>
        <w:jc w:val="both"/>
        <w:rPr>
          <w:rFonts w:ascii="Arial" w:hAnsi="Arial" w:cs="Arial"/>
        </w:rPr>
      </w:pPr>
      <w:r w:rsidRPr="00D5142C">
        <w:rPr>
          <w:rFonts w:ascii="Arial" w:hAnsi="Arial" w:cs="Arial"/>
        </w:rPr>
        <w:t>Overall, Sainsbury’s CSR is both genuine and strategic. It creates long-term competitive advantage by aligning sustainability with operational efficiency and customer expectations. The key strategic implication is that CSR is no longer optional—it is a core driver of resilience, differentiation, and long-term profitability in the modern retail industry.</w:t>
      </w:r>
      <w:r w:rsidR="00682523" w:rsidRPr="00D5142C">
        <w:rPr>
          <w:rFonts w:ascii="Arial" w:hAnsi="Arial" w:cs="Arial"/>
        </w:rPr>
        <w:t xml:space="preserve"> </w:t>
      </w:r>
      <w:r w:rsidR="00682523" w:rsidRPr="00D5142C">
        <w:rPr>
          <w:rFonts w:ascii="Arial" w:hAnsi="Arial" w:cs="Arial"/>
        </w:rPr>
        <w:t>This is important because sustainability is no longer optional. If Sainsbury’s</w:t>
      </w:r>
      <w:r w:rsidR="00682523" w:rsidRPr="00682523">
        <w:rPr>
          <w:rFonts w:ascii="Arial" w:hAnsi="Arial" w:cs="Arial"/>
        </w:rPr>
        <w:t xml:space="preserve"> fails to meet expectations, it may lose customer trust and damage its brand image.</w:t>
      </w:r>
    </w:p>
    <w:p w14:paraId="0E892A52" w14:textId="2420747F" w:rsidR="007F0654" w:rsidRPr="00A9629B" w:rsidRDefault="007F0654" w:rsidP="00A9629B">
      <w:pPr>
        <w:pStyle w:val="Heading1"/>
      </w:pPr>
      <w:bookmarkStart w:id="13" w:name="_Toc228488650"/>
      <w:r w:rsidRPr="00A9629B">
        <w:t>4. Balanced Scorecard Analysis – Sainsbury’s</w:t>
      </w:r>
      <w:bookmarkEnd w:id="13"/>
      <w:r w:rsidRPr="00A9629B">
        <w:t xml:space="preserve"> </w:t>
      </w:r>
    </w:p>
    <w:p w14:paraId="3F293EF7" w14:textId="77777777" w:rsidR="007F0654" w:rsidRPr="00A9629B" w:rsidRDefault="007F0654" w:rsidP="00A9629B">
      <w:pPr>
        <w:spacing w:line="360" w:lineRule="auto"/>
        <w:jc w:val="both"/>
        <w:rPr>
          <w:rFonts w:ascii="Arial" w:hAnsi="Arial" w:cs="Arial"/>
        </w:rPr>
      </w:pPr>
      <w:r w:rsidRPr="00A9629B">
        <w:rPr>
          <w:rFonts w:ascii="Arial" w:hAnsi="Arial" w:cs="Arial"/>
          <w:i/>
          <w:iCs/>
        </w:rPr>
        <w:t>(Based on Robert S. Kaplan and David P. Norton, 1992)</w:t>
      </w:r>
    </w:p>
    <w:p w14:paraId="2C6165E5" w14:textId="77777777" w:rsidR="007F0654" w:rsidRPr="00A9629B" w:rsidRDefault="007F0654" w:rsidP="00A9629B">
      <w:pPr>
        <w:spacing w:line="360" w:lineRule="auto"/>
        <w:jc w:val="both"/>
        <w:rPr>
          <w:rFonts w:ascii="Arial" w:hAnsi="Arial" w:cs="Arial"/>
        </w:rPr>
      </w:pPr>
      <w:r w:rsidRPr="00D5142C">
        <w:rPr>
          <w:rFonts w:ascii="Arial" w:hAnsi="Arial" w:cs="Arial"/>
        </w:rPr>
        <w:lastRenderedPageBreak/>
        <w:t>The Balanced Scorecard (BSC) provides a strategic performance management framework that links financial outcomes with operational drivers. For Sainsbury’s, the BSC is highly relevant as its “Next Level Sainsbury’s” strategy emphasises</w:t>
      </w:r>
      <w:r w:rsidRPr="00A9629B">
        <w:rPr>
          <w:rFonts w:ascii="Arial" w:hAnsi="Arial" w:cs="Arial"/>
        </w:rPr>
        <w:t xml:space="preserve"> value, customer loyalty, operational efficiency, and digital transformation.</w:t>
      </w:r>
    </w:p>
    <w:p w14:paraId="1343571F" w14:textId="3605193B" w:rsidR="007F0654" w:rsidRPr="00A9629B" w:rsidRDefault="007F0654" w:rsidP="00A9629B">
      <w:pPr>
        <w:spacing w:line="360" w:lineRule="auto"/>
        <w:jc w:val="both"/>
        <w:rPr>
          <w:rFonts w:ascii="Arial" w:hAnsi="Arial" w:cs="Arial"/>
        </w:rPr>
      </w:pPr>
      <w:r w:rsidRPr="00A9629B">
        <w:rPr>
          <w:rFonts w:ascii="Arial" w:hAnsi="Arial" w:cs="Arial"/>
          <w:b/>
          <w:bCs/>
        </w:rPr>
        <w:t xml:space="preserve">Financial Perspective </w:t>
      </w:r>
    </w:p>
    <w:p w14:paraId="1971F3BD" w14:textId="1A38CAAC" w:rsidR="007F0654" w:rsidRPr="00D5142C" w:rsidRDefault="007F0654" w:rsidP="00A9629B">
      <w:pPr>
        <w:spacing w:line="360" w:lineRule="auto"/>
        <w:jc w:val="both"/>
        <w:rPr>
          <w:rFonts w:ascii="Arial" w:hAnsi="Arial" w:cs="Arial"/>
        </w:rPr>
      </w:pPr>
      <w:r w:rsidRPr="00D5142C">
        <w:rPr>
          <w:rFonts w:ascii="Arial" w:hAnsi="Arial" w:cs="Arial"/>
        </w:rPr>
        <w:t>Sainsbury’s financial objectives focus on profit growth, cost efficiency, and cash flow generation. Recent reports indicate expected retail operating profits between £1.01–£1.06 billion, supported by strong grocery sales and cost-saving initiatives. Additionally, the company aims to achieve £1 billion in cost savings by 2027, highlighting efficiency as a core strategic priority.</w:t>
      </w:r>
    </w:p>
    <w:p w14:paraId="43A06B55" w14:textId="0FC3F165" w:rsidR="007F0654" w:rsidRPr="00D5142C" w:rsidRDefault="007F0654" w:rsidP="00A9629B">
      <w:pPr>
        <w:spacing w:line="360" w:lineRule="auto"/>
        <w:jc w:val="both"/>
        <w:rPr>
          <w:rFonts w:ascii="Arial" w:hAnsi="Arial" w:cs="Arial"/>
        </w:rPr>
      </w:pPr>
      <w:r w:rsidRPr="00D5142C">
        <w:rPr>
          <w:rFonts w:ascii="Arial" w:hAnsi="Arial" w:cs="Arial"/>
        </w:rPr>
        <w:t>Key KPIs include revenue growth, operating margins, and return on capital employed (ROCE). Despite stable revenues (~£31bn), margins remain relatively low (around 5–8%), reflecting the high-volume, low-margin retail model.</w:t>
      </w:r>
    </w:p>
    <w:p w14:paraId="7C427544" w14:textId="7CA5BD47" w:rsidR="007F0654" w:rsidRPr="00D5142C" w:rsidRDefault="007F0654" w:rsidP="00A9629B">
      <w:pPr>
        <w:spacing w:line="360" w:lineRule="auto"/>
        <w:jc w:val="both"/>
        <w:rPr>
          <w:rFonts w:ascii="Arial" w:hAnsi="Arial" w:cs="Arial"/>
        </w:rPr>
      </w:pPr>
      <w:r w:rsidRPr="00D5142C">
        <w:rPr>
          <w:rFonts w:ascii="Arial" w:hAnsi="Arial" w:cs="Arial"/>
        </w:rPr>
        <w:t>Financial performance is heavily dependent on cost leadership and scale efficiency. This constrains Sainsbury’s ability to compete purely on price with Aldi/Lidl while maintaining quality. Therefore, financial strategy must balance cost reduction with value differentiation, making efficiency initiatives (automation, supply chain optimisation) strategically critical rather than optional.</w:t>
      </w:r>
    </w:p>
    <w:p w14:paraId="4D8D5700" w14:textId="0EF3997C" w:rsidR="007F0654" w:rsidRPr="00A9629B" w:rsidRDefault="007F0654" w:rsidP="00A9629B">
      <w:pPr>
        <w:spacing w:line="360" w:lineRule="auto"/>
        <w:jc w:val="both"/>
        <w:rPr>
          <w:rFonts w:ascii="Arial" w:hAnsi="Arial" w:cs="Arial"/>
        </w:rPr>
      </w:pPr>
      <w:r w:rsidRPr="00A9629B">
        <w:rPr>
          <w:rFonts w:ascii="Arial" w:hAnsi="Arial" w:cs="Arial"/>
          <w:b/>
          <w:bCs/>
        </w:rPr>
        <w:t xml:space="preserve">Customer Perspective </w:t>
      </w:r>
    </w:p>
    <w:p w14:paraId="424F66FA" w14:textId="3253F13B" w:rsidR="007F0654" w:rsidRPr="00D5142C" w:rsidRDefault="007F0654" w:rsidP="00A9629B">
      <w:pPr>
        <w:spacing w:line="360" w:lineRule="auto"/>
        <w:jc w:val="both"/>
        <w:rPr>
          <w:rFonts w:ascii="Arial" w:hAnsi="Arial" w:cs="Arial"/>
        </w:rPr>
      </w:pPr>
      <w:r w:rsidRPr="00D5142C">
        <w:rPr>
          <w:rFonts w:ascii="Arial" w:hAnsi="Arial" w:cs="Arial"/>
        </w:rPr>
        <w:t>Sainsbury’s strategy prioritises customer satisfaction, loyalty, and value perception. The Nectar loyalty programme is central, with over 17 million users and billions in customer savings. KPIs include customer retention, satisfaction scores, and basket size.</w:t>
      </w:r>
    </w:p>
    <w:p w14:paraId="7B2E65B3" w14:textId="537509A1" w:rsidR="007F0654" w:rsidRPr="00D5142C" w:rsidRDefault="007F0654" w:rsidP="00A9629B">
      <w:pPr>
        <w:spacing w:line="360" w:lineRule="auto"/>
        <w:jc w:val="both"/>
        <w:rPr>
          <w:rFonts w:ascii="Arial" w:hAnsi="Arial" w:cs="Arial"/>
        </w:rPr>
      </w:pPr>
      <w:r w:rsidRPr="00D5142C">
        <w:rPr>
          <w:rFonts w:ascii="Arial" w:hAnsi="Arial" w:cs="Arial"/>
        </w:rPr>
        <w:t>Initiatives such as “Nectar Prices” and personalised offers have significantly improved value perception and increased customer participation (over 85% engagement in some cases). Additionally, customer numbers and loyalty have increased, with primary customers rising significantly in recent years.</w:t>
      </w:r>
    </w:p>
    <w:p w14:paraId="3E007EE9" w14:textId="595A2D56" w:rsidR="007F0654" w:rsidRPr="00D5142C" w:rsidRDefault="007F0654" w:rsidP="00A9629B">
      <w:pPr>
        <w:spacing w:line="360" w:lineRule="auto"/>
        <w:jc w:val="both"/>
        <w:rPr>
          <w:rFonts w:ascii="Arial" w:hAnsi="Arial" w:cs="Arial"/>
        </w:rPr>
      </w:pPr>
      <w:r w:rsidRPr="00D5142C">
        <w:rPr>
          <w:rFonts w:ascii="Arial" w:hAnsi="Arial" w:cs="Arial"/>
        </w:rPr>
        <w:t xml:space="preserve">Customer loyalty is a key competitive weapon against discounters. While Aldi and Lidl compete on price, Sainsbury’s leverages data-driven personalisation and brand trust. This creates a switching barrier, increasing customer lifetime value. However, reliance </w:t>
      </w:r>
      <w:r w:rsidRPr="00D5142C">
        <w:rPr>
          <w:rFonts w:ascii="Arial" w:hAnsi="Arial" w:cs="Arial"/>
        </w:rPr>
        <w:lastRenderedPageBreak/>
        <w:t>on discounts via loyalty schemes may pressure margins, creating a strategic tension between customer value and profitability.</w:t>
      </w:r>
    </w:p>
    <w:p w14:paraId="1F598FF7" w14:textId="79365CD7" w:rsidR="007F0654" w:rsidRPr="00A9629B" w:rsidRDefault="007F0654" w:rsidP="00A9629B">
      <w:pPr>
        <w:spacing w:line="360" w:lineRule="auto"/>
        <w:jc w:val="both"/>
        <w:rPr>
          <w:rFonts w:ascii="Arial" w:hAnsi="Arial" w:cs="Arial"/>
        </w:rPr>
      </w:pPr>
      <w:r w:rsidRPr="00A9629B">
        <w:rPr>
          <w:rFonts w:ascii="Arial" w:hAnsi="Arial" w:cs="Arial"/>
          <w:b/>
          <w:bCs/>
        </w:rPr>
        <w:t xml:space="preserve">Internal Process Perspective </w:t>
      </w:r>
    </w:p>
    <w:p w14:paraId="49F4AA5B" w14:textId="77777777" w:rsidR="007F0654" w:rsidRPr="00D5142C" w:rsidRDefault="007F0654" w:rsidP="00A9629B">
      <w:pPr>
        <w:spacing w:line="360" w:lineRule="auto"/>
        <w:jc w:val="both"/>
        <w:rPr>
          <w:rFonts w:ascii="Arial" w:hAnsi="Arial" w:cs="Arial"/>
        </w:rPr>
      </w:pPr>
      <w:r w:rsidRPr="00D5142C">
        <w:rPr>
          <w:rFonts w:ascii="Arial" w:hAnsi="Arial" w:cs="Arial"/>
        </w:rPr>
        <w:t>Sainsbury’s internal processes focus on supply chain efficiency, inventory management, and omnichannel integration. KPIs include stock availability, delivery time, and cost-to-serve.</w:t>
      </w:r>
    </w:p>
    <w:p w14:paraId="4A3844AB" w14:textId="2C4BBFA9" w:rsidR="007F0654" w:rsidRPr="00D5142C" w:rsidRDefault="007F0654" w:rsidP="00A9629B">
      <w:pPr>
        <w:spacing w:line="360" w:lineRule="auto"/>
        <w:jc w:val="both"/>
        <w:rPr>
          <w:rFonts w:ascii="Arial" w:hAnsi="Arial" w:cs="Arial"/>
        </w:rPr>
      </w:pPr>
      <w:r w:rsidRPr="00D5142C">
        <w:rPr>
          <w:rFonts w:ascii="Arial" w:hAnsi="Arial" w:cs="Arial"/>
        </w:rPr>
        <w:t>The company has invested in automation and AI-driven forecasting systems (e.g., partnerships for real-time inventory optimisation) to improve availability and reduce waste. Its omnichannel infrastructure supports £4.1 billion online sales and faster fulfilment speeds, demonstrating strong operational capability.</w:t>
      </w:r>
    </w:p>
    <w:p w14:paraId="6BAF2544" w14:textId="3594AA61" w:rsidR="007F0654" w:rsidRPr="00D5142C" w:rsidRDefault="007F0654" w:rsidP="00A9629B">
      <w:pPr>
        <w:spacing w:line="360" w:lineRule="auto"/>
        <w:jc w:val="both"/>
        <w:rPr>
          <w:rFonts w:ascii="Arial" w:hAnsi="Arial" w:cs="Arial"/>
        </w:rPr>
      </w:pPr>
      <w:r w:rsidRPr="00D5142C">
        <w:rPr>
          <w:rFonts w:ascii="Arial" w:hAnsi="Arial" w:cs="Arial"/>
        </w:rPr>
        <w:t>Efficient internal processes are essential for delivering low prices and high availability simultaneously. This is crucial in a highly competitive retail environment where operational inefficiencies directly reduce margins. Sainsbury’s ability to integrate digital and physical channels provides a competitive advantage, but it requires continuous investment—making operational excellence a sustained strategic priority rather than a one-time improvement.</w:t>
      </w:r>
    </w:p>
    <w:p w14:paraId="57F045DB" w14:textId="45AF4190" w:rsidR="007F0654" w:rsidRPr="00A9629B" w:rsidRDefault="007F0654" w:rsidP="00A9629B">
      <w:pPr>
        <w:spacing w:line="360" w:lineRule="auto"/>
        <w:jc w:val="both"/>
        <w:rPr>
          <w:rFonts w:ascii="Arial" w:hAnsi="Arial" w:cs="Arial"/>
        </w:rPr>
      </w:pPr>
      <w:r w:rsidRPr="00A9629B">
        <w:rPr>
          <w:rFonts w:ascii="Arial" w:hAnsi="Arial" w:cs="Arial"/>
          <w:b/>
          <w:bCs/>
        </w:rPr>
        <w:t xml:space="preserve">Learning &amp; Growth Perspective </w:t>
      </w:r>
    </w:p>
    <w:p w14:paraId="37B4B9A0" w14:textId="77777777" w:rsidR="007F0654" w:rsidRPr="00D5142C" w:rsidRDefault="007F0654" w:rsidP="00A9629B">
      <w:pPr>
        <w:spacing w:line="360" w:lineRule="auto"/>
        <w:jc w:val="both"/>
        <w:rPr>
          <w:rFonts w:ascii="Arial" w:hAnsi="Arial" w:cs="Arial"/>
        </w:rPr>
      </w:pPr>
      <w:r w:rsidRPr="00D5142C">
        <w:rPr>
          <w:rFonts w:ascii="Arial" w:hAnsi="Arial" w:cs="Arial"/>
        </w:rPr>
        <w:t>The learning and growth perspective focuses on employee capabilities, digital skills, and organisational culture. Sainsbury’s invests in training, employee engagement, and digital transformation initiatives. For example, the company has improved colleague engagement scores and adopted the Real Living Wage, enhancing workforce motivation .</w:t>
      </w:r>
    </w:p>
    <w:p w14:paraId="2B420B83" w14:textId="77777777" w:rsidR="007F0654" w:rsidRPr="00D5142C" w:rsidRDefault="007F0654" w:rsidP="00A9629B">
      <w:pPr>
        <w:spacing w:line="360" w:lineRule="auto"/>
        <w:jc w:val="both"/>
        <w:rPr>
          <w:rFonts w:ascii="Arial" w:hAnsi="Arial" w:cs="Arial"/>
        </w:rPr>
      </w:pPr>
      <w:r w:rsidRPr="00D5142C">
        <w:rPr>
          <w:rFonts w:ascii="Arial" w:hAnsi="Arial" w:cs="Arial"/>
        </w:rPr>
        <w:t>KPIs include employee engagement, training hours, and productivity improvements. Digital training and technology adoption support innovation in areas such as data analytics (Nectar360) and automation.</w:t>
      </w:r>
    </w:p>
    <w:p w14:paraId="1FC07902" w14:textId="12F348C1" w:rsidR="007F0654" w:rsidRPr="00D5142C" w:rsidRDefault="007F0654" w:rsidP="00A9629B">
      <w:pPr>
        <w:spacing w:line="360" w:lineRule="auto"/>
        <w:jc w:val="both"/>
        <w:rPr>
          <w:rFonts w:ascii="Arial" w:hAnsi="Arial" w:cs="Arial"/>
        </w:rPr>
      </w:pPr>
      <w:r w:rsidRPr="00D5142C">
        <w:rPr>
          <w:rFonts w:ascii="Arial" w:hAnsi="Arial" w:cs="Arial"/>
        </w:rPr>
        <w:t xml:space="preserve">Human capital is a critical enabler of strategy execution. Without skilled employees, investments in technology and customer service cannot deliver value. High engagement also improves customer experience, linking directly to the customer perspective. However, rising labour costs create financial pressure, meaning </w:t>
      </w:r>
      <w:r w:rsidRPr="00D5142C">
        <w:rPr>
          <w:rFonts w:ascii="Arial" w:hAnsi="Arial" w:cs="Arial"/>
        </w:rPr>
        <w:lastRenderedPageBreak/>
        <w:t>Sainsbury’s must ensure that productivity gains outweigh increased wage investments.</w:t>
      </w:r>
    </w:p>
    <w:p w14:paraId="2D300752" w14:textId="4354E192" w:rsidR="007F0654" w:rsidRPr="00A9629B" w:rsidRDefault="007F0654" w:rsidP="00A9629B">
      <w:pPr>
        <w:spacing w:line="360" w:lineRule="auto"/>
        <w:jc w:val="both"/>
        <w:rPr>
          <w:rFonts w:ascii="Arial" w:hAnsi="Arial" w:cs="Arial"/>
        </w:rPr>
      </w:pPr>
      <w:r w:rsidRPr="00A9629B">
        <w:rPr>
          <w:rFonts w:ascii="Arial" w:hAnsi="Arial" w:cs="Arial"/>
          <w:b/>
          <w:bCs/>
        </w:rPr>
        <w:t xml:space="preserve">Overall Strategic Integration </w:t>
      </w:r>
    </w:p>
    <w:p w14:paraId="26959BE6" w14:textId="77777777" w:rsidR="007F0654" w:rsidRPr="00D5142C" w:rsidRDefault="007F0654" w:rsidP="00A9629B">
      <w:pPr>
        <w:spacing w:line="360" w:lineRule="auto"/>
        <w:jc w:val="both"/>
        <w:rPr>
          <w:rFonts w:ascii="Arial" w:hAnsi="Arial" w:cs="Arial"/>
        </w:rPr>
      </w:pPr>
      <w:r w:rsidRPr="00D5142C">
        <w:rPr>
          <w:rFonts w:ascii="Arial" w:hAnsi="Arial" w:cs="Arial"/>
        </w:rPr>
        <w:t>The Balanced Scorecard demonstrates that Sainsbury’s strategy is interconnected across all four perspectives:</w:t>
      </w:r>
    </w:p>
    <w:p w14:paraId="548A887E" w14:textId="77777777" w:rsidR="007F0654" w:rsidRPr="00D5142C" w:rsidRDefault="007F0654" w:rsidP="00A9629B">
      <w:pPr>
        <w:numPr>
          <w:ilvl w:val="0"/>
          <w:numId w:val="3"/>
        </w:numPr>
        <w:spacing w:line="360" w:lineRule="auto"/>
        <w:jc w:val="both"/>
        <w:rPr>
          <w:rFonts w:ascii="Arial" w:hAnsi="Arial" w:cs="Arial"/>
        </w:rPr>
      </w:pPr>
      <w:r w:rsidRPr="00D5142C">
        <w:rPr>
          <w:rFonts w:ascii="Arial" w:hAnsi="Arial" w:cs="Arial"/>
        </w:rPr>
        <w:t xml:space="preserve">Financial success depends on cost efficiency and customer retention </w:t>
      </w:r>
    </w:p>
    <w:p w14:paraId="61A31D9E" w14:textId="77777777" w:rsidR="007F0654" w:rsidRPr="00D5142C" w:rsidRDefault="007F0654" w:rsidP="00A9629B">
      <w:pPr>
        <w:numPr>
          <w:ilvl w:val="0"/>
          <w:numId w:val="3"/>
        </w:numPr>
        <w:spacing w:line="360" w:lineRule="auto"/>
        <w:jc w:val="both"/>
        <w:rPr>
          <w:rFonts w:ascii="Arial" w:hAnsi="Arial" w:cs="Arial"/>
        </w:rPr>
      </w:pPr>
      <w:r w:rsidRPr="00D5142C">
        <w:rPr>
          <w:rFonts w:ascii="Arial" w:hAnsi="Arial" w:cs="Arial"/>
        </w:rPr>
        <w:t xml:space="preserve">Customer loyalty is driven by data, service, and value perception </w:t>
      </w:r>
    </w:p>
    <w:p w14:paraId="49B41A0E" w14:textId="77777777" w:rsidR="007F0654" w:rsidRPr="00D5142C" w:rsidRDefault="007F0654" w:rsidP="00A9629B">
      <w:pPr>
        <w:numPr>
          <w:ilvl w:val="0"/>
          <w:numId w:val="3"/>
        </w:numPr>
        <w:spacing w:line="360" w:lineRule="auto"/>
        <w:jc w:val="both"/>
        <w:rPr>
          <w:rFonts w:ascii="Arial" w:hAnsi="Arial" w:cs="Arial"/>
        </w:rPr>
      </w:pPr>
      <w:r w:rsidRPr="00D5142C">
        <w:rPr>
          <w:rFonts w:ascii="Arial" w:hAnsi="Arial" w:cs="Arial"/>
        </w:rPr>
        <w:t xml:space="preserve">Internal processes enable low-cost, high-quality delivery </w:t>
      </w:r>
    </w:p>
    <w:p w14:paraId="1D5854E5" w14:textId="77777777" w:rsidR="007F0654" w:rsidRPr="00D5142C" w:rsidRDefault="007F0654" w:rsidP="00A9629B">
      <w:pPr>
        <w:numPr>
          <w:ilvl w:val="0"/>
          <w:numId w:val="3"/>
        </w:numPr>
        <w:spacing w:line="360" w:lineRule="auto"/>
        <w:jc w:val="both"/>
        <w:rPr>
          <w:rFonts w:ascii="Arial" w:hAnsi="Arial" w:cs="Arial"/>
        </w:rPr>
      </w:pPr>
      <w:r w:rsidRPr="00D5142C">
        <w:rPr>
          <w:rFonts w:ascii="Arial" w:hAnsi="Arial" w:cs="Arial"/>
        </w:rPr>
        <w:t xml:space="preserve">Learning &amp; growth supports innovation and execution capability </w:t>
      </w:r>
    </w:p>
    <w:p w14:paraId="60BD8572" w14:textId="1EE7F4A5" w:rsidR="007F0654" w:rsidRPr="00D5142C" w:rsidRDefault="007F0654" w:rsidP="00A9629B">
      <w:pPr>
        <w:spacing w:line="360" w:lineRule="auto"/>
        <w:jc w:val="both"/>
        <w:rPr>
          <w:rFonts w:ascii="Arial" w:hAnsi="Arial" w:cs="Arial"/>
        </w:rPr>
      </w:pPr>
      <w:r w:rsidRPr="00D5142C">
        <w:rPr>
          <w:rFonts w:ascii="Arial" w:hAnsi="Arial" w:cs="Arial"/>
        </w:rPr>
        <w:t>The BSC reveals that Sainsbury’s competitive advantage lies not in price alone, but in its integrated system of value creation. The key strategic risk is over-reliance on cost savings and promotions, which could erode margins. Therefore, long-term success depends on maintaining a balance between efficiency, differentiation, and innovation.</w:t>
      </w:r>
      <w:r w:rsidR="00682523" w:rsidRPr="00D5142C">
        <w:rPr>
          <w:rFonts w:ascii="Arial" w:hAnsi="Arial" w:cs="Arial"/>
        </w:rPr>
        <w:t xml:space="preserve"> </w:t>
      </w:r>
      <w:r w:rsidR="00682523" w:rsidRPr="00D5142C">
        <w:rPr>
          <w:rFonts w:ascii="Arial" w:hAnsi="Arial" w:cs="Arial"/>
        </w:rPr>
        <w:t>This is important because all four perspectives work together to support Sainsbury’s overall strategy and long-term performance.</w:t>
      </w:r>
    </w:p>
    <w:p w14:paraId="209DC5B7" w14:textId="0349BA03" w:rsidR="007F0654" w:rsidRPr="00A9629B" w:rsidRDefault="007F0654" w:rsidP="00A9629B">
      <w:pPr>
        <w:pStyle w:val="Heading1"/>
      </w:pPr>
      <w:bookmarkStart w:id="14" w:name="_Toc228488651"/>
      <w:r w:rsidRPr="00A9629B">
        <w:t>5. Strategic Choices &amp; Implementation – Sainsbury’s</w:t>
      </w:r>
      <w:bookmarkEnd w:id="14"/>
      <w:r w:rsidRPr="00A9629B">
        <w:t xml:space="preserve"> </w:t>
      </w:r>
    </w:p>
    <w:p w14:paraId="000E28E7" w14:textId="73364670" w:rsidR="007F0654" w:rsidRPr="00A9629B" w:rsidRDefault="007F0654" w:rsidP="00A9629B">
      <w:pPr>
        <w:pStyle w:val="Heading2"/>
      </w:pPr>
      <w:bookmarkStart w:id="15" w:name="_Toc228488652"/>
      <w:r w:rsidRPr="00A9629B">
        <w:t>5.1 Business-Level Strategy</w:t>
      </w:r>
      <w:bookmarkEnd w:id="15"/>
      <w:r w:rsidRPr="00A9629B">
        <w:t xml:space="preserve"> </w:t>
      </w:r>
    </w:p>
    <w:p w14:paraId="3A43D4E6" w14:textId="02E6E853" w:rsidR="007F0654" w:rsidRPr="00D5142C" w:rsidRDefault="007F0654" w:rsidP="00A9629B">
      <w:pPr>
        <w:spacing w:line="360" w:lineRule="auto"/>
        <w:jc w:val="both"/>
        <w:rPr>
          <w:rFonts w:ascii="Arial" w:hAnsi="Arial" w:cs="Arial"/>
        </w:rPr>
      </w:pPr>
      <w:r w:rsidRPr="00D5142C">
        <w:rPr>
          <w:rFonts w:ascii="Arial" w:hAnsi="Arial" w:cs="Arial"/>
        </w:rPr>
        <w:t>Using Porter’s Generic Strategies, Sainsbury’s adopts a hybrid strategy, combining differentiation (quality, brand trust) with competitive pricing. Unlike pure cost leaders such as Aldi and Lidl, Sainsbury’s positions itself as offering “quality food at fair prices”, targeting middle-income consumers.</w:t>
      </w:r>
      <w:r w:rsidR="00AC30B2" w:rsidRPr="00D5142C">
        <w:rPr>
          <w:rFonts w:ascii="Arial" w:hAnsi="Arial" w:cs="Arial"/>
        </w:rPr>
        <w:t xml:space="preserve"> </w:t>
      </w:r>
      <w:r w:rsidR="00AC30B2" w:rsidRPr="00D5142C">
        <w:rPr>
          <w:rFonts w:ascii="Arial" w:hAnsi="Arial" w:cs="Arial"/>
        </w:rPr>
        <w:t>According to Porter (1985),</w:t>
      </w:r>
      <w:r w:rsidR="00AC30B2" w:rsidRPr="00AC30B2">
        <w:rPr>
          <w:rFonts w:ascii="Arial" w:hAnsi="Arial" w:cs="Arial"/>
        </w:rPr>
        <w:t xml:space="preserve"> firms achieve </w:t>
      </w:r>
      <w:r w:rsidR="00AC30B2" w:rsidRPr="00D5142C">
        <w:rPr>
          <w:rFonts w:ascii="Arial" w:hAnsi="Arial" w:cs="Arial"/>
        </w:rPr>
        <w:t>competitive advantage through cost leadership or differentiation. Sainsbury’s combines both approaches, which explains its hybrid strategy in the UK retail market.</w:t>
      </w:r>
    </w:p>
    <w:p w14:paraId="574B5120" w14:textId="77777777" w:rsidR="007F0654" w:rsidRPr="00D5142C" w:rsidRDefault="007F0654" w:rsidP="00A9629B">
      <w:pPr>
        <w:spacing w:line="360" w:lineRule="auto"/>
        <w:jc w:val="both"/>
        <w:rPr>
          <w:rFonts w:ascii="Arial" w:hAnsi="Arial" w:cs="Arial"/>
        </w:rPr>
      </w:pPr>
      <w:r w:rsidRPr="00D5142C">
        <w:rPr>
          <w:rFonts w:ascii="Arial" w:hAnsi="Arial" w:cs="Arial"/>
        </w:rPr>
        <w:t>Against Tesco, Sainsbury’s competes on a broad differentiation basis, emphasising product quality, sustainability, and customer experience. Simultaneously, it faces intense price pressure from discounters, forcing it to introduce price-matching and loyalty-based discounts (e.g., Nectar Prices).</w:t>
      </w:r>
    </w:p>
    <w:p w14:paraId="7F740A5E" w14:textId="68EC1D54" w:rsidR="007F0654" w:rsidRPr="00D5142C" w:rsidRDefault="007F0654" w:rsidP="00A9629B">
      <w:pPr>
        <w:spacing w:line="360" w:lineRule="auto"/>
        <w:jc w:val="both"/>
        <w:rPr>
          <w:rFonts w:ascii="Arial" w:hAnsi="Arial" w:cs="Arial"/>
        </w:rPr>
      </w:pPr>
      <w:r w:rsidRPr="00D5142C">
        <w:rPr>
          <w:rFonts w:ascii="Arial" w:hAnsi="Arial" w:cs="Arial"/>
        </w:rPr>
        <w:lastRenderedPageBreak/>
        <w:t>Strategically, the “Next Level Sainsbury’s” plan aims to increase volume, improve value perception, and deliver £1 billion in cost savings, reinforcing its hybrid positioning.</w:t>
      </w:r>
    </w:p>
    <w:p w14:paraId="21BEBEDF" w14:textId="452E12C1" w:rsidR="007F0654" w:rsidRPr="00D5142C" w:rsidRDefault="007F0654" w:rsidP="00A9629B">
      <w:pPr>
        <w:spacing w:line="360" w:lineRule="auto"/>
        <w:jc w:val="both"/>
        <w:rPr>
          <w:rFonts w:ascii="Arial" w:hAnsi="Arial" w:cs="Arial"/>
        </w:rPr>
      </w:pPr>
      <w:r w:rsidRPr="00D5142C">
        <w:rPr>
          <w:rFonts w:ascii="Arial" w:hAnsi="Arial" w:cs="Arial"/>
        </w:rPr>
        <w:t>A hybrid strategy allows Sainsbury’s to avoid being “stuck in the middle,” but it is inherently difficult to sustain. Competing on both price and quality creates margin pressure, especially during inflationary periods. The key strategic implication is that Sainsbury’s must continuously improve operational efficiency (cost control) while maintaining brand differentiation. Failure to balance these could weaken its position against both Tesco (scale advantage) and Aldi/Lidl (cost leadership).</w:t>
      </w:r>
    </w:p>
    <w:p w14:paraId="69C779C4" w14:textId="22521B68" w:rsidR="007F0654" w:rsidRPr="00A9629B" w:rsidRDefault="007F0654" w:rsidP="00A9629B">
      <w:pPr>
        <w:pStyle w:val="Heading2"/>
      </w:pPr>
      <w:bookmarkStart w:id="16" w:name="_Toc228488653"/>
      <w:r w:rsidRPr="00A9629B">
        <w:t>5.2 Corporate-Level Strategy</w:t>
      </w:r>
      <w:bookmarkEnd w:id="16"/>
      <w:r w:rsidRPr="00A9629B">
        <w:t xml:space="preserve"> </w:t>
      </w:r>
    </w:p>
    <w:p w14:paraId="24973AC8" w14:textId="5CFE8921" w:rsidR="007F0654" w:rsidRPr="00D5142C" w:rsidRDefault="007F0654" w:rsidP="00A9629B">
      <w:pPr>
        <w:spacing w:line="360" w:lineRule="auto"/>
        <w:jc w:val="both"/>
        <w:rPr>
          <w:rFonts w:ascii="Arial" w:hAnsi="Arial" w:cs="Arial"/>
        </w:rPr>
      </w:pPr>
      <w:r w:rsidRPr="00D5142C">
        <w:rPr>
          <w:rFonts w:ascii="Arial" w:hAnsi="Arial" w:cs="Arial"/>
        </w:rPr>
        <w:t>At the corporate level, Sainsbury’s has pursued related diversification, expanding beyond groceries into general merchandise and financial services. The acquisition of Argos in 2016 was a strategic move to enhance digital capability and distribution infrastructure, enabling faster delivery and click-and-collect services. Today, over 70% of Argos sales start online, demonstrating strong integration into Sainsbury’s omnichannel model.</w:t>
      </w:r>
    </w:p>
    <w:p w14:paraId="58B6D7AE" w14:textId="2BDFAE0D" w:rsidR="007F0654" w:rsidRPr="00D5142C" w:rsidRDefault="007F0654" w:rsidP="00A9629B">
      <w:pPr>
        <w:spacing w:line="360" w:lineRule="auto"/>
        <w:jc w:val="both"/>
        <w:rPr>
          <w:rFonts w:ascii="Arial" w:hAnsi="Arial" w:cs="Arial"/>
        </w:rPr>
      </w:pPr>
      <w:r w:rsidRPr="00D5142C">
        <w:rPr>
          <w:rFonts w:ascii="Arial" w:hAnsi="Arial" w:cs="Arial"/>
        </w:rPr>
        <w:t>Similarly, Sainsbury’s Bank provides additional revenue streams, although the company has recently shifted towards third-party provision, indicating a strategic refocus on core retail operations.</w:t>
      </w:r>
    </w:p>
    <w:p w14:paraId="2676D3D1" w14:textId="77777777" w:rsidR="00D5142C" w:rsidRDefault="007F0654" w:rsidP="00A9629B">
      <w:pPr>
        <w:spacing w:line="360" w:lineRule="auto"/>
        <w:jc w:val="both"/>
        <w:rPr>
          <w:rFonts w:ascii="Arial" w:hAnsi="Arial" w:cs="Arial"/>
        </w:rPr>
      </w:pPr>
      <w:r w:rsidRPr="00D5142C">
        <w:rPr>
          <w:rFonts w:ascii="Arial" w:hAnsi="Arial" w:cs="Arial"/>
        </w:rPr>
        <w:t>However, recent performance highlights challenges. Argos has faced declining sales due to weak consumer demand and competition in non-food retail. This has led to restructuring and store integration strategies.</w:t>
      </w:r>
    </w:p>
    <w:p w14:paraId="50D7FC49" w14:textId="37A8B698" w:rsidR="007F0654" w:rsidRPr="00D5142C" w:rsidRDefault="007F0654" w:rsidP="00A9629B">
      <w:pPr>
        <w:spacing w:line="360" w:lineRule="auto"/>
        <w:jc w:val="both"/>
        <w:rPr>
          <w:rFonts w:ascii="Arial" w:hAnsi="Arial" w:cs="Arial"/>
        </w:rPr>
      </w:pPr>
      <w:r w:rsidRPr="00D5142C">
        <w:rPr>
          <w:rFonts w:ascii="Arial" w:hAnsi="Arial" w:cs="Arial"/>
        </w:rPr>
        <w:t>Diversification has strengthened Sainsbury’s capabilities in logistics and digital retail, but it also introduces complexity and risk. The underperformance of Argos suggests that not all diversification creates value. Strategically, Sainsbury’s is now refocusing on its core grocery business, indicating a shift from expansion to portfolio optimisation. This aligns with corporate strategy theory, where firms divest or restructure underperforming units to enhance overall efficiency.</w:t>
      </w:r>
    </w:p>
    <w:p w14:paraId="6D89D706" w14:textId="4B11CEE8" w:rsidR="007F0654" w:rsidRPr="00A9629B" w:rsidRDefault="007F0654" w:rsidP="00A9629B">
      <w:pPr>
        <w:pStyle w:val="Heading2"/>
      </w:pPr>
      <w:bookmarkStart w:id="17" w:name="_Toc228488654"/>
      <w:r w:rsidRPr="00A9629B">
        <w:t>5.3 Change Management</w:t>
      </w:r>
      <w:bookmarkEnd w:id="17"/>
      <w:r w:rsidRPr="00A9629B">
        <w:t xml:space="preserve"> </w:t>
      </w:r>
    </w:p>
    <w:p w14:paraId="5C0AE55C" w14:textId="6CD61315" w:rsidR="007F0654" w:rsidRPr="00D5142C" w:rsidRDefault="007F0654" w:rsidP="00A9629B">
      <w:pPr>
        <w:spacing w:line="360" w:lineRule="auto"/>
        <w:jc w:val="both"/>
        <w:rPr>
          <w:rFonts w:ascii="Arial" w:hAnsi="Arial" w:cs="Arial"/>
        </w:rPr>
      </w:pPr>
      <w:r w:rsidRPr="00D5142C">
        <w:rPr>
          <w:rFonts w:ascii="Arial" w:hAnsi="Arial" w:cs="Arial"/>
        </w:rPr>
        <w:t xml:space="preserve">Sainsbury’s has undergone significant organisational change, particularly through digital transformation and post-COVID restructuring. The pandemic accelerated online </w:t>
      </w:r>
      <w:r w:rsidRPr="00D5142C">
        <w:rPr>
          <w:rFonts w:ascii="Arial" w:hAnsi="Arial" w:cs="Arial"/>
        </w:rPr>
        <w:lastRenderedPageBreak/>
        <w:t>grocery demand, and Sainsbury’s leveraged its Argos infrastructure and store network to expand delivery capacity. Its omnichannel model now supports a substantial share of sales through digital platforms.</w:t>
      </w:r>
    </w:p>
    <w:p w14:paraId="290DCEB8" w14:textId="6BA70423" w:rsidR="007F0654" w:rsidRPr="00D5142C" w:rsidRDefault="007F0654" w:rsidP="00A9629B">
      <w:pPr>
        <w:spacing w:line="360" w:lineRule="auto"/>
        <w:jc w:val="both"/>
        <w:rPr>
          <w:rFonts w:ascii="Arial" w:hAnsi="Arial" w:cs="Arial"/>
        </w:rPr>
      </w:pPr>
      <w:r w:rsidRPr="00D5142C">
        <w:rPr>
          <w:rFonts w:ascii="Arial" w:hAnsi="Arial" w:cs="Arial"/>
        </w:rPr>
        <w:t>The company is also investing in AI, automation, and supply chain optimisation, alongside restructuring initiatives (including job reductions and organisational redesign) to improve efficiency.</w:t>
      </w:r>
    </w:p>
    <w:p w14:paraId="14081093" w14:textId="10FDB91E" w:rsidR="007F0654" w:rsidRPr="00D5142C" w:rsidRDefault="007F0654" w:rsidP="00A9629B">
      <w:pPr>
        <w:spacing w:line="360" w:lineRule="auto"/>
        <w:jc w:val="both"/>
        <w:rPr>
          <w:rFonts w:ascii="Arial" w:hAnsi="Arial" w:cs="Arial"/>
        </w:rPr>
      </w:pPr>
      <w:r w:rsidRPr="00D5142C">
        <w:rPr>
          <w:rFonts w:ascii="Arial" w:hAnsi="Arial" w:cs="Arial"/>
        </w:rPr>
        <w:t>Partially</w:t>
      </w:r>
      <w:r w:rsidR="00FE68C3" w:rsidRPr="00D5142C">
        <w:rPr>
          <w:rFonts w:ascii="Arial" w:hAnsi="Arial" w:cs="Arial"/>
        </w:rPr>
        <w:t>,</w:t>
      </w:r>
      <w:r w:rsidRPr="00D5142C">
        <w:rPr>
          <w:rFonts w:ascii="Arial" w:hAnsi="Arial" w:cs="Arial"/>
        </w:rPr>
        <w:t xml:space="preserve"> Sainsbury’s achieved strong grocery growth and improved efficiency, but challenges remain, particularly in the Argos division and workforce adaptation.</w:t>
      </w:r>
      <w:r w:rsidRPr="00D5142C">
        <w:rPr>
          <w:rFonts w:ascii="Arial" w:hAnsi="Arial" w:cs="Arial"/>
        </w:rPr>
        <w:br/>
        <w:t>Change has enhanced Sainsbury’s resilience and digital capability, which are critical for long-term competitiveness. However, organisational restructuring can reduce employee morale and create execution risks. The key implication is that successful strategy implementation depends not only on technology but also on effective change management and cultural alignment.</w:t>
      </w:r>
    </w:p>
    <w:p w14:paraId="620553F4" w14:textId="77777777" w:rsidR="007F0654" w:rsidRPr="00D5142C" w:rsidRDefault="007F0654" w:rsidP="00A9629B">
      <w:pPr>
        <w:spacing w:line="360" w:lineRule="auto"/>
        <w:jc w:val="both"/>
        <w:rPr>
          <w:rFonts w:ascii="Arial" w:hAnsi="Arial" w:cs="Arial"/>
        </w:rPr>
      </w:pPr>
      <w:r w:rsidRPr="00D5142C">
        <w:rPr>
          <w:rFonts w:ascii="Arial" w:hAnsi="Arial" w:cs="Arial"/>
        </w:rPr>
        <w:t>Sainsbury’s strategic choices reflect a shift towards efficiency, focus, and digital integration:</w:t>
      </w:r>
    </w:p>
    <w:p w14:paraId="0172A75D" w14:textId="77777777" w:rsidR="007F0654" w:rsidRPr="00D5142C" w:rsidRDefault="007F0654" w:rsidP="00A9629B">
      <w:pPr>
        <w:numPr>
          <w:ilvl w:val="0"/>
          <w:numId w:val="5"/>
        </w:numPr>
        <w:spacing w:line="360" w:lineRule="auto"/>
        <w:jc w:val="both"/>
        <w:rPr>
          <w:rFonts w:ascii="Arial" w:hAnsi="Arial" w:cs="Arial"/>
        </w:rPr>
      </w:pPr>
      <w:r w:rsidRPr="00D5142C">
        <w:rPr>
          <w:rFonts w:ascii="Arial" w:hAnsi="Arial" w:cs="Arial"/>
        </w:rPr>
        <w:t xml:space="preserve">Business strategy balances price and quality (hybrid positioning) </w:t>
      </w:r>
    </w:p>
    <w:p w14:paraId="268B4798" w14:textId="77777777" w:rsidR="007F0654" w:rsidRPr="00D5142C" w:rsidRDefault="007F0654" w:rsidP="00A9629B">
      <w:pPr>
        <w:numPr>
          <w:ilvl w:val="0"/>
          <w:numId w:val="5"/>
        </w:numPr>
        <w:spacing w:line="360" w:lineRule="auto"/>
        <w:jc w:val="both"/>
        <w:rPr>
          <w:rFonts w:ascii="Arial" w:hAnsi="Arial" w:cs="Arial"/>
        </w:rPr>
      </w:pPr>
      <w:r w:rsidRPr="00D5142C">
        <w:rPr>
          <w:rFonts w:ascii="Arial" w:hAnsi="Arial" w:cs="Arial"/>
        </w:rPr>
        <w:t xml:space="preserve">Corporate strategy is moving from diversification to core optimisation </w:t>
      </w:r>
    </w:p>
    <w:p w14:paraId="48465D86" w14:textId="77777777" w:rsidR="007F0654" w:rsidRPr="00D5142C" w:rsidRDefault="007F0654" w:rsidP="00A9629B">
      <w:pPr>
        <w:numPr>
          <w:ilvl w:val="0"/>
          <w:numId w:val="5"/>
        </w:numPr>
        <w:spacing w:line="360" w:lineRule="auto"/>
        <w:jc w:val="both"/>
        <w:rPr>
          <w:rFonts w:ascii="Arial" w:hAnsi="Arial" w:cs="Arial"/>
        </w:rPr>
      </w:pPr>
      <w:r w:rsidRPr="00D5142C">
        <w:rPr>
          <w:rFonts w:ascii="Arial" w:hAnsi="Arial" w:cs="Arial"/>
        </w:rPr>
        <w:t xml:space="preserve">Change management enables digital transformation but introduces internal challenges </w:t>
      </w:r>
    </w:p>
    <w:p w14:paraId="4E7EB1B6" w14:textId="4B2B5BD6" w:rsidR="007F0654" w:rsidRPr="00D5142C" w:rsidRDefault="007F0654" w:rsidP="00A9629B">
      <w:pPr>
        <w:spacing w:line="360" w:lineRule="auto"/>
        <w:jc w:val="both"/>
        <w:rPr>
          <w:rFonts w:ascii="Arial" w:hAnsi="Arial" w:cs="Arial"/>
        </w:rPr>
      </w:pPr>
      <w:r w:rsidRPr="00D5142C">
        <w:rPr>
          <w:rFonts w:ascii="Arial" w:hAnsi="Arial" w:cs="Arial"/>
        </w:rPr>
        <w:t>The long-term success of Sainsbury’s depends on its ability to align strategy with execution. While its hybrid model and omnichannel capabilities provide a strong competitive position, sustained advantage will require continuous cost control, digital innovation, and strategic clarity in its business portfolio.</w:t>
      </w:r>
      <w:r w:rsidR="00682523" w:rsidRPr="00D5142C">
        <w:rPr>
          <w:rFonts w:ascii="Arial" w:hAnsi="Arial" w:cs="Arial"/>
        </w:rPr>
        <w:t xml:space="preserve"> </w:t>
      </w:r>
      <w:r w:rsidR="00682523" w:rsidRPr="00D5142C">
        <w:rPr>
          <w:rFonts w:ascii="Arial" w:hAnsi="Arial" w:cs="Arial"/>
        </w:rPr>
        <w:t>This is important because Sainsbury’s must balance cost and quality carefully. If it fails, it risks losing customers to both premium and discount competitors.</w:t>
      </w:r>
    </w:p>
    <w:p w14:paraId="3E630C72" w14:textId="2EB9B23A" w:rsidR="007F0654" w:rsidRPr="00A9629B" w:rsidRDefault="007F0654" w:rsidP="00FE68C3">
      <w:pPr>
        <w:pStyle w:val="Heading1"/>
      </w:pPr>
      <w:bookmarkStart w:id="18" w:name="_Toc228488655"/>
      <w:r w:rsidRPr="00A9629B">
        <w:t>6. Strategic Evaluation &amp; Recommendations – Sainsbury’s</w:t>
      </w:r>
      <w:bookmarkEnd w:id="18"/>
      <w:r w:rsidRPr="00A9629B">
        <w:t xml:space="preserve"> </w:t>
      </w:r>
    </w:p>
    <w:p w14:paraId="72A135DB" w14:textId="3F875D7D" w:rsidR="007F0654" w:rsidRPr="00FE68C3" w:rsidRDefault="007F0654" w:rsidP="00FE68C3">
      <w:pPr>
        <w:pStyle w:val="Heading2"/>
      </w:pPr>
      <w:bookmarkStart w:id="19" w:name="_Toc228488656"/>
      <w:r w:rsidRPr="00FE68C3">
        <w:rPr>
          <w:rStyle w:val="Heading2Char"/>
          <w:b/>
        </w:rPr>
        <w:t>6.1 SWOT Analysis</w:t>
      </w:r>
      <w:bookmarkEnd w:id="19"/>
      <w:r w:rsidRPr="00FE68C3">
        <w:t xml:space="preserve"> </w:t>
      </w:r>
    </w:p>
    <w:p w14:paraId="1E732635" w14:textId="77777777" w:rsidR="00D5142C" w:rsidRPr="00D5142C" w:rsidRDefault="00D5142C" w:rsidP="00D5142C">
      <w:pPr>
        <w:spacing w:line="360" w:lineRule="auto"/>
        <w:jc w:val="both"/>
        <w:rPr>
          <w:rFonts w:ascii="Arial" w:hAnsi="Arial" w:cs="Arial"/>
        </w:rPr>
      </w:pPr>
      <w:r w:rsidRPr="00D5142C">
        <w:rPr>
          <w:rFonts w:ascii="Arial" w:hAnsi="Arial" w:cs="Arial"/>
        </w:rPr>
        <w:t>Sainsbury’s strategic position can be evaluated using a SWOT analysis based on recent company reports and industry data.</w:t>
      </w:r>
    </w:p>
    <w:p w14:paraId="428D71C1" w14:textId="77777777" w:rsidR="00D5142C" w:rsidRPr="00D5142C" w:rsidRDefault="00D5142C" w:rsidP="00D5142C">
      <w:pPr>
        <w:spacing w:line="360" w:lineRule="auto"/>
        <w:jc w:val="both"/>
        <w:rPr>
          <w:rFonts w:ascii="Arial" w:hAnsi="Arial" w:cs="Arial"/>
        </w:rPr>
      </w:pPr>
      <w:r w:rsidRPr="00D5142C">
        <w:rPr>
          <w:rFonts w:ascii="Arial" w:hAnsi="Arial" w:cs="Arial"/>
          <w:b/>
          <w:bCs/>
        </w:rPr>
        <w:lastRenderedPageBreak/>
        <w:t>Strengths:</w:t>
      </w:r>
      <w:r w:rsidRPr="00D5142C">
        <w:rPr>
          <w:rFonts w:ascii="Arial" w:hAnsi="Arial" w:cs="Arial"/>
        </w:rPr>
        <w:br/>
        <w:t>Sainsbury’s has a strong brand reputation in the UK grocery market, supported by its focus on quality and customer trust. According to J Sainsbury plc (2025), the company has continued to grow its customer base through loyalty programmes such as Nectar and improved product ranges. Its well-developed omnichannel system, combining physical stores with online delivery, also strengthens its market position.</w:t>
      </w:r>
    </w:p>
    <w:p w14:paraId="4751E349" w14:textId="77777777" w:rsidR="00D5142C" w:rsidRPr="00D5142C" w:rsidRDefault="00D5142C" w:rsidP="00D5142C">
      <w:pPr>
        <w:spacing w:line="360" w:lineRule="auto"/>
        <w:jc w:val="both"/>
        <w:rPr>
          <w:rFonts w:ascii="Arial" w:hAnsi="Arial" w:cs="Arial"/>
        </w:rPr>
      </w:pPr>
      <w:r w:rsidRPr="00D5142C">
        <w:rPr>
          <w:rFonts w:ascii="Arial" w:hAnsi="Arial" w:cs="Arial"/>
          <w:b/>
          <w:bCs/>
        </w:rPr>
        <w:t>Weaknesses:</w:t>
      </w:r>
      <w:r w:rsidRPr="00D5142C">
        <w:rPr>
          <w:rFonts w:ascii="Arial" w:hAnsi="Arial" w:cs="Arial"/>
        </w:rPr>
        <w:br/>
        <w:t>Despite its strengths, Sainsbury’s faces challenges related to pricing. The company operates with relatively higher costs compared to discount retailers, which limits its ability to compete purely on price. Rising operating costs and margin pressure have been highlighted in recent financial reports (J Sainsbury plc, 2025).</w:t>
      </w:r>
    </w:p>
    <w:p w14:paraId="2B89501F" w14:textId="77777777" w:rsidR="00D5142C" w:rsidRPr="00D5142C" w:rsidRDefault="00D5142C" w:rsidP="00D5142C">
      <w:pPr>
        <w:spacing w:line="360" w:lineRule="auto"/>
        <w:jc w:val="both"/>
        <w:rPr>
          <w:rFonts w:ascii="Arial" w:hAnsi="Arial" w:cs="Arial"/>
        </w:rPr>
      </w:pPr>
      <w:r w:rsidRPr="00D5142C">
        <w:rPr>
          <w:rFonts w:ascii="Arial" w:hAnsi="Arial" w:cs="Arial"/>
          <w:b/>
          <w:bCs/>
        </w:rPr>
        <w:t>Opportunities:</w:t>
      </w:r>
      <w:r w:rsidRPr="00D5142C">
        <w:rPr>
          <w:rFonts w:ascii="Arial" w:hAnsi="Arial" w:cs="Arial"/>
        </w:rPr>
        <w:br/>
        <w:t>There are significant opportunities for growth in online grocery and digital retail. Increasing consumer preference for convenience and home delivery allows Sainsbury’s to expand its digital services. Data from Statista (2024) shows continued growth in online grocery shopping in the UK, which supports this opportunity.</w:t>
      </w:r>
    </w:p>
    <w:p w14:paraId="22088DA4" w14:textId="5912978B" w:rsidR="007F0654" w:rsidRPr="00A9629B" w:rsidRDefault="00D5142C" w:rsidP="00A9629B">
      <w:pPr>
        <w:spacing w:line="360" w:lineRule="auto"/>
        <w:jc w:val="both"/>
        <w:rPr>
          <w:rFonts w:ascii="Arial" w:hAnsi="Arial" w:cs="Arial"/>
        </w:rPr>
      </w:pPr>
      <w:r w:rsidRPr="00D5142C">
        <w:rPr>
          <w:rFonts w:ascii="Arial" w:hAnsi="Arial" w:cs="Arial"/>
          <w:b/>
          <w:bCs/>
        </w:rPr>
        <w:t>Threats:</w:t>
      </w:r>
      <w:r w:rsidRPr="00D5142C">
        <w:rPr>
          <w:rFonts w:ascii="Arial" w:hAnsi="Arial" w:cs="Arial"/>
        </w:rPr>
        <w:br/>
        <w:t>The biggest threat comes from intense competition, particularly from low-cost retailers such as Aldi and Lidl. These competitors attract price-sensitive customers, especially during periods of inflation and economic uncertainty. According to Reuters (2026), rising living costs have pushed many consumers toward cheaper alternatives, increasing competitive pressure on traditional supermarkets.</w:t>
      </w:r>
      <w:r w:rsidRPr="00D5142C">
        <w:rPr>
          <w:rFonts w:ascii="Arial" w:hAnsi="Arial" w:cs="Arial"/>
        </w:rPr>
        <w:br/>
        <w:t>This analysis shows that Sainsbury’s must carefully balance price and quality. While its strong brand and digital capabilities provide advantages, ongoing price competition means that improving cost efficiency is essential for maintaining competitiveness.</w:t>
      </w:r>
    </w:p>
    <w:p w14:paraId="3CB40218" w14:textId="68CC1427" w:rsidR="007F0654" w:rsidRPr="00A9629B" w:rsidRDefault="007F0654" w:rsidP="00FE68C3">
      <w:pPr>
        <w:pStyle w:val="Heading2"/>
      </w:pPr>
      <w:bookmarkStart w:id="20" w:name="_Toc228488657"/>
      <w:r w:rsidRPr="00A9629B">
        <w:t>6.2 Strategy Evaluation Tools – Ansoff Matrix</w:t>
      </w:r>
      <w:bookmarkEnd w:id="20"/>
      <w:r w:rsidRPr="00A9629B">
        <w:t xml:space="preserve"> </w:t>
      </w:r>
    </w:p>
    <w:p w14:paraId="60C1248A" w14:textId="4260AFCB" w:rsidR="007F0654" w:rsidRPr="00D5142C" w:rsidRDefault="007F0654" w:rsidP="00A9629B">
      <w:pPr>
        <w:spacing w:line="360" w:lineRule="auto"/>
        <w:jc w:val="both"/>
        <w:rPr>
          <w:rFonts w:ascii="Arial" w:hAnsi="Arial" w:cs="Arial"/>
        </w:rPr>
      </w:pPr>
      <w:r w:rsidRPr="00D5142C">
        <w:rPr>
          <w:rFonts w:ascii="Arial" w:hAnsi="Arial" w:cs="Arial"/>
        </w:rPr>
        <w:t>Using the Ansoff Matrix (1957), Sainsbury’s strategy can be evaluated across growth dimensions:</w:t>
      </w:r>
    </w:p>
    <w:p w14:paraId="235C325B" w14:textId="77777777" w:rsidR="003F0A66" w:rsidRDefault="007F0654" w:rsidP="00A9629B">
      <w:pPr>
        <w:spacing w:line="360" w:lineRule="auto"/>
        <w:jc w:val="both"/>
        <w:rPr>
          <w:rFonts w:ascii="Arial" w:hAnsi="Arial" w:cs="Arial"/>
          <w:b/>
          <w:bCs/>
        </w:rPr>
      </w:pPr>
      <w:r w:rsidRPr="00A9629B">
        <w:rPr>
          <w:rFonts w:ascii="Arial" w:hAnsi="Arial" w:cs="Arial"/>
          <w:b/>
          <w:bCs/>
        </w:rPr>
        <w:t>Market Penetration (Existing Market, Existing Products):</w:t>
      </w:r>
    </w:p>
    <w:p w14:paraId="6CA3A975" w14:textId="2304A434" w:rsidR="007F0654" w:rsidRPr="00D5142C" w:rsidRDefault="007F0654" w:rsidP="00A9629B">
      <w:pPr>
        <w:spacing w:line="360" w:lineRule="auto"/>
        <w:jc w:val="both"/>
        <w:rPr>
          <w:rFonts w:ascii="Arial" w:hAnsi="Arial" w:cs="Arial"/>
        </w:rPr>
      </w:pPr>
      <w:r w:rsidRPr="00D5142C">
        <w:rPr>
          <w:rFonts w:ascii="Arial" w:hAnsi="Arial" w:cs="Arial"/>
        </w:rPr>
        <w:lastRenderedPageBreak/>
        <w:t>Sainsbury’s focuses heavily on penetration through price-matching (Aldi Price Match) and loyalty schemes (Nectar Prices). This has driven market share growth for consecutive years.</w:t>
      </w:r>
    </w:p>
    <w:p w14:paraId="5DA8D9D9" w14:textId="029C5EEE" w:rsidR="007F0654" w:rsidRPr="00D5142C" w:rsidRDefault="007F0654" w:rsidP="00A9629B">
      <w:pPr>
        <w:spacing w:line="360" w:lineRule="auto"/>
        <w:jc w:val="both"/>
        <w:rPr>
          <w:rFonts w:ascii="Arial" w:hAnsi="Arial" w:cs="Arial"/>
        </w:rPr>
      </w:pPr>
      <w:r w:rsidRPr="00D5142C">
        <w:rPr>
          <w:rFonts w:ascii="Arial" w:hAnsi="Arial" w:cs="Arial"/>
        </w:rPr>
        <w:t>While effective for short-term volume growth, this strategy intensifies price competition and margin pressure, making it financially unsustainable if overused.</w:t>
      </w:r>
    </w:p>
    <w:p w14:paraId="0DFDC218" w14:textId="77777777" w:rsidR="003F0A66" w:rsidRDefault="007F0654" w:rsidP="00A9629B">
      <w:pPr>
        <w:spacing w:line="360" w:lineRule="auto"/>
        <w:jc w:val="both"/>
        <w:rPr>
          <w:rFonts w:ascii="Arial" w:hAnsi="Arial" w:cs="Arial"/>
          <w:b/>
          <w:bCs/>
        </w:rPr>
      </w:pPr>
      <w:r w:rsidRPr="00A9629B">
        <w:rPr>
          <w:rFonts w:ascii="Arial" w:hAnsi="Arial" w:cs="Arial"/>
          <w:b/>
          <w:bCs/>
        </w:rPr>
        <w:t>Product Development (New Products, Existing Market):</w:t>
      </w:r>
    </w:p>
    <w:p w14:paraId="31BA4CD9" w14:textId="5B0BCFA2" w:rsidR="007F0654" w:rsidRPr="00A9629B" w:rsidRDefault="007F0654" w:rsidP="00A9629B">
      <w:pPr>
        <w:spacing w:line="360" w:lineRule="auto"/>
        <w:jc w:val="both"/>
        <w:rPr>
          <w:rFonts w:ascii="Arial" w:hAnsi="Arial" w:cs="Arial"/>
        </w:rPr>
      </w:pPr>
      <w:r w:rsidRPr="00A9629B">
        <w:rPr>
          <w:rFonts w:ascii="Arial" w:hAnsi="Arial" w:cs="Arial"/>
        </w:rPr>
        <w:t xml:space="preserve">Expansion of premium ranges (e.g., </w:t>
      </w:r>
      <w:r w:rsidRPr="00A9629B">
        <w:rPr>
          <w:rFonts w:ascii="Arial" w:hAnsi="Arial" w:cs="Arial"/>
          <w:i/>
          <w:iCs/>
        </w:rPr>
        <w:t>Taste the Difference</w:t>
      </w:r>
      <w:r w:rsidRPr="00A9629B">
        <w:rPr>
          <w:rFonts w:ascii="Arial" w:hAnsi="Arial" w:cs="Arial"/>
        </w:rPr>
        <w:t>) and sustainable product lines reflects differentiation strategy. Sales of premium products have increased significantly, indicating demand for quality.</w:t>
      </w:r>
    </w:p>
    <w:p w14:paraId="5322F3B4" w14:textId="43F288A8" w:rsidR="007F0654" w:rsidRPr="00A9629B" w:rsidRDefault="007F0654" w:rsidP="00A9629B">
      <w:pPr>
        <w:spacing w:line="360" w:lineRule="auto"/>
        <w:jc w:val="both"/>
        <w:rPr>
          <w:rFonts w:ascii="Arial" w:hAnsi="Arial" w:cs="Arial"/>
        </w:rPr>
      </w:pPr>
      <w:r w:rsidRPr="00A9629B">
        <w:rPr>
          <w:rFonts w:ascii="Arial" w:hAnsi="Arial" w:cs="Arial"/>
        </w:rPr>
        <w:t>This supports Sainsbury’s hybrid positioning by enhancing perceived value, allowing partial protection from price wars.</w:t>
      </w:r>
    </w:p>
    <w:p w14:paraId="7E0A7A6C" w14:textId="77777777" w:rsidR="00FE68C3" w:rsidRDefault="007F0654" w:rsidP="00A9629B">
      <w:pPr>
        <w:spacing w:line="360" w:lineRule="auto"/>
        <w:jc w:val="both"/>
        <w:rPr>
          <w:rFonts w:ascii="Arial" w:hAnsi="Arial" w:cs="Arial"/>
          <w:b/>
          <w:bCs/>
        </w:rPr>
      </w:pPr>
      <w:r w:rsidRPr="00A9629B">
        <w:rPr>
          <w:rFonts w:ascii="Arial" w:hAnsi="Arial" w:cs="Arial"/>
          <w:b/>
          <w:bCs/>
        </w:rPr>
        <w:t>Diversification (Related):</w:t>
      </w:r>
    </w:p>
    <w:p w14:paraId="7EEC162E" w14:textId="7307845B" w:rsidR="007F0654" w:rsidRPr="00A9629B" w:rsidRDefault="007F0654" w:rsidP="00A9629B">
      <w:pPr>
        <w:spacing w:line="360" w:lineRule="auto"/>
        <w:jc w:val="both"/>
        <w:rPr>
          <w:rFonts w:ascii="Arial" w:hAnsi="Arial" w:cs="Arial"/>
        </w:rPr>
      </w:pPr>
      <w:r w:rsidRPr="00A9629B">
        <w:rPr>
          <w:rFonts w:ascii="Arial" w:hAnsi="Arial" w:cs="Arial"/>
        </w:rPr>
        <w:t>Argos and financial services represent diversification, but recent performance suggests mixed results.</w:t>
      </w:r>
    </w:p>
    <w:p w14:paraId="421BE217" w14:textId="026D9278" w:rsidR="007F0654" w:rsidRPr="00D5142C" w:rsidRDefault="007F0654" w:rsidP="00A9629B">
      <w:pPr>
        <w:spacing w:line="360" w:lineRule="auto"/>
        <w:jc w:val="both"/>
        <w:rPr>
          <w:rFonts w:ascii="Arial" w:hAnsi="Arial" w:cs="Arial"/>
        </w:rPr>
      </w:pPr>
      <w:r w:rsidRPr="00D5142C">
        <w:rPr>
          <w:rFonts w:ascii="Arial" w:hAnsi="Arial" w:cs="Arial"/>
        </w:rPr>
        <w:t>This indicates that Sainsbury’s should prioritise core competencies (food retail + digital) rather than expanding into underperforming segments.</w:t>
      </w:r>
    </w:p>
    <w:p w14:paraId="3EF22E5A" w14:textId="77777777" w:rsidR="00FE68C3" w:rsidRDefault="007F0654" w:rsidP="00A9629B">
      <w:pPr>
        <w:spacing w:line="360" w:lineRule="auto"/>
        <w:jc w:val="both"/>
        <w:rPr>
          <w:rFonts w:ascii="Arial" w:hAnsi="Arial" w:cs="Arial"/>
          <w:b/>
          <w:bCs/>
        </w:rPr>
      </w:pPr>
      <w:r w:rsidRPr="00A9629B">
        <w:rPr>
          <w:rFonts w:ascii="Arial" w:hAnsi="Arial" w:cs="Arial"/>
          <w:b/>
          <w:bCs/>
        </w:rPr>
        <w:t>Overall Evaluation:</w:t>
      </w:r>
    </w:p>
    <w:p w14:paraId="42BD5E1A" w14:textId="6BE8FBD3" w:rsidR="007F0654" w:rsidRPr="00A9629B" w:rsidRDefault="007F0654" w:rsidP="00A9629B">
      <w:pPr>
        <w:spacing w:line="360" w:lineRule="auto"/>
        <w:jc w:val="both"/>
        <w:rPr>
          <w:rFonts w:ascii="Arial" w:hAnsi="Arial" w:cs="Arial"/>
        </w:rPr>
      </w:pPr>
      <w:r w:rsidRPr="00A9629B">
        <w:rPr>
          <w:rFonts w:ascii="Arial" w:hAnsi="Arial" w:cs="Arial"/>
        </w:rPr>
        <w:t xml:space="preserve">Sainsbury’s relies </w:t>
      </w:r>
      <w:r w:rsidRPr="00D5142C">
        <w:rPr>
          <w:rFonts w:ascii="Arial" w:hAnsi="Arial" w:cs="Arial"/>
        </w:rPr>
        <w:t>heavily on market penetration, which is effective but risky. A more balanced strategy (penetration + product development) is</w:t>
      </w:r>
      <w:r w:rsidRPr="00A9629B">
        <w:rPr>
          <w:rFonts w:ascii="Arial" w:hAnsi="Arial" w:cs="Arial"/>
        </w:rPr>
        <w:t xml:space="preserve"> required for sustainable growth.</w:t>
      </w:r>
    </w:p>
    <w:p w14:paraId="449607F1" w14:textId="15F14BE6" w:rsidR="007F0654" w:rsidRPr="00A9629B" w:rsidRDefault="007F0654" w:rsidP="00FE68C3">
      <w:pPr>
        <w:pStyle w:val="Heading2"/>
      </w:pPr>
      <w:bookmarkStart w:id="21" w:name="_Toc228488658"/>
      <w:r w:rsidRPr="00A9629B">
        <w:t>6.3 Recommendations</w:t>
      </w:r>
      <w:bookmarkEnd w:id="21"/>
      <w:r w:rsidRPr="00A9629B">
        <w:t xml:space="preserve"> </w:t>
      </w:r>
    </w:p>
    <w:p w14:paraId="4ABB74C1" w14:textId="2FBEE951" w:rsidR="007F0654" w:rsidRPr="00A9629B" w:rsidRDefault="00AC30B2" w:rsidP="00A9629B">
      <w:pPr>
        <w:spacing w:line="360" w:lineRule="auto"/>
        <w:jc w:val="both"/>
        <w:rPr>
          <w:rFonts w:ascii="Arial" w:hAnsi="Arial" w:cs="Arial"/>
        </w:rPr>
      </w:pPr>
      <w:r w:rsidRPr="00AC30B2">
        <w:rPr>
          <w:rFonts w:ascii="Arial" w:hAnsi="Arial" w:cs="Arial"/>
        </w:rPr>
        <w:t>The Ansoff Matrix (1957) suggests that market penetration and product development are key growth strategies, which aligns with Sainsbury’s focus on loyalty programmes and premium product expansion.</w:t>
      </w:r>
      <w:r>
        <w:rPr>
          <w:rFonts w:ascii="Arial" w:hAnsi="Arial" w:cs="Arial"/>
        </w:rPr>
        <w:t xml:space="preserve"> </w:t>
      </w:r>
      <w:r w:rsidR="007F0654" w:rsidRPr="00A9629B">
        <w:rPr>
          <w:rFonts w:ascii="Arial" w:hAnsi="Arial" w:cs="Arial"/>
        </w:rPr>
        <w:t>Based on the analysis, the following strategic recommendations are proposed:</w:t>
      </w:r>
    </w:p>
    <w:p w14:paraId="6A31422F" w14:textId="77777777" w:rsidR="00F10A42" w:rsidRPr="00D5142C" w:rsidRDefault="007F0654" w:rsidP="00A9629B">
      <w:pPr>
        <w:spacing w:line="360" w:lineRule="auto"/>
        <w:jc w:val="both"/>
        <w:rPr>
          <w:rFonts w:ascii="Arial" w:hAnsi="Arial" w:cs="Arial"/>
        </w:rPr>
      </w:pPr>
      <w:r w:rsidRPr="00D5142C">
        <w:rPr>
          <w:rFonts w:ascii="Arial" w:hAnsi="Arial" w:cs="Arial"/>
        </w:rPr>
        <w:t>1. Strengthen Cost Efficiency through Supply Chain Optimisation</w:t>
      </w:r>
      <w:r w:rsidRPr="00D5142C">
        <w:rPr>
          <w:rFonts w:ascii="Arial" w:hAnsi="Arial" w:cs="Arial"/>
        </w:rPr>
        <w:br/>
        <w:t>Sainsbury’s should invest further in automation, AI forecasting, and logistics efficiency. According to Porter (1985), cost efficiency is essential for sustaining competitive advantage.</w:t>
      </w:r>
    </w:p>
    <w:p w14:paraId="147ADF8A" w14:textId="28ED1570" w:rsidR="007F0654" w:rsidRPr="00D5142C" w:rsidRDefault="007F0654" w:rsidP="00A9629B">
      <w:pPr>
        <w:spacing w:line="360" w:lineRule="auto"/>
        <w:jc w:val="both"/>
        <w:rPr>
          <w:rFonts w:ascii="Arial" w:hAnsi="Arial" w:cs="Arial"/>
        </w:rPr>
      </w:pPr>
      <w:r w:rsidRPr="00D5142C">
        <w:rPr>
          <w:rFonts w:ascii="Arial" w:hAnsi="Arial" w:cs="Arial"/>
        </w:rPr>
        <w:lastRenderedPageBreak/>
        <w:t>Discounters outperform due to lean cost structures. Improving efficiency will protect margins while maintaining competitive pricing.</w:t>
      </w:r>
    </w:p>
    <w:p w14:paraId="48DE794A" w14:textId="764D427D" w:rsidR="007F0654" w:rsidRPr="00D5142C" w:rsidRDefault="007F0654" w:rsidP="00A9629B">
      <w:pPr>
        <w:spacing w:line="360" w:lineRule="auto"/>
        <w:jc w:val="both"/>
        <w:rPr>
          <w:rFonts w:ascii="Arial" w:hAnsi="Arial" w:cs="Arial"/>
        </w:rPr>
      </w:pPr>
      <w:r w:rsidRPr="00D5142C">
        <w:rPr>
          <w:rFonts w:ascii="Arial" w:hAnsi="Arial" w:cs="Arial"/>
        </w:rPr>
        <w:t>2. Expand and Differentiate Online &amp; Omnichannel Services</w:t>
      </w:r>
      <w:r w:rsidRPr="00D5142C">
        <w:rPr>
          <w:rFonts w:ascii="Arial" w:hAnsi="Arial" w:cs="Arial"/>
        </w:rPr>
        <w:br/>
        <w:t>The company should enhance same-day delivery, click-and-collect, and digital personalisation.</w:t>
      </w:r>
      <w:r w:rsidRPr="00D5142C">
        <w:rPr>
          <w:rFonts w:ascii="Arial" w:hAnsi="Arial" w:cs="Arial"/>
        </w:rPr>
        <w:br/>
        <w:t>Online grocery is rapidly growing and reshaping consumer behaviour . This aligns with Ansoff’s market development strategy and strengthens customer retention.</w:t>
      </w:r>
    </w:p>
    <w:p w14:paraId="59084037" w14:textId="77777777" w:rsidR="00FE68C3" w:rsidRPr="00D5142C" w:rsidRDefault="007F0654" w:rsidP="00A9629B">
      <w:pPr>
        <w:spacing w:line="360" w:lineRule="auto"/>
        <w:jc w:val="both"/>
        <w:rPr>
          <w:rFonts w:ascii="Arial" w:hAnsi="Arial" w:cs="Arial"/>
        </w:rPr>
      </w:pPr>
      <w:r w:rsidRPr="00D5142C">
        <w:rPr>
          <w:rFonts w:ascii="Arial" w:hAnsi="Arial" w:cs="Arial"/>
        </w:rPr>
        <w:t>3. Focus on Value Differentiation (Quality + Sustainability)</w:t>
      </w:r>
      <w:r w:rsidRPr="00D5142C">
        <w:rPr>
          <w:rFonts w:ascii="Arial" w:hAnsi="Arial" w:cs="Arial"/>
        </w:rPr>
        <w:br/>
        <w:t>Sainsbury’s should continue investing in premium and sustainable products, reinforcing its brand identity.</w:t>
      </w:r>
    </w:p>
    <w:p w14:paraId="19DFE2A7" w14:textId="19322A1C" w:rsidR="007F0654" w:rsidRPr="00D5142C" w:rsidRDefault="007F0654" w:rsidP="00A9629B">
      <w:pPr>
        <w:spacing w:line="360" w:lineRule="auto"/>
        <w:jc w:val="both"/>
        <w:rPr>
          <w:rFonts w:ascii="Arial" w:hAnsi="Arial" w:cs="Arial"/>
        </w:rPr>
      </w:pPr>
      <w:r w:rsidRPr="00D5142C">
        <w:rPr>
          <w:rFonts w:ascii="Arial" w:hAnsi="Arial" w:cs="Arial"/>
        </w:rPr>
        <w:t>Differentiation reduces direct price competition and increases customer loyalty (Porter, 1985). Premium product growth supports this approach.</w:t>
      </w:r>
    </w:p>
    <w:p w14:paraId="6113E823" w14:textId="77777777" w:rsidR="00F10A42" w:rsidRPr="00D5142C" w:rsidRDefault="007F0654" w:rsidP="00A9629B">
      <w:pPr>
        <w:spacing w:line="360" w:lineRule="auto"/>
        <w:jc w:val="both"/>
        <w:rPr>
          <w:rFonts w:ascii="Arial" w:hAnsi="Arial" w:cs="Arial"/>
        </w:rPr>
      </w:pPr>
      <w:r w:rsidRPr="00D5142C">
        <w:rPr>
          <w:rFonts w:ascii="Arial" w:hAnsi="Arial" w:cs="Arial"/>
        </w:rPr>
        <w:t>4. Rationalise Corporate Portfolio (Refocus on Core Retail)</w:t>
      </w:r>
      <w:r w:rsidRPr="00D5142C">
        <w:rPr>
          <w:rFonts w:ascii="Arial" w:hAnsi="Arial" w:cs="Arial"/>
        </w:rPr>
        <w:br/>
        <w:t>Sainsbury’s should streamline underperforming divisions (e.g., Argos restructuring) and focus on high-performing segments.</w:t>
      </w:r>
    </w:p>
    <w:p w14:paraId="3169CB9B" w14:textId="596F104F" w:rsidR="007F0654" w:rsidRPr="00D5142C" w:rsidRDefault="007F0654" w:rsidP="00A9629B">
      <w:pPr>
        <w:spacing w:line="360" w:lineRule="auto"/>
        <w:jc w:val="both"/>
        <w:rPr>
          <w:rFonts w:ascii="Arial" w:hAnsi="Arial" w:cs="Arial"/>
        </w:rPr>
      </w:pPr>
      <w:r w:rsidRPr="00D5142C">
        <w:rPr>
          <w:rFonts w:ascii="Arial" w:hAnsi="Arial" w:cs="Arial"/>
        </w:rPr>
        <w:t>Corporate strategy theory emphasises resource allocation efficiency. Weak diversification reduces overall strategic effectiveness.</w:t>
      </w:r>
      <w:r w:rsidRPr="00D5142C">
        <w:rPr>
          <w:rFonts w:ascii="Arial" w:hAnsi="Arial" w:cs="Arial"/>
        </w:rPr>
        <w:br/>
        <w:t>Sainsbury’s strategy is effective but under pressure. The key issue is strategic balance:</w:t>
      </w:r>
    </w:p>
    <w:p w14:paraId="42B4C61C" w14:textId="77777777" w:rsidR="007F0654" w:rsidRPr="00D5142C" w:rsidRDefault="007F0654" w:rsidP="00A9629B">
      <w:pPr>
        <w:numPr>
          <w:ilvl w:val="0"/>
          <w:numId w:val="7"/>
        </w:numPr>
        <w:spacing w:line="360" w:lineRule="auto"/>
        <w:jc w:val="both"/>
        <w:rPr>
          <w:rFonts w:ascii="Arial" w:hAnsi="Arial" w:cs="Arial"/>
        </w:rPr>
      </w:pPr>
      <w:r w:rsidRPr="00D5142C">
        <w:rPr>
          <w:rFonts w:ascii="Arial" w:hAnsi="Arial" w:cs="Arial"/>
        </w:rPr>
        <w:t xml:space="preserve">Too much focus on price → margin erosion </w:t>
      </w:r>
    </w:p>
    <w:p w14:paraId="2C2100FB" w14:textId="77777777" w:rsidR="007F0654" w:rsidRPr="00D5142C" w:rsidRDefault="007F0654" w:rsidP="00A9629B">
      <w:pPr>
        <w:numPr>
          <w:ilvl w:val="0"/>
          <w:numId w:val="7"/>
        </w:numPr>
        <w:spacing w:line="360" w:lineRule="auto"/>
        <w:jc w:val="both"/>
        <w:rPr>
          <w:rFonts w:ascii="Arial" w:hAnsi="Arial" w:cs="Arial"/>
        </w:rPr>
      </w:pPr>
      <w:r w:rsidRPr="00D5142C">
        <w:rPr>
          <w:rFonts w:ascii="Arial" w:hAnsi="Arial" w:cs="Arial"/>
        </w:rPr>
        <w:t xml:space="preserve">Too much focus on quality → loss of price-sensitive customers </w:t>
      </w:r>
    </w:p>
    <w:p w14:paraId="092F6ABD" w14:textId="03968CA2" w:rsidR="007F0654" w:rsidRPr="00D5142C" w:rsidRDefault="007F0654" w:rsidP="00A9629B">
      <w:pPr>
        <w:spacing w:line="360" w:lineRule="auto"/>
        <w:jc w:val="both"/>
        <w:rPr>
          <w:rFonts w:ascii="Arial" w:hAnsi="Arial" w:cs="Arial"/>
        </w:rPr>
      </w:pPr>
      <w:r w:rsidRPr="00D5142C">
        <w:rPr>
          <w:rFonts w:ascii="Arial" w:hAnsi="Arial" w:cs="Arial"/>
        </w:rPr>
        <w:t>Therefore, sustainable success depends on achieving “efficient differentiation”—combining cost control with strong brand value and digital innovation.</w:t>
      </w:r>
      <w:r w:rsidR="00682523" w:rsidRPr="00D5142C">
        <w:rPr>
          <w:rFonts w:ascii="Arial" w:hAnsi="Arial" w:cs="Arial"/>
        </w:rPr>
        <w:t xml:space="preserve"> </w:t>
      </w:r>
      <w:r w:rsidR="00682523" w:rsidRPr="00D5142C">
        <w:rPr>
          <w:rFonts w:ascii="Arial" w:hAnsi="Arial" w:cs="Arial"/>
        </w:rPr>
        <w:t>This is important because these actions can help Sainsbury’s improve efficiency, stay competitive, and achieve long-term growth.</w:t>
      </w:r>
    </w:p>
    <w:p w14:paraId="32E48D05" w14:textId="58145859" w:rsidR="007F0654" w:rsidRPr="00A9629B" w:rsidRDefault="007F0654" w:rsidP="009B703F">
      <w:pPr>
        <w:pStyle w:val="Title"/>
      </w:pPr>
      <w:bookmarkStart w:id="22" w:name="_Toc228488659"/>
      <w:r w:rsidRPr="00A9629B">
        <w:t>SECTION 2: REFLECTIVE ACCOUNT</w:t>
      </w:r>
      <w:bookmarkEnd w:id="22"/>
      <w:r w:rsidRPr="00A9629B">
        <w:t xml:space="preserve"> </w:t>
      </w:r>
    </w:p>
    <w:p w14:paraId="0502D0F0" w14:textId="77777777" w:rsidR="007F0654" w:rsidRPr="00A9629B" w:rsidRDefault="007F0654" w:rsidP="00A9629B">
      <w:pPr>
        <w:spacing w:line="360" w:lineRule="auto"/>
        <w:jc w:val="both"/>
        <w:rPr>
          <w:rFonts w:ascii="Arial" w:hAnsi="Arial" w:cs="Arial"/>
        </w:rPr>
      </w:pPr>
      <w:r w:rsidRPr="00A9629B">
        <w:rPr>
          <w:rFonts w:ascii="Arial" w:hAnsi="Arial" w:cs="Arial"/>
          <w:b/>
          <w:bCs/>
        </w:rPr>
        <w:t>Framework: Gibbs Reflective Cycle (1988)</w:t>
      </w:r>
    </w:p>
    <w:p w14:paraId="58162BAD" w14:textId="75BB31FC" w:rsidR="007F0654" w:rsidRPr="00A9629B" w:rsidRDefault="007F0654" w:rsidP="00A9629B">
      <w:pPr>
        <w:spacing w:line="360" w:lineRule="auto"/>
        <w:jc w:val="both"/>
        <w:rPr>
          <w:rFonts w:ascii="Arial" w:hAnsi="Arial" w:cs="Arial"/>
        </w:rPr>
      </w:pPr>
      <w:r w:rsidRPr="00A9629B">
        <w:rPr>
          <w:rFonts w:ascii="Arial" w:hAnsi="Arial" w:cs="Arial"/>
        </w:rPr>
        <w:t xml:space="preserve">Gibbs’ </w:t>
      </w:r>
      <w:r w:rsidRPr="00D5142C">
        <w:rPr>
          <w:rFonts w:ascii="Arial" w:hAnsi="Arial" w:cs="Arial"/>
        </w:rPr>
        <w:t>Reflective Cycle provides a structured six-stage framework (description</w:t>
      </w:r>
      <w:r w:rsidRPr="00A9629B">
        <w:rPr>
          <w:rFonts w:ascii="Arial" w:hAnsi="Arial" w:cs="Arial"/>
        </w:rPr>
        <w:t xml:space="preserve">, feelings, evaluation, analysis, conclusion, action plan) to critically analyse experiences </w:t>
      </w:r>
      <w:r w:rsidRPr="00A9629B">
        <w:rPr>
          <w:rFonts w:ascii="Arial" w:hAnsi="Arial" w:cs="Arial"/>
        </w:rPr>
        <w:lastRenderedPageBreak/>
        <w:t>and improve future performance. This reflective account applies the model to the development of the Sainsbury’s strategic management assignment.</w:t>
      </w:r>
    </w:p>
    <w:p w14:paraId="586B6437" w14:textId="06B5E170" w:rsidR="007F0654" w:rsidRPr="00FE68C3" w:rsidRDefault="007F0654" w:rsidP="00FE68C3">
      <w:pPr>
        <w:pStyle w:val="Heading1"/>
      </w:pPr>
      <w:bookmarkStart w:id="23" w:name="_Toc228488660"/>
      <w:r w:rsidRPr="00A9629B">
        <w:t>1. Description</w:t>
      </w:r>
      <w:bookmarkEnd w:id="23"/>
      <w:r w:rsidRPr="00A9629B">
        <w:t xml:space="preserve"> </w:t>
      </w:r>
    </w:p>
    <w:p w14:paraId="2AF0885E" w14:textId="77777777" w:rsidR="007F0654" w:rsidRPr="00D5142C" w:rsidRDefault="007F0654" w:rsidP="00A9629B">
      <w:pPr>
        <w:spacing w:line="360" w:lineRule="auto"/>
        <w:jc w:val="both"/>
        <w:rPr>
          <w:rFonts w:ascii="Arial" w:hAnsi="Arial" w:cs="Arial"/>
        </w:rPr>
      </w:pPr>
      <w:r w:rsidRPr="00D5142C">
        <w:rPr>
          <w:rFonts w:ascii="Arial" w:hAnsi="Arial" w:cs="Arial"/>
        </w:rPr>
        <w:t>This assignment involved conducting a comprehensive strategic analysis of Sainsbury’s, focusing on both internal and external environments. I applied multiple strategic frameworks, including PESTEL, VRIO, SWOT, Balanced Scorecard, and Ansoff Matrix, to evaluate the company’s competitive position in the UK grocery market.</w:t>
      </w:r>
    </w:p>
    <w:p w14:paraId="68AC57B0" w14:textId="77777777" w:rsidR="007F0654" w:rsidRPr="00D5142C" w:rsidRDefault="007F0654" w:rsidP="00A9629B">
      <w:pPr>
        <w:spacing w:line="360" w:lineRule="auto"/>
        <w:jc w:val="both"/>
        <w:rPr>
          <w:rFonts w:ascii="Arial" w:hAnsi="Arial" w:cs="Arial"/>
        </w:rPr>
      </w:pPr>
      <w:r w:rsidRPr="00D5142C">
        <w:rPr>
          <w:rFonts w:ascii="Arial" w:hAnsi="Arial" w:cs="Arial"/>
        </w:rPr>
        <w:t>The process required gathering recent data (last 5 years) from annual reports, industry sources, and academic literature. I analysed Sainsbury’s strategy in relation to competitors such as Tesco and Aldi, particularly focusing on price competition and digital transformation.</w:t>
      </w:r>
    </w:p>
    <w:p w14:paraId="36ACD71A" w14:textId="77777777" w:rsidR="007F0654" w:rsidRPr="00A9629B" w:rsidRDefault="007F0654" w:rsidP="00A9629B">
      <w:pPr>
        <w:spacing w:line="360" w:lineRule="auto"/>
        <w:jc w:val="both"/>
        <w:rPr>
          <w:rFonts w:ascii="Arial" w:hAnsi="Arial" w:cs="Arial"/>
        </w:rPr>
      </w:pPr>
      <w:r w:rsidRPr="00A9629B">
        <w:rPr>
          <w:rFonts w:ascii="Arial" w:hAnsi="Arial" w:cs="Arial"/>
        </w:rPr>
        <w:t>The assignment also involved critically evaluating CSR initiatives and strategic choices, followed by developing recommendations aligned with theory.</w:t>
      </w:r>
    </w:p>
    <w:p w14:paraId="1FC4C3F5" w14:textId="6DEDB26B" w:rsidR="007F0654" w:rsidRPr="00A9629B" w:rsidRDefault="007F0654" w:rsidP="00A9629B">
      <w:pPr>
        <w:spacing w:line="360" w:lineRule="auto"/>
        <w:jc w:val="both"/>
        <w:rPr>
          <w:rFonts w:ascii="Arial" w:hAnsi="Arial" w:cs="Arial"/>
        </w:rPr>
      </w:pPr>
      <w:r w:rsidRPr="00A9629B">
        <w:rPr>
          <w:rFonts w:ascii="Arial" w:hAnsi="Arial" w:cs="Arial"/>
        </w:rPr>
        <w:t>This process was not just descriptive—it required linking theory to real-world strategy, helping me understand how strategic decisions directly impact organisational performance and competitiveness.</w:t>
      </w:r>
    </w:p>
    <w:p w14:paraId="080B91C7" w14:textId="7A257FCD" w:rsidR="007F0654" w:rsidRPr="00FE68C3" w:rsidRDefault="007F0654" w:rsidP="00FE68C3">
      <w:pPr>
        <w:pStyle w:val="Heading1"/>
      </w:pPr>
      <w:bookmarkStart w:id="24" w:name="_Toc228488661"/>
      <w:r w:rsidRPr="00A9629B">
        <w:t>2. Feelings</w:t>
      </w:r>
      <w:bookmarkEnd w:id="24"/>
      <w:r w:rsidRPr="00A9629B">
        <w:t xml:space="preserve"> </w:t>
      </w:r>
    </w:p>
    <w:p w14:paraId="3EE42A9A" w14:textId="77777777" w:rsidR="007F0654" w:rsidRPr="00D5142C" w:rsidRDefault="007F0654" w:rsidP="00A9629B">
      <w:pPr>
        <w:spacing w:line="360" w:lineRule="auto"/>
        <w:jc w:val="both"/>
        <w:rPr>
          <w:rFonts w:ascii="Arial" w:hAnsi="Arial" w:cs="Arial"/>
        </w:rPr>
      </w:pPr>
      <w:r w:rsidRPr="00D5142C">
        <w:rPr>
          <w:rFonts w:ascii="Arial" w:hAnsi="Arial" w:cs="Arial"/>
        </w:rPr>
        <w:t>Initially, I felt confident due to my background in business and research. However, as the assignment progressed, I experienced challenges, particularly in integrating theory with real-world data. Applying models such as VRIO and Balanced Scorecard required deeper critical thinking rather than simple description.</w:t>
      </w:r>
    </w:p>
    <w:p w14:paraId="52432F55" w14:textId="77777777" w:rsidR="007F0654" w:rsidRPr="00D5142C" w:rsidRDefault="007F0654" w:rsidP="00A9629B">
      <w:pPr>
        <w:spacing w:line="360" w:lineRule="auto"/>
        <w:jc w:val="both"/>
        <w:rPr>
          <w:rFonts w:ascii="Arial" w:hAnsi="Arial" w:cs="Arial"/>
        </w:rPr>
      </w:pPr>
      <w:r w:rsidRPr="00D5142C">
        <w:rPr>
          <w:rFonts w:ascii="Arial" w:hAnsi="Arial" w:cs="Arial"/>
        </w:rPr>
        <w:t>I also found it difficult to ensure that all analysis remained critical and evidence-based, especially when dealing with conflicting data sources about Sainsbury’s performance. The pressure to maintain Harvard referencing and academic integrity added to the complexity.</w:t>
      </w:r>
    </w:p>
    <w:p w14:paraId="767BC477" w14:textId="77777777" w:rsidR="007F0654" w:rsidRPr="00D5142C" w:rsidRDefault="007F0654" w:rsidP="00A9629B">
      <w:pPr>
        <w:spacing w:line="360" w:lineRule="auto"/>
        <w:jc w:val="both"/>
        <w:rPr>
          <w:rFonts w:ascii="Arial" w:hAnsi="Arial" w:cs="Arial"/>
        </w:rPr>
      </w:pPr>
      <w:r w:rsidRPr="00D5142C">
        <w:rPr>
          <w:rFonts w:ascii="Arial" w:hAnsi="Arial" w:cs="Arial"/>
        </w:rPr>
        <w:t>At the same time, I felt motivated when I successfully linked theoretical frameworks (e.g., Porter’s strategy) with real strategic actions such as price matching and loyalty programmes.</w:t>
      </w:r>
    </w:p>
    <w:p w14:paraId="052CFB5A" w14:textId="753DFE78" w:rsidR="007F0654" w:rsidRPr="00A9629B" w:rsidRDefault="007F0654" w:rsidP="00A9629B">
      <w:pPr>
        <w:spacing w:line="360" w:lineRule="auto"/>
        <w:jc w:val="both"/>
        <w:rPr>
          <w:rFonts w:ascii="Arial" w:hAnsi="Arial" w:cs="Arial"/>
        </w:rPr>
      </w:pPr>
      <w:r w:rsidRPr="00D5142C">
        <w:rPr>
          <w:rFonts w:ascii="Arial" w:hAnsi="Arial" w:cs="Arial"/>
        </w:rPr>
        <w:lastRenderedPageBreak/>
        <w:t>These feelings highlighted that strategic management is not straightforward—it requires analytical depth, critical judgement, and evidence-based reasoning, which are essential skills for real-world decision-making.</w:t>
      </w:r>
    </w:p>
    <w:p w14:paraId="5F460473" w14:textId="632A0362" w:rsidR="007F0654" w:rsidRPr="00FE68C3" w:rsidRDefault="007F0654" w:rsidP="00FE68C3">
      <w:pPr>
        <w:pStyle w:val="Heading1"/>
      </w:pPr>
      <w:bookmarkStart w:id="25" w:name="_Toc228488662"/>
      <w:r w:rsidRPr="00A9629B">
        <w:t>3. Evaluation</w:t>
      </w:r>
      <w:bookmarkEnd w:id="25"/>
      <w:r w:rsidRPr="00A9629B">
        <w:t xml:space="preserve"> </w:t>
      </w:r>
    </w:p>
    <w:p w14:paraId="1C25A68B" w14:textId="77777777" w:rsidR="007F0654" w:rsidRPr="00D5142C" w:rsidRDefault="007F0654" w:rsidP="00A9629B">
      <w:pPr>
        <w:spacing w:line="360" w:lineRule="auto"/>
        <w:jc w:val="both"/>
        <w:rPr>
          <w:rFonts w:ascii="Arial" w:hAnsi="Arial" w:cs="Arial"/>
        </w:rPr>
      </w:pPr>
      <w:r w:rsidRPr="00D5142C">
        <w:rPr>
          <w:rFonts w:ascii="Arial" w:hAnsi="Arial" w:cs="Arial"/>
        </w:rPr>
        <w:t>One of the strongest aspects of my work was the ability to apply multiple strategic models systematically. For example, integrating PESTEL with SWOT allowed me to connect macro-environmental factors (e.g., inflation) with internal challenges (e.g., margin pressure).</w:t>
      </w:r>
    </w:p>
    <w:p w14:paraId="6B72D226" w14:textId="77777777" w:rsidR="007F0654" w:rsidRPr="00D5142C" w:rsidRDefault="007F0654" w:rsidP="00A9629B">
      <w:pPr>
        <w:spacing w:line="360" w:lineRule="auto"/>
        <w:jc w:val="both"/>
        <w:rPr>
          <w:rFonts w:ascii="Arial" w:hAnsi="Arial" w:cs="Arial"/>
        </w:rPr>
      </w:pPr>
      <w:r w:rsidRPr="00D5142C">
        <w:rPr>
          <w:rFonts w:ascii="Arial" w:hAnsi="Arial" w:cs="Arial"/>
        </w:rPr>
        <w:t>Additionally, I successfully used recent company data and reports, which improved the credibility of the analysis. My ability to critically evaluate CSR (rather than describing it) was another strength, as I addressed whether sustainability initiatives were strategic or ethical.</w:t>
      </w:r>
    </w:p>
    <w:p w14:paraId="2EF4E9BA" w14:textId="77777777" w:rsidR="007F0654" w:rsidRPr="00D5142C" w:rsidRDefault="007F0654" w:rsidP="00A9629B">
      <w:pPr>
        <w:spacing w:line="360" w:lineRule="auto"/>
        <w:jc w:val="both"/>
        <w:rPr>
          <w:rFonts w:ascii="Arial" w:hAnsi="Arial" w:cs="Arial"/>
        </w:rPr>
      </w:pPr>
      <w:r w:rsidRPr="00D5142C">
        <w:rPr>
          <w:rFonts w:ascii="Arial" w:hAnsi="Arial" w:cs="Arial"/>
        </w:rPr>
        <w:t>However, there were limitations. At times, my analysis risked becoming overly descriptive, particularly when explaining frameworks. I also found it challenging to maintain a consistent level of critical depth across all sections.</w:t>
      </w:r>
    </w:p>
    <w:p w14:paraId="04B74A08" w14:textId="77777777" w:rsidR="007F0654" w:rsidRPr="00D5142C" w:rsidRDefault="007F0654" w:rsidP="00A9629B">
      <w:pPr>
        <w:spacing w:line="360" w:lineRule="auto"/>
        <w:jc w:val="both"/>
        <w:rPr>
          <w:rFonts w:ascii="Arial" w:hAnsi="Arial" w:cs="Arial"/>
        </w:rPr>
      </w:pPr>
      <w:r w:rsidRPr="00D5142C">
        <w:rPr>
          <w:rFonts w:ascii="Arial" w:hAnsi="Arial" w:cs="Arial"/>
        </w:rPr>
        <w:t>Another weakness was time management. Gathering high-quality, up-to-date sources required significant effort, which limited the time available for deeper evaluation.</w:t>
      </w:r>
    </w:p>
    <w:p w14:paraId="069FD6FF" w14:textId="6F4DDB25" w:rsidR="007F0654" w:rsidRPr="00A9629B" w:rsidRDefault="007F0654" w:rsidP="00A9629B">
      <w:pPr>
        <w:spacing w:line="360" w:lineRule="auto"/>
        <w:jc w:val="both"/>
        <w:rPr>
          <w:rFonts w:ascii="Arial" w:hAnsi="Arial" w:cs="Arial"/>
        </w:rPr>
      </w:pPr>
      <w:r w:rsidRPr="00D5142C">
        <w:rPr>
          <w:rFonts w:ascii="Arial" w:hAnsi="Arial" w:cs="Arial"/>
        </w:rPr>
        <w:t>This evaluation shows that while I developed strong analytical structure, true strategic insight requires prioritisation and deeper critical engagement, not just the application of multiple models</w:t>
      </w:r>
      <w:r w:rsidRPr="00A9629B">
        <w:rPr>
          <w:rFonts w:ascii="Arial" w:hAnsi="Arial" w:cs="Arial"/>
        </w:rPr>
        <w:t>.</w:t>
      </w:r>
    </w:p>
    <w:p w14:paraId="6AF9E47F" w14:textId="40431462" w:rsidR="007F0654" w:rsidRPr="00FE68C3" w:rsidRDefault="007F0654" w:rsidP="00FE68C3">
      <w:pPr>
        <w:pStyle w:val="Heading1"/>
      </w:pPr>
      <w:bookmarkStart w:id="26" w:name="_Toc228488663"/>
      <w:r w:rsidRPr="00A9629B">
        <w:t>4. Analysis</w:t>
      </w:r>
      <w:bookmarkEnd w:id="26"/>
      <w:r w:rsidRPr="00A9629B">
        <w:t xml:space="preserve"> </w:t>
      </w:r>
    </w:p>
    <w:p w14:paraId="0E1273A6" w14:textId="77777777" w:rsidR="00AC30B2" w:rsidRPr="00AC30B2" w:rsidRDefault="00AC30B2" w:rsidP="00AC30B2">
      <w:pPr>
        <w:spacing w:line="360" w:lineRule="auto"/>
        <w:jc w:val="both"/>
        <w:rPr>
          <w:rFonts w:ascii="Arial" w:hAnsi="Arial" w:cs="Arial"/>
        </w:rPr>
      </w:pPr>
      <w:r w:rsidRPr="00AC30B2">
        <w:rPr>
          <w:rFonts w:ascii="Arial" w:hAnsi="Arial" w:cs="Arial"/>
        </w:rPr>
        <w:t>During this assignment, I developed my ability to critically apply strategic management theories to a real organisation. Initially, I found it difficult to connect theoretical frameworks such as PESTEL and VRIO with real-world data. However, through reviewing company reports and industry sources, I improved my ability to interpret business information and link it with theory.</w:t>
      </w:r>
    </w:p>
    <w:p w14:paraId="74EB4FB0" w14:textId="77777777" w:rsidR="00AC30B2" w:rsidRPr="00AC30B2" w:rsidRDefault="00AC30B2" w:rsidP="00AC30B2">
      <w:pPr>
        <w:spacing w:line="360" w:lineRule="auto"/>
        <w:jc w:val="both"/>
        <w:rPr>
          <w:rFonts w:ascii="Arial" w:hAnsi="Arial" w:cs="Arial"/>
        </w:rPr>
      </w:pPr>
      <w:r w:rsidRPr="00AC30B2">
        <w:rPr>
          <w:rFonts w:ascii="Arial" w:hAnsi="Arial" w:cs="Arial"/>
        </w:rPr>
        <w:t xml:space="preserve">I also enhanced my research skills by using reliable sources such as Statista, Reuters, and Sainsbury’s annual reports. This helped me understand the importance of using up-to-date and credible data in academic work. Additionally, I improved my critical </w:t>
      </w:r>
      <w:r w:rsidRPr="00AC30B2">
        <w:rPr>
          <w:rFonts w:ascii="Arial" w:hAnsi="Arial" w:cs="Arial"/>
        </w:rPr>
        <w:lastRenderedPageBreak/>
        <w:t>thinking by focusing on the “so what” aspect of analysis, ensuring that each point explained its impact on strategy.</w:t>
      </w:r>
    </w:p>
    <w:p w14:paraId="07105C02" w14:textId="3CF9359D" w:rsidR="007F0654" w:rsidRPr="00A9629B" w:rsidRDefault="00AC30B2" w:rsidP="00AC30B2">
      <w:pPr>
        <w:spacing w:line="360" w:lineRule="auto"/>
        <w:jc w:val="both"/>
        <w:rPr>
          <w:rFonts w:ascii="Arial" w:hAnsi="Arial" w:cs="Arial"/>
        </w:rPr>
      </w:pPr>
      <w:r w:rsidRPr="00AC30B2">
        <w:rPr>
          <w:rFonts w:ascii="Arial" w:hAnsi="Arial" w:cs="Arial"/>
        </w:rPr>
        <w:t>However, I realised that I need to further develop my ability to critically evaluate models rather than simply applying them. This experience highlighted the importance of deeper analysis and independent thinking in academic writing.</w:t>
      </w:r>
    </w:p>
    <w:p w14:paraId="1EC30D63" w14:textId="6B7BD304" w:rsidR="007F0654" w:rsidRPr="00FE68C3" w:rsidRDefault="007F0654" w:rsidP="00FE68C3">
      <w:pPr>
        <w:pStyle w:val="Heading1"/>
      </w:pPr>
      <w:bookmarkStart w:id="27" w:name="_Toc228488664"/>
      <w:r w:rsidRPr="00A9629B">
        <w:t>5. Conclusion</w:t>
      </w:r>
      <w:bookmarkEnd w:id="27"/>
      <w:r w:rsidRPr="00A9629B">
        <w:t xml:space="preserve"> </w:t>
      </w:r>
    </w:p>
    <w:p w14:paraId="48B14E12" w14:textId="77777777" w:rsidR="00FC1F0E" w:rsidRPr="00FC1F0E" w:rsidRDefault="00FC1F0E" w:rsidP="00FC1F0E">
      <w:pPr>
        <w:spacing w:line="360" w:lineRule="auto"/>
        <w:jc w:val="both"/>
        <w:rPr>
          <w:rFonts w:ascii="Arial" w:hAnsi="Arial" w:cs="Arial"/>
        </w:rPr>
      </w:pPr>
      <w:r w:rsidRPr="00FC1F0E">
        <w:rPr>
          <w:rFonts w:ascii="Arial" w:hAnsi="Arial" w:cs="Arial"/>
        </w:rPr>
        <w:t>This assignment helped me understand both strategic management and my own academic development. I learned that analysing strategy is not just about using models, but about interpreting them with real data and critical thinking.</w:t>
      </w:r>
    </w:p>
    <w:p w14:paraId="550CD2F1" w14:textId="77777777" w:rsidR="00FC1F0E" w:rsidRPr="00FC1F0E" w:rsidRDefault="00FC1F0E" w:rsidP="00FC1F0E">
      <w:pPr>
        <w:spacing w:line="360" w:lineRule="auto"/>
        <w:jc w:val="both"/>
        <w:rPr>
          <w:rFonts w:ascii="Arial" w:hAnsi="Arial" w:cs="Arial"/>
        </w:rPr>
      </w:pPr>
      <w:r w:rsidRPr="00FC1F0E">
        <w:rPr>
          <w:rFonts w:ascii="Arial" w:hAnsi="Arial" w:cs="Arial"/>
        </w:rPr>
        <w:t>A key learning point was how companies like Sainsbury’s balance cost, customer value, and competition in a changing market. I also improved my research and analytical skills, which are important for future work.</w:t>
      </w:r>
    </w:p>
    <w:p w14:paraId="0AEC3D36" w14:textId="67378048" w:rsidR="007F0654" w:rsidRPr="00D5142C" w:rsidRDefault="00FC1F0E" w:rsidP="00A9629B">
      <w:pPr>
        <w:spacing w:line="360" w:lineRule="auto"/>
        <w:jc w:val="both"/>
        <w:rPr>
          <w:rFonts w:ascii="Arial" w:hAnsi="Arial" w:cs="Arial"/>
        </w:rPr>
      </w:pPr>
      <w:r w:rsidRPr="00FC1F0E">
        <w:rPr>
          <w:rFonts w:ascii="Arial" w:hAnsi="Arial" w:cs="Arial"/>
        </w:rPr>
        <w:t>Overall, this experience has prepared me to think more critically and apply strategy in real-world situations.</w:t>
      </w:r>
    </w:p>
    <w:p w14:paraId="091F590E" w14:textId="0857DB74" w:rsidR="007F0654" w:rsidRPr="00FE68C3" w:rsidRDefault="007F0654" w:rsidP="00FE68C3">
      <w:pPr>
        <w:pStyle w:val="Heading1"/>
      </w:pPr>
      <w:bookmarkStart w:id="28" w:name="_Toc228488665"/>
      <w:r w:rsidRPr="00A9629B">
        <w:t>6. Action Plan</w:t>
      </w:r>
      <w:bookmarkEnd w:id="28"/>
      <w:r w:rsidRPr="00A9629B">
        <w:t xml:space="preserve"> </w:t>
      </w:r>
    </w:p>
    <w:p w14:paraId="12A82BAE" w14:textId="77777777" w:rsidR="007F0654" w:rsidRPr="00D5142C" w:rsidRDefault="007F0654" w:rsidP="00A9629B">
      <w:pPr>
        <w:spacing w:line="360" w:lineRule="auto"/>
        <w:jc w:val="both"/>
        <w:rPr>
          <w:rFonts w:ascii="Arial" w:hAnsi="Arial" w:cs="Arial"/>
        </w:rPr>
      </w:pPr>
      <w:r w:rsidRPr="00D5142C">
        <w:rPr>
          <w:rFonts w:ascii="Arial" w:hAnsi="Arial" w:cs="Arial"/>
        </w:rPr>
        <w:t>To improve future performance, I will:</w:t>
      </w:r>
    </w:p>
    <w:p w14:paraId="58A07186" w14:textId="77777777" w:rsidR="007F0654" w:rsidRPr="00D5142C" w:rsidRDefault="007F0654" w:rsidP="00A9629B">
      <w:pPr>
        <w:numPr>
          <w:ilvl w:val="0"/>
          <w:numId w:val="9"/>
        </w:numPr>
        <w:spacing w:line="360" w:lineRule="auto"/>
        <w:jc w:val="both"/>
        <w:rPr>
          <w:rFonts w:ascii="Arial" w:hAnsi="Arial" w:cs="Arial"/>
        </w:rPr>
      </w:pPr>
      <w:r w:rsidRPr="00D5142C">
        <w:rPr>
          <w:rFonts w:ascii="Arial" w:hAnsi="Arial" w:cs="Arial"/>
        </w:rPr>
        <w:t xml:space="preserve">Enhance critical analysis skills by engaging more with academic debates and questioning model limitations </w:t>
      </w:r>
    </w:p>
    <w:p w14:paraId="1E300E2E" w14:textId="77777777" w:rsidR="007F0654" w:rsidRPr="00D5142C" w:rsidRDefault="007F0654" w:rsidP="00A9629B">
      <w:pPr>
        <w:numPr>
          <w:ilvl w:val="0"/>
          <w:numId w:val="9"/>
        </w:numPr>
        <w:spacing w:line="360" w:lineRule="auto"/>
        <w:jc w:val="both"/>
        <w:rPr>
          <w:rFonts w:ascii="Arial" w:hAnsi="Arial" w:cs="Arial"/>
        </w:rPr>
      </w:pPr>
      <w:r w:rsidRPr="00D5142C">
        <w:rPr>
          <w:rFonts w:ascii="Arial" w:hAnsi="Arial" w:cs="Arial"/>
        </w:rPr>
        <w:t xml:space="preserve">Improve time management to allow deeper evaluation rather than surface-level analysis </w:t>
      </w:r>
    </w:p>
    <w:p w14:paraId="349CAECA" w14:textId="77777777" w:rsidR="007F0654" w:rsidRPr="00D5142C" w:rsidRDefault="007F0654" w:rsidP="00A9629B">
      <w:pPr>
        <w:numPr>
          <w:ilvl w:val="0"/>
          <w:numId w:val="9"/>
        </w:numPr>
        <w:spacing w:line="360" w:lineRule="auto"/>
        <w:jc w:val="both"/>
        <w:rPr>
          <w:rFonts w:ascii="Arial" w:hAnsi="Arial" w:cs="Arial"/>
        </w:rPr>
      </w:pPr>
      <w:r w:rsidRPr="00D5142C">
        <w:rPr>
          <w:rFonts w:ascii="Arial" w:hAnsi="Arial" w:cs="Arial"/>
        </w:rPr>
        <w:t xml:space="preserve">Strengthen data interpretation skills, particularly financial and industry data </w:t>
      </w:r>
    </w:p>
    <w:p w14:paraId="79EA3812" w14:textId="77777777" w:rsidR="007F0654" w:rsidRPr="00D5142C" w:rsidRDefault="007F0654" w:rsidP="00A9629B">
      <w:pPr>
        <w:numPr>
          <w:ilvl w:val="0"/>
          <w:numId w:val="9"/>
        </w:numPr>
        <w:spacing w:line="360" w:lineRule="auto"/>
        <w:jc w:val="both"/>
        <w:rPr>
          <w:rFonts w:ascii="Arial" w:hAnsi="Arial" w:cs="Arial"/>
        </w:rPr>
      </w:pPr>
      <w:r w:rsidRPr="00D5142C">
        <w:rPr>
          <w:rFonts w:ascii="Arial" w:hAnsi="Arial" w:cs="Arial"/>
        </w:rPr>
        <w:t xml:space="preserve">Use more diverse and high-quality academic sources to support arguments </w:t>
      </w:r>
    </w:p>
    <w:p w14:paraId="3A6325AB" w14:textId="26C35BEF" w:rsidR="00FE68C3" w:rsidRPr="00D5142C" w:rsidRDefault="007F0654" w:rsidP="00A9629B">
      <w:pPr>
        <w:spacing w:line="360" w:lineRule="auto"/>
        <w:jc w:val="both"/>
        <w:rPr>
          <w:rFonts w:ascii="Arial" w:hAnsi="Arial" w:cs="Arial"/>
        </w:rPr>
      </w:pPr>
      <w:r w:rsidRPr="00D5142C">
        <w:rPr>
          <w:rFonts w:ascii="Arial" w:hAnsi="Arial" w:cs="Arial"/>
        </w:rPr>
        <w:t>Additionally, I will practice applying strategic models to different companies to build confidence and flexibility.</w:t>
      </w:r>
      <w:r w:rsidR="00FC1F0E">
        <w:rPr>
          <w:rFonts w:ascii="Arial" w:hAnsi="Arial" w:cs="Arial"/>
        </w:rPr>
        <w:t xml:space="preserve"> </w:t>
      </w:r>
      <w:r w:rsidRPr="00D5142C">
        <w:rPr>
          <w:rFonts w:ascii="Arial" w:hAnsi="Arial" w:cs="Arial"/>
        </w:rPr>
        <w:t>This action plan ensures continuous improvement, enabling me to become more effective in strategic thinking, academic writing, and real-world business analysis.</w:t>
      </w:r>
    </w:p>
    <w:p w14:paraId="379D7B20" w14:textId="77777777" w:rsidR="00FE68C3" w:rsidRDefault="00FE68C3" w:rsidP="00A9629B">
      <w:pPr>
        <w:spacing w:line="360" w:lineRule="auto"/>
        <w:jc w:val="both"/>
        <w:rPr>
          <w:rFonts w:ascii="Arial" w:hAnsi="Arial" w:cs="Arial"/>
        </w:rPr>
      </w:pPr>
    </w:p>
    <w:p w14:paraId="7B5CB638" w14:textId="77777777" w:rsidR="007A1995" w:rsidRPr="00A9629B" w:rsidRDefault="007A1995" w:rsidP="00A9629B">
      <w:pPr>
        <w:spacing w:line="360" w:lineRule="auto"/>
        <w:jc w:val="both"/>
        <w:rPr>
          <w:rFonts w:ascii="Arial" w:hAnsi="Arial" w:cs="Arial"/>
        </w:rPr>
      </w:pPr>
    </w:p>
    <w:p w14:paraId="58D82F5B" w14:textId="3B59B952" w:rsidR="007F0654" w:rsidRPr="00A9629B" w:rsidRDefault="007F0654" w:rsidP="009B703F">
      <w:pPr>
        <w:pStyle w:val="Title"/>
      </w:pPr>
      <w:bookmarkStart w:id="29" w:name="_Toc228488666"/>
      <w:r w:rsidRPr="00A9629B">
        <w:lastRenderedPageBreak/>
        <w:t>References</w:t>
      </w:r>
      <w:bookmarkEnd w:id="29"/>
      <w:r w:rsidRPr="00A9629B">
        <w:t xml:space="preserve"> </w:t>
      </w:r>
    </w:p>
    <w:p w14:paraId="789DA446"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Ansoff, H.I. (1957) ‘Strategies for diversification’, </w:t>
      </w:r>
      <w:r w:rsidRPr="00A9629B">
        <w:rPr>
          <w:rFonts w:ascii="Arial" w:hAnsi="Arial" w:cs="Arial"/>
          <w:i/>
          <w:iCs/>
        </w:rPr>
        <w:t>Harvard Business Review</w:t>
      </w:r>
      <w:r w:rsidRPr="00A9629B">
        <w:rPr>
          <w:rFonts w:ascii="Arial" w:hAnsi="Arial" w:cs="Arial"/>
        </w:rPr>
        <w:t>, 35(5), pp. 113–124.</w:t>
      </w:r>
    </w:p>
    <w:p w14:paraId="52B4190D"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Barney, J. (1991) ‘Firm resources and sustained competitive advantage’, </w:t>
      </w:r>
      <w:r w:rsidRPr="00A9629B">
        <w:rPr>
          <w:rFonts w:ascii="Arial" w:hAnsi="Arial" w:cs="Arial"/>
          <w:i/>
          <w:iCs/>
        </w:rPr>
        <w:t>Journal of Management</w:t>
      </w:r>
      <w:r w:rsidRPr="00A9629B">
        <w:rPr>
          <w:rFonts w:ascii="Arial" w:hAnsi="Arial" w:cs="Arial"/>
        </w:rPr>
        <w:t>, 17(1), pp. 99–120.</w:t>
      </w:r>
    </w:p>
    <w:p w14:paraId="6231D8DE"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Freeman, R.E. (1984) </w:t>
      </w:r>
      <w:r w:rsidRPr="00A9629B">
        <w:rPr>
          <w:rFonts w:ascii="Arial" w:hAnsi="Arial" w:cs="Arial"/>
          <w:i/>
          <w:iCs/>
        </w:rPr>
        <w:t>Strategic management: A stakeholder approach</w:t>
      </w:r>
      <w:r w:rsidRPr="00A9629B">
        <w:rPr>
          <w:rFonts w:ascii="Arial" w:hAnsi="Arial" w:cs="Arial"/>
        </w:rPr>
        <w:t>. Boston: Pitman.</w:t>
      </w:r>
    </w:p>
    <w:p w14:paraId="2D59B1FD"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Gibbs, G. (1988) </w:t>
      </w:r>
      <w:r w:rsidRPr="00A9629B">
        <w:rPr>
          <w:rFonts w:ascii="Arial" w:hAnsi="Arial" w:cs="Arial"/>
          <w:i/>
          <w:iCs/>
        </w:rPr>
        <w:t>Learning by doing: A guide to teaching and learning methods</w:t>
      </w:r>
      <w:r w:rsidRPr="00A9629B">
        <w:rPr>
          <w:rFonts w:ascii="Arial" w:hAnsi="Arial" w:cs="Arial"/>
        </w:rPr>
        <w:t>. Oxford: Oxford Polytechnic.</w:t>
      </w:r>
    </w:p>
    <w:p w14:paraId="650DFB9E"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Grant, R.M. (2022) </w:t>
      </w:r>
      <w:r w:rsidRPr="00A9629B">
        <w:rPr>
          <w:rFonts w:ascii="Arial" w:hAnsi="Arial" w:cs="Arial"/>
          <w:i/>
          <w:iCs/>
        </w:rPr>
        <w:t>Contemporary strategy analysis</w:t>
      </w:r>
      <w:r w:rsidRPr="00A9629B">
        <w:rPr>
          <w:rFonts w:ascii="Arial" w:hAnsi="Arial" w:cs="Arial"/>
        </w:rPr>
        <w:t>. 11th edn. Oxford: Wiley.</w:t>
      </w:r>
    </w:p>
    <w:p w14:paraId="647ACBE4"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Johnson, G., Scholes, K. and Whittington, R. (2020) </w:t>
      </w:r>
      <w:r w:rsidRPr="00A9629B">
        <w:rPr>
          <w:rFonts w:ascii="Arial" w:hAnsi="Arial" w:cs="Arial"/>
          <w:i/>
          <w:iCs/>
        </w:rPr>
        <w:t>Exploring strategy</w:t>
      </w:r>
      <w:r w:rsidRPr="00A9629B">
        <w:rPr>
          <w:rFonts w:ascii="Arial" w:hAnsi="Arial" w:cs="Arial"/>
        </w:rPr>
        <w:t>. 12th edn. Harlow: Pearson.</w:t>
      </w:r>
    </w:p>
    <w:p w14:paraId="55ECCE75"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Kaplan, R.S. and Norton, D.P. (1992) ‘The balanced scorecard: Measures that drive performance’, </w:t>
      </w:r>
      <w:r w:rsidRPr="00A9629B">
        <w:rPr>
          <w:rFonts w:ascii="Arial" w:hAnsi="Arial" w:cs="Arial"/>
          <w:i/>
          <w:iCs/>
        </w:rPr>
        <w:t>Harvard Business Review</w:t>
      </w:r>
      <w:r w:rsidRPr="00A9629B">
        <w:rPr>
          <w:rFonts w:ascii="Arial" w:hAnsi="Arial" w:cs="Arial"/>
        </w:rPr>
        <w:t>, 70(1), pp. 71–79.</w:t>
      </w:r>
    </w:p>
    <w:p w14:paraId="78B9362B"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Kotler, P. and Keller, K.L. (2016) </w:t>
      </w:r>
      <w:r w:rsidRPr="00A9629B">
        <w:rPr>
          <w:rFonts w:ascii="Arial" w:hAnsi="Arial" w:cs="Arial"/>
          <w:i/>
          <w:iCs/>
        </w:rPr>
        <w:t>Marketing management</w:t>
      </w:r>
      <w:r w:rsidRPr="00A9629B">
        <w:rPr>
          <w:rFonts w:ascii="Arial" w:hAnsi="Arial" w:cs="Arial"/>
        </w:rPr>
        <w:t>. 15th edn. Harlow: Pearson.</w:t>
      </w:r>
    </w:p>
    <w:p w14:paraId="745FFD63"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Laudon, K.C. and Laudon, J.P. (2021) </w:t>
      </w:r>
      <w:r w:rsidRPr="00A9629B">
        <w:rPr>
          <w:rFonts w:ascii="Arial" w:hAnsi="Arial" w:cs="Arial"/>
          <w:i/>
          <w:iCs/>
        </w:rPr>
        <w:t>Management information systems</w:t>
      </w:r>
      <w:r w:rsidRPr="00A9629B">
        <w:rPr>
          <w:rFonts w:ascii="Arial" w:hAnsi="Arial" w:cs="Arial"/>
        </w:rPr>
        <w:t>. 16th edn. Harlow: Pearson.</w:t>
      </w:r>
    </w:p>
    <w:p w14:paraId="2188C337"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Porter, M.E. (1985) </w:t>
      </w:r>
      <w:r w:rsidRPr="00A9629B">
        <w:rPr>
          <w:rFonts w:ascii="Arial" w:hAnsi="Arial" w:cs="Arial"/>
          <w:i/>
          <w:iCs/>
        </w:rPr>
        <w:t>Competitive advantage: Creating and sustaining superior performance</w:t>
      </w:r>
      <w:r w:rsidRPr="00A9629B">
        <w:rPr>
          <w:rFonts w:ascii="Arial" w:hAnsi="Arial" w:cs="Arial"/>
        </w:rPr>
        <w:t>. New York: Free Press.</w:t>
      </w:r>
    </w:p>
    <w:p w14:paraId="16B5DF63"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J Sainsbury plc (2024) </w:t>
      </w:r>
      <w:r w:rsidRPr="00A9629B">
        <w:rPr>
          <w:rFonts w:ascii="Arial" w:hAnsi="Arial" w:cs="Arial"/>
          <w:i/>
          <w:iCs/>
        </w:rPr>
        <w:t>Annual report and financial statements 2023/2024</w:t>
      </w:r>
      <w:r w:rsidRPr="00A9629B">
        <w:rPr>
          <w:rFonts w:ascii="Arial" w:hAnsi="Arial" w:cs="Arial"/>
        </w:rPr>
        <w:t xml:space="preserve">. Available at: </w:t>
      </w:r>
      <w:hyperlink r:id="rId10" w:tgtFrame="_new" w:history="1">
        <w:r w:rsidRPr="00A9629B">
          <w:rPr>
            <w:rStyle w:val="Hyperlink"/>
            <w:rFonts w:ascii="Arial" w:hAnsi="Arial" w:cs="Arial"/>
          </w:rPr>
          <w:t>https://www.about.sainsburys.co.uk</w:t>
        </w:r>
      </w:hyperlink>
    </w:p>
    <w:p w14:paraId="5A479A9A"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J Sainsbury plc (2025) </w:t>
      </w:r>
      <w:r w:rsidRPr="00A9629B">
        <w:rPr>
          <w:rFonts w:ascii="Arial" w:hAnsi="Arial" w:cs="Arial"/>
          <w:i/>
          <w:iCs/>
        </w:rPr>
        <w:t>Annual report and financial statements 2024/2025</w:t>
      </w:r>
      <w:r w:rsidRPr="00A9629B">
        <w:rPr>
          <w:rFonts w:ascii="Arial" w:hAnsi="Arial" w:cs="Arial"/>
        </w:rPr>
        <w:t xml:space="preserve">. Available at: </w:t>
      </w:r>
      <w:hyperlink r:id="rId11" w:tgtFrame="_new" w:history="1">
        <w:r w:rsidRPr="00A9629B">
          <w:rPr>
            <w:rStyle w:val="Hyperlink"/>
            <w:rFonts w:ascii="Arial" w:hAnsi="Arial" w:cs="Arial"/>
          </w:rPr>
          <w:t>https://www.about.sainsburys.co.uk</w:t>
        </w:r>
      </w:hyperlink>
    </w:p>
    <w:p w14:paraId="0802E449"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J Sainsbury plc (2025) </w:t>
      </w:r>
      <w:r w:rsidRPr="00A9629B">
        <w:rPr>
          <w:rFonts w:ascii="Arial" w:hAnsi="Arial" w:cs="Arial"/>
          <w:i/>
          <w:iCs/>
        </w:rPr>
        <w:t>Strategy update: Next Level Sainsbury’s</w:t>
      </w:r>
      <w:r w:rsidRPr="00A9629B">
        <w:rPr>
          <w:rFonts w:ascii="Arial" w:hAnsi="Arial" w:cs="Arial"/>
        </w:rPr>
        <w:t xml:space="preserve">. Available at: </w:t>
      </w:r>
      <w:hyperlink r:id="rId12" w:tgtFrame="_new" w:history="1">
        <w:r w:rsidRPr="00A9629B">
          <w:rPr>
            <w:rStyle w:val="Hyperlink"/>
            <w:rFonts w:ascii="Arial" w:hAnsi="Arial" w:cs="Arial"/>
          </w:rPr>
          <w:t>https://www.about.sainsburys.co.uk</w:t>
        </w:r>
      </w:hyperlink>
    </w:p>
    <w:p w14:paraId="71FC6BEE"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J Sainsbury plc (2025) </w:t>
      </w:r>
      <w:r w:rsidRPr="00A9629B">
        <w:rPr>
          <w:rFonts w:ascii="Arial" w:hAnsi="Arial" w:cs="Arial"/>
          <w:i/>
          <w:iCs/>
        </w:rPr>
        <w:t>Plan for Better sustainability report</w:t>
      </w:r>
      <w:r w:rsidRPr="00A9629B">
        <w:rPr>
          <w:rFonts w:ascii="Arial" w:hAnsi="Arial" w:cs="Arial"/>
        </w:rPr>
        <w:t xml:space="preserve">. Available at: </w:t>
      </w:r>
      <w:hyperlink r:id="rId13" w:tgtFrame="_new" w:history="1">
        <w:r w:rsidRPr="00A9629B">
          <w:rPr>
            <w:rStyle w:val="Hyperlink"/>
            <w:rFonts w:ascii="Arial" w:hAnsi="Arial" w:cs="Arial"/>
          </w:rPr>
          <w:t>https://www.about.sainsburys.co.uk</w:t>
        </w:r>
      </w:hyperlink>
    </w:p>
    <w:p w14:paraId="7BC57820" w14:textId="77777777" w:rsidR="007F0654" w:rsidRPr="00A9629B" w:rsidRDefault="007F0654" w:rsidP="00A9629B">
      <w:pPr>
        <w:spacing w:line="360" w:lineRule="auto"/>
        <w:jc w:val="both"/>
        <w:rPr>
          <w:rFonts w:ascii="Arial" w:hAnsi="Arial" w:cs="Arial"/>
        </w:rPr>
      </w:pPr>
      <w:r w:rsidRPr="00A9629B">
        <w:rPr>
          <w:rFonts w:ascii="Arial" w:hAnsi="Arial" w:cs="Arial"/>
        </w:rPr>
        <w:lastRenderedPageBreak/>
        <w:t xml:space="preserve">Statista (2024) </w:t>
      </w:r>
      <w:r w:rsidRPr="00A9629B">
        <w:rPr>
          <w:rFonts w:ascii="Arial" w:hAnsi="Arial" w:cs="Arial"/>
          <w:i/>
          <w:iCs/>
        </w:rPr>
        <w:t>Market share of grocery stores in the United Kingdom (2019–2024)</w:t>
      </w:r>
      <w:r w:rsidRPr="00A9629B">
        <w:rPr>
          <w:rFonts w:ascii="Arial" w:hAnsi="Arial" w:cs="Arial"/>
        </w:rPr>
        <w:t xml:space="preserve">. Available at: </w:t>
      </w:r>
      <w:hyperlink r:id="rId14" w:tgtFrame="_new" w:history="1">
        <w:r w:rsidRPr="00A9629B">
          <w:rPr>
            <w:rStyle w:val="Hyperlink"/>
            <w:rFonts w:ascii="Arial" w:hAnsi="Arial" w:cs="Arial"/>
          </w:rPr>
          <w:t>https://www.statista.com</w:t>
        </w:r>
      </w:hyperlink>
    </w:p>
    <w:p w14:paraId="619E6EC4"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Grocery Trade News (2025) </w:t>
      </w:r>
      <w:r w:rsidRPr="00A9629B">
        <w:rPr>
          <w:rFonts w:ascii="Arial" w:hAnsi="Arial" w:cs="Arial"/>
          <w:i/>
          <w:iCs/>
        </w:rPr>
        <w:t>UK grocery market share report</w:t>
      </w:r>
      <w:r w:rsidRPr="00A9629B">
        <w:rPr>
          <w:rFonts w:ascii="Arial" w:hAnsi="Arial" w:cs="Arial"/>
        </w:rPr>
        <w:t xml:space="preserve">. Available at: </w:t>
      </w:r>
      <w:hyperlink r:id="rId15" w:tgtFrame="_new" w:history="1">
        <w:r w:rsidRPr="00A9629B">
          <w:rPr>
            <w:rStyle w:val="Hyperlink"/>
            <w:rFonts w:ascii="Arial" w:hAnsi="Arial" w:cs="Arial"/>
          </w:rPr>
          <w:t>https://www.grocerytradenews.com</w:t>
        </w:r>
      </w:hyperlink>
    </w:p>
    <w:p w14:paraId="160C3AE2"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Reuters (2025) ‘Sainsbury’s expects flat profit amid rising competition’. Available at: </w:t>
      </w:r>
      <w:hyperlink r:id="rId16" w:tgtFrame="_new" w:history="1">
        <w:r w:rsidRPr="00A9629B">
          <w:rPr>
            <w:rStyle w:val="Hyperlink"/>
            <w:rFonts w:ascii="Arial" w:hAnsi="Arial" w:cs="Arial"/>
          </w:rPr>
          <w:t>https://www.reuters.com</w:t>
        </w:r>
      </w:hyperlink>
    </w:p>
    <w:p w14:paraId="6E3BB63B"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Reuters (2026) ‘UK grocery inflation trends and consumer behaviour’. Available at: </w:t>
      </w:r>
      <w:hyperlink r:id="rId17" w:tgtFrame="_new" w:history="1">
        <w:r w:rsidRPr="00A9629B">
          <w:rPr>
            <w:rStyle w:val="Hyperlink"/>
            <w:rFonts w:ascii="Arial" w:hAnsi="Arial" w:cs="Arial"/>
          </w:rPr>
          <w:t>https://www.reuters.com</w:t>
        </w:r>
      </w:hyperlink>
    </w:p>
    <w:p w14:paraId="03CAF63D"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The Guardian (2026) ‘Aldi and Lidl increase pressure on UK supermarkets’. Available at: </w:t>
      </w:r>
      <w:hyperlink r:id="rId18" w:tgtFrame="_new" w:history="1">
        <w:r w:rsidRPr="00A9629B">
          <w:rPr>
            <w:rStyle w:val="Hyperlink"/>
            <w:rFonts w:ascii="Arial" w:hAnsi="Arial" w:cs="Arial"/>
          </w:rPr>
          <w:t>https://www.theguardian.com</w:t>
        </w:r>
      </w:hyperlink>
    </w:p>
    <w:p w14:paraId="1C553EEE" w14:textId="77777777" w:rsidR="007F0654" w:rsidRPr="00A9629B" w:rsidRDefault="007F0654" w:rsidP="00A9629B">
      <w:pPr>
        <w:spacing w:line="360" w:lineRule="auto"/>
        <w:jc w:val="both"/>
        <w:rPr>
          <w:rFonts w:ascii="Arial" w:hAnsi="Arial" w:cs="Arial"/>
        </w:rPr>
      </w:pPr>
      <w:r w:rsidRPr="00A9629B">
        <w:rPr>
          <w:rFonts w:ascii="Arial" w:hAnsi="Arial" w:cs="Arial"/>
        </w:rPr>
        <w:t>The Times (2025) ‘Sainsbury’s financial performance and Argos challenges’. Available at: https://www.thetimes.com</w:t>
      </w:r>
    </w:p>
    <w:p w14:paraId="0D5BEFDB"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Matrix BCG (2025) </w:t>
      </w:r>
      <w:r w:rsidRPr="00A9629B">
        <w:rPr>
          <w:rFonts w:ascii="Arial" w:hAnsi="Arial" w:cs="Arial"/>
          <w:i/>
          <w:iCs/>
        </w:rPr>
        <w:t>Sainsbury strategic analysis report</w:t>
      </w:r>
      <w:r w:rsidRPr="00A9629B">
        <w:rPr>
          <w:rFonts w:ascii="Arial" w:hAnsi="Arial" w:cs="Arial"/>
        </w:rPr>
        <w:t>. Available at: https://www.matrixbcg.com</w:t>
      </w:r>
    </w:p>
    <w:p w14:paraId="1B0D4B4D"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Marketing91 (2025) </w:t>
      </w:r>
      <w:r w:rsidRPr="00A9629B">
        <w:rPr>
          <w:rFonts w:ascii="Arial" w:hAnsi="Arial" w:cs="Arial"/>
          <w:i/>
          <w:iCs/>
        </w:rPr>
        <w:t>SWOT analysis of Sainsbury</w:t>
      </w:r>
      <w:r w:rsidRPr="00A9629B">
        <w:rPr>
          <w:rFonts w:ascii="Arial" w:hAnsi="Arial" w:cs="Arial"/>
        </w:rPr>
        <w:t xml:space="preserve">. Available at: </w:t>
      </w:r>
      <w:hyperlink r:id="rId19" w:tgtFrame="_new" w:history="1">
        <w:r w:rsidRPr="00A9629B">
          <w:rPr>
            <w:rStyle w:val="Hyperlink"/>
            <w:rFonts w:ascii="Arial" w:hAnsi="Arial" w:cs="Arial"/>
          </w:rPr>
          <w:t>https://www.marketing91.com</w:t>
        </w:r>
      </w:hyperlink>
    </w:p>
    <w:p w14:paraId="0E41FF88"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ResearchGate (2024) </w:t>
      </w:r>
      <w:r w:rsidRPr="00A9629B">
        <w:rPr>
          <w:rFonts w:ascii="Arial" w:hAnsi="Arial" w:cs="Arial"/>
          <w:i/>
          <w:iCs/>
        </w:rPr>
        <w:t>Financial performance analysis of Sainsbury’s</w:t>
      </w:r>
      <w:r w:rsidRPr="00A9629B">
        <w:rPr>
          <w:rFonts w:ascii="Arial" w:hAnsi="Arial" w:cs="Arial"/>
        </w:rPr>
        <w:t xml:space="preserve">. Available at: </w:t>
      </w:r>
      <w:hyperlink r:id="rId20" w:tgtFrame="_new" w:history="1">
        <w:r w:rsidRPr="00A9629B">
          <w:rPr>
            <w:rStyle w:val="Hyperlink"/>
            <w:rFonts w:ascii="Arial" w:hAnsi="Arial" w:cs="Arial"/>
          </w:rPr>
          <w:t>https://www.researchgate.net</w:t>
        </w:r>
      </w:hyperlink>
    </w:p>
    <w:p w14:paraId="14F4B94F"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UK Parliament (2024) </w:t>
      </w:r>
      <w:r w:rsidRPr="00A9629B">
        <w:rPr>
          <w:rFonts w:ascii="Arial" w:hAnsi="Arial" w:cs="Arial"/>
          <w:i/>
          <w:iCs/>
        </w:rPr>
        <w:t>Written evidence submitted by Sainsbury’s</w:t>
      </w:r>
      <w:r w:rsidRPr="00A9629B">
        <w:rPr>
          <w:rFonts w:ascii="Arial" w:hAnsi="Arial" w:cs="Arial"/>
        </w:rPr>
        <w:t xml:space="preserve">. Available at: </w:t>
      </w:r>
      <w:hyperlink r:id="rId21" w:tgtFrame="_new" w:history="1">
        <w:r w:rsidRPr="00A9629B">
          <w:rPr>
            <w:rStyle w:val="Hyperlink"/>
            <w:rFonts w:ascii="Arial" w:hAnsi="Arial" w:cs="Arial"/>
          </w:rPr>
          <w:t>https://committees.parliament.uk</w:t>
        </w:r>
      </w:hyperlink>
    </w:p>
    <w:p w14:paraId="0B75C852"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Higher Education Academy (2024) </w:t>
      </w:r>
      <w:r w:rsidRPr="00A9629B">
        <w:rPr>
          <w:rFonts w:ascii="Arial" w:hAnsi="Arial" w:cs="Arial"/>
          <w:i/>
          <w:iCs/>
        </w:rPr>
        <w:t>Reflective learning and practice</w:t>
      </w:r>
      <w:r w:rsidRPr="00A9629B">
        <w:rPr>
          <w:rFonts w:ascii="Arial" w:hAnsi="Arial" w:cs="Arial"/>
        </w:rPr>
        <w:t xml:space="preserve">. Available at: </w:t>
      </w:r>
      <w:hyperlink r:id="rId22" w:tgtFrame="_new" w:history="1">
        <w:r w:rsidRPr="00A9629B">
          <w:rPr>
            <w:rStyle w:val="Hyperlink"/>
            <w:rFonts w:ascii="Arial" w:hAnsi="Arial" w:cs="Arial"/>
          </w:rPr>
          <w:t>https://www.heacademy.ac.uk</w:t>
        </w:r>
      </w:hyperlink>
    </w:p>
    <w:p w14:paraId="4092A33E" w14:textId="77777777" w:rsidR="007F0654" w:rsidRPr="00A9629B" w:rsidRDefault="007F0654" w:rsidP="00A9629B">
      <w:pPr>
        <w:spacing w:line="360" w:lineRule="auto"/>
        <w:jc w:val="both"/>
        <w:rPr>
          <w:rFonts w:ascii="Arial" w:hAnsi="Arial" w:cs="Arial"/>
        </w:rPr>
      </w:pPr>
      <w:r w:rsidRPr="00A9629B">
        <w:rPr>
          <w:rFonts w:ascii="Arial" w:hAnsi="Arial" w:cs="Arial"/>
        </w:rPr>
        <w:t xml:space="preserve">CIPD (2024) </w:t>
      </w:r>
      <w:r w:rsidRPr="00A9629B">
        <w:rPr>
          <w:rFonts w:ascii="Arial" w:hAnsi="Arial" w:cs="Arial"/>
          <w:i/>
          <w:iCs/>
        </w:rPr>
        <w:t>Reflective practice and professional development</w:t>
      </w:r>
      <w:r w:rsidRPr="00A9629B">
        <w:rPr>
          <w:rFonts w:ascii="Arial" w:hAnsi="Arial" w:cs="Arial"/>
        </w:rPr>
        <w:t xml:space="preserve">. Available at: </w:t>
      </w:r>
      <w:hyperlink r:id="rId23" w:tgtFrame="_new" w:history="1">
        <w:r w:rsidRPr="00A9629B">
          <w:rPr>
            <w:rStyle w:val="Hyperlink"/>
            <w:rFonts w:ascii="Arial" w:hAnsi="Arial" w:cs="Arial"/>
          </w:rPr>
          <w:t>https://www.cipd.co.uk</w:t>
        </w:r>
      </w:hyperlink>
    </w:p>
    <w:p w14:paraId="315D6EB6" w14:textId="2EC76985" w:rsidR="007F0654" w:rsidRPr="00A9629B" w:rsidRDefault="007F0654" w:rsidP="00A9629B">
      <w:pPr>
        <w:spacing w:line="360" w:lineRule="auto"/>
        <w:jc w:val="both"/>
        <w:rPr>
          <w:rFonts w:ascii="Arial" w:hAnsi="Arial" w:cs="Arial"/>
        </w:rPr>
      </w:pPr>
      <w:r w:rsidRPr="00A9629B">
        <w:rPr>
          <w:rFonts w:ascii="Arial" w:hAnsi="Arial" w:cs="Arial"/>
        </w:rPr>
        <w:t xml:space="preserve">Structural Learning (2024) </w:t>
      </w:r>
      <w:r w:rsidRPr="00A9629B">
        <w:rPr>
          <w:rFonts w:ascii="Arial" w:hAnsi="Arial" w:cs="Arial"/>
          <w:i/>
          <w:iCs/>
        </w:rPr>
        <w:t>Gibbs reflective cycle and critical thinking</w:t>
      </w:r>
      <w:r w:rsidRPr="00A9629B">
        <w:rPr>
          <w:rFonts w:ascii="Arial" w:hAnsi="Arial" w:cs="Arial"/>
        </w:rPr>
        <w:t xml:space="preserve">. Available at: </w:t>
      </w:r>
      <w:hyperlink r:id="rId24" w:tgtFrame="_new" w:history="1">
        <w:r w:rsidRPr="00A9629B">
          <w:rPr>
            <w:rStyle w:val="Hyperlink"/>
            <w:rFonts w:ascii="Arial" w:hAnsi="Arial" w:cs="Arial"/>
          </w:rPr>
          <w:t>https://www.structural-learning.com</w:t>
        </w:r>
      </w:hyperlink>
    </w:p>
    <w:sectPr w:rsidR="007F0654" w:rsidRPr="00A9629B" w:rsidSect="006305F6">
      <w:footerReference w:type="default" r:id="rId2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EF9F9" w14:textId="77777777" w:rsidR="0027148E" w:rsidRDefault="0027148E" w:rsidP="007A1995">
      <w:pPr>
        <w:spacing w:after="0" w:line="240" w:lineRule="auto"/>
      </w:pPr>
      <w:r>
        <w:separator/>
      </w:r>
    </w:p>
  </w:endnote>
  <w:endnote w:type="continuationSeparator" w:id="0">
    <w:p w14:paraId="0B2AEB06" w14:textId="77777777" w:rsidR="0027148E" w:rsidRDefault="0027148E" w:rsidP="007A1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753689"/>
      <w:docPartObj>
        <w:docPartGallery w:val="Page Numbers (Bottom of Page)"/>
        <w:docPartUnique/>
      </w:docPartObj>
    </w:sdtPr>
    <w:sdtContent>
      <w:sdt>
        <w:sdtPr>
          <w:id w:val="-1769616900"/>
          <w:docPartObj>
            <w:docPartGallery w:val="Page Numbers (Top of Page)"/>
            <w:docPartUnique/>
          </w:docPartObj>
        </w:sdtPr>
        <w:sdtContent>
          <w:p w14:paraId="7EB651F3" w14:textId="793EFEA9" w:rsidR="007A1995" w:rsidRDefault="007A199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B192E7D" w14:textId="77777777" w:rsidR="007A1995" w:rsidRDefault="007A19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A8110" w14:textId="77777777" w:rsidR="0027148E" w:rsidRDefault="0027148E" w:rsidP="007A1995">
      <w:pPr>
        <w:spacing w:after="0" w:line="240" w:lineRule="auto"/>
      </w:pPr>
      <w:r>
        <w:separator/>
      </w:r>
    </w:p>
  </w:footnote>
  <w:footnote w:type="continuationSeparator" w:id="0">
    <w:p w14:paraId="16DDB599" w14:textId="77777777" w:rsidR="0027148E" w:rsidRDefault="0027148E" w:rsidP="007A19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37FED"/>
    <w:multiLevelType w:val="multilevel"/>
    <w:tmpl w:val="177C3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617644"/>
    <w:multiLevelType w:val="multilevel"/>
    <w:tmpl w:val="C6E02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465810"/>
    <w:multiLevelType w:val="multilevel"/>
    <w:tmpl w:val="54B4D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3A09E5"/>
    <w:multiLevelType w:val="multilevel"/>
    <w:tmpl w:val="977E3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CF06B4"/>
    <w:multiLevelType w:val="multilevel"/>
    <w:tmpl w:val="9FA02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2F6577"/>
    <w:multiLevelType w:val="multilevel"/>
    <w:tmpl w:val="81F4C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A95683"/>
    <w:multiLevelType w:val="multilevel"/>
    <w:tmpl w:val="5E684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825E24"/>
    <w:multiLevelType w:val="multilevel"/>
    <w:tmpl w:val="C6068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DD50CD"/>
    <w:multiLevelType w:val="multilevel"/>
    <w:tmpl w:val="FD7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FF74DE"/>
    <w:multiLevelType w:val="multilevel"/>
    <w:tmpl w:val="5A783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0F7AA6"/>
    <w:multiLevelType w:val="multilevel"/>
    <w:tmpl w:val="E9922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F04FBB"/>
    <w:multiLevelType w:val="multilevel"/>
    <w:tmpl w:val="E1DC6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3174888">
    <w:abstractNumId w:val="6"/>
  </w:num>
  <w:num w:numId="2" w16cid:durableId="372117328">
    <w:abstractNumId w:val="8"/>
  </w:num>
  <w:num w:numId="3" w16cid:durableId="1803576005">
    <w:abstractNumId w:val="7"/>
  </w:num>
  <w:num w:numId="4" w16cid:durableId="208610278">
    <w:abstractNumId w:val="5"/>
  </w:num>
  <w:num w:numId="5" w16cid:durableId="51469604">
    <w:abstractNumId w:val="9"/>
  </w:num>
  <w:num w:numId="6" w16cid:durableId="380909865">
    <w:abstractNumId w:val="11"/>
  </w:num>
  <w:num w:numId="7" w16cid:durableId="1725449015">
    <w:abstractNumId w:val="10"/>
  </w:num>
  <w:num w:numId="8" w16cid:durableId="125441559">
    <w:abstractNumId w:val="4"/>
  </w:num>
  <w:num w:numId="9" w16cid:durableId="2004356207">
    <w:abstractNumId w:val="2"/>
  </w:num>
  <w:num w:numId="10" w16cid:durableId="369650067">
    <w:abstractNumId w:val="3"/>
  </w:num>
  <w:num w:numId="11" w16cid:durableId="1983777659">
    <w:abstractNumId w:val="1"/>
  </w:num>
  <w:num w:numId="12" w16cid:durableId="786461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5F6"/>
    <w:rsid w:val="00014B35"/>
    <w:rsid w:val="0004790F"/>
    <w:rsid w:val="00062256"/>
    <w:rsid w:val="000C655F"/>
    <w:rsid w:val="00142294"/>
    <w:rsid w:val="00212574"/>
    <w:rsid w:val="00257C12"/>
    <w:rsid w:val="0027148E"/>
    <w:rsid w:val="002C5B88"/>
    <w:rsid w:val="003257D9"/>
    <w:rsid w:val="003E04C0"/>
    <w:rsid w:val="003F0A66"/>
    <w:rsid w:val="004C570F"/>
    <w:rsid w:val="004D67A1"/>
    <w:rsid w:val="005072D6"/>
    <w:rsid w:val="005A220C"/>
    <w:rsid w:val="005E3D9E"/>
    <w:rsid w:val="006305F6"/>
    <w:rsid w:val="006535E7"/>
    <w:rsid w:val="00665AE5"/>
    <w:rsid w:val="00682523"/>
    <w:rsid w:val="00741FAA"/>
    <w:rsid w:val="007A1995"/>
    <w:rsid w:val="007C4300"/>
    <w:rsid w:val="007F0654"/>
    <w:rsid w:val="008263C2"/>
    <w:rsid w:val="00860490"/>
    <w:rsid w:val="009547EE"/>
    <w:rsid w:val="009B703F"/>
    <w:rsid w:val="009D2ADA"/>
    <w:rsid w:val="00A9629B"/>
    <w:rsid w:val="00AA1140"/>
    <w:rsid w:val="00AC30B2"/>
    <w:rsid w:val="00B23621"/>
    <w:rsid w:val="00BE1ECD"/>
    <w:rsid w:val="00CD4802"/>
    <w:rsid w:val="00D5142C"/>
    <w:rsid w:val="00E11645"/>
    <w:rsid w:val="00E43A8D"/>
    <w:rsid w:val="00F10A42"/>
    <w:rsid w:val="00F301A5"/>
    <w:rsid w:val="00F80307"/>
    <w:rsid w:val="00FC1F0E"/>
    <w:rsid w:val="00FE68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D9127"/>
  <w15:chartTrackingRefBased/>
  <w15:docId w15:val="{4A048022-F551-42E5-9819-24252D75A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5F6"/>
  </w:style>
  <w:style w:type="paragraph" w:styleId="Heading1">
    <w:name w:val="heading 1"/>
    <w:basedOn w:val="Normal"/>
    <w:next w:val="Normal"/>
    <w:link w:val="Heading1Char"/>
    <w:uiPriority w:val="9"/>
    <w:qFormat/>
    <w:rsid w:val="00A9629B"/>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A9629B"/>
    <w:pPr>
      <w:keepNext/>
      <w:keepLines/>
      <w:spacing w:before="160" w:after="80"/>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unhideWhenUsed/>
    <w:qFormat/>
    <w:rsid w:val="00FE68C3"/>
    <w:pPr>
      <w:keepNext/>
      <w:keepLines/>
      <w:spacing w:before="160" w:after="80"/>
      <w:outlineLvl w:val="2"/>
    </w:pPr>
    <w:rPr>
      <w:rFonts w:ascii="Arial" w:eastAsiaTheme="majorEastAsia" w:hAnsi="Arial" w:cstheme="majorBidi"/>
      <w:b/>
      <w:sz w:val="32"/>
      <w:szCs w:val="28"/>
    </w:rPr>
  </w:style>
  <w:style w:type="paragraph" w:styleId="Heading4">
    <w:name w:val="heading 4"/>
    <w:basedOn w:val="Normal"/>
    <w:next w:val="Normal"/>
    <w:link w:val="Heading4Char"/>
    <w:uiPriority w:val="9"/>
    <w:semiHidden/>
    <w:unhideWhenUsed/>
    <w:qFormat/>
    <w:rsid w:val="006305F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05F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305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05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05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05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665AE5"/>
    <w:rPr>
      <w:rFonts w:ascii="Times New Roman" w:hAnsi="Times New Roman" w:cs="Times New Roman"/>
      <w:b/>
      <w:bCs/>
      <w:sz w:val="28"/>
    </w:rPr>
  </w:style>
  <w:style w:type="character" w:customStyle="1" w:styleId="Style1Char">
    <w:name w:val="Style1 Char"/>
    <w:basedOn w:val="DefaultParagraphFont"/>
    <w:link w:val="Style1"/>
    <w:rsid w:val="00665AE5"/>
    <w:rPr>
      <w:rFonts w:ascii="Times New Roman" w:hAnsi="Times New Roman" w:cs="Times New Roman"/>
      <w:b/>
      <w:bCs/>
      <w:sz w:val="28"/>
    </w:rPr>
  </w:style>
  <w:style w:type="paragraph" w:customStyle="1" w:styleId="Style2">
    <w:name w:val="Style2"/>
    <w:basedOn w:val="Normal"/>
    <w:link w:val="Style2Char"/>
    <w:rsid w:val="00665AE5"/>
    <w:rPr>
      <w:rFonts w:ascii="Times New Roman" w:hAnsi="Times New Roman"/>
      <w:b/>
    </w:rPr>
  </w:style>
  <w:style w:type="character" w:customStyle="1" w:styleId="Style2Char">
    <w:name w:val="Style2 Char"/>
    <w:basedOn w:val="DefaultParagraphFont"/>
    <w:link w:val="Style2"/>
    <w:rsid w:val="00665AE5"/>
    <w:rPr>
      <w:rFonts w:ascii="Times New Roman" w:hAnsi="Times New Roman"/>
      <w:b/>
    </w:rPr>
  </w:style>
  <w:style w:type="character" w:customStyle="1" w:styleId="Heading1Char">
    <w:name w:val="Heading 1 Char"/>
    <w:basedOn w:val="DefaultParagraphFont"/>
    <w:link w:val="Heading1"/>
    <w:uiPriority w:val="9"/>
    <w:rsid w:val="00A9629B"/>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A9629B"/>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FE68C3"/>
    <w:rPr>
      <w:rFonts w:ascii="Arial" w:eastAsiaTheme="majorEastAsia" w:hAnsi="Arial" w:cstheme="majorBidi"/>
      <w:b/>
      <w:sz w:val="32"/>
      <w:szCs w:val="28"/>
    </w:rPr>
  </w:style>
  <w:style w:type="character" w:customStyle="1" w:styleId="Heading4Char">
    <w:name w:val="Heading 4 Char"/>
    <w:basedOn w:val="DefaultParagraphFont"/>
    <w:link w:val="Heading4"/>
    <w:uiPriority w:val="9"/>
    <w:semiHidden/>
    <w:rsid w:val="006305F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305F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305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05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05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05F6"/>
    <w:rPr>
      <w:rFonts w:eastAsiaTheme="majorEastAsia" w:cstheme="majorBidi"/>
      <w:color w:val="272727" w:themeColor="text1" w:themeTint="D8"/>
    </w:rPr>
  </w:style>
  <w:style w:type="paragraph" w:styleId="Title">
    <w:name w:val="Title"/>
    <w:basedOn w:val="Heading1"/>
    <w:next w:val="Heading1"/>
    <w:link w:val="TitleChar"/>
    <w:uiPriority w:val="10"/>
    <w:qFormat/>
    <w:rsid w:val="009B703F"/>
    <w:pPr>
      <w:spacing w:line="240" w:lineRule="auto"/>
      <w:contextualSpacing/>
    </w:pPr>
    <w:rPr>
      <w:spacing w:val="-10"/>
      <w:kern w:val="28"/>
      <w:sz w:val="36"/>
      <w:szCs w:val="56"/>
    </w:rPr>
  </w:style>
  <w:style w:type="character" w:customStyle="1" w:styleId="TitleChar">
    <w:name w:val="Title Char"/>
    <w:basedOn w:val="DefaultParagraphFont"/>
    <w:link w:val="Title"/>
    <w:uiPriority w:val="10"/>
    <w:rsid w:val="009B703F"/>
    <w:rPr>
      <w:rFonts w:ascii="Arial" w:eastAsiaTheme="majorEastAsia" w:hAnsi="Arial" w:cstheme="majorBidi"/>
      <w:b/>
      <w:color w:val="000000" w:themeColor="text1"/>
      <w:spacing w:val="-10"/>
      <w:kern w:val="28"/>
      <w:sz w:val="36"/>
      <w:szCs w:val="56"/>
    </w:rPr>
  </w:style>
  <w:style w:type="paragraph" w:styleId="Subtitle">
    <w:name w:val="Subtitle"/>
    <w:basedOn w:val="Normal"/>
    <w:next w:val="Normal"/>
    <w:link w:val="SubtitleChar"/>
    <w:uiPriority w:val="11"/>
    <w:qFormat/>
    <w:rsid w:val="006305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05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05F6"/>
    <w:pPr>
      <w:spacing w:before="160"/>
      <w:jc w:val="center"/>
    </w:pPr>
    <w:rPr>
      <w:i/>
      <w:iCs/>
      <w:color w:val="404040" w:themeColor="text1" w:themeTint="BF"/>
    </w:rPr>
  </w:style>
  <w:style w:type="character" w:customStyle="1" w:styleId="QuoteChar">
    <w:name w:val="Quote Char"/>
    <w:basedOn w:val="DefaultParagraphFont"/>
    <w:link w:val="Quote"/>
    <w:uiPriority w:val="29"/>
    <w:rsid w:val="006305F6"/>
    <w:rPr>
      <w:i/>
      <w:iCs/>
      <w:color w:val="404040" w:themeColor="text1" w:themeTint="BF"/>
    </w:rPr>
  </w:style>
  <w:style w:type="paragraph" w:styleId="ListParagraph">
    <w:name w:val="List Paragraph"/>
    <w:basedOn w:val="Normal"/>
    <w:uiPriority w:val="34"/>
    <w:qFormat/>
    <w:rsid w:val="006305F6"/>
    <w:pPr>
      <w:ind w:left="720"/>
      <w:contextualSpacing/>
    </w:pPr>
  </w:style>
  <w:style w:type="character" w:styleId="IntenseEmphasis">
    <w:name w:val="Intense Emphasis"/>
    <w:basedOn w:val="DefaultParagraphFont"/>
    <w:uiPriority w:val="21"/>
    <w:qFormat/>
    <w:rsid w:val="006305F6"/>
    <w:rPr>
      <w:i/>
      <w:iCs/>
      <w:color w:val="2F5496" w:themeColor="accent1" w:themeShade="BF"/>
    </w:rPr>
  </w:style>
  <w:style w:type="paragraph" w:styleId="IntenseQuote">
    <w:name w:val="Intense Quote"/>
    <w:basedOn w:val="Normal"/>
    <w:next w:val="Normal"/>
    <w:link w:val="IntenseQuoteChar"/>
    <w:uiPriority w:val="30"/>
    <w:qFormat/>
    <w:rsid w:val="006305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05F6"/>
    <w:rPr>
      <w:i/>
      <w:iCs/>
      <w:color w:val="2F5496" w:themeColor="accent1" w:themeShade="BF"/>
    </w:rPr>
  </w:style>
  <w:style w:type="character" w:styleId="IntenseReference">
    <w:name w:val="Intense Reference"/>
    <w:basedOn w:val="DefaultParagraphFont"/>
    <w:uiPriority w:val="32"/>
    <w:qFormat/>
    <w:rsid w:val="006305F6"/>
    <w:rPr>
      <w:b/>
      <w:bCs/>
      <w:smallCaps/>
      <w:color w:val="2F5496" w:themeColor="accent1" w:themeShade="BF"/>
      <w:spacing w:val="5"/>
    </w:rPr>
  </w:style>
  <w:style w:type="paragraph" w:styleId="NoSpacing">
    <w:name w:val="No Spacing"/>
    <w:link w:val="NoSpacingChar"/>
    <w:uiPriority w:val="1"/>
    <w:qFormat/>
    <w:rsid w:val="006305F6"/>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6305F6"/>
    <w:rPr>
      <w:rFonts w:eastAsiaTheme="minorEastAsia"/>
      <w:kern w:val="0"/>
      <w:sz w:val="22"/>
      <w:szCs w:val="22"/>
      <w14:ligatures w14:val="none"/>
    </w:rPr>
  </w:style>
  <w:style w:type="character" w:styleId="Hyperlink">
    <w:name w:val="Hyperlink"/>
    <w:basedOn w:val="DefaultParagraphFont"/>
    <w:uiPriority w:val="99"/>
    <w:unhideWhenUsed/>
    <w:rsid w:val="006305F6"/>
    <w:rPr>
      <w:color w:val="0563C1" w:themeColor="hyperlink"/>
      <w:u w:val="single"/>
    </w:rPr>
  </w:style>
  <w:style w:type="character" w:styleId="UnresolvedMention">
    <w:name w:val="Unresolved Mention"/>
    <w:basedOn w:val="DefaultParagraphFont"/>
    <w:uiPriority w:val="99"/>
    <w:semiHidden/>
    <w:unhideWhenUsed/>
    <w:rsid w:val="006305F6"/>
    <w:rPr>
      <w:color w:val="605E5C"/>
      <w:shd w:val="clear" w:color="auto" w:fill="E1DFDD"/>
    </w:rPr>
  </w:style>
  <w:style w:type="character" w:styleId="FollowedHyperlink">
    <w:name w:val="FollowedHyperlink"/>
    <w:basedOn w:val="DefaultParagraphFont"/>
    <w:uiPriority w:val="99"/>
    <w:semiHidden/>
    <w:unhideWhenUsed/>
    <w:rsid w:val="007F0654"/>
    <w:rPr>
      <w:color w:val="954F72" w:themeColor="followedHyperlink"/>
      <w:u w:val="single"/>
    </w:rPr>
  </w:style>
  <w:style w:type="paragraph" w:styleId="TOCHeading">
    <w:name w:val="TOC Heading"/>
    <w:basedOn w:val="Heading1"/>
    <w:next w:val="Normal"/>
    <w:uiPriority w:val="39"/>
    <w:unhideWhenUsed/>
    <w:qFormat/>
    <w:rsid w:val="00A9629B"/>
    <w:pPr>
      <w:spacing w:before="240" w:after="0" w:line="259" w:lineRule="auto"/>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A9629B"/>
    <w:pPr>
      <w:spacing w:after="100"/>
    </w:pPr>
  </w:style>
  <w:style w:type="paragraph" w:styleId="TOC2">
    <w:name w:val="toc 2"/>
    <w:basedOn w:val="Normal"/>
    <w:next w:val="Normal"/>
    <w:autoRedefine/>
    <w:uiPriority w:val="39"/>
    <w:unhideWhenUsed/>
    <w:rsid w:val="00A9629B"/>
    <w:pPr>
      <w:spacing w:after="100"/>
      <w:ind w:left="240"/>
    </w:pPr>
  </w:style>
  <w:style w:type="paragraph" w:styleId="TOC3">
    <w:name w:val="toc 3"/>
    <w:basedOn w:val="Normal"/>
    <w:next w:val="Normal"/>
    <w:autoRedefine/>
    <w:uiPriority w:val="39"/>
    <w:unhideWhenUsed/>
    <w:rsid w:val="00FE68C3"/>
    <w:pPr>
      <w:spacing w:after="100"/>
      <w:ind w:left="480"/>
    </w:pPr>
  </w:style>
  <w:style w:type="paragraph" w:styleId="Header">
    <w:name w:val="header"/>
    <w:basedOn w:val="Normal"/>
    <w:link w:val="HeaderChar"/>
    <w:uiPriority w:val="99"/>
    <w:unhideWhenUsed/>
    <w:rsid w:val="007A19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1995"/>
  </w:style>
  <w:style w:type="paragraph" w:styleId="Footer">
    <w:name w:val="footer"/>
    <w:basedOn w:val="Normal"/>
    <w:link w:val="FooterChar"/>
    <w:uiPriority w:val="99"/>
    <w:unhideWhenUsed/>
    <w:rsid w:val="007A19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1995"/>
  </w:style>
  <w:style w:type="paragraph" w:styleId="NormalWeb">
    <w:name w:val="Normal (Web)"/>
    <w:basedOn w:val="Normal"/>
    <w:uiPriority w:val="99"/>
    <w:semiHidden/>
    <w:unhideWhenUsed/>
    <w:rsid w:val="004D67A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bout.sainsburys.co.uk" TargetMode="External"/><Relationship Id="rId18" Type="http://schemas.openxmlformats.org/officeDocument/2006/relationships/hyperlink" Target="https://www.theguardian.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committees.parliament.uk" TargetMode="External"/><Relationship Id="rId7" Type="http://schemas.openxmlformats.org/officeDocument/2006/relationships/endnotes" Target="endnotes.xml"/><Relationship Id="rId12" Type="http://schemas.openxmlformats.org/officeDocument/2006/relationships/hyperlink" Target="https://www.about.sainsburys.co.uk" TargetMode="External"/><Relationship Id="rId17" Type="http://schemas.openxmlformats.org/officeDocument/2006/relationships/hyperlink" Target="https://www.reuters.co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uters.com" TargetMode="External"/><Relationship Id="rId20" Type="http://schemas.openxmlformats.org/officeDocument/2006/relationships/hyperlink" Target="https://www.researchgate.n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out.sainsburys.co.uk" TargetMode="External"/><Relationship Id="rId24" Type="http://schemas.openxmlformats.org/officeDocument/2006/relationships/hyperlink" Target="https://www.structural-learning.com" TargetMode="External"/><Relationship Id="rId5" Type="http://schemas.openxmlformats.org/officeDocument/2006/relationships/webSettings" Target="webSettings.xml"/><Relationship Id="rId15" Type="http://schemas.openxmlformats.org/officeDocument/2006/relationships/hyperlink" Target="https://www.grocerytradenews.com" TargetMode="External"/><Relationship Id="rId23" Type="http://schemas.openxmlformats.org/officeDocument/2006/relationships/hyperlink" Target="https://www.cipd.co.uk" TargetMode="External"/><Relationship Id="rId10" Type="http://schemas.openxmlformats.org/officeDocument/2006/relationships/hyperlink" Target="https://www.about.sainsburys.co.uk" TargetMode="External"/><Relationship Id="rId19" Type="http://schemas.openxmlformats.org/officeDocument/2006/relationships/hyperlink" Target="https://www.marketing91.com" TargetMode="External"/><Relationship Id="rId4" Type="http://schemas.openxmlformats.org/officeDocument/2006/relationships/settings" Target="settings.xml"/><Relationship Id="rId9" Type="http://schemas.openxmlformats.org/officeDocument/2006/relationships/hyperlink" Target="https://chat.openai.com/" TargetMode="External"/><Relationship Id="rId14" Type="http://schemas.openxmlformats.org/officeDocument/2006/relationships/hyperlink" Target="https://www.statista.com" TargetMode="External"/><Relationship Id="rId22" Type="http://schemas.openxmlformats.org/officeDocument/2006/relationships/hyperlink" Target="https://www.heacademy.ac.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1E457F-BA49-452A-BD71-A5BB5C73A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24</Pages>
  <Words>6753</Words>
  <Characters>38494</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Sumaia Mohiuddin</dc:creator>
  <cp:keywords/>
  <dc:description/>
  <cp:lastModifiedBy>Sumaia Mohiuddin</cp:lastModifiedBy>
  <cp:revision>20</cp:revision>
  <cp:lastPrinted>2026-04-17T18:03:00Z</cp:lastPrinted>
  <dcterms:created xsi:type="dcterms:W3CDTF">2026-03-24T13:18:00Z</dcterms:created>
  <dcterms:modified xsi:type="dcterms:W3CDTF">2026-04-30T18:44:00Z</dcterms:modified>
</cp:coreProperties>
</file>