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21AA5" w14:textId="77777777" w:rsidR="00B151A8" w:rsidRDefault="00B151A8"/>
    <w:p w14:paraId="30FFA9A4" w14:textId="77777777" w:rsidR="00754C07" w:rsidRPr="00754C07" w:rsidRDefault="00754C07" w:rsidP="00754C07">
      <w:pPr>
        <w:spacing w:line="360" w:lineRule="auto"/>
        <w:jc w:val="center"/>
        <w:rPr>
          <w:rFonts w:ascii="Arial" w:hAnsi="Arial" w:cs="Arial"/>
          <w:sz w:val="24"/>
          <w:szCs w:val="24"/>
        </w:rPr>
      </w:pPr>
      <w:r w:rsidRPr="00754C07">
        <w:rPr>
          <w:rFonts w:ascii="Arial" w:hAnsi="Arial" w:cs="Arial"/>
          <w:sz w:val="24"/>
          <w:szCs w:val="24"/>
        </w:rPr>
        <w:t>Personnel Resourcing and Development</w:t>
      </w:r>
    </w:p>
    <w:p w14:paraId="5B1BC228" w14:textId="77777777" w:rsidR="00754C07" w:rsidRPr="00754C07" w:rsidRDefault="00754C07" w:rsidP="00754C07">
      <w:pPr>
        <w:spacing w:line="360" w:lineRule="auto"/>
        <w:jc w:val="center"/>
        <w:rPr>
          <w:rFonts w:ascii="Arial" w:hAnsi="Arial" w:cs="Arial"/>
          <w:sz w:val="24"/>
          <w:szCs w:val="24"/>
        </w:rPr>
      </w:pPr>
      <w:r w:rsidRPr="00754C07">
        <w:rPr>
          <w:rFonts w:ascii="Arial" w:hAnsi="Arial" w:cs="Arial"/>
          <w:sz w:val="24"/>
          <w:szCs w:val="24"/>
        </w:rPr>
        <w:t>BMIH5005</w:t>
      </w:r>
    </w:p>
    <w:p w14:paraId="52F4609B" w14:textId="77777777" w:rsidR="00754C07" w:rsidRPr="00754C07" w:rsidRDefault="00754C07" w:rsidP="00754C07">
      <w:pPr>
        <w:spacing w:line="360" w:lineRule="auto"/>
        <w:jc w:val="center"/>
        <w:rPr>
          <w:rFonts w:ascii="Arial" w:hAnsi="Arial" w:cs="Arial"/>
          <w:sz w:val="24"/>
          <w:szCs w:val="24"/>
        </w:rPr>
      </w:pPr>
      <w:r w:rsidRPr="00754C07">
        <w:rPr>
          <w:rFonts w:ascii="Arial" w:hAnsi="Arial" w:cs="Arial"/>
          <w:sz w:val="24"/>
          <w:szCs w:val="24"/>
        </w:rPr>
        <w:t>Essay</w:t>
      </w:r>
    </w:p>
    <w:p w14:paraId="042AFF9E" w14:textId="77777777" w:rsidR="00754C07" w:rsidRPr="00754C07" w:rsidRDefault="00754C07" w:rsidP="00754C07">
      <w:pPr>
        <w:spacing w:line="360" w:lineRule="auto"/>
        <w:jc w:val="center"/>
        <w:rPr>
          <w:rFonts w:ascii="Arial" w:hAnsi="Arial" w:cs="Arial"/>
          <w:sz w:val="24"/>
          <w:szCs w:val="24"/>
        </w:rPr>
      </w:pPr>
    </w:p>
    <w:p w14:paraId="009CF3B2" w14:textId="77777777" w:rsidR="00754C07" w:rsidRPr="00754C07" w:rsidRDefault="00754C07" w:rsidP="00754C07">
      <w:pPr>
        <w:spacing w:line="360" w:lineRule="auto"/>
        <w:jc w:val="center"/>
        <w:rPr>
          <w:rFonts w:ascii="Arial" w:hAnsi="Arial" w:cs="Arial"/>
          <w:sz w:val="24"/>
          <w:szCs w:val="24"/>
        </w:rPr>
      </w:pPr>
    </w:p>
    <w:p w14:paraId="203D95FC" w14:textId="51563B87" w:rsidR="00754C07" w:rsidRPr="00754C07" w:rsidRDefault="00754C07" w:rsidP="00754C07">
      <w:pPr>
        <w:spacing w:line="360" w:lineRule="auto"/>
        <w:jc w:val="center"/>
        <w:rPr>
          <w:rFonts w:ascii="Arial" w:hAnsi="Arial" w:cs="Arial"/>
          <w:i/>
          <w:iCs/>
          <w:sz w:val="24"/>
          <w:szCs w:val="24"/>
        </w:rPr>
      </w:pPr>
      <w:r>
        <w:rPr>
          <w:rFonts w:ascii="Arial" w:hAnsi="Arial" w:cs="Arial"/>
          <w:i/>
          <w:iCs/>
          <w:sz w:val="24"/>
          <w:szCs w:val="24"/>
        </w:rPr>
        <w:t>“</w:t>
      </w:r>
      <w:r w:rsidRPr="00754C07">
        <w:rPr>
          <w:rFonts w:ascii="Arial" w:hAnsi="Arial" w:cs="Arial"/>
          <w:i/>
          <w:iCs/>
          <w:sz w:val="24"/>
          <w:szCs w:val="24"/>
        </w:rPr>
        <w:t>Discuss how the evolution of HRM facilitates the strategic development of an international hotel brand through workforce planning, recruitment and selection</w:t>
      </w:r>
      <w:r>
        <w:rPr>
          <w:rFonts w:ascii="Arial" w:hAnsi="Arial" w:cs="Arial"/>
          <w:i/>
          <w:iCs/>
          <w:sz w:val="24"/>
          <w:szCs w:val="24"/>
        </w:rPr>
        <w:t>”</w:t>
      </w:r>
    </w:p>
    <w:p w14:paraId="75AF9F5D" w14:textId="77777777" w:rsidR="00754C07" w:rsidRPr="00754C07" w:rsidRDefault="00754C07" w:rsidP="00754C07">
      <w:pPr>
        <w:spacing w:line="360" w:lineRule="auto"/>
        <w:jc w:val="center"/>
        <w:rPr>
          <w:rFonts w:ascii="Arial" w:hAnsi="Arial" w:cs="Arial"/>
          <w:sz w:val="24"/>
          <w:szCs w:val="24"/>
        </w:rPr>
      </w:pPr>
    </w:p>
    <w:p w14:paraId="6D81AEAD" w14:textId="77777777" w:rsidR="00754C07" w:rsidRPr="00754C07" w:rsidRDefault="00754C07" w:rsidP="00754C07">
      <w:pPr>
        <w:spacing w:line="360" w:lineRule="auto"/>
        <w:jc w:val="center"/>
        <w:rPr>
          <w:rFonts w:ascii="Arial" w:hAnsi="Arial" w:cs="Arial"/>
          <w:sz w:val="24"/>
          <w:szCs w:val="24"/>
        </w:rPr>
      </w:pPr>
    </w:p>
    <w:p w14:paraId="23171D0F" w14:textId="77777777" w:rsidR="00754C07" w:rsidRPr="00754C07" w:rsidRDefault="00754C07" w:rsidP="00754C07">
      <w:pPr>
        <w:spacing w:line="360" w:lineRule="auto"/>
        <w:jc w:val="center"/>
        <w:rPr>
          <w:rFonts w:ascii="Arial" w:hAnsi="Arial" w:cs="Arial"/>
          <w:sz w:val="24"/>
          <w:szCs w:val="24"/>
        </w:rPr>
      </w:pPr>
    </w:p>
    <w:p w14:paraId="48C285D1" w14:textId="56F015F2" w:rsidR="00754C07" w:rsidRPr="00754C07" w:rsidRDefault="00754C07" w:rsidP="00754C07">
      <w:pPr>
        <w:spacing w:line="360" w:lineRule="auto"/>
        <w:jc w:val="center"/>
        <w:rPr>
          <w:rFonts w:ascii="Arial" w:hAnsi="Arial" w:cs="Arial"/>
          <w:sz w:val="24"/>
          <w:szCs w:val="24"/>
        </w:rPr>
      </w:pPr>
      <w:proofErr w:type="spellStart"/>
      <w:proofErr w:type="gramStart"/>
      <w:r w:rsidRPr="00754C07">
        <w:rPr>
          <w:rFonts w:ascii="Arial" w:hAnsi="Arial" w:cs="Arial"/>
          <w:sz w:val="24"/>
          <w:szCs w:val="24"/>
        </w:rPr>
        <w:t>Lecturer:</w:t>
      </w:r>
      <w:r w:rsidR="00015100">
        <w:rPr>
          <w:rFonts w:ascii="Arial" w:hAnsi="Arial" w:cs="Arial"/>
          <w:sz w:val="24"/>
          <w:szCs w:val="24"/>
        </w:rPr>
        <w:t>HELEN</w:t>
      </w:r>
      <w:proofErr w:type="spellEnd"/>
      <w:proofErr w:type="gramEnd"/>
      <w:r w:rsidR="00015100">
        <w:rPr>
          <w:rFonts w:ascii="Arial" w:hAnsi="Arial" w:cs="Arial"/>
          <w:sz w:val="24"/>
          <w:szCs w:val="24"/>
        </w:rPr>
        <w:t xml:space="preserve"> LEE</w:t>
      </w:r>
    </w:p>
    <w:p w14:paraId="699473B2" w14:textId="32141A13" w:rsidR="00754C07" w:rsidRPr="00754C07" w:rsidRDefault="00015100" w:rsidP="00015100">
      <w:pPr>
        <w:spacing w:line="360" w:lineRule="auto"/>
        <w:rPr>
          <w:rFonts w:ascii="Arial" w:hAnsi="Arial" w:cs="Arial"/>
          <w:sz w:val="24"/>
          <w:szCs w:val="24"/>
        </w:rPr>
      </w:pPr>
      <w:r>
        <w:rPr>
          <w:rFonts w:ascii="Arial" w:hAnsi="Arial" w:cs="Arial"/>
          <w:sz w:val="24"/>
          <w:szCs w:val="24"/>
        </w:rPr>
        <w:t xml:space="preserve">                                                  </w:t>
      </w:r>
      <w:r w:rsidR="00754C07" w:rsidRPr="00754C07">
        <w:rPr>
          <w:rFonts w:ascii="Arial" w:hAnsi="Arial" w:cs="Arial"/>
          <w:sz w:val="24"/>
          <w:szCs w:val="24"/>
        </w:rPr>
        <w:t>Student id:</w:t>
      </w:r>
      <w:r>
        <w:rPr>
          <w:rFonts w:ascii="Arial" w:hAnsi="Arial" w:cs="Arial"/>
          <w:sz w:val="24"/>
          <w:szCs w:val="24"/>
        </w:rPr>
        <w:t>2218469</w:t>
      </w:r>
    </w:p>
    <w:p w14:paraId="7F276C85" w14:textId="550B32D3" w:rsidR="00754C07" w:rsidRDefault="00015100" w:rsidP="00754C07">
      <w:pPr>
        <w:spacing w:line="360" w:lineRule="auto"/>
        <w:jc w:val="center"/>
        <w:rPr>
          <w:rFonts w:ascii="Arial" w:hAnsi="Arial" w:cs="Arial"/>
          <w:sz w:val="24"/>
          <w:szCs w:val="24"/>
        </w:rPr>
      </w:pPr>
      <w:r>
        <w:rPr>
          <w:rFonts w:ascii="Arial" w:hAnsi="Arial" w:cs="Arial"/>
          <w:sz w:val="24"/>
          <w:szCs w:val="24"/>
        </w:rPr>
        <w:t xml:space="preserve">                     </w:t>
      </w:r>
      <w:r w:rsidR="00754C07" w:rsidRPr="00754C07">
        <w:rPr>
          <w:rFonts w:ascii="Arial" w:hAnsi="Arial" w:cs="Arial"/>
          <w:sz w:val="24"/>
          <w:szCs w:val="24"/>
        </w:rPr>
        <w:t xml:space="preserve">Student </w:t>
      </w:r>
      <w:proofErr w:type="spellStart"/>
      <w:proofErr w:type="gramStart"/>
      <w:r w:rsidR="00754C07" w:rsidRPr="00754C07">
        <w:rPr>
          <w:rFonts w:ascii="Arial" w:hAnsi="Arial" w:cs="Arial"/>
          <w:sz w:val="24"/>
          <w:szCs w:val="24"/>
        </w:rPr>
        <w:t>name:</w:t>
      </w:r>
      <w:r>
        <w:rPr>
          <w:rFonts w:ascii="Arial" w:hAnsi="Arial" w:cs="Arial"/>
          <w:sz w:val="24"/>
          <w:szCs w:val="24"/>
        </w:rPr>
        <w:t>MIHAELA</w:t>
      </w:r>
      <w:proofErr w:type="spellEnd"/>
      <w:proofErr w:type="gramEnd"/>
      <w:r>
        <w:rPr>
          <w:rFonts w:ascii="Arial" w:hAnsi="Arial" w:cs="Arial"/>
          <w:sz w:val="24"/>
          <w:szCs w:val="24"/>
        </w:rPr>
        <w:t xml:space="preserve"> CARADAN</w:t>
      </w:r>
    </w:p>
    <w:p w14:paraId="6BBBB7C5" w14:textId="7541B4CB" w:rsidR="00754C07" w:rsidRPr="00754C07" w:rsidRDefault="00015100" w:rsidP="00015100">
      <w:pPr>
        <w:spacing w:line="360" w:lineRule="auto"/>
        <w:rPr>
          <w:rFonts w:ascii="Arial" w:hAnsi="Arial" w:cs="Arial"/>
          <w:sz w:val="24"/>
          <w:szCs w:val="24"/>
        </w:rPr>
      </w:pPr>
      <w:r>
        <w:rPr>
          <w:rFonts w:ascii="Arial" w:hAnsi="Arial" w:cs="Arial"/>
          <w:sz w:val="24"/>
          <w:szCs w:val="24"/>
        </w:rPr>
        <w:t xml:space="preserve">                                                 </w:t>
      </w:r>
      <w:r w:rsidR="00754C07">
        <w:rPr>
          <w:rFonts w:ascii="Arial" w:hAnsi="Arial" w:cs="Arial"/>
          <w:sz w:val="24"/>
          <w:szCs w:val="24"/>
        </w:rPr>
        <w:t>Date:</w:t>
      </w:r>
      <w:r w:rsidR="0079743F">
        <w:rPr>
          <w:rFonts w:ascii="Arial" w:hAnsi="Arial" w:cs="Arial"/>
          <w:sz w:val="24"/>
          <w:szCs w:val="24"/>
        </w:rPr>
        <w:t xml:space="preserve"> 05/02/2024</w:t>
      </w:r>
    </w:p>
    <w:p w14:paraId="267B29FF" w14:textId="1A055C25" w:rsidR="00754C07" w:rsidRPr="00754C07" w:rsidRDefault="00015100" w:rsidP="00015100">
      <w:pPr>
        <w:spacing w:line="360" w:lineRule="auto"/>
        <w:rPr>
          <w:rFonts w:ascii="Arial" w:hAnsi="Arial" w:cs="Arial"/>
          <w:sz w:val="24"/>
          <w:szCs w:val="24"/>
        </w:rPr>
      </w:pPr>
      <w:r>
        <w:rPr>
          <w:rFonts w:ascii="Arial" w:hAnsi="Arial" w:cs="Arial"/>
          <w:sz w:val="24"/>
          <w:szCs w:val="24"/>
        </w:rPr>
        <w:t xml:space="preserve">                                                 </w:t>
      </w:r>
      <w:r w:rsidR="00754C07" w:rsidRPr="00754C07">
        <w:rPr>
          <w:rFonts w:ascii="Arial" w:hAnsi="Arial" w:cs="Arial"/>
          <w:sz w:val="24"/>
          <w:szCs w:val="24"/>
        </w:rPr>
        <w:t>Word count:</w:t>
      </w:r>
      <w:r w:rsidR="0079743F">
        <w:rPr>
          <w:rFonts w:ascii="Arial" w:hAnsi="Arial" w:cs="Arial"/>
          <w:sz w:val="24"/>
          <w:szCs w:val="24"/>
        </w:rPr>
        <w:t xml:space="preserve"> 2157</w:t>
      </w:r>
    </w:p>
    <w:p w14:paraId="58941BD9" w14:textId="77777777" w:rsidR="00B43BBE" w:rsidRDefault="00B43BBE"/>
    <w:p w14:paraId="420CD74B" w14:textId="77777777" w:rsidR="00B43BBE" w:rsidRDefault="00B43BBE"/>
    <w:p w14:paraId="43302883" w14:textId="77777777" w:rsidR="00B43BBE" w:rsidRDefault="00B43BBE"/>
    <w:p w14:paraId="7015E987" w14:textId="77777777" w:rsidR="00B43BBE" w:rsidRDefault="00B43BBE"/>
    <w:p w14:paraId="687D1591" w14:textId="77777777" w:rsidR="00B43BBE" w:rsidRDefault="00B43BBE"/>
    <w:p w14:paraId="2AD9C707" w14:textId="77777777" w:rsidR="00B43BBE" w:rsidRDefault="00B43BBE"/>
    <w:p w14:paraId="602F6815" w14:textId="77777777" w:rsidR="00B43BBE" w:rsidRDefault="00B43BBE"/>
    <w:p w14:paraId="6CD497BF" w14:textId="77777777" w:rsidR="00B43BBE" w:rsidRDefault="00B43BBE"/>
    <w:p w14:paraId="33B821D5" w14:textId="77777777" w:rsidR="00B43BBE" w:rsidRDefault="00B43BBE"/>
    <w:p w14:paraId="65D2D109" w14:textId="77777777" w:rsidR="00B43BBE" w:rsidRDefault="00B43BBE"/>
    <w:p w14:paraId="125C2FCD" w14:textId="77777777" w:rsidR="00B43BBE" w:rsidRPr="002478AC" w:rsidRDefault="00B43BBE" w:rsidP="002478AC">
      <w:pPr>
        <w:spacing w:line="360" w:lineRule="auto"/>
        <w:jc w:val="both"/>
        <w:rPr>
          <w:rFonts w:ascii="Arial" w:hAnsi="Arial" w:cs="Arial"/>
          <w:sz w:val="24"/>
          <w:szCs w:val="24"/>
        </w:rPr>
      </w:pPr>
    </w:p>
    <w:p w14:paraId="77DE4B93" w14:textId="165E8339" w:rsidR="00B43BBE" w:rsidRPr="0079743F" w:rsidRDefault="002478AC" w:rsidP="006448D6">
      <w:pPr>
        <w:spacing w:line="360" w:lineRule="auto"/>
        <w:jc w:val="both"/>
        <w:rPr>
          <w:rFonts w:ascii="Arial" w:hAnsi="Arial" w:cs="Arial"/>
          <w:sz w:val="24"/>
          <w:szCs w:val="24"/>
        </w:rPr>
      </w:pPr>
      <w:r w:rsidRPr="0079743F">
        <w:rPr>
          <w:rFonts w:ascii="Arial" w:hAnsi="Arial" w:cs="Arial"/>
          <w:sz w:val="24"/>
          <w:szCs w:val="24"/>
        </w:rPr>
        <w:lastRenderedPageBreak/>
        <w:t>The proactive method of managing people in an organisation that supports its goals and culture is known as human resource management, or HRM. It includes employing, selecting, preparing, evaluating, and rewarding staff members in addition to managing organisational leadership and culture to guarantee adherence to labour and employment regulations. The significance of HRM rests in its capacity to improve employee skills, motivation, and productivity via effective people management, hence impacting organisational performance and making a substantial contribution towards the attainment of organisational objectives</w:t>
      </w:r>
      <w:r w:rsidR="0056500C" w:rsidRPr="0079743F">
        <w:rPr>
          <w:rFonts w:ascii="Arial" w:hAnsi="Arial" w:cs="Arial"/>
          <w:sz w:val="24"/>
          <w:szCs w:val="24"/>
        </w:rPr>
        <w:t xml:space="preserve"> </w:t>
      </w:r>
      <w:r w:rsidR="0056500C" w:rsidRPr="0079743F">
        <w:rPr>
          <w:rFonts w:ascii="Arial" w:hAnsi="Arial" w:cs="Arial"/>
          <w:sz w:val="24"/>
          <w:szCs w:val="24"/>
          <w:shd w:val="clear" w:color="auto" w:fill="FFFFFF"/>
        </w:rPr>
        <w:t>(Burke and Hughes, 2018).</w:t>
      </w:r>
      <w:r w:rsidRPr="0079743F">
        <w:rPr>
          <w:rFonts w:ascii="Arial" w:hAnsi="Arial" w:cs="Arial"/>
          <w:sz w:val="24"/>
          <w:szCs w:val="24"/>
        </w:rPr>
        <w:t xml:space="preserve"> Recruitment and selection are essential parts of human resource management, with the goal of drawing in, evaluating, and assigning qualified applicants to positions inside a company. These procedures are essential for attracting personnel that aligns with the goals, beliefs, and culture of the company</w:t>
      </w:r>
      <w:r w:rsidR="0056500C" w:rsidRPr="0079743F">
        <w:rPr>
          <w:rFonts w:ascii="Arial" w:hAnsi="Arial" w:cs="Arial"/>
          <w:sz w:val="24"/>
          <w:szCs w:val="24"/>
        </w:rPr>
        <w:t xml:space="preserve"> </w:t>
      </w:r>
      <w:r w:rsidR="0056500C" w:rsidRPr="0079743F">
        <w:rPr>
          <w:rFonts w:ascii="Arial" w:hAnsi="Arial" w:cs="Arial"/>
          <w:sz w:val="24"/>
          <w:szCs w:val="24"/>
          <w:shd w:val="clear" w:color="auto" w:fill="FFFFFF"/>
        </w:rPr>
        <w:t>(Neeraj and Ruchi, 2013)</w:t>
      </w:r>
      <w:r w:rsidR="0056500C" w:rsidRPr="0079743F">
        <w:rPr>
          <w:rFonts w:ascii="Arial" w:hAnsi="Arial" w:cs="Arial"/>
          <w:sz w:val="24"/>
          <w:szCs w:val="24"/>
        </w:rPr>
        <w:t xml:space="preserve"> . </w:t>
      </w:r>
      <w:r w:rsidRPr="0079743F">
        <w:rPr>
          <w:rFonts w:ascii="Arial" w:hAnsi="Arial" w:cs="Arial"/>
          <w:sz w:val="24"/>
          <w:szCs w:val="24"/>
        </w:rPr>
        <w:t>Using employment agencies, social media recruiting, internal recruitment, and external advertising through a variety of channels are some examples of recruitment tactics. By choosing the appropriate people who can contribute to the success of the company, effective recruiting and selection procedures boost organisational performance, guarantee a high-quality workforce, and lower turnover rates</w:t>
      </w:r>
      <w:r w:rsidR="0056500C" w:rsidRPr="0079743F">
        <w:rPr>
          <w:rFonts w:ascii="Arial" w:hAnsi="Arial" w:cs="Arial"/>
          <w:sz w:val="24"/>
          <w:szCs w:val="24"/>
        </w:rPr>
        <w:t xml:space="preserve"> (CIPD, 2023).</w:t>
      </w:r>
      <w:r w:rsidRPr="0079743F">
        <w:rPr>
          <w:rFonts w:ascii="Arial" w:hAnsi="Arial" w:cs="Arial"/>
          <w:sz w:val="24"/>
          <w:szCs w:val="24"/>
        </w:rPr>
        <w:t xml:space="preserve"> </w:t>
      </w:r>
      <w:proofErr w:type="gramStart"/>
      <w:r w:rsidRPr="0079743F">
        <w:rPr>
          <w:rFonts w:ascii="Arial" w:hAnsi="Arial" w:cs="Arial"/>
          <w:sz w:val="24"/>
          <w:szCs w:val="24"/>
        </w:rPr>
        <w:t>In order to</w:t>
      </w:r>
      <w:proofErr w:type="gramEnd"/>
      <w:r w:rsidRPr="0079743F">
        <w:rPr>
          <w:rFonts w:ascii="Arial" w:hAnsi="Arial" w:cs="Arial"/>
          <w:sz w:val="24"/>
          <w:szCs w:val="24"/>
        </w:rPr>
        <w:t xml:space="preserve"> demonstrate the development of HRM in an international brand via recruiting, selection, and planning, the essay will examine Hilton approaches.</w:t>
      </w:r>
    </w:p>
    <w:p w14:paraId="7BCB26BD" w14:textId="77777777" w:rsidR="006448D6" w:rsidRPr="0079743F" w:rsidRDefault="006448D6" w:rsidP="006448D6">
      <w:pPr>
        <w:spacing w:line="360" w:lineRule="auto"/>
        <w:jc w:val="both"/>
        <w:rPr>
          <w:rFonts w:ascii="Arial" w:hAnsi="Arial" w:cs="Arial"/>
          <w:sz w:val="24"/>
          <w:szCs w:val="24"/>
        </w:rPr>
      </w:pPr>
    </w:p>
    <w:p w14:paraId="532A0996" w14:textId="25E84482" w:rsidR="006448D6" w:rsidRPr="0079743F" w:rsidRDefault="006448D6" w:rsidP="006448D6">
      <w:pPr>
        <w:spacing w:line="360" w:lineRule="auto"/>
        <w:jc w:val="both"/>
        <w:rPr>
          <w:rFonts w:ascii="Arial" w:hAnsi="Arial" w:cs="Arial"/>
          <w:sz w:val="24"/>
          <w:szCs w:val="24"/>
        </w:rPr>
      </w:pPr>
      <w:r w:rsidRPr="0079743F">
        <w:rPr>
          <w:rFonts w:ascii="Arial" w:hAnsi="Arial" w:cs="Arial"/>
          <w:sz w:val="24"/>
          <w:szCs w:val="24"/>
        </w:rPr>
        <w:t>The core elements of Human Resource Management  are strategic HR planning, recruiting, and selection. HR practices are coordinated with an organization's strategic goals to improve overall performance and gain a competitive edge. Each of these interconnected procedures is essential to ensure that the appropriate people are present at the appropriate times to accomplish the objectives of the organisation</w:t>
      </w:r>
      <w:r w:rsidR="0056500C" w:rsidRPr="0079743F">
        <w:rPr>
          <w:rFonts w:ascii="Arial" w:hAnsi="Arial" w:cs="Arial"/>
          <w:sz w:val="24"/>
          <w:szCs w:val="24"/>
        </w:rPr>
        <w:t xml:space="preserve"> (Marchington and Wilkinson, 2016). </w:t>
      </w:r>
      <w:r w:rsidRPr="0079743F">
        <w:rPr>
          <w:rFonts w:ascii="Arial" w:hAnsi="Arial" w:cs="Arial"/>
          <w:sz w:val="24"/>
          <w:szCs w:val="24"/>
        </w:rPr>
        <w:t xml:space="preserve">Creating a thorough plan for managing an organization's human resources in line with its business objectives is known as strategic HR planning. It focuses on the tactics used to address long-term issues in human resources. For example, HR strategies are statements of an organization's current and long-term plans for its HRM policies and practices to make sure they support the accomplishment of business goals. By helping the company to accomplish its objectives via efficient people management, strategic HR planning guarantees that HRM is more than simply a function but a strategic partner in its success (Armstrong </w:t>
      </w:r>
      <w:r w:rsidRPr="0079743F">
        <w:rPr>
          <w:rFonts w:ascii="Arial" w:hAnsi="Arial" w:cs="Arial"/>
          <w:sz w:val="24"/>
          <w:szCs w:val="24"/>
        </w:rPr>
        <w:lastRenderedPageBreak/>
        <w:t xml:space="preserve">&amp; Taylor, 2020). The process of finding and drawing in enough qualified job candidates to enable an organisation to choose the best individuals to meet its hiring needs is known as recruitment. The hiring process entails determining the competencies needed for the position and selecting the best strategies to draw in a pool of qualified applicants. This procedure may be carried out externally in the local, regional, national, and worldwide labour markets, or internally inside the company. The perceived fairness and professionalism of the selection processes have an impact on the efficacy of recruiting strategies, which in turn affects the organization's capacity to draw in qualified applicants </w:t>
      </w:r>
      <w:r w:rsidR="00870AA5" w:rsidRPr="0079743F">
        <w:rPr>
          <w:rFonts w:ascii="Arial" w:hAnsi="Arial" w:cs="Arial"/>
          <w:sz w:val="24"/>
          <w:szCs w:val="24"/>
          <w:shd w:val="clear" w:color="auto" w:fill="FFFFFF"/>
        </w:rPr>
        <w:t>(Banfield, Kay and Royles, 2018</w:t>
      </w:r>
      <w:r w:rsidRPr="0079743F">
        <w:rPr>
          <w:rFonts w:ascii="Arial" w:hAnsi="Arial" w:cs="Arial"/>
          <w:sz w:val="24"/>
          <w:szCs w:val="24"/>
        </w:rPr>
        <w:t>). Predicting which applicants will contribute to the organisation most effectively both presently and in the future is a key component of selection. It uses a variety of techniques, including tests, evaluations, and interviews, to identify the best applicants for jobs. To make sure the company selects people who can work successfully and contribute to its success, selection must be done effectively. It also influences how appealing the company is to prospective employees, as ethical and open hiring procedures can improve the company's standing as a top employer (B</w:t>
      </w:r>
      <w:r w:rsidR="00870AA5" w:rsidRPr="0079743F">
        <w:rPr>
          <w:rFonts w:ascii="Arial" w:hAnsi="Arial" w:cs="Arial"/>
          <w:sz w:val="24"/>
          <w:szCs w:val="24"/>
        </w:rPr>
        <w:t>ratton et al.</w:t>
      </w:r>
      <w:r w:rsidRPr="0079743F">
        <w:rPr>
          <w:rFonts w:ascii="Arial" w:hAnsi="Arial" w:cs="Arial"/>
          <w:sz w:val="24"/>
          <w:szCs w:val="24"/>
        </w:rPr>
        <w:t>, 2021).</w:t>
      </w:r>
    </w:p>
    <w:p w14:paraId="68AE7A35" w14:textId="77777777" w:rsidR="006448D6" w:rsidRPr="0079743F" w:rsidRDefault="006448D6" w:rsidP="006448D6">
      <w:pPr>
        <w:spacing w:line="360" w:lineRule="auto"/>
        <w:jc w:val="both"/>
        <w:rPr>
          <w:rFonts w:ascii="Arial" w:hAnsi="Arial" w:cs="Arial"/>
          <w:sz w:val="24"/>
          <w:szCs w:val="24"/>
        </w:rPr>
      </w:pPr>
    </w:p>
    <w:p w14:paraId="13C95A1A" w14:textId="5F1F0273" w:rsidR="006448D6" w:rsidRPr="0079743F" w:rsidRDefault="006448D6" w:rsidP="006448D6">
      <w:pPr>
        <w:spacing w:line="360" w:lineRule="auto"/>
        <w:jc w:val="both"/>
        <w:rPr>
          <w:rFonts w:ascii="Arial" w:hAnsi="Arial" w:cs="Arial"/>
          <w:sz w:val="24"/>
          <w:szCs w:val="24"/>
        </w:rPr>
      </w:pPr>
      <w:proofErr w:type="gramStart"/>
      <w:r w:rsidRPr="0079743F">
        <w:rPr>
          <w:rFonts w:ascii="Arial" w:hAnsi="Arial" w:cs="Arial"/>
          <w:sz w:val="24"/>
          <w:szCs w:val="24"/>
        </w:rPr>
        <w:t>In order to</w:t>
      </w:r>
      <w:proofErr w:type="gramEnd"/>
      <w:r w:rsidRPr="0079743F">
        <w:rPr>
          <w:rFonts w:ascii="Arial" w:hAnsi="Arial" w:cs="Arial"/>
          <w:sz w:val="24"/>
          <w:szCs w:val="24"/>
        </w:rPr>
        <w:t xml:space="preserve"> sustain its position as a top global hospitality company, Hilton places a major emphasis on developing a robust, diversified, and competent workforce. Strategic HR planning, recruiting, and selection are essential elements that closely correspond with the organization's larger aims. This strategy aims to create an inclusive, growth-oriented, and opportunity-driven culture that appeals to both present and potential team members in addition to filling roles</w:t>
      </w:r>
      <w:r w:rsidR="00870AA5" w:rsidRPr="0079743F">
        <w:rPr>
          <w:rFonts w:ascii="Arial" w:hAnsi="Arial" w:cs="Arial"/>
          <w:sz w:val="24"/>
          <w:szCs w:val="24"/>
        </w:rPr>
        <w:t xml:space="preserve"> (Zhang, 2023). </w:t>
      </w:r>
      <w:r w:rsidRPr="0079743F">
        <w:rPr>
          <w:rFonts w:ascii="Arial" w:hAnsi="Arial" w:cs="Arial"/>
          <w:sz w:val="24"/>
          <w:szCs w:val="24"/>
        </w:rPr>
        <w:t xml:space="preserve">Hilton's strategic HR planning takes a comprehensive approach to employee development, including ongoing education and leadership development. Since a substantial portion of corporate and management positions are filled internally, Hilton has demonstrated its commitment to developing talent from within through its efforts to maximise internal mobility. </w:t>
      </w:r>
      <w:r w:rsidR="00E732DB" w:rsidRPr="0079743F">
        <w:rPr>
          <w:rFonts w:ascii="Arial" w:hAnsi="Arial" w:cs="Arial"/>
          <w:sz w:val="24"/>
          <w:szCs w:val="24"/>
        </w:rPr>
        <w:t>Hilton prioritises career growth and internal talent nurturing, as evidenced by the fact that 50% of U.S. owned and managed general manager positions and 56% of global corporate director and above posts were filled internally in 2022</w:t>
      </w:r>
      <w:r w:rsidR="00870AA5" w:rsidRPr="0079743F">
        <w:rPr>
          <w:rFonts w:ascii="Arial" w:hAnsi="Arial" w:cs="Arial"/>
          <w:sz w:val="24"/>
          <w:szCs w:val="24"/>
        </w:rPr>
        <w:t xml:space="preserve"> (Hilton, 2022). </w:t>
      </w:r>
      <w:r w:rsidR="00E732DB" w:rsidRPr="0079743F">
        <w:rPr>
          <w:rFonts w:ascii="Arial" w:hAnsi="Arial" w:cs="Arial"/>
          <w:sz w:val="24"/>
          <w:szCs w:val="24"/>
        </w:rPr>
        <w:t xml:space="preserve"> </w:t>
      </w:r>
      <w:r w:rsidRPr="0079743F">
        <w:rPr>
          <w:rFonts w:ascii="Arial" w:hAnsi="Arial" w:cs="Arial"/>
          <w:sz w:val="24"/>
          <w:szCs w:val="24"/>
        </w:rPr>
        <w:t xml:space="preserve">Hilton's ESG Report highlights the significance of career development and the establishment of a strong talent pipeline. This approach guarantees that team members have the necessary skills and chances to advance within the organisation. </w:t>
      </w:r>
      <w:r w:rsidRPr="0079743F">
        <w:rPr>
          <w:rFonts w:ascii="Arial" w:hAnsi="Arial" w:cs="Arial"/>
          <w:sz w:val="24"/>
          <w:szCs w:val="24"/>
        </w:rPr>
        <w:lastRenderedPageBreak/>
        <w:t xml:space="preserve">Moreover, </w:t>
      </w:r>
      <w:r w:rsidR="00870AA5" w:rsidRPr="0079743F">
        <w:rPr>
          <w:rFonts w:ascii="Arial" w:hAnsi="Arial" w:cs="Arial"/>
          <w:sz w:val="24"/>
          <w:szCs w:val="24"/>
        </w:rPr>
        <w:t>to</w:t>
      </w:r>
      <w:r w:rsidRPr="0079743F">
        <w:rPr>
          <w:rFonts w:ascii="Arial" w:hAnsi="Arial" w:cs="Arial"/>
          <w:sz w:val="24"/>
          <w:szCs w:val="24"/>
        </w:rPr>
        <w:t xml:space="preserve"> create successful leaders throughout the company, Hilton provides renowned leadership development programmes. These initiatives, including the "</w:t>
      </w:r>
      <w:proofErr w:type="spellStart"/>
      <w:r w:rsidRPr="0079743F">
        <w:rPr>
          <w:rFonts w:ascii="Arial" w:hAnsi="Arial" w:cs="Arial"/>
          <w:sz w:val="24"/>
          <w:szCs w:val="24"/>
        </w:rPr>
        <w:t>Lead@Hilton</w:t>
      </w:r>
      <w:proofErr w:type="spellEnd"/>
      <w:r w:rsidRPr="0079743F">
        <w:rPr>
          <w:rFonts w:ascii="Arial" w:hAnsi="Arial" w:cs="Arial"/>
          <w:sz w:val="24"/>
          <w:szCs w:val="24"/>
        </w:rPr>
        <w:t>" framework, aim to support team members in developing critical skills, improving business acumen, and building relationships with senior leaders at every career stage, from entry-level to senior leadership</w:t>
      </w:r>
      <w:r w:rsidR="00870AA5" w:rsidRPr="0079743F">
        <w:rPr>
          <w:rFonts w:ascii="Arial" w:hAnsi="Arial" w:cs="Arial"/>
          <w:sz w:val="24"/>
          <w:szCs w:val="24"/>
        </w:rPr>
        <w:t xml:space="preserve"> (Hilton, 2021). </w:t>
      </w:r>
      <w:r w:rsidRPr="0079743F">
        <w:rPr>
          <w:rFonts w:ascii="Arial" w:hAnsi="Arial" w:cs="Arial"/>
          <w:sz w:val="24"/>
          <w:szCs w:val="24"/>
        </w:rPr>
        <w:t xml:space="preserve"> To increase Hilton's bench strength and make sure the business has the leadership talent required to meet its strategic goals, the organisation must place a strong emphasis on leadership development.</w:t>
      </w:r>
    </w:p>
    <w:p w14:paraId="5F4ECFEB" w14:textId="77777777" w:rsidR="006448D6" w:rsidRPr="0079743F" w:rsidRDefault="006448D6" w:rsidP="006448D6">
      <w:pPr>
        <w:spacing w:line="360" w:lineRule="auto"/>
        <w:jc w:val="both"/>
        <w:rPr>
          <w:rFonts w:ascii="Arial" w:hAnsi="Arial" w:cs="Arial"/>
          <w:sz w:val="24"/>
          <w:szCs w:val="24"/>
        </w:rPr>
      </w:pPr>
    </w:p>
    <w:p w14:paraId="17CF4339" w14:textId="306C2232" w:rsidR="006448D6" w:rsidRPr="0079743F" w:rsidRDefault="006448D6" w:rsidP="006448D6">
      <w:pPr>
        <w:spacing w:line="360" w:lineRule="auto"/>
        <w:jc w:val="both"/>
        <w:rPr>
          <w:rFonts w:ascii="Arial" w:hAnsi="Arial" w:cs="Arial"/>
          <w:sz w:val="24"/>
          <w:szCs w:val="24"/>
        </w:rPr>
      </w:pPr>
      <w:r w:rsidRPr="0079743F">
        <w:rPr>
          <w:rFonts w:ascii="Arial" w:hAnsi="Arial" w:cs="Arial"/>
          <w:sz w:val="24"/>
          <w:szCs w:val="24"/>
        </w:rPr>
        <w:t xml:space="preserve">Additionally, Hilton's recruitment strategy is inclusive and broad-minded, aiming to identify applicants that not only possess the required abilities but also align with the hotel chain's hospitality ethos. The organisation uses a variety of outreach channels as part of its recruiting strategy, and it is dedicated to an inclusive hiring procedure that recognises diversity and the </w:t>
      </w:r>
      <w:proofErr w:type="gramStart"/>
      <w:r w:rsidRPr="0079743F">
        <w:rPr>
          <w:rFonts w:ascii="Arial" w:hAnsi="Arial" w:cs="Arial"/>
          <w:sz w:val="24"/>
          <w:szCs w:val="24"/>
        </w:rPr>
        <w:t>particular contributions</w:t>
      </w:r>
      <w:proofErr w:type="gramEnd"/>
      <w:r w:rsidRPr="0079743F">
        <w:rPr>
          <w:rFonts w:ascii="Arial" w:hAnsi="Arial" w:cs="Arial"/>
          <w:sz w:val="24"/>
          <w:szCs w:val="24"/>
        </w:rPr>
        <w:t xml:space="preserve"> of every candidate</w:t>
      </w:r>
      <w:r w:rsidR="00870AA5" w:rsidRPr="0079743F">
        <w:rPr>
          <w:rFonts w:ascii="Arial" w:hAnsi="Arial" w:cs="Arial"/>
          <w:sz w:val="24"/>
          <w:szCs w:val="24"/>
        </w:rPr>
        <w:t xml:space="preserve"> (Zhang, 2023). </w:t>
      </w:r>
      <w:r w:rsidRPr="0079743F">
        <w:rPr>
          <w:rFonts w:ascii="Arial" w:hAnsi="Arial" w:cs="Arial"/>
          <w:sz w:val="24"/>
          <w:szCs w:val="24"/>
        </w:rPr>
        <w:t>Hilton's emphasis on luring talent who shares its ideals and standards is essential to preserving the superior quality of service and visitor experience for which the company is renowned. For instance, through its talent community platform, Hilton actively interacts with prospective employees, enabling them to keep in contact with the organisation and get job notifications that align with their interests. This proactive strategy to hiring guarantees that Hilton can swiftly find and attract talent that is in line with its operational objectives and values while also helping the company to retain a pool of interested applicants</w:t>
      </w:r>
      <w:r w:rsidR="00870AA5" w:rsidRPr="0079743F">
        <w:rPr>
          <w:rFonts w:ascii="Arial" w:hAnsi="Arial" w:cs="Arial"/>
          <w:sz w:val="24"/>
          <w:szCs w:val="24"/>
        </w:rPr>
        <w:t xml:space="preserve"> (Hilton, n.d.). </w:t>
      </w:r>
      <w:r w:rsidRPr="0079743F">
        <w:rPr>
          <w:rFonts w:ascii="Arial" w:hAnsi="Arial" w:cs="Arial"/>
          <w:sz w:val="24"/>
          <w:szCs w:val="24"/>
        </w:rPr>
        <w:t>Also, Hilton's dedication to provide worthwhile work experiences and growth prospects is demonstrated by its support of projects like the Aurora Foxes Food Truck</w:t>
      </w:r>
      <w:r w:rsidR="00870AA5" w:rsidRPr="0079743F">
        <w:rPr>
          <w:rFonts w:ascii="Arial" w:hAnsi="Arial" w:cs="Arial"/>
          <w:sz w:val="24"/>
          <w:szCs w:val="24"/>
        </w:rPr>
        <w:t xml:space="preserve"> (Hilton, 2022). </w:t>
      </w:r>
      <w:r w:rsidRPr="0079743F">
        <w:rPr>
          <w:rFonts w:ascii="Arial" w:hAnsi="Arial" w:cs="Arial"/>
          <w:sz w:val="24"/>
          <w:szCs w:val="24"/>
        </w:rPr>
        <w:t xml:space="preserve"> This initiative demonstrates Hilton's wider commitment to diversity and community involvement while providing hands-on experience in the hospitality sector to students with learning difficulties.</w:t>
      </w:r>
    </w:p>
    <w:p w14:paraId="5591AACF" w14:textId="77777777" w:rsidR="006448D6" w:rsidRPr="0079743F" w:rsidRDefault="006448D6" w:rsidP="006448D6">
      <w:pPr>
        <w:spacing w:line="360" w:lineRule="auto"/>
        <w:jc w:val="both"/>
        <w:rPr>
          <w:rFonts w:ascii="Arial" w:hAnsi="Arial" w:cs="Arial"/>
          <w:sz w:val="24"/>
          <w:szCs w:val="24"/>
        </w:rPr>
      </w:pPr>
    </w:p>
    <w:p w14:paraId="0C3DF6B7" w14:textId="28088ACC" w:rsidR="006448D6" w:rsidRPr="0079743F" w:rsidRDefault="006448D6" w:rsidP="006448D6">
      <w:pPr>
        <w:spacing w:line="360" w:lineRule="auto"/>
        <w:jc w:val="both"/>
        <w:rPr>
          <w:rFonts w:ascii="Arial" w:hAnsi="Arial" w:cs="Arial"/>
          <w:sz w:val="24"/>
          <w:szCs w:val="24"/>
        </w:rPr>
      </w:pPr>
      <w:r w:rsidRPr="0079743F">
        <w:rPr>
          <w:rFonts w:ascii="Arial" w:hAnsi="Arial" w:cs="Arial"/>
          <w:sz w:val="24"/>
          <w:szCs w:val="24"/>
        </w:rPr>
        <w:t xml:space="preserve">Hilton has a thorough selection process that includes evaluating applicants using a variety of techniques to make sure they are the greatest fit for the demands of the organisation. Hilton's hiring procedures are intended to be impartial and open, with the goal of finding applicants who not only meet the necessary requirements for experience and education but also exemplify the company's core values of hospitality, </w:t>
      </w:r>
      <w:r w:rsidRPr="0079743F">
        <w:rPr>
          <w:rFonts w:ascii="Arial" w:hAnsi="Arial" w:cs="Arial"/>
          <w:sz w:val="24"/>
          <w:szCs w:val="24"/>
        </w:rPr>
        <w:lastRenderedPageBreak/>
        <w:t>morality, and leadership. Hilton makes sure that its team members can contribute to the company's success and maintain its image as a top hospitality provider by investing in meticulous selection procedures</w:t>
      </w:r>
      <w:r w:rsidR="00870AA5" w:rsidRPr="0079743F">
        <w:rPr>
          <w:rFonts w:ascii="Arial" w:hAnsi="Arial" w:cs="Arial"/>
          <w:sz w:val="24"/>
          <w:szCs w:val="24"/>
        </w:rPr>
        <w:t xml:space="preserve"> (Hilton, 2022).</w:t>
      </w:r>
      <w:r w:rsidRPr="0079743F">
        <w:rPr>
          <w:rFonts w:ascii="Arial" w:hAnsi="Arial" w:cs="Arial"/>
          <w:sz w:val="24"/>
          <w:szCs w:val="24"/>
        </w:rPr>
        <w:t xml:space="preserve"> Hilton is committed to creating a welcoming environment that helps employees grow both personally and professionally. This involves implementing impartial and open hiring procedures that enable applicants to bring their whole selves to work. Hilton's plan to create a diverse and thriving staff includes a commitment to inclusiveness in the employment process</w:t>
      </w:r>
      <w:r w:rsidR="00B464DE" w:rsidRPr="0079743F">
        <w:rPr>
          <w:rFonts w:ascii="Arial" w:hAnsi="Arial" w:cs="Arial"/>
          <w:sz w:val="24"/>
          <w:szCs w:val="24"/>
        </w:rPr>
        <w:t xml:space="preserve"> (Hilton, 2019).</w:t>
      </w:r>
    </w:p>
    <w:p w14:paraId="034E9717" w14:textId="77777777" w:rsidR="00E732DB" w:rsidRPr="0079743F" w:rsidRDefault="00E732DB" w:rsidP="006448D6">
      <w:pPr>
        <w:spacing w:line="360" w:lineRule="auto"/>
        <w:jc w:val="both"/>
        <w:rPr>
          <w:rFonts w:ascii="Arial" w:hAnsi="Arial" w:cs="Arial"/>
          <w:sz w:val="24"/>
          <w:szCs w:val="24"/>
        </w:rPr>
      </w:pPr>
    </w:p>
    <w:p w14:paraId="1CCEBC05" w14:textId="7B392843" w:rsidR="00E732DB" w:rsidRPr="0079743F" w:rsidRDefault="00E732DB" w:rsidP="006448D6">
      <w:pPr>
        <w:spacing w:line="360" w:lineRule="auto"/>
        <w:jc w:val="both"/>
        <w:rPr>
          <w:rFonts w:ascii="Arial" w:hAnsi="Arial" w:cs="Arial"/>
          <w:sz w:val="24"/>
          <w:szCs w:val="24"/>
        </w:rPr>
      </w:pPr>
      <w:r w:rsidRPr="0079743F">
        <w:rPr>
          <w:rFonts w:ascii="Arial" w:hAnsi="Arial" w:cs="Arial"/>
          <w:sz w:val="24"/>
          <w:szCs w:val="24"/>
        </w:rPr>
        <w:t xml:space="preserve">Furthermore, key components of an effective organisation include employee engagement, personnel development, and retention, all of which are closely related to individual and organisational learning. According to </w:t>
      </w:r>
      <w:proofErr w:type="spellStart"/>
      <w:r w:rsidR="00B464DE" w:rsidRPr="0079743F">
        <w:rPr>
          <w:rFonts w:ascii="Arial" w:hAnsi="Arial" w:cs="Arial"/>
          <w:sz w:val="24"/>
          <w:szCs w:val="24"/>
        </w:rPr>
        <w:t>Torringhton</w:t>
      </w:r>
      <w:proofErr w:type="spellEnd"/>
      <w:r w:rsidR="00B464DE" w:rsidRPr="0079743F">
        <w:rPr>
          <w:rFonts w:ascii="Arial" w:hAnsi="Arial" w:cs="Arial"/>
          <w:sz w:val="24"/>
          <w:szCs w:val="24"/>
        </w:rPr>
        <w:t xml:space="preserve"> et al., (2020)</w:t>
      </w:r>
      <w:r w:rsidRPr="0079743F">
        <w:rPr>
          <w:rFonts w:ascii="Arial" w:hAnsi="Arial" w:cs="Arial"/>
          <w:sz w:val="24"/>
          <w:szCs w:val="24"/>
        </w:rPr>
        <w:t>, engaged workers are more inclined to make personal investments in their own growth and, consequently, support organisational learning and advancement. People who are engaged are more likely to have a feeling of ownership and commitment, which motivates them to seek out possibilities for both professional and personal improvement</w:t>
      </w:r>
      <w:r w:rsidR="006D6BD0" w:rsidRPr="0079743F">
        <w:rPr>
          <w:rFonts w:ascii="Arial" w:hAnsi="Arial" w:cs="Arial"/>
          <w:sz w:val="24"/>
          <w:szCs w:val="24"/>
        </w:rPr>
        <w:t xml:space="preserve"> (Galagher, 2017). </w:t>
      </w:r>
      <w:r w:rsidRPr="0079743F">
        <w:rPr>
          <w:rFonts w:ascii="Arial" w:hAnsi="Arial" w:cs="Arial"/>
          <w:sz w:val="24"/>
          <w:szCs w:val="24"/>
        </w:rPr>
        <w:t xml:space="preserve">Employee performance and inventiveness are improved </w:t>
      </w:r>
      <w:proofErr w:type="gramStart"/>
      <w:r w:rsidRPr="0079743F">
        <w:rPr>
          <w:rFonts w:ascii="Arial" w:hAnsi="Arial" w:cs="Arial"/>
          <w:sz w:val="24"/>
          <w:szCs w:val="24"/>
        </w:rPr>
        <w:t>as a result of</w:t>
      </w:r>
      <w:proofErr w:type="gramEnd"/>
      <w:r w:rsidRPr="0079743F">
        <w:rPr>
          <w:rFonts w:ascii="Arial" w:hAnsi="Arial" w:cs="Arial"/>
          <w:sz w:val="24"/>
          <w:szCs w:val="24"/>
        </w:rPr>
        <w:t xml:space="preserve"> personnel development, which also provides workers with new information and abilities. By fostering a rewarding and inspiring work environment where workers feel appreciated and perceive opportunities for professional growth, this cycle of learning and development encourages employee retention</w:t>
      </w:r>
      <w:r w:rsidR="006D6BD0" w:rsidRPr="0079743F">
        <w:rPr>
          <w:rFonts w:ascii="Arial" w:hAnsi="Arial" w:cs="Arial"/>
          <w:sz w:val="24"/>
          <w:szCs w:val="24"/>
        </w:rPr>
        <w:t xml:space="preserve"> (Deloitte, n.d.). </w:t>
      </w:r>
      <w:r w:rsidRPr="0079743F">
        <w:rPr>
          <w:rFonts w:ascii="Arial" w:hAnsi="Arial" w:cs="Arial"/>
          <w:sz w:val="24"/>
          <w:szCs w:val="24"/>
        </w:rPr>
        <w:t xml:space="preserve"> These theoretical ideas are implemented in the Hilton environment through </w:t>
      </w:r>
      <w:proofErr w:type="gramStart"/>
      <w:r w:rsidRPr="0079743F">
        <w:rPr>
          <w:rFonts w:ascii="Arial" w:hAnsi="Arial" w:cs="Arial"/>
          <w:sz w:val="24"/>
          <w:szCs w:val="24"/>
        </w:rPr>
        <w:t>a number of</w:t>
      </w:r>
      <w:proofErr w:type="gramEnd"/>
      <w:r w:rsidRPr="0079743F">
        <w:rPr>
          <w:rFonts w:ascii="Arial" w:hAnsi="Arial" w:cs="Arial"/>
          <w:sz w:val="24"/>
          <w:szCs w:val="24"/>
        </w:rPr>
        <w:t xml:space="preserve"> projects and activities meant to promote worker engagement, growth, and retention. Hilton, for example, offers a thorough leadership development programme called </w:t>
      </w:r>
      <w:proofErr w:type="spellStart"/>
      <w:r w:rsidRPr="0079743F">
        <w:rPr>
          <w:rFonts w:ascii="Arial" w:hAnsi="Arial" w:cs="Arial"/>
          <w:sz w:val="24"/>
          <w:szCs w:val="24"/>
        </w:rPr>
        <w:t>Lead@Hilton</w:t>
      </w:r>
      <w:proofErr w:type="spellEnd"/>
      <w:r w:rsidRPr="0079743F">
        <w:rPr>
          <w:rFonts w:ascii="Arial" w:hAnsi="Arial" w:cs="Arial"/>
          <w:sz w:val="24"/>
          <w:szCs w:val="24"/>
        </w:rPr>
        <w:t xml:space="preserve"> that helps team members at all career stages, from entry-level to senior leadership. This initiative demonstrates the company's dedication to supporting workers' lifelong development and helping them realise their full potential and realise their professional goals</w:t>
      </w:r>
      <w:r w:rsidR="006D6BD0" w:rsidRPr="0079743F">
        <w:rPr>
          <w:rFonts w:ascii="Arial" w:hAnsi="Arial" w:cs="Arial"/>
          <w:sz w:val="24"/>
          <w:szCs w:val="24"/>
        </w:rPr>
        <w:t xml:space="preserve"> (Hilton Jobs, n.d.).</w:t>
      </w:r>
      <w:r w:rsidRPr="0079743F">
        <w:rPr>
          <w:rFonts w:ascii="Arial" w:hAnsi="Arial" w:cs="Arial"/>
          <w:sz w:val="24"/>
          <w:szCs w:val="24"/>
        </w:rPr>
        <w:t xml:space="preserve"> By funding these kinds of learning opportunities, Hilton develops organisational capacity for innovation and excellence in addition to improving individual competencies. Furthermore, the relationship between personal growth and organisational learning is best demonstrated by Hilton's renowned Leadership Development programmes and its collaboration with Guild Education to offer debt-free continuing education possibilities to team members living </w:t>
      </w:r>
      <w:r w:rsidRPr="0079743F">
        <w:rPr>
          <w:rFonts w:ascii="Arial" w:hAnsi="Arial" w:cs="Arial"/>
          <w:sz w:val="24"/>
          <w:szCs w:val="24"/>
        </w:rPr>
        <w:lastRenderedPageBreak/>
        <w:t>in the United States</w:t>
      </w:r>
      <w:r w:rsidR="006D6BD0" w:rsidRPr="0079743F">
        <w:rPr>
          <w:rFonts w:ascii="Arial" w:hAnsi="Arial" w:cs="Arial"/>
          <w:sz w:val="24"/>
          <w:szCs w:val="24"/>
        </w:rPr>
        <w:t xml:space="preserve"> (Hilton, 2022). </w:t>
      </w:r>
      <w:r w:rsidRPr="0079743F">
        <w:rPr>
          <w:rFonts w:ascii="Arial" w:hAnsi="Arial" w:cs="Arial"/>
          <w:sz w:val="24"/>
          <w:szCs w:val="24"/>
        </w:rPr>
        <w:t>These initiatives are intended to consistently upskill, reskill, and multiskilled workers, in keeping with the organization's strategic goals and guaranteeing a strong talent pipeline</w:t>
      </w:r>
      <w:r w:rsidR="006D6BD0" w:rsidRPr="0079743F">
        <w:rPr>
          <w:rFonts w:ascii="Arial" w:hAnsi="Arial" w:cs="Arial"/>
          <w:sz w:val="24"/>
          <w:szCs w:val="24"/>
        </w:rPr>
        <w:t xml:space="preserve"> (Friedman, 2012). </w:t>
      </w:r>
      <w:r w:rsidRPr="0079743F">
        <w:rPr>
          <w:rFonts w:ascii="Arial" w:hAnsi="Arial" w:cs="Arial"/>
          <w:sz w:val="24"/>
          <w:szCs w:val="24"/>
        </w:rPr>
        <w:t>By doing this, Hilton strengthens its position as an employer of choice, recruiting and keeping top people.</w:t>
      </w:r>
    </w:p>
    <w:p w14:paraId="109E2A08" w14:textId="77777777" w:rsidR="00E732DB" w:rsidRPr="0079743F" w:rsidRDefault="00E732DB" w:rsidP="006448D6">
      <w:pPr>
        <w:spacing w:line="360" w:lineRule="auto"/>
        <w:jc w:val="both"/>
        <w:rPr>
          <w:rFonts w:ascii="Arial" w:hAnsi="Arial" w:cs="Arial"/>
          <w:sz w:val="24"/>
          <w:szCs w:val="24"/>
        </w:rPr>
      </w:pPr>
    </w:p>
    <w:p w14:paraId="29B0446B" w14:textId="7F5BEBA4" w:rsidR="00E732DB" w:rsidRPr="0079743F" w:rsidRDefault="00E732DB" w:rsidP="006448D6">
      <w:pPr>
        <w:spacing w:line="360" w:lineRule="auto"/>
        <w:jc w:val="both"/>
        <w:rPr>
          <w:rFonts w:ascii="Arial" w:hAnsi="Arial" w:cs="Arial"/>
          <w:sz w:val="24"/>
          <w:szCs w:val="24"/>
        </w:rPr>
      </w:pPr>
      <w:proofErr w:type="gramStart"/>
      <w:r w:rsidRPr="0079743F">
        <w:rPr>
          <w:rFonts w:ascii="Arial" w:hAnsi="Arial" w:cs="Arial"/>
          <w:sz w:val="24"/>
          <w:szCs w:val="24"/>
        </w:rPr>
        <w:t>In order to</w:t>
      </w:r>
      <w:proofErr w:type="gramEnd"/>
      <w:r w:rsidRPr="0079743F">
        <w:rPr>
          <w:rFonts w:ascii="Arial" w:hAnsi="Arial" w:cs="Arial"/>
          <w:sz w:val="24"/>
          <w:szCs w:val="24"/>
        </w:rPr>
        <w:t xml:space="preserve"> promote ongoing growth and adaptation, professional development in the modern workforce crosses traditional borders and incorporates both traditional and new approaches. Conventional methods of professional development frequently involve formal schooling, seminars, and workshops that offer fundamental information and skills in a controlled setting. These techniques place a strong emphasis on a top-down approach to education, in which the learning objectives and material are matched with predetermined organisational goals or professional standards</w:t>
      </w:r>
      <w:r w:rsidR="006D6BD0" w:rsidRPr="0079743F">
        <w:rPr>
          <w:rFonts w:ascii="Arial" w:hAnsi="Arial" w:cs="Arial"/>
          <w:sz w:val="24"/>
          <w:szCs w:val="24"/>
        </w:rPr>
        <w:t xml:space="preserve"> (Torrington et al., 2020). </w:t>
      </w:r>
      <w:r w:rsidRPr="0079743F">
        <w:rPr>
          <w:rFonts w:ascii="Arial" w:hAnsi="Arial" w:cs="Arial"/>
          <w:sz w:val="24"/>
          <w:szCs w:val="24"/>
        </w:rPr>
        <w:t xml:space="preserve"> In contrast, modern methods of professional development tend to be more adaptable and </w:t>
      </w:r>
      <w:proofErr w:type="gramStart"/>
      <w:r w:rsidRPr="0079743F">
        <w:rPr>
          <w:rFonts w:ascii="Arial" w:hAnsi="Arial" w:cs="Arial"/>
          <w:sz w:val="24"/>
          <w:szCs w:val="24"/>
        </w:rPr>
        <w:t>learner-</w:t>
      </w:r>
      <w:r w:rsidR="006D6BD0" w:rsidRPr="0079743F">
        <w:rPr>
          <w:rFonts w:ascii="Arial" w:hAnsi="Arial" w:cs="Arial"/>
          <w:sz w:val="24"/>
          <w:szCs w:val="24"/>
        </w:rPr>
        <w:t>centred</w:t>
      </w:r>
      <w:proofErr w:type="gramEnd"/>
      <w:r w:rsidRPr="0079743F">
        <w:rPr>
          <w:rFonts w:ascii="Arial" w:hAnsi="Arial" w:cs="Arial"/>
          <w:sz w:val="24"/>
          <w:szCs w:val="24"/>
        </w:rPr>
        <w:t>. These include of webinars, on-demand learning platforms, and online courses that provide access to a wide range of subjects and specialisations, allowing people to customise their educational experience to meet their unique requirements and professional goals. Furthermore, peer learning, coaching, and mentoring are important facets of contemporary professional development that highlight the value of experience learning and the exchange of tacit knowledge both inside and outside of organisations</w:t>
      </w:r>
      <w:r w:rsidR="006D6BD0" w:rsidRPr="0079743F">
        <w:rPr>
          <w:rFonts w:ascii="Arial" w:hAnsi="Arial" w:cs="Arial"/>
          <w:sz w:val="24"/>
          <w:szCs w:val="24"/>
        </w:rPr>
        <w:t xml:space="preserve"> (Horn, 2009). </w:t>
      </w:r>
      <w:r w:rsidRPr="0079743F">
        <w:rPr>
          <w:rFonts w:ascii="Arial" w:hAnsi="Arial" w:cs="Arial"/>
          <w:sz w:val="24"/>
          <w:szCs w:val="24"/>
        </w:rPr>
        <w:t xml:space="preserve"> Since staff development is a key factor in an organization's success, CPD is being included more and more into performance management inside businesses. Thus, efficient systems for managing performance evaluate both previous and current performance as well as </w:t>
      </w:r>
      <w:proofErr w:type="gramStart"/>
      <w:r w:rsidRPr="0079743F">
        <w:rPr>
          <w:rFonts w:ascii="Arial" w:hAnsi="Arial" w:cs="Arial"/>
          <w:sz w:val="24"/>
          <w:szCs w:val="24"/>
        </w:rPr>
        <w:t>future prospects</w:t>
      </w:r>
      <w:proofErr w:type="gramEnd"/>
      <w:r w:rsidRPr="0079743F">
        <w:rPr>
          <w:rFonts w:ascii="Arial" w:hAnsi="Arial" w:cs="Arial"/>
          <w:sz w:val="24"/>
          <w:szCs w:val="24"/>
        </w:rPr>
        <w:t xml:space="preserve"> for growth, therefore coordinating personal ambitions with organisational objectives. How well an organisation supports the ongoing development of its people has a direct impact on two key outcomes: providing exceptional customer service and creating an atmosphere that encourages talent growth</w:t>
      </w:r>
      <w:r w:rsidR="006D6BD0" w:rsidRPr="0079743F">
        <w:rPr>
          <w:rFonts w:ascii="Arial" w:hAnsi="Arial" w:cs="Arial"/>
          <w:sz w:val="24"/>
          <w:szCs w:val="24"/>
        </w:rPr>
        <w:t xml:space="preserve"> (Armstrong and Taylor, 2020). </w:t>
      </w:r>
      <w:r w:rsidRPr="0079743F">
        <w:rPr>
          <w:rFonts w:ascii="Arial" w:hAnsi="Arial" w:cs="Arial"/>
          <w:sz w:val="24"/>
          <w:szCs w:val="24"/>
        </w:rPr>
        <w:t xml:space="preserve"> Organisations may foster a culture of learning that promotes creativity, improves the quality of services, and helps them keep bright employees who are dedicated to both personal and professional success by investing in CPD. For instance, Hilton University, an innovative online learning platform with over 25,000 courses, is one way that Hilton demonstrates its commitment to continuing professional development. This platform highlights the organization's commitment to </w:t>
      </w:r>
      <w:r w:rsidRPr="0079743F">
        <w:rPr>
          <w:rFonts w:ascii="Arial" w:hAnsi="Arial" w:cs="Arial"/>
          <w:sz w:val="24"/>
          <w:szCs w:val="24"/>
        </w:rPr>
        <w:lastRenderedPageBreak/>
        <w:t>lifelong learning by allowing Team Members to explore new talents and develop existing experience</w:t>
      </w:r>
      <w:r w:rsidR="0079743F" w:rsidRPr="0079743F">
        <w:rPr>
          <w:rFonts w:ascii="Arial" w:hAnsi="Arial" w:cs="Arial"/>
          <w:sz w:val="24"/>
          <w:szCs w:val="24"/>
        </w:rPr>
        <w:t xml:space="preserve"> (Hilton, 2022). </w:t>
      </w:r>
      <w:r w:rsidRPr="0079743F">
        <w:rPr>
          <w:rFonts w:ascii="Arial" w:hAnsi="Arial" w:cs="Arial"/>
          <w:sz w:val="24"/>
          <w:szCs w:val="24"/>
        </w:rPr>
        <w:t>Hilton's recognition of the dynamic nature of the hospitality business and the necessity for its workers to continually adapt and improve is demonstrated by the wide range of courses it offers.</w:t>
      </w:r>
      <w:r w:rsidR="009B0D11" w:rsidRPr="0079743F">
        <w:rPr>
          <w:rFonts w:ascii="Arial" w:hAnsi="Arial" w:cs="Arial"/>
          <w:sz w:val="24"/>
          <w:szCs w:val="24"/>
        </w:rPr>
        <w:t xml:space="preserve"> Today's sector has several issues related to the recruiting and selection process, which are greatly impacted by the speed at which technology is developing. The integration of digital tools and platforms is a major concern as it not only streamlines application processes and increases reach to potential candidates, but also necessitates that organisations modify their approaches to effectively evaluate and interact with a talent pool that is more diverse and </w:t>
      </w:r>
      <w:proofErr w:type="gramStart"/>
      <w:r w:rsidR="009B0D11" w:rsidRPr="0079743F">
        <w:rPr>
          <w:rFonts w:ascii="Arial" w:hAnsi="Arial" w:cs="Arial"/>
          <w:sz w:val="24"/>
          <w:szCs w:val="24"/>
        </w:rPr>
        <w:t>international</w:t>
      </w:r>
      <w:r w:rsidR="006D6BD0" w:rsidRPr="0079743F">
        <w:rPr>
          <w:rFonts w:ascii="Arial" w:hAnsi="Arial" w:cs="Arial"/>
          <w:sz w:val="24"/>
          <w:szCs w:val="24"/>
        </w:rPr>
        <w:t xml:space="preserve"> </w:t>
      </w:r>
      <w:r w:rsidR="006D6BD0" w:rsidRPr="0079743F">
        <w:rPr>
          <w:rFonts w:ascii="Arial" w:hAnsi="Arial" w:cs="Arial"/>
          <w:sz w:val="24"/>
          <w:szCs w:val="24"/>
          <w:shd w:val="clear" w:color="auto" w:fill="FFFFFF"/>
        </w:rPr>
        <w:t> (</w:t>
      </w:r>
      <w:proofErr w:type="gramEnd"/>
      <w:r w:rsidR="006D6BD0" w:rsidRPr="0079743F">
        <w:rPr>
          <w:rFonts w:ascii="Arial" w:hAnsi="Arial" w:cs="Arial"/>
          <w:sz w:val="24"/>
          <w:szCs w:val="24"/>
          <w:shd w:val="clear" w:color="auto" w:fill="FFFFFF"/>
        </w:rPr>
        <w:t xml:space="preserve">Buchanan, Kelley and Hatch, 2016). </w:t>
      </w:r>
      <w:r w:rsidR="009B0D11" w:rsidRPr="0079743F">
        <w:rPr>
          <w:rFonts w:ascii="Arial" w:hAnsi="Arial" w:cs="Arial"/>
          <w:sz w:val="24"/>
          <w:szCs w:val="24"/>
        </w:rPr>
        <w:t>Because HR managers must sift through a mountain of digital data to find qualified applicants, the effect of technology has created a demand for more advanced data analytic capabilities. Technology has also increased candidates' expectations for a clear, easy, and fun hiring process, which has forced businesses to use innovative techniques to improve candidate engagement and employer branding</w:t>
      </w:r>
      <w:r w:rsidR="0079743F" w:rsidRPr="0079743F">
        <w:rPr>
          <w:rFonts w:ascii="Arial" w:hAnsi="Arial" w:cs="Arial"/>
          <w:sz w:val="24"/>
          <w:szCs w:val="24"/>
        </w:rPr>
        <w:t xml:space="preserve"> </w:t>
      </w:r>
      <w:r w:rsidR="0079743F" w:rsidRPr="0079743F">
        <w:rPr>
          <w:rFonts w:ascii="Arial" w:hAnsi="Arial" w:cs="Arial"/>
          <w:sz w:val="24"/>
          <w:szCs w:val="24"/>
          <w:shd w:val="clear" w:color="auto" w:fill="FFFFFF"/>
        </w:rPr>
        <w:t>(Marler and Parry, 2015).</w:t>
      </w:r>
      <w:r w:rsidR="009B0D11" w:rsidRPr="0079743F">
        <w:rPr>
          <w:rFonts w:ascii="Arial" w:hAnsi="Arial" w:cs="Arial"/>
          <w:sz w:val="24"/>
          <w:szCs w:val="24"/>
        </w:rPr>
        <w:t xml:space="preserve"> The emergence of digital workspaces and remote work has also put traditional methods of selection to the test, leading to a move towards assessments and virtual interviews that more effectively gauge applicants' cultural fit and skill sets in a digital setting.</w:t>
      </w:r>
    </w:p>
    <w:p w14:paraId="2B816E72" w14:textId="77777777" w:rsidR="009B0D11" w:rsidRPr="0079743F" w:rsidRDefault="009B0D11" w:rsidP="006448D6">
      <w:pPr>
        <w:spacing w:line="360" w:lineRule="auto"/>
        <w:jc w:val="both"/>
        <w:rPr>
          <w:rFonts w:ascii="Arial" w:hAnsi="Arial" w:cs="Arial"/>
          <w:sz w:val="24"/>
          <w:szCs w:val="24"/>
        </w:rPr>
      </w:pPr>
    </w:p>
    <w:p w14:paraId="2D79D4FB" w14:textId="5EB88247" w:rsidR="009B0D11" w:rsidRPr="0079743F" w:rsidRDefault="009B0D11" w:rsidP="006448D6">
      <w:pPr>
        <w:spacing w:line="360" w:lineRule="auto"/>
        <w:jc w:val="both"/>
        <w:rPr>
          <w:rFonts w:ascii="Arial" w:hAnsi="Arial" w:cs="Arial"/>
          <w:sz w:val="24"/>
          <w:szCs w:val="24"/>
        </w:rPr>
      </w:pPr>
      <w:r w:rsidRPr="0079743F">
        <w:rPr>
          <w:rFonts w:ascii="Arial" w:hAnsi="Arial" w:cs="Arial"/>
          <w:sz w:val="24"/>
          <w:szCs w:val="24"/>
        </w:rPr>
        <w:t>In conclusion, Hilton's strategic approach exemplifies the fusion of conventional and modern HRM approaches, highlighting the evolution of HR in response to technology improvements and the dynamic nature of the workforce. The corporation prioritises inclusive recruiting, rigorous screening procedures, and ongoing professional development through programmes like Hilton University. The correlation between HR strategies and organisational objectives highlights the pivotal function of HRM in augmenting employee engagement, cultivating a culture of education, and propelling organisational triumph. Hilton's dedication to these policies demonstrates how crucial it is to incorporate modern HR solutions to handle the demands of the contemporary workplace and guarantee both individual development and organisational success.</w:t>
      </w:r>
    </w:p>
    <w:p w14:paraId="050228CB" w14:textId="77777777" w:rsidR="009B0D11" w:rsidRDefault="009B0D11" w:rsidP="006448D6">
      <w:pPr>
        <w:spacing w:line="360" w:lineRule="auto"/>
        <w:jc w:val="both"/>
        <w:rPr>
          <w:rFonts w:ascii="Arial" w:hAnsi="Arial" w:cs="Arial"/>
          <w:sz w:val="24"/>
          <w:szCs w:val="24"/>
        </w:rPr>
      </w:pPr>
    </w:p>
    <w:p w14:paraId="3EFD6298" w14:textId="77777777" w:rsidR="009B0D11" w:rsidRDefault="009B0D11" w:rsidP="006448D6">
      <w:pPr>
        <w:spacing w:line="360" w:lineRule="auto"/>
        <w:jc w:val="both"/>
        <w:rPr>
          <w:rFonts w:ascii="Arial" w:hAnsi="Arial" w:cs="Arial"/>
          <w:sz w:val="24"/>
          <w:szCs w:val="24"/>
        </w:rPr>
      </w:pPr>
    </w:p>
    <w:p w14:paraId="2AF97FDF" w14:textId="77777777" w:rsidR="0056500C" w:rsidRDefault="0056500C" w:rsidP="006448D6">
      <w:pPr>
        <w:spacing w:line="360" w:lineRule="auto"/>
        <w:jc w:val="both"/>
        <w:rPr>
          <w:rFonts w:ascii="Arial" w:hAnsi="Arial" w:cs="Arial"/>
          <w:sz w:val="24"/>
          <w:szCs w:val="24"/>
        </w:rPr>
      </w:pPr>
    </w:p>
    <w:p w14:paraId="0888611A" w14:textId="74320F33" w:rsidR="009B0D11" w:rsidRDefault="009B0D11" w:rsidP="006448D6">
      <w:pPr>
        <w:spacing w:line="360" w:lineRule="auto"/>
        <w:jc w:val="both"/>
        <w:rPr>
          <w:rFonts w:ascii="Arial" w:hAnsi="Arial" w:cs="Arial"/>
          <w:b/>
          <w:bCs/>
          <w:sz w:val="24"/>
          <w:szCs w:val="24"/>
        </w:rPr>
      </w:pPr>
      <w:r w:rsidRPr="009B0D11">
        <w:rPr>
          <w:rFonts w:ascii="Arial" w:hAnsi="Arial" w:cs="Arial"/>
          <w:b/>
          <w:bCs/>
          <w:sz w:val="24"/>
          <w:szCs w:val="24"/>
        </w:rPr>
        <w:lastRenderedPageBreak/>
        <w:t>References</w:t>
      </w:r>
    </w:p>
    <w:p w14:paraId="5FFFF9AE" w14:textId="77777777" w:rsidR="009B0D11" w:rsidRDefault="009B0D11" w:rsidP="006448D6">
      <w:pPr>
        <w:spacing w:line="360" w:lineRule="auto"/>
        <w:jc w:val="both"/>
        <w:rPr>
          <w:rFonts w:ascii="Arial" w:hAnsi="Arial" w:cs="Arial"/>
          <w:b/>
          <w:bCs/>
          <w:sz w:val="24"/>
          <w:szCs w:val="24"/>
        </w:rPr>
      </w:pPr>
    </w:p>
    <w:p w14:paraId="7CBC3404" w14:textId="77777777" w:rsidR="0056500C" w:rsidRPr="0079743F" w:rsidRDefault="0056500C"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Armstrong, M. and Taylor, S. (2020) Armstrong’s handbook of human resource management practice. 15th edition. London, United Kingdom ;: </w:t>
      </w:r>
      <w:proofErr w:type="spellStart"/>
      <w:r w:rsidRPr="0079743F">
        <w:rPr>
          <w:rFonts w:ascii="Arial" w:hAnsi="Arial" w:cs="Arial"/>
        </w:rPr>
        <w:t>KoganPage</w:t>
      </w:r>
      <w:proofErr w:type="spellEnd"/>
      <w:r w:rsidRPr="0079743F">
        <w:rPr>
          <w:rFonts w:ascii="Arial" w:hAnsi="Arial" w:cs="Arial"/>
        </w:rPr>
        <w:t xml:space="preserve">. </w:t>
      </w:r>
    </w:p>
    <w:p w14:paraId="220C66BF" w14:textId="77777777" w:rsidR="0056500C" w:rsidRPr="0079743F" w:rsidRDefault="0056500C" w:rsidP="0079743F">
      <w:pPr>
        <w:pStyle w:val="NormalWeb"/>
        <w:spacing w:before="0" w:beforeAutospacing="0" w:after="0" w:afterAutospacing="0" w:line="360" w:lineRule="auto"/>
        <w:jc w:val="both"/>
        <w:rPr>
          <w:rFonts w:ascii="Arial" w:hAnsi="Arial" w:cs="Arial"/>
        </w:rPr>
      </w:pPr>
    </w:p>
    <w:p w14:paraId="1E7D632B" w14:textId="05C1B1BC"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Banfield, P., Kay, R. and Royles, D. (2018). Introduction to Human Resource Management. [online] Google Books. Oxford University Press. Available at: https://www.google.co.uk/books/edition/Introduction_to_Human_Resource_Managemen/DY9HDwAAQBAJ?hl=en&amp;gbpv=1&amp;pg=PP1&amp;printsec=frontcover </w:t>
      </w:r>
    </w:p>
    <w:p w14:paraId="1C54AB52" w14:textId="77777777" w:rsidR="00870AA5" w:rsidRPr="0079743F" w:rsidRDefault="00870AA5" w:rsidP="0079743F">
      <w:pPr>
        <w:pStyle w:val="NormalWeb"/>
        <w:spacing w:before="0" w:beforeAutospacing="0" w:after="0" w:afterAutospacing="0" w:line="360" w:lineRule="auto"/>
        <w:jc w:val="both"/>
        <w:rPr>
          <w:rFonts w:ascii="Arial" w:hAnsi="Arial" w:cs="Arial"/>
        </w:rPr>
      </w:pPr>
    </w:p>
    <w:p w14:paraId="376317DF" w14:textId="2FF94509"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Bratton, J., Gold, J., Bratton, A. and Steele, L. (2021). Human Resource Management. [online] Google Books. Bloomsbury Publishing. Available at: </w:t>
      </w:r>
      <w:hyperlink r:id="rId6" w:history="1">
        <w:r w:rsidR="006D6BD0" w:rsidRPr="0079743F">
          <w:rPr>
            <w:rStyle w:val="Hyperlink"/>
            <w:rFonts w:ascii="Arial" w:hAnsi="Arial" w:cs="Arial"/>
            <w:color w:val="auto"/>
          </w:rPr>
          <w:t>https://www.google.co.uk/books/edition/Human_Resource_Management/GphcEAAAQBAJ?hl=en&amp;gbpv=1&amp;dq=(Beardwell+and+Thompson</w:t>
        </w:r>
      </w:hyperlink>
      <w:r w:rsidRPr="0079743F">
        <w:rPr>
          <w:rFonts w:ascii="Arial" w:hAnsi="Arial" w:cs="Arial"/>
        </w:rPr>
        <w:t xml:space="preserve"> </w:t>
      </w:r>
    </w:p>
    <w:p w14:paraId="3644FAC4"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29E1B62D" w14:textId="00691EB0"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Buchanan, J., Kelley, B. and Hatch, A. (2016). Digital workplace and culture How digital technologies are changing the workforce and how enterprises can adapt and evolve. [online] Deloitte. Available at: https://www2.deloitte.com/content/dam/Deloitte/us/Documents/human-capital/us-cons-digital-workplace-and-culture.pdf.</w:t>
      </w:r>
    </w:p>
    <w:p w14:paraId="72289A33" w14:textId="77777777" w:rsidR="00870AA5" w:rsidRPr="0079743F" w:rsidRDefault="00870AA5" w:rsidP="0079743F">
      <w:pPr>
        <w:pStyle w:val="NormalWeb"/>
        <w:spacing w:before="0" w:beforeAutospacing="0" w:after="0" w:afterAutospacing="0" w:line="360" w:lineRule="auto"/>
        <w:jc w:val="both"/>
        <w:rPr>
          <w:rFonts w:ascii="Arial" w:hAnsi="Arial" w:cs="Arial"/>
        </w:rPr>
      </w:pPr>
    </w:p>
    <w:p w14:paraId="465A6ACF" w14:textId="5B247E41" w:rsidR="0056500C" w:rsidRPr="0079743F" w:rsidRDefault="0056500C"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Burke, R.J. and Hughes, J.C. (2018). Handbook of Human Resource Management in the Tourism and Hospitality Industries. [online] Google Books. Edward Elgar Publishing. Available at: </w:t>
      </w:r>
      <w:hyperlink r:id="rId7" w:history="1">
        <w:r w:rsidRPr="0079743F">
          <w:rPr>
            <w:rStyle w:val="Hyperlink"/>
            <w:rFonts w:ascii="Arial" w:hAnsi="Arial" w:cs="Arial"/>
            <w:color w:val="auto"/>
          </w:rPr>
          <w:t>https://www.google.co.uk/books/edition/Handbook_of_Human_Resource_Management_in/Lh1HDwAAQBAJ?hl=en&amp;gbpv=1&amp;dq=managing+diversity</w:t>
        </w:r>
      </w:hyperlink>
      <w:r w:rsidRPr="0079743F">
        <w:rPr>
          <w:rFonts w:ascii="Arial" w:hAnsi="Arial" w:cs="Arial"/>
        </w:rPr>
        <w:t xml:space="preserve"> </w:t>
      </w:r>
    </w:p>
    <w:p w14:paraId="35B1528D" w14:textId="77777777" w:rsidR="0056500C" w:rsidRPr="0079743F" w:rsidRDefault="0056500C" w:rsidP="0079743F">
      <w:pPr>
        <w:pStyle w:val="NormalWeb"/>
        <w:spacing w:before="0" w:beforeAutospacing="0" w:after="0" w:afterAutospacing="0" w:line="360" w:lineRule="auto"/>
        <w:jc w:val="both"/>
        <w:rPr>
          <w:rFonts w:ascii="Arial" w:hAnsi="Arial" w:cs="Arial"/>
        </w:rPr>
      </w:pPr>
    </w:p>
    <w:p w14:paraId="42A05AA6" w14:textId="4B984ABC" w:rsidR="0056500C" w:rsidRPr="0079743F" w:rsidRDefault="0056500C"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CIPD (2023). CIPD | Technology use in recruitment and workforce planning. [online] CIPD. Available at: </w:t>
      </w:r>
      <w:hyperlink r:id="rId8" w:history="1">
        <w:r w:rsidR="00870AA5" w:rsidRPr="0079743F">
          <w:rPr>
            <w:rStyle w:val="Hyperlink"/>
            <w:rFonts w:ascii="Arial" w:hAnsi="Arial" w:cs="Arial"/>
            <w:color w:val="auto"/>
          </w:rPr>
          <w:t>https://www.cipd.org/uk/knowledge/guides/technology-recruitment-workforce-planning/</w:t>
        </w:r>
      </w:hyperlink>
      <w:r w:rsidRPr="0079743F">
        <w:rPr>
          <w:rFonts w:ascii="Arial" w:hAnsi="Arial" w:cs="Arial"/>
        </w:rPr>
        <w:t>.</w:t>
      </w:r>
    </w:p>
    <w:p w14:paraId="6708CC77"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50DDF8E3" w14:textId="0B3559D6"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Deloitte  (n.d.). A new era for human resources management | Deloitte China | Innovation. [online] Available at: </w:t>
      </w:r>
      <w:hyperlink r:id="rId9" w:history="1">
        <w:r w:rsidRPr="0079743F">
          <w:rPr>
            <w:rStyle w:val="Hyperlink"/>
            <w:rFonts w:ascii="Arial" w:hAnsi="Arial" w:cs="Arial"/>
            <w:color w:val="auto"/>
          </w:rPr>
          <w:t>https://www2.deloitte.com/cn/en/pages/innovation/articles/a-new-era-for-human-resources-management.html</w:t>
        </w:r>
      </w:hyperlink>
      <w:r w:rsidRPr="0079743F">
        <w:rPr>
          <w:rFonts w:ascii="Arial" w:hAnsi="Arial" w:cs="Arial"/>
        </w:rPr>
        <w:t>.</w:t>
      </w:r>
    </w:p>
    <w:p w14:paraId="596F7EF9"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30B0930D" w14:textId="4C800683"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Friedman, A. (2012) Continuing professional development: lifelong learning of millions. London: Routledge.</w:t>
      </w:r>
    </w:p>
    <w:p w14:paraId="5A4F0DE7"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56C63C42" w14:textId="7A7143C4"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Gallagher, K. (2016) Essential study and employment skills for business and management students. Oxford: Oxford University Press</w:t>
      </w:r>
    </w:p>
    <w:p w14:paraId="2B992388" w14:textId="77777777" w:rsidR="00870AA5" w:rsidRPr="0079743F" w:rsidRDefault="00870AA5" w:rsidP="0079743F">
      <w:pPr>
        <w:pStyle w:val="NormalWeb"/>
        <w:spacing w:before="0" w:beforeAutospacing="0" w:after="0" w:afterAutospacing="0" w:line="360" w:lineRule="auto"/>
        <w:jc w:val="both"/>
        <w:rPr>
          <w:rFonts w:ascii="Arial" w:hAnsi="Arial" w:cs="Arial"/>
        </w:rPr>
      </w:pPr>
    </w:p>
    <w:p w14:paraId="4AE7591A" w14:textId="486F7B0B"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Hilton. (n.d.). Careers at Hilton | Hilton job opportunities. [online] Available at: </w:t>
      </w:r>
      <w:hyperlink r:id="rId10" w:history="1">
        <w:r w:rsidR="00B464DE" w:rsidRPr="0079743F">
          <w:rPr>
            <w:rStyle w:val="Hyperlink"/>
            <w:rFonts w:ascii="Arial" w:hAnsi="Arial" w:cs="Arial"/>
            <w:color w:val="auto"/>
          </w:rPr>
          <w:t>https://jobs.hilton.com/latam/en</w:t>
        </w:r>
      </w:hyperlink>
      <w:r w:rsidRPr="0079743F">
        <w:rPr>
          <w:rFonts w:ascii="Arial" w:hAnsi="Arial" w:cs="Arial"/>
        </w:rPr>
        <w:t>.</w:t>
      </w:r>
    </w:p>
    <w:p w14:paraId="1D921EE9" w14:textId="77777777" w:rsidR="00B464DE" w:rsidRPr="0079743F" w:rsidRDefault="00B464DE" w:rsidP="0079743F">
      <w:pPr>
        <w:pStyle w:val="NormalWeb"/>
        <w:spacing w:before="0" w:beforeAutospacing="0" w:after="0" w:afterAutospacing="0" w:line="360" w:lineRule="auto"/>
        <w:jc w:val="both"/>
        <w:rPr>
          <w:rFonts w:ascii="Arial" w:hAnsi="Arial" w:cs="Arial"/>
        </w:rPr>
      </w:pPr>
    </w:p>
    <w:p w14:paraId="0ACE6DDC" w14:textId="63B58A7E" w:rsidR="00870AA5" w:rsidRPr="0079743F" w:rsidRDefault="00B464DE"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Hilton (2019). DIVERSITY INCLUSION AT HILTON. Available at: </w:t>
      </w:r>
      <w:hyperlink r:id="rId11" w:history="1">
        <w:r w:rsidRPr="0079743F">
          <w:rPr>
            <w:rStyle w:val="Hyperlink"/>
            <w:rFonts w:ascii="Arial" w:hAnsi="Arial" w:cs="Arial"/>
            <w:color w:val="auto"/>
          </w:rPr>
          <w:t>https://www.hilton.com/en/corporate/wp-content/uploads/2019/11/20190225_External-Diversity-Brochure.pdf</w:t>
        </w:r>
      </w:hyperlink>
    </w:p>
    <w:p w14:paraId="5DBE353C" w14:textId="77777777" w:rsidR="00B464DE" w:rsidRPr="0079743F" w:rsidRDefault="00B464DE" w:rsidP="0079743F">
      <w:pPr>
        <w:pStyle w:val="NormalWeb"/>
        <w:spacing w:before="0" w:beforeAutospacing="0" w:after="0" w:afterAutospacing="0" w:line="360" w:lineRule="auto"/>
        <w:jc w:val="both"/>
        <w:rPr>
          <w:rFonts w:ascii="Arial" w:hAnsi="Arial" w:cs="Arial"/>
        </w:rPr>
      </w:pPr>
    </w:p>
    <w:p w14:paraId="024700EE" w14:textId="37C410AF"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Hilton (2021). Travel with Purpose HILTON 2021 ENVIRONMENTAL, SOCIAL AND GOVERNANCE REPORT. [online] Available at: </w:t>
      </w:r>
      <w:hyperlink r:id="rId12" w:history="1">
        <w:r w:rsidRPr="0079743F">
          <w:rPr>
            <w:rStyle w:val="Hyperlink"/>
            <w:rFonts w:ascii="Arial" w:hAnsi="Arial" w:cs="Arial"/>
            <w:color w:val="auto"/>
          </w:rPr>
          <w:t>https://stories.hilton.com/uploads/2022/05/2021-ESG-Report-Updated.pdf</w:t>
        </w:r>
      </w:hyperlink>
      <w:r w:rsidRPr="0079743F">
        <w:rPr>
          <w:rFonts w:ascii="Arial" w:hAnsi="Arial" w:cs="Arial"/>
        </w:rPr>
        <w:t>.</w:t>
      </w:r>
    </w:p>
    <w:p w14:paraId="01377173" w14:textId="77777777" w:rsidR="00870AA5" w:rsidRPr="0079743F" w:rsidRDefault="00870AA5" w:rsidP="0079743F">
      <w:pPr>
        <w:pStyle w:val="NormalWeb"/>
        <w:spacing w:before="0" w:beforeAutospacing="0" w:after="0" w:afterAutospacing="0" w:line="360" w:lineRule="auto"/>
        <w:jc w:val="both"/>
        <w:rPr>
          <w:rFonts w:ascii="Arial" w:hAnsi="Arial" w:cs="Arial"/>
        </w:rPr>
      </w:pPr>
    </w:p>
    <w:p w14:paraId="0D98C955" w14:textId="751DF782"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Hilton (2022). Travel with Purpose. [online] Available at: </w:t>
      </w:r>
      <w:hyperlink r:id="rId13" w:history="1">
        <w:r w:rsidR="006D6BD0" w:rsidRPr="0079743F">
          <w:rPr>
            <w:rStyle w:val="Hyperlink"/>
            <w:rFonts w:ascii="Arial" w:hAnsi="Arial" w:cs="Arial"/>
            <w:color w:val="auto"/>
          </w:rPr>
          <w:t>https://esg.hilton.com/wp-content/uploads/sites/4/2023/04/Hilton-2022-Environmental-Social-and-Governance-Report.pdf</w:t>
        </w:r>
      </w:hyperlink>
      <w:r w:rsidRPr="0079743F">
        <w:rPr>
          <w:rFonts w:ascii="Arial" w:hAnsi="Arial" w:cs="Arial"/>
        </w:rPr>
        <w:t>.</w:t>
      </w:r>
    </w:p>
    <w:p w14:paraId="0494A430"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5BAD06BC" w14:textId="3373CA88"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Hilton Jobs (n.d.). Benefits For Your Career at Hilton. [online] Available at: </w:t>
      </w:r>
      <w:hyperlink r:id="rId14" w:anchor=":~:text=%E2%80%8B%E2%80%8B%E2%80%8B%E2%80%8B%E2%80%8B%E2%80%8B%E2%80%8BLead%40Hilton%20is" w:history="1">
        <w:r w:rsidRPr="0079743F">
          <w:rPr>
            <w:rStyle w:val="Hyperlink"/>
            <w:rFonts w:ascii="Arial" w:hAnsi="Arial" w:cs="Arial"/>
            <w:color w:val="auto"/>
          </w:rPr>
          <w:t>https://jobs.hilton.com/us/en/benefits#:~:text=%E2%80%8B%E2%80%8B%E2%80%8B%E2%80%8B%E2%80%8B%E2%80%8B%E2%80%8BLead%40Hilton%20is</w:t>
        </w:r>
      </w:hyperlink>
      <w:r w:rsidRPr="0079743F">
        <w:rPr>
          <w:rFonts w:ascii="Arial" w:hAnsi="Arial" w:cs="Arial"/>
        </w:rPr>
        <w:t xml:space="preserve"> </w:t>
      </w:r>
    </w:p>
    <w:p w14:paraId="4BEED028"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7B0AC1AC" w14:textId="32297517" w:rsidR="006D6BD0" w:rsidRPr="0079743F" w:rsidRDefault="006D6BD0" w:rsidP="0079743F">
      <w:pPr>
        <w:pStyle w:val="NormalWeb"/>
        <w:spacing w:before="0" w:beforeAutospacing="0" w:after="0" w:afterAutospacing="0" w:line="360" w:lineRule="auto"/>
        <w:jc w:val="both"/>
        <w:rPr>
          <w:rFonts w:ascii="Arial" w:hAnsi="Arial" w:cs="Arial"/>
        </w:rPr>
      </w:pPr>
      <w:r w:rsidRPr="0079743F">
        <w:rPr>
          <w:rFonts w:ascii="Arial" w:hAnsi="Arial" w:cs="Arial"/>
        </w:rPr>
        <w:t>Horn, R. (2009) The business skills handbook. London: Chartered Institute of Personnel and Development.</w:t>
      </w:r>
    </w:p>
    <w:p w14:paraId="451A129F" w14:textId="77777777" w:rsidR="006D6BD0" w:rsidRPr="0079743F" w:rsidRDefault="006D6BD0" w:rsidP="0079743F">
      <w:pPr>
        <w:pStyle w:val="NormalWeb"/>
        <w:spacing w:before="0" w:beforeAutospacing="0" w:after="0" w:afterAutospacing="0" w:line="360" w:lineRule="auto"/>
        <w:jc w:val="both"/>
        <w:rPr>
          <w:rFonts w:ascii="Arial" w:hAnsi="Arial" w:cs="Arial"/>
        </w:rPr>
      </w:pPr>
    </w:p>
    <w:p w14:paraId="0DEFA4A0" w14:textId="607D626F" w:rsidR="0056500C" w:rsidRDefault="0056500C" w:rsidP="0079743F">
      <w:pPr>
        <w:pStyle w:val="NormalWeb"/>
        <w:spacing w:before="0" w:beforeAutospacing="0" w:after="0" w:afterAutospacing="0" w:line="360" w:lineRule="auto"/>
        <w:jc w:val="both"/>
        <w:rPr>
          <w:rFonts w:ascii="Arial" w:hAnsi="Arial" w:cs="Arial"/>
        </w:rPr>
      </w:pPr>
      <w:r w:rsidRPr="0079743F">
        <w:rPr>
          <w:rFonts w:ascii="Arial" w:hAnsi="Arial" w:cs="Arial"/>
        </w:rPr>
        <w:t>Marchington, M. and Wilkinson, A. (2016) Human resource management at work. 6th ed. London: Chartered Institute of Personnel and Development.</w:t>
      </w:r>
    </w:p>
    <w:p w14:paraId="3BA9DBDA" w14:textId="77777777" w:rsidR="0079743F" w:rsidRDefault="0079743F" w:rsidP="0079743F">
      <w:pPr>
        <w:pStyle w:val="NormalWeb"/>
        <w:spacing w:before="0" w:beforeAutospacing="0" w:after="0" w:afterAutospacing="0" w:line="360" w:lineRule="auto"/>
        <w:jc w:val="both"/>
        <w:rPr>
          <w:rFonts w:ascii="Arial" w:hAnsi="Arial" w:cs="Arial"/>
        </w:rPr>
      </w:pPr>
    </w:p>
    <w:p w14:paraId="5D5C31BB" w14:textId="235B8D04" w:rsidR="0079743F" w:rsidRPr="0079743F" w:rsidRDefault="0079743F" w:rsidP="0079743F">
      <w:pPr>
        <w:pStyle w:val="NormalWeb"/>
        <w:spacing w:before="0" w:beforeAutospacing="0" w:after="0" w:afterAutospacing="0" w:line="360" w:lineRule="auto"/>
        <w:jc w:val="both"/>
        <w:rPr>
          <w:rFonts w:ascii="Arial" w:hAnsi="Arial" w:cs="Arial"/>
        </w:rPr>
      </w:pPr>
      <w:r w:rsidRPr="0079743F">
        <w:rPr>
          <w:rFonts w:ascii="Arial" w:hAnsi="Arial" w:cs="Arial"/>
        </w:rPr>
        <w:lastRenderedPageBreak/>
        <w:t>Marler, J.H. and Parry, E. (2015). Human Resource management, Strategic Involvement and e-HRM Technology. </w:t>
      </w:r>
      <w:r w:rsidRPr="0079743F">
        <w:rPr>
          <w:rFonts w:ascii="Arial" w:hAnsi="Arial" w:cs="Arial"/>
          <w:i/>
          <w:iCs/>
        </w:rPr>
        <w:t>The International Journal of Human Resource Management</w:t>
      </w:r>
      <w:r w:rsidRPr="0079743F">
        <w:rPr>
          <w:rFonts w:ascii="Arial" w:hAnsi="Arial" w:cs="Arial"/>
        </w:rPr>
        <w:t>, 27(19), pp.2233–2253.</w:t>
      </w:r>
    </w:p>
    <w:p w14:paraId="6D7270D1" w14:textId="77777777" w:rsidR="0056500C" w:rsidRPr="0079743F" w:rsidRDefault="0056500C" w:rsidP="0079743F">
      <w:pPr>
        <w:pStyle w:val="NormalWeb"/>
        <w:spacing w:before="0" w:beforeAutospacing="0" w:after="0" w:afterAutospacing="0" w:line="360" w:lineRule="auto"/>
        <w:jc w:val="both"/>
        <w:rPr>
          <w:rFonts w:ascii="Arial" w:hAnsi="Arial" w:cs="Arial"/>
        </w:rPr>
      </w:pPr>
    </w:p>
    <w:p w14:paraId="13A33C70" w14:textId="56D14255" w:rsidR="0056500C" w:rsidRPr="0079743F" w:rsidRDefault="0056500C"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Neeraj, K. and Ruchi, M. (2013). A study of the recruitment and selection process: SMC Global-Indian Journals. [online] www.indianjournals.com. Available at: </w:t>
      </w:r>
      <w:hyperlink r:id="rId15" w:history="1">
        <w:r w:rsidR="00870AA5" w:rsidRPr="0079743F">
          <w:rPr>
            <w:rStyle w:val="Hyperlink"/>
            <w:rFonts w:ascii="Arial" w:hAnsi="Arial" w:cs="Arial"/>
            <w:color w:val="auto"/>
          </w:rPr>
          <w:t>https://www.indianjournals.com/ijor.aspx?target=ijor:zijmr&amp;volume=3&amp;issue=2&amp;article=021</w:t>
        </w:r>
      </w:hyperlink>
      <w:r w:rsidRPr="0079743F">
        <w:rPr>
          <w:rFonts w:ascii="Arial" w:hAnsi="Arial" w:cs="Arial"/>
        </w:rPr>
        <w:t>.</w:t>
      </w:r>
    </w:p>
    <w:p w14:paraId="02C08E54" w14:textId="77777777" w:rsidR="00B464DE" w:rsidRPr="0079743F" w:rsidRDefault="00B464DE" w:rsidP="0079743F">
      <w:pPr>
        <w:pStyle w:val="NormalWeb"/>
        <w:spacing w:before="0" w:beforeAutospacing="0" w:after="0" w:afterAutospacing="0" w:line="360" w:lineRule="auto"/>
        <w:jc w:val="both"/>
        <w:rPr>
          <w:rFonts w:ascii="Arial" w:hAnsi="Arial" w:cs="Arial"/>
        </w:rPr>
      </w:pPr>
    </w:p>
    <w:p w14:paraId="798B55F1" w14:textId="3EEBAAB5" w:rsidR="00B464DE" w:rsidRPr="0079743F" w:rsidRDefault="00B464DE" w:rsidP="0079743F">
      <w:pPr>
        <w:pStyle w:val="NormalWeb"/>
        <w:spacing w:before="0" w:beforeAutospacing="0" w:after="0" w:afterAutospacing="0" w:line="360" w:lineRule="auto"/>
        <w:jc w:val="both"/>
        <w:rPr>
          <w:rFonts w:ascii="Arial" w:hAnsi="Arial" w:cs="Arial"/>
        </w:rPr>
      </w:pPr>
      <w:r w:rsidRPr="0079743F">
        <w:rPr>
          <w:rFonts w:ascii="Arial" w:hAnsi="Arial" w:cs="Arial"/>
        </w:rPr>
        <w:t xml:space="preserve">Torrington, D, Hall, L, Atkinson, C, &amp; Taylor, S (2020), Human Resource Management PDF </w:t>
      </w:r>
      <w:proofErr w:type="spellStart"/>
      <w:r w:rsidRPr="0079743F">
        <w:rPr>
          <w:rFonts w:ascii="Arial" w:hAnsi="Arial" w:cs="Arial"/>
        </w:rPr>
        <w:t>EBook</w:t>
      </w:r>
      <w:proofErr w:type="spellEnd"/>
      <w:r w:rsidRPr="0079743F">
        <w:rPr>
          <w:rFonts w:ascii="Arial" w:hAnsi="Arial" w:cs="Arial"/>
        </w:rPr>
        <w:t xml:space="preserve">, Pearson Education, Limited, Harlow. Available from: ProQuest </w:t>
      </w:r>
      <w:proofErr w:type="spellStart"/>
      <w:r w:rsidRPr="0079743F">
        <w:rPr>
          <w:rFonts w:ascii="Arial" w:hAnsi="Arial" w:cs="Arial"/>
        </w:rPr>
        <w:t>Ebook</w:t>
      </w:r>
      <w:proofErr w:type="spellEnd"/>
      <w:r w:rsidRPr="0079743F">
        <w:rPr>
          <w:rFonts w:ascii="Arial" w:hAnsi="Arial" w:cs="Arial"/>
        </w:rPr>
        <w:t xml:space="preserve"> Central</w:t>
      </w:r>
    </w:p>
    <w:p w14:paraId="48EF6D41" w14:textId="77777777" w:rsidR="00870AA5" w:rsidRPr="0079743F" w:rsidRDefault="00870AA5" w:rsidP="0079743F">
      <w:pPr>
        <w:pStyle w:val="NormalWeb"/>
        <w:spacing w:before="0" w:beforeAutospacing="0" w:after="0" w:afterAutospacing="0" w:line="360" w:lineRule="auto"/>
        <w:jc w:val="both"/>
        <w:rPr>
          <w:rFonts w:ascii="Arial" w:hAnsi="Arial" w:cs="Arial"/>
        </w:rPr>
      </w:pPr>
    </w:p>
    <w:p w14:paraId="67F013B8" w14:textId="014FBC23" w:rsidR="00870AA5" w:rsidRPr="0079743F" w:rsidRDefault="00870AA5" w:rsidP="0079743F">
      <w:pPr>
        <w:pStyle w:val="NormalWeb"/>
        <w:spacing w:before="0" w:beforeAutospacing="0" w:after="0" w:afterAutospacing="0" w:line="360" w:lineRule="auto"/>
        <w:jc w:val="both"/>
        <w:rPr>
          <w:rFonts w:ascii="Arial" w:hAnsi="Arial" w:cs="Arial"/>
        </w:rPr>
      </w:pPr>
      <w:r w:rsidRPr="0079743F">
        <w:rPr>
          <w:rFonts w:ascii="Arial" w:hAnsi="Arial" w:cs="Arial"/>
        </w:rPr>
        <w:t>Zhang, J. (2023) 'Analysis of Strategic Human Resource Management Practices: A Case Study of Hilton Worldwide', Frontiers in Business Economics and Management, 8(3), pp. 215-222. https://doi.org/10.54097/fbem.v8i3.7872.</w:t>
      </w:r>
    </w:p>
    <w:p w14:paraId="78524CA8" w14:textId="77777777" w:rsidR="0056500C" w:rsidRPr="0079743F" w:rsidRDefault="0056500C" w:rsidP="0079743F">
      <w:pPr>
        <w:pStyle w:val="NormalWeb"/>
        <w:spacing w:line="360" w:lineRule="auto"/>
        <w:jc w:val="both"/>
        <w:rPr>
          <w:rFonts w:ascii="Arial" w:hAnsi="Arial" w:cs="Arial"/>
        </w:rPr>
      </w:pPr>
      <w:r w:rsidRPr="0079743F">
        <w:rPr>
          <w:rFonts w:ascii="Arial" w:hAnsi="Arial" w:cs="Arial"/>
        </w:rPr>
        <w:t>‌</w:t>
      </w:r>
    </w:p>
    <w:p w14:paraId="7B7CC3D3" w14:textId="77777777" w:rsidR="0056500C" w:rsidRPr="0079743F" w:rsidRDefault="0056500C" w:rsidP="0079743F">
      <w:pPr>
        <w:pStyle w:val="NormalWeb"/>
        <w:spacing w:before="0" w:beforeAutospacing="0" w:after="0" w:afterAutospacing="0" w:line="360" w:lineRule="auto"/>
        <w:jc w:val="both"/>
        <w:rPr>
          <w:rFonts w:ascii="Arial" w:hAnsi="Arial" w:cs="Arial"/>
        </w:rPr>
      </w:pPr>
    </w:p>
    <w:p w14:paraId="65215100" w14:textId="77777777" w:rsidR="009B0D11" w:rsidRPr="0056500C" w:rsidRDefault="009B0D11" w:rsidP="006448D6">
      <w:pPr>
        <w:spacing w:line="360" w:lineRule="auto"/>
        <w:jc w:val="both"/>
        <w:rPr>
          <w:rFonts w:ascii="Arial" w:hAnsi="Arial" w:cs="Arial"/>
          <w:sz w:val="24"/>
          <w:szCs w:val="24"/>
        </w:rPr>
      </w:pPr>
    </w:p>
    <w:p w14:paraId="6C04DC31" w14:textId="0EBEA04E" w:rsidR="006448D6" w:rsidRPr="006448D6" w:rsidRDefault="006448D6" w:rsidP="006448D6">
      <w:pPr>
        <w:rPr>
          <w:rFonts w:ascii="Arial" w:hAnsi="Arial" w:cs="Arial"/>
          <w:sz w:val="24"/>
          <w:szCs w:val="24"/>
        </w:rPr>
      </w:pPr>
    </w:p>
    <w:p w14:paraId="20B269A4" w14:textId="77777777" w:rsidR="006448D6" w:rsidRDefault="006448D6" w:rsidP="002478AC">
      <w:pPr>
        <w:spacing w:line="360" w:lineRule="auto"/>
        <w:jc w:val="both"/>
        <w:rPr>
          <w:rFonts w:ascii="Arial" w:hAnsi="Arial" w:cs="Arial"/>
          <w:sz w:val="24"/>
          <w:szCs w:val="24"/>
        </w:rPr>
      </w:pPr>
    </w:p>
    <w:p w14:paraId="0483CB5F" w14:textId="77777777" w:rsidR="002478AC" w:rsidRDefault="002478AC" w:rsidP="002478AC">
      <w:pPr>
        <w:spacing w:line="360" w:lineRule="auto"/>
        <w:jc w:val="both"/>
        <w:rPr>
          <w:rFonts w:ascii="Arial" w:hAnsi="Arial" w:cs="Arial"/>
          <w:sz w:val="24"/>
          <w:szCs w:val="24"/>
        </w:rPr>
      </w:pPr>
    </w:p>
    <w:p w14:paraId="3DEF12B1" w14:textId="77777777" w:rsidR="002478AC" w:rsidRPr="002478AC" w:rsidRDefault="002478AC" w:rsidP="002478AC">
      <w:pPr>
        <w:spacing w:line="360" w:lineRule="auto"/>
        <w:jc w:val="both"/>
        <w:rPr>
          <w:rFonts w:ascii="Arial" w:hAnsi="Arial" w:cs="Arial"/>
          <w:sz w:val="24"/>
          <w:szCs w:val="24"/>
        </w:rPr>
      </w:pPr>
    </w:p>
    <w:sectPr w:rsidR="002478AC" w:rsidRPr="002478A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8A933" w14:textId="77777777" w:rsidR="002617E1" w:rsidRDefault="002617E1" w:rsidP="00B43BBE">
      <w:pPr>
        <w:spacing w:after="0" w:line="240" w:lineRule="auto"/>
      </w:pPr>
      <w:r>
        <w:separator/>
      </w:r>
    </w:p>
  </w:endnote>
  <w:endnote w:type="continuationSeparator" w:id="0">
    <w:p w14:paraId="2D67D819" w14:textId="77777777" w:rsidR="002617E1" w:rsidRDefault="002617E1" w:rsidP="00B4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899809"/>
      <w:docPartObj>
        <w:docPartGallery w:val="Page Numbers (Bottom of Page)"/>
        <w:docPartUnique/>
      </w:docPartObj>
    </w:sdtPr>
    <w:sdtEndPr>
      <w:rPr>
        <w:noProof/>
      </w:rPr>
    </w:sdtEndPr>
    <w:sdtContent>
      <w:p w14:paraId="71E51D99" w14:textId="01E0F849" w:rsidR="00B43BBE" w:rsidRDefault="00B43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90281D" w14:textId="77777777" w:rsidR="00B43BBE" w:rsidRDefault="00B43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F59EC" w14:textId="77777777" w:rsidR="002617E1" w:rsidRDefault="002617E1" w:rsidP="00B43BBE">
      <w:pPr>
        <w:spacing w:after="0" w:line="240" w:lineRule="auto"/>
      </w:pPr>
      <w:r>
        <w:separator/>
      </w:r>
    </w:p>
  </w:footnote>
  <w:footnote w:type="continuationSeparator" w:id="0">
    <w:p w14:paraId="5047BC5F" w14:textId="77777777" w:rsidR="002617E1" w:rsidRDefault="002617E1" w:rsidP="00B43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BBE"/>
    <w:rsid w:val="00015100"/>
    <w:rsid w:val="00057F42"/>
    <w:rsid w:val="002478AC"/>
    <w:rsid w:val="002617E1"/>
    <w:rsid w:val="0056500C"/>
    <w:rsid w:val="006448D6"/>
    <w:rsid w:val="006D6BD0"/>
    <w:rsid w:val="00754C07"/>
    <w:rsid w:val="0079743F"/>
    <w:rsid w:val="007B0CC3"/>
    <w:rsid w:val="00870AA5"/>
    <w:rsid w:val="009B0D11"/>
    <w:rsid w:val="00AF1B24"/>
    <w:rsid w:val="00B151A8"/>
    <w:rsid w:val="00B43BBE"/>
    <w:rsid w:val="00B464DE"/>
    <w:rsid w:val="00E650C5"/>
    <w:rsid w:val="00E73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E48A0"/>
  <w15:chartTrackingRefBased/>
  <w15:docId w15:val="{6A7E9AA8-1ED0-4F19-8A6B-65594962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43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BBE"/>
  </w:style>
  <w:style w:type="paragraph" w:styleId="Footer">
    <w:name w:val="footer"/>
    <w:basedOn w:val="Normal"/>
    <w:link w:val="FooterChar"/>
    <w:uiPriority w:val="99"/>
    <w:unhideWhenUsed/>
    <w:rsid w:val="00B4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BBE"/>
  </w:style>
  <w:style w:type="paragraph" w:styleId="NormalWeb">
    <w:name w:val="Normal (Web)"/>
    <w:basedOn w:val="Normal"/>
    <w:uiPriority w:val="99"/>
    <w:unhideWhenUsed/>
    <w:rsid w:val="005650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6500C"/>
    <w:rPr>
      <w:color w:val="0563C1" w:themeColor="hyperlink"/>
      <w:u w:val="single"/>
    </w:rPr>
  </w:style>
  <w:style w:type="character" w:styleId="UnresolvedMention">
    <w:name w:val="Unresolved Mention"/>
    <w:basedOn w:val="DefaultParagraphFont"/>
    <w:uiPriority w:val="99"/>
    <w:semiHidden/>
    <w:unhideWhenUsed/>
    <w:rsid w:val="0056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6769">
      <w:bodyDiv w:val="1"/>
      <w:marLeft w:val="0"/>
      <w:marRight w:val="0"/>
      <w:marTop w:val="0"/>
      <w:marBottom w:val="0"/>
      <w:divBdr>
        <w:top w:val="none" w:sz="0" w:space="0" w:color="auto"/>
        <w:left w:val="none" w:sz="0" w:space="0" w:color="auto"/>
        <w:bottom w:val="none" w:sz="0" w:space="0" w:color="auto"/>
        <w:right w:val="none" w:sz="0" w:space="0" w:color="auto"/>
      </w:divBdr>
    </w:div>
    <w:div w:id="59254083">
      <w:bodyDiv w:val="1"/>
      <w:marLeft w:val="0"/>
      <w:marRight w:val="0"/>
      <w:marTop w:val="0"/>
      <w:marBottom w:val="0"/>
      <w:divBdr>
        <w:top w:val="none" w:sz="0" w:space="0" w:color="auto"/>
        <w:left w:val="none" w:sz="0" w:space="0" w:color="auto"/>
        <w:bottom w:val="none" w:sz="0" w:space="0" w:color="auto"/>
        <w:right w:val="none" w:sz="0" w:space="0" w:color="auto"/>
      </w:divBdr>
    </w:div>
    <w:div w:id="775099673">
      <w:bodyDiv w:val="1"/>
      <w:marLeft w:val="0"/>
      <w:marRight w:val="0"/>
      <w:marTop w:val="0"/>
      <w:marBottom w:val="0"/>
      <w:divBdr>
        <w:top w:val="none" w:sz="0" w:space="0" w:color="auto"/>
        <w:left w:val="none" w:sz="0" w:space="0" w:color="auto"/>
        <w:bottom w:val="none" w:sz="0" w:space="0" w:color="auto"/>
        <w:right w:val="none" w:sz="0" w:space="0" w:color="auto"/>
      </w:divBdr>
    </w:div>
    <w:div w:id="859902796">
      <w:bodyDiv w:val="1"/>
      <w:marLeft w:val="0"/>
      <w:marRight w:val="0"/>
      <w:marTop w:val="0"/>
      <w:marBottom w:val="0"/>
      <w:divBdr>
        <w:top w:val="none" w:sz="0" w:space="0" w:color="auto"/>
        <w:left w:val="none" w:sz="0" w:space="0" w:color="auto"/>
        <w:bottom w:val="none" w:sz="0" w:space="0" w:color="auto"/>
        <w:right w:val="none" w:sz="0" w:space="0" w:color="auto"/>
      </w:divBdr>
    </w:div>
    <w:div w:id="972445196">
      <w:bodyDiv w:val="1"/>
      <w:marLeft w:val="0"/>
      <w:marRight w:val="0"/>
      <w:marTop w:val="0"/>
      <w:marBottom w:val="0"/>
      <w:divBdr>
        <w:top w:val="none" w:sz="0" w:space="0" w:color="auto"/>
        <w:left w:val="none" w:sz="0" w:space="0" w:color="auto"/>
        <w:bottom w:val="none" w:sz="0" w:space="0" w:color="auto"/>
        <w:right w:val="none" w:sz="0" w:space="0" w:color="auto"/>
      </w:divBdr>
    </w:div>
    <w:div w:id="1138952947">
      <w:bodyDiv w:val="1"/>
      <w:marLeft w:val="0"/>
      <w:marRight w:val="0"/>
      <w:marTop w:val="0"/>
      <w:marBottom w:val="0"/>
      <w:divBdr>
        <w:top w:val="none" w:sz="0" w:space="0" w:color="auto"/>
        <w:left w:val="none" w:sz="0" w:space="0" w:color="auto"/>
        <w:bottom w:val="none" w:sz="0" w:space="0" w:color="auto"/>
        <w:right w:val="none" w:sz="0" w:space="0" w:color="auto"/>
      </w:divBdr>
    </w:div>
    <w:div w:id="1218668396">
      <w:bodyDiv w:val="1"/>
      <w:marLeft w:val="0"/>
      <w:marRight w:val="0"/>
      <w:marTop w:val="0"/>
      <w:marBottom w:val="0"/>
      <w:divBdr>
        <w:top w:val="none" w:sz="0" w:space="0" w:color="auto"/>
        <w:left w:val="none" w:sz="0" w:space="0" w:color="auto"/>
        <w:bottom w:val="none" w:sz="0" w:space="0" w:color="auto"/>
        <w:right w:val="none" w:sz="0" w:space="0" w:color="auto"/>
      </w:divBdr>
    </w:div>
    <w:div w:id="1324426879">
      <w:bodyDiv w:val="1"/>
      <w:marLeft w:val="0"/>
      <w:marRight w:val="0"/>
      <w:marTop w:val="0"/>
      <w:marBottom w:val="0"/>
      <w:divBdr>
        <w:top w:val="none" w:sz="0" w:space="0" w:color="auto"/>
        <w:left w:val="none" w:sz="0" w:space="0" w:color="auto"/>
        <w:bottom w:val="none" w:sz="0" w:space="0" w:color="auto"/>
        <w:right w:val="none" w:sz="0" w:space="0" w:color="auto"/>
      </w:divBdr>
    </w:div>
    <w:div w:id="1421413357">
      <w:bodyDiv w:val="1"/>
      <w:marLeft w:val="0"/>
      <w:marRight w:val="0"/>
      <w:marTop w:val="0"/>
      <w:marBottom w:val="0"/>
      <w:divBdr>
        <w:top w:val="none" w:sz="0" w:space="0" w:color="auto"/>
        <w:left w:val="none" w:sz="0" w:space="0" w:color="auto"/>
        <w:bottom w:val="none" w:sz="0" w:space="0" w:color="auto"/>
        <w:right w:val="none" w:sz="0" w:space="0" w:color="auto"/>
      </w:divBdr>
    </w:div>
    <w:div w:id="1761293743">
      <w:bodyDiv w:val="1"/>
      <w:marLeft w:val="0"/>
      <w:marRight w:val="0"/>
      <w:marTop w:val="0"/>
      <w:marBottom w:val="0"/>
      <w:divBdr>
        <w:top w:val="none" w:sz="0" w:space="0" w:color="auto"/>
        <w:left w:val="none" w:sz="0" w:space="0" w:color="auto"/>
        <w:bottom w:val="none" w:sz="0" w:space="0" w:color="auto"/>
        <w:right w:val="none" w:sz="0" w:space="0" w:color="auto"/>
      </w:divBdr>
    </w:div>
    <w:div w:id="1924873098">
      <w:bodyDiv w:val="1"/>
      <w:marLeft w:val="0"/>
      <w:marRight w:val="0"/>
      <w:marTop w:val="0"/>
      <w:marBottom w:val="0"/>
      <w:divBdr>
        <w:top w:val="none" w:sz="0" w:space="0" w:color="auto"/>
        <w:left w:val="none" w:sz="0" w:space="0" w:color="auto"/>
        <w:bottom w:val="none" w:sz="0" w:space="0" w:color="auto"/>
        <w:right w:val="none" w:sz="0" w:space="0" w:color="auto"/>
      </w:divBdr>
    </w:div>
    <w:div w:id="2009360260">
      <w:bodyDiv w:val="1"/>
      <w:marLeft w:val="0"/>
      <w:marRight w:val="0"/>
      <w:marTop w:val="0"/>
      <w:marBottom w:val="0"/>
      <w:divBdr>
        <w:top w:val="none" w:sz="0" w:space="0" w:color="auto"/>
        <w:left w:val="none" w:sz="0" w:space="0" w:color="auto"/>
        <w:bottom w:val="none" w:sz="0" w:space="0" w:color="auto"/>
        <w:right w:val="none" w:sz="0" w:space="0" w:color="auto"/>
      </w:divBdr>
    </w:div>
    <w:div w:id="2018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technology-recruitment-workforce-planning/" TargetMode="External"/><Relationship Id="rId13" Type="http://schemas.openxmlformats.org/officeDocument/2006/relationships/hyperlink" Target="https://esg.hilton.com/wp-content/uploads/sites/4/2023/04/Hilton-2022-Environmental-Social-and-Governance-Report.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ogle.co.uk/books/edition/Handbook_of_Human_Resource_Management_in/Lh1HDwAAQBAJ?hl=en&amp;gbpv=1&amp;dq=managing+diversity" TargetMode="External"/><Relationship Id="rId12" Type="http://schemas.openxmlformats.org/officeDocument/2006/relationships/hyperlink" Target="https://stories.hilton.com/uploads/2022/05/2021-ESG-Report-Updated.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google.co.uk/books/edition/Human_Resource_Management/GphcEAAAQBAJ?hl=en&amp;gbpv=1&amp;dq=(Beardwell+and+Thompson" TargetMode="External"/><Relationship Id="rId11" Type="http://schemas.openxmlformats.org/officeDocument/2006/relationships/hyperlink" Target="https://www.hilton.com/en/corporate/wp-content/uploads/2019/11/20190225_External-Diversity-Brochure.pdf" TargetMode="External"/><Relationship Id="rId5" Type="http://schemas.openxmlformats.org/officeDocument/2006/relationships/endnotes" Target="endnotes.xml"/><Relationship Id="rId15" Type="http://schemas.openxmlformats.org/officeDocument/2006/relationships/hyperlink" Target="https://www.indianjournals.com/ijor.aspx?target=ijor:zijmr&amp;volume=3&amp;issue=2&amp;article=021" TargetMode="External"/><Relationship Id="rId10" Type="http://schemas.openxmlformats.org/officeDocument/2006/relationships/hyperlink" Target="https://jobs.hilton.com/latam/en" TargetMode="External"/><Relationship Id="rId4" Type="http://schemas.openxmlformats.org/officeDocument/2006/relationships/footnotes" Target="footnotes.xml"/><Relationship Id="rId9" Type="http://schemas.openxmlformats.org/officeDocument/2006/relationships/hyperlink" Target="https://www2.deloitte.com/cn/en/pages/innovation/articles/a-new-era-for-human-resources-management.html" TargetMode="External"/><Relationship Id="rId14" Type="http://schemas.openxmlformats.org/officeDocument/2006/relationships/hyperlink" Target="https://jobs.hilton.com/us/en/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10</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caradan</cp:lastModifiedBy>
  <cp:revision>5</cp:revision>
  <dcterms:created xsi:type="dcterms:W3CDTF">2024-02-05T15:08:00Z</dcterms:created>
  <dcterms:modified xsi:type="dcterms:W3CDTF">2024-02-05T18:14:00Z</dcterms:modified>
</cp:coreProperties>
</file>