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32673797"/>
        <w:docPartObj>
          <w:docPartGallery w:val="Cover Pages"/>
          <w:docPartUnique/>
        </w:docPartObj>
      </w:sdtPr>
      <w:sdtEndPr>
        <w:rPr>
          <w:rFonts w:ascii="Arial" w:hAnsi="Arial" w:cs="Arial"/>
          <w:b/>
          <w:bCs/>
        </w:rPr>
      </w:sdtEndPr>
      <w:sdtContent>
        <w:p w14:paraId="28733A2A" w14:textId="198769A7" w:rsidR="00A52FB1" w:rsidRPr="00A52FB1" w:rsidRDefault="00A52FB1" w:rsidP="00A52FB1">
          <w:pPr>
            <w:rPr>
              <w:rFonts w:ascii="Arial Black" w:hAnsi="Arial Black"/>
              <w:b/>
              <w:bCs/>
              <w:sz w:val="40"/>
              <w:szCs w:val="40"/>
            </w:rPr>
          </w:pPr>
          <w:r w:rsidRPr="00A52FB1">
            <w:rPr>
              <w:rFonts w:ascii="Arial Black" w:hAnsi="Arial Black"/>
              <w:b/>
              <w:bCs/>
              <w:sz w:val="40"/>
              <w:szCs w:val="40"/>
            </w:rPr>
            <w:t>Student name:</w:t>
          </w:r>
          <w:r w:rsidRPr="00A52FB1">
            <w:rPr>
              <w:rFonts w:ascii="Arial Black" w:hAnsi="Arial Black"/>
              <w:b/>
              <w:bCs/>
              <w:sz w:val="40"/>
              <w:szCs w:val="40"/>
            </w:rPr>
            <w:t xml:space="preserve"> </w:t>
          </w:r>
          <w:r w:rsidR="00082675">
            <w:rPr>
              <w:rFonts w:ascii="Arial Black" w:hAnsi="Arial Black"/>
              <w:b/>
              <w:bCs/>
              <w:sz w:val="40"/>
              <w:szCs w:val="40"/>
            </w:rPr>
            <w:t>Simona Acatrine</w:t>
          </w:r>
          <w:r w:rsidRPr="00A52FB1">
            <w:rPr>
              <w:rFonts w:ascii="Arial Black" w:hAnsi="Arial Black"/>
              <w:b/>
              <w:bCs/>
              <w:sz w:val="40"/>
              <w:szCs w:val="40"/>
            </w:rPr>
            <w:t xml:space="preserve">     </w:t>
          </w:r>
        </w:p>
        <w:p w14:paraId="678B1946" w14:textId="1D95C915" w:rsidR="00A52FB1" w:rsidRPr="00A52FB1" w:rsidRDefault="00A52FB1" w:rsidP="00A52FB1">
          <w:pPr>
            <w:rPr>
              <w:rFonts w:ascii="Arial Black" w:hAnsi="Arial Black"/>
              <w:b/>
              <w:bCs/>
              <w:sz w:val="40"/>
              <w:szCs w:val="40"/>
            </w:rPr>
          </w:pPr>
          <w:r w:rsidRPr="00A52FB1">
            <w:rPr>
              <w:rFonts w:ascii="Arial Black" w:hAnsi="Arial Black"/>
              <w:b/>
              <w:bCs/>
              <w:sz w:val="40"/>
              <w:szCs w:val="40"/>
            </w:rPr>
            <w:t>Programme:</w:t>
          </w:r>
          <w:r w:rsidRPr="00A52FB1">
            <w:rPr>
              <w:rFonts w:ascii="Arial Black" w:hAnsi="Arial Black"/>
              <w:b/>
              <w:bCs/>
              <w:sz w:val="40"/>
              <w:szCs w:val="40"/>
            </w:rPr>
            <w:t xml:space="preserve"> </w:t>
          </w:r>
          <w:r w:rsidRPr="00A52FB1">
            <w:rPr>
              <w:rFonts w:ascii="Arial Black" w:hAnsi="Arial Black"/>
              <w:b/>
              <w:bCs/>
              <w:sz w:val="40"/>
              <w:szCs w:val="40"/>
            </w:rPr>
            <w:t>BA/HND Business and Management</w:t>
          </w:r>
        </w:p>
        <w:p w14:paraId="5E557F39" w14:textId="106D4A78" w:rsidR="00A52FB1" w:rsidRPr="00A52FB1" w:rsidRDefault="00A52FB1" w:rsidP="00A52FB1">
          <w:pPr>
            <w:rPr>
              <w:rFonts w:ascii="Arial Black" w:hAnsi="Arial Black"/>
              <w:b/>
              <w:bCs/>
              <w:sz w:val="40"/>
              <w:szCs w:val="40"/>
            </w:rPr>
          </w:pPr>
          <w:r w:rsidRPr="00A52FB1">
            <w:rPr>
              <w:rFonts w:ascii="Arial Black" w:hAnsi="Arial Black"/>
              <w:b/>
              <w:bCs/>
              <w:sz w:val="40"/>
              <w:szCs w:val="40"/>
            </w:rPr>
            <w:t>Module:</w:t>
          </w:r>
          <w:r w:rsidRPr="00A52FB1">
            <w:rPr>
              <w:rFonts w:ascii="Arial Black" w:hAnsi="Arial Black"/>
              <w:b/>
              <w:bCs/>
              <w:sz w:val="40"/>
              <w:szCs w:val="40"/>
            </w:rPr>
            <w:t xml:space="preserve"> </w:t>
          </w:r>
          <w:r w:rsidRPr="00A52FB1">
            <w:rPr>
              <w:rFonts w:ascii="Arial Black" w:hAnsi="Arial Black"/>
              <w:b/>
              <w:bCs/>
              <w:sz w:val="40"/>
              <w:szCs w:val="40"/>
            </w:rPr>
            <w:t xml:space="preserve">Financial Management </w:t>
          </w:r>
          <w:r w:rsidRPr="00A52FB1">
            <w:rPr>
              <w:rFonts w:ascii="Arial Black" w:hAnsi="Arial Black"/>
              <w:b/>
              <w:bCs/>
              <w:sz w:val="40"/>
              <w:szCs w:val="40"/>
            </w:rPr>
            <w:t>for</w:t>
          </w:r>
          <w:r w:rsidRPr="00A52FB1">
            <w:rPr>
              <w:rFonts w:ascii="Arial Black" w:hAnsi="Arial Black"/>
              <w:b/>
              <w:bCs/>
              <w:sz w:val="40"/>
              <w:szCs w:val="40"/>
            </w:rPr>
            <w:t xml:space="preserve"> Business Sustainability</w:t>
          </w:r>
        </w:p>
        <w:p w14:paraId="21C2ADF4" w14:textId="2C7B9503" w:rsidR="00A52FB1" w:rsidRPr="00A52FB1" w:rsidRDefault="00A52FB1" w:rsidP="00A52FB1">
          <w:pPr>
            <w:rPr>
              <w:rFonts w:ascii="Arial Black" w:hAnsi="Arial Black"/>
              <w:b/>
              <w:bCs/>
              <w:sz w:val="40"/>
              <w:szCs w:val="40"/>
            </w:rPr>
          </w:pPr>
          <w:r w:rsidRPr="00A52FB1">
            <w:rPr>
              <w:rFonts w:ascii="Arial Black" w:hAnsi="Arial Black"/>
              <w:b/>
              <w:bCs/>
              <w:sz w:val="40"/>
              <w:szCs w:val="40"/>
            </w:rPr>
            <w:t>Module code:</w:t>
          </w:r>
          <w:r>
            <w:rPr>
              <w:rFonts w:ascii="Arial Black" w:hAnsi="Arial Black"/>
              <w:b/>
              <w:bCs/>
              <w:sz w:val="40"/>
              <w:szCs w:val="40"/>
            </w:rPr>
            <w:t xml:space="preserve"> </w:t>
          </w:r>
          <w:r w:rsidRPr="00A52FB1">
            <w:rPr>
              <w:rFonts w:ascii="Arial Black" w:hAnsi="Arial Black"/>
              <w:b/>
              <w:bCs/>
              <w:sz w:val="40"/>
              <w:szCs w:val="40"/>
            </w:rPr>
            <w:t>BMSP4011</w:t>
          </w:r>
        </w:p>
        <w:p w14:paraId="23FC3BF4" w14:textId="039479CC" w:rsidR="00A52FB1" w:rsidRDefault="00A52FB1">
          <w:pPr>
            <w:rPr>
              <w:rFonts w:ascii="Arial" w:hAnsi="Arial" w:cs="Arial"/>
              <w:b/>
              <w:bCs/>
            </w:rPr>
          </w:pPr>
          <w:r>
            <w:rPr>
              <w:noProof/>
            </w:rPr>
            <mc:AlternateContent>
              <mc:Choice Requires="wps">
                <w:drawing>
                  <wp:anchor distT="0" distB="0" distL="182880" distR="182880" simplePos="0" relativeHeight="251660288" behindDoc="0" locked="0" layoutInCell="1" allowOverlap="1" wp14:anchorId="1ACFD781" wp14:editId="1C9E6CDF">
                    <wp:simplePos x="0" y="0"/>
                    <wp:positionH relativeFrom="margin">
                      <wp:posOffset>-405130</wp:posOffset>
                    </wp:positionH>
                    <wp:positionV relativeFrom="page">
                      <wp:posOffset>5775325</wp:posOffset>
                    </wp:positionV>
                    <wp:extent cx="6793865" cy="6720840"/>
                    <wp:effectExtent l="0" t="0" r="6985" b="1905"/>
                    <wp:wrapSquare wrapText="bothSides"/>
                    <wp:docPr id="131" name="Text Box 131"/>
                    <wp:cNvGraphicFramePr/>
                    <a:graphic xmlns:a="http://schemas.openxmlformats.org/drawingml/2006/main">
                      <a:graphicData uri="http://schemas.microsoft.com/office/word/2010/wordprocessingShape">
                        <wps:wsp>
                          <wps:cNvSpPr txBox="1"/>
                          <wps:spPr>
                            <a:xfrm>
                              <a:off x="0" y="0"/>
                              <a:ext cx="679386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C1885E" w14:textId="709063AB" w:rsidR="00A52FB1" w:rsidRPr="00A52FB1" w:rsidRDefault="00A52FB1">
                                <w:pPr>
                                  <w:pStyle w:val="NoSpacing"/>
                                  <w:spacing w:before="40" w:after="560" w:line="216" w:lineRule="auto"/>
                                  <w:rPr>
                                    <w:rFonts w:ascii="Arial Black" w:hAnsi="Arial Black"/>
                                    <w:color w:val="000000" w:themeColor="text1"/>
                                    <w:sz w:val="96"/>
                                    <w:szCs w:val="96"/>
                                  </w:rPr>
                                </w:pPr>
                                <w:sdt>
                                  <w:sdtPr>
                                    <w:rPr>
                                      <w:rFonts w:ascii="Arial Black" w:hAnsi="Arial Black"/>
                                      <w:color w:val="000000" w:themeColor="text1"/>
                                      <w:sz w:val="96"/>
                                      <w:szCs w:val="96"/>
                                      <w:u w:val="dotDotDash"/>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A52FB1">
                                      <w:rPr>
                                        <w:rFonts w:ascii="Arial Black" w:hAnsi="Arial Black"/>
                                        <w:color w:val="000000" w:themeColor="text1"/>
                                        <w:sz w:val="96"/>
                                        <w:szCs w:val="96"/>
                                        <w:u w:val="dotDotDash"/>
                                      </w:rPr>
                                      <w:t>Financial Analysis</w:t>
                                    </w:r>
                                  </w:sdtContent>
                                </w:sdt>
                              </w:p>
                              <w:p w14:paraId="588C8532" w14:textId="093C5114" w:rsidR="00A52FB1" w:rsidRDefault="00A52FB1">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1ACFD781" id="_x0000_t202" coordsize="21600,21600" o:spt="202" path="m,l,21600r21600,l21600,xe">
                    <v:stroke joinstyle="miter"/>
                    <v:path gradientshapeok="t" o:connecttype="rect"/>
                  </v:shapetype>
                  <v:shape id="Text Box 131" o:spid="_x0000_s1026" type="#_x0000_t202" style="position:absolute;margin-left:-31.9pt;margin-top:454.75pt;width:534.9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" filled="f" stroked="f" strokeweight=".5pt">
                    <v:textbox style="mso-fit-shape-to-text:t" inset="0,0,0,0">
                      <w:txbxContent>
                        <w:p w14:paraId="4DC1885E" w14:textId="709063AB" w:rsidR="00A52FB1" w:rsidRPr="00A52FB1" w:rsidRDefault="00A52FB1">
                          <w:pPr>
                            <w:pStyle w:val="NoSpacing"/>
                            <w:spacing w:before="40" w:after="560" w:line="216" w:lineRule="auto"/>
                            <w:rPr>
                              <w:rFonts w:ascii="Arial Black" w:hAnsi="Arial Black"/>
                              <w:color w:val="000000" w:themeColor="text1"/>
                              <w:sz w:val="96"/>
                              <w:szCs w:val="96"/>
                            </w:rPr>
                          </w:pPr>
                          <w:sdt>
                            <w:sdtPr>
                              <w:rPr>
                                <w:rFonts w:ascii="Arial Black" w:hAnsi="Arial Black"/>
                                <w:color w:val="000000" w:themeColor="text1"/>
                                <w:sz w:val="96"/>
                                <w:szCs w:val="96"/>
                                <w:u w:val="dotDotDash"/>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A52FB1">
                                <w:rPr>
                                  <w:rFonts w:ascii="Arial Black" w:hAnsi="Arial Black"/>
                                  <w:color w:val="000000" w:themeColor="text1"/>
                                  <w:sz w:val="96"/>
                                  <w:szCs w:val="96"/>
                                  <w:u w:val="dotDotDash"/>
                                </w:rPr>
                                <w:t>Financial Analysis</w:t>
                              </w:r>
                            </w:sdtContent>
                          </w:sdt>
                        </w:p>
                        <w:p w14:paraId="588C8532" w14:textId="093C5114" w:rsidR="00A52FB1" w:rsidRDefault="00A52FB1">
                          <w:pPr>
                            <w:pStyle w:val="NoSpacing"/>
                            <w:spacing w:before="80" w:after="40"/>
                            <w:rPr>
                              <w:caps/>
                              <w:color w:val="A02B93"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064406F" wp14:editId="41089C1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4-22T00:00:00Z">
                                    <w:dateFormat w:val="yyyy"/>
                                    <w:lid w:val="en-US"/>
                                    <w:storeMappedDataAs w:val="dateTime"/>
                                    <w:calendar w:val="gregorian"/>
                                  </w:date>
                                </w:sdtPr>
                                <w:sdtContent>
                                  <w:p w14:paraId="76C134A0" w14:textId="3133BEE9" w:rsidR="00A52FB1" w:rsidRPr="00A52FB1" w:rsidRDefault="00A52FB1">
                                    <w:pPr>
                                      <w:pStyle w:val="NoSpacing"/>
                                      <w:jc w:val="right"/>
                                      <w:rPr>
                                        <w:rFonts w:ascii="Arial Black" w:hAnsi="Arial Black"/>
                                        <w:color w:val="FFFFFF" w:themeColor="background1"/>
                                        <w:sz w:val="24"/>
                                        <w:szCs w:val="24"/>
                                      </w:rPr>
                                    </w:pPr>
                                    <w:r w:rsidRPr="00A52FB1">
                                      <w:rPr>
                                        <w:rFonts w:ascii="Arial Black" w:hAnsi="Arial Black"/>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064406F"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4-22T00:00:00Z">
                              <w:dateFormat w:val="yyyy"/>
                              <w:lid w:val="en-US"/>
                              <w:storeMappedDataAs w:val="dateTime"/>
                              <w:calendar w:val="gregorian"/>
                            </w:date>
                          </w:sdtPr>
                          <w:sdtContent>
                            <w:p w14:paraId="76C134A0" w14:textId="3133BEE9" w:rsidR="00A52FB1" w:rsidRPr="00A52FB1" w:rsidRDefault="00A52FB1">
                              <w:pPr>
                                <w:pStyle w:val="NoSpacing"/>
                                <w:jc w:val="right"/>
                                <w:rPr>
                                  <w:rFonts w:ascii="Arial Black" w:hAnsi="Arial Black"/>
                                  <w:color w:val="FFFFFF" w:themeColor="background1"/>
                                  <w:sz w:val="24"/>
                                  <w:szCs w:val="24"/>
                                </w:rPr>
                              </w:pPr>
                              <w:r w:rsidRPr="00A52FB1">
                                <w:rPr>
                                  <w:rFonts w:ascii="Arial Black" w:hAnsi="Arial Black"/>
                                  <w:color w:val="FFFFFF" w:themeColor="background1"/>
                                  <w:sz w:val="24"/>
                                  <w:szCs w:val="24"/>
                                </w:rPr>
                                <w:t>2026</w:t>
                              </w:r>
                            </w:p>
                          </w:sdtContent>
                        </w:sdt>
                      </w:txbxContent>
                    </v:textbox>
                    <w10:wrap anchorx="margin" anchory="page"/>
                  </v:rect>
                </w:pict>
              </mc:Fallback>
            </mc:AlternateContent>
          </w:r>
          <w:r>
            <w:rPr>
              <w:rFonts w:ascii="Arial" w:hAnsi="Arial" w:cs="Arial"/>
              <w:b/>
              <w:bCs/>
            </w:rPr>
            <w:br w:type="page"/>
          </w:r>
        </w:p>
      </w:sdtContent>
    </w:sdt>
    <w:p w14:paraId="006BE70B" w14:textId="1F0F2B48" w:rsidR="005470DE" w:rsidRPr="005470DE" w:rsidRDefault="005470DE" w:rsidP="005470DE">
      <w:pPr>
        <w:spacing w:line="480" w:lineRule="auto"/>
        <w:jc w:val="center"/>
        <w:rPr>
          <w:rFonts w:ascii="Arial" w:hAnsi="Arial" w:cs="Arial"/>
          <w:b/>
          <w:bCs/>
        </w:rPr>
      </w:pPr>
      <w:r w:rsidRPr="005470DE">
        <w:rPr>
          <w:rFonts w:ascii="Arial" w:hAnsi="Arial" w:cs="Arial"/>
          <w:b/>
          <w:bCs/>
        </w:rPr>
        <w:lastRenderedPageBreak/>
        <w:t>Overview</w:t>
      </w:r>
    </w:p>
    <w:p w14:paraId="579E2DFE" w14:textId="77777777" w:rsidR="005470DE" w:rsidRDefault="005470DE" w:rsidP="005470DE">
      <w:pPr>
        <w:spacing w:line="480" w:lineRule="auto"/>
        <w:rPr>
          <w:rFonts w:ascii="Arial" w:hAnsi="Arial" w:cs="Arial"/>
        </w:rPr>
      </w:pPr>
    </w:p>
    <w:p w14:paraId="68B1BD69" w14:textId="7AFD0462" w:rsidR="005470DE" w:rsidRPr="005470DE" w:rsidRDefault="005470DE" w:rsidP="005470DE">
      <w:pPr>
        <w:spacing w:line="480" w:lineRule="auto"/>
        <w:rPr>
          <w:rFonts w:ascii="Arial" w:hAnsi="Arial" w:cs="Arial"/>
        </w:rPr>
      </w:pPr>
      <w:r w:rsidRPr="005470DE">
        <w:rPr>
          <w:rFonts w:ascii="Arial" w:hAnsi="Arial" w:cs="Arial"/>
        </w:rPr>
        <w:t xml:space="preserve">The objective of this </w:t>
      </w:r>
      <w:r>
        <w:rPr>
          <w:rFonts w:ascii="Arial" w:hAnsi="Arial" w:cs="Arial"/>
        </w:rPr>
        <w:t>report</w:t>
      </w:r>
      <w:r w:rsidRPr="005470DE">
        <w:rPr>
          <w:rFonts w:ascii="Arial" w:hAnsi="Arial" w:cs="Arial"/>
        </w:rPr>
        <w:t xml:space="preserve"> is to conduct a </w:t>
      </w:r>
      <w:r>
        <w:rPr>
          <w:rFonts w:ascii="Arial" w:hAnsi="Arial" w:cs="Arial"/>
        </w:rPr>
        <w:t>ratio analysis</w:t>
      </w:r>
      <w:r w:rsidRPr="005470DE">
        <w:rPr>
          <w:rFonts w:ascii="Arial" w:hAnsi="Arial" w:cs="Arial"/>
        </w:rPr>
        <w:t xml:space="preserve"> of Amazon.com Inc. based on </w:t>
      </w:r>
      <w:r>
        <w:rPr>
          <w:rFonts w:ascii="Arial" w:hAnsi="Arial" w:cs="Arial"/>
        </w:rPr>
        <w:t>its</w:t>
      </w:r>
      <w:r w:rsidRPr="005470DE">
        <w:rPr>
          <w:rFonts w:ascii="Arial" w:hAnsi="Arial" w:cs="Arial"/>
        </w:rPr>
        <w:t xml:space="preserve"> annual reports for 2024 and 2025. Multiple years of publicly available financial statement information </w:t>
      </w:r>
      <w:r>
        <w:rPr>
          <w:rFonts w:ascii="Arial" w:hAnsi="Arial" w:cs="Arial"/>
        </w:rPr>
        <w:t>make</w:t>
      </w:r>
      <w:r w:rsidRPr="005470DE">
        <w:rPr>
          <w:rFonts w:ascii="Arial" w:hAnsi="Arial" w:cs="Arial"/>
        </w:rPr>
        <w:t xml:space="preserve"> Amazon a suitable candidate for a ratio analysis due to its operations across the globe in the channels of e-commerce, cloud computing, advertising and digital services. In addition, ratio analysis helps to simplify large financial statement information into liquid, profitable, efficient and </w:t>
      </w:r>
      <w:r>
        <w:rPr>
          <w:rFonts w:ascii="Arial" w:hAnsi="Arial" w:cs="Arial"/>
        </w:rPr>
        <w:t>capital-related</w:t>
      </w:r>
      <w:r w:rsidRPr="005470DE">
        <w:rPr>
          <w:rFonts w:ascii="Arial" w:hAnsi="Arial" w:cs="Arial"/>
        </w:rPr>
        <w:t xml:space="preserve"> positions that give the manager/investor the ability to make better quality decisions (</w:t>
      </w:r>
      <w:proofErr w:type="spellStart"/>
      <w:r w:rsidRPr="005470DE">
        <w:rPr>
          <w:rFonts w:ascii="Arial" w:hAnsi="Arial" w:cs="Arial"/>
        </w:rPr>
        <w:t>Nurdinova</w:t>
      </w:r>
      <w:proofErr w:type="spellEnd"/>
      <w:r w:rsidRPr="005470DE">
        <w:rPr>
          <w:rFonts w:ascii="Arial" w:hAnsi="Arial" w:cs="Arial"/>
        </w:rPr>
        <w:t xml:space="preserve"> 2024). As a company whose current research indicates a strong correlation with the ability for performance linked to innovation strategy, digital scale and competitive advantage (Charles &amp; Uford 2023, </w:t>
      </w:r>
      <w:proofErr w:type="spellStart"/>
      <w:r w:rsidRPr="005470DE">
        <w:rPr>
          <w:rFonts w:ascii="Arial" w:hAnsi="Arial" w:cs="Arial"/>
        </w:rPr>
        <w:t>Sadq</w:t>
      </w:r>
      <w:proofErr w:type="spellEnd"/>
      <w:r w:rsidRPr="005470DE">
        <w:rPr>
          <w:rFonts w:ascii="Arial" w:hAnsi="Arial" w:cs="Arial"/>
        </w:rPr>
        <w:t>, Sabir, and Saeed 2018), Amazon also serves as an excellent case study.</w:t>
      </w:r>
    </w:p>
    <w:p w14:paraId="24CE3F48" w14:textId="77777777" w:rsidR="005470DE" w:rsidRDefault="005470DE" w:rsidP="005470DE">
      <w:pPr>
        <w:spacing w:line="480" w:lineRule="auto"/>
        <w:rPr>
          <w:rFonts w:ascii="Arial" w:hAnsi="Arial" w:cs="Arial"/>
          <w:b/>
          <w:bCs/>
        </w:rPr>
      </w:pPr>
    </w:p>
    <w:p w14:paraId="2663A632" w14:textId="0184A327" w:rsidR="005470DE" w:rsidRPr="005470DE" w:rsidRDefault="005470DE" w:rsidP="005470DE">
      <w:pPr>
        <w:spacing w:line="480" w:lineRule="auto"/>
        <w:jc w:val="center"/>
        <w:rPr>
          <w:rFonts w:ascii="Arial" w:hAnsi="Arial" w:cs="Arial"/>
          <w:b/>
          <w:bCs/>
        </w:rPr>
      </w:pPr>
      <w:r w:rsidRPr="005470DE">
        <w:rPr>
          <w:rFonts w:ascii="Arial" w:hAnsi="Arial" w:cs="Arial"/>
          <w:b/>
          <w:bCs/>
        </w:rPr>
        <w:t>2024 versus 2025 Performance Comparison</w:t>
      </w:r>
    </w:p>
    <w:p w14:paraId="1B2F52B5" w14:textId="77777777" w:rsidR="005470DE" w:rsidRDefault="005470DE" w:rsidP="005470DE">
      <w:pPr>
        <w:spacing w:line="480" w:lineRule="auto"/>
        <w:rPr>
          <w:rFonts w:ascii="Arial" w:hAnsi="Arial" w:cs="Arial"/>
        </w:rPr>
      </w:pPr>
    </w:p>
    <w:p w14:paraId="05FBC9A9" w14:textId="175E6402" w:rsidR="005470DE" w:rsidRPr="005470DE" w:rsidRDefault="005470DE" w:rsidP="005470DE">
      <w:pPr>
        <w:spacing w:line="480" w:lineRule="auto"/>
        <w:rPr>
          <w:rFonts w:ascii="Arial" w:hAnsi="Arial" w:cs="Arial"/>
        </w:rPr>
      </w:pPr>
      <w:r w:rsidRPr="005470DE">
        <w:rPr>
          <w:rFonts w:ascii="Arial" w:hAnsi="Arial" w:cs="Arial"/>
        </w:rPr>
        <w:t xml:space="preserve">Ratios indicate that Amazon had greater overall performance in 2025 than in 2024 </w:t>
      </w:r>
      <w:r w:rsidRPr="005470DE">
        <w:rPr>
          <w:rFonts w:ascii="Arial" w:hAnsi="Arial" w:cs="Arial"/>
        </w:rPr>
        <w:t>regarding</w:t>
      </w:r>
      <w:r w:rsidRPr="005470DE">
        <w:rPr>
          <w:rFonts w:ascii="Arial" w:hAnsi="Arial" w:cs="Arial"/>
        </w:rPr>
        <w:t xml:space="preserve"> profitability. For example, total net sales grew from $637.96 billion in 2024 to $716.92 billion in 2025</w:t>
      </w:r>
      <w:r>
        <w:rPr>
          <w:rFonts w:ascii="Arial" w:hAnsi="Arial" w:cs="Arial"/>
        </w:rPr>
        <w:t>,</w:t>
      </w:r>
      <w:r w:rsidRPr="005470DE">
        <w:rPr>
          <w:rFonts w:ascii="Arial" w:hAnsi="Arial" w:cs="Arial"/>
        </w:rPr>
        <w:t xml:space="preserve"> while operating income grew from $68.59 billion to $79.98 billion. Further, net income increased from $59.25 billion to $77.67 billion</w:t>
      </w:r>
      <w:r>
        <w:rPr>
          <w:rFonts w:ascii="Arial" w:hAnsi="Arial" w:cs="Arial"/>
        </w:rPr>
        <w:t>,</w:t>
      </w:r>
      <w:r w:rsidRPr="005470DE">
        <w:rPr>
          <w:rFonts w:ascii="Arial" w:hAnsi="Arial" w:cs="Arial"/>
        </w:rPr>
        <w:t xml:space="preserve"> indicating that the business generated additional revenue and therefore converted a greater percentage of revenue to profit in 2025.</w:t>
      </w:r>
    </w:p>
    <w:p w14:paraId="29F27BF2" w14:textId="51D4CB9A" w:rsidR="005470DE" w:rsidRPr="005470DE" w:rsidRDefault="005470DE" w:rsidP="005470DE">
      <w:pPr>
        <w:spacing w:line="480" w:lineRule="auto"/>
        <w:rPr>
          <w:rFonts w:ascii="Arial" w:hAnsi="Arial" w:cs="Arial"/>
        </w:rPr>
      </w:pPr>
      <w:r w:rsidRPr="005470DE">
        <w:rPr>
          <w:rFonts w:ascii="Arial" w:hAnsi="Arial" w:cs="Arial"/>
        </w:rPr>
        <w:lastRenderedPageBreak/>
        <w:t>Amazon experienced improved gross profit margins moving from 48.85% in 2024 to 50.29% in 2025</w:t>
      </w:r>
      <w:r>
        <w:rPr>
          <w:rFonts w:ascii="Arial" w:hAnsi="Arial" w:cs="Arial"/>
        </w:rPr>
        <w:t>,</w:t>
      </w:r>
      <w:r w:rsidRPr="005470DE">
        <w:rPr>
          <w:rFonts w:ascii="Arial" w:hAnsi="Arial" w:cs="Arial"/>
        </w:rPr>
        <w:t xml:space="preserve"> and operating margins grew from 10.75% to 11.16% while net profit margins improved from 9.29% to 10.83%. These margin increases point to Amazon controlling </w:t>
      </w:r>
      <w:r>
        <w:rPr>
          <w:rFonts w:ascii="Arial" w:hAnsi="Arial" w:cs="Arial"/>
        </w:rPr>
        <w:t>its</w:t>
      </w:r>
      <w:r w:rsidRPr="005470DE">
        <w:rPr>
          <w:rFonts w:ascii="Arial" w:hAnsi="Arial" w:cs="Arial"/>
        </w:rPr>
        <w:t xml:space="preserve"> costs and positive product sales mix in 2025, thereby supporting the idea that Amazon’s business model is favourably affected by strategic positioning, platform scale and competitive advantages built over time (Basile 2026, Bruijl 2018).</w:t>
      </w:r>
      <w:r>
        <w:rPr>
          <w:rFonts w:ascii="Arial" w:hAnsi="Arial" w:cs="Arial"/>
        </w:rPr>
        <w:t xml:space="preserve"> </w:t>
      </w:r>
      <w:r w:rsidRPr="005470DE">
        <w:rPr>
          <w:rFonts w:ascii="Arial" w:hAnsi="Arial" w:cs="Arial"/>
        </w:rPr>
        <w:t>The annual report for Amazon, which until 2020 had about the same number of employees</w:t>
      </w:r>
      <w:r>
        <w:rPr>
          <w:rFonts w:ascii="Arial" w:hAnsi="Arial" w:cs="Arial"/>
        </w:rPr>
        <w:t xml:space="preserve">, </w:t>
      </w:r>
      <w:r w:rsidRPr="005470DE">
        <w:rPr>
          <w:rFonts w:ascii="Arial" w:hAnsi="Arial" w:cs="Arial"/>
        </w:rPr>
        <w:t>just under one million</w:t>
      </w:r>
      <w:r>
        <w:rPr>
          <w:rFonts w:ascii="Arial" w:hAnsi="Arial" w:cs="Arial"/>
        </w:rPr>
        <w:t>,</w:t>
      </w:r>
      <w:r w:rsidRPr="005470DE">
        <w:rPr>
          <w:rFonts w:ascii="Arial" w:hAnsi="Arial" w:cs="Arial"/>
        </w:rPr>
        <w:t xml:space="preserve"> now includes a clear indication of the company's strong growth trajectory across all areas of the business. In the Amazon reporting period, the company reported revenue growth of 12% and year-on-year operating income growth of 17%, in addition to continuing expansion in Amazon Web Services (AWS), retail, and advertising and subscription-linked services, with significant gains in margins too. This continued strong performance through 2020 is likely due in part to Amazon's ability to generate increasing amounts of cash from operations.</w:t>
      </w:r>
    </w:p>
    <w:p w14:paraId="02B6E921" w14:textId="77777777" w:rsidR="005470DE" w:rsidRDefault="005470DE" w:rsidP="005470DE">
      <w:pPr>
        <w:spacing w:line="480" w:lineRule="auto"/>
        <w:rPr>
          <w:rFonts w:ascii="Arial" w:hAnsi="Arial" w:cs="Arial"/>
        </w:rPr>
      </w:pPr>
      <w:r w:rsidRPr="005470DE">
        <w:rPr>
          <w:rFonts w:ascii="Arial" w:hAnsi="Arial" w:cs="Arial"/>
        </w:rPr>
        <w:t>Liquidity remained stable but slightly constrained. The current ratio decreased slightly from 1.06 to 1.05</w:t>
      </w:r>
      <w:r>
        <w:rPr>
          <w:rFonts w:ascii="Arial" w:hAnsi="Arial" w:cs="Arial"/>
        </w:rPr>
        <w:t>,</w:t>
      </w:r>
      <w:r w:rsidRPr="005470DE">
        <w:rPr>
          <w:rFonts w:ascii="Arial" w:hAnsi="Arial" w:cs="Arial"/>
        </w:rPr>
        <w:t xml:space="preserve"> while the quick ratio marginally increased from 0.87 to 0.88. These ratios suggest that Amazon </w:t>
      </w:r>
      <w:r>
        <w:rPr>
          <w:rFonts w:ascii="Arial" w:hAnsi="Arial" w:cs="Arial"/>
        </w:rPr>
        <w:t>can</w:t>
      </w:r>
      <w:r w:rsidRPr="005470DE">
        <w:rPr>
          <w:rFonts w:ascii="Arial" w:hAnsi="Arial" w:cs="Arial"/>
        </w:rPr>
        <w:t xml:space="preserve"> pay short-term </w:t>
      </w:r>
      <w:r w:rsidRPr="005470DE">
        <w:rPr>
          <w:rFonts w:ascii="Arial" w:hAnsi="Arial" w:cs="Arial"/>
        </w:rPr>
        <w:t>obligations but</w:t>
      </w:r>
      <w:r w:rsidRPr="005470DE">
        <w:rPr>
          <w:rFonts w:ascii="Arial" w:hAnsi="Arial" w:cs="Arial"/>
        </w:rPr>
        <w:t xml:space="preserve"> still relies heavily on managing working capital efficiently rather than keeping large amounts of cash or cash equivalents on hand. Part of the reason for this</w:t>
      </w:r>
      <w:r>
        <w:rPr>
          <w:rFonts w:ascii="Arial" w:hAnsi="Arial" w:cs="Arial"/>
        </w:rPr>
        <w:t xml:space="preserve">, </w:t>
      </w:r>
      <w:r w:rsidRPr="005470DE">
        <w:rPr>
          <w:rFonts w:ascii="Arial" w:hAnsi="Arial" w:cs="Arial"/>
        </w:rPr>
        <w:t>which can be expected for an operation like Amazon's with such large volumes flowing through its business every day</w:t>
      </w:r>
      <w:r>
        <w:rPr>
          <w:rFonts w:ascii="Arial" w:hAnsi="Arial" w:cs="Arial"/>
        </w:rPr>
        <w:t>,</w:t>
      </w:r>
      <w:r w:rsidRPr="005470DE">
        <w:rPr>
          <w:rFonts w:ascii="Arial" w:hAnsi="Arial" w:cs="Arial"/>
        </w:rPr>
        <w:t xml:space="preserve"> is that Amazon's lack of large amounts of cash and cash equivalents provides little cushion against potential operational difficulties in the future. One area where Amazon must therefore remain disciplined is in its management of cash flow. Numerous studies demonstrate that effective cash-flow management leads to significantly improved firm performance (Laghari, Ahmed and López García, 2023).</w:t>
      </w:r>
    </w:p>
    <w:p w14:paraId="32BD913C" w14:textId="77777777" w:rsidR="005470DE" w:rsidRDefault="005470DE" w:rsidP="005470DE">
      <w:pPr>
        <w:spacing w:line="480" w:lineRule="auto"/>
        <w:rPr>
          <w:rFonts w:ascii="Arial" w:hAnsi="Arial" w:cs="Arial"/>
        </w:rPr>
      </w:pPr>
      <w:r w:rsidRPr="005470DE">
        <w:rPr>
          <w:rFonts w:ascii="Arial" w:hAnsi="Arial" w:cs="Arial"/>
        </w:rPr>
        <w:lastRenderedPageBreak/>
        <w:t>Return on Assets (ROA) remained relatively constant at approximately 9.5%, which suggests Amazon was able to continue generating a solid return on its investment of assets. However, Amazon's Return on Equity (ROE) decreased from 20.72% to 18.89%. This decrease does not necessarily equate to lower performance. Rather, what this decrease compared to the previous year reflects is that Amazon's total Equity level has increased significantly by approximately $50 billion.</w:t>
      </w:r>
      <w:r>
        <w:rPr>
          <w:rFonts w:ascii="Arial" w:hAnsi="Arial" w:cs="Arial"/>
        </w:rPr>
        <w:t xml:space="preserve"> </w:t>
      </w:r>
      <w:r w:rsidRPr="005470DE">
        <w:rPr>
          <w:rFonts w:ascii="Arial" w:hAnsi="Arial" w:cs="Arial"/>
        </w:rPr>
        <w:t xml:space="preserve">Definitive evidence of an improvement in Amazon's debt ratio from 54.24% to 49.75% over the prior year supports the notion that Amazon's equity position is stronger, with </w:t>
      </w:r>
      <w:r>
        <w:rPr>
          <w:rFonts w:ascii="Arial" w:hAnsi="Arial" w:cs="Arial"/>
        </w:rPr>
        <w:t xml:space="preserve">a </w:t>
      </w:r>
      <w:r w:rsidRPr="005470DE">
        <w:rPr>
          <w:rFonts w:ascii="Arial" w:hAnsi="Arial" w:cs="Arial"/>
        </w:rPr>
        <w:t xml:space="preserve">corresponding reduction in the risk associated with its balance sheet. </w:t>
      </w:r>
    </w:p>
    <w:p w14:paraId="2A9A2A9D" w14:textId="77777777" w:rsidR="005470DE" w:rsidRDefault="005470DE" w:rsidP="005470DE">
      <w:pPr>
        <w:spacing w:line="480" w:lineRule="auto"/>
        <w:rPr>
          <w:rFonts w:ascii="Arial" w:hAnsi="Arial" w:cs="Arial"/>
          <w:b/>
          <w:bCs/>
        </w:rPr>
      </w:pPr>
    </w:p>
    <w:p w14:paraId="0F13500C" w14:textId="2D79896F" w:rsidR="005470DE" w:rsidRDefault="005470DE" w:rsidP="005470DE">
      <w:pPr>
        <w:spacing w:line="480" w:lineRule="auto"/>
        <w:jc w:val="center"/>
        <w:rPr>
          <w:rFonts w:ascii="Arial" w:hAnsi="Arial" w:cs="Arial"/>
          <w:b/>
          <w:bCs/>
        </w:rPr>
      </w:pPr>
      <w:r w:rsidRPr="005470DE">
        <w:rPr>
          <w:rFonts w:ascii="Arial" w:hAnsi="Arial" w:cs="Arial"/>
          <w:b/>
          <w:bCs/>
        </w:rPr>
        <w:t>Reasons for Performance Change</w:t>
      </w:r>
    </w:p>
    <w:p w14:paraId="729937C2" w14:textId="77777777" w:rsidR="005470DE" w:rsidRPr="005470DE" w:rsidRDefault="005470DE" w:rsidP="005470DE">
      <w:pPr>
        <w:spacing w:line="480" w:lineRule="auto"/>
        <w:rPr>
          <w:rFonts w:ascii="Arial" w:hAnsi="Arial" w:cs="Arial"/>
          <w:b/>
          <w:bCs/>
        </w:rPr>
      </w:pPr>
    </w:p>
    <w:p w14:paraId="64C607BE" w14:textId="39B54F7A" w:rsidR="005470DE" w:rsidRPr="005470DE" w:rsidRDefault="005470DE" w:rsidP="005470DE">
      <w:pPr>
        <w:spacing w:line="480" w:lineRule="auto"/>
        <w:rPr>
          <w:rFonts w:ascii="Arial" w:hAnsi="Arial" w:cs="Arial"/>
        </w:rPr>
      </w:pPr>
      <w:r w:rsidRPr="005470DE">
        <w:rPr>
          <w:rFonts w:ascii="Arial" w:hAnsi="Arial" w:cs="Arial"/>
        </w:rPr>
        <w:t xml:space="preserve">The reason for the 2025 enhancement in performance is a solid, continuing strategy for expanding and </w:t>
      </w:r>
      <w:r>
        <w:rPr>
          <w:rFonts w:ascii="Arial" w:hAnsi="Arial" w:cs="Arial"/>
        </w:rPr>
        <w:t>monetising</w:t>
      </w:r>
      <w:r w:rsidRPr="005470DE">
        <w:rPr>
          <w:rFonts w:ascii="Arial" w:hAnsi="Arial" w:cs="Arial"/>
        </w:rPr>
        <w:t xml:space="preserve"> further the high-margin portions of Amazon's business. According to the most recent reports, AWS sales grew from $108B in 2024 to roughly $129B in 2025, while operating income increased as well, despite the considerable investments occurring. Revenue had an increasing number of investors' actual income in 2025. Since AWS (as well as advertising and service) earns higher, better margins than retail, a considerable increase in revenues generated from those three revenue streams resulted in a corresponding increase in profit. These findings align with existing literature that argues success for Amazon results from being innovative, digitally transformed and able to successfully </w:t>
      </w:r>
      <w:r>
        <w:rPr>
          <w:rFonts w:ascii="Arial" w:hAnsi="Arial" w:cs="Arial"/>
        </w:rPr>
        <w:t>capitalise</w:t>
      </w:r>
      <w:r w:rsidRPr="005470DE">
        <w:rPr>
          <w:rFonts w:ascii="Arial" w:hAnsi="Arial" w:cs="Arial"/>
        </w:rPr>
        <w:t xml:space="preserve"> on technological advances (Ali &amp; Safaa, 2022; Soto Setzke et al., 2023).</w:t>
      </w:r>
    </w:p>
    <w:p w14:paraId="1C23E848" w14:textId="77777777" w:rsidR="005470DE" w:rsidRPr="005470DE" w:rsidRDefault="005470DE" w:rsidP="005470DE">
      <w:pPr>
        <w:spacing w:line="480" w:lineRule="auto"/>
        <w:rPr>
          <w:rFonts w:ascii="Arial" w:hAnsi="Arial" w:cs="Arial"/>
        </w:rPr>
      </w:pPr>
    </w:p>
    <w:p w14:paraId="2892C6FC" w14:textId="4C94223F" w:rsidR="005470DE" w:rsidRPr="005470DE" w:rsidRDefault="005470DE" w:rsidP="005470DE">
      <w:pPr>
        <w:spacing w:line="480" w:lineRule="auto"/>
        <w:rPr>
          <w:rFonts w:ascii="Arial" w:hAnsi="Arial" w:cs="Arial"/>
        </w:rPr>
      </w:pPr>
      <w:r w:rsidRPr="005470DE">
        <w:rPr>
          <w:rFonts w:ascii="Arial" w:hAnsi="Arial" w:cs="Arial"/>
        </w:rPr>
        <w:lastRenderedPageBreak/>
        <w:t xml:space="preserve">However, there were also negatives in 2025. Free cash flow fell sharply due primarily to a much </w:t>
      </w:r>
      <w:r>
        <w:rPr>
          <w:rFonts w:ascii="Arial" w:hAnsi="Arial" w:cs="Arial"/>
        </w:rPr>
        <w:t>larger-than-expected</w:t>
      </w:r>
      <w:r w:rsidRPr="005470DE">
        <w:rPr>
          <w:rFonts w:ascii="Arial" w:hAnsi="Arial" w:cs="Arial"/>
        </w:rPr>
        <w:t xml:space="preserve"> increase in the capital expenditures associated with Amazon's artificial intelligence infrastructure investments. According to the report, free cash flow fell from $38B to $11B, primarily from an increase of $50.7B YOY in property and equipment purchases. Therefore, although Amazon experienced increased profitability in 2025, its liquidity ratios did not materially improve compared to prior year ratios. Effectively, Amazon is experiencing increased profitability and becoming capital intensive short run. As such, these findings provide support for the argument that strategic planning in modern </w:t>
      </w:r>
      <w:r>
        <w:rPr>
          <w:rFonts w:ascii="Arial" w:hAnsi="Arial" w:cs="Arial"/>
        </w:rPr>
        <w:t>organisations</w:t>
      </w:r>
      <w:r w:rsidRPr="005470DE">
        <w:rPr>
          <w:rFonts w:ascii="Arial" w:hAnsi="Arial" w:cs="Arial"/>
        </w:rPr>
        <w:t xml:space="preserve"> requires </w:t>
      </w:r>
      <w:r>
        <w:rPr>
          <w:rFonts w:ascii="Arial" w:hAnsi="Arial" w:cs="Arial"/>
        </w:rPr>
        <w:t>organisations</w:t>
      </w:r>
      <w:r w:rsidRPr="005470DE">
        <w:rPr>
          <w:rFonts w:ascii="Arial" w:hAnsi="Arial" w:cs="Arial"/>
        </w:rPr>
        <w:t xml:space="preserve"> to accept </w:t>
      </w:r>
      <w:r>
        <w:rPr>
          <w:rFonts w:ascii="Arial" w:hAnsi="Arial" w:cs="Arial"/>
        </w:rPr>
        <w:t>short-term</w:t>
      </w:r>
      <w:r w:rsidRPr="005470DE">
        <w:rPr>
          <w:rFonts w:ascii="Arial" w:hAnsi="Arial" w:cs="Arial"/>
        </w:rPr>
        <w:t xml:space="preserve"> pressures in striving for </w:t>
      </w:r>
      <w:r>
        <w:rPr>
          <w:rFonts w:ascii="Arial" w:hAnsi="Arial" w:cs="Arial"/>
        </w:rPr>
        <w:t xml:space="preserve">a </w:t>
      </w:r>
      <w:r w:rsidRPr="005470DE">
        <w:rPr>
          <w:rFonts w:ascii="Arial" w:hAnsi="Arial" w:cs="Arial"/>
        </w:rPr>
        <w:t>long-term position (Dhlamini, 2025; FERMA, 2025).</w:t>
      </w:r>
    </w:p>
    <w:p w14:paraId="21E86733" w14:textId="77777777" w:rsidR="005470DE" w:rsidRPr="005470DE" w:rsidRDefault="005470DE" w:rsidP="005470DE">
      <w:pPr>
        <w:spacing w:line="480" w:lineRule="auto"/>
        <w:rPr>
          <w:rFonts w:ascii="Arial" w:hAnsi="Arial" w:cs="Arial"/>
        </w:rPr>
      </w:pPr>
    </w:p>
    <w:p w14:paraId="6BCBC519" w14:textId="77777777" w:rsidR="005470DE" w:rsidRPr="005470DE" w:rsidRDefault="005470DE" w:rsidP="005470DE">
      <w:pPr>
        <w:spacing w:line="480" w:lineRule="auto"/>
        <w:rPr>
          <w:rFonts w:ascii="Arial" w:hAnsi="Arial" w:cs="Arial"/>
          <w:b/>
          <w:bCs/>
        </w:rPr>
      </w:pPr>
      <w:r w:rsidRPr="005470DE">
        <w:rPr>
          <w:rFonts w:ascii="Arial" w:hAnsi="Arial" w:cs="Arial"/>
          <w:b/>
          <w:bCs/>
        </w:rPr>
        <w:t>Recommendations for Further Financial Performance Improvements and Sustainability</w:t>
      </w:r>
    </w:p>
    <w:p w14:paraId="03554B6B" w14:textId="77777777" w:rsidR="005470DE" w:rsidRPr="005470DE" w:rsidRDefault="005470DE" w:rsidP="005470DE">
      <w:pPr>
        <w:spacing w:line="480" w:lineRule="auto"/>
        <w:rPr>
          <w:rFonts w:ascii="Arial" w:hAnsi="Arial" w:cs="Arial"/>
        </w:rPr>
      </w:pPr>
    </w:p>
    <w:p w14:paraId="6B05E107" w14:textId="77777777" w:rsidR="005470DE" w:rsidRPr="005470DE" w:rsidRDefault="005470DE" w:rsidP="005470DE">
      <w:pPr>
        <w:pStyle w:val="ListParagraph"/>
        <w:numPr>
          <w:ilvl w:val="0"/>
          <w:numId w:val="1"/>
        </w:numPr>
        <w:spacing w:line="480" w:lineRule="auto"/>
        <w:rPr>
          <w:rFonts w:ascii="Arial" w:hAnsi="Arial" w:cs="Arial"/>
        </w:rPr>
      </w:pPr>
      <w:r w:rsidRPr="005470DE">
        <w:rPr>
          <w:rFonts w:ascii="Arial" w:hAnsi="Arial" w:cs="Arial"/>
        </w:rPr>
        <w:t>Continue to grow good profit businesses like AWS, advertising and subscription services, as these revenue streams provide the opportunity to increase profitability while decreasing reliance on the less profitable retail segment (Charles &amp; Uford, 2023).</w:t>
      </w:r>
    </w:p>
    <w:p w14:paraId="786C5A7D" w14:textId="77777777" w:rsidR="00A52FB1" w:rsidRDefault="005470DE" w:rsidP="005470DE">
      <w:pPr>
        <w:pStyle w:val="ListParagraph"/>
        <w:numPr>
          <w:ilvl w:val="0"/>
          <w:numId w:val="1"/>
        </w:numPr>
        <w:spacing w:line="480" w:lineRule="auto"/>
        <w:rPr>
          <w:rFonts w:ascii="Arial" w:hAnsi="Arial" w:cs="Arial"/>
        </w:rPr>
      </w:pPr>
      <w:r w:rsidRPr="005470DE">
        <w:rPr>
          <w:rFonts w:ascii="Arial" w:hAnsi="Arial" w:cs="Arial"/>
        </w:rPr>
        <w:t xml:space="preserve">More closely monitor capital expenditures to ensure that investments made in AI and infrastructure will return sufficient capital, </w:t>
      </w:r>
      <w:r w:rsidRPr="005470DE">
        <w:rPr>
          <w:rFonts w:ascii="Arial" w:hAnsi="Arial" w:cs="Arial"/>
        </w:rPr>
        <w:t>long-term</w:t>
      </w:r>
      <w:r w:rsidRPr="005470DE">
        <w:rPr>
          <w:rFonts w:ascii="Arial" w:hAnsi="Arial" w:cs="Arial"/>
        </w:rPr>
        <w:t>. A more disciplined capital expenditure allocation strategy will also assist with preserving liquidity and preventing large fluctuations in free cash flows.</w:t>
      </w:r>
    </w:p>
    <w:p w14:paraId="46432571" w14:textId="77777777" w:rsidR="00A52FB1" w:rsidRDefault="005470DE" w:rsidP="005470DE">
      <w:pPr>
        <w:pStyle w:val="ListParagraph"/>
        <w:numPr>
          <w:ilvl w:val="0"/>
          <w:numId w:val="1"/>
        </w:numPr>
        <w:spacing w:line="480" w:lineRule="auto"/>
        <w:rPr>
          <w:rFonts w:ascii="Arial" w:hAnsi="Arial" w:cs="Arial"/>
        </w:rPr>
      </w:pPr>
      <w:r w:rsidRPr="00A52FB1">
        <w:rPr>
          <w:rFonts w:ascii="Arial" w:hAnsi="Arial" w:cs="Arial"/>
        </w:rPr>
        <w:lastRenderedPageBreak/>
        <w:t>Improve efficiency in working capital through early collections on receivables and reducing excess quantities of inventory on hand. While small increases in operational efficiency may seem insignificant for Amazon, small improvements could free up billions of dollars in cash for Amazon's future.</w:t>
      </w:r>
    </w:p>
    <w:p w14:paraId="34B07CE5" w14:textId="77777777" w:rsidR="00A52FB1" w:rsidRDefault="005470DE" w:rsidP="005470DE">
      <w:pPr>
        <w:pStyle w:val="ListParagraph"/>
        <w:numPr>
          <w:ilvl w:val="0"/>
          <w:numId w:val="1"/>
        </w:numPr>
        <w:spacing w:line="480" w:lineRule="auto"/>
        <w:rPr>
          <w:rFonts w:ascii="Arial" w:hAnsi="Arial" w:cs="Arial"/>
        </w:rPr>
      </w:pPr>
      <w:r w:rsidRPr="00A52FB1">
        <w:rPr>
          <w:rFonts w:ascii="Arial" w:hAnsi="Arial" w:cs="Arial"/>
        </w:rPr>
        <w:t xml:space="preserve">Continue investments in sustainability, logistics efficiencies and </w:t>
      </w:r>
      <w:r w:rsidR="00A52FB1">
        <w:rPr>
          <w:rFonts w:ascii="Arial" w:hAnsi="Arial" w:cs="Arial"/>
        </w:rPr>
        <w:t>low-carbon</w:t>
      </w:r>
      <w:r w:rsidRPr="00A52FB1">
        <w:rPr>
          <w:rFonts w:ascii="Arial" w:hAnsi="Arial" w:cs="Arial"/>
        </w:rPr>
        <w:t xml:space="preserve"> operations. Research continues to show </w:t>
      </w:r>
      <w:r w:rsidR="00A52FB1">
        <w:rPr>
          <w:rFonts w:ascii="Arial" w:hAnsi="Arial" w:cs="Arial"/>
        </w:rPr>
        <w:t xml:space="preserve">a </w:t>
      </w:r>
      <w:r w:rsidRPr="00A52FB1">
        <w:rPr>
          <w:rFonts w:ascii="Arial" w:hAnsi="Arial" w:cs="Arial"/>
        </w:rPr>
        <w:t xml:space="preserve">strong correlation between sustainability performance and overall business performance and firm value (Perez </w:t>
      </w:r>
      <w:proofErr w:type="spellStart"/>
      <w:r w:rsidRPr="00A52FB1">
        <w:rPr>
          <w:rFonts w:ascii="Arial" w:hAnsi="Arial" w:cs="Arial"/>
        </w:rPr>
        <w:t>Estebanez</w:t>
      </w:r>
      <w:proofErr w:type="spellEnd"/>
      <w:r w:rsidRPr="00A52FB1">
        <w:rPr>
          <w:rFonts w:ascii="Arial" w:hAnsi="Arial" w:cs="Arial"/>
        </w:rPr>
        <w:t xml:space="preserve"> &amp; Sevillano Martín, 2025; Fauzi, 2022). This is especially true for Amazon, where Amazon's large logistics network and </w:t>
      </w:r>
      <w:r w:rsidR="00A52FB1">
        <w:rPr>
          <w:rFonts w:ascii="Arial" w:hAnsi="Arial" w:cs="Arial"/>
        </w:rPr>
        <w:t>energy-intensive</w:t>
      </w:r>
      <w:r w:rsidRPr="00A52FB1">
        <w:rPr>
          <w:rFonts w:ascii="Arial" w:hAnsi="Arial" w:cs="Arial"/>
        </w:rPr>
        <w:t xml:space="preserve"> data </w:t>
      </w:r>
      <w:r w:rsidR="00A52FB1">
        <w:rPr>
          <w:rFonts w:ascii="Arial" w:hAnsi="Arial" w:cs="Arial"/>
        </w:rPr>
        <w:t>centres</w:t>
      </w:r>
      <w:r w:rsidRPr="00A52FB1">
        <w:rPr>
          <w:rFonts w:ascii="Arial" w:hAnsi="Arial" w:cs="Arial"/>
        </w:rPr>
        <w:t xml:space="preserve"> can benefit from sustainable practices.</w:t>
      </w:r>
    </w:p>
    <w:p w14:paraId="0C39D076" w14:textId="4DFE6D36" w:rsidR="005470DE" w:rsidRPr="00A52FB1" w:rsidRDefault="005470DE" w:rsidP="005470DE">
      <w:pPr>
        <w:pStyle w:val="ListParagraph"/>
        <w:numPr>
          <w:ilvl w:val="0"/>
          <w:numId w:val="1"/>
        </w:numPr>
        <w:spacing w:line="480" w:lineRule="auto"/>
        <w:rPr>
          <w:rFonts w:ascii="Arial" w:hAnsi="Arial" w:cs="Arial"/>
        </w:rPr>
      </w:pPr>
      <w:r w:rsidRPr="00A52FB1">
        <w:rPr>
          <w:rFonts w:ascii="Arial" w:hAnsi="Arial" w:cs="Arial"/>
        </w:rPr>
        <w:t>Management should balance growth versus supporting long-term financial stability by maintaining margins by limiting exposure to legal, regulatory and competitive pressures. These pressures will continue to impact companies with the significant market power associated with Amazon (Maher &amp; Aquanno, 2025).</w:t>
      </w:r>
    </w:p>
    <w:p w14:paraId="20FEF98A" w14:textId="77777777" w:rsidR="005470DE" w:rsidRPr="005470DE" w:rsidRDefault="005470DE" w:rsidP="005470DE">
      <w:pPr>
        <w:spacing w:line="480" w:lineRule="auto"/>
        <w:rPr>
          <w:rFonts w:ascii="Arial" w:hAnsi="Arial" w:cs="Arial"/>
        </w:rPr>
      </w:pPr>
    </w:p>
    <w:p w14:paraId="70B7DF39" w14:textId="77777777" w:rsidR="005470DE" w:rsidRPr="00A52FB1" w:rsidRDefault="005470DE" w:rsidP="00A52FB1">
      <w:pPr>
        <w:spacing w:line="480" w:lineRule="auto"/>
        <w:jc w:val="center"/>
        <w:rPr>
          <w:rFonts w:ascii="Arial" w:hAnsi="Arial" w:cs="Arial"/>
          <w:b/>
          <w:bCs/>
        </w:rPr>
      </w:pPr>
      <w:r w:rsidRPr="00A52FB1">
        <w:rPr>
          <w:rFonts w:ascii="Arial" w:hAnsi="Arial" w:cs="Arial"/>
          <w:b/>
          <w:bCs/>
        </w:rPr>
        <w:t>Conclusion</w:t>
      </w:r>
    </w:p>
    <w:p w14:paraId="58FB8178" w14:textId="77777777" w:rsidR="005470DE" w:rsidRPr="005470DE" w:rsidRDefault="005470DE" w:rsidP="005470DE">
      <w:pPr>
        <w:spacing w:line="480" w:lineRule="auto"/>
        <w:rPr>
          <w:rFonts w:ascii="Arial" w:hAnsi="Arial" w:cs="Arial"/>
        </w:rPr>
      </w:pPr>
    </w:p>
    <w:p w14:paraId="4254F6C9" w14:textId="016BB8FE" w:rsidR="005470DE" w:rsidRDefault="005470DE" w:rsidP="005470DE">
      <w:pPr>
        <w:spacing w:line="480" w:lineRule="auto"/>
        <w:rPr>
          <w:rFonts w:ascii="Arial" w:hAnsi="Arial" w:cs="Arial"/>
        </w:rPr>
      </w:pPr>
      <w:r w:rsidRPr="005470DE">
        <w:rPr>
          <w:rFonts w:ascii="Arial" w:hAnsi="Arial" w:cs="Arial"/>
        </w:rPr>
        <w:t xml:space="preserve">In summary, the overall results of the financial ratio analysis indicate that there is </w:t>
      </w:r>
      <w:r w:rsidR="00A52FB1">
        <w:rPr>
          <w:rFonts w:ascii="Arial" w:hAnsi="Arial" w:cs="Arial"/>
        </w:rPr>
        <w:t xml:space="preserve">a </w:t>
      </w:r>
      <w:r w:rsidRPr="005470DE">
        <w:rPr>
          <w:rFonts w:ascii="Arial" w:hAnsi="Arial" w:cs="Arial"/>
        </w:rPr>
        <w:t>clear financial improvement at Amazon in 2025. Each of the profitability ratios improved, sales and gross margin grew significantly, while the debt ratio improved</w:t>
      </w:r>
      <w:r w:rsidR="00A52FB1">
        <w:rPr>
          <w:rFonts w:ascii="Arial" w:hAnsi="Arial" w:cs="Arial"/>
        </w:rPr>
        <w:t>,</w:t>
      </w:r>
      <w:r w:rsidRPr="005470DE">
        <w:rPr>
          <w:rFonts w:ascii="Arial" w:hAnsi="Arial" w:cs="Arial"/>
        </w:rPr>
        <w:t xml:space="preserve"> creating a stronger financial structure for Amazon. While liquidity levels were still considered adequate, they are becoming marginally tight. In addition, return on equity decreased due to the continued net (increase) in equity capital, growing faster </w:t>
      </w:r>
      <w:r w:rsidRPr="005470DE">
        <w:rPr>
          <w:rFonts w:ascii="Arial" w:hAnsi="Arial" w:cs="Arial"/>
        </w:rPr>
        <w:lastRenderedPageBreak/>
        <w:t xml:space="preserve">than net profit. The most significant finding is that the increased profitability and financial strength </w:t>
      </w:r>
      <w:r w:rsidR="00A52FB1">
        <w:rPr>
          <w:rFonts w:ascii="Arial" w:hAnsi="Arial" w:cs="Arial"/>
        </w:rPr>
        <w:t>were</w:t>
      </w:r>
      <w:r w:rsidRPr="005470DE">
        <w:rPr>
          <w:rFonts w:ascii="Arial" w:hAnsi="Arial" w:cs="Arial"/>
        </w:rPr>
        <w:t xml:space="preserve"> achieved as a part of a significantly larger level of investment</w:t>
      </w:r>
      <w:r w:rsidR="00A52FB1">
        <w:rPr>
          <w:rFonts w:ascii="Arial" w:hAnsi="Arial" w:cs="Arial"/>
        </w:rPr>
        <w:t>,</w:t>
      </w:r>
      <w:r w:rsidRPr="005470DE">
        <w:rPr>
          <w:rFonts w:ascii="Arial" w:hAnsi="Arial" w:cs="Arial"/>
        </w:rPr>
        <w:t xml:space="preserve"> resulting in decreased free cash flow in the short-term. The financial analysis process provided clarity to otherwise complex financial statements and created an opportunity to identify where Amazon has improved, where issues continue to exist and should be the priority of management (Akdemir &amp; Şimşek, 2023; </w:t>
      </w:r>
      <w:proofErr w:type="spellStart"/>
      <w:r w:rsidRPr="005470DE">
        <w:rPr>
          <w:rFonts w:ascii="Arial" w:hAnsi="Arial" w:cs="Arial"/>
        </w:rPr>
        <w:t>Velickovic</w:t>
      </w:r>
      <w:proofErr w:type="spellEnd"/>
      <w:r w:rsidRPr="005470DE">
        <w:rPr>
          <w:rFonts w:ascii="Arial" w:hAnsi="Arial" w:cs="Arial"/>
        </w:rPr>
        <w:t>, Stanojevic &amp; Veselinovic, 2023).</w:t>
      </w:r>
    </w:p>
    <w:p w14:paraId="4BBDFF30" w14:textId="77777777" w:rsidR="00A52FB1" w:rsidRDefault="00A52FB1" w:rsidP="005470DE">
      <w:pPr>
        <w:spacing w:line="480" w:lineRule="auto"/>
        <w:rPr>
          <w:rFonts w:ascii="Arial" w:hAnsi="Arial" w:cs="Arial"/>
        </w:rPr>
      </w:pPr>
    </w:p>
    <w:p w14:paraId="0824A3C7" w14:textId="77777777" w:rsidR="00A52FB1" w:rsidRPr="00A52FB1" w:rsidRDefault="00A52FB1" w:rsidP="00A52FB1">
      <w:pPr>
        <w:spacing w:line="480" w:lineRule="auto"/>
        <w:jc w:val="center"/>
        <w:rPr>
          <w:rFonts w:ascii="Arial" w:hAnsi="Arial" w:cs="Arial"/>
          <w:b/>
          <w:bCs/>
        </w:rPr>
      </w:pPr>
      <w:r w:rsidRPr="00A52FB1">
        <w:rPr>
          <w:rFonts w:ascii="Arial" w:hAnsi="Arial" w:cs="Arial"/>
          <w:b/>
          <w:bCs/>
        </w:rPr>
        <w:t>Ratio Calculations: Amazon.com, Inc. (2024–2025)</w:t>
      </w:r>
    </w:p>
    <w:p w14:paraId="7506D532" w14:textId="77777777" w:rsidR="00A52FB1" w:rsidRDefault="00A52FB1" w:rsidP="00A52FB1">
      <w:pPr>
        <w:spacing w:line="480" w:lineRule="auto"/>
        <w:rPr>
          <w:rFonts w:ascii="Arial" w:hAnsi="Arial" w:cs="Arial"/>
        </w:rPr>
      </w:pPr>
    </w:p>
    <w:p w14:paraId="33CF428C" w14:textId="60FDBE8C" w:rsidR="00A52FB1" w:rsidRPr="00A52FB1" w:rsidRDefault="00A52FB1" w:rsidP="00A52FB1">
      <w:pPr>
        <w:pStyle w:val="ListParagraph"/>
        <w:numPr>
          <w:ilvl w:val="0"/>
          <w:numId w:val="2"/>
        </w:numPr>
        <w:spacing w:line="480" w:lineRule="auto"/>
        <w:rPr>
          <w:rFonts w:ascii="Arial" w:hAnsi="Arial" w:cs="Arial"/>
          <w:b/>
          <w:bCs/>
          <w:color w:val="EE0000"/>
        </w:rPr>
      </w:pPr>
      <w:r w:rsidRPr="00A52FB1">
        <w:rPr>
          <w:rFonts w:ascii="Arial" w:hAnsi="Arial" w:cs="Arial"/>
          <w:b/>
          <w:bCs/>
          <w:color w:val="EE0000"/>
        </w:rPr>
        <w:t>Current Ratio</w:t>
      </w:r>
      <w:r>
        <w:rPr>
          <w:rFonts w:ascii="Arial" w:hAnsi="Arial" w:cs="Arial"/>
          <w:b/>
          <w:bCs/>
          <w:color w:val="EE0000"/>
        </w:rPr>
        <w:t>: (</w:t>
      </w:r>
      <w:r w:rsidRPr="00A52FB1">
        <w:rPr>
          <w:rFonts w:ascii="Arial" w:hAnsi="Arial" w:cs="Arial"/>
          <w:b/>
          <w:bCs/>
          <w:color w:val="EE0000"/>
        </w:rPr>
        <w:t>Current Assets / Current Liabilities</w:t>
      </w:r>
      <w:r>
        <w:rPr>
          <w:rFonts w:ascii="Arial" w:hAnsi="Arial" w:cs="Arial"/>
          <w:b/>
          <w:bCs/>
          <w:color w:val="EE0000"/>
        </w:rPr>
        <w:t>)</w:t>
      </w:r>
    </w:p>
    <w:p w14:paraId="3138C4F5" w14:textId="37B83970" w:rsidR="00A52FB1" w:rsidRPr="00A52FB1" w:rsidRDefault="00A52FB1" w:rsidP="00A52FB1">
      <w:pPr>
        <w:spacing w:line="480" w:lineRule="auto"/>
        <w:rPr>
          <w:rFonts w:ascii="Arial" w:hAnsi="Arial" w:cs="Arial"/>
        </w:rPr>
      </w:pPr>
      <w:r>
        <w:rPr>
          <w:rFonts w:ascii="Arial" w:hAnsi="Arial" w:cs="Arial"/>
        </w:rPr>
        <w:t xml:space="preserve">2024 </w:t>
      </w:r>
      <w:r w:rsidRPr="00A52FB1">
        <w:rPr>
          <w:rFonts w:ascii="Arial" w:hAnsi="Arial" w:cs="Arial"/>
        </w:rPr>
        <w:t>= 190,867 / 179,431 = 1.06:1</w:t>
      </w:r>
    </w:p>
    <w:p w14:paraId="22D438A2" w14:textId="77777777" w:rsidR="00A52FB1" w:rsidRPr="00A52FB1" w:rsidRDefault="00A52FB1" w:rsidP="00A52FB1">
      <w:pPr>
        <w:spacing w:line="480" w:lineRule="auto"/>
        <w:rPr>
          <w:rFonts w:ascii="Arial" w:hAnsi="Arial" w:cs="Arial"/>
        </w:rPr>
      </w:pPr>
      <w:r w:rsidRPr="00A52FB1">
        <w:rPr>
          <w:rFonts w:ascii="Arial" w:hAnsi="Arial" w:cs="Arial"/>
        </w:rPr>
        <w:t>2025 = 229,083 / 218,005 = 1.05:1</w:t>
      </w:r>
    </w:p>
    <w:p w14:paraId="537ACAE2" w14:textId="6B4F6C61" w:rsidR="00A52FB1" w:rsidRPr="00A52FB1" w:rsidRDefault="00A52FB1" w:rsidP="00A52FB1">
      <w:pPr>
        <w:pStyle w:val="ListParagraph"/>
        <w:numPr>
          <w:ilvl w:val="0"/>
          <w:numId w:val="2"/>
        </w:numPr>
        <w:spacing w:line="480" w:lineRule="auto"/>
        <w:rPr>
          <w:rFonts w:ascii="Arial" w:hAnsi="Arial" w:cs="Arial"/>
          <w:b/>
          <w:bCs/>
          <w:color w:val="EE0000"/>
        </w:rPr>
      </w:pPr>
      <w:r w:rsidRPr="00A52FB1">
        <w:rPr>
          <w:rFonts w:ascii="Arial" w:hAnsi="Arial" w:cs="Arial"/>
          <w:b/>
          <w:bCs/>
          <w:color w:val="EE0000"/>
        </w:rPr>
        <w:t>Quick Ratio</w:t>
      </w:r>
      <w:r w:rsidRPr="00A52FB1">
        <w:rPr>
          <w:rFonts w:ascii="Arial" w:hAnsi="Arial" w:cs="Arial"/>
          <w:b/>
          <w:bCs/>
          <w:color w:val="EE0000"/>
        </w:rPr>
        <w:t>:</w:t>
      </w:r>
      <w:r w:rsidRPr="00A52FB1">
        <w:rPr>
          <w:rFonts w:ascii="Arial" w:hAnsi="Arial" w:cs="Arial"/>
          <w:b/>
          <w:bCs/>
          <w:color w:val="EE0000"/>
        </w:rPr>
        <w:t xml:space="preserve"> (Current Assets – Inventory) / Current Liabilities</w:t>
      </w:r>
    </w:p>
    <w:p w14:paraId="28C613A6" w14:textId="3B3F9517" w:rsidR="00A52FB1" w:rsidRPr="00A52FB1" w:rsidRDefault="00A52FB1" w:rsidP="00A52FB1">
      <w:pPr>
        <w:spacing w:line="480" w:lineRule="auto"/>
        <w:rPr>
          <w:rFonts w:ascii="Arial" w:hAnsi="Arial" w:cs="Arial"/>
        </w:rPr>
      </w:pPr>
      <w:r>
        <w:rPr>
          <w:rFonts w:ascii="Arial" w:hAnsi="Arial" w:cs="Arial"/>
        </w:rPr>
        <w:t xml:space="preserve">2024 </w:t>
      </w:r>
      <w:r w:rsidRPr="00A52FB1">
        <w:rPr>
          <w:rFonts w:ascii="Arial" w:hAnsi="Arial" w:cs="Arial"/>
        </w:rPr>
        <w:t>= (190,867 – 34,214) / 179,431</w:t>
      </w:r>
    </w:p>
    <w:p w14:paraId="51EC8F16" w14:textId="57BEC423" w:rsidR="00A52FB1" w:rsidRPr="00A52FB1" w:rsidRDefault="00A52FB1" w:rsidP="00A52FB1">
      <w:pPr>
        <w:spacing w:line="480" w:lineRule="auto"/>
        <w:rPr>
          <w:rFonts w:ascii="Arial" w:hAnsi="Arial" w:cs="Arial"/>
        </w:rPr>
      </w:pPr>
      <w:r>
        <w:rPr>
          <w:rFonts w:ascii="Arial" w:hAnsi="Arial" w:cs="Arial"/>
        </w:rPr>
        <w:t xml:space="preserve">         </w:t>
      </w:r>
      <w:r w:rsidRPr="00A52FB1">
        <w:rPr>
          <w:rFonts w:ascii="Arial" w:hAnsi="Arial" w:cs="Arial"/>
        </w:rPr>
        <w:t>= 156,653 / 179,431 = 0.87:1</w:t>
      </w:r>
    </w:p>
    <w:p w14:paraId="7EE8B445" w14:textId="77777777" w:rsidR="00A52FB1" w:rsidRPr="00A52FB1" w:rsidRDefault="00A52FB1" w:rsidP="00A52FB1">
      <w:pPr>
        <w:spacing w:line="480" w:lineRule="auto"/>
        <w:rPr>
          <w:rFonts w:ascii="Arial" w:hAnsi="Arial" w:cs="Arial"/>
        </w:rPr>
      </w:pPr>
      <w:r w:rsidRPr="00A52FB1">
        <w:rPr>
          <w:rFonts w:ascii="Arial" w:hAnsi="Arial" w:cs="Arial"/>
        </w:rPr>
        <w:t>2025 = (229,083 – 38,325) / 218,005</w:t>
      </w:r>
    </w:p>
    <w:p w14:paraId="4058C875" w14:textId="1760BA6B" w:rsidR="00A52FB1" w:rsidRPr="00A52FB1" w:rsidRDefault="00A52FB1" w:rsidP="00A52FB1">
      <w:pPr>
        <w:spacing w:line="480" w:lineRule="auto"/>
        <w:rPr>
          <w:rFonts w:ascii="Arial" w:hAnsi="Arial" w:cs="Arial"/>
        </w:rPr>
      </w:pPr>
      <w:r>
        <w:rPr>
          <w:rFonts w:ascii="Arial" w:hAnsi="Arial" w:cs="Arial"/>
        </w:rPr>
        <w:t xml:space="preserve">         </w:t>
      </w:r>
      <w:r w:rsidRPr="00A52FB1">
        <w:rPr>
          <w:rFonts w:ascii="Arial" w:hAnsi="Arial" w:cs="Arial"/>
        </w:rPr>
        <w:t>= 190,758 / 218,005 = 0.88:1</w:t>
      </w:r>
    </w:p>
    <w:p w14:paraId="32D35987" w14:textId="2E55BFF0" w:rsidR="00A52FB1" w:rsidRPr="00A52FB1" w:rsidRDefault="00A52FB1" w:rsidP="00A52FB1">
      <w:pPr>
        <w:pStyle w:val="ListParagraph"/>
        <w:numPr>
          <w:ilvl w:val="0"/>
          <w:numId w:val="2"/>
        </w:numPr>
        <w:spacing w:line="480" w:lineRule="auto"/>
        <w:rPr>
          <w:rFonts w:ascii="Arial" w:hAnsi="Arial" w:cs="Arial"/>
          <w:b/>
          <w:bCs/>
          <w:color w:val="EE0000"/>
        </w:rPr>
      </w:pPr>
      <w:r w:rsidRPr="00A52FB1">
        <w:rPr>
          <w:rFonts w:ascii="Arial" w:hAnsi="Arial" w:cs="Arial"/>
          <w:b/>
          <w:bCs/>
          <w:color w:val="EE0000"/>
        </w:rPr>
        <w:t>Gross Profit Margin</w:t>
      </w:r>
      <w:r w:rsidRPr="00A52FB1">
        <w:rPr>
          <w:rFonts w:ascii="Arial" w:hAnsi="Arial" w:cs="Arial"/>
          <w:b/>
          <w:bCs/>
          <w:color w:val="EE0000"/>
        </w:rPr>
        <w:t>: (</w:t>
      </w:r>
      <w:r w:rsidRPr="00A52FB1">
        <w:rPr>
          <w:rFonts w:ascii="Arial" w:hAnsi="Arial" w:cs="Arial"/>
          <w:b/>
          <w:bCs/>
          <w:color w:val="EE0000"/>
        </w:rPr>
        <w:t>Gross Profit = Net Sales – Cost of Sales</w:t>
      </w:r>
      <w:r w:rsidRPr="00A52FB1">
        <w:rPr>
          <w:rFonts w:ascii="Arial" w:hAnsi="Arial" w:cs="Arial"/>
          <w:b/>
          <w:bCs/>
          <w:color w:val="EE0000"/>
        </w:rPr>
        <w:t>)</w:t>
      </w:r>
    </w:p>
    <w:p w14:paraId="33DCD6CA" w14:textId="77777777" w:rsidR="00A52FB1" w:rsidRPr="00A52FB1" w:rsidRDefault="00A52FB1" w:rsidP="00A52FB1">
      <w:pPr>
        <w:spacing w:line="480" w:lineRule="auto"/>
        <w:rPr>
          <w:rFonts w:ascii="Arial" w:hAnsi="Arial" w:cs="Arial"/>
        </w:rPr>
      </w:pPr>
      <w:r w:rsidRPr="00A52FB1">
        <w:rPr>
          <w:rFonts w:ascii="Arial" w:hAnsi="Arial" w:cs="Arial"/>
        </w:rPr>
        <w:t>2024 = (637,959 – 326,288) / 637,959 × 100</w:t>
      </w:r>
    </w:p>
    <w:p w14:paraId="4947AE23" w14:textId="77777777" w:rsidR="00A52FB1" w:rsidRDefault="00A52FB1" w:rsidP="00A52FB1">
      <w:pPr>
        <w:spacing w:line="480" w:lineRule="auto"/>
        <w:rPr>
          <w:rFonts w:ascii="Arial" w:hAnsi="Arial" w:cs="Arial"/>
        </w:rPr>
      </w:pPr>
      <w:r>
        <w:rPr>
          <w:rFonts w:ascii="Arial" w:hAnsi="Arial" w:cs="Arial"/>
        </w:rPr>
        <w:t xml:space="preserve">         </w:t>
      </w:r>
      <w:r w:rsidRPr="00A52FB1">
        <w:rPr>
          <w:rFonts w:ascii="Arial" w:hAnsi="Arial" w:cs="Arial"/>
        </w:rPr>
        <w:t>= 311,671 / 637,959 × 100 = 48.85%</w:t>
      </w:r>
    </w:p>
    <w:p w14:paraId="330BD60D" w14:textId="44CEB6CD" w:rsidR="00A52FB1" w:rsidRPr="00A52FB1" w:rsidRDefault="00A52FB1" w:rsidP="00A52FB1">
      <w:pPr>
        <w:spacing w:line="480" w:lineRule="auto"/>
        <w:rPr>
          <w:rFonts w:ascii="Arial" w:hAnsi="Arial" w:cs="Arial"/>
        </w:rPr>
      </w:pPr>
      <w:r w:rsidRPr="00A52FB1">
        <w:rPr>
          <w:rFonts w:ascii="Arial" w:hAnsi="Arial" w:cs="Arial"/>
        </w:rPr>
        <w:lastRenderedPageBreak/>
        <w:t>2025 = (716,924 – 356,414) / 716,924 × 100</w:t>
      </w:r>
    </w:p>
    <w:p w14:paraId="681F870A" w14:textId="239D5090" w:rsidR="00A52FB1" w:rsidRPr="00A52FB1" w:rsidRDefault="00A52FB1" w:rsidP="00A52FB1">
      <w:pPr>
        <w:spacing w:line="480" w:lineRule="auto"/>
        <w:rPr>
          <w:rFonts w:ascii="Arial" w:hAnsi="Arial" w:cs="Arial"/>
        </w:rPr>
      </w:pPr>
      <w:r>
        <w:rPr>
          <w:rFonts w:ascii="Arial" w:hAnsi="Arial" w:cs="Arial"/>
        </w:rPr>
        <w:t xml:space="preserve">         </w:t>
      </w:r>
      <w:r w:rsidRPr="00A52FB1">
        <w:rPr>
          <w:rFonts w:ascii="Arial" w:hAnsi="Arial" w:cs="Arial"/>
        </w:rPr>
        <w:t>= 360,510 / 716,924 × 100 = 50.29%</w:t>
      </w:r>
    </w:p>
    <w:p w14:paraId="52673713" w14:textId="3799D8A1" w:rsidR="00A52FB1" w:rsidRPr="00A52FB1" w:rsidRDefault="00A52FB1" w:rsidP="00A52FB1">
      <w:pPr>
        <w:pStyle w:val="ListParagraph"/>
        <w:numPr>
          <w:ilvl w:val="0"/>
          <w:numId w:val="2"/>
        </w:numPr>
        <w:spacing w:line="480" w:lineRule="auto"/>
        <w:rPr>
          <w:rFonts w:ascii="Arial" w:hAnsi="Arial" w:cs="Arial"/>
          <w:b/>
          <w:bCs/>
          <w:color w:val="EE0000"/>
        </w:rPr>
      </w:pPr>
      <w:r w:rsidRPr="00A52FB1">
        <w:rPr>
          <w:rFonts w:ascii="Arial" w:hAnsi="Arial" w:cs="Arial"/>
          <w:b/>
          <w:bCs/>
          <w:color w:val="EE0000"/>
        </w:rPr>
        <w:t>Operating Profit Margin</w:t>
      </w:r>
    </w:p>
    <w:p w14:paraId="5CB8B6E2" w14:textId="77777777" w:rsidR="00A52FB1" w:rsidRPr="00A52FB1" w:rsidRDefault="00A52FB1" w:rsidP="00A52FB1">
      <w:pPr>
        <w:spacing w:line="480" w:lineRule="auto"/>
        <w:rPr>
          <w:rFonts w:ascii="Arial" w:hAnsi="Arial" w:cs="Arial"/>
        </w:rPr>
      </w:pPr>
      <w:r w:rsidRPr="00A52FB1">
        <w:rPr>
          <w:rFonts w:ascii="Arial" w:hAnsi="Arial" w:cs="Arial"/>
        </w:rPr>
        <w:t>2024 = 68,593 / 637,959 × 100 = 10.75%</w:t>
      </w:r>
    </w:p>
    <w:p w14:paraId="5F6AB3B6" w14:textId="77777777" w:rsidR="00A52FB1" w:rsidRPr="00A52FB1" w:rsidRDefault="00A52FB1" w:rsidP="00A52FB1">
      <w:pPr>
        <w:spacing w:line="480" w:lineRule="auto"/>
        <w:rPr>
          <w:rFonts w:ascii="Arial" w:hAnsi="Arial" w:cs="Arial"/>
        </w:rPr>
      </w:pPr>
      <w:r w:rsidRPr="00A52FB1">
        <w:rPr>
          <w:rFonts w:ascii="Arial" w:hAnsi="Arial" w:cs="Arial"/>
        </w:rPr>
        <w:t>2025 = 79,975 / 716,924 × 100 = 11.16%</w:t>
      </w:r>
    </w:p>
    <w:p w14:paraId="30683BD5" w14:textId="49BBAEF7" w:rsidR="00A52FB1" w:rsidRPr="00A52FB1" w:rsidRDefault="00A52FB1" w:rsidP="00A52FB1">
      <w:pPr>
        <w:pStyle w:val="ListParagraph"/>
        <w:numPr>
          <w:ilvl w:val="0"/>
          <w:numId w:val="2"/>
        </w:numPr>
        <w:spacing w:line="480" w:lineRule="auto"/>
        <w:rPr>
          <w:rFonts w:ascii="Arial" w:hAnsi="Arial" w:cs="Arial"/>
          <w:b/>
          <w:bCs/>
          <w:color w:val="EE0000"/>
        </w:rPr>
      </w:pPr>
      <w:r w:rsidRPr="00A52FB1">
        <w:rPr>
          <w:rFonts w:ascii="Arial" w:hAnsi="Arial" w:cs="Arial"/>
          <w:b/>
          <w:bCs/>
          <w:color w:val="EE0000"/>
        </w:rPr>
        <w:t>Net Profit Margin</w:t>
      </w:r>
    </w:p>
    <w:p w14:paraId="29CC387E" w14:textId="77777777" w:rsidR="00A52FB1" w:rsidRPr="00A52FB1" w:rsidRDefault="00A52FB1" w:rsidP="00A52FB1">
      <w:pPr>
        <w:spacing w:line="480" w:lineRule="auto"/>
        <w:rPr>
          <w:rFonts w:ascii="Arial" w:hAnsi="Arial" w:cs="Arial"/>
        </w:rPr>
      </w:pPr>
      <w:r w:rsidRPr="00A52FB1">
        <w:rPr>
          <w:rFonts w:ascii="Arial" w:hAnsi="Arial" w:cs="Arial"/>
        </w:rPr>
        <w:t>2024 = 59,248 / 637,959 × 100 = 9.29%</w:t>
      </w:r>
    </w:p>
    <w:p w14:paraId="052C789D" w14:textId="77777777" w:rsidR="00A52FB1" w:rsidRPr="00A52FB1" w:rsidRDefault="00A52FB1" w:rsidP="00A52FB1">
      <w:pPr>
        <w:spacing w:line="480" w:lineRule="auto"/>
        <w:rPr>
          <w:rFonts w:ascii="Arial" w:hAnsi="Arial" w:cs="Arial"/>
        </w:rPr>
      </w:pPr>
      <w:r w:rsidRPr="00A52FB1">
        <w:rPr>
          <w:rFonts w:ascii="Arial" w:hAnsi="Arial" w:cs="Arial"/>
        </w:rPr>
        <w:t>2025 = 77,670 / 716,924 × 100 = 10.83%</w:t>
      </w:r>
    </w:p>
    <w:p w14:paraId="45DD6C73" w14:textId="640C412F" w:rsidR="00A52FB1" w:rsidRPr="00A52FB1" w:rsidRDefault="00A52FB1" w:rsidP="00A52FB1">
      <w:pPr>
        <w:pStyle w:val="ListParagraph"/>
        <w:numPr>
          <w:ilvl w:val="0"/>
          <w:numId w:val="2"/>
        </w:numPr>
        <w:spacing w:line="480" w:lineRule="auto"/>
        <w:rPr>
          <w:rFonts w:ascii="Arial" w:hAnsi="Arial" w:cs="Arial"/>
          <w:b/>
          <w:bCs/>
          <w:color w:val="EE0000"/>
        </w:rPr>
      </w:pPr>
      <w:r w:rsidRPr="00A52FB1">
        <w:rPr>
          <w:rFonts w:ascii="Arial" w:hAnsi="Arial" w:cs="Arial"/>
          <w:b/>
          <w:bCs/>
          <w:color w:val="EE0000"/>
        </w:rPr>
        <w:t>Return on Assets (ROA)</w:t>
      </w:r>
    </w:p>
    <w:p w14:paraId="5A965284" w14:textId="77777777" w:rsidR="00A52FB1" w:rsidRPr="00A52FB1" w:rsidRDefault="00A52FB1" w:rsidP="00A52FB1">
      <w:pPr>
        <w:spacing w:line="480" w:lineRule="auto"/>
        <w:rPr>
          <w:rFonts w:ascii="Arial" w:hAnsi="Arial" w:cs="Arial"/>
        </w:rPr>
      </w:pPr>
      <w:r w:rsidRPr="00A52FB1">
        <w:rPr>
          <w:rFonts w:ascii="Arial" w:hAnsi="Arial" w:cs="Arial"/>
        </w:rPr>
        <w:t>2024 = 59,248 / 624,894 × 100 = 9.48%</w:t>
      </w:r>
    </w:p>
    <w:p w14:paraId="164B3E9F" w14:textId="77777777" w:rsidR="00A52FB1" w:rsidRPr="00A52FB1" w:rsidRDefault="00A52FB1" w:rsidP="00A52FB1">
      <w:pPr>
        <w:spacing w:line="480" w:lineRule="auto"/>
        <w:rPr>
          <w:rFonts w:ascii="Arial" w:hAnsi="Arial" w:cs="Arial"/>
        </w:rPr>
      </w:pPr>
      <w:r w:rsidRPr="00A52FB1">
        <w:rPr>
          <w:rFonts w:ascii="Arial" w:hAnsi="Arial" w:cs="Arial"/>
        </w:rPr>
        <w:t>2025 = 77,670 / 818,042 × 100 = 9.49%</w:t>
      </w:r>
    </w:p>
    <w:p w14:paraId="322D9B1E" w14:textId="7379C432" w:rsidR="00A52FB1" w:rsidRPr="00A52FB1" w:rsidRDefault="00A52FB1" w:rsidP="00A52FB1">
      <w:pPr>
        <w:pStyle w:val="ListParagraph"/>
        <w:numPr>
          <w:ilvl w:val="0"/>
          <w:numId w:val="2"/>
        </w:numPr>
        <w:spacing w:line="480" w:lineRule="auto"/>
        <w:rPr>
          <w:rFonts w:ascii="Arial" w:hAnsi="Arial" w:cs="Arial"/>
          <w:b/>
          <w:bCs/>
          <w:color w:val="EE0000"/>
        </w:rPr>
      </w:pPr>
      <w:r w:rsidRPr="00A52FB1">
        <w:rPr>
          <w:rFonts w:ascii="Arial" w:hAnsi="Arial" w:cs="Arial"/>
          <w:b/>
          <w:bCs/>
          <w:color w:val="EE0000"/>
        </w:rPr>
        <w:t>Return on Equity (ROE)</w:t>
      </w:r>
    </w:p>
    <w:p w14:paraId="1AA4AF28" w14:textId="77777777" w:rsidR="00A52FB1" w:rsidRPr="00A52FB1" w:rsidRDefault="00A52FB1" w:rsidP="00A52FB1">
      <w:pPr>
        <w:spacing w:line="480" w:lineRule="auto"/>
        <w:rPr>
          <w:rFonts w:ascii="Arial" w:hAnsi="Arial" w:cs="Arial"/>
        </w:rPr>
      </w:pPr>
      <w:r w:rsidRPr="00A52FB1">
        <w:rPr>
          <w:rFonts w:ascii="Arial" w:hAnsi="Arial" w:cs="Arial"/>
        </w:rPr>
        <w:t>2024 = 59,248 / 285,970 × 100 = 20.72%</w:t>
      </w:r>
    </w:p>
    <w:p w14:paraId="4D30BC72" w14:textId="77777777" w:rsidR="00A52FB1" w:rsidRPr="00A52FB1" w:rsidRDefault="00A52FB1" w:rsidP="00A52FB1">
      <w:pPr>
        <w:spacing w:line="480" w:lineRule="auto"/>
        <w:rPr>
          <w:rFonts w:ascii="Arial" w:hAnsi="Arial" w:cs="Arial"/>
        </w:rPr>
      </w:pPr>
      <w:r w:rsidRPr="00A52FB1">
        <w:rPr>
          <w:rFonts w:ascii="Arial" w:hAnsi="Arial" w:cs="Arial"/>
        </w:rPr>
        <w:t>2025 = 77,670 / 411,065 × 100 = 18.89%</w:t>
      </w:r>
    </w:p>
    <w:p w14:paraId="71FBEAB6" w14:textId="71AEAE6E" w:rsidR="00A52FB1" w:rsidRPr="00A52FB1" w:rsidRDefault="00A52FB1" w:rsidP="00A52FB1">
      <w:pPr>
        <w:pStyle w:val="ListParagraph"/>
        <w:numPr>
          <w:ilvl w:val="0"/>
          <w:numId w:val="2"/>
        </w:numPr>
        <w:spacing w:line="480" w:lineRule="auto"/>
        <w:rPr>
          <w:rFonts w:ascii="Arial" w:hAnsi="Arial" w:cs="Arial"/>
          <w:b/>
          <w:bCs/>
          <w:color w:val="EE0000"/>
        </w:rPr>
      </w:pPr>
      <w:r w:rsidRPr="00A52FB1">
        <w:rPr>
          <w:rFonts w:ascii="Arial" w:hAnsi="Arial" w:cs="Arial"/>
          <w:b/>
          <w:bCs/>
          <w:color w:val="EE0000"/>
        </w:rPr>
        <w:t>Debt Ratio</w:t>
      </w:r>
      <w:r>
        <w:rPr>
          <w:rFonts w:ascii="Arial" w:hAnsi="Arial" w:cs="Arial"/>
          <w:b/>
          <w:bCs/>
          <w:color w:val="EE0000"/>
        </w:rPr>
        <w:t>: (</w:t>
      </w:r>
      <w:r w:rsidRPr="00A52FB1">
        <w:rPr>
          <w:rFonts w:ascii="Arial" w:hAnsi="Arial" w:cs="Arial"/>
          <w:b/>
          <w:bCs/>
          <w:color w:val="EE0000"/>
        </w:rPr>
        <w:t>Total Liabilities / Total Assets</w:t>
      </w:r>
      <w:r w:rsidRPr="00A52FB1">
        <w:rPr>
          <w:rFonts w:ascii="Arial" w:hAnsi="Arial" w:cs="Arial"/>
          <w:b/>
          <w:bCs/>
          <w:color w:val="EE0000"/>
        </w:rPr>
        <w:t>)</w:t>
      </w:r>
    </w:p>
    <w:p w14:paraId="686848FE" w14:textId="02931832" w:rsidR="00A52FB1" w:rsidRPr="00A52FB1" w:rsidRDefault="00A52FB1" w:rsidP="00A52FB1">
      <w:pPr>
        <w:spacing w:line="480" w:lineRule="auto"/>
        <w:rPr>
          <w:rFonts w:ascii="Arial" w:hAnsi="Arial" w:cs="Arial"/>
        </w:rPr>
      </w:pPr>
      <w:r>
        <w:rPr>
          <w:rFonts w:ascii="Arial" w:hAnsi="Arial" w:cs="Arial"/>
        </w:rPr>
        <w:t xml:space="preserve">2024 </w:t>
      </w:r>
      <w:r w:rsidRPr="00A52FB1">
        <w:rPr>
          <w:rFonts w:ascii="Arial" w:hAnsi="Arial" w:cs="Arial"/>
        </w:rPr>
        <w:t>= (624,894 – 285,970) / 624,894</w:t>
      </w:r>
    </w:p>
    <w:p w14:paraId="03C5224D" w14:textId="041B69CE" w:rsidR="00A52FB1" w:rsidRPr="00A52FB1" w:rsidRDefault="00A52FB1" w:rsidP="00A52FB1">
      <w:pPr>
        <w:spacing w:line="480" w:lineRule="auto"/>
        <w:rPr>
          <w:rFonts w:ascii="Arial" w:hAnsi="Arial" w:cs="Arial"/>
        </w:rPr>
      </w:pPr>
      <w:r>
        <w:rPr>
          <w:rFonts w:ascii="Arial" w:hAnsi="Arial" w:cs="Arial"/>
        </w:rPr>
        <w:t xml:space="preserve">         </w:t>
      </w:r>
      <w:r w:rsidRPr="00A52FB1">
        <w:rPr>
          <w:rFonts w:ascii="Arial" w:hAnsi="Arial" w:cs="Arial"/>
        </w:rPr>
        <w:t>= 338,924 / 624,894 = 54.24%</w:t>
      </w:r>
    </w:p>
    <w:p w14:paraId="69FB8706" w14:textId="77777777" w:rsidR="00A52FB1" w:rsidRPr="00A52FB1" w:rsidRDefault="00A52FB1" w:rsidP="00A52FB1">
      <w:pPr>
        <w:spacing w:line="480" w:lineRule="auto"/>
        <w:rPr>
          <w:rFonts w:ascii="Arial" w:hAnsi="Arial" w:cs="Arial"/>
        </w:rPr>
      </w:pPr>
      <w:r w:rsidRPr="00A52FB1">
        <w:rPr>
          <w:rFonts w:ascii="Arial" w:hAnsi="Arial" w:cs="Arial"/>
        </w:rPr>
        <w:t>2025 = (818,042 – 411,065) / 818,042</w:t>
      </w:r>
    </w:p>
    <w:p w14:paraId="282CA538" w14:textId="0D8DC869" w:rsidR="00A52FB1" w:rsidRDefault="00A52FB1" w:rsidP="00A52FB1">
      <w:pPr>
        <w:spacing w:line="480" w:lineRule="auto"/>
        <w:rPr>
          <w:rFonts w:ascii="Arial" w:hAnsi="Arial" w:cs="Arial"/>
        </w:rPr>
      </w:pPr>
      <w:r>
        <w:rPr>
          <w:rFonts w:ascii="Arial" w:hAnsi="Arial" w:cs="Arial"/>
        </w:rPr>
        <w:t xml:space="preserve">         </w:t>
      </w:r>
      <w:r w:rsidRPr="00A52FB1">
        <w:rPr>
          <w:rFonts w:ascii="Arial" w:hAnsi="Arial" w:cs="Arial"/>
        </w:rPr>
        <w:t>= 406,977 / 818,042 = 49.75%</w:t>
      </w:r>
    </w:p>
    <w:p w14:paraId="1E66686F" w14:textId="77777777" w:rsidR="00082675" w:rsidRDefault="00082675" w:rsidP="00A52FB1">
      <w:pPr>
        <w:spacing w:line="480" w:lineRule="auto"/>
        <w:rPr>
          <w:rFonts w:ascii="Arial" w:hAnsi="Arial" w:cs="Arial"/>
        </w:rPr>
      </w:pPr>
    </w:p>
    <w:p w14:paraId="655B3CB2" w14:textId="17CA41B6" w:rsidR="00082675" w:rsidRDefault="00082675" w:rsidP="00082675">
      <w:pPr>
        <w:spacing w:line="480" w:lineRule="auto"/>
        <w:jc w:val="center"/>
        <w:rPr>
          <w:rFonts w:ascii="Arial" w:hAnsi="Arial" w:cs="Arial"/>
          <w:b/>
          <w:bCs/>
        </w:rPr>
      </w:pPr>
      <w:r w:rsidRPr="00082675">
        <w:rPr>
          <w:rFonts w:ascii="Arial" w:hAnsi="Arial" w:cs="Arial"/>
          <w:b/>
          <w:bCs/>
        </w:rPr>
        <w:lastRenderedPageBreak/>
        <w:t>References</w:t>
      </w:r>
    </w:p>
    <w:p w14:paraId="67466CEE" w14:textId="77777777" w:rsidR="00082675" w:rsidRPr="00082675" w:rsidRDefault="00082675" w:rsidP="00082675">
      <w:pPr>
        <w:spacing w:line="480" w:lineRule="auto"/>
        <w:jc w:val="center"/>
        <w:rPr>
          <w:rFonts w:ascii="Arial" w:hAnsi="Arial" w:cs="Arial"/>
          <w:b/>
          <w:bCs/>
        </w:rPr>
      </w:pPr>
    </w:p>
    <w:p w14:paraId="476118F9" w14:textId="77777777" w:rsidR="00082675" w:rsidRPr="00082675" w:rsidRDefault="00082675" w:rsidP="00082675">
      <w:pPr>
        <w:spacing w:line="480" w:lineRule="auto"/>
        <w:rPr>
          <w:rFonts w:ascii="Arial" w:hAnsi="Arial" w:cs="Arial"/>
        </w:rPr>
      </w:pPr>
      <w:r w:rsidRPr="00082675">
        <w:rPr>
          <w:rFonts w:ascii="Arial" w:hAnsi="Arial" w:cs="Arial"/>
        </w:rPr>
        <w:t>Akdemir, D. M., &amp; Şimşek, O. (2023). A financial performance evaluation via hybrid MCDM methods: A case of Amazon.com Inc</w:t>
      </w:r>
      <w:r w:rsidRPr="00082675">
        <w:rPr>
          <w:rFonts w:ascii="Arial" w:hAnsi="Arial" w:cs="Arial"/>
          <w:i/>
          <w:iCs/>
        </w:rPr>
        <w:t>. Istanbul Business Research, 52</w:t>
      </w:r>
      <w:r w:rsidRPr="00082675">
        <w:rPr>
          <w:rFonts w:ascii="Arial" w:hAnsi="Arial" w:cs="Arial"/>
        </w:rPr>
        <w:t>(1), 199–232.</w:t>
      </w:r>
    </w:p>
    <w:p w14:paraId="12449AFB" w14:textId="77777777" w:rsidR="00082675" w:rsidRPr="00082675" w:rsidRDefault="00082675" w:rsidP="00082675">
      <w:pPr>
        <w:spacing w:line="480" w:lineRule="auto"/>
        <w:rPr>
          <w:rFonts w:ascii="Arial" w:hAnsi="Arial" w:cs="Arial"/>
        </w:rPr>
      </w:pPr>
      <w:r w:rsidRPr="00082675">
        <w:rPr>
          <w:rFonts w:ascii="Arial" w:hAnsi="Arial" w:cs="Arial"/>
        </w:rPr>
        <w:t xml:space="preserve">Ali, E., &amp; Safaa, E. (2022). Amazon’s growth in the context of the opportunities and challenges of Industry 4.0. </w:t>
      </w:r>
      <w:r w:rsidRPr="00082675">
        <w:rPr>
          <w:rFonts w:ascii="Arial" w:hAnsi="Arial" w:cs="Arial"/>
          <w:i/>
          <w:iCs/>
        </w:rPr>
        <w:t>International Journal of Management and Humanities</w:t>
      </w:r>
      <w:r w:rsidRPr="00082675">
        <w:rPr>
          <w:rFonts w:ascii="Arial" w:hAnsi="Arial" w:cs="Arial"/>
        </w:rPr>
        <w:t>, 5, 1456.</w:t>
      </w:r>
    </w:p>
    <w:p w14:paraId="589416CA" w14:textId="77777777" w:rsidR="00082675" w:rsidRPr="00082675" w:rsidRDefault="00082675" w:rsidP="00082675">
      <w:pPr>
        <w:spacing w:line="480" w:lineRule="auto"/>
        <w:rPr>
          <w:rFonts w:ascii="Arial" w:hAnsi="Arial" w:cs="Arial"/>
        </w:rPr>
      </w:pPr>
      <w:r w:rsidRPr="00082675">
        <w:rPr>
          <w:rFonts w:ascii="Arial" w:hAnsi="Arial" w:cs="Arial"/>
        </w:rPr>
        <w:t xml:space="preserve">Basile, V. (2026). Strategy and competitive advantages. In </w:t>
      </w:r>
      <w:r w:rsidRPr="00082675">
        <w:rPr>
          <w:rFonts w:ascii="Arial" w:hAnsi="Arial" w:cs="Arial"/>
          <w:i/>
          <w:iCs/>
        </w:rPr>
        <w:t>Resilient business models: Innovating through global challenges to creating sustainable futures (pp. 5–81).</w:t>
      </w:r>
      <w:r w:rsidRPr="00082675">
        <w:rPr>
          <w:rFonts w:ascii="Arial" w:hAnsi="Arial" w:cs="Arial"/>
        </w:rPr>
        <w:t xml:space="preserve"> Springer Nature Switzerland.</w:t>
      </w:r>
    </w:p>
    <w:p w14:paraId="2B895D9F" w14:textId="77777777" w:rsidR="00082675" w:rsidRPr="00082675" w:rsidRDefault="00082675" w:rsidP="00082675">
      <w:pPr>
        <w:spacing w:line="480" w:lineRule="auto"/>
        <w:rPr>
          <w:rFonts w:ascii="Arial" w:hAnsi="Arial" w:cs="Arial"/>
        </w:rPr>
      </w:pPr>
      <w:r w:rsidRPr="00082675">
        <w:rPr>
          <w:rFonts w:ascii="Arial" w:hAnsi="Arial" w:cs="Arial"/>
        </w:rPr>
        <w:t xml:space="preserve">Bruijl, D. G. H. T. (2018). </w:t>
      </w:r>
      <w:r w:rsidRPr="00082675">
        <w:rPr>
          <w:rFonts w:ascii="Arial" w:hAnsi="Arial" w:cs="Arial"/>
          <w:i/>
          <w:iCs/>
        </w:rPr>
        <w:t>The relevance of Porter’s five forces in today’s innovative and changing business environment.</w:t>
      </w:r>
      <w:r w:rsidRPr="00082675">
        <w:rPr>
          <w:rFonts w:ascii="Arial" w:hAnsi="Arial" w:cs="Arial"/>
        </w:rPr>
        <w:t xml:space="preserve"> SSRN Electronic Journal.</w:t>
      </w:r>
    </w:p>
    <w:p w14:paraId="620721E1" w14:textId="13CDDBCD" w:rsidR="00082675" w:rsidRPr="00082675" w:rsidRDefault="00082675" w:rsidP="00082675">
      <w:pPr>
        <w:spacing w:line="480" w:lineRule="auto"/>
        <w:rPr>
          <w:rFonts w:ascii="Arial" w:hAnsi="Arial" w:cs="Arial"/>
        </w:rPr>
      </w:pPr>
      <w:r w:rsidRPr="00082675">
        <w:rPr>
          <w:rFonts w:ascii="Arial" w:hAnsi="Arial" w:cs="Arial"/>
        </w:rPr>
        <w:t xml:space="preserve">Charles, I. I., &amp; Uford, I. C. (2023). Comparative analysis and evaluation of </w:t>
      </w:r>
      <w:r>
        <w:rPr>
          <w:rFonts w:ascii="Arial" w:hAnsi="Arial" w:cs="Arial"/>
        </w:rPr>
        <w:t xml:space="preserve">the </w:t>
      </w:r>
      <w:r w:rsidRPr="00082675">
        <w:rPr>
          <w:rFonts w:ascii="Arial" w:hAnsi="Arial" w:cs="Arial"/>
        </w:rPr>
        <w:t xml:space="preserve">business and financial performance of Amazon.com. </w:t>
      </w:r>
      <w:r w:rsidRPr="00082675">
        <w:rPr>
          <w:rFonts w:ascii="Arial" w:hAnsi="Arial" w:cs="Arial"/>
          <w:i/>
          <w:iCs/>
        </w:rPr>
        <w:t>European Journal of Business, Economics and Accountancy, 11(</w:t>
      </w:r>
      <w:r w:rsidRPr="00082675">
        <w:rPr>
          <w:rFonts w:ascii="Arial" w:hAnsi="Arial" w:cs="Arial"/>
        </w:rPr>
        <w:t>2), 69–92.</w:t>
      </w:r>
    </w:p>
    <w:p w14:paraId="3F418D29" w14:textId="43CE31B5" w:rsidR="00082675" w:rsidRPr="00082675" w:rsidRDefault="00082675" w:rsidP="00082675">
      <w:pPr>
        <w:spacing w:line="480" w:lineRule="auto"/>
        <w:rPr>
          <w:rFonts w:ascii="Arial" w:hAnsi="Arial" w:cs="Arial"/>
        </w:rPr>
      </w:pPr>
      <w:r w:rsidRPr="00082675">
        <w:rPr>
          <w:rFonts w:ascii="Arial" w:hAnsi="Arial" w:cs="Arial"/>
        </w:rPr>
        <w:t xml:space="preserve">Charles, I. I., &amp; Uford, I. C. (2023). Comparative analysis and evaluation of </w:t>
      </w:r>
      <w:r>
        <w:rPr>
          <w:rFonts w:ascii="Arial" w:hAnsi="Arial" w:cs="Arial"/>
        </w:rPr>
        <w:t xml:space="preserve">the </w:t>
      </w:r>
      <w:r w:rsidRPr="00082675">
        <w:rPr>
          <w:rFonts w:ascii="Arial" w:hAnsi="Arial" w:cs="Arial"/>
        </w:rPr>
        <w:t xml:space="preserve">business and financial performance of Amazon.com: </w:t>
      </w:r>
      <w:r>
        <w:rPr>
          <w:rFonts w:ascii="Arial" w:hAnsi="Arial" w:cs="Arial"/>
        </w:rPr>
        <w:t>Three years</w:t>
      </w:r>
      <w:r w:rsidRPr="00082675">
        <w:rPr>
          <w:rFonts w:ascii="Arial" w:hAnsi="Arial" w:cs="Arial"/>
        </w:rPr>
        <w:t xml:space="preserve"> critical review of exceptional success. </w:t>
      </w:r>
      <w:r w:rsidRPr="00082675">
        <w:rPr>
          <w:rFonts w:ascii="Arial" w:hAnsi="Arial" w:cs="Arial"/>
          <w:i/>
          <w:iCs/>
        </w:rPr>
        <w:t>European Journal of Business, Economics and Accountancy, 11</w:t>
      </w:r>
      <w:r w:rsidRPr="00082675">
        <w:rPr>
          <w:rFonts w:ascii="Arial" w:hAnsi="Arial" w:cs="Arial"/>
        </w:rPr>
        <w:t>(2), 69–92.</w:t>
      </w:r>
    </w:p>
    <w:p w14:paraId="146F51DF" w14:textId="77777777" w:rsidR="00082675" w:rsidRDefault="00082675" w:rsidP="00082675">
      <w:pPr>
        <w:spacing w:line="480" w:lineRule="auto"/>
        <w:rPr>
          <w:rFonts w:ascii="Arial" w:hAnsi="Arial" w:cs="Arial"/>
        </w:rPr>
      </w:pPr>
      <w:r w:rsidRPr="00082675">
        <w:rPr>
          <w:rFonts w:ascii="Arial" w:hAnsi="Arial" w:cs="Arial"/>
        </w:rPr>
        <w:t xml:space="preserve">Dhlamini, J. (2025). Exploring the rise and fall of strategic planning: Is strategic planning still a useful management practice in the 21st century? </w:t>
      </w:r>
      <w:r w:rsidRPr="00082675">
        <w:rPr>
          <w:rFonts w:ascii="Arial" w:hAnsi="Arial" w:cs="Arial"/>
          <w:i/>
          <w:iCs/>
        </w:rPr>
        <w:t>Strategy and Leadership, 53</w:t>
      </w:r>
      <w:r w:rsidRPr="00082675">
        <w:rPr>
          <w:rFonts w:ascii="Arial" w:hAnsi="Arial" w:cs="Arial"/>
        </w:rPr>
        <w:t>(4), 457–475.</w:t>
      </w:r>
    </w:p>
    <w:p w14:paraId="5D0C5E08" w14:textId="0DA49801" w:rsidR="00082675" w:rsidRPr="00082675" w:rsidRDefault="00082675" w:rsidP="00082675">
      <w:pPr>
        <w:spacing w:line="480" w:lineRule="auto"/>
        <w:rPr>
          <w:rFonts w:ascii="Arial" w:hAnsi="Arial" w:cs="Arial"/>
        </w:rPr>
      </w:pPr>
      <w:r w:rsidRPr="00082675">
        <w:rPr>
          <w:rFonts w:ascii="Arial" w:hAnsi="Arial" w:cs="Arial"/>
        </w:rPr>
        <w:lastRenderedPageBreak/>
        <w:t xml:space="preserve">Fauzi, T. H. (2022). The effect of environmental performance on firm value with </w:t>
      </w:r>
      <w:r>
        <w:rPr>
          <w:rFonts w:ascii="Arial" w:hAnsi="Arial" w:cs="Arial"/>
        </w:rPr>
        <w:t xml:space="preserve">the </w:t>
      </w:r>
      <w:r w:rsidRPr="00082675">
        <w:rPr>
          <w:rFonts w:ascii="Arial" w:hAnsi="Arial" w:cs="Arial"/>
        </w:rPr>
        <w:t xml:space="preserve">mediating role of financial performance in manufacturing companies in Indonesia. </w:t>
      </w:r>
      <w:r w:rsidRPr="00082675">
        <w:rPr>
          <w:rFonts w:ascii="Arial" w:hAnsi="Arial" w:cs="Arial"/>
          <w:i/>
          <w:iCs/>
        </w:rPr>
        <w:t>Academic Journal of Interdisciplinary Studies, 11</w:t>
      </w:r>
      <w:r w:rsidRPr="00082675">
        <w:rPr>
          <w:rFonts w:ascii="Arial" w:hAnsi="Arial" w:cs="Arial"/>
        </w:rPr>
        <w:t>(3).</w:t>
      </w:r>
    </w:p>
    <w:p w14:paraId="58F3865D" w14:textId="77777777" w:rsidR="00082675" w:rsidRPr="00082675" w:rsidRDefault="00082675" w:rsidP="00082675">
      <w:pPr>
        <w:spacing w:line="480" w:lineRule="auto"/>
        <w:rPr>
          <w:rFonts w:ascii="Arial" w:hAnsi="Arial" w:cs="Arial"/>
        </w:rPr>
      </w:pPr>
      <w:r w:rsidRPr="00082675">
        <w:rPr>
          <w:rFonts w:ascii="Arial" w:hAnsi="Arial" w:cs="Arial"/>
        </w:rPr>
        <w:t xml:space="preserve">FERMA. (2025). Organisation strategy, objectives, responsibilities, structure and programme. In </w:t>
      </w:r>
      <w:r w:rsidRPr="00082675">
        <w:rPr>
          <w:rFonts w:ascii="Arial" w:hAnsi="Arial" w:cs="Arial"/>
          <w:i/>
          <w:iCs/>
        </w:rPr>
        <w:t>Essentials and assessment of risk management (pp. 45–62).</w:t>
      </w:r>
      <w:r w:rsidRPr="00082675">
        <w:rPr>
          <w:rFonts w:ascii="Arial" w:hAnsi="Arial" w:cs="Arial"/>
        </w:rPr>
        <w:t xml:space="preserve"> Emerald Publishing Limited.</w:t>
      </w:r>
    </w:p>
    <w:p w14:paraId="0D7291C7" w14:textId="77777777" w:rsidR="00082675" w:rsidRPr="00082675" w:rsidRDefault="00082675" w:rsidP="00082675">
      <w:pPr>
        <w:spacing w:line="480" w:lineRule="auto"/>
        <w:rPr>
          <w:rFonts w:ascii="Arial" w:hAnsi="Arial" w:cs="Arial"/>
        </w:rPr>
      </w:pPr>
      <w:r w:rsidRPr="00082675">
        <w:rPr>
          <w:rFonts w:ascii="Arial" w:hAnsi="Arial" w:cs="Arial"/>
        </w:rPr>
        <w:t xml:space="preserve">Laghari, F., Ahmed, F., &amp; López García, M. D. L. N. (2023). Cash flow management and its effect on firm performance: Empirical evidence on non-financial firms of China. </w:t>
      </w:r>
      <w:r w:rsidRPr="00082675">
        <w:rPr>
          <w:rFonts w:ascii="Arial" w:hAnsi="Arial" w:cs="Arial"/>
          <w:i/>
          <w:iCs/>
        </w:rPr>
        <w:t>PLOS ONE, 18</w:t>
      </w:r>
      <w:r w:rsidRPr="00082675">
        <w:rPr>
          <w:rFonts w:ascii="Arial" w:hAnsi="Arial" w:cs="Arial"/>
        </w:rPr>
        <w:t>(6), e0287135.</w:t>
      </w:r>
    </w:p>
    <w:p w14:paraId="1C0B04DD" w14:textId="6056D828" w:rsidR="00082675" w:rsidRPr="00082675" w:rsidRDefault="00082675" w:rsidP="00082675">
      <w:pPr>
        <w:spacing w:line="480" w:lineRule="auto"/>
        <w:rPr>
          <w:rFonts w:ascii="Arial" w:hAnsi="Arial" w:cs="Arial"/>
          <w:i/>
          <w:iCs/>
        </w:rPr>
      </w:pPr>
      <w:r w:rsidRPr="00082675">
        <w:rPr>
          <w:rFonts w:ascii="Arial" w:hAnsi="Arial" w:cs="Arial"/>
        </w:rPr>
        <w:t xml:space="preserve">Lakshmi, G., </w:t>
      </w:r>
      <w:proofErr w:type="spellStart"/>
      <w:r w:rsidRPr="00082675">
        <w:rPr>
          <w:rFonts w:ascii="Arial" w:hAnsi="Arial" w:cs="Arial"/>
        </w:rPr>
        <w:t>Duraieswari</w:t>
      </w:r>
      <w:proofErr w:type="spellEnd"/>
      <w:r w:rsidRPr="00082675">
        <w:rPr>
          <w:rFonts w:ascii="Arial" w:hAnsi="Arial" w:cs="Arial"/>
        </w:rPr>
        <w:t xml:space="preserve">, S., </w:t>
      </w:r>
      <w:proofErr w:type="spellStart"/>
      <w:r w:rsidRPr="00082675">
        <w:rPr>
          <w:rFonts w:ascii="Arial" w:hAnsi="Arial" w:cs="Arial"/>
        </w:rPr>
        <w:t>Jayakharsini</w:t>
      </w:r>
      <w:proofErr w:type="spellEnd"/>
      <w:r w:rsidRPr="00082675">
        <w:rPr>
          <w:rFonts w:ascii="Arial" w:hAnsi="Arial" w:cs="Arial"/>
        </w:rPr>
        <w:t xml:space="preserve">, S., Jayashree, S., Jeevitha, V., &amp; Gowrishankar, R. (2026). Amazon’s financial fortress: A dual perspective using the Altman Z-score and </w:t>
      </w:r>
      <w:r>
        <w:rPr>
          <w:rFonts w:ascii="Arial" w:hAnsi="Arial" w:cs="Arial"/>
        </w:rPr>
        <w:t>DuPont</w:t>
      </w:r>
      <w:r w:rsidRPr="00082675">
        <w:rPr>
          <w:rFonts w:ascii="Arial" w:hAnsi="Arial" w:cs="Arial"/>
        </w:rPr>
        <w:t xml:space="preserve"> framework. In </w:t>
      </w:r>
      <w:r w:rsidRPr="00082675">
        <w:rPr>
          <w:rFonts w:ascii="Arial" w:hAnsi="Arial" w:cs="Arial"/>
          <w:i/>
          <w:iCs/>
        </w:rPr>
        <w:t>Artificial intelligence and technology: Systems management, decisions and control for sustainability in the digital age (pp. 693–704).</w:t>
      </w:r>
    </w:p>
    <w:p w14:paraId="054BB027" w14:textId="5DE46AF9" w:rsidR="00082675" w:rsidRPr="00082675" w:rsidRDefault="00082675" w:rsidP="00082675">
      <w:pPr>
        <w:spacing w:line="480" w:lineRule="auto"/>
        <w:rPr>
          <w:rFonts w:ascii="Arial" w:hAnsi="Arial" w:cs="Arial"/>
        </w:rPr>
      </w:pPr>
      <w:r w:rsidRPr="00082675">
        <w:rPr>
          <w:rFonts w:ascii="Arial" w:hAnsi="Arial" w:cs="Arial"/>
        </w:rPr>
        <w:t xml:space="preserve">Nikolova, M., Tabassum, N., &amp; Nayak, B. S. (2022). The internal organisational environment </w:t>
      </w:r>
      <w:r>
        <w:rPr>
          <w:rFonts w:ascii="Arial" w:hAnsi="Arial" w:cs="Arial"/>
        </w:rPr>
        <w:t>at</w:t>
      </w:r>
      <w:r w:rsidRPr="00082675">
        <w:rPr>
          <w:rFonts w:ascii="Arial" w:hAnsi="Arial" w:cs="Arial"/>
        </w:rPr>
        <w:t xml:space="preserve"> Amazon. In </w:t>
      </w:r>
      <w:r w:rsidRPr="00082675">
        <w:rPr>
          <w:rFonts w:ascii="Arial" w:hAnsi="Arial" w:cs="Arial"/>
          <w:i/>
          <w:iCs/>
        </w:rPr>
        <w:t>Modern corporations and strategies at work (pp. 35–71).</w:t>
      </w:r>
      <w:r w:rsidRPr="00082675">
        <w:rPr>
          <w:rFonts w:ascii="Arial" w:hAnsi="Arial" w:cs="Arial"/>
        </w:rPr>
        <w:t xml:space="preserve"> Springer Nature Singapore.</w:t>
      </w:r>
    </w:p>
    <w:p w14:paraId="0D485EF1" w14:textId="77777777" w:rsidR="00082675" w:rsidRPr="00082675" w:rsidRDefault="00082675" w:rsidP="00082675">
      <w:pPr>
        <w:spacing w:line="480" w:lineRule="auto"/>
        <w:rPr>
          <w:rFonts w:ascii="Arial" w:hAnsi="Arial" w:cs="Arial"/>
        </w:rPr>
      </w:pPr>
      <w:proofErr w:type="spellStart"/>
      <w:r w:rsidRPr="00082675">
        <w:rPr>
          <w:rFonts w:ascii="Arial" w:hAnsi="Arial" w:cs="Arial"/>
        </w:rPr>
        <w:t>Nurdinova</w:t>
      </w:r>
      <w:proofErr w:type="spellEnd"/>
      <w:r w:rsidRPr="00082675">
        <w:rPr>
          <w:rFonts w:ascii="Arial" w:hAnsi="Arial" w:cs="Arial"/>
        </w:rPr>
        <w:t>, K. (2024). Financial statement analysis for strategic managerial decisions in corporate practice</w:t>
      </w:r>
      <w:r w:rsidRPr="00082675">
        <w:rPr>
          <w:rFonts w:ascii="Arial" w:hAnsi="Arial" w:cs="Arial"/>
          <w:i/>
          <w:iCs/>
        </w:rPr>
        <w:t xml:space="preserve">. </w:t>
      </w:r>
      <w:proofErr w:type="spellStart"/>
      <w:r w:rsidRPr="00082675">
        <w:rPr>
          <w:rFonts w:ascii="Arial" w:hAnsi="Arial" w:cs="Arial"/>
          <w:i/>
          <w:iCs/>
        </w:rPr>
        <w:t>Znanstvena</w:t>
      </w:r>
      <w:proofErr w:type="spellEnd"/>
      <w:r w:rsidRPr="00082675">
        <w:rPr>
          <w:rFonts w:ascii="Arial" w:hAnsi="Arial" w:cs="Arial"/>
          <w:i/>
          <w:iCs/>
        </w:rPr>
        <w:t xml:space="preserve"> Misel Journal, 96</w:t>
      </w:r>
      <w:r w:rsidRPr="00082675">
        <w:rPr>
          <w:rFonts w:ascii="Arial" w:hAnsi="Arial" w:cs="Arial"/>
        </w:rPr>
        <w:t>, 34.</w:t>
      </w:r>
    </w:p>
    <w:p w14:paraId="5C35679E" w14:textId="77777777" w:rsidR="00082675" w:rsidRDefault="00082675" w:rsidP="00082675">
      <w:pPr>
        <w:spacing w:line="480" w:lineRule="auto"/>
        <w:rPr>
          <w:rFonts w:ascii="Arial" w:hAnsi="Arial" w:cs="Arial"/>
        </w:rPr>
      </w:pPr>
      <w:r>
        <w:rPr>
          <w:rFonts w:ascii="Arial" w:hAnsi="Arial" w:cs="Arial"/>
        </w:rPr>
        <w:t>Perez</w:t>
      </w:r>
      <w:r w:rsidRPr="00082675">
        <w:rPr>
          <w:rFonts w:ascii="Arial" w:hAnsi="Arial" w:cs="Arial"/>
        </w:rPr>
        <w:t xml:space="preserve"> Estebanez, R., &amp; Sevillano Martín, F. J. (2025). Business sustainability and its effect on performance measures: A comprehensive analysis. </w:t>
      </w:r>
      <w:r w:rsidRPr="00082675">
        <w:rPr>
          <w:rFonts w:ascii="Arial" w:hAnsi="Arial" w:cs="Arial"/>
          <w:i/>
          <w:iCs/>
        </w:rPr>
        <w:t>Sustainability, 17</w:t>
      </w:r>
      <w:r w:rsidRPr="00082675">
        <w:rPr>
          <w:rFonts w:ascii="Arial" w:hAnsi="Arial" w:cs="Arial"/>
        </w:rPr>
        <w:t>(1), 297.</w:t>
      </w:r>
    </w:p>
    <w:p w14:paraId="541A86BC" w14:textId="2EBE7904" w:rsidR="00082675" w:rsidRPr="00082675" w:rsidRDefault="00082675" w:rsidP="00082675">
      <w:pPr>
        <w:spacing w:line="480" w:lineRule="auto"/>
        <w:rPr>
          <w:rFonts w:ascii="Arial" w:hAnsi="Arial" w:cs="Arial"/>
        </w:rPr>
      </w:pPr>
      <w:proofErr w:type="spellStart"/>
      <w:r w:rsidRPr="00082675">
        <w:rPr>
          <w:rFonts w:ascii="Arial" w:hAnsi="Arial" w:cs="Arial"/>
        </w:rPr>
        <w:lastRenderedPageBreak/>
        <w:t>Sadq</w:t>
      </w:r>
      <w:proofErr w:type="spellEnd"/>
      <w:r w:rsidRPr="00082675">
        <w:rPr>
          <w:rFonts w:ascii="Arial" w:hAnsi="Arial" w:cs="Arial"/>
        </w:rPr>
        <w:t xml:space="preserve">, Z. M., Sabir, H. N., &amp; Saeed, V. S. H. (2018). Analysing the Amazon success strategies. </w:t>
      </w:r>
      <w:r w:rsidRPr="00082675">
        <w:rPr>
          <w:rFonts w:ascii="Arial" w:hAnsi="Arial" w:cs="Arial"/>
          <w:i/>
          <w:iCs/>
        </w:rPr>
        <w:t>Journal of Process Management and New Technologies, 6</w:t>
      </w:r>
      <w:r w:rsidRPr="00082675">
        <w:rPr>
          <w:rFonts w:ascii="Arial" w:hAnsi="Arial" w:cs="Arial"/>
        </w:rPr>
        <w:t>(4).</w:t>
      </w:r>
    </w:p>
    <w:p w14:paraId="2B41CA7D" w14:textId="103E15BF" w:rsidR="00082675" w:rsidRPr="00082675" w:rsidRDefault="00082675" w:rsidP="00082675">
      <w:pPr>
        <w:spacing w:line="480" w:lineRule="auto"/>
        <w:rPr>
          <w:rFonts w:ascii="Arial" w:hAnsi="Arial" w:cs="Arial"/>
        </w:rPr>
      </w:pPr>
      <w:r w:rsidRPr="00082675">
        <w:rPr>
          <w:rFonts w:ascii="Arial" w:hAnsi="Arial" w:cs="Arial"/>
        </w:rPr>
        <w:t xml:space="preserve">Soto Setzke, D., </w:t>
      </w:r>
      <w:proofErr w:type="spellStart"/>
      <w:r w:rsidRPr="00082675">
        <w:rPr>
          <w:rFonts w:ascii="Arial" w:hAnsi="Arial" w:cs="Arial"/>
        </w:rPr>
        <w:t>Riasanow</w:t>
      </w:r>
      <w:proofErr w:type="spellEnd"/>
      <w:r w:rsidRPr="00082675">
        <w:rPr>
          <w:rFonts w:ascii="Arial" w:hAnsi="Arial" w:cs="Arial"/>
        </w:rPr>
        <w:t xml:space="preserve">, T., Bohm, M., &amp; Krcmar, H. (2023). Pathways to digital service innovation: The role of digital transformation strategies in established </w:t>
      </w:r>
      <w:r>
        <w:rPr>
          <w:rFonts w:ascii="Arial" w:hAnsi="Arial" w:cs="Arial"/>
        </w:rPr>
        <w:t>organisations</w:t>
      </w:r>
      <w:r w:rsidRPr="00082675">
        <w:rPr>
          <w:rFonts w:ascii="Arial" w:hAnsi="Arial" w:cs="Arial"/>
        </w:rPr>
        <w:t xml:space="preserve">. </w:t>
      </w:r>
      <w:r w:rsidRPr="00082675">
        <w:rPr>
          <w:rFonts w:ascii="Arial" w:hAnsi="Arial" w:cs="Arial"/>
          <w:i/>
          <w:iCs/>
        </w:rPr>
        <w:t>Information Systems Frontiers, 25</w:t>
      </w:r>
      <w:r w:rsidRPr="00082675">
        <w:rPr>
          <w:rFonts w:ascii="Arial" w:hAnsi="Arial" w:cs="Arial"/>
        </w:rPr>
        <w:t>(3), 1017–1037.</w:t>
      </w:r>
    </w:p>
    <w:p w14:paraId="5FC599FA" w14:textId="77777777" w:rsidR="00082675" w:rsidRPr="00082675" w:rsidRDefault="00082675" w:rsidP="00082675">
      <w:pPr>
        <w:spacing w:line="480" w:lineRule="auto"/>
        <w:rPr>
          <w:rFonts w:ascii="Arial" w:hAnsi="Arial" w:cs="Arial"/>
        </w:rPr>
      </w:pPr>
      <w:proofErr w:type="spellStart"/>
      <w:r w:rsidRPr="00082675">
        <w:rPr>
          <w:rFonts w:ascii="Arial" w:hAnsi="Arial" w:cs="Arial"/>
        </w:rPr>
        <w:t>Velickovic</w:t>
      </w:r>
      <w:proofErr w:type="spellEnd"/>
      <w:r w:rsidRPr="00082675">
        <w:rPr>
          <w:rFonts w:ascii="Arial" w:hAnsi="Arial" w:cs="Arial"/>
        </w:rPr>
        <w:t xml:space="preserve">, G., Stanojevic, J., &amp; Veselinovic, M. (2023). Managing financial performance toward achievements in sustainability prospects: Comparative analysis of the e-commerce and hospitality industries. </w:t>
      </w:r>
      <w:r w:rsidRPr="00082675">
        <w:rPr>
          <w:rFonts w:ascii="Arial" w:hAnsi="Arial" w:cs="Arial"/>
          <w:i/>
          <w:iCs/>
        </w:rPr>
        <w:t>Journal of Risk and Financial Management, 16</w:t>
      </w:r>
      <w:r w:rsidRPr="00082675">
        <w:rPr>
          <w:rFonts w:ascii="Arial" w:hAnsi="Arial" w:cs="Arial"/>
        </w:rPr>
        <w:t>(9), 395.</w:t>
      </w:r>
    </w:p>
    <w:p w14:paraId="6948E2BC" w14:textId="34861B18" w:rsidR="00082675" w:rsidRPr="005470DE" w:rsidRDefault="00082675" w:rsidP="00082675">
      <w:pPr>
        <w:spacing w:line="480" w:lineRule="auto"/>
        <w:rPr>
          <w:rFonts w:ascii="Arial" w:hAnsi="Arial" w:cs="Arial"/>
        </w:rPr>
      </w:pPr>
      <w:r w:rsidRPr="00082675">
        <w:rPr>
          <w:rFonts w:ascii="Arial" w:hAnsi="Arial" w:cs="Arial"/>
        </w:rPr>
        <w:t xml:space="preserve">Wei, S. (2025). Valuation models and stock valuation: Evidence from e-commerce industries. In </w:t>
      </w:r>
      <w:r w:rsidRPr="00082675">
        <w:rPr>
          <w:rFonts w:ascii="Arial" w:hAnsi="Arial" w:cs="Arial"/>
          <w:i/>
          <w:iCs/>
        </w:rPr>
        <w:t>Proceedings of the 2025 International Conference on Financial Risk and Investment Management (ICFRIM 2025) (pp. 124–133).</w:t>
      </w:r>
      <w:r w:rsidRPr="00082675">
        <w:rPr>
          <w:rFonts w:ascii="Arial" w:hAnsi="Arial" w:cs="Arial"/>
        </w:rPr>
        <w:t xml:space="preserve"> Atlantis Press.</w:t>
      </w:r>
    </w:p>
    <w:sectPr w:rsidR="00082675" w:rsidRPr="005470DE" w:rsidSect="00A52FB1">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FBE0C" w14:textId="77777777" w:rsidR="00630B63" w:rsidRDefault="00630B63" w:rsidP="00A52FB1">
      <w:pPr>
        <w:spacing w:after="0" w:line="240" w:lineRule="auto"/>
      </w:pPr>
      <w:r>
        <w:separator/>
      </w:r>
    </w:p>
  </w:endnote>
  <w:endnote w:type="continuationSeparator" w:id="0">
    <w:p w14:paraId="633256AB" w14:textId="77777777" w:rsidR="00630B63" w:rsidRDefault="00630B63" w:rsidP="00A52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8033998"/>
      <w:docPartObj>
        <w:docPartGallery w:val="Page Numbers (Bottom of Page)"/>
        <w:docPartUnique/>
      </w:docPartObj>
    </w:sdtPr>
    <w:sdtEndPr>
      <w:rPr>
        <w:color w:val="7F7F7F" w:themeColor="background1" w:themeShade="7F"/>
        <w:spacing w:val="60"/>
      </w:rPr>
    </w:sdtEndPr>
    <w:sdtContent>
      <w:p w14:paraId="6BBF7CCB" w14:textId="13DBA95A" w:rsidR="00A52FB1" w:rsidRDefault="00A52FB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150CAA6" w14:textId="77777777" w:rsidR="00A52FB1" w:rsidRDefault="00A52F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34346" w14:textId="77777777" w:rsidR="00630B63" w:rsidRDefault="00630B63" w:rsidP="00A52FB1">
      <w:pPr>
        <w:spacing w:after="0" w:line="240" w:lineRule="auto"/>
      </w:pPr>
      <w:r>
        <w:separator/>
      </w:r>
    </w:p>
  </w:footnote>
  <w:footnote w:type="continuationSeparator" w:id="0">
    <w:p w14:paraId="297E4BF3" w14:textId="77777777" w:rsidR="00630B63" w:rsidRDefault="00630B63" w:rsidP="00A52F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264A3"/>
    <w:multiLevelType w:val="hybridMultilevel"/>
    <w:tmpl w:val="00923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381C71"/>
    <w:multiLevelType w:val="hybridMultilevel"/>
    <w:tmpl w:val="DC869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3047315">
    <w:abstractNumId w:val="0"/>
  </w:num>
  <w:num w:numId="2" w16cid:durableId="9482466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0DE"/>
    <w:rsid w:val="00082675"/>
    <w:rsid w:val="005470DE"/>
    <w:rsid w:val="00630B63"/>
    <w:rsid w:val="00972E8F"/>
    <w:rsid w:val="00A52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A835A"/>
  <w15:chartTrackingRefBased/>
  <w15:docId w15:val="{EBA4C303-147F-41B5-BD50-8706898F1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0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70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70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70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70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70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70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70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70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0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70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70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70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70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70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70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70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70DE"/>
    <w:rPr>
      <w:rFonts w:eastAsiaTheme="majorEastAsia" w:cstheme="majorBidi"/>
      <w:color w:val="272727" w:themeColor="text1" w:themeTint="D8"/>
    </w:rPr>
  </w:style>
  <w:style w:type="paragraph" w:styleId="Title">
    <w:name w:val="Title"/>
    <w:basedOn w:val="Normal"/>
    <w:next w:val="Normal"/>
    <w:link w:val="TitleChar"/>
    <w:uiPriority w:val="10"/>
    <w:qFormat/>
    <w:rsid w:val="005470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70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70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70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70DE"/>
    <w:pPr>
      <w:spacing w:before="160"/>
      <w:jc w:val="center"/>
    </w:pPr>
    <w:rPr>
      <w:i/>
      <w:iCs/>
      <w:color w:val="404040" w:themeColor="text1" w:themeTint="BF"/>
    </w:rPr>
  </w:style>
  <w:style w:type="character" w:customStyle="1" w:styleId="QuoteChar">
    <w:name w:val="Quote Char"/>
    <w:basedOn w:val="DefaultParagraphFont"/>
    <w:link w:val="Quote"/>
    <w:uiPriority w:val="29"/>
    <w:rsid w:val="005470DE"/>
    <w:rPr>
      <w:i/>
      <w:iCs/>
      <w:color w:val="404040" w:themeColor="text1" w:themeTint="BF"/>
    </w:rPr>
  </w:style>
  <w:style w:type="paragraph" w:styleId="ListParagraph">
    <w:name w:val="List Paragraph"/>
    <w:basedOn w:val="Normal"/>
    <w:uiPriority w:val="34"/>
    <w:qFormat/>
    <w:rsid w:val="005470DE"/>
    <w:pPr>
      <w:ind w:left="720"/>
      <w:contextualSpacing/>
    </w:pPr>
  </w:style>
  <w:style w:type="character" w:styleId="IntenseEmphasis">
    <w:name w:val="Intense Emphasis"/>
    <w:basedOn w:val="DefaultParagraphFont"/>
    <w:uiPriority w:val="21"/>
    <w:qFormat/>
    <w:rsid w:val="005470DE"/>
    <w:rPr>
      <w:i/>
      <w:iCs/>
      <w:color w:val="0F4761" w:themeColor="accent1" w:themeShade="BF"/>
    </w:rPr>
  </w:style>
  <w:style w:type="paragraph" w:styleId="IntenseQuote">
    <w:name w:val="Intense Quote"/>
    <w:basedOn w:val="Normal"/>
    <w:next w:val="Normal"/>
    <w:link w:val="IntenseQuoteChar"/>
    <w:uiPriority w:val="30"/>
    <w:qFormat/>
    <w:rsid w:val="005470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70DE"/>
    <w:rPr>
      <w:i/>
      <w:iCs/>
      <w:color w:val="0F4761" w:themeColor="accent1" w:themeShade="BF"/>
    </w:rPr>
  </w:style>
  <w:style w:type="character" w:styleId="IntenseReference">
    <w:name w:val="Intense Reference"/>
    <w:basedOn w:val="DefaultParagraphFont"/>
    <w:uiPriority w:val="32"/>
    <w:qFormat/>
    <w:rsid w:val="005470DE"/>
    <w:rPr>
      <w:b/>
      <w:bCs/>
      <w:smallCaps/>
      <w:color w:val="0F4761" w:themeColor="accent1" w:themeShade="BF"/>
      <w:spacing w:val="5"/>
    </w:rPr>
  </w:style>
  <w:style w:type="paragraph" w:styleId="NoSpacing">
    <w:name w:val="No Spacing"/>
    <w:link w:val="NoSpacingChar"/>
    <w:uiPriority w:val="1"/>
    <w:qFormat/>
    <w:rsid w:val="00A52FB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52FB1"/>
    <w:rPr>
      <w:rFonts w:eastAsiaTheme="minorEastAsia"/>
      <w:kern w:val="0"/>
      <w:sz w:val="22"/>
      <w:szCs w:val="22"/>
      <w:lang w:val="en-US"/>
      <w14:ligatures w14:val="none"/>
    </w:rPr>
  </w:style>
  <w:style w:type="paragraph" w:styleId="Header">
    <w:name w:val="header"/>
    <w:basedOn w:val="Normal"/>
    <w:link w:val="HeaderChar"/>
    <w:uiPriority w:val="99"/>
    <w:unhideWhenUsed/>
    <w:rsid w:val="00A52F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FB1"/>
  </w:style>
  <w:style w:type="paragraph" w:styleId="Footer">
    <w:name w:val="footer"/>
    <w:basedOn w:val="Normal"/>
    <w:link w:val="FooterChar"/>
    <w:uiPriority w:val="99"/>
    <w:unhideWhenUsed/>
    <w:rsid w:val="00A52F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F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2043</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
  <cp:keywords/>
  <dc:description/>
  <cp:revision>1</cp:revision>
  <dcterms:created xsi:type="dcterms:W3CDTF">2026-04-22T22:12:00Z</dcterms:created>
  <dcterms:modified xsi:type="dcterms:W3CDTF">2026-04-22T22:44:00Z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1c57c272-78eb-49ee-a0b5-336282f84140</vt:lpwstr>
  </property>
</Properties>
</file>