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A26EA" w14:textId="77777777" w:rsidR="006E2D15" w:rsidRPr="006E2D15" w:rsidRDefault="006E2D15" w:rsidP="006E2D15">
      <w:pPr>
        <w:spacing w:line="360" w:lineRule="auto"/>
        <w:jc w:val="center"/>
        <w:rPr>
          <w:rFonts w:ascii="Arial" w:hAnsi="Arial" w:cs="Arial"/>
          <w:b/>
          <w:bCs/>
          <w:sz w:val="24"/>
          <w:szCs w:val="24"/>
          <w:u w:val="single"/>
          <w:lang w:val="en-US"/>
        </w:rPr>
      </w:pPr>
      <w:r w:rsidRPr="006E2D15">
        <w:rPr>
          <w:rFonts w:ascii="Arial" w:hAnsi="Arial" w:cs="Arial"/>
          <w:b/>
          <w:bCs/>
          <w:sz w:val="24"/>
          <w:szCs w:val="24"/>
          <w:u w:val="single"/>
          <w:lang w:val="en-US"/>
        </w:rPr>
        <w:t>Police Officers’ Mental Health and Wellbeing in South Wales Police: Addressing Occupational Stress</w:t>
      </w:r>
    </w:p>
    <w:p w14:paraId="4163D40C" w14:textId="77777777" w:rsidR="006E2D15" w:rsidRPr="006E2D15" w:rsidRDefault="006E2D15" w:rsidP="006E2D15">
      <w:pPr>
        <w:spacing w:line="360" w:lineRule="auto"/>
        <w:jc w:val="center"/>
        <w:rPr>
          <w:rFonts w:ascii="Arial" w:hAnsi="Arial" w:cs="Arial"/>
          <w:b/>
          <w:bCs/>
          <w:sz w:val="24"/>
          <w:szCs w:val="24"/>
          <w:u w:val="single"/>
          <w:lang w:val="en-US"/>
        </w:rPr>
      </w:pPr>
    </w:p>
    <w:p w14:paraId="2DCA9F8F" w14:textId="77777777" w:rsidR="006E2D15" w:rsidRPr="006E2D15" w:rsidRDefault="006E2D15" w:rsidP="006E2D15">
      <w:pPr>
        <w:spacing w:line="360" w:lineRule="auto"/>
        <w:jc w:val="center"/>
        <w:rPr>
          <w:rFonts w:ascii="Arial" w:hAnsi="Arial" w:cs="Arial"/>
          <w:b/>
          <w:bCs/>
          <w:sz w:val="24"/>
          <w:szCs w:val="24"/>
          <w:u w:val="single"/>
          <w:lang w:val="en-US"/>
        </w:rPr>
      </w:pPr>
      <w:r w:rsidRPr="006E2D15">
        <w:rPr>
          <w:rFonts w:ascii="Arial" w:hAnsi="Arial" w:cs="Arial"/>
          <w:b/>
          <w:bCs/>
          <w:sz w:val="24"/>
          <w:szCs w:val="24"/>
          <w:u w:val="single"/>
          <w:lang w:val="en-US"/>
        </w:rPr>
        <w:t>LITERATURE REVIEW</w:t>
      </w:r>
    </w:p>
    <w:p w14:paraId="51580A90" w14:textId="77777777" w:rsidR="006E2D15" w:rsidRPr="006E2D15" w:rsidRDefault="006E2D15" w:rsidP="006E2D15">
      <w:pPr>
        <w:spacing w:line="360" w:lineRule="auto"/>
        <w:rPr>
          <w:rFonts w:ascii="Arial" w:hAnsi="Arial" w:cs="Arial"/>
          <w:b/>
          <w:bCs/>
          <w:sz w:val="24"/>
          <w:szCs w:val="24"/>
          <w:u w:val="single"/>
          <w:lang w:val="en-US"/>
        </w:rPr>
      </w:pPr>
      <w:r w:rsidRPr="006E2D15">
        <w:rPr>
          <w:rFonts w:ascii="Arial" w:hAnsi="Arial" w:cs="Arial"/>
          <w:b/>
          <w:bCs/>
          <w:sz w:val="24"/>
          <w:szCs w:val="24"/>
          <w:u w:val="single"/>
          <w:lang w:val="en-US"/>
        </w:rPr>
        <w:t>Introduction</w:t>
      </w:r>
    </w:p>
    <w:p w14:paraId="399A1971" w14:textId="77777777" w:rsidR="006E2D15" w:rsidRPr="006E2D15" w:rsidRDefault="006E2D15" w:rsidP="006E2D15">
      <w:pPr>
        <w:spacing w:line="360" w:lineRule="auto"/>
        <w:rPr>
          <w:rFonts w:ascii="Arial" w:hAnsi="Arial" w:cs="Arial"/>
          <w:b/>
          <w:bCs/>
          <w:sz w:val="24"/>
          <w:szCs w:val="24"/>
          <w:u w:val="single"/>
          <w:lang w:val="en-US"/>
        </w:rPr>
      </w:pPr>
      <w:r w:rsidRPr="006E2D15">
        <w:rPr>
          <w:rFonts w:ascii="Arial" w:hAnsi="Arial" w:cs="Arial"/>
          <w:sz w:val="24"/>
          <w:szCs w:val="24"/>
          <w:lang w:val="en-US"/>
        </w:rPr>
        <w:t xml:space="preserve">This literature review will establish that occupational stress is a significant and long-standing problem within UK policing practice, damaging the performance of officers and the institution (Police Federation, 2021a; Health and Safety Executive, 2020; Mind, 2019b; Police Care UK, 2018; Met Police, 2019; </w:t>
      </w:r>
      <w:proofErr w:type="spellStart"/>
      <w:r w:rsidRPr="006E2D15">
        <w:rPr>
          <w:rFonts w:ascii="Arial" w:hAnsi="Arial" w:cs="Arial"/>
          <w:sz w:val="24"/>
          <w:szCs w:val="24"/>
          <w:lang w:val="en-US"/>
        </w:rPr>
        <w:t>Queiros</w:t>
      </w:r>
      <w:proofErr w:type="spellEnd"/>
      <w:r w:rsidRPr="006E2D15">
        <w:rPr>
          <w:rFonts w:ascii="Arial" w:hAnsi="Arial" w:cs="Arial"/>
          <w:sz w:val="24"/>
          <w:szCs w:val="24"/>
          <w:lang w:val="en-US"/>
        </w:rPr>
        <w:t xml:space="preserve">, 2020). It places this dissertation in the context of the body of work by which it has been informed, exploring the theoretical and research issues apparent in the field. As this dissertation seeks to improve understanding and practice through primary research, this review engages with both primary and secondary sources, in order to assess the data resources currently available and to reveal gaps. The literature pertinent to this study includes traditional academic studies as well as government research and work undertaken by charitable </w:t>
      </w:r>
      <w:proofErr w:type="spellStart"/>
      <w:r w:rsidRPr="006E2D15">
        <w:rPr>
          <w:rFonts w:ascii="Arial" w:hAnsi="Arial" w:cs="Arial"/>
          <w:sz w:val="24"/>
          <w:szCs w:val="24"/>
          <w:lang w:val="en-US"/>
        </w:rPr>
        <w:t>organisations</w:t>
      </w:r>
      <w:proofErr w:type="spellEnd"/>
      <w:r w:rsidRPr="006E2D15">
        <w:rPr>
          <w:rFonts w:ascii="Arial" w:hAnsi="Arial" w:cs="Arial"/>
          <w:sz w:val="24"/>
          <w:szCs w:val="24"/>
          <w:lang w:val="en-US"/>
        </w:rPr>
        <w:t xml:space="preserve"> active in the field, often intersecting across these boundaries. </w:t>
      </w:r>
    </w:p>
    <w:p w14:paraId="67CEE9CD" w14:textId="77777777" w:rsidR="006E2D15" w:rsidRPr="006E2D15" w:rsidRDefault="006E2D15" w:rsidP="006E2D15">
      <w:pPr>
        <w:spacing w:line="360" w:lineRule="auto"/>
        <w:jc w:val="center"/>
        <w:rPr>
          <w:rFonts w:ascii="Arial" w:hAnsi="Arial" w:cs="Arial"/>
          <w:b/>
          <w:bCs/>
          <w:sz w:val="24"/>
          <w:szCs w:val="24"/>
          <w:u w:val="single"/>
          <w:lang w:val="en-US"/>
        </w:rPr>
      </w:pPr>
      <w:r w:rsidRPr="006E2D15">
        <w:rPr>
          <w:rFonts w:ascii="Arial" w:hAnsi="Arial" w:cs="Arial"/>
          <w:b/>
          <w:bCs/>
          <w:sz w:val="24"/>
          <w:szCs w:val="24"/>
          <w:u w:val="single"/>
          <w:lang w:val="en-US"/>
        </w:rPr>
        <w:t>Occupational Wellbeing and Stress in Literature</w:t>
      </w:r>
    </w:p>
    <w:p w14:paraId="07EC50F1" w14:textId="77777777" w:rsidR="006E2D15" w:rsidRPr="006E2D15" w:rsidRDefault="006E2D15" w:rsidP="006E2D15">
      <w:pPr>
        <w:spacing w:line="360" w:lineRule="auto"/>
        <w:rPr>
          <w:rFonts w:ascii="Arial" w:hAnsi="Arial" w:cs="Arial"/>
          <w:b/>
          <w:bCs/>
          <w:sz w:val="24"/>
          <w:szCs w:val="24"/>
          <w:lang w:val="en-US"/>
        </w:rPr>
      </w:pPr>
      <w:r w:rsidRPr="006E2D15">
        <w:rPr>
          <w:rFonts w:ascii="Arial" w:hAnsi="Arial" w:cs="Arial"/>
          <w:b/>
          <w:bCs/>
          <w:sz w:val="24"/>
          <w:szCs w:val="24"/>
          <w:lang w:val="en-US"/>
        </w:rPr>
        <w:t>Reaching a definition</w:t>
      </w:r>
    </w:p>
    <w:p w14:paraId="0FE9DD82"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It is notable that emotional wellbeing has been traditionally less well defined in literature than physical health and wellbeing (Stewart-Brown, 1998), although in recent decades it has attracted more academic attention and understanding as being key to health, quality-of-life, productivity and performance (</w:t>
      </w:r>
      <w:proofErr w:type="spellStart"/>
      <w:r w:rsidRPr="006E2D15">
        <w:rPr>
          <w:rFonts w:ascii="Arial" w:hAnsi="Arial" w:cs="Arial"/>
          <w:sz w:val="24"/>
          <w:szCs w:val="24"/>
          <w:lang w:val="en-US"/>
        </w:rPr>
        <w:t>Purba</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Demou</w:t>
      </w:r>
      <w:proofErr w:type="spellEnd"/>
      <w:r w:rsidRPr="006E2D15">
        <w:rPr>
          <w:rFonts w:ascii="Arial" w:hAnsi="Arial" w:cs="Arial"/>
          <w:sz w:val="24"/>
          <w:szCs w:val="24"/>
          <w:lang w:val="en-US"/>
        </w:rPr>
        <w:t xml:space="preserve">, 2019; Burke and </w:t>
      </w:r>
      <w:proofErr w:type="spellStart"/>
      <w:r w:rsidRPr="006E2D15">
        <w:rPr>
          <w:rFonts w:ascii="Arial" w:hAnsi="Arial" w:cs="Arial"/>
          <w:sz w:val="24"/>
          <w:szCs w:val="24"/>
          <w:lang w:val="en-US"/>
        </w:rPr>
        <w:t>Pignata</w:t>
      </w:r>
      <w:proofErr w:type="spellEnd"/>
      <w:r w:rsidRPr="006E2D15">
        <w:rPr>
          <w:rFonts w:ascii="Arial" w:hAnsi="Arial" w:cs="Arial"/>
          <w:sz w:val="24"/>
          <w:szCs w:val="24"/>
          <w:lang w:val="en-US"/>
        </w:rPr>
        <w:t xml:space="preserve">, 2020; Robertson and England, 2019). </w:t>
      </w:r>
      <w:proofErr w:type="spellStart"/>
      <w:r w:rsidRPr="006E2D15">
        <w:rPr>
          <w:rFonts w:ascii="Arial" w:hAnsi="Arial" w:cs="Arial"/>
          <w:sz w:val="24"/>
          <w:szCs w:val="24"/>
          <w:lang w:val="en-US"/>
        </w:rPr>
        <w:t>Thackrah</w:t>
      </w:r>
      <w:proofErr w:type="spellEnd"/>
      <w:r w:rsidRPr="006E2D15">
        <w:rPr>
          <w:rFonts w:ascii="Arial" w:hAnsi="Arial" w:cs="Arial"/>
          <w:sz w:val="24"/>
          <w:szCs w:val="24"/>
          <w:lang w:val="en-US"/>
        </w:rPr>
        <w:t xml:space="preserve"> (1831) first described the detrimental effects of work on individuals and through the industrial revolution there was a growing movement for employers to acknowledge the needs of employees, for mutual benefit (Wall, 2021). This focus was on physical health, however, and it wasn’t until the 1970s that the concept of emotional wellbeing in the workplace was established (</w:t>
      </w:r>
      <w:proofErr w:type="spellStart"/>
      <w:r w:rsidRPr="006E2D15">
        <w:rPr>
          <w:rFonts w:ascii="Arial" w:hAnsi="Arial" w:cs="Arial"/>
          <w:sz w:val="24"/>
          <w:szCs w:val="24"/>
          <w:lang w:val="en-US"/>
        </w:rPr>
        <w:t>Fingret</w:t>
      </w:r>
      <w:proofErr w:type="spellEnd"/>
      <w:r w:rsidRPr="006E2D15">
        <w:rPr>
          <w:rFonts w:ascii="Arial" w:hAnsi="Arial" w:cs="Arial"/>
          <w:sz w:val="24"/>
          <w:szCs w:val="24"/>
          <w:lang w:val="en-US"/>
        </w:rPr>
        <w:t xml:space="preserve">, 2000). In more recent years there has been an increased recognition that in order to maintain fit and productive employees, mental </w:t>
      </w:r>
      <w:r w:rsidRPr="006E2D15">
        <w:rPr>
          <w:rFonts w:ascii="Arial" w:hAnsi="Arial" w:cs="Arial"/>
          <w:sz w:val="24"/>
          <w:szCs w:val="24"/>
          <w:lang w:val="en-US"/>
        </w:rPr>
        <w:lastRenderedPageBreak/>
        <w:t>wellbeing needs to be considered with the same importance as physical wellbeing (Wall, 2021).</w:t>
      </w:r>
    </w:p>
    <w:p w14:paraId="19E3814C" w14:textId="77777777" w:rsidR="006E2D15" w:rsidRPr="006E2D15" w:rsidRDefault="006E2D15" w:rsidP="006E2D15">
      <w:pPr>
        <w:spacing w:line="360" w:lineRule="auto"/>
        <w:rPr>
          <w:rFonts w:ascii="Arial" w:hAnsi="Arial" w:cs="Arial"/>
          <w:sz w:val="24"/>
          <w:szCs w:val="24"/>
          <w:lang w:val="en-US"/>
        </w:rPr>
      </w:pPr>
    </w:p>
    <w:p w14:paraId="47E3F582"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This change in academic focus over time is mirrored by an increase in charitable and governmental activity in the area seeking to better define and support wellbeing, especially in an occupational context (Police Federation, 2020a; Mind, 2019b; Home Office, 2020; Institute for Government, 2019). A key definition from the WHO states that wellbeing is “an individual's awareness of his or her qualities and ability to cope with normal stresses of life, work productively, and contribute to the community as well as the ability to manage both positive and negative emotions experienced” (World Health </w:t>
      </w:r>
      <w:proofErr w:type="spellStart"/>
      <w:r w:rsidRPr="006E2D15">
        <w:rPr>
          <w:rFonts w:ascii="Arial" w:hAnsi="Arial" w:cs="Arial"/>
          <w:sz w:val="24"/>
          <w:szCs w:val="24"/>
          <w:lang w:val="en-US"/>
        </w:rPr>
        <w:t>Organisation</w:t>
      </w:r>
      <w:proofErr w:type="spellEnd"/>
      <w:r w:rsidRPr="006E2D15">
        <w:rPr>
          <w:rFonts w:ascii="Arial" w:hAnsi="Arial" w:cs="Arial"/>
          <w:sz w:val="24"/>
          <w:szCs w:val="24"/>
          <w:lang w:val="en-US"/>
        </w:rPr>
        <w:t>, 2018). Similarly, Kahneman and Deaton (2010) have defined it as the “emotional quality of an individual's everyday experience - the frequency and intensity of experiences of joy, stress, sadness, anger, and affection that make one's life pleasant or unpleasant”. In the context of occupational health, wellbeing is acknowledged as being key to an individual’s job satisfaction and performance, as well to their resilience when facing the demands of their role (</w:t>
      </w:r>
      <w:bookmarkStart w:id="0" w:name="_Hlk93868163"/>
      <w:proofErr w:type="spellStart"/>
      <w:r w:rsidRPr="006E2D15">
        <w:rPr>
          <w:rFonts w:ascii="Arial" w:hAnsi="Arial" w:cs="Arial"/>
          <w:sz w:val="24"/>
          <w:szCs w:val="24"/>
          <w:lang w:val="en-US"/>
        </w:rPr>
        <w:t>Magnavita</w:t>
      </w:r>
      <w:proofErr w:type="spellEnd"/>
      <w:r w:rsidRPr="006E2D15">
        <w:rPr>
          <w:rFonts w:ascii="Arial" w:hAnsi="Arial" w:cs="Arial"/>
          <w:sz w:val="24"/>
          <w:szCs w:val="24"/>
          <w:lang w:val="en-US"/>
        </w:rPr>
        <w:t xml:space="preserve"> and Chirico, 2020</w:t>
      </w:r>
      <w:bookmarkEnd w:id="0"/>
      <w:r w:rsidRPr="006E2D15">
        <w:rPr>
          <w:rFonts w:ascii="Arial" w:hAnsi="Arial" w:cs="Arial"/>
          <w:sz w:val="24"/>
          <w:szCs w:val="24"/>
          <w:lang w:val="en-US"/>
        </w:rPr>
        <w:t xml:space="preserve">; da Silva and Amaral, 2019; </w:t>
      </w:r>
      <w:bookmarkStart w:id="1" w:name="_Hlk93868754"/>
      <w:r w:rsidRPr="006E2D15">
        <w:rPr>
          <w:rFonts w:ascii="Arial" w:hAnsi="Arial" w:cs="Arial"/>
          <w:sz w:val="24"/>
          <w:szCs w:val="24"/>
          <w:lang w:val="en-US"/>
        </w:rPr>
        <w:t>David et al., 2021</w:t>
      </w:r>
      <w:bookmarkEnd w:id="1"/>
      <w:r w:rsidRPr="006E2D15">
        <w:rPr>
          <w:rFonts w:ascii="Arial" w:hAnsi="Arial" w:cs="Arial"/>
          <w:sz w:val="24"/>
          <w:szCs w:val="24"/>
          <w:lang w:val="en-US"/>
        </w:rPr>
        <w:t xml:space="preserve">). This consensus in understanding underpins the study of occupations like policing which are acknowledged to be high demand (Burke and </w:t>
      </w:r>
      <w:proofErr w:type="spellStart"/>
      <w:r w:rsidRPr="006E2D15">
        <w:rPr>
          <w:rFonts w:ascii="Arial" w:hAnsi="Arial" w:cs="Arial"/>
          <w:sz w:val="24"/>
          <w:szCs w:val="24"/>
          <w:lang w:val="en-US"/>
        </w:rPr>
        <w:t>Pignata</w:t>
      </w:r>
      <w:proofErr w:type="spellEnd"/>
      <w:r w:rsidRPr="006E2D15">
        <w:rPr>
          <w:rFonts w:ascii="Arial" w:hAnsi="Arial" w:cs="Arial"/>
          <w:sz w:val="24"/>
          <w:szCs w:val="24"/>
          <w:lang w:val="en-US"/>
        </w:rPr>
        <w:t>, 2020; College of Policing, 2018;</w:t>
      </w:r>
      <w:r w:rsidRPr="006E2D15">
        <w:rPr>
          <w:rFonts w:ascii="Arial" w:hAnsi="Arial" w:cs="Arial"/>
          <w:sz w:val="24"/>
          <w:szCs w:val="24"/>
        </w:rPr>
        <w:t xml:space="preserve"> Nisar</w:t>
      </w:r>
      <w:r w:rsidRPr="006E2D15">
        <w:rPr>
          <w:rFonts w:ascii="Arial" w:hAnsi="Arial" w:cs="Arial"/>
          <w:sz w:val="24"/>
          <w:szCs w:val="24"/>
          <w:lang w:val="en-US"/>
        </w:rPr>
        <w:t xml:space="preserve"> and Rasheed, 2019; De Neve, 2013). </w:t>
      </w:r>
    </w:p>
    <w:p w14:paraId="0F4E5F36" w14:textId="77777777" w:rsidR="006E2D15" w:rsidRPr="006E2D15" w:rsidRDefault="006E2D15" w:rsidP="006E2D15">
      <w:pPr>
        <w:spacing w:line="360" w:lineRule="auto"/>
        <w:rPr>
          <w:rFonts w:ascii="Arial" w:hAnsi="Arial" w:cs="Arial"/>
          <w:sz w:val="24"/>
          <w:szCs w:val="24"/>
          <w:lang w:val="en-US"/>
        </w:rPr>
      </w:pPr>
    </w:p>
    <w:p w14:paraId="4CA74C12"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The literature shows that defining occupational stress has been more challenging, due to its complexity; multiple approaches may be required to describe it (Babatunde, 2013). </w:t>
      </w:r>
      <w:proofErr w:type="gramStart"/>
      <w:r w:rsidRPr="006E2D15">
        <w:rPr>
          <w:rFonts w:ascii="Arial" w:hAnsi="Arial" w:cs="Arial"/>
          <w:sz w:val="24"/>
          <w:szCs w:val="24"/>
          <w:lang w:val="en-US"/>
        </w:rPr>
        <w:t>In particular, some</w:t>
      </w:r>
      <w:proofErr w:type="gramEnd"/>
      <w:r w:rsidRPr="006E2D15">
        <w:rPr>
          <w:rFonts w:ascii="Arial" w:hAnsi="Arial" w:cs="Arial"/>
          <w:sz w:val="24"/>
          <w:szCs w:val="24"/>
          <w:lang w:val="en-US"/>
        </w:rPr>
        <w:t xml:space="preserve"> theoretical research distinguishes between “positive stress” (sometimes called eustress) and “negative stress” (sometimes called “distress”), with definitions and terminologies varying (</w:t>
      </w:r>
      <w:bookmarkStart w:id="2" w:name="_Hlk93869133"/>
      <w:r w:rsidRPr="006E2D15">
        <w:rPr>
          <w:rFonts w:ascii="Arial" w:hAnsi="Arial" w:cs="Arial"/>
          <w:sz w:val="24"/>
          <w:szCs w:val="24"/>
          <w:lang w:val="en-US"/>
        </w:rPr>
        <w:t xml:space="preserve">Kupriyanov and </w:t>
      </w:r>
      <w:proofErr w:type="spellStart"/>
      <w:r w:rsidRPr="006E2D15">
        <w:rPr>
          <w:rFonts w:ascii="Arial" w:hAnsi="Arial" w:cs="Arial"/>
          <w:sz w:val="24"/>
          <w:szCs w:val="24"/>
          <w:lang w:val="en-US"/>
        </w:rPr>
        <w:t>Dhzanov</w:t>
      </w:r>
      <w:proofErr w:type="spellEnd"/>
      <w:r w:rsidRPr="006E2D15">
        <w:rPr>
          <w:rFonts w:ascii="Arial" w:hAnsi="Arial" w:cs="Arial"/>
          <w:sz w:val="24"/>
          <w:szCs w:val="24"/>
          <w:lang w:val="en-US"/>
        </w:rPr>
        <w:t>, 2019</w:t>
      </w:r>
      <w:bookmarkEnd w:id="2"/>
      <w:r w:rsidRPr="006E2D15">
        <w:rPr>
          <w:rFonts w:ascii="Arial" w:hAnsi="Arial" w:cs="Arial"/>
          <w:sz w:val="24"/>
          <w:szCs w:val="24"/>
          <w:lang w:val="en-US"/>
        </w:rPr>
        <w:t xml:space="preserve">; </w:t>
      </w:r>
      <w:bookmarkStart w:id="3" w:name="_Hlk93869246"/>
      <w:r w:rsidRPr="006E2D15">
        <w:rPr>
          <w:rFonts w:ascii="Arial" w:hAnsi="Arial" w:cs="Arial"/>
          <w:sz w:val="24"/>
          <w:szCs w:val="24"/>
          <w:lang w:val="en-US"/>
        </w:rPr>
        <w:t xml:space="preserve">O’Sullivan 2011; </w:t>
      </w:r>
      <w:bookmarkEnd w:id="3"/>
      <w:r w:rsidRPr="006E2D15">
        <w:rPr>
          <w:rFonts w:ascii="Arial" w:hAnsi="Arial" w:cs="Arial"/>
          <w:sz w:val="24"/>
          <w:szCs w:val="24"/>
          <w:lang w:val="en-US"/>
        </w:rPr>
        <w:t xml:space="preserve">Le </w:t>
      </w:r>
      <w:proofErr w:type="spellStart"/>
      <w:r w:rsidRPr="006E2D15">
        <w:rPr>
          <w:rFonts w:ascii="Arial" w:hAnsi="Arial" w:cs="Arial"/>
          <w:sz w:val="24"/>
          <w:szCs w:val="24"/>
          <w:lang w:val="en-US"/>
        </w:rPr>
        <w:t>Fevre</w:t>
      </w:r>
      <w:proofErr w:type="spellEnd"/>
      <w:r w:rsidRPr="006E2D15">
        <w:rPr>
          <w:rFonts w:ascii="Arial" w:hAnsi="Arial" w:cs="Arial"/>
          <w:sz w:val="24"/>
          <w:szCs w:val="24"/>
          <w:lang w:val="en-US"/>
        </w:rPr>
        <w:t xml:space="preserve">, Matheny and Colt, 2003).  However, The APA Dictionary of Psychology (2020) defines occupational stress as negative in nature: “a physiological and psychological response to events or conditions in the workplace that is detrimental to health and well-being”, following the widely held understanding of occupational stress as negative (unless specifically designated otherwise). Furthermore, this dissertation seeks to understand and mitigate </w:t>
      </w:r>
      <w:r w:rsidRPr="006E2D15">
        <w:rPr>
          <w:rFonts w:ascii="Arial" w:hAnsi="Arial" w:cs="Arial"/>
          <w:i/>
          <w:iCs/>
          <w:sz w:val="24"/>
          <w:szCs w:val="24"/>
          <w:lang w:val="en-US"/>
        </w:rPr>
        <w:t>negative</w:t>
      </w:r>
      <w:r w:rsidRPr="006E2D15">
        <w:rPr>
          <w:rFonts w:ascii="Arial" w:hAnsi="Arial" w:cs="Arial"/>
          <w:sz w:val="24"/>
          <w:szCs w:val="24"/>
          <w:lang w:val="en-US"/>
        </w:rPr>
        <w:t xml:space="preserve"> </w:t>
      </w:r>
      <w:r w:rsidRPr="006E2D15">
        <w:rPr>
          <w:rFonts w:ascii="Arial" w:hAnsi="Arial" w:cs="Arial"/>
          <w:sz w:val="24"/>
          <w:szCs w:val="24"/>
          <w:lang w:val="en-US"/>
        </w:rPr>
        <w:lastRenderedPageBreak/>
        <w:t xml:space="preserve">occupational stress specifically, which definitions agree is “a harmful reaction that people have to undue pressures and demands placed on them at work” (HSE, 2020; c.f. Bamber, 2006; </w:t>
      </w:r>
      <w:bookmarkStart w:id="4" w:name="_Hlk93870564"/>
      <w:proofErr w:type="spellStart"/>
      <w:r w:rsidRPr="006E2D15">
        <w:rPr>
          <w:rFonts w:ascii="Arial" w:hAnsi="Arial" w:cs="Arial"/>
          <w:sz w:val="24"/>
          <w:szCs w:val="24"/>
          <w:lang w:val="en-US"/>
        </w:rPr>
        <w:t>Ganster</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Perrewe</w:t>
      </w:r>
      <w:proofErr w:type="spellEnd"/>
      <w:r w:rsidRPr="006E2D15">
        <w:rPr>
          <w:rFonts w:ascii="Arial" w:hAnsi="Arial" w:cs="Arial"/>
          <w:sz w:val="24"/>
          <w:szCs w:val="24"/>
          <w:lang w:val="en-US"/>
        </w:rPr>
        <w:t xml:space="preserve">, 2011 </w:t>
      </w:r>
      <w:bookmarkEnd w:id="4"/>
      <w:r w:rsidRPr="006E2D15">
        <w:rPr>
          <w:rFonts w:ascii="Arial" w:hAnsi="Arial" w:cs="Arial"/>
          <w:sz w:val="24"/>
          <w:szCs w:val="24"/>
          <w:lang w:val="en-US"/>
        </w:rPr>
        <w:t>) and can also be defined as ‘an imbalance between the demands of environmental stressors within the workplace and one’s capacity and ability to overcome and achieve them” (</w:t>
      </w:r>
      <w:proofErr w:type="spellStart"/>
      <w:r w:rsidRPr="006E2D15">
        <w:rPr>
          <w:rFonts w:ascii="Arial" w:hAnsi="Arial" w:cs="Arial"/>
          <w:sz w:val="24"/>
          <w:szCs w:val="24"/>
          <w:lang w:val="en-US"/>
        </w:rPr>
        <w:t>Ongori</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Agolla</w:t>
      </w:r>
      <w:proofErr w:type="spellEnd"/>
      <w:r w:rsidRPr="006E2D15">
        <w:rPr>
          <w:rFonts w:ascii="Arial" w:hAnsi="Arial" w:cs="Arial"/>
          <w:sz w:val="24"/>
          <w:szCs w:val="24"/>
          <w:lang w:val="en-US"/>
        </w:rPr>
        <w:t xml:space="preserve">, 2008; </w:t>
      </w:r>
      <w:bookmarkStart w:id="5" w:name="_Hlk93870745"/>
      <w:r w:rsidRPr="006E2D15">
        <w:rPr>
          <w:rFonts w:ascii="Arial" w:hAnsi="Arial" w:cs="Arial"/>
          <w:sz w:val="24"/>
          <w:szCs w:val="24"/>
          <w:lang w:val="en-US"/>
        </w:rPr>
        <w:t xml:space="preserve">c.f. </w:t>
      </w:r>
      <w:proofErr w:type="spellStart"/>
      <w:r w:rsidRPr="006E2D15">
        <w:rPr>
          <w:rFonts w:ascii="Arial" w:hAnsi="Arial" w:cs="Arial"/>
          <w:sz w:val="24"/>
          <w:szCs w:val="24"/>
          <w:lang w:val="en-US"/>
        </w:rPr>
        <w:t>Akanji</w:t>
      </w:r>
      <w:proofErr w:type="spellEnd"/>
      <w:r w:rsidRPr="006E2D15">
        <w:rPr>
          <w:rFonts w:ascii="Arial" w:hAnsi="Arial" w:cs="Arial"/>
          <w:sz w:val="24"/>
          <w:szCs w:val="24"/>
          <w:lang w:val="en-US"/>
        </w:rPr>
        <w:t>, 2013</w:t>
      </w:r>
      <w:bookmarkEnd w:id="5"/>
      <w:r w:rsidRPr="006E2D15">
        <w:rPr>
          <w:rFonts w:ascii="Arial" w:hAnsi="Arial" w:cs="Arial"/>
          <w:sz w:val="24"/>
          <w:szCs w:val="24"/>
          <w:lang w:val="en-US"/>
        </w:rPr>
        <w:t xml:space="preserve">). </w:t>
      </w:r>
    </w:p>
    <w:p w14:paraId="491E23E2" w14:textId="77777777" w:rsidR="006E2D15" w:rsidRPr="006E2D15" w:rsidRDefault="006E2D15" w:rsidP="006E2D15">
      <w:pPr>
        <w:spacing w:line="360" w:lineRule="auto"/>
        <w:rPr>
          <w:rFonts w:ascii="Arial" w:hAnsi="Arial" w:cs="Arial"/>
          <w:sz w:val="24"/>
          <w:szCs w:val="24"/>
          <w:lang w:val="en-US"/>
        </w:rPr>
      </w:pPr>
    </w:p>
    <w:p w14:paraId="24536AAC" w14:textId="77777777" w:rsidR="006E2D15" w:rsidRPr="006E2D15" w:rsidRDefault="006E2D15" w:rsidP="006E2D15">
      <w:pPr>
        <w:spacing w:line="360" w:lineRule="auto"/>
        <w:rPr>
          <w:rFonts w:ascii="Arial" w:hAnsi="Arial" w:cs="Arial"/>
          <w:b/>
          <w:bCs/>
          <w:sz w:val="24"/>
          <w:szCs w:val="24"/>
          <w:lang w:val="en-US"/>
        </w:rPr>
      </w:pPr>
      <w:r w:rsidRPr="006E2D15">
        <w:rPr>
          <w:rFonts w:ascii="Arial" w:hAnsi="Arial" w:cs="Arial"/>
          <w:b/>
          <w:bCs/>
          <w:sz w:val="24"/>
          <w:szCs w:val="24"/>
          <w:lang w:val="en-US"/>
        </w:rPr>
        <w:t>Causes and Effects of Occupational Stress</w:t>
      </w:r>
    </w:p>
    <w:p w14:paraId="61600154"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One of the </w:t>
      </w:r>
      <w:proofErr w:type="gramStart"/>
      <w:r w:rsidRPr="006E2D15">
        <w:rPr>
          <w:rFonts w:ascii="Arial" w:hAnsi="Arial" w:cs="Arial"/>
          <w:sz w:val="24"/>
          <w:szCs w:val="24"/>
          <w:lang w:val="en-US"/>
        </w:rPr>
        <w:t>key</w:t>
      </w:r>
      <w:proofErr w:type="gramEnd"/>
      <w:r w:rsidRPr="006E2D15">
        <w:rPr>
          <w:rFonts w:ascii="Arial" w:hAnsi="Arial" w:cs="Arial"/>
          <w:sz w:val="24"/>
          <w:szCs w:val="24"/>
          <w:lang w:val="en-US"/>
        </w:rPr>
        <w:t xml:space="preserve"> aims of this dissertation is to “identify the main negative stressors experienced by officers working for SWP and the ways these can affect standards of policing in relation to the individual officer, the institution and the public served”. It therefore engages closely with literature pertinent to the causes and effects of occupational stress.</w:t>
      </w:r>
    </w:p>
    <w:p w14:paraId="3B1FD2C0" w14:textId="77777777" w:rsidR="006E2D15" w:rsidRPr="006E2D15" w:rsidRDefault="006E2D15" w:rsidP="006E2D15">
      <w:pPr>
        <w:spacing w:line="360" w:lineRule="auto"/>
        <w:rPr>
          <w:rFonts w:ascii="Arial" w:hAnsi="Arial" w:cs="Arial"/>
          <w:sz w:val="24"/>
          <w:szCs w:val="24"/>
          <w:lang w:val="en-US"/>
        </w:rPr>
      </w:pPr>
    </w:p>
    <w:p w14:paraId="4EE4E46B"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The APA consider factors causing occupations stress to be various: “autonomy and independence, decision latitude, workload, level of responsibility, job security, physical environment and safety, the nature and pace of work, and relationships with coworkers and supervisors” (2020). The various nature of factors is borne out by literature on policing specifically which shows policing to be a high-demand environment, involving exposure to stressors such as long hours, shift work, trauma, heavy workload, and a rigid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structure (Burke and </w:t>
      </w:r>
      <w:proofErr w:type="spellStart"/>
      <w:r w:rsidRPr="006E2D15">
        <w:rPr>
          <w:rFonts w:ascii="Arial" w:hAnsi="Arial" w:cs="Arial"/>
          <w:sz w:val="24"/>
          <w:szCs w:val="24"/>
          <w:lang w:val="en-US"/>
        </w:rPr>
        <w:t>Pignata</w:t>
      </w:r>
      <w:proofErr w:type="spellEnd"/>
      <w:r w:rsidRPr="006E2D15">
        <w:rPr>
          <w:rFonts w:ascii="Arial" w:hAnsi="Arial" w:cs="Arial"/>
          <w:sz w:val="24"/>
          <w:szCs w:val="24"/>
          <w:lang w:val="en-US"/>
        </w:rPr>
        <w:t>, 2020; College of Policing, 2018;</w:t>
      </w:r>
      <w:r w:rsidRPr="006E2D15">
        <w:rPr>
          <w:rFonts w:ascii="Arial" w:hAnsi="Arial" w:cs="Arial"/>
          <w:sz w:val="24"/>
          <w:szCs w:val="24"/>
        </w:rPr>
        <w:t xml:space="preserve"> Nisar</w:t>
      </w:r>
      <w:r w:rsidRPr="006E2D15">
        <w:rPr>
          <w:rFonts w:ascii="Arial" w:hAnsi="Arial" w:cs="Arial"/>
          <w:sz w:val="24"/>
          <w:szCs w:val="24"/>
          <w:lang w:val="en-US"/>
        </w:rPr>
        <w:t xml:space="preserve"> and Rasheed, 2019; De Neve, 2013). There is very little disagreement regarding the high-stress nature of policing, notably a study by van der Velden et al., (2013) which contended that job related mental health problems are no more prevalent in police officers compared to other professions. </w:t>
      </w:r>
    </w:p>
    <w:p w14:paraId="3E1BC074" w14:textId="77777777" w:rsidR="006E2D15" w:rsidRPr="006E2D15" w:rsidRDefault="006E2D15" w:rsidP="006E2D15">
      <w:pPr>
        <w:spacing w:line="360" w:lineRule="auto"/>
        <w:rPr>
          <w:rFonts w:ascii="Arial" w:hAnsi="Arial" w:cs="Arial"/>
          <w:sz w:val="24"/>
          <w:szCs w:val="24"/>
          <w:lang w:val="en-US"/>
        </w:rPr>
      </w:pPr>
    </w:p>
    <w:p w14:paraId="49B2E4FA"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Some researchers have divided stressors into “occupational”, for example exposure to dangerous, violent and traumatic situations and long hours and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which relate more to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structure and processes (Evans and </w:t>
      </w:r>
      <w:proofErr w:type="spellStart"/>
      <w:r w:rsidRPr="006E2D15">
        <w:rPr>
          <w:rFonts w:ascii="Arial" w:hAnsi="Arial" w:cs="Arial"/>
          <w:sz w:val="24"/>
          <w:szCs w:val="24"/>
          <w:lang w:val="en-US"/>
        </w:rPr>
        <w:t>Coman</w:t>
      </w:r>
      <w:proofErr w:type="spellEnd"/>
      <w:r w:rsidRPr="006E2D15">
        <w:rPr>
          <w:rFonts w:ascii="Arial" w:hAnsi="Arial" w:cs="Arial"/>
          <w:sz w:val="24"/>
          <w:szCs w:val="24"/>
          <w:lang w:val="en-US"/>
        </w:rPr>
        <w:t xml:space="preserve">, 1993; Burke, 2017; </w:t>
      </w:r>
      <w:proofErr w:type="spellStart"/>
      <w:r w:rsidRPr="006E2D15">
        <w:rPr>
          <w:rFonts w:ascii="Arial" w:hAnsi="Arial" w:cs="Arial"/>
          <w:sz w:val="24"/>
          <w:szCs w:val="24"/>
          <w:lang w:val="en-US"/>
        </w:rPr>
        <w:t>Acquadro</w:t>
      </w:r>
      <w:proofErr w:type="spellEnd"/>
      <w:r w:rsidRPr="006E2D15">
        <w:rPr>
          <w:rFonts w:ascii="Arial" w:hAnsi="Arial" w:cs="Arial"/>
          <w:sz w:val="24"/>
          <w:szCs w:val="24"/>
          <w:lang w:val="en-US"/>
        </w:rPr>
        <w:t xml:space="preserve"> Maran et al., 2015).  </w:t>
      </w:r>
    </w:p>
    <w:p w14:paraId="6F07258E" w14:textId="77777777" w:rsidR="006E2D15" w:rsidRPr="006E2D15" w:rsidRDefault="006E2D15" w:rsidP="006E2D15">
      <w:pPr>
        <w:spacing w:line="360" w:lineRule="auto"/>
        <w:rPr>
          <w:rFonts w:ascii="Arial" w:hAnsi="Arial" w:cs="Arial"/>
          <w:sz w:val="24"/>
          <w:szCs w:val="24"/>
          <w:lang w:val="en-US"/>
        </w:rPr>
      </w:pPr>
    </w:p>
    <w:p w14:paraId="0038B785"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The negative impacts of stress on officers can include increased morbidity and poor mental health, and can affect professionalism, public safety, and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effectiveness (including economic loss through sick days and attrition rates) (</w:t>
      </w:r>
      <w:proofErr w:type="spellStart"/>
      <w:r w:rsidRPr="006E2D15">
        <w:rPr>
          <w:rFonts w:ascii="Arial" w:hAnsi="Arial" w:cs="Arial"/>
          <w:sz w:val="24"/>
          <w:szCs w:val="24"/>
          <w:lang w:val="en-US"/>
        </w:rPr>
        <w:t>Purba</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Demou</w:t>
      </w:r>
      <w:proofErr w:type="spellEnd"/>
      <w:r w:rsidRPr="006E2D15">
        <w:rPr>
          <w:rFonts w:ascii="Arial" w:hAnsi="Arial" w:cs="Arial"/>
          <w:sz w:val="24"/>
          <w:szCs w:val="24"/>
          <w:lang w:val="en-US"/>
        </w:rPr>
        <w:t xml:space="preserve">, 2019; </w:t>
      </w:r>
      <w:proofErr w:type="spellStart"/>
      <w:r w:rsidRPr="006E2D15">
        <w:rPr>
          <w:rFonts w:ascii="Arial" w:hAnsi="Arial" w:cs="Arial"/>
          <w:sz w:val="24"/>
          <w:szCs w:val="24"/>
          <w:lang w:val="en-US"/>
        </w:rPr>
        <w:t>Violanti</w:t>
      </w:r>
      <w:proofErr w:type="spellEnd"/>
      <w:r w:rsidRPr="006E2D15">
        <w:rPr>
          <w:rFonts w:ascii="Arial" w:hAnsi="Arial" w:cs="Arial"/>
          <w:sz w:val="24"/>
          <w:szCs w:val="24"/>
          <w:lang w:val="en-US"/>
        </w:rPr>
        <w:t xml:space="preserve">, 2017; Burke and </w:t>
      </w:r>
      <w:proofErr w:type="spellStart"/>
      <w:r w:rsidRPr="006E2D15">
        <w:rPr>
          <w:rFonts w:ascii="Arial" w:hAnsi="Arial" w:cs="Arial"/>
          <w:sz w:val="24"/>
          <w:szCs w:val="24"/>
          <w:lang w:val="en-US"/>
        </w:rPr>
        <w:t>Pignata</w:t>
      </w:r>
      <w:proofErr w:type="spellEnd"/>
      <w:r w:rsidRPr="006E2D15">
        <w:rPr>
          <w:rFonts w:ascii="Arial" w:hAnsi="Arial" w:cs="Arial"/>
          <w:sz w:val="24"/>
          <w:szCs w:val="24"/>
          <w:lang w:val="en-US"/>
        </w:rPr>
        <w:t>, 2020; Robertson and England, 2019). Having synthesized the literature, it may be useful to divide the consequences of occupational stress in policing into three tiers: individual, organizational and public effects.</w:t>
      </w:r>
    </w:p>
    <w:p w14:paraId="1AE51168" w14:textId="77777777" w:rsidR="006E2D15" w:rsidRPr="006E2D15" w:rsidRDefault="006E2D15" w:rsidP="006E2D15">
      <w:pPr>
        <w:spacing w:line="360" w:lineRule="auto"/>
        <w:rPr>
          <w:rFonts w:ascii="Arial" w:hAnsi="Arial" w:cs="Arial"/>
          <w:sz w:val="24"/>
          <w:szCs w:val="24"/>
          <w:lang w:val="en-US"/>
        </w:rPr>
      </w:pPr>
    </w:p>
    <w:p w14:paraId="60D97D13" w14:textId="77777777" w:rsidR="006E2D15" w:rsidRPr="006E2D15" w:rsidRDefault="006E2D15" w:rsidP="006E2D15">
      <w:pPr>
        <w:spacing w:line="360" w:lineRule="auto"/>
        <w:rPr>
          <w:rFonts w:ascii="Arial" w:hAnsi="Arial" w:cs="Arial"/>
          <w:i/>
          <w:iCs/>
          <w:sz w:val="24"/>
          <w:szCs w:val="24"/>
          <w:lang w:val="en-US"/>
        </w:rPr>
      </w:pPr>
      <w:r w:rsidRPr="006E2D15">
        <w:rPr>
          <w:rFonts w:ascii="Arial" w:hAnsi="Arial" w:cs="Arial"/>
          <w:i/>
          <w:iCs/>
          <w:sz w:val="24"/>
          <w:szCs w:val="24"/>
          <w:lang w:val="en-US"/>
        </w:rPr>
        <w:t>Individual effects</w:t>
      </w:r>
    </w:p>
    <w:p w14:paraId="12A03645"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In recent years there has been an increasing amount of literature published on the impacts of occupational stress on police officers.</w:t>
      </w:r>
    </w:p>
    <w:p w14:paraId="274EABEA" w14:textId="77777777" w:rsidR="006E2D15" w:rsidRPr="006E2D15" w:rsidRDefault="006E2D15" w:rsidP="006E2D15">
      <w:pPr>
        <w:spacing w:line="360" w:lineRule="auto"/>
        <w:rPr>
          <w:rFonts w:ascii="Arial" w:hAnsi="Arial" w:cs="Arial"/>
          <w:sz w:val="24"/>
          <w:szCs w:val="24"/>
          <w:lang w:val="en-US"/>
        </w:rPr>
      </w:pPr>
    </w:p>
    <w:p w14:paraId="1026085A"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The damaging consequences of negative stressors on individuals is consistently highlighted in the literature, including mortality, physical and mental illness, </w:t>
      </w:r>
      <w:proofErr w:type="spellStart"/>
      <w:r w:rsidRPr="006E2D15">
        <w:rPr>
          <w:rFonts w:ascii="Arial" w:hAnsi="Arial" w:cs="Arial"/>
          <w:sz w:val="24"/>
          <w:szCs w:val="24"/>
          <w:lang w:val="en-US"/>
        </w:rPr>
        <w:t>behavioural</w:t>
      </w:r>
      <w:proofErr w:type="spellEnd"/>
      <w:r w:rsidRPr="006E2D15">
        <w:rPr>
          <w:rFonts w:ascii="Arial" w:hAnsi="Arial" w:cs="Arial"/>
          <w:sz w:val="24"/>
          <w:szCs w:val="24"/>
          <w:lang w:val="en-US"/>
        </w:rPr>
        <w:t xml:space="preserve"> issues and negative coping (Mohammad </w:t>
      </w:r>
      <w:proofErr w:type="spellStart"/>
      <w:r w:rsidRPr="006E2D15">
        <w:rPr>
          <w:rFonts w:ascii="Arial" w:hAnsi="Arial" w:cs="Arial"/>
          <w:sz w:val="24"/>
          <w:szCs w:val="24"/>
          <w:lang w:val="en-US"/>
        </w:rPr>
        <w:t>Mosadeghrad</w:t>
      </w:r>
      <w:proofErr w:type="spellEnd"/>
      <w:r w:rsidRPr="006E2D15">
        <w:rPr>
          <w:rFonts w:ascii="Arial" w:hAnsi="Arial" w:cs="Arial"/>
          <w:sz w:val="24"/>
          <w:szCs w:val="24"/>
          <w:lang w:val="en-US"/>
        </w:rPr>
        <w:t xml:space="preserve">, 2014; Hall </w:t>
      </w:r>
      <w:r w:rsidRPr="006E2D15">
        <w:rPr>
          <w:rFonts w:ascii="Arial" w:hAnsi="Arial" w:cs="Arial"/>
          <w:i/>
          <w:iCs/>
          <w:sz w:val="24"/>
          <w:szCs w:val="24"/>
          <w:lang w:val="en-US"/>
        </w:rPr>
        <w:t>et al</w:t>
      </w:r>
      <w:r w:rsidRPr="006E2D15">
        <w:rPr>
          <w:rFonts w:ascii="Arial" w:hAnsi="Arial" w:cs="Arial"/>
          <w:sz w:val="24"/>
          <w:szCs w:val="24"/>
          <w:lang w:val="en-US"/>
        </w:rPr>
        <w:t xml:space="preserve">., 2010; De Neve </w:t>
      </w:r>
      <w:r w:rsidRPr="006E2D15">
        <w:rPr>
          <w:rFonts w:ascii="Arial" w:hAnsi="Arial" w:cs="Arial"/>
          <w:i/>
          <w:iCs/>
          <w:sz w:val="24"/>
          <w:szCs w:val="24"/>
          <w:lang w:val="en-US"/>
        </w:rPr>
        <w:t>et al</w:t>
      </w:r>
      <w:r w:rsidRPr="006E2D15">
        <w:rPr>
          <w:rFonts w:ascii="Arial" w:hAnsi="Arial" w:cs="Arial"/>
          <w:sz w:val="24"/>
          <w:szCs w:val="24"/>
          <w:lang w:val="en-US"/>
        </w:rPr>
        <w:t xml:space="preserve">., 2013; </w:t>
      </w:r>
      <w:proofErr w:type="spellStart"/>
      <w:r w:rsidRPr="006E2D15">
        <w:rPr>
          <w:rFonts w:ascii="Arial" w:hAnsi="Arial" w:cs="Arial"/>
          <w:sz w:val="24"/>
          <w:szCs w:val="24"/>
          <w:lang w:val="en-US"/>
        </w:rPr>
        <w:t>Purba</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Demou</w:t>
      </w:r>
      <w:proofErr w:type="spellEnd"/>
      <w:r w:rsidRPr="006E2D15">
        <w:rPr>
          <w:rFonts w:ascii="Arial" w:hAnsi="Arial" w:cs="Arial"/>
          <w:sz w:val="24"/>
          <w:szCs w:val="24"/>
          <w:lang w:val="en-US"/>
        </w:rPr>
        <w:t xml:space="preserve">, 2019; Foley and Massey, 2018). Research carried out by Mohammad </w:t>
      </w:r>
      <w:proofErr w:type="spellStart"/>
      <w:r w:rsidRPr="006E2D15">
        <w:rPr>
          <w:rFonts w:ascii="Arial" w:hAnsi="Arial" w:cs="Arial"/>
          <w:sz w:val="24"/>
          <w:szCs w:val="24"/>
          <w:lang w:val="en-US"/>
        </w:rPr>
        <w:t>Mosadeghrad</w:t>
      </w:r>
      <w:proofErr w:type="spellEnd"/>
      <w:r w:rsidRPr="006E2D15">
        <w:rPr>
          <w:rFonts w:ascii="Arial" w:hAnsi="Arial" w:cs="Arial"/>
          <w:sz w:val="24"/>
          <w:szCs w:val="24"/>
          <w:lang w:val="en-US"/>
        </w:rPr>
        <w:t xml:space="preserve"> (2014) aimed to identify the damaging effects of occupational stress on hospital employees’ wellbeing. His research acknowledged that occupational stress has been known to cause physical illness such as cardiovascular disease, headaches, musculoskeletal pain, fatigue and high blood pressure. Furthermore, he also highlighted the psychological impacts such as emotional exhaustion, anxiety, depression, sleep issues, reduction in concentration, mood disturbances and even suicidal ideation. His findings showed that among the major sources of stress at work were insufficient pay, job instability, heavy workloads, inequality, lack of recognition, lack of opportunity for promotion and lack of support from management teams.  De Neve et al., (2013) also reported similar findings in his discussion paper that on a physiological level, positive emotions can enhance immunity, cardiovascular health, and endocrine function. Whereas negative emotions disrupt and interfere with these processes. </w:t>
      </w:r>
    </w:p>
    <w:p w14:paraId="1E1B1E18" w14:textId="77777777" w:rsidR="006E2D15" w:rsidRPr="006E2D15" w:rsidRDefault="006E2D15" w:rsidP="006E2D15">
      <w:pPr>
        <w:spacing w:line="360" w:lineRule="auto"/>
        <w:rPr>
          <w:rFonts w:ascii="Arial" w:hAnsi="Arial" w:cs="Arial"/>
          <w:sz w:val="24"/>
          <w:szCs w:val="24"/>
          <w:lang w:val="en-US"/>
        </w:rPr>
      </w:pPr>
    </w:p>
    <w:p w14:paraId="115E3771" w14:textId="77777777" w:rsidR="006E2D15" w:rsidRPr="006E2D15" w:rsidRDefault="006E2D15" w:rsidP="006E2D15">
      <w:pPr>
        <w:spacing w:line="360" w:lineRule="auto"/>
        <w:rPr>
          <w:rFonts w:ascii="Arial" w:hAnsi="Arial" w:cs="Arial"/>
          <w:i/>
          <w:iCs/>
          <w:sz w:val="24"/>
          <w:szCs w:val="24"/>
          <w:lang w:val="en-US"/>
        </w:rPr>
      </w:pPr>
      <w:proofErr w:type="spellStart"/>
      <w:r w:rsidRPr="006E2D15">
        <w:rPr>
          <w:rFonts w:ascii="Arial" w:hAnsi="Arial" w:cs="Arial"/>
          <w:i/>
          <w:iCs/>
          <w:sz w:val="24"/>
          <w:szCs w:val="24"/>
          <w:lang w:val="en-US"/>
        </w:rPr>
        <w:lastRenderedPageBreak/>
        <w:t>Organisational</w:t>
      </w:r>
      <w:proofErr w:type="spellEnd"/>
      <w:r w:rsidRPr="006E2D15">
        <w:rPr>
          <w:rFonts w:ascii="Arial" w:hAnsi="Arial" w:cs="Arial"/>
          <w:i/>
          <w:iCs/>
          <w:sz w:val="24"/>
          <w:szCs w:val="24"/>
          <w:lang w:val="en-US"/>
        </w:rPr>
        <w:t xml:space="preserve"> effects</w:t>
      </w:r>
    </w:p>
    <w:p w14:paraId="1867D47B"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As an </w:t>
      </w:r>
      <w:proofErr w:type="spellStart"/>
      <w:r w:rsidRPr="006E2D15">
        <w:rPr>
          <w:rFonts w:ascii="Arial" w:hAnsi="Arial" w:cs="Arial"/>
          <w:sz w:val="24"/>
          <w:szCs w:val="24"/>
          <w:lang w:val="en-US"/>
        </w:rPr>
        <w:t>organisation’s</w:t>
      </w:r>
      <w:proofErr w:type="spellEnd"/>
      <w:r w:rsidRPr="006E2D15">
        <w:rPr>
          <w:rFonts w:ascii="Arial" w:hAnsi="Arial" w:cs="Arial"/>
          <w:sz w:val="24"/>
          <w:szCs w:val="24"/>
          <w:lang w:val="en-US"/>
        </w:rPr>
        <w:t xml:space="preserve"> performance is dependent on the performance of their employees, there are also often consequences for the </w:t>
      </w:r>
      <w:proofErr w:type="spellStart"/>
      <w:r w:rsidRPr="006E2D15">
        <w:rPr>
          <w:rFonts w:ascii="Arial" w:hAnsi="Arial" w:cs="Arial"/>
          <w:sz w:val="24"/>
          <w:szCs w:val="24"/>
          <w:lang w:val="en-US"/>
        </w:rPr>
        <w:t>organisation</w:t>
      </w:r>
      <w:proofErr w:type="spellEnd"/>
      <w:r w:rsidRPr="006E2D15">
        <w:rPr>
          <w:rFonts w:ascii="Arial" w:hAnsi="Arial" w:cs="Arial"/>
          <w:sz w:val="24"/>
          <w:szCs w:val="24"/>
          <w:lang w:val="en-US"/>
        </w:rPr>
        <w:t xml:space="preserve"> as well as the individual (Burke and </w:t>
      </w:r>
      <w:proofErr w:type="spellStart"/>
      <w:r w:rsidRPr="006E2D15">
        <w:rPr>
          <w:rFonts w:ascii="Arial" w:hAnsi="Arial" w:cs="Arial"/>
          <w:sz w:val="24"/>
          <w:szCs w:val="24"/>
          <w:lang w:val="en-US"/>
        </w:rPr>
        <w:t>Pignata</w:t>
      </w:r>
      <w:proofErr w:type="spellEnd"/>
      <w:r w:rsidRPr="006E2D15">
        <w:rPr>
          <w:rFonts w:ascii="Arial" w:hAnsi="Arial" w:cs="Arial"/>
          <w:sz w:val="24"/>
          <w:szCs w:val="24"/>
          <w:lang w:val="en-US"/>
        </w:rPr>
        <w:t xml:space="preserve">, 2020; </w:t>
      </w:r>
      <w:bookmarkStart w:id="6" w:name="_Hlk93871797"/>
      <w:proofErr w:type="spellStart"/>
      <w:r w:rsidRPr="006E2D15">
        <w:rPr>
          <w:rFonts w:ascii="Arial" w:hAnsi="Arial" w:cs="Arial"/>
          <w:sz w:val="24"/>
          <w:szCs w:val="24"/>
          <w:lang w:val="en-US"/>
        </w:rPr>
        <w:t>Sharbracq</w:t>
      </w:r>
      <w:proofErr w:type="spellEnd"/>
      <w:r w:rsidRPr="006E2D15">
        <w:rPr>
          <w:rFonts w:ascii="Arial" w:hAnsi="Arial" w:cs="Arial"/>
          <w:sz w:val="24"/>
          <w:szCs w:val="24"/>
          <w:lang w:val="en-US"/>
        </w:rPr>
        <w:t xml:space="preserve"> and Cooper, 2000</w:t>
      </w:r>
      <w:bookmarkEnd w:id="6"/>
      <w:r w:rsidRPr="006E2D15">
        <w:rPr>
          <w:rFonts w:ascii="Arial" w:hAnsi="Arial" w:cs="Arial"/>
          <w:sz w:val="24"/>
          <w:szCs w:val="24"/>
          <w:lang w:val="en-US"/>
        </w:rPr>
        <w:t xml:space="preserve">). </w:t>
      </w:r>
    </w:p>
    <w:p w14:paraId="624F34C5" w14:textId="77777777" w:rsidR="006E2D15" w:rsidRPr="006E2D15" w:rsidRDefault="006E2D15" w:rsidP="006E2D15">
      <w:pPr>
        <w:spacing w:line="360" w:lineRule="auto"/>
        <w:rPr>
          <w:rFonts w:ascii="Arial" w:hAnsi="Arial" w:cs="Arial"/>
          <w:sz w:val="24"/>
          <w:szCs w:val="24"/>
          <w:lang w:val="en-US"/>
        </w:rPr>
      </w:pPr>
    </w:p>
    <w:p w14:paraId="13A84B5A" w14:textId="77777777" w:rsidR="006E2D15" w:rsidRPr="006E2D15" w:rsidRDefault="006E2D15" w:rsidP="006E2D15">
      <w:pPr>
        <w:spacing w:line="360" w:lineRule="auto"/>
        <w:rPr>
          <w:rFonts w:ascii="Arial" w:hAnsi="Arial" w:cs="Arial"/>
          <w:i/>
          <w:iCs/>
          <w:sz w:val="24"/>
          <w:szCs w:val="24"/>
          <w:lang w:val="en-US"/>
        </w:rPr>
      </w:pPr>
      <w:r w:rsidRPr="006E2D15">
        <w:rPr>
          <w:rFonts w:ascii="Arial" w:hAnsi="Arial" w:cs="Arial"/>
          <w:i/>
          <w:iCs/>
          <w:sz w:val="24"/>
          <w:szCs w:val="24"/>
          <w:lang w:val="en-US"/>
        </w:rPr>
        <w:t>Public effects</w:t>
      </w:r>
    </w:p>
    <w:p w14:paraId="7A7519F0"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As police officers serve the public, it is a concerning fact is that negative occupational stressors that can affect individual or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performance can also affect the public (</w:t>
      </w:r>
      <w:bookmarkStart w:id="7" w:name="_Hlk93871862"/>
      <w:proofErr w:type="spellStart"/>
      <w:r w:rsidRPr="006E2D15">
        <w:rPr>
          <w:rFonts w:ascii="Arial" w:hAnsi="Arial" w:cs="Arial"/>
          <w:sz w:val="24"/>
          <w:szCs w:val="24"/>
          <w:lang w:val="en-US"/>
        </w:rPr>
        <w:t>Mourtgos</w:t>
      </w:r>
      <w:proofErr w:type="spellEnd"/>
      <w:r w:rsidRPr="006E2D15">
        <w:rPr>
          <w:rFonts w:ascii="Arial" w:hAnsi="Arial" w:cs="Arial"/>
          <w:sz w:val="24"/>
          <w:szCs w:val="24"/>
          <w:lang w:val="en-US"/>
        </w:rPr>
        <w:t xml:space="preserve"> et al., 2020). </w:t>
      </w:r>
      <w:bookmarkEnd w:id="7"/>
      <w:r w:rsidRPr="006E2D15">
        <w:rPr>
          <w:rFonts w:ascii="Arial" w:hAnsi="Arial" w:cs="Arial"/>
          <w:sz w:val="24"/>
          <w:szCs w:val="24"/>
          <w:lang w:val="en-US"/>
        </w:rPr>
        <w:t xml:space="preserve">Wider impacts on organizations and society are well-evidenced (Wall, 2021; Brough, </w:t>
      </w:r>
      <w:proofErr w:type="spellStart"/>
      <w:r w:rsidRPr="006E2D15">
        <w:rPr>
          <w:rFonts w:ascii="Arial" w:hAnsi="Arial" w:cs="Arial"/>
          <w:sz w:val="24"/>
          <w:szCs w:val="24"/>
          <w:lang w:val="en-US"/>
        </w:rPr>
        <w:t>Raper</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Spedding</w:t>
      </w:r>
      <w:proofErr w:type="spellEnd"/>
      <w:r w:rsidRPr="006E2D15">
        <w:rPr>
          <w:rFonts w:ascii="Arial" w:hAnsi="Arial" w:cs="Arial"/>
          <w:sz w:val="24"/>
          <w:szCs w:val="24"/>
          <w:lang w:val="en-US"/>
        </w:rPr>
        <w:t xml:space="preserve">, 2021; Burke and </w:t>
      </w:r>
      <w:proofErr w:type="spellStart"/>
      <w:r w:rsidRPr="006E2D15">
        <w:rPr>
          <w:rFonts w:ascii="Arial" w:hAnsi="Arial" w:cs="Arial"/>
          <w:sz w:val="24"/>
          <w:szCs w:val="24"/>
          <w:lang w:val="en-US"/>
        </w:rPr>
        <w:t>Pignata</w:t>
      </w:r>
      <w:proofErr w:type="spellEnd"/>
      <w:r w:rsidRPr="006E2D15">
        <w:rPr>
          <w:rFonts w:ascii="Arial" w:hAnsi="Arial" w:cs="Arial"/>
          <w:sz w:val="24"/>
          <w:szCs w:val="24"/>
          <w:lang w:val="en-US"/>
        </w:rPr>
        <w:t xml:space="preserve">, 2020; Health and Safety Executive, 2020). Wider social impacts are considered particularly significant in policing and other public sector services (Burke, 2017; Rodwell </w:t>
      </w:r>
      <w:r w:rsidRPr="006E2D15">
        <w:rPr>
          <w:rFonts w:ascii="Arial" w:hAnsi="Arial" w:cs="Arial"/>
          <w:i/>
          <w:iCs/>
          <w:sz w:val="24"/>
          <w:szCs w:val="24"/>
          <w:lang w:val="en-US"/>
        </w:rPr>
        <w:t>et al</w:t>
      </w:r>
      <w:r w:rsidRPr="006E2D15">
        <w:rPr>
          <w:rFonts w:ascii="Arial" w:hAnsi="Arial" w:cs="Arial"/>
          <w:sz w:val="24"/>
          <w:szCs w:val="24"/>
          <w:lang w:val="en-US"/>
        </w:rPr>
        <w:t xml:space="preserve">., 2011; Police Federation 2021a; </w:t>
      </w:r>
      <w:proofErr w:type="spellStart"/>
      <w:r w:rsidRPr="006E2D15">
        <w:rPr>
          <w:rFonts w:ascii="Arial" w:hAnsi="Arial" w:cs="Arial"/>
          <w:sz w:val="24"/>
          <w:szCs w:val="24"/>
          <w:lang w:val="en-US"/>
        </w:rPr>
        <w:t>Romosiou</w:t>
      </w:r>
      <w:proofErr w:type="spellEnd"/>
      <w:r w:rsidRPr="006E2D15">
        <w:rPr>
          <w:rFonts w:ascii="Arial" w:hAnsi="Arial" w:cs="Arial"/>
          <w:sz w:val="24"/>
          <w:szCs w:val="24"/>
          <w:lang w:val="en-US"/>
        </w:rPr>
        <w:t xml:space="preserve"> </w:t>
      </w:r>
      <w:r w:rsidRPr="006E2D15">
        <w:rPr>
          <w:rFonts w:ascii="Arial" w:hAnsi="Arial" w:cs="Arial"/>
          <w:i/>
          <w:iCs/>
          <w:sz w:val="24"/>
          <w:szCs w:val="24"/>
          <w:lang w:val="en-US"/>
        </w:rPr>
        <w:t>et al</w:t>
      </w:r>
      <w:r w:rsidRPr="006E2D15">
        <w:rPr>
          <w:rFonts w:ascii="Arial" w:hAnsi="Arial" w:cs="Arial"/>
          <w:sz w:val="24"/>
          <w:szCs w:val="24"/>
          <w:lang w:val="en-US"/>
        </w:rPr>
        <w:t>., 2018). The optimization of performance and professional standards is key to the social contract and organizational function must be fit for purpose to protect both those who serve and those who use public services (Burke, 2017; Institute for Government, 2019</w:t>
      </w:r>
      <w:bookmarkStart w:id="8" w:name="_Hlk93872267"/>
      <w:r w:rsidRPr="006E2D15">
        <w:rPr>
          <w:rFonts w:ascii="Arial" w:hAnsi="Arial" w:cs="Arial"/>
          <w:sz w:val="24"/>
          <w:szCs w:val="24"/>
          <w:lang w:val="en-US"/>
        </w:rPr>
        <w:t>; El-</w:t>
      </w:r>
      <w:proofErr w:type="spellStart"/>
      <w:r w:rsidRPr="006E2D15">
        <w:rPr>
          <w:rFonts w:ascii="Arial" w:hAnsi="Arial" w:cs="Arial"/>
          <w:sz w:val="24"/>
          <w:szCs w:val="24"/>
          <w:lang w:val="en-US"/>
        </w:rPr>
        <w:t>Galayini</w:t>
      </w:r>
      <w:proofErr w:type="spellEnd"/>
      <w:r w:rsidRPr="006E2D15">
        <w:rPr>
          <w:rFonts w:ascii="Arial" w:hAnsi="Arial" w:cs="Arial"/>
          <w:sz w:val="24"/>
          <w:szCs w:val="24"/>
          <w:lang w:val="en-US"/>
        </w:rPr>
        <w:t>, 2017</w:t>
      </w:r>
      <w:bookmarkEnd w:id="8"/>
      <w:r w:rsidRPr="006E2D15">
        <w:rPr>
          <w:rFonts w:ascii="Arial" w:hAnsi="Arial" w:cs="Arial"/>
          <w:sz w:val="24"/>
          <w:szCs w:val="24"/>
          <w:lang w:val="en-US"/>
        </w:rPr>
        <w:t xml:space="preserve">; </w:t>
      </w:r>
      <w:bookmarkStart w:id="9" w:name="_Hlk93872391"/>
      <w:r w:rsidRPr="006E2D15">
        <w:rPr>
          <w:rFonts w:ascii="Arial" w:hAnsi="Arial" w:cs="Arial"/>
          <w:sz w:val="24"/>
          <w:szCs w:val="24"/>
          <w:lang w:val="en-US"/>
        </w:rPr>
        <w:t xml:space="preserve">Coffey </w:t>
      </w:r>
      <w:r w:rsidRPr="006E2D15">
        <w:rPr>
          <w:rFonts w:ascii="Arial" w:hAnsi="Arial" w:cs="Arial"/>
          <w:i/>
          <w:iCs/>
          <w:sz w:val="24"/>
          <w:szCs w:val="24"/>
          <w:lang w:val="en-US"/>
        </w:rPr>
        <w:t>et al</w:t>
      </w:r>
      <w:r w:rsidRPr="006E2D15">
        <w:rPr>
          <w:rFonts w:ascii="Arial" w:hAnsi="Arial" w:cs="Arial"/>
          <w:sz w:val="24"/>
          <w:szCs w:val="24"/>
          <w:lang w:val="en-US"/>
        </w:rPr>
        <w:t xml:space="preserve">., 2004; </w:t>
      </w:r>
      <w:bookmarkEnd w:id="9"/>
      <w:r w:rsidRPr="006E2D15">
        <w:rPr>
          <w:rFonts w:ascii="Arial" w:hAnsi="Arial" w:cs="Arial"/>
          <w:sz w:val="24"/>
          <w:szCs w:val="24"/>
          <w:lang w:val="en-US"/>
        </w:rPr>
        <w:t>COP, 2017). This also supports public trust and confidence in the police (</w:t>
      </w:r>
      <w:proofErr w:type="spellStart"/>
      <w:r w:rsidRPr="006E2D15">
        <w:rPr>
          <w:rFonts w:ascii="Arial" w:hAnsi="Arial" w:cs="Arial"/>
          <w:sz w:val="24"/>
          <w:szCs w:val="24"/>
          <w:lang w:val="en-US"/>
        </w:rPr>
        <w:t>Romosiou</w:t>
      </w:r>
      <w:proofErr w:type="spellEnd"/>
      <w:r w:rsidRPr="006E2D15">
        <w:rPr>
          <w:rFonts w:ascii="Arial" w:hAnsi="Arial" w:cs="Arial"/>
          <w:sz w:val="24"/>
          <w:szCs w:val="24"/>
          <w:lang w:val="en-US"/>
        </w:rPr>
        <w:t xml:space="preserve">, </w:t>
      </w:r>
      <w:proofErr w:type="spellStart"/>
      <w:r w:rsidRPr="006E2D15">
        <w:rPr>
          <w:rFonts w:ascii="Arial" w:hAnsi="Arial" w:cs="Arial"/>
          <w:sz w:val="24"/>
          <w:szCs w:val="24"/>
          <w:lang w:val="en-US"/>
        </w:rPr>
        <w:t>Brouzos</w:t>
      </w:r>
      <w:proofErr w:type="spellEnd"/>
      <w:r w:rsidRPr="006E2D15">
        <w:rPr>
          <w:rFonts w:ascii="Arial" w:hAnsi="Arial" w:cs="Arial"/>
          <w:sz w:val="24"/>
          <w:szCs w:val="24"/>
          <w:lang w:val="en-US"/>
        </w:rPr>
        <w:t xml:space="preserve"> and Vassilopoulos, 2018; COP, 2018). Economic consequences also affect the public, </w:t>
      </w:r>
      <w:proofErr w:type="gramStart"/>
      <w:r w:rsidRPr="006E2D15">
        <w:rPr>
          <w:rFonts w:ascii="Arial" w:hAnsi="Arial" w:cs="Arial"/>
          <w:sz w:val="24"/>
          <w:szCs w:val="24"/>
          <w:lang w:val="en-US"/>
        </w:rPr>
        <w:t>through the use of</w:t>
      </w:r>
      <w:proofErr w:type="gramEnd"/>
      <w:r w:rsidRPr="006E2D15">
        <w:rPr>
          <w:rFonts w:ascii="Arial" w:hAnsi="Arial" w:cs="Arial"/>
          <w:sz w:val="24"/>
          <w:szCs w:val="24"/>
          <w:lang w:val="en-US"/>
        </w:rPr>
        <w:t xml:space="preserve"> public funds. Studies in the field have continued to show how, for instance, UK officers on long-term sick leave for mental health reasons has increased steadily in recent years, creating an additional burden on the public purse (Home Office, 2021; Institute for Government, 2019; Police Treatment </w:t>
      </w:r>
      <w:proofErr w:type="spellStart"/>
      <w:r w:rsidRPr="006E2D15">
        <w:rPr>
          <w:rFonts w:ascii="Arial" w:hAnsi="Arial" w:cs="Arial"/>
          <w:sz w:val="24"/>
          <w:szCs w:val="24"/>
          <w:lang w:val="en-US"/>
        </w:rPr>
        <w:t>Centres</w:t>
      </w:r>
      <w:proofErr w:type="spellEnd"/>
      <w:r w:rsidRPr="006E2D15">
        <w:rPr>
          <w:rFonts w:ascii="Arial" w:hAnsi="Arial" w:cs="Arial"/>
          <w:sz w:val="24"/>
          <w:szCs w:val="24"/>
          <w:lang w:val="en-US"/>
        </w:rPr>
        <w:t>, 2020, Oscar Kilo, 2020).</w:t>
      </w:r>
    </w:p>
    <w:p w14:paraId="7971021F" w14:textId="77777777" w:rsidR="006E2D15" w:rsidRPr="006E2D15" w:rsidRDefault="006E2D15" w:rsidP="006E2D15">
      <w:pPr>
        <w:spacing w:line="360" w:lineRule="auto"/>
        <w:rPr>
          <w:rFonts w:ascii="Arial" w:hAnsi="Arial" w:cs="Arial"/>
          <w:sz w:val="24"/>
          <w:szCs w:val="24"/>
          <w:lang w:val="en-US"/>
        </w:rPr>
      </w:pPr>
    </w:p>
    <w:p w14:paraId="54B0302F" w14:textId="77777777" w:rsidR="006E2D15" w:rsidRPr="006E2D15" w:rsidRDefault="006E2D15" w:rsidP="006E2D15">
      <w:pPr>
        <w:spacing w:line="360" w:lineRule="auto"/>
        <w:rPr>
          <w:rFonts w:ascii="Arial" w:hAnsi="Arial" w:cs="Arial"/>
          <w:b/>
          <w:bCs/>
          <w:sz w:val="24"/>
          <w:szCs w:val="24"/>
          <w:u w:val="single"/>
          <w:lang w:val="en-US"/>
        </w:rPr>
      </w:pPr>
      <w:r w:rsidRPr="006E2D15">
        <w:rPr>
          <w:rFonts w:ascii="Arial" w:hAnsi="Arial" w:cs="Arial"/>
          <w:b/>
          <w:bCs/>
          <w:sz w:val="24"/>
          <w:szCs w:val="24"/>
          <w:u w:val="single"/>
          <w:lang w:val="en-US"/>
        </w:rPr>
        <w:t>Measuring and Improving Police Officers’ Mental Health and Wellbeing</w:t>
      </w:r>
    </w:p>
    <w:p w14:paraId="06356181" w14:textId="77777777" w:rsidR="006E2D15" w:rsidRPr="006E2D15" w:rsidRDefault="006E2D15" w:rsidP="006E2D15">
      <w:pPr>
        <w:spacing w:line="360" w:lineRule="auto"/>
        <w:rPr>
          <w:rFonts w:ascii="Arial" w:hAnsi="Arial" w:cs="Arial"/>
          <w:b/>
          <w:bCs/>
          <w:sz w:val="24"/>
          <w:szCs w:val="24"/>
          <w:lang w:val="en-US"/>
        </w:rPr>
      </w:pPr>
      <w:r w:rsidRPr="006E2D15">
        <w:rPr>
          <w:rFonts w:ascii="Arial" w:hAnsi="Arial" w:cs="Arial"/>
          <w:b/>
          <w:bCs/>
          <w:sz w:val="24"/>
          <w:szCs w:val="24"/>
          <w:lang w:val="en-US"/>
        </w:rPr>
        <w:t>Intervention models</w:t>
      </w:r>
    </w:p>
    <w:p w14:paraId="6030783B"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Analysis of the literature demonstrates that methods of defining the nature of stressors can be helpful in leading to approaches for identifying interventions to mitigate against occupational stress in policing. Frameworks can rely on an identification of stressors as being intrinsic or extraneous to the key role of policing, </w:t>
      </w:r>
      <w:r w:rsidRPr="006E2D15">
        <w:rPr>
          <w:rFonts w:ascii="Arial" w:hAnsi="Arial" w:cs="Arial"/>
          <w:sz w:val="24"/>
          <w:szCs w:val="24"/>
          <w:lang w:val="en-US"/>
        </w:rPr>
        <w:lastRenderedPageBreak/>
        <w:t>which in turn may determine whether suitable interventions involve the mitigation and management of stress and its effects or the reduction of avoidable stressors themselves (</w:t>
      </w:r>
      <w:bookmarkStart w:id="10" w:name="_Hlk93873014"/>
      <w:r w:rsidRPr="006E2D15">
        <w:rPr>
          <w:rFonts w:ascii="Arial" w:hAnsi="Arial" w:cs="Arial"/>
          <w:sz w:val="24"/>
          <w:szCs w:val="24"/>
          <w:lang w:val="en-US"/>
        </w:rPr>
        <w:t xml:space="preserve">Pottier et al., 2015). </w:t>
      </w:r>
      <w:bookmarkEnd w:id="10"/>
      <w:r w:rsidRPr="006E2D15">
        <w:rPr>
          <w:rFonts w:ascii="Arial" w:hAnsi="Arial" w:cs="Arial"/>
          <w:sz w:val="24"/>
          <w:szCs w:val="24"/>
          <w:lang w:val="en-US"/>
        </w:rPr>
        <w:t xml:space="preserve">This insight is particularly significant because the nature of policing means that certain stressors are accepted as part of the job which would be considered unacceptable in other occupations, and so a specific approach may be needed. </w:t>
      </w:r>
      <w:r w:rsidRPr="006E2D15">
        <w:rPr>
          <w:rFonts w:ascii="Arial" w:hAnsi="Arial" w:cs="Arial"/>
          <w:sz w:val="24"/>
          <w:szCs w:val="24"/>
        </w:rPr>
        <w:t xml:space="preserve">For instance, a recent survey found a trauma exposure rate of 90% (Police Care UK, 2018). </w:t>
      </w:r>
      <w:proofErr w:type="gramStart"/>
      <w:r w:rsidRPr="006E2D15">
        <w:rPr>
          <w:rFonts w:ascii="Arial" w:hAnsi="Arial" w:cs="Arial"/>
          <w:sz w:val="24"/>
          <w:szCs w:val="24"/>
        </w:rPr>
        <w:t>It is clear that the</w:t>
      </w:r>
      <w:proofErr w:type="gramEnd"/>
      <w:r w:rsidRPr="006E2D15">
        <w:rPr>
          <w:rFonts w:ascii="Arial" w:hAnsi="Arial" w:cs="Arial"/>
          <w:sz w:val="24"/>
          <w:szCs w:val="24"/>
        </w:rPr>
        <w:t xml:space="preserve"> demanding and public-service nature of the role makes occupational stresses more prevalent while also making it essential that police officers deal with these stresses in efficient and performance enhancing ways (</w:t>
      </w:r>
      <w:proofErr w:type="spellStart"/>
      <w:r w:rsidRPr="006E2D15">
        <w:rPr>
          <w:rFonts w:ascii="Arial" w:hAnsi="Arial" w:cs="Arial"/>
          <w:sz w:val="24"/>
          <w:szCs w:val="24"/>
          <w:lang w:val="en-US"/>
        </w:rPr>
        <w:t>Romosiou</w:t>
      </w:r>
      <w:proofErr w:type="spellEnd"/>
      <w:r w:rsidRPr="006E2D15">
        <w:rPr>
          <w:rFonts w:ascii="Arial" w:hAnsi="Arial" w:cs="Arial"/>
          <w:sz w:val="24"/>
          <w:szCs w:val="24"/>
          <w:lang w:val="en-US"/>
        </w:rPr>
        <w:t xml:space="preserve">, </w:t>
      </w:r>
      <w:proofErr w:type="spellStart"/>
      <w:r w:rsidRPr="006E2D15">
        <w:rPr>
          <w:rFonts w:ascii="Arial" w:hAnsi="Arial" w:cs="Arial"/>
          <w:sz w:val="24"/>
          <w:szCs w:val="24"/>
          <w:lang w:val="en-US"/>
        </w:rPr>
        <w:t>Brouzos</w:t>
      </w:r>
      <w:proofErr w:type="spellEnd"/>
      <w:r w:rsidRPr="006E2D15">
        <w:rPr>
          <w:rFonts w:ascii="Arial" w:hAnsi="Arial" w:cs="Arial"/>
          <w:sz w:val="24"/>
          <w:szCs w:val="24"/>
          <w:lang w:val="en-US"/>
        </w:rPr>
        <w:t xml:space="preserve"> and Vassilopoulos, 2018; Burnett, Sheard and St-Clair-Thompson, 2019; Burke and Shakespeare-Finch, 2011).</w:t>
      </w:r>
    </w:p>
    <w:p w14:paraId="3E81563C" w14:textId="77777777" w:rsidR="006E2D15" w:rsidRPr="006E2D15" w:rsidRDefault="006E2D15" w:rsidP="006E2D15">
      <w:pPr>
        <w:spacing w:line="360" w:lineRule="auto"/>
        <w:rPr>
          <w:rFonts w:ascii="Arial" w:hAnsi="Arial" w:cs="Arial"/>
          <w:sz w:val="24"/>
          <w:szCs w:val="24"/>
          <w:lang w:val="en-US"/>
        </w:rPr>
      </w:pPr>
    </w:p>
    <w:p w14:paraId="02D61DBB"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Models of intervention are of particular significance within the scope of this dissertation which seeks to “create a strategic and practical model for improved standards and performance in SWP through mitigation of negative occupational stressors and/or their impacts”. Possible interventions are </w:t>
      </w:r>
      <w:proofErr w:type="gramStart"/>
      <w:r w:rsidRPr="006E2D15">
        <w:rPr>
          <w:rFonts w:ascii="Arial" w:hAnsi="Arial" w:cs="Arial"/>
          <w:sz w:val="24"/>
          <w:szCs w:val="24"/>
          <w:lang w:val="en-US"/>
        </w:rPr>
        <w:t>various</w:t>
      </w:r>
      <w:proofErr w:type="gramEnd"/>
      <w:r w:rsidRPr="006E2D15">
        <w:rPr>
          <w:rFonts w:ascii="Arial" w:hAnsi="Arial" w:cs="Arial"/>
          <w:sz w:val="24"/>
          <w:szCs w:val="24"/>
          <w:lang w:val="en-US"/>
        </w:rPr>
        <w:t xml:space="preserve"> and the literature reflects this. Studies have also found it useful to divide intervention tools into the individual and organizational, </w:t>
      </w:r>
      <w:proofErr w:type="spellStart"/>
      <w:r w:rsidRPr="006E2D15">
        <w:rPr>
          <w:rFonts w:ascii="Arial" w:hAnsi="Arial" w:cs="Arial"/>
          <w:sz w:val="24"/>
          <w:szCs w:val="24"/>
          <w:lang w:val="en-US"/>
        </w:rPr>
        <w:t>i.e</w:t>
      </w:r>
      <w:proofErr w:type="spellEnd"/>
      <w:r w:rsidRPr="006E2D15">
        <w:rPr>
          <w:rFonts w:ascii="Arial" w:hAnsi="Arial" w:cs="Arial"/>
          <w:sz w:val="24"/>
          <w:szCs w:val="24"/>
          <w:lang w:val="en-US"/>
        </w:rPr>
        <w:t xml:space="preserve"> those which function at a role/task/job level and those which function at a policy/management/structure level (Murphy and Sauter, 2004;</w:t>
      </w:r>
      <w:bookmarkStart w:id="11" w:name="_Hlk93873456"/>
      <w:r w:rsidRPr="006E2D15">
        <w:rPr>
          <w:rFonts w:ascii="Arial" w:hAnsi="Arial" w:cs="Arial"/>
          <w:sz w:val="24"/>
          <w:szCs w:val="24"/>
          <w:lang w:val="en-US"/>
        </w:rPr>
        <w:t xml:space="preserve"> </w:t>
      </w:r>
      <w:proofErr w:type="spellStart"/>
      <w:r w:rsidRPr="006E2D15">
        <w:rPr>
          <w:rFonts w:ascii="Arial" w:hAnsi="Arial" w:cs="Arial"/>
          <w:sz w:val="24"/>
          <w:szCs w:val="24"/>
          <w:lang w:val="en-US"/>
        </w:rPr>
        <w:t>Hakik</w:t>
      </w:r>
      <w:proofErr w:type="spellEnd"/>
      <w:r w:rsidRPr="006E2D15">
        <w:rPr>
          <w:rFonts w:ascii="Arial" w:hAnsi="Arial" w:cs="Arial"/>
          <w:sz w:val="24"/>
          <w:szCs w:val="24"/>
          <w:lang w:val="en-US"/>
        </w:rPr>
        <w:t xml:space="preserve"> and Langlois, 2020 </w:t>
      </w:r>
      <w:bookmarkEnd w:id="11"/>
      <w:proofErr w:type="spellStart"/>
      <w:r w:rsidRPr="006E2D15">
        <w:rPr>
          <w:rFonts w:ascii="Arial" w:hAnsi="Arial" w:cs="Arial"/>
          <w:sz w:val="24"/>
          <w:szCs w:val="24"/>
          <w:lang w:val="en-US"/>
        </w:rPr>
        <w:t>Civilotti</w:t>
      </w:r>
      <w:proofErr w:type="spellEnd"/>
      <w:r w:rsidRPr="006E2D15">
        <w:rPr>
          <w:rFonts w:ascii="Arial" w:hAnsi="Arial" w:cs="Arial"/>
          <w:sz w:val="24"/>
          <w:szCs w:val="24"/>
          <w:lang w:val="en-US"/>
        </w:rPr>
        <w:t xml:space="preserve">, Di </w:t>
      </w:r>
      <w:proofErr w:type="spellStart"/>
      <w:r w:rsidRPr="006E2D15">
        <w:rPr>
          <w:rFonts w:ascii="Arial" w:hAnsi="Arial" w:cs="Arial"/>
          <w:sz w:val="24"/>
          <w:szCs w:val="24"/>
          <w:lang w:val="en-US"/>
        </w:rPr>
        <w:t>Fini</w:t>
      </w:r>
      <w:proofErr w:type="spellEnd"/>
      <w:r w:rsidRPr="006E2D15">
        <w:rPr>
          <w:rFonts w:ascii="Arial" w:hAnsi="Arial" w:cs="Arial"/>
          <w:sz w:val="24"/>
          <w:szCs w:val="24"/>
          <w:lang w:val="en-US"/>
        </w:rPr>
        <w:t xml:space="preserve"> and Maran, 2021; Biron, </w:t>
      </w:r>
      <w:proofErr w:type="spellStart"/>
      <w:r w:rsidRPr="006E2D15">
        <w:rPr>
          <w:rFonts w:ascii="Arial" w:hAnsi="Arial" w:cs="Arial"/>
          <w:sz w:val="24"/>
          <w:szCs w:val="24"/>
          <w:lang w:val="en-US"/>
        </w:rPr>
        <w:t>Karanika</w:t>
      </w:r>
      <w:proofErr w:type="spellEnd"/>
      <w:r w:rsidRPr="006E2D15">
        <w:rPr>
          <w:rFonts w:ascii="Arial" w:hAnsi="Arial" w:cs="Arial"/>
          <w:sz w:val="24"/>
          <w:szCs w:val="24"/>
          <w:lang w:val="en-US"/>
        </w:rPr>
        <w:t xml:space="preserve">-Murray and Cooper, 2012; Brough, </w:t>
      </w:r>
      <w:proofErr w:type="spellStart"/>
      <w:r w:rsidRPr="006E2D15">
        <w:rPr>
          <w:rFonts w:ascii="Arial" w:hAnsi="Arial" w:cs="Arial"/>
          <w:sz w:val="24"/>
          <w:szCs w:val="24"/>
          <w:lang w:val="en-US"/>
        </w:rPr>
        <w:t>Raper</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Spedding</w:t>
      </w:r>
      <w:proofErr w:type="spellEnd"/>
      <w:r w:rsidRPr="006E2D15">
        <w:rPr>
          <w:rFonts w:ascii="Arial" w:hAnsi="Arial" w:cs="Arial"/>
          <w:sz w:val="24"/>
          <w:szCs w:val="24"/>
          <w:lang w:val="en-US"/>
        </w:rPr>
        <w:t>, 2021).  Actions surveyed across the literature can also be divided into proactive interventions and reactive interventions.</w:t>
      </w:r>
    </w:p>
    <w:p w14:paraId="38B33A30" w14:textId="77777777" w:rsidR="006E2D15" w:rsidRDefault="006E2D15" w:rsidP="006E2D15">
      <w:pPr>
        <w:spacing w:line="360" w:lineRule="auto"/>
        <w:rPr>
          <w:rFonts w:ascii="Arial" w:hAnsi="Arial" w:cs="Arial"/>
          <w:sz w:val="24"/>
          <w:szCs w:val="24"/>
          <w:lang w:val="en-US"/>
        </w:rPr>
      </w:pPr>
    </w:p>
    <w:p w14:paraId="77368D0C" w14:textId="1B9EDDE4" w:rsidR="006E2D15" w:rsidRPr="006E2D15" w:rsidRDefault="006E2D15" w:rsidP="006E2D15">
      <w:pPr>
        <w:spacing w:line="360" w:lineRule="auto"/>
        <w:rPr>
          <w:rFonts w:ascii="Arial" w:hAnsi="Arial" w:cs="Arial"/>
          <w:i/>
          <w:iCs/>
          <w:sz w:val="24"/>
          <w:szCs w:val="24"/>
          <w:lang w:val="en-US"/>
        </w:rPr>
      </w:pPr>
      <w:r w:rsidRPr="006E2D15">
        <w:rPr>
          <w:rFonts w:ascii="Arial" w:hAnsi="Arial" w:cs="Arial"/>
          <w:i/>
          <w:iCs/>
          <w:sz w:val="24"/>
          <w:szCs w:val="24"/>
          <w:lang w:val="en-US"/>
        </w:rPr>
        <w:t>Proactive interventions</w:t>
      </w:r>
    </w:p>
    <w:p w14:paraId="30FDE1FF"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Proactive interventions demonstrated in the literature are those which seek to prevent or reduce occupational stress (</w:t>
      </w:r>
      <w:proofErr w:type="spellStart"/>
      <w:r w:rsidRPr="006E2D15">
        <w:rPr>
          <w:rFonts w:ascii="Arial" w:hAnsi="Arial" w:cs="Arial"/>
          <w:sz w:val="24"/>
          <w:szCs w:val="24"/>
          <w:lang w:val="en-US"/>
        </w:rPr>
        <w:t>Hakik</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Lanlois</w:t>
      </w:r>
      <w:proofErr w:type="spellEnd"/>
      <w:r w:rsidRPr="006E2D15">
        <w:rPr>
          <w:rFonts w:ascii="Arial" w:hAnsi="Arial" w:cs="Arial"/>
          <w:sz w:val="24"/>
          <w:szCs w:val="24"/>
          <w:lang w:val="en-US"/>
        </w:rPr>
        <w:t xml:space="preserve">, 2020; </w:t>
      </w:r>
      <w:proofErr w:type="spellStart"/>
      <w:r w:rsidRPr="006E2D15">
        <w:rPr>
          <w:rFonts w:ascii="Arial" w:hAnsi="Arial" w:cs="Arial"/>
          <w:sz w:val="24"/>
          <w:szCs w:val="24"/>
          <w:lang w:val="en-US"/>
        </w:rPr>
        <w:t>Romosiou</w:t>
      </w:r>
      <w:proofErr w:type="spellEnd"/>
      <w:r w:rsidRPr="006E2D15">
        <w:rPr>
          <w:rFonts w:ascii="Arial" w:hAnsi="Arial" w:cs="Arial"/>
          <w:sz w:val="24"/>
          <w:szCs w:val="24"/>
          <w:lang w:val="en-US"/>
        </w:rPr>
        <w:t xml:space="preserve">, </w:t>
      </w:r>
      <w:proofErr w:type="spellStart"/>
      <w:r w:rsidRPr="006E2D15">
        <w:rPr>
          <w:rFonts w:ascii="Arial" w:hAnsi="Arial" w:cs="Arial"/>
          <w:sz w:val="24"/>
          <w:szCs w:val="24"/>
          <w:lang w:val="en-US"/>
        </w:rPr>
        <w:t>Brouzos</w:t>
      </w:r>
      <w:proofErr w:type="spellEnd"/>
      <w:r w:rsidRPr="006E2D15">
        <w:rPr>
          <w:rFonts w:ascii="Arial" w:hAnsi="Arial" w:cs="Arial"/>
          <w:sz w:val="24"/>
          <w:szCs w:val="24"/>
          <w:lang w:val="en-US"/>
        </w:rPr>
        <w:t xml:space="preserve"> and Vassilopoulos, 2018; Burnett, Sheard and St-Clair-Thompson, 2019). In general, the literature considers these proactive interventions to be preferable in that they prevent the negative consequences of stress and can stop stress from becoming a bigger problem. However, they rely on accurate design and implementations to be </w:t>
      </w:r>
      <w:r w:rsidRPr="006E2D15">
        <w:rPr>
          <w:rFonts w:ascii="Arial" w:hAnsi="Arial" w:cs="Arial"/>
          <w:sz w:val="24"/>
          <w:szCs w:val="24"/>
          <w:lang w:val="en-US"/>
        </w:rPr>
        <w:lastRenderedPageBreak/>
        <w:t xml:space="preserve">effective and can rely on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culture and resourcing (Biron, </w:t>
      </w:r>
      <w:proofErr w:type="spellStart"/>
      <w:r w:rsidRPr="006E2D15">
        <w:rPr>
          <w:rFonts w:ascii="Arial" w:hAnsi="Arial" w:cs="Arial"/>
          <w:sz w:val="24"/>
          <w:szCs w:val="24"/>
          <w:lang w:val="en-US"/>
        </w:rPr>
        <w:t>Karanika</w:t>
      </w:r>
      <w:proofErr w:type="spellEnd"/>
      <w:r w:rsidRPr="006E2D15">
        <w:rPr>
          <w:rFonts w:ascii="Arial" w:hAnsi="Arial" w:cs="Arial"/>
          <w:sz w:val="24"/>
          <w:szCs w:val="24"/>
          <w:lang w:val="en-US"/>
        </w:rPr>
        <w:t xml:space="preserve">-Murray and Cooper, 2012; Brough, </w:t>
      </w:r>
      <w:proofErr w:type="spellStart"/>
      <w:r w:rsidRPr="006E2D15">
        <w:rPr>
          <w:rFonts w:ascii="Arial" w:hAnsi="Arial" w:cs="Arial"/>
          <w:sz w:val="24"/>
          <w:szCs w:val="24"/>
          <w:lang w:val="en-US"/>
        </w:rPr>
        <w:t>Raper</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Spedding</w:t>
      </w:r>
      <w:proofErr w:type="spellEnd"/>
      <w:r w:rsidRPr="006E2D15">
        <w:rPr>
          <w:rFonts w:ascii="Arial" w:hAnsi="Arial" w:cs="Arial"/>
          <w:sz w:val="24"/>
          <w:szCs w:val="24"/>
          <w:lang w:val="en-US"/>
        </w:rPr>
        <w:t>, 2021).</w:t>
      </w:r>
    </w:p>
    <w:p w14:paraId="16D3C71D" w14:textId="77777777" w:rsidR="006E2D15" w:rsidRPr="006E2D15" w:rsidRDefault="006E2D15" w:rsidP="006E2D15">
      <w:pPr>
        <w:spacing w:line="360" w:lineRule="auto"/>
        <w:rPr>
          <w:rFonts w:ascii="Arial" w:hAnsi="Arial" w:cs="Arial"/>
          <w:sz w:val="24"/>
          <w:szCs w:val="24"/>
          <w:lang w:val="en-US"/>
        </w:rPr>
      </w:pPr>
    </w:p>
    <w:p w14:paraId="558A54FD" w14:textId="77777777" w:rsidR="006E2D15" w:rsidRPr="006E2D15" w:rsidRDefault="006E2D15" w:rsidP="006E2D15">
      <w:pPr>
        <w:numPr>
          <w:ilvl w:val="0"/>
          <w:numId w:val="1"/>
        </w:numPr>
        <w:spacing w:line="360" w:lineRule="auto"/>
        <w:rPr>
          <w:rFonts w:ascii="Arial" w:hAnsi="Arial" w:cs="Arial"/>
          <w:sz w:val="24"/>
          <w:szCs w:val="24"/>
          <w:lang w:val="en-US"/>
        </w:rPr>
      </w:pPr>
      <w:r w:rsidRPr="006E2D15">
        <w:rPr>
          <w:rFonts w:ascii="Arial" w:hAnsi="Arial" w:cs="Arial"/>
          <w:sz w:val="24"/>
          <w:szCs w:val="24"/>
          <w:lang w:val="en-US"/>
        </w:rPr>
        <w:t>Work design (</w:t>
      </w:r>
      <w:proofErr w:type="spellStart"/>
      <w:r w:rsidRPr="006E2D15">
        <w:rPr>
          <w:rFonts w:ascii="Arial" w:hAnsi="Arial" w:cs="Arial"/>
          <w:sz w:val="24"/>
          <w:szCs w:val="24"/>
          <w:lang w:val="en-US"/>
        </w:rPr>
        <w:t>Acquadro</w:t>
      </w:r>
      <w:proofErr w:type="spellEnd"/>
      <w:r w:rsidRPr="006E2D15">
        <w:rPr>
          <w:rFonts w:ascii="Arial" w:hAnsi="Arial" w:cs="Arial"/>
          <w:sz w:val="24"/>
          <w:szCs w:val="24"/>
          <w:lang w:val="en-US"/>
        </w:rPr>
        <w:t xml:space="preserve"> et al., 2015; Burnett, Sheard and St-Clair-Thompson, 2019), </w:t>
      </w:r>
    </w:p>
    <w:p w14:paraId="36EB4341" w14:textId="77777777" w:rsidR="006E2D15" w:rsidRPr="006E2D15" w:rsidRDefault="006E2D15" w:rsidP="006E2D15">
      <w:pPr>
        <w:numPr>
          <w:ilvl w:val="0"/>
          <w:numId w:val="1"/>
        </w:numPr>
        <w:spacing w:line="360" w:lineRule="auto"/>
        <w:rPr>
          <w:rFonts w:ascii="Arial" w:hAnsi="Arial" w:cs="Arial"/>
          <w:sz w:val="24"/>
          <w:szCs w:val="24"/>
          <w:lang w:val="en-US"/>
        </w:rPr>
      </w:pPr>
      <w:r w:rsidRPr="006E2D15">
        <w:rPr>
          <w:rFonts w:ascii="Arial" w:hAnsi="Arial" w:cs="Arial"/>
          <w:sz w:val="24"/>
          <w:szCs w:val="24"/>
          <w:lang w:val="en-US"/>
        </w:rPr>
        <w:t>Mentorship (</w:t>
      </w:r>
      <w:proofErr w:type="spellStart"/>
      <w:r w:rsidRPr="006E2D15">
        <w:rPr>
          <w:rFonts w:ascii="Arial" w:hAnsi="Arial" w:cs="Arial"/>
          <w:sz w:val="24"/>
          <w:szCs w:val="24"/>
          <w:lang w:val="en-US"/>
        </w:rPr>
        <w:t>Hesketh</w:t>
      </w:r>
      <w:proofErr w:type="spellEnd"/>
      <w:r w:rsidRPr="006E2D15">
        <w:rPr>
          <w:rFonts w:ascii="Arial" w:hAnsi="Arial" w:cs="Arial"/>
          <w:sz w:val="24"/>
          <w:szCs w:val="24"/>
          <w:lang w:val="en-US"/>
        </w:rPr>
        <w:t xml:space="preserve"> and Cooper, 2017; </w:t>
      </w:r>
      <w:proofErr w:type="spellStart"/>
      <w:r w:rsidRPr="006E2D15">
        <w:rPr>
          <w:rFonts w:ascii="Arial" w:hAnsi="Arial" w:cs="Arial"/>
          <w:sz w:val="24"/>
          <w:szCs w:val="24"/>
          <w:lang w:val="en-US"/>
        </w:rPr>
        <w:t>Hakik</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Lanlois</w:t>
      </w:r>
      <w:proofErr w:type="spellEnd"/>
      <w:r w:rsidRPr="006E2D15">
        <w:rPr>
          <w:rFonts w:ascii="Arial" w:hAnsi="Arial" w:cs="Arial"/>
          <w:sz w:val="24"/>
          <w:szCs w:val="24"/>
          <w:lang w:val="en-US"/>
        </w:rPr>
        <w:t xml:space="preserve">, 2020; Rodwell, </w:t>
      </w:r>
      <w:proofErr w:type="spellStart"/>
      <w:r w:rsidRPr="006E2D15">
        <w:rPr>
          <w:rFonts w:ascii="Arial" w:hAnsi="Arial" w:cs="Arial"/>
          <w:sz w:val="24"/>
          <w:szCs w:val="24"/>
          <w:lang w:val="en-US"/>
        </w:rPr>
        <w:t>Noblet</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Allisey</w:t>
      </w:r>
      <w:proofErr w:type="spellEnd"/>
      <w:r w:rsidRPr="006E2D15">
        <w:rPr>
          <w:rFonts w:ascii="Arial" w:hAnsi="Arial" w:cs="Arial"/>
          <w:sz w:val="24"/>
          <w:szCs w:val="24"/>
          <w:lang w:val="en-US"/>
        </w:rPr>
        <w:t>, 2011).</w:t>
      </w:r>
    </w:p>
    <w:p w14:paraId="7A7FEA2E" w14:textId="77777777" w:rsidR="006E2D15" w:rsidRPr="006E2D15" w:rsidRDefault="006E2D15" w:rsidP="006E2D15">
      <w:pPr>
        <w:numPr>
          <w:ilvl w:val="0"/>
          <w:numId w:val="1"/>
        </w:numPr>
        <w:spacing w:line="360" w:lineRule="auto"/>
        <w:rPr>
          <w:rFonts w:ascii="Arial" w:hAnsi="Arial" w:cs="Arial"/>
          <w:sz w:val="24"/>
          <w:szCs w:val="24"/>
          <w:lang w:val="en-US"/>
        </w:rPr>
      </w:pPr>
      <w:r w:rsidRPr="006E2D15">
        <w:rPr>
          <w:rFonts w:ascii="Arial" w:hAnsi="Arial" w:cs="Arial"/>
          <w:sz w:val="24"/>
          <w:szCs w:val="24"/>
          <w:lang w:val="en-US"/>
        </w:rPr>
        <w:t>Education (</w:t>
      </w:r>
      <w:proofErr w:type="spellStart"/>
      <w:r w:rsidRPr="006E2D15">
        <w:rPr>
          <w:rFonts w:ascii="Arial" w:hAnsi="Arial" w:cs="Arial"/>
          <w:sz w:val="24"/>
          <w:szCs w:val="24"/>
          <w:lang w:val="en-US"/>
        </w:rPr>
        <w:t>Volanti</w:t>
      </w:r>
      <w:proofErr w:type="spellEnd"/>
      <w:r w:rsidRPr="006E2D15">
        <w:rPr>
          <w:rFonts w:ascii="Arial" w:hAnsi="Arial" w:cs="Arial"/>
          <w:sz w:val="24"/>
          <w:szCs w:val="24"/>
          <w:lang w:val="en-US"/>
        </w:rPr>
        <w:t xml:space="preserve">, 2017; </w:t>
      </w:r>
      <w:proofErr w:type="spellStart"/>
      <w:r w:rsidRPr="006E2D15">
        <w:rPr>
          <w:rFonts w:ascii="Arial" w:hAnsi="Arial" w:cs="Arial"/>
          <w:sz w:val="24"/>
          <w:szCs w:val="24"/>
          <w:lang w:val="en-US"/>
        </w:rPr>
        <w:t>Gyllensten</w:t>
      </w:r>
      <w:proofErr w:type="spellEnd"/>
      <w:r w:rsidRPr="006E2D15">
        <w:rPr>
          <w:rFonts w:ascii="Arial" w:hAnsi="Arial" w:cs="Arial"/>
          <w:sz w:val="24"/>
          <w:szCs w:val="24"/>
          <w:lang w:val="en-US"/>
        </w:rPr>
        <w:t xml:space="preserve"> and Palmer, 2005).</w:t>
      </w:r>
    </w:p>
    <w:p w14:paraId="1847D130" w14:textId="77777777" w:rsidR="006E2D15" w:rsidRPr="006E2D15" w:rsidRDefault="006E2D15" w:rsidP="006E2D15">
      <w:pPr>
        <w:numPr>
          <w:ilvl w:val="0"/>
          <w:numId w:val="1"/>
        </w:numPr>
        <w:spacing w:line="360" w:lineRule="auto"/>
        <w:rPr>
          <w:rFonts w:ascii="Arial" w:hAnsi="Arial" w:cs="Arial"/>
          <w:sz w:val="24"/>
          <w:szCs w:val="24"/>
          <w:lang w:val="en-US"/>
        </w:rPr>
      </w:pPr>
      <w:r w:rsidRPr="006E2D15">
        <w:rPr>
          <w:rFonts w:ascii="Arial" w:hAnsi="Arial" w:cs="Arial"/>
          <w:sz w:val="24"/>
          <w:szCs w:val="24"/>
          <w:lang w:val="en-US"/>
        </w:rPr>
        <w:t>Resilience and stress management (</w:t>
      </w:r>
      <w:r w:rsidRPr="006E2D15">
        <w:rPr>
          <w:rFonts w:ascii="Arial" w:hAnsi="Arial" w:cs="Arial"/>
          <w:sz w:val="24"/>
          <w:szCs w:val="24"/>
        </w:rPr>
        <w:t>Holman, Johnson and O’Connor, 2018; Robertson et al., 2015;</w:t>
      </w:r>
      <w:r w:rsidRPr="006E2D15">
        <w:rPr>
          <w:rFonts w:ascii="Arial" w:hAnsi="Arial" w:cs="Arial"/>
          <w:sz w:val="24"/>
          <w:szCs w:val="24"/>
          <w:lang w:val="en-US"/>
        </w:rPr>
        <w:t xml:space="preserve"> </w:t>
      </w:r>
      <w:proofErr w:type="spellStart"/>
      <w:r w:rsidRPr="006E2D15">
        <w:rPr>
          <w:rFonts w:ascii="Arial" w:hAnsi="Arial" w:cs="Arial"/>
          <w:sz w:val="24"/>
          <w:szCs w:val="24"/>
        </w:rPr>
        <w:t>Gyllensten</w:t>
      </w:r>
      <w:proofErr w:type="spellEnd"/>
      <w:r w:rsidRPr="006E2D15">
        <w:rPr>
          <w:rFonts w:ascii="Arial" w:hAnsi="Arial" w:cs="Arial"/>
          <w:sz w:val="24"/>
          <w:szCs w:val="24"/>
        </w:rPr>
        <w:t xml:space="preserve"> and Palmer, 2005; </w:t>
      </w:r>
      <w:proofErr w:type="spellStart"/>
      <w:r w:rsidRPr="006E2D15">
        <w:rPr>
          <w:rFonts w:ascii="Arial" w:hAnsi="Arial" w:cs="Arial"/>
          <w:sz w:val="24"/>
          <w:szCs w:val="24"/>
          <w:lang w:val="en-US"/>
        </w:rPr>
        <w:t>Romosiou</w:t>
      </w:r>
      <w:proofErr w:type="spellEnd"/>
      <w:r w:rsidRPr="006E2D15">
        <w:rPr>
          <w:rFonts w:ascii="Arial" w:hAnsi="Arial" w:cs="Arial"/>
          <w:sz w:val="24"/>
          <w:szCs w:val="24"/>
          <w:lang w:val="en-US"/>
        </w:rPr>
        <w:t xml:space="preserve">, </w:t>
      </w:r>
      <w:proofErr w:type="spellStart"/>
      <w:r w:rsidRPr="006E2D15">
        <w:rPr>
          <w:rFonts w:ascii="Arial" w:hAnsi="Arial" w:cs="Arial"/>
          <w:sz w:val="24"/>
          <w:szCs w:val="24"/>
          <w:lang w:val="en-US"/>
        </w:rPr>
        <w:t>Brouzos</w:t>
      </w:r>
      <w:proofErr w:type="spellEnd"/>
      <w:r w:rsidRPr="006E2D15">
        <w:rPr>
          <w:rFonts w:ascii="Arial" w:hAnsi="Arial" w:cs="Arial"/>
          <w:sz w:val="24"/>
          <w:szCs w:val="24"/>
          <w:lang w:val="en-US"/>
        </w:rPr>
        <w:t xml:space="preserve"> and Vassilopoulos, 2018</w:t>
      </w:r>
      <w:proofErr w:type="gramStart"/>
      <w:r w:rsidRPr="006E2D15">
        <w:rPr>
          <w:rFonts w:ascii="Arial" w:hAnsi="Arial" w:cs="Arial"/>
          <w:sz w:val="24"/>
          <w:szCs w:val="24"/>
          <w:lang w:val="en-US"/>
        </w:rPr>
        <w:t>);</w:t>
      </w:r>
      <w:proofErr w:type="gramEnd"/>
      <w:r w:rsidRPr="006E2D15">
        <w:rPr>
          <w:rFonts w:ascii="Arial" w:hAnsi="Arial" w:cs="Arial"/>
          <w:sz w:val="24"/>
          <w:szCs w:val="24"/>
          <w:lang w:val="en-US"/>
        </w:rPr>
        <w:t> </w:t>
      </w:r>
    </w:p>
    <w:p w14:paraId="1630D643" w14:textId="77777777" w:rsidR="006E2D15" w:rsidRPr="006E2D15" w:rsidRDefault="006E2D15" w:rsidP="006E2D15">
      <w:pPr>
        <w:numPr>
          <w:ilvl w:val="0"/>
          <w:numId w:val="1"/>
        </w:numPr>
        <w:spacing w:line="360" w:lineRule="auto"/>
        <w:rPr>
          <w:rFonts w:ascii="Arial" w:hAnsi="Arial" w:cs="Arial"/>
          <w:sz w:val="24"/>
          <w:szCs w:val="24"/>
          <w:lang w:val="en-US"/>
        </w:rPr>
      </w:pPr>
      <w:r w:rsidRPr="006E2D15">
        <w:rPr>
          <w:rFonts w:ascii="Arial" w:hAnsi="Arial" w:cs="Arial"/>
          <w:sz w:val="24"/>
          <w:szCs w:val="24"/>
          <w:lang w:val="en-US"/>
        </w:rPr>
        <w:t xml:space="preserve">Empathy training (College of Policing, 2017; </w:t>
      </w:r>
      <w:proofErr w:type="spellStart"/>
      <w:r w:rsidRPr="006E2D15">
        <w:rPr>
          <w:rFonts w:ascii="Arial" w:hAnsi="Arial" w:cs="Arial"/>
          <w:sz w:val="24"/>
          <w:szCs w:val="24"/>
          <w:lang w:val="en-US"/>
        </w:rPr>
        <w:t>Romosiou</w:t>
      </w:r>
      <w:proofErr w:type="spellEnd"/>
      <w:r w:rsidRPr="006E2D15">
        <w:rPr>
          <w:rFonts w:ascii="Arial" w:hAnsi="Arial" w:cs="Arial"/>
          <w:sz w:val="24"/>
          <w:szCs w:val="24"/>
          <w:lang w:val="en-US"/>
        </w:rPr>
        <w:t xml:space="preserve">, </w:t>
      </w:r>
      <w:proofErr w:type="spellStart"/>
      <w:r w:rsidRPr="006E2D15">
        <w:rPr>
          <w:rFonts w:ascii="Arial" w:hAnsi="Arial" w:cs="Arial"/>
          <w:sz w:val="24"/>
          <w:szCs w:val="24"/>
          <w:lang w:val="en-US"/>
        </w:rPr>
        <w:t>Brouzos</w:t>
      </w:r>
      <w:proofErr w:type="spellEnd"/>
      <w:r w:rsidRPr="006E2D15">
        <w:rPr>
          <w:rFonts w:ascii="Arial" w:hAnsi="Arial" w:cs="Arial"/>
          <w:sz w:val="24"/>
          <w:szCs w:val="24"/>
          <w:lang w:val="en-US"/>
        </w:rPr>
        <w:t xml:space="preserve"> and Vassilopoulos, 2018; Robertson </w:t>
      </w:r>
      <w:r w:rsidRPr="006E2D15">
        <w:rPr>
          <w:rFonts w:ascii="Arial" w:hAnsi="Arial" w:cs="Arial"/>
          <w:i/>
          <w:iCs/>
          <w:sz w:val="24"/>
          <w:szCs w:val="24"/>
          <w:lang w:val="en-US"/>
        </w:rPr>
        <w:t>et al</w:t>
      </w:r>
      <w:r w:rsidRPr="006E2D15">
        <w:rPr>
          <w:rFonts w:ascii="Arial" w:hAnsi="Arial" w:cs="Arial"/>
          <w:sz w:val="24"/>
          <w:szCs w:val="24"/>
          <w:lang w:val="en-US"/>
        </w:rPr>
        <w:t>., 2015).</w:t>
      </w:r>
    </w:p>
    <w:p w14:paraId="6A98882D" w14:textId="77777777" w:rsidR="006E2D15" w:rsidRPr="006E2D15" w:rsidRDefault="006E2D15" w:rsidP="006E2D15">
      <w:pPr>
        <w:spacing w:line="360" w:lineRule="auto"/>
        <w:rPr>
          <w:rFonts w:ascii="Arial" w:hAnsi="Arial" w:cs="Arial"/>
          <w:sz w:val="24"/>
          <w:szCs w:val="24"/>
          <w:lang w:val="en-US"/>
        </w:rPr>
      </w:pPr>
    </w:p>
    <w:p w14:paraId="78AD1D41" w14:textId="77777777" w:rsidR="006E2D15" w:rsidRPr="006E2D15" w:rsidRDefault="006E2D15" w:rsidP="006E2D15">
      <w:pPr>
        <w:spacing w:line="360" w:lineRule="auto"/>
        <w:rPr>
          <w:rFonts w:ascii="Arial" w:hAnsi="Arial" w:cs="Arial"/>
          <w:i/>
          <w:iCs/>
          <w:sz w:val="24"/>
          <w:szCs w:val="24"/>
          <w:lang w:val="en-US"/>
        </w:rPr>
      </w:pPr>
      <w:r w:rsidRPr="006E2D15">
        <w:rPr>
          <w:rFonts w:ascii="Arial" w:hAnsi="Arial" w:cs="Arial"/>
          <w:i/>
          <w:iCs/>
          <w:sz w:val="24"/>
          <w:szCs w:val="24"/>
          <w:lang w:val="en-US"/>
        </w:rPr>
        <w:t>Reactive interventions</w:t>
      </w:r>
    </w:p>
    <w:p w14:paraId="0555A04B"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Reactive interventions are those which deal with the negative effects of stress. These often intersect with large-scale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measures (HMICFRS, 2018; Police Treatment </w:t>
      </w:r>
      <w:proofErr w:type="spellStart"/>
      <w:r w:rsidRPr="006E2D15">
        <w:rPr>
          <w:rFonts w:ascii="Arial" w:hAnsi="Arial" w:cs="Arial"/>
          <w:sz w:val="24"/>
          <w:szCs w:val="24"/>
          <w:lang w:val="en-US"/>
        </w:rPr>
        <w:t>Centres</w:t>
      </w:r>
      <w:proofErr w:type="spellEnd"/>
      <w:r w:rsidRPr="006E2D15">
        <w:rPr>
          <w:rFonts w:ascii="Arial" w:hAnsi="Arial" w:cs="Arial"/>
          <w:sz w:val="24"/>
          <w:szCs w:val="24"/>
          <w:lang w:val="en-US"/>
        </w:rPr>
        <w:t xml:space="preserve">, 2020; Brough, </w:t>
      </w:r>
      <w:proofErr w:type="spellStart"/>
      <w:r w:rsidRPr="006E2D15">
        <w:rPr>
          <w:rFonts w:ascii="Arial" w:hAnsi="Arial" w:cs="Arial"/>
          <w:sz w:val="24"/>
          <w:szCs w:val="24"/>
          <w:lang w:val="en-US"/>
        </w:rPr>
        <w:t>Raper</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Spedding</w:t>
      </w:r>
      <w:proofErr w:type="spellEnd"/>
      <w:r w:rsidRPr="006E2D15">
        <w:rPr>
          <w:rFonts w:ascii="Arial" w:hAnsi="Arial" w:cs="Arial"/>
          <w:sz w:val="24"/>
          <w:szCs w:val="24"/>
          <w:lang w:val="en-US"/>
        </w:rPr>
        <w:t xml:space="preserve">, 2021). In </w:t>
      </w:r>
      <w:proofErr w:type="gramStart"/>
      <w:r w:rsidRPr="006E2D15">
        <w:rPr>
          <w:rFonts w:ascii="Arial" w:hAnsi="Arial" w:cs="Arial"/>
          <w:sz w:val="24"/>
          <w:szCs w:val="24"/>
          <w:lang w:val="en-US"/>
        </w:rPr>
        <w:t>general</w:t>
      </w:r>
      <w:proofErr w:type="gramEnd"/>
      <w:r w:rsidRPr="006E2D15">
        <w:rPr>
          <w:rFonts w:ascii="Arial" w:hAnsi="Arial" w:cs="Arial"/>
          <w:sz w:val="24"/>
          <w:szCs w:val="24"/>
          <w:lang w:val="en-US"/>
        </w:rPr>
        <w:t xml:space="preserve"> these are considered to be expensive measures as they often involve the removal of an affected individual from the workplace, whether permanently or temporarily (Home Office, 2021; Institute for Government, 2019). They may also be less desirable because they do not prevent negative effects on the individual, </w:t>
      </w:r>
      <w:proofErr w:type="spellStart"/>
      <w:r w:rsidRPr="006E2D15">
        <w:rPr>
          <w:rFonts w:ascii="Arial" w:hAnsi="Arial" w:cs="Arial"/>
          <w:sz w:val="24"/>
          <w:szCs w:val="24"/>
          <w:lang w:val="en-US"/>
        </w:rPr>
        <w:t>organisation</w:t>
      </w:r>
      <w:proofErr w:type="spellEnd"/>
      <w:r w:rsidRPr="006E2D15">
        <w:rPr>
          <w:rFonts w:ascii="Arial" w:hAnsi="Arial" w:cs="Arial"/>
          <w:sz w:val="24"/>
          <w:szCs w:val="24"/>
          <w:lang w:val="en-US"/>
        </w:rPr>
        <w:t xml:space="preserve"> or public.</w:t>
      </w:r>
    </w:p>
    <w:p w14:paraId="40F30AF4" w14:textId="77777777" w:rsidR="006E2D15" w:rsidRPr="006E2D15" w:rsidRDefault="006E2D15" w:rsidP="006E2D15">
      <w:pPr>
        <w:spacing w:line="360" w:lineRule="auto"/>
        <w:rPr>
          <w:rFonts w:ascii="Arial" w:hAnsi="Arial" w:cs="Arial"/>
          <w:sz w:val="24"/>
          <w:szCs w:val="24"/>
          <w:lang w:val="en-US"/>
        </w:rPr>
      </w:pPr>
    </w:p>
    <w:p w14:paraId="46F804D6" w14:textId="77777777" w:rsidR="006E2D15" w:rsidRPr="006E2D15" w:rsidRDefault="006E2D15" w:rsidP="006E2D15">
      <w:pPr>
        <w:numPr>
          <w:ilvl w:val="0"/>
          <w:numId w:val="2"/>
        </w:numPr>
        <w:spacing w:line="360" w:lineRule="auto"/>
        <w:rPr>
          <w:rFonts w:ascii="Arial" w:hAnsi="Arial" w:cs="Arial"/>
          <w:sz w:val="24"/>
          <w:szCs w:val="24"/>
          <w:lang w:val="en-US"/>
        </w:rPr>
      </w:pPr>
      <w:r w:rsidRPr="006E2D15">
        <w:rPr>
          <w:rFonts w:ascii="Arial" w:hAnsi="Arial" w:cs="Arial"/>
          <w:sz w:val="24"/>
          <w:szCs w:val="24"/>
          <w:lang w:val="en-US"/>
        </w:rPr>
        <w:t xml:space="preserve">Methods of stress detection (Biron, </w:t>
      </w:r>
      <w:proofErr w:type="spellStart"/>
      <w:r w:rsidRPr="006E2D15">
        <w:rPr>
          <w:rFonts w:ascii="Arial" w:hAnsi="Arial" w:cs="Arial"/>
          <w:sz w:val="24"/>
          <w:szCs w:val="24"/>
          <w:lang w:val="en-US"/>
        </w:rPr>
        <w:t>Karanika</w:t>
      </w:r>
      <w:proofErr w:type="spellEnd"/>
      <w:r w:rsidRPr="006E2D15">
        <w:rPr>
          <w:rFonts w:ascii="Arial" w:hAnsi="Arial" w:cs="Arial"/>
          <w:sz w:val="24"/>
          <w:szCs w:val="24"/>
          <w:lang w:val="en-US"/>
        </w:rPr>
        <w:t>-Murray and Cooper, 2012; College of Policing, 2017) </w:t>
      </w:r>
    </w:p>
    <w:p w14:paraId="33DE698C" w14:textId="77777777" w:rsidR="006E2D15" w:rsidRPr="006E2D15" w:rsidRDefault="006E2D15" w:rsidP="006E2D15">
      <w:pPr>
        <w:numPr>
          <w:ilvl w:val="0"/>
          <w:numId w:val="2"/>
        </w:numPr>
        <w:spacing w:line="360" w:lineRule="auto"/>
        <w:rPr>
          <w:rFonts w:ascii="Arial" w:hAnsi="Arial" w:cs="Arial"/>
          <w:sz w:val="24"/>
          <w:szCs w:val="24"/>
          <w:lang w:val="en-US"/>
        </w:rPr>
      </w:pPr>
      <w:r w:rsidRPr="006E2D15">
        <w:rPr>
          <w:rFonts w:ascii="Arial" w:hAnsi="Arial" w:cs="Arial"/>
          <w:sz w:val="24"/>
          <w:szCs w:val="24"/>
          <w:lang w:val="en-US"/>
        </w:rPr>
        <w:t>Counselling (</w:t>
      </w:r>
      <w:proofErr w:type="spellStart"/>
      <w:r w:rsidRPr="006E2D15">
        <w:rPr>
          <w:rFonts w:ascii="Arial" w:hAnsi="Arial" w:cs="Arial"/>
          <w:sz w:val="24"/>
          <w:szCs w:val="24"/>
          <w:lang w:val="en-US"/>
        </w:rPr>
        <w:t>Civilotti</w:t>
      </w:r>
      <w:proofErr w:type="spellEnd"/>
      <w:r w:rsidRPr="006E2D15">
        <w:rPr>
          <w:rFonts w:ascii="Arial" w:hAnsi="Arial" w:cs="Arial"/>
          <w:sz w:val="24"/>
          <w:szCs w:val="24"/>
          <w:lang w:val="en-US"/>
        </w:rPr>
        <w:t xml:space="preserve">, Di </w:t>
      </w:r>
      <w:proofErr w:type="spellStart"/>
      <w:r w:rsidRPr="006E2D15">
        <w:rPr>
          <w:rFonts w:ascii="Arial" w:hAnsi="Arial" w:cs="Arial"/>
          <w:sz w:val="24"/>
          <w:szCs w:val="24"/>
          <w:lang w:val="en-US"/>
        </w:rPr>
        <w:t>Fini</w:t>
      </w:r>
      <w:proofErr w:type="spellEnd"/>
      <w:r w:rsidRPr="006E2D15">
        <w:rPr>
          <w:rFonts w:ascii="Arial" w:hAnsi="Arial" w:cs="Arial"/>
          <w:sz w:val="24"/>
          <w:szCs w:val="24"/>
          <w:lang w:val="en-US"/>
        </w:rPr>
        <w:t xml:space="preserve"> and Maran, 2021; Biggs, Tehrani and Billings, 2021),  </w:t>
      </w:r>
    </w:p>
    <w:p w14:paraId="7683F799" w14:textId="77777777" w:rsidR="006E2D15" w:rsidRPr="006E2D15" w:rsidRDefault="006E2D15" w:rsidP="006E2D15">
      <w:pPr>
        <w:numPr>
          <w:ilvl w:val="0"/>
          <w:numId w:val="2"/>
        </w:numPr>
        <w:spacing w:line="360" w:lineRule="auto"/>
        <w:rPr>
          <w:rFonts w:ascii="Arial" w:hAnsi="Arial" w:cs="Arial"/>
          <w:sz w:val="24"/>
          <w:szCs w:val="24"/>
          <w:lang w:val="en-US"/>
        </w:rPr>
      </w:pPr>
      <w:r w:rsidRPr="006E2D15">
        <w:rPr>
          <w:rFonts w:ascii="Arial" w:hAnsi="Arial" w:cs="Arial"/>
          <w:sz w:val="24"/>
          <w:szCs w:val="24"/>
          <w:lang w:val="en-US"/>
        </w:rPr>
        <w:lastRenderedPageBreak/>
        <w:t>Rehabilitation (El-</w:t>
      </w:r>
      <w:proofErr w:type="spellStart"/>
      <w:r w:rsidRPr="006E2D15">
        <w:rPr>
          <w:rFonts w:ascii="Arial" w:hAnsi="Arial" w:cs="Arial"/>
          <w:sz w:val="24"/>
          <w:szCs w:val="24"/>
          <w:lang w:val="en-US"/>
        </w:rPr>
        <w:t>Ghalayini</w:t>
      </w:r>
      <w:proofErr w:type="spellEnd"/>
      <w:r w:rsidRPr="006E2D15">
        <w:rPr>
          <w:rFonts w:ascii="Arial" w:hAnsi="Arial" w:cs="Arial"/>
          <w:sz w:val="24"/>
          <w:szCs w:val="24"/>
          <w:lang w:val="en-US"/>
        </w:rPr>
        <w:t xml:space="preserve">, 2017; Foley and Massey, 2018; HMICFRS, 2018; Police Treatment </w:t>
      </w:r>
      <w:proofErr w:type="spellStart"/>
      <w:r w:rsidRPr="006E2D15">
        <w:rPr>
          <w:rFonts w:ascii="Arial" w:hAnsi="Arial" w:cs="Arial"/>
          <w:sz w:val="24"/>
          <w:szCs w:val="24"/>
          <w:lang w:val="en-US"/>
        </w:rPr>
        <w:t>Centres</w:t>
      </w:r>
      <w:proofErr w:type="spellEnd"/>
      <w:r w:rsidRPr="006E2D15">
        <w:rPr>
          <w:rFonts w:ascii="Arial" w:hAnsi="Arial" w:cs="Arial"/>
          <w:sz w:val="24"/>
          <w:szCs w:val="24"/>
          <w:lang w:val="en-US"/>
        </w:rPr>
        <w:t>, 2020), </w:t>
      </w:r>
    </w:p>
    <w:p w14:paraId="3FBE9D52" w14:textId="77777777" w:rsidR="006E2D15" w:rsidRPr="006E2D15" w:rsidRDefault="006E2D15" w:rsidP="006E2D15">
      <w:pPr>
        <w:numPr>
          <w:ilvl w:val="0"/>
          <w:numId w:val="2"/>
        </w:numPr>
        <w:spacing w:line="360" w:lineRule="auto"/>
        <w:rPr>
          <w:rFonts w:ascii="Arial" w:hAnsi="Arial" w:cs="Arial"/>
          <w:sz w:val="24"/>
          <w:szCs w:val="24"/>
          <w:lang w:val="en-US"/>
        </w:rPr>
      </w:pPr>
      <w:r w:rsidRPr="006E2D15">
        <w:rPr>
          <w:rFonts w:ascii="Arial" w:hAnsi="Arial" w:cs="Arial"/>
          <w:sz w:val="24"/>
          <w:szCs w:val="24"/>
          <w:lang w:val="en-US"/>
        </w:rPr>
        <w:t xml:space="preserve">Leave or retirement for health reasons (Brough, </w:t>
      </w:r>
      <w:proofErr w:type="spellStart"/>
      <w:r w:rsidRPr="006E2D15">
        <w:rPr>
          <w:rFonts w:ascii="Arial" w:hAnsi="Arial" w:cs="Arial"/>
          <w:sz w:val="24"/>
          <w:szCs w:val="24"/>
          <w:lang w:val="en-US"/>
        </w:rPr>
        <w:t>Raper</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Spedding</w:t>
      </w:r>
      <w:proofErr w:type="spellEnd"/>
      <w:r w:rsidRPr="006E2D15">
        <w:rPr>
          <w:rFonts w:ascii="Arial" w:hAnsi="Arial" w:cs="Arial"/>
          <w:sz w:val="24"/>
          <w:szCs w:val="24"/>
          <w:lang w:val="en-US"/>
        </w:rPr>
        <w:t xml:space="preserve">, 2021; </w:t>
      </w:r>
      <w:proofErr w:type="spellStart"/>
      <w:r w:rsidRPr="006E2D15">
        <w:rPr>
          <w:rFonts w:ascii="Arial" w:hAnsi="Arial" w:cs="Arial"/>
          <w:sz w:val="24"/>
          <w:szCs w:val="24"/>
          <w:lang w:val="en-US"/>
        </w:rPr>
        <w:t>Hesketh</w:t>
      </w:r>
      <w:proofErr w:type="spellEnd"/>
      <w:r w:rsidRPr="006E2D15">
        <w:rPr>
          <w:rFonts w:ascii="Arial" w:hAnsi="Arial" w:cs="Arial"/>
          <w:sz w:val="24"/>
          <w:szCs w:val="24"/>
          <w:lang w:val="en-US"/>
        </w:rPr>
        <w:t xml:space="preserve"> and Tehrani, 2019; Robertson and England, 2019).  </w:t>
      </w:r>
    </w:p>
    <w:p w14:paraId="0EA62CA2" w14:textId="77777777" w:rsidR="006E2D15" w:rsidRPr="006E2D15" w:rsidRDefault="006E2D15" w:rsidP="006E2D15">
      <w:pPr>
        <w:spacing w:line="360" w:lineRule="auto"/>
        <w:rPr>
          <w:rFonts w:ascii="Arial" w:hAnsi="Arial" w:cs="Arial"/>
          <w:sz w:val="24"/>
          <w:szCs w:val="24"/>
          <w:lang w:val="en-US"/>
        </w:rPr>
      </w:pPr>
    </w:p>
    <w:p w14:paraId="765F7448" w14:textId="4ECC0C6B" w:rsidR="006E2D15" w:rsidRPr="006E2D15" w:rsidRDefault="006E2D15" w:rsidP="006E2D15">
      <w:pPr>
        <w:spacing w:line="360" w:lineRule="auto"/>
        <w:rPr>
          <w:rFonts w:ascii="Arial" w:hAnsi="Arial" w:cs="Arial"/>
          <w:i/>
          <w:iCs/>
          <w:sz w:val="24"/>
          <w:szCs w:val="24"/>
          <w:lang w:val="en-US"/>
        </w:rPr>
      </w:pPr>
      <w:r w:rsidRPr="006E2D15">
        <w:rPr>
          <w:rFonts w:ascii="Arial" w:hAnsi="Arial" w:cs="Arial"/>
          <w:i/>
          <w:iCs/>
          <w:sz w:val="24"/>
          <w:szCs w:val="24"/>
          <w:lang w:val="en-US"/>
        </w:rPr>
        <w:t>Non-interventional</w:t>
      </w:r>
    </w:p>
    <w:p w14:paraId="46FCE2BF" w14:textId="77777777" w:rsidR="006E2D15" w:rsidRPr="006E2D15" w:rsidRDefault="006E2D15" w:rsidP="006E2D15">
      <w:pPr>
        <w:spacing w:line="360" w:lineRule="auto"/>
        <w:rPr>
          <w:rFonts w:ascii="Arial" w:hAnsi="Arial" w:cs="Arial"/>
          <w:sz w:val="24"/>
          <w:szCs w:val="24"/>
          <w:lang w:val="en-US"/>
        </w:rPr>
      </w:pPr>
      <w:proofErr w:type="spellStart"/>
      <w:r w:rsidRPr="006E2D15">
        <w:rPr>
          <w:rFonts w:ascii="Arial" w:hAnsi="Arial" w:cs="Arial"/>
          <w:sz w:val="24"/>
          <w:szCs w:val="24"/>
          <w:lang w:val="en-US"/>
        </w:rPr>
        <w:t>Purba</w:t>
      </w:r>
      <w:proofErr w:type="spellEnd"/>
      <w:r w:rsidRPr="006E2D15">
        <w:rPr>
          <w:rFonts w:ascii="Arial" w:hAnsi="Arial" w:cs="Arial"/>
          <w:sz w:val="24"/>
          <w:szCs w:val="24"/>
          <w:lang w:val="en-US"/>
        </w:rPr>
        <w:t xml:space="preserve"> and </w:t>
      </w:r>
      <w:proofErr w:type="spellStart"/>
      <w:r w:rsidRPr="006E2D15">
        <w:rPr>
          <w:rFonts w:ascii="Arial" w:hAnsi="Arial" w:cs="Arial"/>
          <w:sz w:val="24"/>
          <w:szCs w:val="24"/>
          <w:lang w:val="en-US"/>
        </w:rPr>
        <w:t>Demou</w:t>
      </w:r>
      <w:proofErr w:type="spellEnd"/>
      <w:r w:rsidRPr="006E2D15">
        <w:rPr>
          <w:rFonts w:ascii="Arial" w:hAnsi="Arial" w:cs="Arial"/>
          <w:sz w:val="24"/>
          <w:szCs w:val="24"/>
          <w:lang w:val="en-US"/>
        </w:rPr>
        <w:t xml:space="preserve"> (2019) have argued that some research indicates that individual coping mechanisms become engrained in the personalities of police officers, enabling them to deal with stressful situations as a natural part of their job and can lead to an increased level of resilience compared to civilians. While this aspect of self-selection may be helpful, as a strategy it is controversial, and is especially open to argument around </w:t>
      </w:r>
      <w:proofErr w:type="spellStart"/>
      <w:r w:rsidRPr="006E2D15">
        <w:rPr>
          <w:rFonts w:ascii="Arial" w:hAnsi="Arial" w:cs="Arial"/>
          <w:sz w:val="24"/>
          <w:szCs w:val="24"/>
          <w:lang w:val="en-US"/>
        </w:rPr>
        <w:t>organisational</w:t>
      </w:r>
      <w:proofErr w:type="spellEnd"/>
      <w:r w:rsidRPr="006E2D15">
        <w:rPr>
          <w:rFonts w:ascii="Arial" w:hAnsi="Arial" w:cs="Arial"/>
          <w:sz w:val="24"/>
          <w:szCs w:val="24"/>
          <w:lang w:val="en-US"/>
        </w:rPr>
        <w:t xml:space="preserve"> culture, stigma and negative coping (Police Federation, 2020a; Health and Safety Executive, 2020; Met Police, 2019; </w:t>
      </w:r>
      <w:proofErr w:type="spellStart"/>
      <w:r w:rsidRPr="006E2D15">
        <w:rPr>
          <w:rFonts w:ascii="Arial" w:hAnsi="Arial" w:cs="Arial"/>
          <w:sz w:val="24"/>
          <w:szCs w:val="24"/>
          <w:lang w:val="en-US"/>
        </w:rPr>
        <w:t>Queiros</w:t>
      </w:r>
      <w:proofErr w:type="spellEnd"/>
      <w:r w:rsidRPr="006E2D15">
        <w:rPr>
          <w:rFonts w:ascii="Arial" w:hAnsi="Arial" w:cs="Arial"/>
          <w:sz w:val="24"/>
          <w:szCs w:val="24"/>
          <w:lang w:val="en-US"/>
        </w:rPr>
        <w:t>, 2020).</w:t>
      </w:r>
    </w:p>
    <w:p w14:paraId="6E938523" w14:textId="77777777" w:rsidR="006E2D15" w:rsidRPr="006E2D15" w:rsidRDefault="006E2D15" w:rsidP="006E2D15">
      <w:pPr>
        <w:spacing w:line="360" w:lineRule="auto"/>
        <w:rPr>
          <w:rFonts w:ascii="Arial" w:hAnsi="Arial" w:cs="Arial"/>
          <w:sz w:val="24"/>
          <w:szCs w:val="24"/>
          <w:lang w:val="en-US"/>
        </w:rPr>
      </w:pPr>
    </w:p>
    <w:p w14:paraId="2C67820F"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Proactive interventions which combine individual- and organizational-level measures are evidenced as highly effective in preventing the evidenced harm and in raising police standards (</w:t>
      </w:r>
      <w:r w:rsidRPr="006E2D15">
        <w:rPr>
          <w:rFonts w:ascii="Arial" w:hAnsi="Arial" w:cs="Arial"/>
          <w:sz w:val="24"/>
          <w:szCs w:val="24"/>
        </w:rPr>
        <w:t>De Neve et al., 2013; Leka et al., 2008</w:t>
      </w:r>
      <w:r w:rsidRPr="006E2D15">
        <w:rPr>
          <w:rFonts w:ascii="Arial" w:hAnsi="Arial" w:cs="Arial"/>
          <w:sz w:val="24"/>
          <w:szCs w:val="24"/>
          <w:lang w:val="en-US"/>
        </w:rPr>
        <w:t xml:space="preserve">). However, the literature shows that interventions within policing are usually reactive and deployed case-by-case once impacts of negative stress have become serious to individual health or personal/organizational performance (Police Federation, 2020b; Biron, </w:t>
      </w:r>
      <w:proofErr w:type="spellStart"/>
      <w:r w:rsidRPr="006E2D15">
        <w:rPr>
          <w:rFonts w:ascii="Arial" w:hAnsi="Arial" w:cs="Arial"/>
          <w:sz w:val="24"/>
          <w:szCs w:val="24"/>
          <w:lang w:val="en-US"/>
        </w:rPr>
        <w:t>Karanika</w:t>
      </w:r>
      <w:proofErr w:type="spellEnd"/>
      <w:r w:rsidRPr="006E2D15">
        <w:rPr>
          <w:rFonts w:ascii="Arial" w:hAnsi="Arial" w:cs="Arial"/>
          <w:sz w:val="24"/>
          <w:szCs w:val="24"/>
          <w:lang w:val="en-US"/>
        </w:rPr>
        <w:t xml:space="preserve">-Murray and Cooper, 2012; Foley and Massey, 2018). Literature highlights the challenges of embedded organizational change including size, structure, culture and resourcing; reports have called for “enhanced change management” (Lewis, Higgins and Muir, 2019, p. 4, c.f. Biggs, Tehrani and Billings, 2021; Justice Inspectorate; 2018; Lewis, Higgins and </w:t>
      </w:r>
      <w:proofErr w:type="spellStart"/>
      <w:r w:rsidRPr="006E2D15">
        <w:rPr>
          <w:rFonts w:ascii="Arial" w:hAnsi="Arial" w:cs="Arial"/>
          <w:sz w:val="24"/>
          <w:szCs w:val="24"/>
          <w:lang w:val="en-US"/>
        </w:rPr>
        <w:t>Miur</w:t>
      </w:r>
      <w:proofErr w:type="spellEnd"/>
      <w:r w:rsidRPr="006E2D15">
        <w:rPr>
          <w:rFonts w:ascii="Arial" w:hAnsi="Arial" w:cs="Arial"/>
          <w:sz w:val="24"/>
          <w:szCs w:val="24"/>
          <w:lang w:val="en-US"/>
        </w:rPr>
        <w:t xml:space="preserve">, 2017; Police Care UK, 2019; </w:t>
      </w:r>
      <w:proofErr w:type="spellStart"/>
      <w:r w:rsidRPr="006E2D15">
        <w:rPr>
          <w:rFonts w:ascii="Arial" w:hAnsi="Arial" w:cs="Arial"/>
          <w:sz w:val="24"/>
          <w:szCs w:val="24"/>
          <w:lang w:val="en-US"/>
        </w:rPr>
        <w:t>Hakik</w:t>
      </w:r>
      <w:proofErr w:type="spellEnd"/>
      <w:r w:rsidRPr="006E2D15">
        <w:rPr>
          <w:rFonts w:ascii="Arial" w:hAnsi="Arial" w:cs="Arial"/>
          <w:sz w:val="24"/>
          <w:szCs w:val="24"/>
          <w:lang w:val="en-US"/>
        </w:rPr>
        <w:t xml:space="preserve"> and Langlois, 2020).</w:t>
      </w:r>
    </w:p>
    <w:p w14:paraId="013465CA" w14:textId="77777777" w:rsidR="006E2D15" w:rsidRDefault="006E2D15" w:rsidP="006E2D15">
      <w:pPr>
        <w:spacing w:line="360" w:lineRule="auto"/>
        <w:rPr>
          <w:rFonts w:ascii="Arial" w:hAnsi="Arial" w:cs="Arial"/>
          <w:b/>
          <w:bCs/>
          <w:sz w:val="24"/>
          <w:szCs w:val="24"/>
          <w:u w:val="single"/>
          <w:lang w:val="en-US"/>
        </w:rPr>
      </w:pPr>
    </w:p>
    <w:p w14:paraId="57708188" w14:textId="77777777" w:rsidR="006E2D15" w:rsidRDefault="006E2D15" w:rsidP="006E2D15">
      <w:pPr>
        <w:spacing w:line="360" w:lineRule="auto"/>
        <w:rPr>
          <w:rFonts w:ascii="Arial" w:hAnsi="Arial" w:cs="Arial"/>
          <w:b/>
          <w:bCs/>
          <w:sz w:val="24"/>
          <w:szCs w:val="24"/>
          <w:u w:val="single"/>
          <w:lang w:val="en-US"/>
        </w:rPr>
      </w:pPr>
    </w:p>
    <w:p w14:paraId="5D00DD97" w14:textId="77777777" w:rsidR="006E2D15" w:rsidRDefault="006E2D15" w:rsidP="006E2D15">
      <w:pPr>
        <w:spacing w:line="360" w:lineRule="auto"/>
        <w:rPr>
          <w:rFonts w:ascii="Arial" w:hAnsi="Arial" w:cs="Arial"/>
          <w:b/>
          <w:bCs/>
          <w:sz w:val="24"/>
          <w:szCs w:val="24"/>
          <w:u w:val="single"/>
          <w:lang w:val="en-US"/>
        </w:rPr>
      </w:pPr>
    </w:p>
    <w:p w14:paraId="667BC85D" w14:textId="12262908" w:rsidR="006E2D15" w:rsidRDefault="006E2D15" w:rsidP="006E2D15">
      <w:pPr>
        <w:spacing w:line="360" w:lineRule="auto"/>
        <w:rPr>
          <w:rFonts w:ascii="Arial" w:hAnsi="Arial" w:cs="Arial"/>
          <w:b/>
          <w:bCs/>
          <w:sz w:val="24"/>
          <w:szCs w:val="24"/>
          <w:u w:val="single"/>
          <w:lang w:val="en-US"/>
        </w:rPr>
      </w:pPr>
      <w:r w:rsidRPr="006E2D15">
        <w:rPr>
          <w:rFonts w:ascii="Arial" w:hAnsi="Arial" w:cs="Arial"/>
          <w:b/>
          <w:bCs/>
          <w:sz w:val="24"/>
          <w:szCs w:val="24"/>
          <w:u w:val="single"/>
          <w:lang w:val="en-US"/>
        </w:rPr>
        <w:lastRenderedPageBreak/>
        <w:t>The Need for Further Research</w:t>
      </w:r>
    </w:p>
    <w:p w14:paraId="39BA8176" w14:textId="34CAE339" w:rsidR="006E2D15" w:rsidRPr="006E2D15" w:rsidRDefault="006E2D15" w:rsidP="006E2D15">
      <w:pPr>
        <w:spacing w:line="360" w:lineRule="auto"/>
        <w:rPr>
          <w:rFonts w:ascii="Arial" w:hAnsi="Arial" w:cs="Arial"/>
          <w:b/>
          <w:bCs/>
          <w:sz w:val="24"/>
          <w:szCs w:val="24"/>
          <w:u w:val="single"/>
          <w:lang w:val="en-US"/>
        </w:rPr>
      </w:pPr>
      <w:r w:rsidRPr="006E2D15">
        <w:rPr>
          <w:rFonts w:ascii="Arial" w:hAnsi="Arial" w:cs="Arial"/>
          <w:sz w:val="24"/>
          <w:szCs w:val="24"/>
          <w:lang w:val="en-US"/>
        </w:rPr>
        <w:t>This dissertation seeks to “critically evaluate the current practices in place to mitigate against negative stress and its impacts in SWP, making reference to comparable strategies elsewhere</w:t>
      </w:r>
      <w:r w:rsidRPr="006E2D15">
        <w:rPr>
          <w:rFonts w:ascii="Arial" w:hAnsi="Arial" w:cs="Arial"/>
          <w:b/>
          <w:bCs/>
          <w:sz w:val="24"/>
          <w:szCs w:val="24"/>
          <w:lang w:val="en-US"/>
        </w:rPr>
        <w:t xml:space="preserve"> </w:t>
      </w:r>
      <w:r w:rsidRPr="006E2D15">
        <w:rPr>
          <w:rFonts w:ascii="Arial" w:hAnsi="Arial" w:cs="Arial"/>
          <w:sz w:val="24"/>
          <w:szCs w:val="24"/>
          <w:lang w:val="en-US"/>
        </w:rPr>
        <w:t>and assessing the effectiveness of the current practice”.</w:t>
      </w:r>
    </w:p>
    <w:p w14:paraId="430557C5" w14:textId="77777777"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t xml:space="preserve">Surveying the field has shown that while some attempts are being made to mitigate negative occupational stress and its effects in policing, there is a great deal of room for improvement. Annually, the Police Federation undertakes a Demand, Capacity and Welfare Survey (DC&amp;WS) but, while this captures data on officer experience, it does not form a strategic or policy intervention framework (Police Federation, 2020a). Indeed, no specific police-wide strategy is available despite the body of evidence on this issue, although its formulation has been called for (Police Care UK, 2019; Biggs, Tehrani and Billings, 2021; </w:t>
      </w:r>
      <w:bookmarkStart w:id="12" w:name="_Hlk93874444"/>
      <w:r w:rsidRPr="006E2D15">
        <w:rPr>
          <w:rFonts w:ascii="Arial" w:hAnsi="Arial" w:cs="Arial"/>
          <w:sz w:val="24"/>
          <w:szCs w:val="24"/>
          <w:lang w:val="en-US"/>
        </w:rPr>
        <w:t>HMICFRS, 2018</w:t>
      </w:r>
      <w:bookmarkEnd w:id="12"/>
      <w:r w:rsidRPr="006E2D15">
        <w:rPr>
          <w:rFonts w:ascii="Arial" w:hAnsi="Arial" w:cs="Arial"/>
          <w:sz w:val="24"/>
          <w:szCs w:val="24"/>
          <w:lang w:val="en-US"/>
        </w:rPr>
        <w:t xml:space="preserve">). Regional strategy and policy </w:t>
      </w:r>
      <w:proofErr w:type="gramStart"/>
      <w:r w:rsidRPr="006E2D15">
        <w:rPr>
          <w:rFonts w:ascii="Arial" w:hAnsi="Arial" w:cs="Arial"/>
          <w:sz w:val="24"/>
          <w:szCs w:val="24"/>
          <w:lang w:val="en-US"/>
        </w:rPr>
        <w:t>is</w:t>
      </w:r>
      <w:proofErr w:type="gramEnd"/>
      <w:r w:rsidRPr="006E2D15">
        <w:rPr>
          <w:rFonts w:ascii="Arial" w:hAnsi="Arial" w:cs="Arial"/>
          <w:sz w:val="24"/>
          <w:szCs w:val="24"/>
          <w:lang w:val="en-US"/>
        </w:rPr>
        <w:t xml:space="preserve"> piecemeal; as yet this study has found no relevant guidance within SWP. The considerable research and practical support activity absorbed by the charitable sector (Mind, 2019b; Police Care UK; 2018; Police Treatment </w:t>
      </w:r>
      <w:proofErr w:type="spellStart"/>
      <w:r w:rsidRPr="006E2D15">
        <w:rPr>
          <w:rFonts w:ascii="Arial" w:hAnsi="Arial" w:cs="Arial"/>
          <w:sz w:val="24"/>
          <w:szCs w:val="24"/>
          <w:lang w:val="en-US"/>
        </w:rPr>
        <w:t>Centres</w:t>
      </w:r>
      <w:proofErr w:type="spellEnd"/>
      <w:r w:rsidRPr="006E2D15">
        <w:rPr>
          <w:rFonts w:ascii="Arial" w:hAnsi="Arial" w:cs="Arial"/>
          <w:sz w:val="24"/>
          <w:szCs w:val="24"/>
          <w:lang w:val="en-US"/>
        </w:rPr>
        <w:t xml:space="preserve">, 2020) demonstrates real need and suggests a lack of appropriate police strategies to prevent and address occupational stress in the workplace. This literature presents a consensus that better organizational intervention and support is required in order to assist officers to cope with the demands of their role, especially proactive measures (Biggs, Tehrani and Billings, 2021; HMICFRS; 2018; Lewis, Higgins and </w:t>
      </w:r>
      <w:proofErr w:type="spellStart"/>
      <w:r w:rsidRPr="006E2D15">
        <w:rPr>
          <w:rFonts w:ascii="Arial" w:hAnsi="Arial" w:cs="Arial"/>
          <w:sz w:val="24"/>
          <w:szCs w:val="24"/>
          <w:lang w:val="en-US"/>
        </w:rPr>
        <w:t>Miur</w:t>
      </w:r>
      <w:proofErr w:type="spellEnd"/>
      <w:r w:rsidRPr="006E2D15">
        <w:rPr>
          <w:rFonts w:ascii="Arial" w:hAnsi="Arial" w:cs="Arial"/>
          <w:sz w:val="24"/>
          <w:szCs w:val="24"/>
          <w:lang w:val="en-US"/>
        </w:rPr>
        <w:t>, 2017; Police Care UK, 2019).</w:t>
      </w:r>
    </w:p>
    <w:p w14:paraId="3F04FA7B" w14:textId="77777777" w:rsidR="006E2D15" w:rsidRPr="006E2D15" w:rsidRDefault="006E2D15" w:rsidP="006E2D15">
      <w:pPr>
        <w:spacing w:line="360" w:lineRule="auto"/>
        <w:rPr>
          <w:rFonts w:ascii="Arial" w:hAnsi="Arial" w:cs="Arial"/>
          <w:sz w:val="24"/>
          <w:szCs w:val="24"/>
          <w:lang w:val="en-US"/>
        </w:rPr>
      </w:pPr>
    </w:p>
    <w:p w14:paraId="3D0A1953" w14:textId="77777777" w:rsidR="006E2D15" w:rsidRPr="006E2D15" w:rsidRDefault="006E2D15" w:rsidP="006E2D15">
      <w:pPr>
        <w:spacing w:line="360" w:lineRule="auto"/>
        <w:rPr>
          <w:rFonts w:ascii="Arial" w:hAnsi="Arial" w:cs="Arial"/>
          <w:sz w:val="24"/>
          <w:szCs w:val="24"/>
          <w:lang w:val="en-US"/>
        </w:rPr>
      </w:pPr>
    </w:p>
    <w:p w14:paraId="477A5A6C" w14:textId="77777777" w:rsidR="006E2D15" w:rsidRPr="006E2D15" w:rsidRDefault="006E2D15" w:rsidP="006E2D15">
      <w:pPr>
        <w:spacing w:line="360" w:lineRule="auto"/>
        <w:rPr>
          <w:rFonts w:ascii="Arial" w:hAnsi="Arial" w:cs="Arial"/>
          <w:sz w:val="24"/>
          <w:szCs w:val="24"/>
          <w:lang w:val="en-US"/>
        </w:rPr>
      </w:pPr>
    </w:p>
    <w:p w14:paraId="3BEBAFD6" w14:textId="77777777" w:rsidR="006E2D15" w:rsidRPr="006E2D15" w:rsidRDefault="006E2D15" w:rsidP="006E2D15">
      <w:pPr>
        <w:spacing w:line="360" w:lineRule="auto"/>
        <w:rPr>
          <w:rFonts w:ascii="Arial" w:hAnsi="Arial" w:cs="Arial"/>
          <w:sz w:val="24"/>
          <w:szCs w:val="24"/>
          <w:lang w:val="en-US"/>
        </w:rPr>
      </w:pPr>
    </w:p>
    <w:p w14:paraId="5BC56CF9" w14:textId="77777777" w:rsidR="006E2D15" w:rsidRPr="006E2D15" w:rsidRDefault="006E2D15" w:rsidP="006E2D15">
      <w:pPr>
        <w:spacing w:line="360" w:lineRule="auto"/>
        <w:rPr>
          <w:rFonts w:ascii="Arial" w:hAnsi="Arial" w:cs="Arial"/>
          <w:sz w:val="24"/>
          <w:szCs w:val="24"/>
          <w:lang w:val="en-US"/>
        </w:rPr>
      </w:pPr>
    </w:p>
    <w:p w14:paraId="3FF26A31" w14:textId="77777777" w:rsidR="006E2D15" w:rsidRPr="006E2D15" w:rsidRDefault="006E2D15" w:rsidP="006E2D15">
      <w:pPr>
        <w:spacing w:line="360" w:lineRule="auto"/>
        <w:rPr>
          <w:rFonts w:ascii="Arial" w:hAnsi="Arial" w:cs="Arial"/>
          <w:sz w:val="24"/>
          <w:szCs w:val="24"/>
          <w:lang w:val="en-US"/>
        </w:rPr>
      </w:pPr>
    </w:p>
    <w:p w14:paraId="51E0BC8E" w14:textId="77777777" w:rsidR="006E2D15" w:rsidRPr="006E2D15" w:rsidRDefault="006E2D15" w:rsidP="006E2D15">
      <w:pPr>
        <w:spacing w:line="360" w:lineRule="auto"/>
        <w:rPr>
          <w:rFonts w:ascii="Arial" w:hAnsi="Arial" w:cs="Arial"/>
          <w:sz w:val="24"/>
          <w:szCs w:val="24"/>
          <w:lang w:val="en-US"/>
        </w:rPr>
      </w:pPr>
    </w:p>
    <w:p w14:paraId="46901A40" w14:textId="77777777" w:rsidR="006E2D15" w:rsidRDefault="006E2D15" w:rsidP="006E2D15">
      <w:pPr>
        <w:spacing w:line="360" w:lineRule="auto"/>
        <w:rPr>
          <w:rFonts w:ascii="Arial" w:hAnsi="Arial" w:cs="Arial"/>
          <w:sz w:val="24"/>
          <w:szCs w:val="24"/>
          <w:lang w:val="en-US"/>
        </w:rPr>
      </w:pPr>
    </w:p>
    <w:p w14:paraId="623113BC" w14:textId="0541C0DA" w:rsidR="006E2D15" w:rsidRPr="006E2D15" w:rsidRDefault="006E2D15" w:rsidP="006E2D15">
      <w:pPr>
        <w:spacing w:line="360" w:lineRule="auto"/>
        <w:rPr>
          <w:rFonts w:ascii="Arial" w:hAnsi="Arial" w:cs="Arial"/>
          <w:sz w:val="24"/>
          <w:szCs w:val="24"/>
          <w:lang w:val="en-US"/>
        </w:rPr>
      </w:pPr>
      <w:r w:rsidRPr="006E2D15">
        <w:rPr>
          <w:rFonts w:ascii="Arial" w:hAnsi="Arial" w:cs="Arial"/>
          <w:sz w:val="24"/>
          <w:szCs w:val="24"/>
          <w:lang w:val="en-US"/>
        </w:rPr>
        <w:lastRenderedPageBreak/>
        <w:t>References</w:t>
      </w:r>
    </w:p>
    <w:p w14:paraId="0FCF057E"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Acquadro</w:t>
      </w:r>
      <w:proofErr w:type="spellEnd"/>
      <w:r w:rsidRPr="006E2D15">
        <w:rPr>
          <w:rFonts w:ascii="Arial" w:hAnsi="Arial" w:cs="Arial"/>
          <w:sz w:val="24"/>
          <w:szCs w:val="24"/>
        </w:rPr>
        <w:t xml:space="preserve"> Maran, D., </w:t>
      </w:r>
      <w:proofErr w:type="spellStart"/>
      <w:r w:rsidRPr="006E2D15">
        <w:rPr>
          <w:rFonts w:ascii="Arial" w:hAnsi="Arial" w:cs="Arial"/>
          <w:sz w:val="24"/>
          <w:szCs w:val="24"/>
        </w:rPr>
        <w:t>Varetto</w:t>
      </w:r>
      <w:proofErr w:type="spellEnd"/>
      <w:r w:rsidRPr="006E2D15">
        <w:rPr>
          <w:rFonts w:ascii="Arial" w:hAnsi="Arial" w:cs="Arial"/>
          <w:sz w:val="24"/>
          <w:szCs w:val="24"/>
        </w:rPr>
        <w:t xml:space="preserve">, A., </w:t>
      </w:r>
      <w:proofErr w:type="spellStart"/>
      <w:r w:rsidRPr="006E2D15">
        <w:rPr>
          <w:rFonts w:ascii="Arial" w:hAnsi="Arial" w:cs="Arial"/>
          <w:sz w:val="24"/>
          <w:szCs w:val="24"/>
        </w:rPr>
        <w:t>Zedda</w:t>
      </w:r>
      <w:proofErr w:type="spellEnd"/>
      <w:r w:rsidRPr="006E2D15">
        <w:rPr>
          <w:rFonts w:ascii="Arial" w:hAnsi="Arial" w:cs="Arial"/>
          <w:sz w:val="24"/>
          <w:szCs w:val="24"/>
        </w:rPr>
        <w:t xml:space="preserve">, M. and </w:t>
      </w:r>
      <w:proofErr w:type="spellStart"/>
      <w:r w:rsidRPr="006E2D15">
        <w:rPr>
          <w:rFonts w:ascii="Arial" w:hAnsi="Arial" w:cs="Arial"/>
          <w:sz w:val="24"/>
          <w:szCs w:val="24"/>
        </w:rPr>
        <w:t>Ieraci</w:t>
      </w:r>
      <w:proofErr w:type="spellEnd"/>
      <w:r w:rsidRPr="006E2D15">
        <w:rPr>
          <w:rFonts w:ascii="Arial" w:hAnsi="Arial" w:cs="Arial"/>
          <w:sz w:val="24"/>
          <w:szCs w:val="24"/>
        </w:rPr>
        <w:t xml:space="preserve">, V. (2015). Occupational stress, anxiety and coping strategies in police officers. </w:t>
      </w:r>
      <w:r w:rsidRPr="006E2D15">
        <w:rPr>
          <w:rFonts w:ascii="Arial" w:hAnsi="Arial" w:cs="Arial"/>
          <w:i/>
          <w:iCs/>
          <w:sz w:val="24"/>
          <w:szCs w:val="24"/>
        </w:rPr>
        <w:t>Occupational Medicine</w:t>
      </w:r>
      <w:r w:rsidRPr="006E2D15">
        <w:rPr>
          <w:rFonts w:ascii="Arial" w:hAnsi="Arial" w:cs="Arial"/>
          <w:sz w:val="24"/>
          <w:szCs w:val="24"/>
        </w:rPr>
        <w:t>, [online] 65(6), pp.466–473. Available at: https://academic.oup.com/occmed/article/65/6/466/1420949.</w:t>
      </w:r>
    </w:p>
    <w:p w14:paraId="14125F5C"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APA Dictionary of Psychology (2020). </w:t>
      </w:r>
      <w:r w:rsidRPr="006E2D15">
        <w:rPr>
          <w:rFonts w:ascii="Arial" w:hAnsi="Arial" w:cs="Arial"/>
          <w:i/>
          <w:iCs/>
          <w:sz w:val="24"/>
          <w:szCs w:val="24"/>
        </w:rPr>
        <w:t>APA Dictionary of Psychology</w:t>
      </w:r>
      <w:r w:rsidRPr="006E2D15">
        <w:rPr>
          <w:rFonts w:ascii="Arial" w:hAnsi="Arial" w:cs="Arial"/>
          <w:sz w:val="24"/>
          <w:szCs w:val="24"/>
        </w:rPr>
        <w:t>. [online] Available at: https://dictionary.apa.org/occupational-stress [Accessed 23 Jan. 2022].</w:t>
      </w:r>
    </w:p>
    <w:p w14:paraId="1FE102D2"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Babatunde, A. (2013). Occupational Stress: A Review on Conceptualisations, Causes and Cure. </w:t>
      </w:r>
      <w:r w:rsidRPr="006E2D15">
        <w:rPr>
          <w:rFonts w:ascii="Arial" w:hAnsi="Arial" w:cs="Arial"/>
          <w:i/>
          <w:iCs/>
          <w:sz w:val="24"/>
          <w:szCs w:val="24"/>
        </w:rPr>
        <w:t>Economic Insights – Trends and Challenges</w:t>
      </w:r>
      <w:r w:rsidRPr="006E2D15">
        <w:rPr>
          <w:rFonts w:ascii="Arial" w:hAnsi="Arial" w:cs="Arial"/>
          <w:sz w:val="24"/>
          <w:szCs w:val="24"/>
        </w:rPr>
        <w:t>, [online] 2, pp.73–80. Available at: https://www.researchgate.net/publication/258668616_Occupational_Stress_A_Review_on_Conceptualisations_Causes_and_Cure [Accessed 21 Jan. 2022].</w:t>
      </w:r>
    </w:p>
    <w:p w14:paraId="16360730"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Biggs, C., Tehrani, T., and Billings, J, (2021). Brief trauma therapy for occupational trauma-related PTSD/CPTSD in UK Police, </w:t>
      </w:r>
      <w:r w:rsidRPr="006E2D15">
        <w:rPr>
          <w:rFonts w:ascii="Arial" w:hAnsi="Arial" w:cs="Arial"/>
          <w:i/>
          <w:iCs/>
          <w:sz w:val="24"/>
          <w:szCs w:val="24"/>
        </w:rPr>
        <w:t>Occupational Medicine</w:t>
      </w:r>
      <w:r w:rsidRPr="006E2D15">
        <w:rPr>
          <w:rFonts w:ascii="Arial" w:hAnsi="Arial" w:cs="Arial"/>
          <w:sz w:val="24"/>
          <w:szCs w:val="24"/>
        </w:rPr>
        <w:t>, 71(4-5), pp. 180-188. Available at: https://academic.oup.com/occmed/article/71/4-5/180/6323349</w:t>
      </w:r>
    </w:p>
    <w:p w14:paraId="31BE6832" w14:textId="77777777" w:rsidR="006E2D15" w:rsidRPr="006E2D15" w:rsidRDefault="006E2D15" w:rsidP="006E2D15">
      <w:pPr>
        <w:spacing w:line="360" w:lineRule="auto"/>
        <w:rPr>
          <w:rFonts w:ascii="Arial" w:hAnsi="Arial" w:cs="Arial"/>
          <w:sz w:val="24"/>
          <w:szCs w:val="24"/>
        </w:rPr>
      </w:pPr>
      <w:bookmarkStart w:id="13" w:name="_Hlk87881787"/>
      <w:r w:rsidRPr="006E2D15">
        <w:rPr>
          <w:rFonts w:ascii="Arial" w:hAnsi="Arial" w:cs="Arial"/>
          <w:sz w:val="24"/>
          <w:szCs w:val="24"/>
        </w:rPr>
        <w:t xml:space="preserve">Biron, C., </w:t>
      </w:r>
      <w:proofErr w:type="spellStart"/>
      <w:r w:rsidRPr="006E2D15">
        <w:rPr>
          <w:rFonts w:ascii="Arial" w:hAnsi="Arial" w:cs="Arial"/>
          <w:sz w:val="24"/>
          <w:szCs w:val="24"/>
        </w:rPr>
        <w:t>Karanika</w:t>
      </w:r>
      <w:proofErr w:type="spellEnd"/>
      <w:r w:rsidRPr="006E2D15">
        <w:rPr>
          <w:rFonts w:ascii="Arial" w:hAnsi="Arial" w:cs="Arial"/>
          <w:sz w:val="24"/>
          <w:szCs w:val="24"/>
        </w:rPr>
        <w:t>-Murray, M., and Cooper</w:t>
      </w:r>
      <w:bookmarkEnd w:id="13"/>
      <w:r w:rsidRPr="006E2D15">
        <w:rPr>
          <w:rFonts w:ascii="Arial" w:hAnsi="Arial" w:cs="Arial"/>
          <w:sz w:val="24"/>
          <w:szCs w:val="24"/>
        </w:rPr>
        <w:t xml:space="preserve">, C. (2012). </w:t>
      </w:r>
      <w:r w:rsidRPr="006E2D15">
        <w:rPr>
          <w:rFonts w:ascii="Arial" w:hAnsi="Arial" w:cs="Arial"/>
          <w:i/>
          <w:iCs/>
          <w:sz w:val="24"/>
          <w:szCs w:val="24"/>
        </w:rPr>
        <w:t>Improving Organizational Interventions for Stress and Wellbeing: Addressing Process and Context</w:t>
      </w:r>
      <w:r w:rsidRPr="006E2D15">
        <w:rPr>
          <w:rFonts w:ascii="Arial" w:hAnsi="Arial" w:cs="Arial"/>
          <w:sz w:val="24"/>
          <w:szCs w:val="24"/>
        </w:rPr>
        <w:t>. Hove: Routledge, 2012.</w:t>
      </w:r>
    </w:p>
    <w:p w14:paraId="70B022FF"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Brough, P., </w:t>
      </w:r>
      <w:proofErr w:type="spellStart"/>
      <w:r w:rsidRPr="006E2D15">
        <w:rPr>
          <w:rFonts w:ascii="Arial" w:hAnsi="Arial" w:cs="Arial"/>
          <w:sz w:val="24"/>
          <w:szCs w:val="24"/>
        </w:rPr>
        <w:t>Raper</w:t>
      </w:r>
      <w:proofErr w:type="spellEnd"/>
      <w:r w:rsidRPr="006E2D15">
        <w:rPr>
          <w:rFonts w:ascii="Arial" w:hAnsi="Arial" w:cs="Arial"/>
          <w:sz w:val="24"/>
          <w:szCs w:val="24"/>
        </w:rPr>
        <w:t xml:space="preserve">, M. and </w:t>
      </w:r>
      <w:proofErr w:type="spellStart"/>
      <w:r w:rsidRPr="006E2D15">
        <w:rPr>
          <w:rFonts w:ascii="Arial" w:hAnsi="Arial" w:cs="Arial"/>
          <w:sz w:val="24"/>
          <w:szCs w:val="24"/>
        </w:rPr>
        <w:t>Spedding</w:t>
      </w:r>
      <w:proofErr w:type="spellEnd"/>
      <w:r w:rsidRPr="006E2D15">
        <w:rPr>
          <w:rFonts w:ascii="Arial" w:hAnsi="Arial" w:cs="Arial"/>
          <w:sz w:val="24"/>
          <w:szCs w:val="24"/>
        </w:rPr>
        <w:t xml:space="preserve">, J. (2021). “She’ll Be Right, Mate!” </w:t>
      </w:r>
      <w:r w:rsidRPr="006E2D15">
        <w:rPr>
          <w:rFonts w:ascii="Arial" w:hAnsi="Arial" w:cs="Arial"/>
          <w:i/>
          <w:iCs/>
          <w:sz w:val="24"/>
          <w:szCs w:val="24"/>
        </w:rPr>
        <w:t>Organizational Stress around the World</w:t>
      </w:r>
      <w:r w:rsidRPr="006E2D15">
        <w:rPr>
          <w:rFonts w:ascii="Arial" w:hAnsi="Arial" w:cs="Arial"/>
          <w:sz w:val="24"/>
          <w:szCs w:val="24"/>
        </w:rPr>
        <w:t>, [online] pp.7–22. Available at: https://doi.org/10.4324/9780429292538-2 [Accessed 14 Nov. 2021].</w:t>
      </w:r>
    </w:p>
    <w:p w14:paraId="303B92DD"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Burke, R.J. (2017). </w:t>
      </w:r>
      <w:r w:rsidRPr="006E2D15">
        <w:rPr>
          <w:rFonts w:ascii="Arial" w:hAnsi="Arial" w:cs="Arial"/>
          <w:i/>
          <w:iCs/>
          <w:sz w:val="24"/>
          <w:szCs w:val="24"/>
        </w:rPr>
        <w:t xml:space="preserve">Stress in </w:t>
      </w:r>
      <w:proofErr w:type="gramStart"/>
      <w:r w:rsidRPr="006E2D15">
        <w:rPr>
          <w:rFonts w:ascii="Arial" w:hAnsi="Arial" w:cs="Arial"/>
          <w:i/>
          <w:iCs/>
          <w:sz w:val="24"/>
          <w:szCs w:val="24"/>
        </w:rPr>
        <w:t>Policing :</w:t>
      </w:r>
      <w:proofErr w:type="gramEnd"/>
      <w:r w:rsidRPr="006E2D15">
        <w:rPr>
          <w:rFonts w:ascii="Arial" w:hAnsi="Arial" w:cs="Arial"/>
          <w:i/>
          <w:iCs/>
          <w:sz w:val="24"/>
          <w:szCs w:val="24"/>
        </w:rPr>
        <w:t xml:space="preserve"> sources, Consequences and Interventions</w:t>
      </w:r>
      <w:r w:rsidRPr="006E2D15">
        <w:rPr>
          <w:rFonts w:ascii="Arial" w:hAnsi="Arial" w:cs="Arial"/>
          <w:sz w:val="24"/>
          <w:szCs w:val="24"/>
        </w:rPr>
        <w:t>. [online] New York: Routledge, p.5. Available at: https://books.google.co.uk/books?hl=en&amp;lr=&amp;id=OCuTDAAAQBAJ&amp;oi=fnd&amp;pg=PP1&amp;dq=stress+in+policing:+sources,+consequences+and+interventions&amp;ots=qqMibjZYFZ&amp;sig=wb3ytcc8mnCveta-Msx8WvZTAxc#v=onepage&amp;q=stress%20in%20policing%3A%20sources%2C%20consequences%20and%20interventions&amp;f=false [Accessed 8 Nov. 2021].</w:t>
      </w:r>
    </w:p>
    <w:p w14:paraId="787DF66F"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lastRenderedPageBreak/>
        <w:t xml:space="preserve">Burke, R.J. and </w:t>
      </w:r>
      <w:proofErr w:type="spellStart"/>
      <w:r w:rsidRPr="006E2D15">
        <w:rPr>
          <w:rFonts w:ascii="Arial" w:hAnsi="Arial" w:cs="Arial"/>
          <w:sz w:val="24"/>
          <w:szCs w:val="24"/>
        </w:rPr>
        <w:t>Pignata</w:t>
      </w:r>
      <w:proofErr w:type="spellEnd"/>
      <w:r w:rsidRPr="006E2D15">
        <w:rPr>
          <w:rFonts w:ascii="Arial" w:hAnsi="Arial" w:cs="Arial"/>
          <w:sz w:val="24"/>
          <w:szCs w:val="24"/>
        </w:rPr>
        <w:t xml:space="preserve">, S. eds., (2020). </w:t>
      </w:r>
      <w:r w:rsidRPr="006E2D15">
        <w:rPr>
          <w:rFonts w:ascii="Arial" w:hAnsi="Arial" w:cs="Arial"/>
          <w:i/>
          <w:iCs/>
          <w:sz w:val="24"/>
          <w:szCs w:val="24"/>
        </w:rPr>
        <w:t>Handbook of Research on Stress and well-being in the Public Sector</w:t>
      </w:r>
      <w:r w:rsidRPr="006E2D15">
        <w:rPr>
          <w:rFonts w:ascii="Arial" w:hAnsi="Arial" w:cs="Arial"/>
          <w:sz w:val="24"/>
          <w:szCs w:val="24"/>
        </w:rPr>
        <w:t xml:space="preserve">. Cheltenham, </w:t>
      </w:r>
      <w:proofErr w:type="spellStart"/>
      <w:proofErr w:type="gramStart"/>
      <w:r w:rsidRPr="006E2D15">
        <w:rPr>
          <w:rFonts w:ascii="Arial" w:hAnsi="Arial" w:cs="Arial"/>
          <w:sz w:val="24"/>
          <w:szCs w:val="24"/>
        </w:rPr>
        <w:t>Uk</w:t>
      </w:r>
      <w:proofErr w:type="spellEnd"/>
      <w:r w:rsidRPr="006E2D15">
        <w:rPr>
          <w:rFonts w:ascii="Arial" w:hAnsi="Arial" w:cs="Arial"/>
          <w:sz w:val="24"/>
          <w:szCs w:val="24"/>
        </w:rPr>
        <w:t xml:space="preserve"> ;</w:t>
      </w:r>
      <w:proofErr w:type="gramEnd"/>
      <w:r w:rsidRPr="006E2D15">
        <w:rPr>
          <w:rFonts w:ascii="Arial" w:hAnsi="Arial" w:cs="Arial"/>
          <w:sz w:val="24"/>
          <w:szCs w:val="24"/>
        </w:rPr>
        <w:t xml:space="preserve"> Northampton, Ma: Edward Elgar Publishing.</w:t>
      </w:r>
    </w:p>
    <w:p w14:paraId="1363EB7A"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Burke, K.J. and Shakespeare-Finch, J. (2011) Markers of resilience in new police officers: appraisal of potentially traumatizing events, </w:t>
      </w:r>
      <w:r w:rsidRPr="006E2D15">
        <w:rPr>
          <w:rFonts w:ascii="Arial" w:hAnsi="Arial" w:cs="Arial"/>
          <w:i/>
          <w:iCs/>
          <w:sz w:val="24"/>
          <w:szCs w:val="24"/>
        </w:rPr>
        <w:t>Traumatology</w:t>
      </w:r>
      <w:r w:rsidRPr="006E2D15">
        <w:rPr>
          <w:rFonts w:ascii="Arial" w:hAnsi="Arial" w:cs="Arial"/>
          <w:sz w:val="24"/>
          <w:szCs w:val="24"/>
        </w:rPr>
        <w:t xml:space="preserve"> 17, pp. 52–60. </w:t>
      </w:r>
    </w:p>
    <w:p w14:paraId="7B4D5134"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Burnett, M.E., Sheard, I. and St Clair-Thompson, H. (2019). The Prevalence of Compassion fatigue, Compassion Satisfaction and Perceived stress, and Their Relationships with Mental toughness, Individual Differences and Number of self-care Actions in a UK Police Force. </w:t>
      </w:r>
      <w:r w:rsidRPr="006E2D15">
        <w:rPr>
          <w:rFonts w:ascii="Arial" w:hAnsi="Arial" w:cs="Arial"/>
          <w:i/>
          <w:iCs/>
          <w:sz w:val="24"/>
          <w:szCs w:val="24"/>
        </w:rPr>
        <w:t>Police Practice and Research</w:t>
      </w:r>
      <w:r w:rsidRPr="006E2D15">
        <w:rPr>
          <w:rFonts w:ascii="Arial" w:hAnsi="Arial" w:cs="Arial"/>
          <w:sz w:val="24"/>
          <w:szCs w:val="24"/>
        </w:rPr>
        <w:t>, 21(4), pp.1–18.</w:t>
      </w:r>
    </w:p>
    <w:p w14:paraId="60312655"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Civilotti</w:t>
      </w:r>
      <w:proofErr w:type="spellEnd"/>
      <w:r w:rsidRPr="006E2D15">
        <w:rPr>
          <w:rFonts w:ascii="Arial" w:hAnsi="Arial" w:cs="Arial"/>
          <w:sz w:val="24"/>
          <w:szCs w:val="24"/>
        </w:rPr>
        <w:t xml:space="preserve">, C., Di </w:t>
      </w:r>
      <w:proofErr w:type="spellStart"/>
      <w:r w:rsidRPr="006E2D15">
        <w:rPr>
          <w:rFonts w:ascii="Arial" w:hAnsi="Arial" w:cs="Arial"/>
          <w:sz w:val="24"/>
          <w:szCs w:val="24"/>
        </w:rPr>
        <w:t>Fini</w:t>
      </w:r>
      <w:proofErr w:type="spellEnd"/>
      <w:r w:rsidRPr="006E2D15">
        <w:rPr>
          <w:rFonts w:ascii="Arial" w:hAnsi="Arial" w:cs="Arial"/>
          <w:sz w:val="24"/>
          <w:szCs w:val="24"/>
        </w:rPr>
        <w:t>, G. and Maran, D.A. (2021). Trauma and Coping Strategies in Police Officers: A Quantitative-Qualitative Pilot Study. International Journal of Environmental Research and Public Health, [online] 18(3), p.982 - 994. Available at: https://www.mdpi.com/1660-4601/18/3/982 [Accessed 15 Nov. 2021].</w:t>
      </w:r>
    </w:p>
    <w:p w14:paraId="58988131"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Coffey, M., </w:t>
      </w:r>
      <w:proofErr w:type="spellStart"/>
      <w:r w:rsidRPr="006E2D15">
        <w:rPr>
          <w:rFonts w:ascii="Arial" w:hAnsi="Arial" w:cs="Arial"/>
          <w:sz w:val="24"/>
          <w:szCs w:val="24"/>
        </w:rPr>
        <w:t>Dugdill</w:t>
      </w:r>
      <w:proofErr w:type="spellEnd"/>
      <w:r w:rsidRPr="006E2D15">
        <w:rPr>
          <w:rFonts w:ascii="Arial" w:hAnsi="Arial" w:cs="Arial"/>
          <w:sz w:val="24"/>
          <w:szCs w:val="24"/>
        </w:rPr>
        <w:t>, L. and Tattersall, A. (2004). Stress in social services: mental wellbeing, constraints and job satisfaction, </w:t>
      </w:r>
      <w:r w:rsidRPr="006E2D15">
        <w:rPr>
          <w:rFonts w:ascii="Arial" w:hAnsi="Arial" w:cs="Arial"/>
          <w:i/>
          <w:iCs/>
          <w:sz w:val="24"/>
          <w:szCs w:val="24"/>
        </w:rPr>
        <w:t>British Journal of Social Work</w:t>
      </w:r>
      <w:r w:rsidRPr="006E2D15">
        <w:rPr>
          <w:rFonts w:ascii="Arial" w:hAnsi="Arial" w:cs="Arial"/>
          <w:sz w:val="24"/>
          <w:szCs w:val="24"/>
        </w:rPr>
        <w:t>, 34(5), pp.735-746. Available at: https://www-jstor-org.ezproxy.uwtsd.ac.uk/stable/23719938?seq=1#metadata_info_tab_contents</w:t>
      </w:r>
    </w:p>
    <w:p w14:paraId="6DA1075F"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College of Policing (2017). </w:t>
      </w:r>
      <w:r w:rsidRPr="006E2D15">
        <w:rPr>
          <w:rFonts w:ascii="Arial" w:hAnsi="Arial" w:cs="Arial"/>
          <w:i/>
          <w:iCs/>
          <w:sz w:val="24"/>
          <w:szCs w:val="24"/>
        </w:rPr>
        <w:t>Guiding principles for organisational leadership</w:t>
      </w:r>
      <w:r w:rsidRPr="006E2D15">
        <w:rPr>
          <w:rFonts w:ascii="Arial" w:hAnsi="Arial" w:cs="Arial"/>
          <w:sz w:val="24"/>
          <w:szCs w:val="24"/>
        </w:rPr>
        <w:t>. [online] Available at: https://assets.college.police.uk/s3fs-public/guiding-principles-for-organisational-leadership.pdf [Accessed 15 Nov. 2021].</w:t>
      </w:r>
    </w:p>
    <w:p w14:paraId="55A4A7CB"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College of Policing (2018). </w:t>
      </w:r>
      <w:r w:rsidRPr="006E2D15">
        <w:rPr>
          <w:rFonts w:ascii="Arial" w:hAnsi="Arial" w:cs="Arial"/>
          <w:i/>
          <w:iCs/>
          <w:sz w:val="24"/>
          <w:szCs w:val="24"/>
        </w:rPr>
        <w:t>Responding to Trauma in Policing: A Practical Guide</w:t>
      </w:r>
      <w:r w:rsidRPr="006E2D15">
        <w:rPr>
          <w:rFonts w:ascii="Arial" w:hAnsi="Arial" w:cs="Arial"/>
          <w:sz w:val="24"/>
          <w:szCs w:val="24"/>
        </w:rPr>
        <w:t>. [online] Available at: https://assets.college.police.uk/s3fs-public/2021-02/responding-to-trauma-in-policing.pdf [Accessed 11 Nov. 2021].</w:t>
      </w:r>
    </w:p>
    <w:p w14:paraId="28C60052"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da Silva, S.L.C. and Amaral, F.G. (2019). Critical factors of success and barriers to the implementation of occupational health and safety management systems: A systematic review of literature. </w:t>
      </w:r>
      <w:r w:rsidRPr="006E2D15">
        <w:rPr>
          <w:rFonts w:ascii="Arial" w:hAnsi="Arial" w:cs="Arial"/>
          <w:i/>
          <w:iCs/>
          <w:sz w:val="24"/>
          <w:szCs w:val="24"/>
        </w:rPr>
        <w:t>Safety Science</w:t>
      </w:r>
      <w:r w:rsidRPr="006E2D15">
        <w:rPr>
          <w:rFonts w:ascii="Arial" w:hAnsi="Arial" w:cs="Arial"/>
          <w:sz w:val="24"/>
          <w:szCs w:val="24"/>
        </w:rPr>
        <w:t>, [online] 117, pp.123–132. Available at: https://doi.org/10.1016/j.ssci.2019.03.026 [Accessed 23 Jan. 2022].</w:t>
      </w:r>
    </w:p>
    <w:p w14:paraId="4F072101"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De Neve, J.-E., Diener, E., Tay, L. and </w:t>
      </w:r>
      <w:proofErr w:type="spellStart"/>
      <w:r w:rsidRPr="006E2D15">
        <w:rPr>
          <w:rFonts w:ascii="Arial" w:hAnsi="Arial" w:cs="Arial"/>
          <w:sz w:val="24"/>
          <w:szCs w:val="24"/>
        </w:rPr>
        <w:t>Xuereb</w:t>
      </w:r>
      <w:proofErr w:type="spellEnd"/>
      <w:r w:rsidRPr="006E2D15">
        <w:rPr>
          <w:rFonts w:ascii="Arial" w:hAnsi="Arial" w:cs="Arial"/>
          <w:sz w:val="24"/>
          <w:szCs w:val="24"/>
        </w:rPr>
        <w:t xml:space="preserve">, C. (2013). </w:t>
      </w:r>
      <w:r w:rsidRPr="006E2D15">
        <w:rPr>
          <w:rFonts w:ascii="Arial" w:hAnsi="Arial" w:cs="Arial"/>
          <w:i/>
          <w:iCs/>
          <w:sz w:val="24"/>
          <w:szCs w:val="24"/>
        </w:rPr>
        <w:t>The Objective Benefits of Subjective Well-Being</w:t>
      </w:r>
      <w:r w:rsidRPr="006E2D15">
        <w:rPr>
          <w:rFonts w:ascii="Arial" w:hAnsi="Arial" w:cs="Arial"/>
          <w:sz w:val="24"/>
          <w:szCs w:val="24"/>
        </w:rPr>
        <w:t>. [online] Available at: https://cep.lse.ac.uk/pubs/download/dp1236.pdf [Accessed 11 Nov. 2021].</w:t>
      </w:r>
    </w:p>
    <w:p w14:paraId="5F8A0DAF"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lastRenderedPageBreak/>
        <w:t>El-</w:t>
      </w:r>
      <w:proofErr w:type="spellStart"/>
      <w:r w:rsidRPr="006E2D15">
        <w:rPr>
          <w:rFonts w:ascii="Arial" w:hAnsi="Arial" w:cs="Arial"/>
          <w:sz w:val="24"/>
          <w:szCs w:val="24"/>
        </w:rPr>
        <w:t>Ghalayini</w:t>
      </w:r>
      <w:proofErr w:type="spellEnd"/>
      <w:r w:rsidRPr="006E2D15">
        <w:rPr>
          <w:rFonts w:ascii="Arial" w:hAnsi="Arial" w:cs="Arial"/>
          <w:sz w:val="24"/>
          <w:szCs w:val="24"/>
        </w:rPr>
        <w:t>, Y. (2017). Human resource management practices and organizational performance in public sector organization, </w:t>
      </w:r>
      <w:r w:rsidRPr="006E2D15">
        <w:rPr>
          <w:rFonts w:ascii="Arial" w:hAnsi="Arial" w:cs="Arial"/>
          <w:i/>
          <w:iCs/>
          <w:sz w:val="24"/>
          <w:szCs w:val="24"/>
        </w:rPr>
        <w:t>Journal of Business Studies Quarterly</w:t>
      </w:r>
      <w:r w:rsidRPr="006E2D15">
        <w:rPr>
          <w:rFonts w:ascii="Arial" w:hAnsi="Arial" w:cs="Arial"/>
          <w:sz w:val="24"/>
          <w:szCs w:val="24"/>
        </w:rPr>
        <w:t>, 8(3), pp. 65-71. Available at: https://www.proquest.com/docview/1880365880?accountid=130472&amp;pq-origsite=primo</w:t>
      </w:r>
    </w:p>
    <w:p w14:paraId="4E3BE91C"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Evans, B.J. and </w:t>
      </w:r>
      <w:proofErr w:type="spellStart"/>
      <w:r w:rsidRPr="006E2D15">
        <w:rPr>
          <w:rFonts w:ascii="Arial" w:hAnsi="Arial" w:cs="Arial"/>
          <w:sz w:val="24"/>
          <w:szCs w:val="24"/>
        </w:rPr>
        <w:t>Coman</w:t>
      </w:r>
      <w:proofErr w:type="spellEnd"/>
      <w:r w:rsidRPr="006E2D15">
        <w:rPr>
          <w:rFonts w:ascii="Arial" w:hAnsi="Arial" w:cs="Arial"/>
          <w:sz w:val="24"/>
          <w:szCs w:val="24"/>
        </w:rPr>
        <w:t xml:space="preserve">, G.J. (1993). General versus Specific Measures of Occupational stress: an Australian Police Survey. </w:t>
      </w:r>
      <w:r w:rsidRPr="006E2D15">
        <w:rPr>
          <w:rFonts w:ascii="Arial" w:hAnsi="Arial" w:cs="Arial"/>
          <w:i/>
          <w:iCs/>
          <w:sz w:val="24"/>
          <w:szCs w:val="24"/>
        </w:rPr>
        <w:t>Stress Medicine</w:t>
      </w:r>
      <w:r w:rsidRPr="006E2D15">
        <w:rPr>
          <w:rFonts w:ascii="Arial" w:hAnsi="Arial" w:cs="Arial"/>
          <w:sz w:val="24"/>
          <w:szCs w:val="24"/>
        </w:rPr>
        <w:t>, [online] 9(1), pp.11–20. Available at: https://web-s-ebscohost-com.ezproxy.uwtsd.ac.uk/ehost/pdfviewer/pdfviewer?vid=1&amp;sid=ff970a95-d80a-474f-9c4f-13feae09f9ed%40redis [Accessed 22 Jan. 2022].</w:t>
      </w:r>
    </w:p>
    <w:p w14:paraId="6B6ABEA5"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Fingret</w:t>
      </w:r>
      <w:proofErr w:type="spellEnd"/>
      <w:r w:rsidRPr="006E2D15">
        <w:rPr>
          <w:rFonts w:ascii="Arial" w:hAnsi="Arial" w:cs="Arial"/>
          <w:sz w:val="24"/>
          <w:szCs w:val="24"/>
        </w:rPr>
        <w:t xml:space="preserve">, A. (2000). Occupational Mental Health: A Brief History. </w:t>
      </w:r>
      <w:r w:rsidRPr="006E2D15">
        <w:rPr>
          <w:rFonts w:ascii="Arial" w:hAnsi="Arial" w:cs="Arial"/>
          <w:i/>
          <w:iCs/>
          <w:sz w:val="24"/>
          <w:szCs w:val="24"/>
        </w:rPr>
        <w:t>Occupational Medicine</w:t>
      </w:r>
      <w:r w:rsidRPr="006E2D15">
        <w:rPr>
          <w:rFonts w:ascii="Arial" w:hAnsi="Arial" w:cs="Arial"/>
          <w:sz w:val="24"/>
          <w:szCs w:val="24"/>
        </w:rPr>
        <w:t>, [online] 50(5), pp.289–293. Available at: https://doi-org.ezproxy.uwtsd.ac.uk/10.1093/occmed/50.5.289 [Accessed 23 Jan. 2022].</w:t>
      </w:r>
    </w:p>
    <w:p w14:paraId="7920BA39"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Foley, J. and Massey, K. (2018). Police Officers and post-</w:t>
      </w:r>
      <w:proofErr w:type="gramStart"/>
      <w:r w:rsidRPr="006E2D15">
        <w:rPr>
          <w:rFonts w:ascii="Arial" w:hAnsi="Arial" w:cs="Arial"/>
          <w:sz w:val="24"/>
          <w:szCs w:val="24"/>
        </w:rPr>
        <w:t>traumatic Stress disorder</w:t>
      </w:r>
      <w:proofErr w:type="gramEnd"/>
      <w:r w:rsidRPr="006E2D15">
        <w:rPr>
          <w:rFonts w:ascii="Arial" w:hAnsi="Arial" w:cs="Arial"/>
          <w:sz w:val="24"/>
          <w:szCs w:val="24"/>
        </w:rPr>
        <w:t xml:space="preserve">: Discussing the Deficit in research, Identification and Prevention in England and Wales. </w:t>
      </w:r>
      <w:r w:rsidRPr="006E2D15">
        <w:rPr>
          <w:rFonts w:ascii="Arial" w:hAnsi="Arial" w:cs="Arial"/>
          <w:i/>
          <w:iCs/>
          <w:sz w:val="24"/>
          <w:szCs w:val="24"/>
        </w:rPr>
        <w:t>The Police Journal: Theory, Practice and Principles</w:t>
      </w:r>
      <w:r w:rsidRPr="006E2D15">
        <w:rPr>
          <w:rFonts w:ascii="Arial" w:hAnsi="Arial" w:cs="Arial"/>
          <w:sz w:val="24"/>
          <w:szCs w:val="24"/>
        </w:rPr>
        <w:t>, [online] 92(1), pp.23–34. Available at: https://journals.sagepub.com/doi/abs/10.1177/0032258X18761284 [Accessed 14 Nov. 2021].</w:t>
      </w:r>
    </w:p>
    <w:p w14:paraId="77950754"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Gyllensten</w:t>
      </w:r>
      <w:proofErr w:type="spellEnd"/>
      <w:r w:rsidRPr="006E2D15">
        <w:rPr>
          <w:rFonts w:ascii="Arial" w:hAnsi="Arial" w:cs="Arial"/>
          <w:sz w:val="24"/>
          <w:szCs w:val="24"/>
        </w:rPr>
        <w:t xml:space="preserve">, K. and Palmer, S. (2005). Can coaching reduce workplace stress? a quasi-experimental study, </w:t>
      </w:r>
      <w:r w:rsidRPr="006E2D15">
        <w:rPr>
          <w:rFonts w:ascii="Arial" w:hAnsi="Arial" w:cs="Arial"/>
          <w:i/>
          <w:iCs/>
          <w:sz w:val="24"/>
          <w:szCs w:val="24"/>
        </w:rPr>
        <w:t>International Journal of Evidence Based Coaching and Mentoring</w:t>
      </w:r>
      <w:r w:rsidRPr="006E2D15">
        <w:rPr>
          <w:rFonts w:ascii="Arial" w:hAnsi="Arial" w:cs="Arial"/>
          <w:sz w:val="24"/>
          <w:szCs w:val="24"/>
        </w:rPr>
        <w:t>, 3(2). Available at: https://www.researchgate.net/publication/316116446_Can_Coaching_Reduce_Workplace_Stress_A_Quasi-Experimental_Study/stats (Accessed 14 Nov. 2021).</w:t>
      </w:r>
    </w:p>
    <w:p w14:paraId="2B470DA4"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Hakik</w:t>
      </w:r>
      <w:proofErr w:type="spellEnd"/>
      <w:r w:rsidRPr="006E2D15">
        <w:rPr>
          <w:rFonts w:ascii="Arial" w:hAnsi="Arial" w:cs="Arial"/>
          <w:sz w:val="24"/>
          <w:szCs w:val="24"/>
        </w:rPr>
        <w:t xml:space="preserve">, S. and Langlois, K. (2020). “To serve and protect their mental health”: the effects of police occupational culture on police officers’ mental health, </w:t>
      </w:r>
      <w:r w:rsidRPr="006E2D15">
        <w:rPr>
          <w:rFonts w:ascii="Arial" w:hAnsi="Arial" w:cs="Arial"/>
          <w:i/>
          <w:iCs/>
          <w:sz w:val="24"/>
          <w:szCs w:val="24"/>
        </w:rPr>
        <w:t>Salus Journal</w:t>
      </w:r>
      <w:r w:rsidRPr="006E2D15">
        <w:rPr>
          <w:rFonts w:ascii="Arial" w:hAnsi="Arial" w:cs="Arial"/>
          <w:sz w:val="24"/>
          <w:szCs w:val="24"/>
        </w:rPr>
        <w:t>, 8(2), pp. 117-151.</w:t>
      </w:r>
    </w:p>
    <w:p w14:paraId="5FE30440"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Hall, G.B., Dollard, M.F., Tuckey, M.R., </w:t>
      </w:r>
      <w:proofErr w:type="spellStart"/>
      <w:r w:rsidRPr="006E2D15">
        <w:rPr>
          <w:rFonts w:ascii="Arial" w:hAnsi="Arial" w:cs="Arial"/>
          <w:sz w:val="24"/>
          <w:szCs w:val="24"/>
        </w:rPr>
        <w:t>Winefield</w:t>
      </w:r>
      <w:proofErr w:type="spellEnd"/>
      <w:r w:rsidRPr="006E2D15">
        <w:rPr>
          <w:rFonts w:ascii="Arial" w:hAnsi="Arial" w:cs="Arial"/>
          <w:sz w:val="24"/>
          <w:szCs w:val="24"/>
        </w:rPr>
        <w:t xml:space="preserve">, A.H. and Thompson, B.M. (2010). Job demands, work-family conflict, and Emotional Exhaustion in Police officers: a Longitudinal Test of Competing Theories. </w:t>
      </w:r>
      <w:r w:rsidRPr="006E2D15">
        <w:rPr>
          <w:rFonts w:ascii="Arial" w:hAnsi="Arial" w:cs="Arial"/>
          <w:i/>
          <w:iCs/>
          <w:sz w:val="24"/>
          <w:szCs w:val="24"/>
        </w:rPr>
        <w:t>Journal of Occupational and Organizational Psychology</w:t>
      </w:r>
      <w:r w:rsidRPr="006E2D15">
        <w:rPr>
          <w:rFonts w:ascii="Arial" w:hAnsi="Arial" w:cs="Arial"/>
          <w:sz w:val="24"/>
          <w:szCs w:val="24"/>
        </w:rPr>
        <w:t xml:space="preserve">, [online] 83(1), pp.237–250. Available at: </w:t>
      </w:r>
      <w:r w:rsidRPr="006E2D15">
        <w:rPr>
          <w:rFonts w:ascii="Arial" w:hAnsi="Arial" w:cs="Arial"/>
          <w:sz w:val="24"/>
          <w:szCs w:val="24"/>
        </w:rPr>
        <w:lastRenderedPageBreak/>
        <w:t>https://bpspsychub.onlinelibrary.wiley.com/doi/pdf/10.1348/096317908X401723 [Accessed 14 Nov. 2021].</w:t>
      </w:r>
    </w:p>
    <w:p w14:paraId="2326E385"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Health and Safety Executive (2020). </w:t>
      </w:r>
      <w:r w:rsidRPr="006E2D15">
        <w:rPr>
          <w:rFonts w:ascii="Arial" w:hAnsi="Arial" w:cs="Arial"/>
          <w:i/>
          <w:iCs/>
          <w:sz w:val="24"/>
          <w:szCs w:val="24"/>
        </w:rPr>
        <w:t>Work Related Stress, Anxiety or Depression Statistics in Great Britain, 2020</w:t>
      </w:r>
      <w:r w:rsidRPr="006E2D15">
        <w:rPr>
          <w:rFonts w:ascii="Arial" w:hAnsi="Arial" w:cs="Arial"/>
          <w:sz w:val="24"/>
          <w:szCs w:val="24"/>
        </w:rPr>
        <w:t>. [online] Available at: https://www.hse.gov.uk/statistics/causdis/stress.pdf [Accessed 11 Nov. 2021].</w:t>
      </w:r>
    </w:p>
    <w:p w14:paraId="25F317BF"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Hesketh</w:t>
      </w:r>
      <w:proofErr w:type="spellEnd"/>
      <w:r w:rsidRPr="006E2D15">
        <w:rPr>
          <w:rFonts w:ascii="Arial" w:hAnsi="Arial" w:cs="Arial"/>
          <w:sz w:val="24"/>
          <w:szCs w:val="24"/>
        </w:rPr>
        <w:t>, I. and Cooper, C.L. (2017). Managing Health and Wellbeing in the Public Sector: A Guide to Best Practice. London: Routledge.</w:t>
      </w:r>
    </w:p>
    <w:p w14:paraId="79E2B73A"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Hesketh</w:t>
      </w:r>
      <w:proofErr w:type="spellEnd"/>
      <w:r w:rsidRPr="006E2D15">
        <w:rPr>
          <w:rFonts w:ascii="Arial" w:hAnsi="Arial" w:cs="Arial"/>
          <w:sz w:val="24"/>
          <w:szCs w:val="24"/>
        </w:rPr>
        <w:t xml:space="preserve">, I. and Tehrani, N. (2019). Psychological trauma risk management in the UK police service, </w:t>
      </w:r>
      <w:r w:rsidRPr="006E2D15">
        <w:rPr>
          <w:rFonts w:ascii="Arial" w:hAnsi="Arial" w:cs="Arial"/>
          <w:i/>
          <w:iCs/>
          <w:sz w:val="24"/>
          <w:szCs w:val="24"/>
        </w:rPr>
        <w:t>Policing</w:t>
      </w:r>
      <w:r w:rsidRPr="006E2D15">
        <w:rPr>
          <w:rFonts w:ascii="Arial" w:hAnsi="Arial" w:cs="Arial"/>
          <w:sz w:val="24"/>
          <w:szCs w:val="24"/>
        </w:rPr>
        <w:t xml:space="preserve"> 13, pp. 531–535. Available at: </w:t>
      </w:r>
      <w:hyperlink r:id="rId5" w:history="1">
        <w:r w:rsidRPr="006E2D15">
          <w:rPr>
            <w:rStyle w:val="Hyperlink"/>
            <w:rFonts w:ascii="Arial" w:hAnsi="Arial" w:cs="Arial"/>
            <w:sz w:val="24"/>
            <w:szCs w:val="24"/>
          </w:rPr>
          <w:t>https://www.researchgate.net/publication/328916488_Psychological_Trauma_Risk_Management_in_the_UK_Police_Service</w:t>
        </w:r>
      </w:hyperlink>
    </w:p>
    <w:p w14:paraId="099C18CB"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HMICFRS. (2018). </w:t>
      </w:r>
      <w:r w:rsidRPr="006E2D15">
        <w:rPr>
          <w:rFonts w:ascii="Arial" w:hAnsi="Arial" w:cs="Arial"/>
          <w:i/>
          <w:iCs/>
          <w:sz w:val="24"/>
          <w:szCs w:val="24"/>
        </w:rPr>
        <w:t>Policing and Mental health: Picking up the Pieces</w:t>
      </w:r>
      <w:r w:rsidRPr="006E2D15">
        <w:rPr>
          <w:rFonts w:ascii="Arial" w:hAnsi="Arial" w:cs="Arial"/>
          <w:sz w:val="24"/>
          <w:szCs w:val="24"/>
        </w:rPr>
        <w:t xml:space="preserve">. London: HMICFRS. Available at: </w:t>
      </w:r>
      <w:hyperlink r:id="rId6" w:history="1">
        <w:r w:rsidRPr="006E2D15">
          <w:rPr>
            <w:rStyle w:val="Hyperlink"/>
            <w:rFonts w:ascii="Arial" w:hAnsi="Arial" w:cs="Arial"/>
            <w:sz w:val="24"/>
            <w:szCs w:val="24"/>
          </w:rPr>
          <w:t>https://www.justiceinspectorates.gov.uk/hmicfrs/wp-content/uploads/policing-and-mental-health-picking-up-the-pieces.pdf</w:t>
        </w:r>
      </w:hyperlink>
      <w:r w:rsidRPr="006E2D15">
        <w:rPr>
          <w:rFonts w:ascii="Arial" w:hAnsi="Arial" w:cs="Arial"/>
          <w:sz w:val="24"/>
          <w:szCs w:val="24"/>
        </w:rPr>
        <w:t xml:space="preserve"> (Accessed 15 Nov 2021).</w:t>
      </w:r>
    </w:p>
    <w:p w14:paraId="446FECCD"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Holman, D., Johnson, S. and O’Connor, E. (2018). Stress management interventions: improving subjective psychological well-being in the workplace, in Diener, E., Oishi S. and L. Tay (eds.) </w:t>
      </w:r>
      <w:r w:rsidRPr="006E2D15">
        <w:rPr>
          <w:rFonts w:ascii="Arial" w:hAnsi="Arial" w:cs="Arial"/>
          <w:i/>
          <w:iCs/>
          <w:sz w:val="24"/>
          <w:szCs w:val="24"/>
        </w:rPr>
        <w:t>Handbook of well-being</w:t>
      </w:r>
      <w:r w:rsidRPr="006E2D15">
        <w:rPr>
          <w:rFonts w:ascii="Arial" w:hAnsi="Arial" w:cs="Arial"/>
          <w:sz w:val="24"/>
          <w:szCs w:val="24"/>
        </w:rPr>
        <w:t xml:space="preserve">. Salt Lake City, UT: DEF Publishers. </w:t>
      </w:r>
    </w:p>
    <w:p w14:paraId="14DC5223"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Home Office (2021). </w:t>
      </w:r>
      <w:r w:rsidRPr="006E2D15">
        <w:rPr>
          <w:rFonts w:ascii="Arial" w:hAnsi="Arial" w:cs="Arial"/>
          <w:i/>
          <w:iCs/>
          <w:sz w:val="24"/>
          <w:szCs w:val="24"/>
        </w:rPr>
        <w:t>National Statistics overview: Police workforce, England and Wales: 31 March 2021</w:t>
      </w:r>
      <w:r w:rsidRPr="006E2D15">
        <w:rPr>
          <w:rFonts w:ascii="Arial" w:hAnsi="Arial" w:cs="Arial"/>
          <w:sz w:val="24"/>
          <w:szCs w:val="24"/>
        </w:rPr>
        <w:t>. [online] Available at: https://www.gov.uk/government/statistics/police-workforce-england-and-wales-31-march-2021 [Accessed 11 Nov. 2021].</w:t>
      </w:r>
    </w:p>
    <w:p w14:paraId="6347BE23"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Institute for Government. (2019). </w:t>
      </w:r>
      <w:r w:rsidRPr="006E2D15">
        <w:rPr>
          <w:rFonts w:ascii="Arial" w:hAnsi="Arial" w:cs="Arial"/>
          <w:i/>
          <w:iCs/>
          <w:sz w:val="24"/>
          <w:szCs w:val="24"/>
        </w:rPr>
        <w:t>Police Performance Tracker</w:t>
      </w:r>
      <w:r w:rsidRPr="006E2D15">
        <w:rPr>
          <w:rFonts w:ascii="Arial" w:hAnsi="Arial" w:cs="Arial"/>
          <w:sz w:val="24"/>
          <w:szCs w:val="24"/>
        </w:rPr>
        <w:t xml:space="preserve">. Available at: </w:t>
      </w:r>
      <w:hyperlink r:id="rId7" w:history="1">
        <w:r w:rsidRPr="006E2D15">
          <w:rPr>
            <w:rStyle w:val="Hyperlink"/>
            <w:rFonts w:ascii="Arial" w:hAnsi="Arial" w:cs="Arial"/>
            <w:sz w:val="24"/>
            <w:szCs w:val="24"/>
          </w:rPr>
          <w:t>https://www.instituteforgovernment.org.uk/publication/performance-tracker-2019/police</w:t>
        </w:r>
      </w:hyperlink>
      <w:r w:rsidRPr="006E2D15">
        <w:rPr>
          <w:rFonts w:ascii="Arial" w:hAnsi="Arial" w:cs="Arial"/>
          <w:sz w:val="24"/>
          <w:szCs w:val="24"/>
        </w:rPr>
        <w:t xml:space="preserve"> (Accessed 15 Nov 2021).</w:t>
      </w:r>
    </w:p>
    <w:p w14:paraId="5256321C"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Le </w:t>
      </w:r>
      <w:proofErr w:type="spellStart"/>
      <w:r w:rsidRPr="006E2D15">
        <w:rPr>
          <w:rFonts w:ascii="Arial" w:hAnsi="Arial" w:cs="Arial"/>
          <w:sz w:val="24"/>
          <w:szCs w:val="24"/>
        </w:rPr>
        <w:t>Fevre</w:t>
      </w:r>
      <w:proofErr w:type="spellEnd"/>
      <w:r w:rsidRPr="006E2D15">
        <w:rPr>
          <w:rFonts w:ascii="Arial" w:hAnsi="Arial" w:cs="Arial"/>
          <w:sz w:val="24"/>
          <w:szCs w:val="24"/>
        </w:rPr>
        <w:t xml:space="preserve">, M., Matheny, J. and </w:t>
      </w:r>
      <w:proofErr w:type="spellStart"/>
      <w:r w:rsidRPr="006E2D15">
        <w:rPr>
          <w:rFonts w:ascii="Arial" w:hAnsi="Arial" w:cs="Arial"/>
          <w:sz w:val="24"/>
          <w:szCs w:val="24"/>
        </w:rPr>
        <w:t>Kolt</w:t>
      </w:r>
      <w:proofErr w:type="spellEnd"/>
      <w:r w:rsidRPr="006E2D15">
        <w:rPr>
          <w:rFonts w:ascii="Arial" w:hAnsi="Arial" w:cs="Arial"/>
          <w:sz w:val="24"/>
          <w:szCs w:val="24"/>
        </w:rPr>
        <w:t xml:space="preserve">, G.S. (2003). Eustress, distress, and interpretation in occupational stress. </w:t>
      </w:r>
      <w:r w:rsidRPr="006E2D15">
        <w:rPr>
          <w:rFonts w:ascii="Arial" w:hAnsi="Arial" w:cs="Arial"/>
          <w:i/>
          <w:iCs/>
          <w:sz w:val="24"/>
          <w:szCs w:val="24"/>
        </w:rPr>
        <w:t>Journal of Managerial Psychology</w:t>
      </w:r>
      <w:r w:rsidRPr="006E2D15">
        <w:rPr>
          <w:rFonts w:ascii="Arial" w:hAnsi="Arial" w:cs="Arial"/>
          <w:sz w:val="24"/>
          <w:szCs w:val="24"/>
        </w:rPr>
        <w:t>, [online] 18(7), pp.726–744. Available at: https://doi.org/10.1108/02683940310502412 [Accessed 23 Jan. 2022].</w:t>
      </w:r>
    </w:p>
    <w:p w14:paraId="4FCD3D81"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lastRenderedPageBreak/>
        <w:t xml:space="preserve">Leka, S. </w:t>
      </w:r>
      <w:r w:rsidRPr="006E2D15">
        <w:rPr>
          <w:rFonts w:ascii="Arial" w:hAnsi="Arial" w:cs="Arial"/>
          <w:i/>
          <w:iCs/>
          <w:sz w:val="24"/>
          <w:szCs w:val="24"/>
        </w:rPr>
        <w:t>et al</w:t>
      </w:r>
      <w:r w:rsidRPr="006E2D15">
        <w:rPr>
          <w:rFonts w:ascii="Arial" w:hAnsi="Arial" w:cs="Arial"/>
          <w:sz w:val="24"/>
          <w:szCs w:val="24"/>
        </w:rPr>
        <w:t xml:space="preserve">. (2008). ‘Best practice in interventions for the prevention and management of work-related stress and workplace violence and bullying, in Leka, S. and Cox, T. (eds.) </w:t>
      </w:r>
      <w:r w:rsidRPr="006E2D15">
        <w:rPr>
          <w:rFonts w:ascii="Arial" w:hAnsi="Arial" w:cs="Arial"/>
          <w:i/>
          <w:iCs/>
          <w:sz w:val="24"/>
          <w:szCs w:val="24"/>
        </w:rPr>
        <w:t>The European Framework for Psychosocial Risk Management</w:t>
      </w:r>
      <w:r w:rsidRPr="006E2D15">
        <w:rPr>
          <w:rFonts w:ascii="Arial" w:hAnsi="Arial" w:cs="Arial"/>
          <w:sz w:val="24"/>
          <w:szCs w:val="24"/>
        </w:rPr>
        <w:t>. Nottingham: WHO Publications.</w:t>
      </w:r>
    </w:p>
    <w:p w14:paraId="0FBD55D5"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Lewis, K., Higgins, A. and </w:t>
      </w:r>
      <w:proofErr w:type="spellStart"/>
      <w:r w:rsidRPr="006E2D15">
        <w:rPr>
          <w:rFonts w:ascii="Arial" w:hAnsi="Arial" w:cs="Arial"/>
          <w:sz w:val="24"/>
          <w:szCs w:val="24"/>
        </w:rPr>
        <w:t>Miur</w:t>
      </w:r>
      <w:proofErr w:type="spellEnd"/>
      <w:r w:rsidRPr="006E2D15">
        <w:rPr>
          <w:rFonts w:ascii="Arial" w:hAnsi="Arial" w:cs="Arial"/>
          <w:sz w:val="24"/>
          <w:szCs w:val="24"/>
        </w:rPr>
        <w:t xml:space="preserve">, R. (2019). </w:t>
      </w:r>
      <w:r w:rsidRPr="006E2D15">
        <w:rPr>
          <w:rFonts w:ascii="Arial" w:hAnsi="Arial" w:cs="Arial"/>
          <w:i/>
          <w:iCs/>
          <w:sz w:val="24"/>
          <w:szCs w:val="24"/>
        </w:rPr>
        <w:t>Police Workforce Wellbeing and Organisational Development</w:t>
      </w:r>
      <w:r w:rsidRPr="006E2D15">
        <w:rPr>
          <w:rFonts w:ascii="Arial" w:hAnsi="Arial" w:cs="Arial"/>
          <w:sz w:val="24"/>
          <w:szCs w:val="24"/>
        </w:rPr>
        <w:t xml:space="preserve">. The Police Foundation. Available at: </w:t>
      </w:r>
      <w:hyperlink r:id="rId8" w:history="1">
        <w:r w:rsidRPr="006E2D15">
          <w:rPr>
            <w:rStyle w:val="Hyperlink"/>
            <w:rFonts w:ascii="Arial" w:hAnsi="Arial" w:cs="Arial"/>
            <w:sz w:val="24"/>
            <w:szCs w:val="24"/>
          </w:rPr>
          <w:t>https://www.police-foundation.org.uk/2017/wp-content/uploads/2019/02/organisational_development_report_final.pdf</w:t>
        </w:r>
      </w:hyperlink>
      <w:r w:rsidRPr="006E2D15">
        <w:rPr>
          <w:rFonts w:ascii="Arial" w:hAnsi="Arial" w:cs="Arial"/>
          <w:sz w:val="24"/>
          <w:szCs w:val="24"/>
        </w:rPr>
        <w:t xml:space="preserve"> (accessed 14 Nov 2021).</w:t>
      </w:r>
    </w:p>
    <w:p w14:paraId="6D92894B"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Met Police, Information Rights Unit. (2019). </w:t>
      </w:r>
      <w:r w:rsidRPr="006E2D15">
        <w:rPr>
          <w:rFonts w:ascii="Arial" w:hAnsi="Arial" w:cs="Arial"/>
          <w:i/>
          <w:iCs/>
          <w:sz w:val="24"/>
          <w:szCs w:val="24"/>
        </w:rPr>
        <w:t>MPS Stress Management Policy and Procedures</w:t>
      </w:r>
      <w:r w:rsidRPr="006E2D15">
        <w:rPr>
          <w:rFonts w:ascii="Arial" w:hAnsi="Arial" w:cs="Arial"/>
          <w:sz w:val="24"/>
          <w:szCs w:val="24"/>
        </w:rPr>
        <w:t xml:space="preserve">. Available at: </w:t>
      </w:r>
      <w:hyperlink r:id="rId9" w:history="1">
        <w:r w:rsidRPr="006E2D15">
          <w:rPr>
            <w:rStyle w:val="Hyperlink"/>
            <w:rFonts w:ascii="Arial" w:hAnsi="Arial" w:cs="Arial"/>
            <w:sz w:val="24"/>
            <w:szCs w:val="24"/>
          </w:rPr>
          <w:t>https://www.met.police.uk/SysSiteAssets/foi-media/metropolitan-police/disclosure_2019/january_2019/information-rights-unit---mps-stress-management-policy-and-procedures</w:t>
        </w:r>
      </w:hyperlink>
      <w:r w:rsidRPr="006E2D15">
        <w:rPr>
          <w:rFonts w:ascii="Arial" w:hAnsi="Arial" w:cs="Arial"/>
          <w:sz w:val="24"/>
          <w:szCs w:val="24"/>
        </w:rPr>
        <w:t xml:space="preserve"> (accessed 14 Nov 2021).</w:t>
      </w:r>
    </w:p>
    <w:p w14:paraId="29A9F5F0"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Mind. (2019a). </w:t>
      </w:r>
      <w:r w:rsidRPr="006E2D15">
        <w:rPr>
          <w:rFonts w:ascii="Arial" w:hAnsi="Arial" w:cs="Arial"/>
          <w:i/>
          <w:iCs/>
          <w:sz w:val="24"/>
          <w:szCs w:val="24"/>
        </w:rPr>
        <w:t>Blue Light Scoping Survey: Police Summary</w:t>
      </w:r>
      <w:r w:rsidRPr="006E2D15">
        <w:rPr>
          <w:rFonts w:ascii="Arial" w:hAnsi="Arial" w:cs="Arial"/>
          <w:sz w:val="24"/>
          <w:szCs w:val="24"/>
        </w:rPr>
        <w:t>. Available at: https://www.mind.org.uk/media-a/4583/blue-light-scoping-survey-police.pdf (accessed 12 Nov 2021).</w:t>
      </w:r>
    </w:p>
    <w:p w14:paraId="784CBD0B"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Mind. (2019b). </w:t>
      </w:r>
      <w:r w:rsidRPr="006E2D15">
        <w:rPr>
          <w:rFonts w:ascii="Arial" w:hAnsi="Arial" w:cs="Arial"/>
          <w:i/>
          <w:iCs/>
          <w:sz w:val="24"/>
          <w:szCs w:val="24"/>
        </w:rPr>
        <w:t>Mental Health in the Emergency Services Survey Results: Police Service</w:t>
      </w:r>
      <w:r w:rsidRPr="006E2D15">
        <w:rPr>
          <w:rFonts w:ascii="Arial" w:hAnsi="Arial" w:cs="Arial"/>
          <w:sz w:val="24"/>
          <w:szCs w:val="24"/>
        </w:rPr>
        <w:t>. Available at: https://www.mind.org.uk/media-a/4849/2019-survey-police-service-summary.pdf (Accessed 11 Nov 2021).</w:t>
      </w:r>
    </w:p>
    <w:p w14:paraId="32FD4C6D"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Mohammad </w:t>
      </w:r>
      <w:proofErr w:type="spellStart"/>
      <w:r w:rsidRPr="006E2D15">
        <w:rPr>
          <w:rFonts w:ascii="Arial" w:hAnsi="Arial" w:cs="Arial"/>
          <w:sz w:val="24"/>
          <w:szCs w:val="24"/>
        </w:rPr>
        <w:t>Mosadeghrad</w:t>
      </w:r>
      <w:proofErr w:type="spellEnd"/>
      <w:r w:rsidRPr="006E2D15">
        <w:rPr>
          <w:rFonts w:ascii="Arial" w:hAnsi="Arial" w:cs="Arial"/>
          <w:sz w:val="24"/>
          <w:szCs w:val="24"/>
        </w:rPr>
        <w:t xml:space="preserve">, A. (2014). Occupational Stress and Its Consequences. </w:t>
      </w:r>
      <w:r w:rsidRPr="006E2D15">
        <w:rPr>
          <w:rFonts w:ascii="Arial" w:hAnsi="Arial" w:cs="Arial"/>
          <w:i/>
          <w:iCs/>
          <w:sz w:val="24"/>
          <w:szCs w:val="24"/>
        </w:rPr>
        <w:t>Leadership in Health Services</w:t>
      </w:r>
      <w:r w:rsidRPr="006E2D15">
        <w:rPr>
          <w:rFonts w:ascii="Arial" w:hAnsi="Arial" w:cs="Arial"/>
          <w:sz w:val="24"/>
          <w:szCs w:val="24"/>
        </w:rPr>
        <w:t>, [online] 27(3), pp.224–239. Available at: https://www.emerald.com/insight/content/doi/10.1108/LHS-07-2013-0032/full/html [Accessed 14 Nov. 2021].</w:t>
      </w:r>
    </w:p>
    <w:p w14:paraId="3A69CE22"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Murphy, L.R. and Sauter, S.L. (2004). Work Organization interventions: State of Knowledge and Future Directions. </w:t>
      </w:r>
      <w:r w:rsidRPr="006E2D15">
        <w:rPr>
          <w:rFonts w:ascii="Arial" w:hAnsi="Arial" w:cs="Arial"/>
          <w:i/>
          <w:iCs/>
          <w:sz w:val="24"/>
          <w:szCs w:val="24"/>
        </w:rPr>
        <w:t>Social and Preventive Medicine</w:t>
      </w:r>
      <w:r w:rsidRPr="006E2D15">
        <w:rPr>
          <w:rFonts w:ascii="Arial" w:hAnsi="Arial" w:cs="Arial"/>
          <w:sz w:val="24"/>
          <w:szCs w:val="24"/>
        </w:rPr>
        <w:t>, [online] 49(2), pp.79–86. Available at: https://unhealthywork.org/wp-content/uploads/10_Murphy-Sauter.pdf [Accessed 15 Nov. 2021].</w:t>
      </w:r>
    </w:p>
    <w:p w14:paraId="0815D4B5"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Nisar, S.K. and Rasheed, M.I. (2019). Stress and performance: Investigating Relationship between Occupational stress, Career satisfaction, and Job Performance of Police Employees. </w:t>
      </w:r>
      <w:r w:rsidRPr="006E2D15">
        <w:rPr>
          <w:rFonts w:ascii="Arial" w:hAnsi="Arial" w:cs="Arial"/>
          <w:i/>
          <w:iCs/>
          <w:sz w:val="24"/>
          <w:szCs w:val="24"/>
        </w:rPr>
        <w:t>Journal of Public Affairs</w:t>
      </w:r>
      <w:r w:rsidRPr="006E2D15">
        <w:rPr>
          <w:rFonts w:ascii="Arial" w:hAnsi="Arial" w:cs="Arial"/>
          <w:sz w:val="24"/>
          <w:szCs w:val="24"/>
        </w:rPr>
        <w:t xml:space="preserve">, [online] 20(1). Available </w:t>
      </w:r>
      <w:r w:rsidRPr="006E2D15">
        <w:rPr>
          <w:rFonts w:ascii="Arial" w:hAnsi="Arial" w:cs="Arial"/>
          <w:sz w:val="24"/>
          <w:szCs w:val="24"/>
        </w:rPr>
        <w:lastRenderedPageBreak/>
        <w:t>at: https://onlinelibrary.wiley.com/doi/full/10.1002/pa.1986?saml_referrer [Accessed 12 Nov. 2021].</w:t>
      </w:r>
    </w:p>
    <w:p w14:paraId="488DDBE0"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O’Sullivan, G. (2011). The Relationship Between Hope, Eustress, Self-Efficacy, and Life Satisfaction Among Undergraduates. </w:t>
      </w:r>
      <w:r w:rsidRPr="006E2D15">
        <w:rPr>
          <w:rFonts w:ascii="Arial" w:hAnsi="Arial" w:cs="Arial"/>
          <w:i/>
          <w:iCs/>
          <w:sz w:val="24"/>
          <w:szCs w:val="24"/>
        </w:rPr>
        <w:t>Social Indicators Research</w:t>
      </w:r>
      <w:r w:rsidRPr="006E2D15">
        <w:rPr>
          <w:rFonts w:ascii="Arial" w:hAnsi="Arial" w:cs="Arial"/>
          <w:sz w:val="24"/>
          <w:szCs w:val="24"/>
        </w:rPr>
        <w:t>, 101(1), pp.155–172.</w:t>
      </w:r>
    </w:p>
    <w:p w14:paraId="0538FC17"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Ongori</w:t>
      </w:r>
      <w:proofErr w:type="spellEnd"/>
      <w:r w:rsidRPr="006E2D15">
        <w:rPr>
          <w:rFonts w:ascii="Arial" w:hAnsi="Arial" w:cs="Arial"/>
          <w:sz w:val="24"/>
          <w:szCs w:val="24"/>
        </w:rPr>
        <w:t xml:space="preserve">, H. and </w:t>
      </w:r>
      <w:proofErr w:type="spellStart"/>
      <w:r w:rsidRPr="006E2D15">
        <w:rPr>
          <w:rFonts w:ascii="Arial" w:hAnsi="Arial" w:cs="Arial"/>
          <w:sz w:val="24"/>
          <w:szCs w:val="24"/>
        </w:rPr>
        <w:t>Agolla</w:t>
      </w:r>
      <w:proofErr w:type="spellEnd"/>
      <w:r w:rsidRPr="006E2D15">
        <w:rPr>
          <w:rFonts w:ascii="Arial" w:hAnsi="Arial" w:cs="Arial"/>
          <w:sz w:val="24"/>
          <w:szCs w:val="24"/>
        </w:rPr>
        <w:t xml:space="preserve">, J.E. (2008). Occupational Stress in Organizations and Its Effects on Organizational Performance. </w:t>
      </w:r>
      <w:r w:rsidRPr="006E2D15">
        <w:rPr>
          <w:rFonts w:ascii="Arial" w:hAnsi="Arial" w:cs="Arial"/>
          <w:i/>
          <w:iCs/>
          <w:sz w:val="24"/>
          <w:szCs w:val="24"/>
        </w:rPr>
        <w:t>Journal of Management Research</w:t>
      </w:r>
      <w:r w:rsidRPr="006E2D15">
        <w:rPr>
          <w:rFonts w:ascii="Arial" w:hAnsi="Arial" w:cs="Arial"/>
          <w:sz w:val="24"/>
          <w:szCs w:val="24"/>
        </w:rPr>
        <w:t>, 8(3), pp.123–135.</w:t>
      </w:r>
    </w:p>
    <w:p w14:paraId="762BBE6B"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Oscar Kilo. (2020) </w:t>
      </w:r>
      <w:r w:rsidRPr="006E2D15">
        <w:rPr>
          <w:rFonts w:ascii="Arial" w:hAnsi="Arial" w:cs="Arial"/>
          <w:i/>
          <w:iCs/>
          <w:sz w:val="24"/>
          <w:szCs w:val="24"/>
        </w:rPr>
        <w:t>Wellbeing Framework</w:t>
      </w:r>
      <w:r w:rsidRPr="006E2D15">
        <w:rPr>
          <w:rFonts w:ascii="Arial" w:hAnsi="Arial" w:cs="Arial"/>
          <w:sz w:val="24"/>
          <w:szCs w:val="24"/>
        </w:rPr>
        <w:t xml:space="preserve">. Available at: </w:t>
      </w:r>
      <w:hyperlink r:id="rId10" w:history="1">
        <w:r w:rsidRPr="006E2D15">
          <w:rPr>
            <w:rStyle w:val="Hyperlink"/>
            <w:rFonts w:ascii="Arial" w:hAnsi="Arial" w:cs="Arial"/>
            <w:sz w:val="24"/>
            <w:szCs w:val="24"/>
          </w:rPr>
          <w:t>https://oscarkilo.org.uk/wellbeing-framework/</w:t>
        </w:r>
      </w:hyperlink>
      <w:r w:rsidRPr="006E2D15">
        <w:rPr>
          <w:rFonts w:ascii="Arial" w:hAnsi="Arial" w:cs="Arial"/>
          <w:sz w:val="24"/>
          <w:szCs w:val="24"/>
        </w:rPr>
        <w:t xml:space="preserve"> (accessed 13 Nov 2021).</w:t>
      </w:r>
    </w:p>
    <w:p w14:paraId="0734F454"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Police Care UK. (2018). </w:t>
      </w:r>
      <w:r w:rsidRPr="006E2D15">
        <w:rPr>
          <w:rFonts w:ascii="Arial" w:hAnsi="Arial" w:cs="Arial"/>
          <w:i/>
          <w:iCs/>
          <w:sz w:val="24"/>
          <w:szCs w:val="24"/>
        </w:rPr>
        <w:t>Policing: The Job and the life Survey</w:t>
      </w:r>
      <w:r w:rsidRPr="006E2D15">
        <w:rPr>
          <w:rFonts w:ascii="Arial" w:hAnsi="Arial" w:cs="Arial"/>
          <w:sz w:val="24"/>
          <w:szCs w:val="24"/>
        </w:rPr>
        <w:t>. Available at: https://www.policecare.org.uk/wp-content/uploads/PoliceCareUK_TJTL-Report-.pdf (accessed 12 Nov 2021).</w:t>
      </w:r>
    </w:p>
    <w:p w14:paraId="158DEBE5"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Police Care UK. (2019). </w:t>
      </w:r>
      <w:r w:rsidRPr="006E2D15">
        <w:rPr>
          <w:rFonts w:ascii="Arial" w:hAnsi="Arial" w:cs="Arial"/>
          <w:i/>
          <w:iCs/>
          <w:sz w:val="24"/>
          <w:szCs w:val="24"/>
        </w:rPr>
        <w:t>Mental Health Strategy for Policing Urgently Required</w:t>
      </w:r>
      <w:r w:rsidRPr="006E2D15">
        <w:rPr>
          <w:rFonts w:ascii="Arial" w:hAnsi="Arial" w:cs="Arial"/>
          <w:sz w:val="24"/>
          <w:szCs w:val="24"/>
        </w:rPr>
        <w:t>. Available at: https://www.policecare.org.uk/mental-health-strategy-for-policing-urgently-required/ (accessed 11 Nov 2021).</w:t>
      </w:r>
    </w:p>
    <w:p w14:paraId="009F7E92"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Police Federation (2021a). </w:t>
      </w:r>
      <w:r w:rsidRPr="006E2D15">
        <w:rPr>
          <w:rFonts w:ascii="Arial" w:hAnsi="Arial" w:cs="Arial"/>
          <w:i/>
          <w:iCs/>
          <w:sz w:val="24"/>
          <w:szCs w:val="24"/>
        </w:rPr>
        <w:t>Demand Capacity &amp; Welfare Survey Mental Health and Wellbeing Support June 2021</w:t>
      </w:r>
      <w:r w:rsidRPr="006E2D15">
        <w:rPr>
          <w:rFonts w:ascii="Arial" w:hAnsi="Arial" w:cs="Arial"/>
          <w:sz w:val="24"/>
          <w:szCs w:val="24"/>
        </w:rPr>
        <w:t>. [online] Available at: https://www.polfed.org/media/17125/mental-health-and-wellbeing-support-june-2021-report.pdf [Accessed 11 Nov. 2021].</w:t>
      </w:r>
    </w:p>
    <w:p w14:paraId="01C75A5E"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Police Federation (2021b). </w:t>
      </w:r>
      <w:r w:rsidRPr="006E2D15">
        <w:rPr>
          <w:rFonts w:ascii="Arial" w:hAnsi="Arial" w:cs="Arial"/>
          <w:i/>
          <w:iCs/>
          <w:sz w:val="24"/>
          <w:szCs w:val="24"/>
        </w:rPr>
        <w:t>PFEW Officer Demand, Capacity and Welfare Survey 2020 South Wales Police</w:t>
      </w:r>
      <w:r w:rsidRPr="006E2D15">
        <w:rPr>
          <w:rFonts w:ascii="Arial" w:hAnsi="Arial" w:cs="Arial"/>
          <w:sz w:val="24"/>
          <w:szCs w:val="24"/>
        </w:rPr>
        <w:t>. [online] Available at: https://www.polfed.org/media/16595/welfaresurveysouthwales-14-01-21-v10.pdf [Accessed 12 Nov. 2021].</w:t>
      </w:r>
    </w:p>
    <w:p w14:paraId="57E28BE2"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Pottier, P., </w:t>
      </w:r>
      <w:proofErr w:type="spellStart"/>
      <w:r w:rsidRPr="006E2D15">
        <w:rPr>
          <w:rFonts w:ascii="Arial" w:hAnsi="Arial" w:cs="Arial"/>
          <w:sz w:val="24"/>
          <w:szCs w:val="24"/>
        </w:rPr>
        <w:t>Hardouin</w:t>
      </w:r>
      <w:proofErr w:type="spellEnd"/>
      <w:r w:rsidRPr="006E2D15">
        <w:rPr>
          <w:rFonts w:ascii="Arial" w:hAnsi="Arial" w:cs="Arial"/>
          <w:sz w:val="24"/>
          <w:szCs w:val="24"/>
        </w:rPr>
        <w:t xml:space="preserve">, J.-B., </w:t>
      </w:r>
      <w:proofErr w:type="spellStart"/>
      <w:r w:rsidRPr="006E2D15">
        <w:rPr>
          <w:rFonts w:ascii="Arial" w:hAnsi="Arial" w:cs="Arial"/>
          <w:sz w:val="24"/>
          <w:szCs w:val="24"/>
        </w:rPr>
        <w:t>Dejoie</w:t>
      </w:r>
      <w:proofErr w:type="spellEnd"/>
      <w:r w:rsidRPr="006E2D15">
        <w:rPr>
          <w:rFonts w:ascii="Arial" w:hAnsi="Arial" w:cs="Arial"/>
          <w:sz w:val="24"/>
          <w:szCs w:val="24"/>
        </w:rPr>
        <w:t xml:space="preserve">, T., Castillo, J.-M., Le </w:t>
      </w:r>
      <w:proofErr w:type="spellStart"/>
      <w:r w:rsidRPr="006E2D15">
        <w:rPr>
          <w:rFonts w:ascii="Arial" w:hAnsi="Arial" w:cs="Arial"/>
          <w:sz w:val="24"/>
          <w:szCs w:val="24"/>
        </w:rPr>
        <w:t>Loupp</w:t>
      </w:r>
      <w:proofErr w:type="spellEnd"/>
      <w:r w:rsidRPr="006E2D15">
        <w:rPr>
          <w:rFonts w:ascii="Arial" w:hAnsi="Arial" w:cs="Arial"/>
          <w:sz w:val="24"/>
          <w:szCs w:val="24"/>
        </w:rPr>
        <w:t xml:space="preserve">, A.-G., </w:t>
      </w:r>
      <w:proofErr w:type="spellStart"/>
      <w:r w:rsidRPr="006E2D15">
        <w:rPr>
          <w:rFonts w:ascii="Arial" w:hAnsi="Arial" w:cs="Arial"/>
          <w:sz w:val="24"/>
          <w:szCs w:val="24"/>
        </w:rPr>
        <w:t>Planchon</w:t>
      </w:r>
      <w:proofErr w:type="spellEnd"/>
      <w:r w:rsidRPr="006E2D15">
        <w:rPr>
          <w:rFonts w:ascii="Arial" w:hAnsi="Arial" w:cs="Arial"/>
          <w:sz w:val="24"/>
          <w:szCs w:val="24"/>
        </w:rPr>
        <w:t xml:space="preserve">, B., </w:t>
      </w:r>
      <w:proofErr w:type="spellStart"/>
      <w:r w:rsidRPr="006E2D15">
        <w:rPr>
          <w:rFonts w:ascii="Arial" w:hAnsi="Arial" w:cs="Arial"/>
          <w:sz w:val="24"/>
          <w:szCs w:val="24"/>
        </w:rPr>
        <w:t>Bonnaud</w:t>
      </w:r>
      <w:proofErr w:type="spellEnd"/>
      <w:r w:rsidRPr="006E2D15">
        <w:rPr>
          <w:rFonts w:ascii="Arial" w:hAnsi="Arial" w:cs="Arial"/>
          <w:sz w:val="24"/>
          <w:szCs w:val="24"/>
        </w:rPr>
        <w:t xml:space="preserve">, A. and LeBlanc, V. (2015). Effect of Extrinsic and Intrinsic Stressors on Clinical Skills Performance in Third-Year Medical Students. </w:t>
      </w:r>
      <w:r w:rsidRPr="006E2D15">
        <w:rPr>
          <w:rFonts w:ascii="Arial" w:hAnsi="Arial" w:cs="Arial"/>
          <w:i/>
          <w:iCs/>
          <w:sz w:val="24"/>
          <w:szCs w:val="24"/>
        </w:rPr>
        <w:t>Journal of General Internal Medicine</w:t>
      </w:r>
      <w:r w:rsidRPr="006E2D15">
        <w:rPr>
          <w:rFonts w:ascii="Arial" w:hAnsi="Arial" w:cs="Arial"/>
          <w:sz w:val="24"/>
          <w:szCs w:val="24"/>
        </w:rPr>
        <w:t>, 30(9), pp.1259–1269.</w:t>
      </w:r>
    </w:p>
    <w:p w14:paraId="291D4A3C"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Purba</w:t>
      </w:r>
      <w:proofErr w:type="spellEnd"/>
      <w:r w:rsidRPr="006E2D15">
        <w:rPr>
          <w:rFonts w:ascii="Arial" w:hAnsi="Arial" w:cs="Arial"/>
          <w:sz w:val="24"/>
          <w:szCs w:val="24"/>
        </w:rPr>
        <w:t xml:space="preserve">, A. and </w:t>
      </w:r>
      <w:proofErr w:type="spellStart"/>
      <w:r w:rsidRPr="006E2D15">
        <w:rPr>
          <w:rFonts w:ascii="Arial" w:hAnsi="Arial" w:cs="Arial"/>
          <w:sz w:val="24"/>
          <w:szCs w:val="24"/>
        </w:rPr>
        <w:t>Demou</w:t>
      </w:r>
      <w:proofErr w:type="spellEnd"/>
      <w:r w:rsidRPr="006E2D15">
        <w:rPr>
          <w:rFonts w:ascii="Arial" w:hAnsi="Arial" w:cs="Arial"/>
          <w:sz w:val="24"/>
          <w:szCs w:val="24"/>
        </w:rPr>
        <w:t xml:space="preserve">, E. (2019). The relationship between organisational stressors and mental wellbeing within police officers: a systematic review. </w:t>
      </w:r>
      <w:r w:rsidRPr="006E2D15">
        <w:rPr>
          <w:rFonts w:ascii="Arial" w:hAnsi="Arial" w:cs="Arial"/>
          <w:i/>
          <w:iCs/>
          <w:sz w:val="24"/>
          <w:szCs w:val="24"/>
        </w:rPr>
        <w:t>BMC Public Health</w:t>
      </w:r>
      <w:r w:rsidRPr="006E2D15">
        <w:rPr>
          <w:rFonts w:ascii="Arial" w:hAnsi="Arial" w:cs="Arial"/>
          <w:sz w:val="24"/>
          <w:szCs w:val="24"/>
        </w:rPr>
        <w:t xml:space="preserve">, </w:t>
      </w:r>
      <w:r w:rsidRPr="006E2D15">
        <w:rPr>
          <w:rFonts w:ascii="Arial" w:hAnsi="Arial" w:cs="Arial"/>
          <w:sz w:val="24"/>
          <w:szCs w:val="24"/>
        </w:rPr>
        <w:lastRenderedPageBreak/>
        <w:t>[online] 19(1). Available at: https://bmcpublichealth.biomedcentral.com/articles/10.1186/s12889-019-7609-0#citeas [Accessed 12 Nov. 2021].</w:t>
      </w:r>
    </w:p>
    <w:p w14:paraId="63B5A4F4"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Queirós</w:t>
      </w:r>
      <w:proofErr w:type="spellEnd"/>
      <w:r w:rsidRPr="006E2D15">
        <w:rPr>
          <w:rFonts w:ascii="Arial" w:hAnsi="Arial" w:cs="Arial"/>
          <w:sz w:val="24"/>
          <w:szCs w:val="24"/>
        </w:rPr>
        <w:t xml:space="preserve">, C., </w:t>
      </w:r>
      <w:proofErr w:type="spellStart"/>
      <w:r w:rsidRPr="006E2D15">
        <w:rPr>
          <w:rFonts w:ascii="Arial" w:hAnsi="Arial" w:cs="Arial"/>
          <w:sz w:val="24"/>
          <w:szCs w:val="24"/>
        </w:rPr>
        <w:t>Passos</w:t>
      </w:r>
      <w:proofErr w:type="spellEnd"/>
      <w:r w:rsidRPr="006E2D15">
        <w:rPr>
          <w:rFonts w:ascii="Arial" w:hAnsi="Arial" w:cs="Arial"/>
          <w:sz w:val="24"/>
          <w:szCs w:val="24"/>
        </w:rPr>
        <w:t xml:space="preserve">, F., </w:t>
      </w:r>
      <w:proofErr w:type="spellStart"/>
      <w:r w:rsidRPr="006E2D15">
        <w:rPr>
          <w:rFonts w:ascii="Arial" w:hAnsi="Arial" w:cs="Arial"/>
          <w:sz w:val="24"/>
          <w:szCs w:val="24"/>
        </w:rPr>
        <w:t>Bártolo</w:t>
      </w:r>
      <w:proofErr w:type="spellEnd"/>
      <w:r w:rsidRPr="006E2D15">
        <w:rPr>
          <w:rFonts w:ascii="Arial" w:hAnsi="Arial" w:cs="Arial"/>
          <w:sz w:val="24"/>
          <w:szCs w:val="24"/>
        </w:rPr>
        <w:t xml:space="preserve">, A., Marques, A.J., da Silva, C.F. and Pereira, A. (2020). Burnout and Stress Measurement in Police Officers: Literature Review and a Study </w:t>
      </w:r>
      <w:proofErr w:type="gramStart"/>
      <w:r w:rsidRPr="006E2D15">
        <w:rPr>
          <w:rFonts w:ascii="Arial" w:hAnsi="Arial" w:cs="Arial"/>
          <w:sz w:val="24"/>
          <w:szCs w:val="24"/>
        </w:rPr>
        <w:t>With</w:t>
      </w:r>
      <w:proofErr w:type="gramEnd"/>
      <w:r w:rsidRPr="006E2D15">
        <w:rPr>
          <w:rFonts w:ascii="Arial" w:hAnsi="Arial" w:cs="Arial"/>
          <w:sz w:val="24"/>
          <w:szCs w:val="24"/>
        </w:rPr>
        <w:t xml:space="preserve"> the Operational Police Stress Questionnaire. </w:t>
      </w:r>
      <w:r w:rsidRPr="006E2D15">
        <w:rPr>
          <w:rFonts w:ascii="Arial" w:hAnsi="Arial" w:cs="Arial"/>
          <w:i/>
          <w:iCs/>
          <w:sz w:val="24"/>
          <w:szCs w:val="24"/>
        </w:rPr>
        <w:t>Frontiers in Psychology</w:t>
      </w:r>
      <w:r w:rsidRPr="006E2D15">
        <w:rPr>
          <w:rFonts w:ascii="Arial" w:hAnsi="Arial" w:cs="Arial"/>
          <w:sz w:val="24"/>
          <w:szCs w:val="24"/>
        </w:rPr>
        <w:t>, [online] 11, p.587. Available at: https://internal-journal.frontiersin.org/articles/10.3389/fpsyg.2020.00587/full [Accessed 12 Nov. 2021].</w:t>
      </w:r>
    </w:p>
    <w:p w14:paraId="4A861795"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Robertson, I.T. </w:t>
      </w:r>
      <w:r w:rsidRPr="006E2D15">
        <w:rPr>
          <w:rFonts w:ascii="Arial" w:hAnsi="Arial" w:cs="Arial"/>
          <w:i/>
          <w:iCs/>
          <w:sz w:val="24"/>
          <w:szCs w:val="24"/>
        </w:rPr>
        <w:t>et al</w:t>
      </w:r>
      <w:r w:rsidRPr="006E2D15">
        <w:rPr>
          <w:rFonts w:ascii="Arial" w:hAnsi="Arial" w:cs="Arial"/>
          <w:sz w:val="24"/>
          <w:szCs w:val="24"/>
        </w:rPr>
        <w:t xml:space="preserve">. (2015). Resilience training in the workplace from 2003 to 2014: a systematic review, </w:t>
      </w:r>
      <w:r w:rsidRPr="006E2D15">
        <w:rPr>
          <w:rFonts w:ascii="Arial" w:hAnsi="Arial" w:cs="Arial"/>
          <w:i/>
          <w:iCs/>
          <w:sz w:val="24"/>
          <w:szCs w:val="24"/>
        </w:rPr>
        <w:t>Journal of Occupational and Organizational Psychology</w:t>
      </w:r>
      <w:r w:rsidRPr="006E2D15">
        <w:rPr>
          <w:rFonts w:ascii="Arial" w:hAnsi="Arial" w:cs="Arial"/>
          <w:sz w:val="24"/>
          <w:szCs w:val="24"/>
        </w:rPr>
        <w:t xml:space="preserve">, 88(3), pp. 533–562. Available at: </w:t>
      </w:r>
      <w:hyperlink r:id="rId11" w:history="1">
        <w:r w:rsidRPr="006E2D15">
          <w:rPr>
            <w:rStyle w:val="Hyperlink"/>
            <w:rFonts w:ascii="Arial" w:hAnsi="Arial" w:cs="Arial"/>
            <w:sz w:val="24"/>
            <w:szCs w:val="24"/>
          </w:rPr>
          <w:t>https://onlinelibrary.wiley.com/doi/full/10.1111/joop.12120</w:t>
        </w:r>
      </w:hyperlink>
      <w:r w:rsidRPr="006E2D15">
        <w:rPr>
          <w:rFonts w:ascii="Arial" w:hAnsi="Arial" w:cs="Arial"/>
          <w:sz w:val="24"/>
          <w:szCs w:val="24"/>
        </w:rPr>
        <w:t>. (</w:t>
      </w:r>
      <w:proofErr w:type="gramStart"/>
      <w:r w:rsidRPr="006E2D15">
        <w:rPr>
          <w:rFonts w:ascii="Arial" w:hAnsi="Arial" w:cs="Arial"/>
          <w:sz w:val="24"/>
          <w:szCs w:val="24"/>
        </w:rPr>
        <w:t>accessed</w:t>
      </w:r>
      <w:proofErr w:type="gramEnd"/>
      <w:r w:rsidRPr="006E2D15">
        <w:rPr>
          <w:rFonts w:ascii="Arial" w:hAnsi="Arial" w:cs="Arial"/>
          <w:sz w:val="24"/>
          <w:szCs w:val="24"/>
        </w:rPr>
        <w:t xml:space="preserve"> 14 Nov 2021). </w:t>
      </w:r>
    </w:p>
    <w:p w14:paraId="15437B09"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Robertson. S. and England, R. (2019). Mental health sick leave rises for emergency workers, </w:t>
      </w:r>
      <w:r w:rsidRPr="006E2D15">
        <w:rPr>
          <w:rFonts w:ascii="Arial" w:hAnsi="Arial" w:cs="Arial"/>
          <w:i/>
          <w:iCs/>
          <w:sz w:val="24"/>
          <w:szCs w:val="24"/>
        </w:rPr>
        <w:t>BBC News</w:t>
      </w:r>
      <w:r w:rsidRPr="006E2D15">
        <w:rPr>
          <w:rFonts w:ascii="Arial" w:hAnsi="Arial" w:cs="Arial"/>
          <w:sz w:val="24"/>
          <w:szCs w:val="24"/>
        </w:rPr>
        <w:t>. Available at: https://www.bbc.co.uk/news/ uk-england-49910746 (accessed 15 Nov 2021).</w:t>
      </w:r>
    </w:p>
    <w:p w14:paraId="58D3BBD2"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Rodwell, J., </w:t>
      </w:r>
      <w:proofErr w:type="spellStart"/>
      <w:r w:rsidRPr="006E2D15">
        <w:rPr>
          <w:rFonts w:ascii="Arial" w:hAnsi="Arial" w:cs="Arial"/>
          <w:sz w:val="24"/>
          <w:szCs w:val="24"/>
        </w:rPr>
        <w:t>Noblet</w:t>
      </w:r>
      <w:proofErr w:type="spellEnd"/>
      <w:r w:rsidRPr="006E2D15">
        <w:rPr>
          <w:rFonts w:ascii="Arial" w:hAnsi="Arial" w:cs="Arial"/>
          <w:sz w:val="24"/>
          <w:szCs w:val="24"/>
        </w:rPr>
        <w:t xml:space="preserve">, A. and </w:t>
      </w:r>
      <w:proofErr w:type="spellStart"/>
      <w:r w:rsidRPr="006E2D15">
        <w:rPr>
          <w:rFonts w:ascii="Arial" w:hAnsi="Arial" w:cs="Arial"/>
          <w:sz w:val="24"/>
          <w:szCs w:val="24"/>
        </w:rPr>
        <w:t>Allisey</w:t>
      </w:r>
      <w:proofErr w:type="spellEnd"/>
      <w:r w:rsidRPr="006E2D15">
        <w:rPr>
          <w:rFonts w:ascii="Arial" w:hAnsi="Arial" w:cs="Arial"/>
          <w:sz w:val="24"/>
          <w:szCs w:val="24"/>
        </w:rPr>
        <w:t xml:space="preserve">, A. (2011). Improving Employee Outcomes in the Public Sector. </w:t>
      </w:r>
      <w:r w:rsidRPr="006E2D15">
        <w:rPr>
          <w:rFonts w:ascii="Arial" w:hAnsi="Arial" w:cs="Arial"/>
          <w:i/>
          <w:iCs/>
          <w:sz w:val="24"/>
          <w:szCs w:val="24"/>
        </w:rPr>
        <w:t>Personnel Review</w:t>
      </w:r>
      <w:r w:rsidRPr="006E2D15">
        <w:rPr>
          <w:rFonts w:ascii="Arial" w:hAnsi="Arial" w:cs="Arial"/>
          <w:sz w:val="24"/>
          <w:szCs w:val="24"/>
        </w:rPr>
        <w:t>, [online] 40(3), pp.383–397. Available at: https://www.proquest.com/docview/859627600/fulltextPDF/33AE70862D6D4CDDPQ/1?accountid=130472 [Accessed 15 Nov. 2021].</w:t>
      </w:r>
    </w:p>
    <w:p w14:paraId="4DD93FEE"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Romosiou</w:t>
      </w:r>
      <w:proofErr w:type="spellEnd"/>
      <w:r w:rsidRPr="006E2D15">
        <w:rPr>
          <w:rFonts w:ascii="Arial" w:hAnsi="Arial" w:cs="Arial"/>
          <w:sz w:val="24"/>
          <w:szCs w:val="24"/>
        </w:rPr>
        <w:t xml:space="preserve">, V., </w:t>
      </w:r>
      <w:proofErr w:type="spellStart"/>
      <w:r w:rsidRPr="006E2D15">
        <w:rPr>
          <w:rFonts w:ascii="Arial" w:hAnsi="Arial" w:cs="Arial"/>
          <w:sz w:val="24"/>
          <w:szCs w:val="24"/>
        </w:rPr>
        <w:t>Brouzos</w:t>
      </w:r>
      <w:proofErr w:type="spellEnd"/>
      <w:r w:rsidRPr="006E2D15">
        <w:rPr>
          <w:rFonts w:ascii="Arial" w:hAnsi="Arial" w:cs="Arial"/>
          <w:sz w:val="24"/>
          <w:szCs w:val="24"/>
        </w:rPr>
        <w:t xml:space="preserve">, A. and Vassilopoulos, S.P. (2018). An Integrative Group Intervention for the Enhancement of Emotional intelligence, empathy, Resilience and Stress Management among Police Officers. </w:t>
      </w:r>
      <w:r w:rsidRPr="006E2D15">
        <w:rPr>
          <w:rFonts w:ascii="Arial" w:hAnsi="Arial" w:cs="Arial"/>
          <w:i/>
          <w:iCs/>
          <w:sz w:val="24"/>
          <w:szCs w:val="24"/>
        </w:rPr>
        <w:t>Police Practice and Research</w:t>
      </w:r>
      <w:r w:rsidRPr="006E2D15">
        <w:rPr>
          <w:rFonts w:ascii="Arial" w:hAnsi="Arial" w:cs="Arial"/>
          <w:sz w:val="24"/>
          <w:szCs w:val="24"/>
        </w:rPr>
        <w:t>, [online] 20(5), pp.460–478. Available at: https://www.researchgate.net/publication/328523157_An_integrative_group_intervention_for_the_enhancement_of_emotional_intelligence_empathy_resilience_and_stress_management_among_police_officers [Accessed 12 Nov. 2021].</w:t>
      </w:r>
    </w:p>
    <w:p w14:paraId="227662BB"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Stewart-Brown, S. (1998). Emotional Wellbeing and Its Relation to Health. </w:t>
      </w:r>
      <w:r w:rsidRPr="006E2D15">
        <w:rPr>
          <w:rFonts w:ascii="Arial" w:hAnsi="Arial" w:cs="Arial"/>
          <w:i/>
          <w:iCs/>
          <w:sz w:val="24"/>
          <w:szCs w:val="24"/>
        </w:rPr>
        <w:t>BMJ</w:t>
      </w:r>
      <w:r w:rsidRPr="006E2D15">
        <w:rPr>
          <w:rFonts w:ascii="Arial" w:hAnsi="Arial" w:cs="Arial"/>
          <w:sz w:val="24"/>
          <w:szCs w:val="24"/>
        </w:rPr>
        <w:t>, [online] 317(7173), pp.1608–1609. Available at: https://www.ncbi.nlm.nih.gov/pmc/articles/PMC1114432/ [Accessed 21 Jan. 2022].</w:t>
      </w:r>
    </w:p>
    <w:p w14:paraId="32B66E89" w14:textId="77777777" w:rsidR="006E2D15" w:rsidRPr="006E2D15" w:rsidRDefault="006E2D15" w:rsidP="006E2D15">
      <w:pPr>
        <w:spacing w:line="360" w:lineRule="auto"/>
        <w:rPr>
          <w:rFonts w:ascii="Arial" w:hAnsi="Arial" w:cs="Arial"/>
          <w:sz w:val="24"/>
          <w:szCs w:val="24"/>
          <w:lang w:val="en-US"/>
        </w:rPr>
      </w:pPr>
      <w:proofErr w:type="spellStart"/>
      <w:r w:rsidRPr="006E2D15">
        <w:rPr>
          <w:rFonts w:ascii="Arial" w:hAnsi="Arial" w:cs="Arial"/>
          <w:sz w:val="24"/>
          <w:szCs w:val="24"/>
          <w:lang w:val="en-US"/>
        </w:rPr>
        <w:lastRenderedPageBreak/>
        <w:t>Thackrah</w:t>
      </w:r>
      <w:proofErr w:type="spellEnd"/>
      <w:r w:rsidRPr="006E2D15">
        <w:rPr>
          <w:rFonts w:ascii="Arial" w:hAnsi="Arial" w:cs="Arial"/>
          <w:sz w:val="24"/>
          <w:szCs w:val="24"/>
          <w:lang w:val="en-US"/>
        </w:rPr>
        <w:t xml:space="preserve"> CT. The Effects of Arts, Traders, and Professions on Health and Longevity. (Originally published in 1831. Republished by Longmans, Harlow, UK, 1995) </w:t>
      </w:r>
    </w:p>
    <w:p w14:paraId="1BBB4601"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The Police Treatment Centres. (2020). </w:t>
      </w:r>
      <w:r w:rsidRPr="006E2D15">
        <w:rPr>
          <w:rFonts w:ascii="Arial" w:hAnsi="Arial" w:cs="Arial"/>
          <w:i/>
          <w:iCs/>
          <w:sz w:val="24"/>
          <w:szCs w:val="24"/>
        </w:rPr>
        <w:t>Impact Report 2019/2020</w:t>
      </w:r>
      <w:r w:rsidRPr="006E2D15">
        <w:rPr>
          <w:rFonts w:ascii="Arial" w:hAnsi="Arial" w:cs="Arial"/>
          <w:sz w:val="24"/>
          <w:szCs w:val="24"/>
        </w:rPr>
        <w:t>. Available at: https://www.thepolicetreatmentcentres.org/files/mydocs/AGM%20Papers/2020NewFolder/PTCIR2020-compressed.pdf (accessed 12 Nov 2021).</w:t>
      </w:r>
    </w:p>
    <w:p w14:paraId="7A794BBB"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van der Velden, P.G., </w:t>
      </w:r>
      <w:proofErr w:type="spellStart"/>
      <w:r w:rsidRPr="006E2D15">
        <w:rPr>
          <w:rFonts w:ascii="Arial" w:hAnsi="Arial" w:cs="Arial"/>
          <w:sz w:val="24"/>
          <w:szCs w:val="24"/>
        </w:rPr>
        <w:t>Rademaker</w:t>
      </w:r>
      <w:proofErr w:type="spellEnd"/>
      <w:r w:rsidRPr="006E2D15">
        <w:rPr>
          <w:rFonts w:ascii="Arial" w:hAnsi="Arial" w:cs="Arial"/>
          <w:sz w:val="24"/>
          <w:szCs w:val="24"/>
        </w:rPr>
        <w:t xml:space="preserve">, A.R., </w:t>
      </w:r>
      <w:proofErr w:type="spellStart"/>
      <w:r w:rsidRPr="006E2D15">
        <w:rPr>
          <w:rFonts w:ascii="Arial" w:hAnsi="Arial" w:cs="Arial"/>
          <w:sz w:val="24"/>
          <w:szCs w:val="24"/>
        </w:rPr>
        <w:t>Vermetten</w:t>
      </w:r>
      <w:proofErr w:type="spellEnd"/>
      <w:r w:rsidRPr="006E2D15">
        <w:rPr>
          <w:rFonts w:ascii="Arial" w:hAnsi="Arial" w:cs="Arial"/>
          <w:sz w:val="24"/>
          <w:szCs w:val="24"/>
        </w:rPr>
        <w:t xml:space="preserve">, E., </w:t>
      </w:r>
      <w:proofErr w:type="spellStart"/>
      <w:r w:rsidRPr="006E2D15">
        <w:rPr>
          <w:rFonts w:ascii="Arial" w:hAnsi="Arial" w:cs="Arial"/>
          <w:sz w:val="24"/>
          <w:szCs w:val="24"/>
        </w:rPr>
        <w:t>Portengen</w:t>
      </w:r>
      <w:proofErr w:type="spellEnd"/>
      <w:r w:rsidRPr="006E2D15">
        <w:rPr>
          <w:rFonts w:ascii="Arial" w:hAnsi="Arial" w:cs="Arial"/>
          <w:sz w:val="24"/>
          <w:szCs w:val="24"/>
        </w:rPr>
        <w:t xml:space="preserve">, M.-A., </w:t>
      </w:r>
      <w:proofErr w:type="spellStart"/>
      <w:r w:rsidRPr="006E2D15">
        <w:rPr>
          <w:rFonts w:ascii="Arial" w:hAnsi="Arial" w:cs="Arial"/>
          <w:sz w:val="24"/>
          <w:szCs w:val="24"/>
        </w:rPr>
        <w:t>Yzermans</w:t>
      </w:r>
      <w:proofErr w:type="spellEnd"/>
      <w:r w:rsidRPr="006E2D15">
        <w:rPr>
          <w:rFonts w:ascii="Arial" w:hAnsi="Arial" w:cs="Arial"/>
          <w:sz w:val="24"/>
          <w:szCs w:val="24"/>
        </w:rPr>
        <w:t xml:space="preserve">, J.C. and </w:t>
      </w:r>
      <w:proofErr w:type="spellStart"/>
      <w:r w:rsidRPr="006E2D15">
        <w:rPr>
          <w:rFonts w:ascii="Arial" w:hAnsi="Arial" w:cs="Arial"/>
          <w:sz w:val="24"/>
          <w:szCs w:val="24"/>
        </w:rPr>
        <w:t>Grievink</w:t>
      </w:r>
      <w:proofErr w:type="spellEnd"/>
      <w:r w:rsidRPr="006E2D15">
        <w:rPr>
          <w:rFonts w:ascii="Arial" w:hAnsi="Arial" w:cs="Arial"/>
          <w:sz w:val="24"/>
          <w:szCs w:val="24"/>
        </w:rPr>
        <w:t xml:space="preserve">, L. (2013). Police officers: a high-risk Group for the Development of Mental Health disturbances? a Cohort Study. </w:t>
      </w:r>
      <w:r w:rsidRPr="006E2D15">
        <w:rPr>
          <w:rFonts w:ascii="Arial" w:hAnsi="Arial" w:cs="Arial"/>
          <w:i/>
          <w:iCs/>
          <w:sz w:val="24"/>
          <w:szCs w:val="24"/>
        </w:rPr>
        <w:t>BMJ Open</w:t>
      </w:r>
      <w:r w:rsidRPr="006E2D15">
        <w:rPr>
          <w:rFonts w:ascii="Arial" w:hAnsi="Arial" w:cs="Arial"/>
          <w:sz w:val="24"/>
          <w:szCs w:val="24"/>
        </w:rPr>
        <w:t>, [online] 3(1), p.e001720. Available at: https://bmjopen.bmj.com/content/3/1/e001720 [Accessed 22 Jan. 2022].</w:t>
      </w:r>
    </w:p>
    <w:p w14:paraId="1A5B4E0E" w14:textId="77777777" w:rsidR="006E2D15" w:rsidRPr="006E2D15" w:rsidRDefault="006E2D15" w:rsidP="006E2D15">
      <w:pPr>
        <w:spacing w:line="360" w:lineRule="auto"/>
        <w:rPr>
          <w:rFonts w:ascii="Arial" w:hAnsi="Arial" w:cs="Arial"/>
          <w:sz w:val="24"/>
          <w:szCs w:val="24"/>
        </w:rPr>
      </w:pPr>
      <w:proofErr w:type="spellStart"/>
      <w:r w:rsidRPr="006E2D15">
        <w:rPr>
          <w:rFonts w:ascii="Arial" w:hAnsi="Arial" w:cs="Arial"/>
          <w:sz w:val="24"/>
          <w:szCs w:val="24"/>
        </w:rPr>
        <w:t>Violanti</w:t>
      </w:r>
      <w:proofErr w:type="spellEnd"/>
      <w:r w:rsidRPr="006E2D15">
        <w:rPr>
          <w:rFonts w:ascii="Arial" w:hAnsi="Arial" w:cs="Arial"/>
          <w:sz w:val="24"/>
          <w:szCs w:val="24"/>
        </w:rPr>
        <w:t xml:space="preserve">, J.M., Charles, L.E., </w:t>
      </w:r>
      <w:proofErr w:type="spellStart"/>
      <w:r w:rsidRPr="006E2D15">
        <w:rPr>
          <w:rFonts w:ascii="Arial" w:hAnsi="Arial" w:cs="Arial"/>
          <w:sz w:val="24"/>
          <w:szCs w:val="24"/>
        </w:rPr>
        <w:t>McCanlies</w:t>
      </w:r>
      <w:proofErr w:type="spellEnd"/>
      <w:r w:rsidRPr="006E2D15">
        <w:rPr>
          <w:rFonts w:ascii="Arial" w:hAnsi="Arial" w:cs="Arial"/>
          <w:sz w:val="24"/>
          <w:szCs w:val="24"/>
        </w:rPr>
        <w:t xml:space="preserve">, E., Hartley, T.A., Baughman, P., Andrew, M.E., </w:t>
      </w:r>
      <w:proofErr w:type="spellStart"/>
      <w:r w:rsidRPr="006E2D15">
        <w:rPr>
          <w:rFonts w:ascii="Arial" w:hAnsi="Arial" w:cs="Arial"/>
          <w:sz w:val="24"/>
          <w:szCs w:val="24"/>
        </w:rPr>
        <w:t>Fekedulegn</w:t>
      </w:r>
      <w:proofErr w:type="spellEnd"/>
      <w:r w:rsidRPr="006E2D15">
        <w:rPr>
          <w:rFonts w:ascii="Arial" w:hAnsi="Arial" w:cs="Arial"/>
          <w:sz w:val="24"/>
          <w:szCs w:val="24"/>
        </w:rPr>
        <w:t xml:space="preserve">, D., Ma, C.C., </w:t>
      </w:r>
      <w:proofErr w:type="spellStart"/>
      <w:r w:rsidRPr="006E2D15">
        <w:rPr>
          <w:rFonts w:ascii="Arial" w:hAnsi="Arial" w:cs="Arial"/>
          <w:sz w:val="24"/>
          <w:szCs w:val="24"/>
        </w:rPr>
        <w:t>Mnatsakanova</w:t>
      </w:r>
      <w:proofErr w:type="spellEnd"/>
      <w:r w:rsidRPr="006E2D15">
        <w:rPr>
          <w:rFonts w:ascii="Arial" w:hAnsi="Arial" w:cs="Arial"/>
          <w:sz w:val="24"/>
          <w:szCs w:val="24"/>
        </w:rPr>
        <w:t xml:space="preserve">, A. and </w:t>
      </w:r>
      <w:proofErr w:type="spellStart"/>
      <w:r w:rsidRPr="006E2D15">
        <w:rPr>
          <w:rFonts w:ascii="Arial" w:hAnsi="Arial" w:cs="Arial"/>
          <w:sz w:val="24"/>
          <w:szCs w:val="24"/>
        </w:rPr>
        <w:t>Burchfiel</w:t>
      </w:r>
      <w:proofErr w:type="spellEnd"/>
      <w:r w:rsidRPr="006E2D15">
        <w:rPr>
          <w:rFonts w:ascii="Arial" w:hAnsi="Arial" w:cs="Arial"/>
          <w:sz w:val="24"/>
          <w:szCs w:val="24"/>
        </w:rPr>
        <w:t xml:space="preserve">, C.M. (2017). Police Stressors and health: A state-of-the-art Review. </w:t>
      </w:r>
      <w:r w:rsidRPr="006E2D15">
        <w:rPr>
          <w:rFonts w:ascii="Arial" w:hAnsi="Arial" w:cs="Arial"/>
          <w:i/>
          <w:iCs/>
          <w:sz w:val="24"/>
          <w:szCs w:val="24"/>
        </w:rPr>
        <w:t>Policing</w:t>
      </w:r>
      <w:r w:rsidRPr="006E2D15">
        <w:rPr>
          <w:rFonts w:ascii="Arial" w:hAnsi="Arial" w:cs="Arial"/>
          <w:sz w:val="24"/>
          <w:szCs w:val="24"/>
        </w:rPr>
        <w:t>, [online] 40(4), pp.642–656. Available at: https://www.ncbi.nlm.nih.gov/pmc/articles/PMC6400077/.</w:t>
      </w:r>
    </w:p>
    <w:p w14:paraId="3BCE3226"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Wall, T. (2021). </w:t>
      </w:r>
      <w:r w:rsidRPr="006E2D15">
        <w:rPr>
          <w:rFonts w:ascii="Arial" w:hAnsi="Arial" w:cs="Arial"/>
          <w:i/>
          <w:iCs/>
          <w:sz w:val="24"/>
          <w:szCs w:val="24"/>
        </w:rPr>
        <w:t xml:space="preserve">Sage Handbook </w:t>
      </w:r>
      <w:proofErr w:type="gramStart"/>
      <w:r w:rsidRPr="006E2D15">
        <w:rPr>
          <w:rFonts w:ascii="Arial" w:hAnsi="Arial" w:cs="Arial"/>
          <w:i/>
          <w:iCs/>
          <w:sz w:val="24"/>
          <w:szCs w:val="24"/>
        </w:rPr>
        <w:t>Of</w:t>
      </w:r>
      <w:proofErr w:type="gramEnd"/>
      <w:r w:rsidRPr="006E2D15">
        <w:rPr>
          <w:rFonts w:ascii="Arial" w:hAnsi="Arial" w:cs="Arial"/>
          <w:i/>
          <w:iCs/>
          <w:sz w:val="24"/>
          <w:szCs w:val="24"/>
        </w:rPr>
        <w:t xml:space="preserve"> Organizational Wellbeing.</w:t>
      </w:r>
      <w:r w:rsidRPr="006E2D15">
        <w:rPr>
          <w:rFonts w:ascii="Arial" w:hAnsi="Arial" w:cs="Arial"/>
          <w:sz w:val="24"/>
          <w:szCs w:val="24"/>
        </w:rPr>
        <w:t xml:space="preserve"> [online] London: Sage Publications. Available at: https://sk-sagepub-com.ezproxy.uwtsd.ac.uk/reference/the-sage-handbook-of-organizational-wellbeing/i265.xml [Accessed 12 Nov. 2021].</w:t>
      </w:r>
    </w:p>
    <w:p w14:paraId="7066A515" w14:textId="77777777" w:rsidR="006E2D15" w:rsidRPr="006E2D15" w:rsidRDefault="006E2D15" w:rsidP="006E2D15">
      <w:pPr>
        <w:spacing w:line="360" w:lineRule="auto"/>
        <w:rPr>
          <w:rFonts w:ascii="Arial" w:hAnsi="Arial" w:cs="Arial"/>
          <w:sz w:val="24"/>
          <w:szCs w:val="24"/>
        </w:rPr>
      </w:pPr>
      <w:r w:rsidRPr="006E2D15">
        <w:rPr>
          <w:rFonts w:ascii="Arial" w:hAnsi="Arial" w:cs="Arial"/>
          <w:sz w:val="24"/>
          <w:szCs w:val="24"/>
        </w:rPr>
        <w:t xml:space="preserve">World Health Organization (2018). </w:t>
      </w:r>
      <w:r w:rsidRPr="006E2D15">
        <w:rPr>
          <w:rFonts w:ascii="Arial" w:hAnsi="Arial" w:cs="Arial"/>
          <w:i/>
          <w:iCs/>
          <w:sz w:val="24"/>
          <w:szCs w:val="24"/>
        </w:rPr>
        <w:t>Mental health: Strengthening Our Response</w:t>
      </w:r>
      <w:r w:rsidRPr="006E2D15">
        <w:rPr>
          <w:rFonts w:ascii="Arial" w:hAnsi="Arial" w:cs="Arial"/>
          <w:sz w:val="24"/>
          <w:szCs w:val="24"/>
        </w:rPr>
        <w:t>. [online] World Health Organization. Available at: https://www.who.int/news-room/fact-sheets/detail/mental-health-strengthening-our-response [Accessed 21 Jan. 2022].</w:t>
      </w:r>
    </w:p>
    <w:p w14:paraId="728C6DDF" w14:textId="77777777" w:rsidR="00685BED" w:rsidRDefault="00685BED"/>
    <w:sectPr w:rsidR="00685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04F30"/>
    <w:multiLevelType w:val="hybridMultilevel"/>
    <w:tmpl w:val="4926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5C6142"/>
    <w:multiLevelType w:val="hybridMultilevel"/>
    <w:tmpl w:val="DCBA4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D15"/>
    <w:rsid w:val="00685BED"/>
    <w:rsid w:val="006E2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2582E"/>
  <w15:chartTrackingRefBased/>
  <w15:docId w15:val="{A4DC1E82-128E-41F7-A530-55B9F04FD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2D15"/>
    <w:rPr>
      <w:color w:val="0563C1" w:themeColor="hyperlink"/>
      <w:u w:val="single"/>
    </w:rPr>
  </w:style>
  <w:style w:type="character" w:styleId="UnresolvedMention">
    <w:name w:val="Unresolved Mention"/>
    <w:basedOn w:val="DefaultParagraphFont"/>
    <w:uiPriority w:val="99"/>
    <w:semiHidden/>
    <w:unhideWhenUsed/>
    <w:rsid w:val="006E2D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foundation.org.uk/2017/wp-content/uploads/2019/02/organisational_development_report_final.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stituteforgovernment.org.uk/publication/performance-tracker-2019/poli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usticeinspectorates.gov.uk/hmicfrs/wp-content/uploads/policing-and-mental-health-picking-up-the-pieces.pdf" TargetMode="External"/><Relationship Id="rId11" Type="http://schemas.openxmlformats.org/officeDocument/2006/relationships/hyperlink" Target="https://onlinelibrary.wiley.com/doi/full/10.1111/joop.12120" TargetMode="External"/><Relationship Id="rId5" Type="http://schemas.openxmlformats.org/officeDocument/2006/relationships/hyperlink" Target="https://www.researchgate.net/publication/328916488_Psychological_Trauma_Risk_Management_in_the_UK_Police_Service" TargetMode="External"/><Relationship Id="rId10" Type="http://schemas.openxmlformats.org/officeDocument/2006/relationships/hyperlink" Target="https://oscarkilo.org.uk/wellbeing-framework/" TargetMode="External"/><Relationship Id="rId4" Type="http://schemas.openxmlformats.org/officeDocument/2006/relationships/webSettings" Target="webSettings.xml"/><Relationship Id="rId9" Type="http://schemas.openxmlformats.org/officeDocument/2006/relationships/hyperlink" Target="https://www.met.police.uk/SysSiteAssets/foi-media/metropolitan-police/disclosure_2019/january_2019/information-rights-unit---mps-stress-management-policy-and-proced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5019</Words>
  <Characters>28614</Characters>
  <Application>Microsoft Office Word</Application>
  <DocSecurity>0</DocSecurity>
  <Lines>238</Lines>
  <Paragraphs>67</Paragraphs>
  <ScaleCrop>false</ScaleCrop>
  <Company/>
  <LinksUpToDate>false</LinksUpToDate>
  <CharactersWithSpaces>33566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Nixon</dc:creator>
  <cp:keywords/>
  <dc:description/>
  <cp:lastModifiedBy>Anna Nixon</cp:lastModifiedBy>
  <cp:revision>1</cp:revision>
  <dcterms:created xsi:type="dcterms:W3CDTF">2022-01-24T14:09:00Z</dcterms:created>
  <dcterms:modified xsi:type="dcterms:W3CDTF">2022-01-24T14:13:00Z</dcterms:modified>
</cp:coreProperties>
</file>