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5ACB9" w14:textId="3C5B5D36" w:rsidR="00D46920" w:rsidRDefault="00D46920" w:rsidP="000F7FAA">
      <w:pPr>
        <w:spacing w:after="0"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name:</w:t>
      </w:r>
      <w:r w:rsidR="0094345D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94345D" w:rsidRPr="00820E7E">
        <w:rPr>
          <w:rStyle w:val="Strong"/>
          <w:rFonts w:ascii="Arial" w:hAnsi="Arial" w:cs="Arial"/>
          <w:color w:val="1D2125"/>
          <w:sz w:val="28"/>
          <w:szCs w:val="28"/>
        </w:rPr>
        <w:t>Zakiullah Storay Khaliqyar</w:t>
      </w:r>
    </w:p>
    <w:p w14:paraId="3DCFFD10" w14:textId="569D81F6" w:rsidR="00D46920" w:rsidRDefault="00D46920" w:rsidP="000F7FAA">
      <w:pPr>
        <w:spacing w:after="0"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</w:t>
      </w:r>
      <w:r w:rsidR="0094345D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94345D" w:rsidRPr="00820E7E">
        <w:rPr>
          <w:rStyle w:val="Strong"/>
          <w:rFonts w:ascii="Arial" w:hAnsi="Arial" w:cs="Arial"/>
          <w:color w:val="1D2125"/>
          <w:sz w:val="28"/>
          <w:szCs w:val="28"/>
        </w:rPr>
        <w:t>2</w:t>
      </w:r>
      <w:r w:rsidR="0064195B" w:rsidRPr="00820E7E">
        <w:rPr>
          <w:rStyle w:val="Strong"/>
          <w:rFonts w:ascii="Arial" w:hAnsi="Arial" w:cs="Arial"/>
          <w:color w:val="1D2125"/>
          <w:sz w:val="28"/>
          <w:szCs w:val="28"/>
        </w:rPr>
        <w:t>4</w:t>
      </w:r>
      <w:r w:rsidR="0094345D" w:rsidRPr="00820E7E">
        <w:rPr>
          <w:rStyle w:val="Strong"/>
          <w:rFonts w:ascii="Arial" w:hAnsi="Arial" w:cs="Arial"/>
          <w:color w:val="1D2125"/>
          <w:sz w:val="28"/>
          <w:szCs w:val="28"/>
        </w:rPr>
        <w:t>15597</w:t>
      </w:r>
    </w:p>
    <w:p w14:paraId="6F2C3011" w14:textId="0FF9E04D" w:rsidR="00D46920" w:rsidRDefault="00D46920" w:rsidP="000F7FAA">
      <w:pPr>
        <w:spacing w:after="0"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Lecturer’s name:</w:t>
      </w:r>
      <w:r w:rsidR="0094345D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64195B" w:rsidRPr="00820E7E">
        <w:rPr>
          <w:rStyle w:val="Strong"/>
          <w:rFonts w:ascii="Arial" w:hAnsi="Arial" w:cs="Arial"/>
          <w:color w:val="1D2125"/>
          <w:sz w:val="28"/>
          <w:szCs w:val="28"/>
        </w:rPr>
        <w:t>Amanda Jones</w:t>
      </w:r>
    </w:p>
    <w:p w14:paraId="7657B63E" w14:textId="005EEB3E" w:rsidR="00D46920" w:rsidRPr="00820E7E" w:rsidRDefault="0064195B" w:rsidP="000F7FAA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820E7E">
        <w:rPr>
          <w:rFonts w:ascii="Arial" w:hAnsi="Arial" w:cs="Arial"/>
          <w:b/>
          <w:bCs/>
          <w:sz w:val="28"/>
          <w:szCs w:val="28"/>
        </w:rPr>
        <w:t>Date: 20</w:t>
      </w:r>
      <w:r w:rsidRPr="00820E7E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820E7E">
        <w:rPr>
          <w:rFonts w:ascii="Arial" w:hAnsi="Arial" w:cs="Arial"/>
          <w:b/>
          <w:bCs/>
          <w:sz w:val="28"/>
          <w:szCs w:val="28"/>
        </w:rPr>
        <w:t xml:space="preserve"> March 2026</w:t>
      </w:r>
    </w:p>
    <w:p w14:paraId="42726B8D" w14:textId="474B3F3B" w:rsidR="00D46920" w:rsidRDefault="0064195B" w:rsidP="00D4692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References:</w:t>
      </w:r>
    </w:p>
    <w:p w14:paraId="7738DA68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Department for Education (DfE) (2018) </w:t>
      </w:r>
      <w:r w:rsidRPr="00D405ED">
        <w:rPr>
          <w:rFonts w:asciiTheme="minorBidi" w:hAnsiTheme="minorBidi" w:cstheme="minorBidi"/>
          <w:i/>
          <w:iCs/>
        </w:rPr>
        <w:t>Working Together to Safeguard Children: A guide to inter-agency working to safeguard and promote the welfare of children</w:t>
      </w:r>
      <w:r w:rsidRPr="00D405ED">
        <w:rPr>
          <w:rFonts w:asciiTheme="minorBidi" w:hAnsiTheme="minorBidi" w:cstheme="minorBidi"/>
        </w:rPr>
        <w:t>. London: DfE.</w:t>
      </w:r>
    </w:p>
    <w:p w14:paraId="5B1FADFB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Diabetes UK (2022) </w:t>
      </w:r>
      <w:r w:rsidRPr="00D405ED">
        <w:rPr>
          <w:rFonts w:asciiTheme="minorBidi" w:hAnsiTheme="minorBidi" w:cstheme="minorBidi"/>
          <w:i/>
          <w:iCs/>
        </w:rPr>
        <w:t>Type 1 diabetes in children and young people</w:t>
      </w:r>
      <w:r w:rsidRPr="00D405ED">
        <w:rPr>
          <w:rFonts w:asciiTheme="minorBidi" w:hAnsiTheme="minorBidi" w:cstheme="minorBidi"/>
        </w:rPr>
        <w:t>. London: Diabetes UK.</w:t>
      </w:r>
    </w:p>
    <w:p w14:paraId="69626D18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General Medical Council (GMC) (2019) </w:t>
      </w:r>
      <w:r w:rsidRPr="00D405ED">
        <w:rPr>
          <w:rFonts w:asciiTheme="minorBidi" w:hAnsiTheme="minorBidi" w:cstheme="minorBidi"/>
          <w:i/>
          <w:iCs/>
        </w:rPr>
        <w:t>Protecting children and young people: The responsibilities of all doctors</w:t>
      </w:r>
      <w:r w:rsidRPr="00D405ED">
        <w:rPr>
          <w:rFonts w:asciiTheme="minorBidi" w:hAnsiTheme="minorBidi" w:cstheme="minorBidi"/>
        </w:rPr>
        <w:t>. London: GMC.</w:t>
      </w:r>
    </w:p>
    <w:p w14:paraId="000015AD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HM Government (1989) </w:t>
      </w:r>
      <w:r w:rsidRPr="00D405ED">
        <w:rPr>
          <w:rFonts w:asciiTheme="minorBidi" w:hAnsiTheme="minorBidi" w:cstheme="minorBidi"/>
          <w:i/>
          <w:iCs/>
        </w:rPr>
        <w:t>Children Act 1989</w:t>
      </w:r>
      <w:r w:rsidRPr="00D405ED">
        <w:rPr>
          <w:rFonts w:asciiTheme="minorBidi" w:hAnsiTheme="minorBidi" w:cstheme="minorBidi"/>
        </w:rPr>
        <w:t>. London: HMSO.</w:t>
      </w:r>
    </w:p>
    <w:p w14:paraId="1E4C4D2A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HM Government (2004) </w:t>
      </w:r>
      <w:r w:rsidRPr="00D405ED">
        <w:rPr>
          <w:rFonts w:asciiTheme="minorBidi" w:hAnsiTheme="minorBidi" w:cstheme="minorBidi"/>
          <w:i/>
          <w:iCs/>
        </w:rPr>
        <w:t>Children Act 2004</w:t>
      </w:r>
      <w:r w:rsidRPr="00D405ED">
        <w:rPr>
          <w:rFonts w:asciiTheme="minorBidi" w:hAnsiTheme="minorBidi" w:cstheme="minorBidi"/>
        </w:rPr>
        <w:t>. London: HMSO.</w:t>
      </w:r>
    </w:p>
    <w:p w14:paraId="70390A64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Hodes, D. and Viner, R. (2016) ‘Safeguarding children and young people in healthcare settings’, </w:t>
      </w:r>
      <w:r w:rsidRPr="00D405ED">
        <w:rPr>
          <w:rFonts w:asciiTheme="minorBidi" w:hAnsiTheme="minorBidi" w:cstheme="minorBidi"/>
          <w:i/>
          <w:iCs/>
        </w:rPr>
        <w:t>BMJ</w:t>
      </w:r>
      <w:r w:rsidRPr="00D405ED">
        <w:rPr>
          <w:rFonts w:asciiTheme="minorBidi" w:hAnsiTheme="minorBidi" w:cstheme="minorBidi"/>
        </w:rPr>
        <w:t>, 353, p. i2307.</w:t>
      </w:r>
    </w:p>
    <w:p w14:paraId="5750868D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National Institute for Health and Care Excellence (NICE) (2023) </w:t>
      </w:r>
      <w:r w:rsidRPr="00D405ED">
        <w:rPr>
          <w:rFonts w:asciiTheme="minorBidi" w:hAnsiTheme="minorBidi" w:cstheme="minorBidi"/>
          <w:i/>
          <w:iCs/>
        </w:rPr>
        <w:t>Diabetes (type 1 and type 2) in children and young people: diagnosis and management (NG18)</w:t>
      </w:r>
      <w:r w:rsidRPr="00D405ED">
        <w:rPr>
          <w:rFonts w:asciiTheme="minorBidi" w:hAnsiTheme="minorBidi" w:cstheme="minorBidi"/>
        </w:rPr>
        <w:t>. London: NICE.</w:t>
      </w:r>
    </w:p>
    <w:p w14:paraId="4746C28A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NHS England (2019) </w:t>
      </w:r>
      <w:r w:rsidRPr="00D405ED">
        <w:rPr>
          <w:rFonts w:asciiTheme="minorBidi" w:hAnsiTheme="minorBidi" w:cstheme="minorBidi"/>
          <w:i/>
          <w:iCs/>
        </w:rPr>
        <w:t>Safeguarding in General Practice: Guidance and training resources</w:t>
      </w:r>
      <w:r w:rsidRPr="00D405ED">
        <w:rPr>
          <w:rFonts w:asciiTheme="minorBidi" w:hAnsiTheme="minorBidi" w:cstheme="minorBidi"/>
        </w:rPr>
        <w:t>. London: NHS England.</w:t>
      </w:r>
    </w:p>
    <w:p w14:paraId="00A1F085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Royal College of General Practitioners (RCGP) (2020) </w:t>
      </w:r>
      <w:r w:rsidRPr="00D405ED">
        <w:rPr>
          <w:rFonts w:asciiTheme="minorBidi" w:hAnsiTheme="minorBidi" w:cstheme="minorBidi"/>
          <w:i/>
          <w:iCs/>
        </w:rPr>
        <w:t>Safeguarding Children and Young People: A toolkit for general practice</w:t>
      </w:r>
      <w:r w:rsidRPr="00D405ED">
        <w:rPr>
          <w:rFonts w:asciiTheme="minorBidi" w:hAnsiTheme="minorBidi" w:cstheme="minorBidi"/>
        </w:rPr>
        <w:t>. London: RCGP.</w:t>
      </w:r>
    </w:p>
    <w:p w14:paraId="5F94BD43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Royal College of Paediatrics and Child Health (RCPCH) (2021) </w:t>
      </w:r>
      <w:r w:rsidRPr="00D405ED">
        <w:rPr>
          <w:rFonts w:asciiTheme="minorBidi" w:hAnsiTheme="minorBidi" w:cstheme="minorBidi"/>
          <w:i/>
          <w:iCs/>
        </w:rPr>
        <w:t>Child protection evidence: Systematic review on child neglect</w:t>
      </w:r>
      <w:r w:rsidRPr="00D405ED">
        <w:rPr>
          <w:rFonts w:asciiTheme="minorBidi" w:hAnsiTheme="minorBidi" w:cstheme="minorBidi"/>
        </w:rPr>
        <w:t>. London: RCPCH.</w:t>
      </w:r>
    </w:p>
    <w:p w14:paraId="682D8DDA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United Nations (1989) </w:t>
      </w:r>
      <w:r w:rsidRPr="00D405ED">
        <w:rPr>
          <w:rFonts w:asciiTheme="minorBidi" w:hAnsiTheme="minorBidi" w:cstheme="minorBidi"/>
          <w:i/>
          <w:iCs/>
        </w:rPr>
        <w:t>United Nations Convention on the Rights of the Child</w:t>
      </w:r>
      <w:r w:rsidRPr="00D405ED">
        <w:rPr>
          <w:rFonts w:asciiTheme="minorBidi" w:hAnsiTheme="minorBidi" w:cstheme="minorBidi"/>
        </w:rPr>
        <w:t>. New York: United Nations.</w:t>
      </w:r>
    </w:p>
    <w:p w14:paraId="36A7D9AF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Van Duinkerken, E., Snoek, F.J. and De Wit, M. (2020) ‘The psychological impact of type 1 diabetes in young people’, </w:t>
      </w:r>
      <w:r w:rsidRPr="00D405ED">
        <w:rPr>
          <w:rFonts w:asciiTheme="minorBidi" w:hAnsiTheme="minorBidi" w:cstheme="minorBidi"/>
          <w:i/>
          <w:iCs/>
        </w:rPr>
        <w:t>Diabetic Medicine</w:t>
      </w:r>
      <w:r w:rsidRPr="00D405ED">
        <w:rPr>
          <w:rFonts w:asciiTheme="minorBidi" w:hAnsiTheme="minorBidi" w:cstheme="minorBidi"/>
        </w:rPr>
        <w:t>, 37(4), pp. 555–563.</w:t>
      </w:r>
    </w:p>
    <w:p w14:paraId="27B40D1D" w14:textId="77777777" w:rsidR="00D46920" w:rsidRDefault="00D46920" w:rsidP="005C28E8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sectPr w:rsidR="00D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EAF"/>
    <w:multiLevelType w:val="hybridMultilevel"/>
    <w:tmpl w:val="75605F9C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E0968"/>
    <w:multiLevelType w:val="multilevel"/>
    <w:tmpl w:val="E482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55746"/>
    <w:multiLevelType w:val="hybridMultilevel"/>
    <w:tmpl w:val="C4684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354B9"/>
    <w:multiLevelType w:val="hybridMultilevel"/>
    <w:tmpl w:val="B05079CA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F50EC"/>
    <w:multiLevelType w:val="hybridMultilevel"/>
    <w:tmpl w:val="6870EF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427507"/>
    <w:multiLevelType w:val="hybridMultilevel"/>
    <w:tmpl w:val="A252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80395"/>
    <w:multiLevelType w:val="hybridMultilevel"/>
    <w:tmpl w:val="557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51AB7"/>
    <w:multiLevelType w:val="hybridMultilevel"/>
    <w:tmpl w:val="476E9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13A6A"/>
    <w:multiLevelType w:val="hybridMultilevel"/>
    <w:tmpl w:val="4F40D174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8F6AF8"/>
    <w:multiLevelType w:val="hybridMultilevel"/>
    <w:tmpl w:val="1436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5D016C"/>
    <w:multiLevelType w:val="hybridMultilevel"/>
    <w:tmpl w:val="8BA48804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97B59"/>
    <w:multiLevelType w:val="hybridMultilevel"/>
    <w:tmpl w:val="B42ED2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BD1935"/>
    <w:multiLevelType w:val="hybridMultilevel"/>
    <w:tmpl w:val="965A9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E7580C"/>
    <w:multiLevelType w:val="hybridMultilevel"/>
    <w:tmpl w:val="89888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F15123"/>
    <w:multiLevelType w:val="hybridMultilevel"/>
    <w:tmpl w:val="047679A6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783713">
    <w:abstractNumId w:val="8"/>
  </w:num>
  <w:num w:numId="2" w16cid:durableId="1622766073">
    <w:abstractNumId w:val="3"/>
  </w:num>
  <w:num w:numId="3" w16cid:durableId="521866105">
    <w:abstractNumId w:val="0"/>
  </w:num>
  <w:num w:numId="4" w16cid:durableId="1518612884">
    <w:abstractNumId w:val="10"/>
  </w:num>
  <w:num w:numId="5" w16cid:durableId="1113476408">
    <w:abstractNumId w:val="14"/>
  </w:num>
  <w:num w:numId="6" w16cid:durableId="2142140862">
    <w:abstractNumId w:val="13"/>
  </w:num>
  <w:num w:numId="7" w16cid:durableId="2060398449">
    <w:abstractNumId w:val="1"/>
  </w:num>
  <w:num w:numId="8" w16cid:durableId="1191258451">
    <w:abstractNumId w:val="2"/>
  </w:num>
  <w:num w:numId="9" w16cid:durableId="1457792697">
    <w:abstractNumId w:val="9"/>
  </w:num>
  <w:num w:numId="10" w16cid:durableId="78447588">
    <w:abstractNumId w:val="12"/>
  </w:num>
  <w:num w:numId="11" w16cid:durableId="1342471444">
    <w:abstractNumId w:val="6"/>
  </w:num>
  <w:num w:numId="12" w16cid:durableId="521866661">
    <w:abstractNumId w:val="7"/>
  </w:num>
  <w:num w:numId="13" w16cid:durableId="228422474">
    <w:abstractNumId w:val="5"/>
  </w:num>
  <w:num w:numId="14" w16cid:durableId="1593394146">
    <w:abstractNumId w:val="11"/>
  </w:num>
  <w:num w:numId="15" w16cid:durableId="1511529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99"/>
    <w:rsid w:val="000812B9"/>
    <w:rsid w:val="000B1AFC"/>
    <w:rsid w:val="000F7FAA"/>
    <w:rsid w:val="00114199"/>
    <w:rsid w:val="002257ED"/>
    <w:rsid w:val="00307345"/>
    <w:rsid w:val="003B6457"/>
    <w:rsid w:val="004103F9"/>
    <w:rsid w:val="005C28E8"/>
    <w:rsid w:val="0064195B"/>
    <w:rsid w:val="007472D0"/>
    <w:rsid w:val="00804E06"/>
    <w:rsid w:val="00820E7E"/>
    <w:rsid w:val="00830DC0"/>
    <w:rsid w:val="00846000"/>
    <w:rsid w:val="008D5ECA"/>
    <w:rsid w:val="0094345D"/>
    <w:rsid w:val="00A04916"/>
    <w:rsid w:val="00A55A61"/>
    <w:rsid w:val="00B44499"/>
    <w:rsid w:val="00D405ED"/>
    <w:rsid w:val="00D46920"/>
    <w:rsid w:val="00E831D8"/>
    <w:rsid w:val="00FA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6403"/>
  <w15:chartTrackingRefBased/>
  <w15:docId w15:val="{0D21DA34-CA0B-5749-8CA9-69123038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199"/>
    <w:rPr>
      <w:rFonts w:ascii="Aptos" w:eastAsia="Aptos" w:hAnsi="Aptos" w:cs="Times New Roma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4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14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14199"/>
    <w:pPr>
      <w:spacing w:after="0" w:line="240" w:lineRule="auto"/>
    </w:pPr>
    <w:rPr>
      <w:rFonts w:ascii="Aptos" w:eastAsia="Aptos" w:hAnsi="Aptos" w:cs="Times New Roman"/>
      <w14:ligatures w14:val="none"/>
    </w:rPr>
  </w:style>
  <w:style w:type="character" w:styleId="Strong">
    <w:name w:val="Strong"/>
    <w:uiPriority w:val="22"/>
    <w:qFormat/>
    <w:rsid w:val="00114199"/>
    <w:rPr>
      <w:b/>
      <w:bCs/>
    </w:rPr>
  </w:style>
  <w:style w:type="paragraph" w:styleId="NormalWeb">
    <w:name w:val="Normal (Web)"/>
    <w:basedOn w:val="Normal"/>
    <w:uiPriority w:val="99"/>
    <w:unhideWhenUsed/>
    <w:rsid w:val="000B1AF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en-GB"/>
    </w:rPr>
  </w:style>
  <w:style w:type="character" w:customStyle="1" w:styleId="apple-converted-space">
    <w:name w:val="apple-converted-space"/>
    <w:basedOn w:val="DefaultParagraphFont"/>
    <w:rsid w:val="000B1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33626B7-5B1D-402B-A290-1727979F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Salami</dc:creator>
  <cp:keywords/>
  <dc:description/>
  <cp:lastModifiedBy>Zakiullah Storay Khaliqyar (2415597)</cp:lastModifiedBy>
  <cp:revision>10</cp:revision>
  <dcterms:created xsi:type="dcterms:W3CDTF">2026-02-17T21:23:00Z</dcterms:created>
  <dcterms:modified xsi:type="dcterms:W3CDTF">2026-03-19T17:51:00Z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6256fa8c-15b5-4d05-a8ef-05cb10769466</vt:lpwstr>
  </property>
</Properties>
</file>