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9E3" w:rsidRDefault="00C34378">
      <w:pPr>
        <w:widowControl w:val="0"/>
        <w:pBdr>
          <w:top w:val="nil"/>
          <w:left w:val="nil"/>
          <w:bottom w:val="nil"/>
          <w:right w:val="nil"/>
          <w:between w:val="nil"/>
        </w:pBdr>
        <w:spacing w:after="0" w:line="276" w:lineRule="auto"/>
        <w:rPr>
          <w:rFonts w:ascii="Arial Rounded MT Bold" w:hAnsi="Arial Rounded MT Bold"/>
          <w:sz w:val="24"/>
          <w:szCs w:val="24"/>
        </w:rPr>
      </w:pPr>
      <w:r w:rsidRPr="00267A29">
        <w:rPr>
          <w:rFonts w:ascii="Arial Rounded MT Bold" w:hAnsi="Arial Rounded MT Bold"/>
          <w:sz w:val="24"/>
          <w:szCs w:val="24"/>
        </w:rPr>
        <w:t>Name</w:t>
      </w:r>
      <w:r w:rsidRPr="00267A29">
        <w:rPr>
          <w:rFonts w:ascii="Arial Rounded MT Bold" w:hAnsi="Arial Rounded MT Bold"/>
          <w:b/>
          <w:color w:val="000000" w:themeColor="text1"/>
          <w:sz w:val="24"/>
          <w:szCs w:val="24"/>
          <w:u w:val="single"/>
        </w:rPr>
        <w:t>: Blagovest Vasilev</w:t>
      </w:r>
      <w:r w:rsidRPr="00267A29">
        <w:rPr>
          <w:rFonts w:ascii="Arial Rounded MT Bold" w:hAnsi="Arial Rounded MT Bold"/>
          <w:sz w:val="24"/>
          <w:szCs w:val="24"/>
        </w:rPr>
        <w:br/>
        <w:t>Student number:1918701</w:t>
      </w:r>
    </w:p>
    <w:p w:rsidR="00C34378" w:rsidRDefault="00C34378">
      <w:pPr>
        <w:widowControl w:val="0"/>
        <w:pBdr>
          <w:top w:val="nil"/>
          <w:left w:val="nil"/>
          <w:bottom w:val="nil"/>
          <w:right w:val="nil"/>
          <w:between w:val="nil"/>
        </w:pBdr>
        <w:spacing w:after="0" w:line="276" w:lineRule="auto"/>
        <w:rPr>
          <w:rFonts w:ascii="Arial Rounded MT Bold" w:hAnsi="Arial Rounded MT Bold"/>
          <w:sz w:val="24"/>
          <w:szCs w:val="24"/>
        </w:rPr>
      </w:pPr>
      <w:r w:rsidRPr="00267A29">
        <w:rPr>
          <w:rFonts w:ascii="Arial Rounded MT Bold" w:hAnsi="Arial Rounded MT Bold"/>
          <w:sz w:val="24"/>
          <w:szCs w:val="24"/>
        </w:rPr>
        <w:t>Module title:</w:t>
      </w:r>
      <w:r>
        <w:rPr>
          <w:rFonts w:ascii="Arial Rounded MT Bold" w:hAnsi="Arial Rounded MT Bold"/>
          <w:sz w:val="24"/>
          <w:szCs w:val="24"/>
        </w:rPr>
        <w:t xml:space="preserve"> Managing People</w:t>
      </w:r>
      <w:bookmarkStart w:id="0" w:name="_GoBack"/>
      <w:bookmarkEnd w:id="0"/>
    </w:p>
    <w:p w:rsidR="00C34378" w:rsidRDefault="00C34378">
      <w:pPr>
        <w:widowControl w:val="0"/>
        <w:pBdr>
          <w:top w:val="nil"/>
          <w:left w:val="nil"/>
          <w:bottom w:val="nil"/>
          <w:right w:val="nil"/>
          <w:between w:val="nil"/>
        </w:pBdr>
        <w:spacing w:after="0" w:line="276" w:lineRule="auto"/>
        <w:rPr>
          <w:rFonts w:ascii="Arial Rounded MT Bold" w:hAnsi="Arial Rounded MT Bold"/>
          <w:sz w:val="24"/>
          <w:szCs w:val="24"/>
          <w:lang w:val="en-US"/>
        </w:rPr>
      </w:pPr>
      <w:r>
        <w:rPr>
          <w:rFonts w:ascii="Arial Rounded MT Bold" w:hAnsi="Arial Rounded MT Bold"/>
          <w:sz w:val="24"/>
          <w:szCs w:val="24"/>
          <w:lang w:val="en-US"/>
        </w:rPr>
        <w:t>Module Lecturer’s Name</w:t>
      </w:r>
      <w:r w:rsidRPr="00267A29">
        <w:rPr>
          <w:rFonts w:ascii="Arial Rounded MT Bold" w:hAnsi="Arial Rounded MT Bold"/>
          <w:sz w:val="24"/>
          <w:szCs w:val="24"/>
          <w:lang w:val="en-US"/>
        </w:rPr>
        <w:t>:</w:t>
      </w:r>
      <w:r>
        <w:rPr>
          <w:rFonts w:ascii="Arial Rounded MT Bold" w:hAnsi="Arial Rounded MT Bold"/>
          <w:sz w:val="24"/>
          <w:szCs w:val="24"/>
          <w:lang w:val="en-US"/>
        </w:rPr>
        <w:t xml:space="preserve"> </w:t>
      </w:r>
      <w:proofErr w:type="spellStart"/>
      <w:r>
        <w:rPr>
          <w:rFonts w:ascii="Arial Rounded MT Bold" w:hAnsi="Arial Rounded MT Bold"/>
          <w:sz w:val="24"/>
          <w:szCs w:val="24"/>
          <w:lang w:val="en-US"/>
        </w:rPr>
        <w:t>Zainab</w:t>
      </w:r>
      <w:proofErr w:type="spellEnd"/>
      <w:r>
        <w:rPr>
          <w:rFonts w:ascii="Arial Rounded MT Bold" w:hAnsi="Arial Rounded MT Bold"/>
          <w:sz w:val="24"/>
          <w:szCs w:val="24"/>
          <w:lang w:val="en-US"/>
        </w:rPr>
        <w:t xml:space="preserve"> Atta</w:t>
      </w:r>
    </w:p>
    <w:p w:rsidR="004F74F8" w:rsidRDefault="004F74F8">
      <w:pPr>
        <w:widowControl w:val="0"/>
        <w:pBdr>
          <w:top w:val="nil"/>
          <w:left w:val="nil"/>
          <w:bottom w:val="nil"/>
          <w:right w:val="nil"/>
          <w:between w:val="nil"/>
        </w:pBdr>
        <w:spacing w:after="0" w:line="276" w:lineRule="auto"/>
        <w:rPr>
          <w:rFonts w:ascii="Arial Rounded MT Bold" w:hAnsi="Arial Rounded MT Bold"/>
          <w:sz w:val="24"/>
          <w:szCs w:val="24"/>
          <w:lang w:val="en-US"/>
        </w:rPr>
      </w:pPr>
      <w:r>
        <w:rPr>
          <w:rFonts w:ascii="Arial Rounded MT Bold" w:hAnsi="Arial Rounded MT Bold"/>
          <w:sz w:val="24"/>
          <w:szCs w:val="24"/>
          <w:lang w:val="en-US"/>
        </w:rPr>
        <w:t xml:space="preserve">Module code: </w:t>
      </w:r>
      <w:r>
        <w:rPr>
          <w:rFonts w:ascii="Arial Rounded MT Bold" w:hAnsi="Arial Rounded MT Bold"/>
          <w:sz w:val="24"/>
          <w:szCs w:val="24"/>
        </w:rPr>
        <w:t>LCBB5004</w:t>
      </w:r>
    </w:p>
    <w:p w:rsidR="00C34378" w:rsidRDefault="00C34378">
      <w:pPr>
        <w:widowControl w:val="0"/>
        <w:pBdr>
          <w:top w:val="nil"/>
          <w:left w:val="nil"/>
          <w:bottom w:val="nil"/>
          <w:right w:val="nil"/>
          <w:between w:val="nil"/>
        </w:pBdr>
        <w:spacing w:after="0" w:line="276" w:lineRule="auto"/>
      </w:pPr>
      <w:r w:rsidRPr="00267A29">
        <w:rPr>
          <w:rFonts w:ascii="Arial Rounded MT Bold" w:hAnsi="Arial Rounded MT Bold"/>
          <w:sz w:val="24"/>
          <w:szCs w:val="24"/>
          <w:lang w:val="en-US"/>
        </w:rPr>
        <w:t xml:space="preserve"> </w:t>
      </w:r>
      <w:r>
        <w:rPr>
          <w:rFonts w:ascii="Arial Rounded MT Bold" w:hAnsi="Arial Rounded MT Bold"/>
          <w:sz w:val="24"/>
          <w:szCs w:val="24"/>
        </w:rPr>
        <w:t xml:space="preserve"> </w:t>
      </w:r>
    </w:p>
    <w:p w:rsidR="007D69E3" w:rsidRDefault="00C34378">
      <w:pPr>
        <w:spacing w:line="360" w:lineRule="auto"/>
      </w:pPr>
      <w:r>
        <w:t>Slide 1</w:t>
      </w:r>
    </w:p>
    <w:p w:rsidR="007D69E3" w:rsidRDefault="007D69E3">
      <w:pPr>
        <w:spacing w:line="360" w:lineRule="auto"/>
      </w:pPr>
    </w:p>
    <w:p w:rsidR="007D69E3" w:rsidRDefault="00C34378">
      <w:pPr>
        <w:spacing w:line="360" w:lineRule="auto"/>
        <w:jc w:val="center"/>
      </w:pPr>
      <w:r>
        <w:object w:dxaOrig="7200" w:dyaOrig="4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1239321" r:id="rId5"/>
        </w:object>
      </w:r>
    </w:p>
    <w:p w:rsidR="007D69E3" w:rsidRDefault="007D69E3">
      <w:pPr>
        <w:spacing w:line="360" w:lineRule="auto"/>
        <w:jc w:val="cente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2</w:t>
      </w:r>
    </w:p>
    <w:p w:rsidR="007D69E3" w:rsidRDefault="007D69E3">
      <w:pPr>
        <w:spacing w:line="360" w:lineRule="auto"/>
      </w:pPr>
    </w:p>
    <w:p w:rsidR="007D69E3" w:rsidRDefault="00C34378">
      <w:pPr>
        <w:spacing w:line="360" w:lineRule="auto"/>
        <w:jc w:val="center"/>
      </w:pPr>
      <w:r>
        <w:object w:dxaOrig="7200" w:dyaOrig="4050">
          <v:shape id="_x0000_i1026"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701239322" r:id="rId7"/>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Company Overview</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ALDI </w:t>
      </w:r>
      <w:proofErr w:type="spellStart"/>
      <w:r>
        <w:rPr>
          <w:rFonts w:ascii="Arial" w:eastAsia="Arial" w:hAnsi="Arial" w:cs="Arial"/>
          <w:sz w:val="24"/>
          <w:szCs w:val="24"/>
        </w:rPr>
        <w:t>Einkauf</w:t>
      </w:r>
      <w:proofErr w:type="spellEnd"/>
      <w:r>
        <w:rPr>
          <w:rFonts w:ascii="Arial" w:eastAsia="Arial" w:hAnsi="Arial" w:cs="Arial"/>
          <w:sz w:val="24"/>
          <w:szCs w:val="24"/>
        </w:rPr>
        <w:t xml:space="preserve"> GmbH &amp; Co, shortened as ALDI, is a global retail company headquartered in Germany. ALDI is also Germany's largest retailer, with ALDI Nord &amp; ALDI </w:t>
      </w:r>
      <w:proofErr w:type="spellStart"/>
      <w:r>
        <w:rPr>
          <w:rFonts w:ascii="Arial" w:eastAsia="Arial" w:hAnsi="Arial" w:cs="Arial"/>
          <w:sz w:val="24"/>
          <w:szCs w:val="24"/>
        </w:rPr>
        <w:t>Süd</w:t>
      </w:r>
      <w:proofErr w:type="spellEnd"/>
      <w:r>
        <w:rPr>
          <w:rFonts w:ascii="Arial" w:eastAsia="Arial" w:hAnsi="Arial" w:cs="Arial"/>
          <w:sz w:val="24"/>
          <w:szCs w:val="24"/>
        </w:rPr>
        <w:t xml:space="preserve"> operating divisions. Founded in 1913 by Karl and Theo </w:t>
      </w:r>
      <w:proofErr w:type="spellStart"/>
      <w:r>
        <w:rPr>
          <w:rFonts w:ascii="Arial" w:eastAsia="Arial" w:hAnsi="Arial" w:cs="Arial"/>
          <w:sz w:val="24"/>
          <w:szCs w:val="24"/>
        </w:rPr>
        <w:t>Albretch's</w:t>
      </w:r>
      <w:proofErr w:type="spellEnd"/>
      <w:r>
        <w:rPr>
          <w:rFonts w:ascii="Arial" w:eastAsia="Arial" w:hAnsi="Arial" w:cs="Arial"/>
          <w:sz w:val="24"/>
          <w:szCs w:val="24"/>
        </w:rPr>
        <w:t xml:space="preserve"> mother, the organisation grew rapidly after the brothers joined the family business in the late 1930s (Welcome to ALDI, 2021). The organisation also specialises in everyday low-cost household supplies. An efficient process with low variation has given the organisation a competitive advantage. ALDI has a ‘no-frills approach, which implies that there is minimum shelf filling and minimal customer assistance.</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3</w:t>
      </w:r>
    </w:p>
    <w:p w:rsidR="007D69E3" w:rsidRDefault="007D69E3">
      <w:pPr>
        <w:spacing w:line="360" w:lineRule="auto"/>
      </w:pPr>
    </w:p>
    <w:p w:rsidR="007D69E3" w:rsidRDefault="00C34378">
      <w:pPr>
        <w:spacing w:line="360" w:lineRule="auto"/>
        <w:jc w:val="center"/>
      </w:pPr>
      <w:r>
        <w:object w:dxaOrig="7200" w:dyaOrig="4050">
          <v:shape id="_x0000_i1027"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701239323" r:id="rId9"/>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Activities of HRM</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HRM is the systematic and organised management of people in an organisation (</w:t>
      </w:r>
      <w:proofErr w:type="spellStart"/>
      <w:r>
        <w:rPr>
          <w:rFonts w:ascii="Arial" w:eastAsia="Arial" w:hAnsi="Arial" w:cs="Arial"/>
          <w:sz w:val="24"/>
          <w:szCs w:val="24"/>
        </w:rPr>
        <w:t>Beardwell</w:t>
      </w:r>
      <w:proofErr w:type="spellEnd"/>
      <w:r>
        <w:rPr>
          <w:rFonts w:ascii="Arial" w:eastAsia="Arial" w:hAnsi="Arial" w:cs="Arial"/>
          <w:sz w:val="24"/>
          <w:szCs w:val="24"/>
        </w:rPr>
        <w:t xml:space="preserve"> and Thompson, 2017). The basic role of human resources is to increase productivity by boosting staff efficiency. Employees of a company collectively and individually contribute to its success. Managing people is harder than managing capital, machinery, or technology. HRM is a set of interconnected operations designed to help an organisation achieve its objectives.</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Job Analysis</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Recruitment</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Selection</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Training and Development</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4</w:t>
      </w:r>
    </w:p>
    <w:p w:rsidR="007D69E3" w:rsidRDefault="007D69E3">
      <w:pPr>
        <w:spacing w:line="360" w:lineRule="auto"/>
      </w:pPr>
    </w:p>
    <w:p w:rsidR="007D69E3" w:rsidRDefault="00C34378">
      <w:pPr>
        <w:spacing w:line="360" w:lineRule="auto"/>
        <w:jc w:val="center"/>
      </w:pPr>
      <w:r>
        <w:object w:dxaOrig="7200" w:dyaOrig="4050">
          <v:shape id="_x0000_i1028"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701239324" r:id="rId11"/>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Job Analysis: Job analysis is a set of processes used to identify a job's tasks and the traits or job criteria required to complete them. Job analysis helps firms discover which individuals are most suited for specific occupations. The analyst must grasp the work's key duties, how they are performed, and the human traits required to do the job successfully. An analyst describes the job duties, therefore the characteristics and work conditions, and finally certain basic qualifications (</w:t>
      </w:r>
      <w:proofErr w:type="spellStart"/>
      <w:r>
        <w:rPr>
          <w:rFonts w:ascii="Arial" w:eastAsia="Arial" w:hAnsi="Arial" w:cs="Arial"/>
          <w:sz w:val="24"/>
          <w:szCs w:val="24"/>
        </w:rPr>
        <w:t>Moharana</w:t>
      </w:r>
      <w:proofErr w:type="spellEnd"/>
      <w:r>
        <w:rPr>
          <w:rFonts w:ascii="Arial" w:eastAsia="Arial" w:hAnsi="Arial" w:cs="Arial"/>
          <w:sz w:val="24"/>
          <w:szCs w:val="24"/>
        </w:rPr>
        <w:t>, 2013). The job analyst then creates a job psychograph, which depicts the job's mental demands. At ALDI job analysis is directly connected to the objectives of the organisation. As they are in the retailing industry they seek candidates that are well fitted for customer management, have personal attributes that are better suited for sales, and as per their policy, they resource promising employees.</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5</w:t>
      </w:r>
    </w:p>
    <w:p w:rsidR="007D69E3" w:rsidRDefault="007D69E3">
      <w:pPr>
        <w:spacing w:line="360" w:lineRule="auto"/>
      </w:pPr>
    </w:p>
    <w:p w:rsidR="007D69E3" w:rsidRDefault="00C34378">
      <w:pPr>
        <w:spacing w:line="360" w:lineRule="auto"/>
        <w:jc w:val="center"/>
      </w:pPr>
      <w:r>
        <w:object w:dxaOrig="7200" w:dyaOrig="4050">
          <v:shape id="_x0000_i1029"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701239325" r:id="rId13"/>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Recruitment: The recruitment process is a ‘linking function' that connects job seekers and employers. Encouraging job seekers to apply for jobs with employers is a joining procedure. Recruitment's goal is to build a pool of qualified candidates. Thus, the organisation should portray the position in a way that attracts candidates (Hook and Jenkins, 2020). To save money, the recruitment should attract competent applicants and allow non-qualified applicants to self-select. Company objectives also have an impact on this process. At ALDI their objectives of equality and diversity reshape their recruitment process by welcoming people from diverse ethnic, cultural, and educational backgrounds.</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6</w:t>
      </w:r>
    </w:p>
    <w:p w:rsidR="007D69E3" w:rsidRDefault="007D69E3">
      <w:pPr>
        <w:spacing w:line="360" w:lineRule="auto"/>
      </w:pPr>
    </w:p>
    <w:p w:rsidR="007D69E3" w:rsidRDefault="00C34378">
      <w:pPr>
        <w:spacing w:line="360" w:lineRule="auto"/>
        <w:jc w:val="center"/>
      </w:pPr>
      <w:r>
        <w:object w:dxaOrig="7200" w:dyaOrig="4050">
          <v:shape id="_x0000_i1030"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701239326" r:id="rId15"/>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Selection: It's the procedure of selecting people for employment in a company based on their skills and experience. The primary objective is to select the best candidates from the group of eligible applicants. Recruitment and job applications are both necessary before selection can begin. The company objectives of ALDI at the Covid-19 time reshaped the screening process through safety precautions and social distancing (COVID-19 Updates | ALDI US, 2021). They also allow candidates to schedule their interviews at a convenient time. The selection authority is given to the store managers and they recruit based on their evaluation.</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7</w:t>
      </w:r>
    </w:p>
    <w:p w:rsidR="007D69E3" w:rsidRDefault="007D69E3">
      <w:pPr>
        <w:spacing w:line="360" w:lineRule="auto"/>
      </w:pPr>
    </w:p>
    <w:p w:rsidR="007D69E3" w:rsidRDefault="00C34378">
      <w:pPr>
        <w:spacing w:line="360" w:lineRule="auto"/>
        <w:jc w:val="center"/>
      </w:pPr>
      <w:r>
        <w:object w:dxaOrig="7200" w:dyaOrig="4050">
          <v:shape id="_x0000_i1031"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1" DrawAspect="Content" ObjectID="_1701239327" r:id="rId17"/>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Training and Development: Training improves the unique skills of an organization's workers. Job specification skills, effective communication, team development, legal and policy challenges may all be addressed through training programs. Individuals acquire skills, attitudes, and information through training in order to do their jobs efficiently. Training and development are critical for personnel to be prepared to tackle future difficulties. The company policy of ALDI is to provide on-the-job training for better performance. Following their goal of diversity and equality, they train employees to avoid unconscious bias and to ensure equality in the organisation.</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8</w:t>
      </w:r>
    </w:p>
    <w:p w:rsidR="007D69E3" w:rsidRDefault="007D69E3">
      <w:pPr>
        <w:spacing w:line="360" w:lineRule="auto"/>
      </w:pPr>
    </w:p>
    <w:p w:rsidR="007D69E3" w:rsidRDefault="00C34378">
      <w:pPr>
        <w:spacing w:line="360" w:lineRule="auto"/>
        <w:jc w:val="center"/>
      </w:pPr>
      <w:r>
        <w:object w:dxaOrig="7200" w:dyaOrig="4050">
          <v:shape id="_x0000_i1032"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2" DrawAspect="Content" ObjectID="_1701239328" r:id="rId19"/>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HR and Business Environment</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It has taken a long time for human resources to become what it is today. Many environmental factors have been cited as a possible cause of this change.  The dynamic business environment has led to the development of HRM procedures to boost the ability to manage employees (Baron, 2013).</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9</w:t>
      </w:r>
    </w:p>
    <w:p w:rsidR="007D69E3" w:rsidRDefault="007D69E3">
      <w:pPr>
        <w:spacing w:line="360" w:lineRule="auto"/>
      </w:pPr>
    </w:p>
    <w:p w:rsidR="007D69E3" w:rsidRDefault="00C34378">
      <w:pPr>
        <w:spacing w:line="360" w:lineRule="auto"/>
        <w:jc w:val="center"/>
      </w:pPr>
      <w:r>
        <w:object w:dxaOrig="7200" w:dyaOrig="4050">
          <v:shape id="_x0000_i1033"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3" DrawAspect="Content" ObjectID="_1701239329" r:id="rId21"/>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External Factors</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In the context of an organization's business, the external environment includes all of the external elements that have an impact on it </w:t>
      </w:r>
      <w:r>
        <w:rPr>
          <w:rFonts w:ascii="Arial" w:eastAsia="Arial" w:hAnsi="Arial" w:cs="Arial"/>
          <w:color w:val="000000"/>
          <w:sz w:val="20"/>
          <w:szCs w:val="20"/>
        </w:rPr>
        <w:t xml:space="preserve">(Brooks and </w:t>
      </w:r>
      <w:proofErr w:type="spellStart"/>
      <w:r>
        <w:rPr>
          <w:rFonts w:ascii="Arial" w:eastAsia="Arial" w:hAnsi="Arial" w:cs="Arial"/>
          <w:color w:val="000000"/>
          <w:sz w:val="20"/>
          <w:szCs w:val="20"/>
        </w:rPr>
        <w:t>Weatherston</w:t>
      </w:r>
      <w:proofErr w:type="spellEnd"/>
      <w:r>
        <w:rPr>
          <w:rFonts w:ascii="Arial" w:eastAsia="Arial" w:hAnsi="Arial" w:cs="Arial"/>
          <w:color w:val="000000"/>
          <w:sz w:val="20"/>
          <w:szCs w:val="20"/>
        </w:rPr>
        <w:t>, 2012)</w:t>
      </w:r>
      <w:r>
        <w:rPr>
          <w:rFonts w:ascii="Arial" w:eastAsia="Arial" w:hAnsi="Arial" w:cs="Arial"/>
          <w:sz w:val="24"/>
          <w:szCs w:val="24"/>
        </w:rPr>
        <w:t>. These variables are mostly out of the organization's hands. Opportunities and risks might arise outside of an organization's industry because of its external environment.</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10</w:t>
      </w:r>
    </w:p>
    <w:p w:rsidR="007D69E3" w:rsidRDefault="007D69E3">
      <w:pPr>
        <w:spacing w:line="360" w:lineRule="auto"/>
      </w:pPr>
    </w:p>
    <w:p w:rsidR="007D69E3" w:rsidRDefault="00C34378">
      <w:pPr>
        <w:spacing w:line="360" w:lineRule="auto"/>
        <w:jc w:val="center"/>
      </w:pPr>
      <w:r>
        <w:object w:dxaOrig="7200" w:dyaOrig="4050">
          <v:shape id="_x0000_i1034"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4" DrawAspect="Content" ObjectID="_1701239330" r:id="rId23"/>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Technological Advancement: Technology advancements can improve human resource tasks such as selection, recruiting, education, training, performance evaluation, and salary determination. Also, multinational HRM advancements can be learned and implemented faster. Also, all human resource functions may be performed more efficiently. Technology changes might also affect human resource policies. This can reduce the demand for work, resulting in low employment. As a result of increased demand for qualified personnel, education and training prices will rise. Also, measures like retirement incentives could be more prominent, increasing social security costs. At the same time, new technology can render some workers useless, even if they are enormously valued in a traditional industry. In the Covid-19 situation, technological advancement is being helpful for employees to work from home while keeping themselves safe.</w:t>
      </w:r>
    </w:p>
    <w:p w:rsidR="007D69E3" w:rsidRDefault="00C34378">
      <w:pPr>
        <w:spacing w:after="0" w:line="360" w:lineRule="auto"/>
        <w:jc w:val="both"/>
        <w:rPr>
          <w:rFonts w:ascii="Arial" w:eastAsia="Arial" w:hAnsi="Arial" w:cs="Arial"/>
          <w:sz w:val="24"/>
          <w:szCs w:val="24"/>
        </w:rPr>
      </w:pPr>
      <w:bookmarkStart w:id="1" w:name="_gjdgxs" w:colFirst="0" w:colLast="0"/>
      <w:bookmarkEnd w:id="1"/>
      <w:r>
        <w:rPr>
          <w:rFonts w:ascii="Arial" w:eastAsia="Arial" w:hAnsi="Arial" w:cs="Arial"/>
          <w:sz w:val="24"/>
          <w:szCs w:val="24"/>
        </w:rPr>
        <w:t>Economy: The state of the economy is a major external influence. It not only affects the skill pool, but also the ability to hire anyone. As the economy has gone bad in the Covid-19 situation many companies had to cut jobs and many stooped their recruitment process (</w:t>
      </w:r>
      <w:proofErr w:type="spellStart"/>
      <w:r>
        <w:rPr>
          <w:rFonts w:ascii="Arial" w:eastAsia="Arial" w:hAnsi="Arial" w:cs="Arial"/>
          <w:sz w:val="24"/>
          <w:szCs w:val="24"/>
        </w:rPr>
        <w:t>Nerlich</w:t>
      </w:r>
      <w:proofErr w:type="spellEnd"/>
      <w:r>
        <w:rPr>
          <w:rFonts w:ascii="Arial" w:eastAsia="Arial" w:hAnsi="Arial" w:cs="Arial"/>
          <w:sz w:val="24"/>
          <w:szCs w:val="24"/>
        </w:rPr>
        <w:t xml:space="preserve"> and </w:t>
      </w:r>
      <w:proofErr w:type="spellStart"/>
      <w:r>
        <w:rPr>
          <w:rFonts w:ascii="Arial" w:eastAsia="Arial" w:hAnsi="Arial" w:cs="Arial"/>
          <w:sz w:val="24"/>
          <w:szCs w:val="24"/>
        </w:rPr>
        <w:t>Jaspal</w:t>
      </w:r>
      <w:proofErr w:type="spellEnd"/>
      <w:r>
        <w:rPr>
          <w:rFonts w:ascii="Arial" w:eastAsia="Arial" w:hAnsi="Arial" w:cs="Arial"/>
          <w:sz w:val="24"/>
          <w:szCs w:val="24"/>
        </w:rPr>
        <w:t>, 2021). One of the best ways to prepare for a bad economy is to keep up with current events and make a plan for when things go bad. Having a contingency fund or a plan to tackle the difficult environment can help any company survive.</w:t>
      </w:r>
      <w:r>
        <w:br w:type="page"/>
      </w:r>
    </w:p>
    <w:p w:rsidR="007D69E3" w:rsidRDefault="00C34378">
      <w:pPr>
        <w:spacing w:line="360" w:lineRule="auto"/>
      </w:pPr>
      <w:r>
        <w:lastRenderedPageBreak/>
        <w:t>Slide 11</w:t>
      </w:r>
    </w:p>
    <w:p w:rsidR="007D69E3" w:rsidRDefault="007D69E3">
      <w:pPr>
        <w:spacing w:line="360" w:lineRule="auto"/>
      </w:pPr>
    </w:p>
    <w:p w:rsidR="007D69E3" w:rsidRDefault="00C34378">
      <w:pPr>
        <w:spacing w:line="360" w:lineRule="auto"/>
        <w:jc w:val="center"/>
      </w:pPr>
      <w:r>
        <w:object w:dxaOrig="7200" w:dyaOrig="4050">
          <v:shape id="_x0000_i1035"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5" DrawAspect="Content" ObjectID="_1701239331" r:id="rId25"/>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Government Regulations: New workplace compliance regulations constantly put pressure on HR departments to stay within the law (Brooks and </w:t>
      </w:r>
      <w:proofErr w:type="spellStart"/>
      <w:r>
        <w:rPr>
          <w:rFonts w:ascii="Arial" w:eastAsia="Arial" w:hAnsi="Arial" w:cs="Arial"/>
          <w:sz w:val="24"/>
          <w:szCs w:val="24"/>
        </w:rPr>
        <w:t>Weatherston</w:t>
      </w:r>
      <w:proofErr w:type="spellEnd"/>
      <w:r>
        <w:rPr>
          <w:rFonts w:ascii="Arial" w:eastAsia="Arial" w:hAnsi="Arial" w:cs="Arial"/>
          <w:sz w:val="24"/>
          <w:szCs w:val="24"/>
        </w:rPr>
        <w:t>, 2012). These rules impact recruiting, training, remuneration, dismissal, and other HR processes. Non-compliance with such requirements can result in heavy fines and perhaps closure. For example, as the government of the UK made new regulations for health safety in Covid-19 the HR of ALDI brought changes in their workplace to ensure safety against the virus. Many firms faced legal actions for violating this regulation.</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Availability of Candidates: Organisations seek workers (demand for labour) and people make themselves available to organisations (offer of labour) in labour markets (supply of labour). Depending on many other factors there can be a shortage of candidates compared to the jobs and in some cases, there can be a shortage of eligible candidates. HR management faces additional challenges because they aren't subject to the same controls as the rest of the company.</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12</w:t>
      </w:r>
    </w:p>
    <w:p w:rsidR="007D69E3" w:rsidRDefault="007D69E3">
      <w:pPr>
        <w:spacing w:line="360" w:lineRule="auto"/>
      </w:pPr>
    </w:p>
    <w:p w:rsidR="007D69E3" w:rsidRDefault="00C34378">
      <w:pPr>
        <w:spacing w:line="360" w:lineRule="auto"/>
        <w:jc w:val="center"/>
      </w:pPr>
      <w:r>
        <w:object w:dxaOrig="7200" w:dyaOrig="4050">
          <v:shape id="_x0000_i1036"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6" DrawAspect="Content" ObjectID="_1701239332" r:id="rId27"/>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Internal Factors</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In an organisation, internal factors are those that can be controlled, such as the company's culture and management structure.</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13</w:t>
      </w:r>
    </w:p>
    <w:p w:rsidR="007D69E3" w:rsidRDefault="007D69E3">
      <w:pPr>
        <w:spacing w:line="360" w:lineRule="auto"/>
      </w:pPr>
    </w:p>
    <w:p w:rsidR="007D69E3" w:rsidRDefault="00C34378">
      <w:pPr>
        <w:spacing w:line="360" w:lineRule="auto"/>
        <w:jc w:val="center"/>
      </w:pPr>
      <w:r>
        <w:object w:dxaOrig="7200" w:dyaOrig="4050">
          <v:shape id="_x0000_i1037"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7" DrawAspect="Content" ObjectID="_1701239333" r:id="rId29"/>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Growth of the Company: The company's present and expected growth rate is an internal aspect that affects human resources. Companies that are rapidly expanding may need to invest in talent acquisition and additional staff. Employee retention and strengthening the workplace culture and environment are important goals for stagnant organisations. Recognizing that downsizing organisations may have to lay off employees is a difficult task for Human Resources (HR).</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Organisational Culture: Organizations, like individuals, have distinct personalities and distinct cultures. Each company has its own unique culture that sets it apart from the rest. Members of an organization's culture are said to share a set of core principles or beliefs (Al-</w:t>
      </w:r>
      <w:proofErr w:type="spellStart"/>
      <w:r>
        <w:rPr>
          <w:rFonts w:ascii="Arial" w:eastAsia="Arial" w:hAnsi="Arial" w:cs="Arial"/>
          <w:sz w:val="24"/>
          <w:szCs w:val="24"/>
        </w:rPr>
        <w:t>Madadha</w:t>
      </w:r>
      <w:proofErr w:type="spellEnd"/>
      <w:r>
        <w:rPr>
          <w:rFonts w:ascii="Arial" w:eastAsia="Arial" w:hAnsi="Arial" w:cs="Arial"/>
          <w:sz w:val="24"/>
          <w:szCs w:val="24"/>
        </w:rPr>
        <w:t>, Al-</w:t>
      </w:r>
      <w:proofErr w:type="spellStart"/>
      <w:r>
        <w:rPr>
          <w:rFonts w:ascii="Arial" w:eastAsia="Arial" w:hAnsi="Arial" w:cs="Arial"/>
          <w:sz w:val="24"/>
          <w:szCs w:val="24"/>
        </w:rPr>
        <w:t>Adwan</w:t>
      </w:r>
      <w:proofErr w:type="spellEnd"/>
      <w:r>
        <w:rPr>
          <w:rFonts w:ascii="Arial" w:eastAsia="Arial" w:hAnsi="Arial" w:cs="Arial"/>
          <w:sz w:val="24"/>
          <w:szCs w:val="24"/>
        </w:rPr>
        <w:t xml:space="preserve"> and </w:t>
      </w:r>
      <w:proofErr w:type="spellStart"/>
      <w:r>
        <w:rPr>
          <w:rFonts w:ascii="Arial" w:eastAsia="Arial" w:hAnsi="Arial" w:cs="Arial"/>
          <w:sz w:val="24"/>
          <w:szCs w:val="24"/>
        </w:rPr>
        <w:t>Zakzouk</w:t>
      </w:r>
      <w:proofErr w:type="spellEnd"/>
      <w:r>
        <w:rPr>
          <w:rFonts w:ascii="Arial" w:eastAsia="Arial" w:hAnsi="Arial" w:cs="Arial"/>
          <w:sz w:val="24"/>
          <w:szCs w:val="24"/>
        </w:rPr>
        <w:t>, 2021). When it comes to a company like ALDI, for example, there is a strong emphasis on employee well-being, motivation, diversity, and equal opportunity.</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14</w:t>
      </w:r>
    </w:p>
    <w:p w:rsidR="007D69E3" w:rsidRDefault="007D69E3">
      <w:pPr>
        <w:spacing w:line="360" w:lineRule="auto"/>
      </w:pPr>
    </w:p>
    <w:p w:rsidR="007D69E3" w:rsidRDefault="00C34378">
      <w:pPr>
        <w:spacing w:line="360" w:lineRule="auto"/>
        <w:jc w:val="center"/>
      </w:pPr>
      <w:r>
        <w:object w:dxaOrig="7200" w:dyaOrig="4050">
          <v:shape id="_x0000_i1038"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8" DrawAspect="Content" ObjectID="_1701239334" r:id="rId31"/>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Organisational Strategy: Depending on the industry, products, competitors, government regulation, etc., an organisation may need to adapt its strategy. In some circumstances, the nature and strategy of the organisation might also have an impact on the HR functions (Brand and </w:t>
      </w:r>
      <w:proofErr w:type="spellStart"/>
      <w:r>
        <w:rPr>
          <w:rFonts w:ascii="Arial" w:eastAsia="Arial" w:hAnsi="Arial" w:cs="Arial"/>
          <w:sz w:val="24"/>
          <w:szCs w:val="24"/>
        </w:rPr>
        <w:t>Bax</w:t>
      </w:r>
      <w:proofErr w:type="spellEnd"/>
      <w:r>
        <w:rPr>
          <w:rFonts w:ascii="Arial" w:eastAsia="Arial" w:hAnsi="Arial" w:cs="Arial"/>
          <w:sz w:val="24"/>
          <w:szCs w:val="24"/>
        </w:rPr>
        <w:t>, 2015). When planning for human resources, the human resources department must ensure that the recruitment process is attracting the talents that fit the organisational strategy.</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Organisational Mission and Policies: A firm's mission defines its purpose and justification. A company's mission statement explains who they are, why they exist, and what it can offer. People at various levels must carry out jobs while keeping in mind the firm's overarching objective.   Policies are the organisation's road maps. Policies define what people can and cannot do. The HRM functions are influenced by the organization's mission and policies. These specify how the organization's goals will be attained and what type of talent management policies that HR should follow to ensure the mission and objectives (</w:t>
      </w:r>
      <w:proofErr w:type="spellStart"/>
      <w:r>
        <w:rPr>
          <w:rFonts w:ascii="Arial" w:eastAsia="Arial" w:hAnsi="Arial" w:cs="Arial"/>
          <w:sz w:val="24"/>
          <w:szCs w:val="24"/>
        </w:rPr>
        <w:t>Aktar</w:t>
      </w:r>
      <w:proofErr w:type="spellEnd"/>
      <w:r>
        <w:rPr>
          <w:rFonts w:ascii="Arial" w:eastAsia="Arial" w:hAnsi="Arial" w:cs="Arial"/>
          <w:sz w:val="24"/>
          <w:szCs w:val="24"/>
        </w:rPr>
        <w:t xml:space="preserve"> and </w:t>
      </w:r>
      <w:proofErr w:type="spellStart"/>
      <w:r>
        <w:rPr>
          <w:rFonts w:ascii="Arial" w:eastAsia="Arial" w:hAnsi="Arial" w:cs="Arial"/>
          <w:sz w:val="24"/>
          <w:szCs w:val="24"/>
        </w:rPr>
        <w:t>Pangil</w:t>
      </w:r>
      <w:proofErr w:type="spellEnd"/>
      <w:r>
        <w:rPr>
          <w:rFonts w:ascii="Arial" w:eastAsia="Arial" w:hAnsi="Arial" w:cs="Arial"/>
          <w:sz w:val="24"/>
          <w:szCs w:val="24"/>
        </w:rPr>
        <w:t>, 2020).</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15</w:t>
      </w:r>
    </w:p>
    <w:p w:rsidR="007D69E3" w:rsidRDefault="007D69E3">
      <w:pPr>
        <w:spacing w:line="360" w:lineRule="auto"/>
      </w:pPr>
    </w:p>
    <w:p w:rsidR="007D69E3" w:rsidRDefault="00C34378">
      <w:pPr>
        <w:spacing w:line="360" w:lineRule="auto"/>
        <w:jc w:val="center"/>
      </w:pPr>
      <w:r>
        <w:object w:dxaOrig="7200" w:dyaOrig="4050">
          <v:shape id="_x0000_i1039" type="#_x0000_t75" style="width:5in;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9" DrawAspect="Content" ObjectID="_1701239335" r:id="rId33"/>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Conclusion</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HR conducts the most important task of talent management within a company. They had to do various activities related to the recruitment process like job specification, sourcing, screening, selecting, training, etc. These tasks are done keeping the organisational objectives in mind. Aside from these many internal and external factors like technological advancement, job market, governmental policies, organisation culture, policies, mission, </w:t>
      </w:r>
      <w:proofErr w:type="spellStart"/>
      <w:r>
        <w:rPr>
          <w:rFonts w:ascii="Arial" w:eastAsia="Arial" w:hAnsi="Arial" w:cs="Arial"/>
          <w:sz w:val="24"/>
          <w:szCs w:val="24"/>
        </w:rPr>
        <w:t>etc</w:t>
      </w:r>
      <w:proofErr w:type="spellEnd"/>
      <w:r>
        <w:rPr>
          <w:rFonts w:ascii="Arial" w:eastAsia="Arial" w:hAnsi="Arial" w:cs="Arial"/>
          <w:sz w:val="24"/>
          <w:szCs w:val="24"/>
        </w:rPr>
        <w:t>, are influencing the activities and decisions of HR.</w:t>
      </w:r>
    </w:p>
    <w:p w:rsidR="007D69E3" w:rsidRDefault="007D69E3">
      <w:pPr>
        <w:spacing w:after="0" w:line="360" w:lineRule="auto"/>
        <w:rPr>
          <w:sz w:val="24"/>
          <w:szCs w:val="24"/>
        </w:rPr>
      </w:pPr>
    </w:p>
    <w:p w:rsidR="007D69E3" w:rsidRDefault="007D69E3">
      <w:pPr>
        <w:spacing w:after="0" w:line="360" w:lineRule="auto"/>
        <w:rPr>
          <w:rFonts w:ascii="Arial" w:eastAsia="Arial" w:hAnsi="Arial" w:cs="Arial"/>
          <w:sz w:val="24"/>
          <w:szCs w:val="24"/>
        </w:rPr>
      </w:pPr>
    </w:p>
    <w:p w:rsidR="007D69E3" w:rsidRDefault="007D69E3">
      <w:pPr>
        <w:spacing w:line="360" w:lineRule="auto"/>
      </w:pPr>
    </w:p>
    <w:p w:rsidR="007D69E3" w:rsidRDefault="00C34378">
      <w:pPr>
        <w:spacing w:line="360" w:lineRule="auto"/>
      </w:pPr>
      <w:r>
        <w:br w:type="page"/>
      </w:r>
    </w:p>
    <w:p w:rsidR="007D69E3" w:rsidRDefault="00C34378">
      <w:pPr>
        <w:spacing w:line="360" w:lineRule="auto"/>
      </w:pPr>
      <w:r>
        <w:lastRenderedPageBreak/>
        <w:t>Slide 16</w:t>
      </w:r>
    </w:p>
    <w:p w:rsidR="007D69E3" w:rsidRDefault="007D69E3">
      <w:pPr>
        <w:spacing w:line="360" w:lineRule="auto"/>
      </w:pPr>
    </w:p>
    <w:p w:rsidR="007D69E3" w:rsidRDefault="00C34378">
      <w:pPr>
        <w:spacing w:line="360" w:lineRule="auto"/>
        <w:jc w:val="center"/>
      </w:pPr>
      <w:r>
        <w:object w:dxaOrig="7200" w:dyaOrig="4050">
          <v:shape id="_x0000_i1040" type="#_x0000_t75" style="width:5in;height:20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40" DrawAspect="Content" ObjectID="_1701239336" r:id="rId35"/>
        </w:object>
      </w:r>
    </w:p>
    <w:p w:rsidR="007D69E3" w:rsidRDefault="007D69E3">
      <w:pPr>
        <w:spacing w:line="360" w:lineRule="auto"/>
        <w:jc w:val="center"/>
      </w:pPr>
    </w:p>
    <w:p w:rsidR="007D69E3" w:rsidRDefault="00C34378">
      <w:pPr>
        <w:spacing w:after="0" w:line="360" w:lineRule="auto"/>
        <w:jc w:val="both"/>
        <w:rPr>
          <w:rFonts w:ascii="Arial" w:eastAsia="Arial" w:hAnsi="Arial" w:cs="Arial"/>
          <w:sz w:val="24"/>
          <w:szCs w:val="24"/>
        </w:rPr>
      </w:pPr>
      <w:r>
        <w:rPr>
          <w:rFonts w:ascii="Arial" w:eastAsia="Arial" w:hAnsi="Arial" w:cs="Arial"/>
          <w:color w:val="000000"/>
          <w:sz w:val="24"/>
          <w:szCs w:val="24"/>
        </w:rPr>
        <w:t>References</w:t>
      </w:r>
    </w:p>
    <w:p w:rsidR="007D69E3" w:rsidRDefault="00C34378">
      <w:pPr>
        <w:spacing w:after="0" w:line="360" w:lineRule="auto"/>
        <w:jc w:val="both"/>
        <w:rPr>
          <w:rFonts w:ascii="Arial" w:eastAsia="Arial" w:hAnsi="Arial" w:cs="Arial"/>
          <w:sz w:val="24"/>
          <w:szCs w:val="24"/>
        </w:rPr>
      </w:pPr>
      <w:proofErr w:type="spellStart"/>
      <w:r>
        <w:rPr>
          <w:rFonts w:ascii="Arial" w:eastAsia="Arial" w:hAnsi="Arial" w:cs="Arial"/>
          <w:sz w:val="24"/>
          <w:szCs w:val="24"/>
        </w:rPr>
        <w:t>Aktar</w:t>
      </w:r>
      <w:proofErr w:type="spellEnd"/>
      <w:r>
        <w:rPr>
          <w:rFonts w:ascii="Arial" w:eastAsia="Arial" w:hAnsi="Arial" w:cs="Arial"/>
          <w:sz w:val="24"/>
          <w:szCs w:val="24"/>
        </w:rPr>
        <w:t xml:space="preserve">, A. and </w:t>
      </w:r>
      <w:proofErr w:type="spellStart"/>
      <w:r>
        <w:rPr>
          <w:rFonts w:ascii="Arial" w:eastAsia="Arial" w:hAnsi="Arial" w:cs="Arial"/>
          <w:sz w:val="24"/>
          <w:szCs w:val="24"/>
        </w:rPr>
        <w:t>Pangil</w:t>
      </w:r>
      <w:proofErr w:type="spellEnd"/>
      <w:r>
        <w:rPr>
          <w:rFonts w:ascii="Arial" w:eastAsia="Arial" w:hAnsi="Arial" w:cs="Arial"/>
          <w:sz w:val="24"/>
          <w:szCs w:val="24"/>
        </w:rPr>
        <w:t>, F., 2020. HRM practices, employee engagement, organisational commitment and work-related social support. </w:t>
      </w:r>
      <w:r>
        <w:rPr>
          <w:rFonts w:ascii="Arial" w:eastAsia="Arial" w:hAnsi="Arial" w:cs="Arial"/>
          <w:i/>
          <w:sz w:val="24"/>
          <w:szCs w:val="24"/>
        </w:rPr>
        <w:t>J. for Global Business Advancement</w:t>
      </w:r>
      <w:r>
        <w:rPr>
          <w:rFonts w:ascii="Arial" w:eastAsia="Arial" w:hAnsi="Arial" w:cs="Arial"/>
          <w:sz w:val="24"/>
          <w:szCs w:val="24"/>
        </w:rPr>
        <w:t>, 13(6), p.688.</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Aldi.com. 2021. </w:t>
      </w:r>
      <w:r>
        <w:rPr>
          <w:rFonts w:ascii="Arial" w:eastAsia="Arial" w:hAnsi="Arial" w:cs="Arial"/>
          <w:i/>
          <w:sz w:val="24"/>
          <w:szCs w:val="24"/>
        </w:rPr>
        <w:t>Welcome to ALDI</w:t>
      </w:r>
      <w:r>
        <w:rPr>
          <w:rFonts w:ascii="Arial" w:eastAsia="Arial" w:hAnsi="Arial" w:cs="Arial"/>
          <w:sz w:val="24"/>
          <w:szCs w:val="24"/>
        </w:rPr>
        <w:t>. [online] Available at: &lt;https://www.aldi.com/&gt; [Accessed 6 December 2021].</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Al-</w:t>
      </w:r>
      <w:proofErr w:type="spellStart"/>
      <w:r>
        <w:rPr>
          <w:rFonts w:ascii="Arial" w:eastAsia="Arial" w:hAnsi="Arial" w:cs="Arial"/>
          <w:sz w:val="24"/>
          <w:szCs w:val="24"/>
        </w:rPr>
        <w:t>Madadha</w:t>
      </w:r>
      <w:proofErr w:type="spellEnd"/>
      <w:r>
        <w:rPr>
          <w:rFonts w:ascii="Arial" w:eastAsia="Arial" w:hAnsi="Arial" w:cs="Arial"/>
          <w:sz w:val="24"/>
          <w:szCs w:val="24"/>
        </w:rPr>
        <w:t>, A., Al-</w:t>
      </w:r>
      <w:proofErr w:type="spellStart"/>
      <w:r>
        <w:rPr>
          <w:rFonts w:ascii="Arial" w:eastAsia="Arial" w:hAnsi="Arial" w:cs="Arial"/>
          <w:sz w:val="24"/>
          <w:szCs w:val="24"/>
        </w:rPr>
        <w:t>Adwan</w:t>
      </w:r>
      <w:proofErr w:type="spellEnd"/>
      <w:r>
        <w:rPr>
          <w:rFonts w:ascii="Arial" w:eastAsia="Arial" w:hAnsi="Arial" w:cs="Arial"/>
          <w:sz w:val="24"/>
          <w:szCs w:val="24"/>
        </w:rPr>
        <w:t xml:space="preserve">, A. and </w:t>
      </w:r>
      <w:proofErr w:type="spellStart"/>
      <w:r>
        <w:rPr>
          <w:rFonts w:ascii="Arial" w:eastAsia="Arial" w:hAnsi="Arial" w:cs="Arial"/>
          <w:sz w:val="24"/>
          <w:szCs w:val="24"/>
        </w:rPr>
        <w:t>Zakzouk</w:t>
      </w:r>
      <w:proofErr w:type="spellEnd"/>
      <w:r>
        <w:rPr>
          <w:rFonts w:ascii="Arial" w:eastAsia="Arial" w:hAnsi="Arial" w:cs="Arial"/>
          <w:sz w:val="24"/>
          <w:szCs w:val="24"/>
        </w:rPr>
        <w:t>, F., 2021. Organisational Culture and Organisational Citizenship Behaviour: The Dark Side of Organisational Politics. </w:t>
      </w:r>
      <w:proofErr w:type="spellStart"/>
      <w:r>
        <w:rPr>
          <w:rFonts w:ascii="Arial" w:eastAsia="Arial" w:hAnsi="Arial" w:cs="Arial"/>
          <w:i/>
          <w:sz w:val="24"/>
          <w:szCs w:val="24"/>
        </w:rPr>
        <w:t>Organizacija</w:t>
      </w:r>
      <w:proofErr w:type="spellEnd"/>
      <w:r>
        <w:rPr>
          <w:rFonts w:ascii="Arial" w:eastAsia="Arial" w:hAnsi="Arial" w:cs="Arial"/>
          <w:sz w:val="24"/>
          <w:szCs w:val="24"/>
        </w:rPr>
        <w:t>, 54(1), pp.36-48.</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Baron, D., 2013. </w:t>
      </w:r>
      <w:r>
        <w:rPr>
          <w:rFonts w:ascii="Arial" w:eastAsia="Arial" w:hAnsi="Arial" w:cs="Arial"/>
          <w:i/>
          <w:sz w:val="24"/>
          <w:szCs w:val="24"/>
        </w:rPr>
        <w:t>Business and its environment</w:t>
      </w:r>
      <w:r>
        <w:rPr>
          <w:rFonts w:ascii="Arial" w:eastAsia="Arial" w:hAnsi="Arial" w:cs="Arial"/>
          <w:sz w:val="24"/>
          <w:szCs w:val="24"/>
        </w:rPr>
        <w:t>. Boston: Pearson.</w:t>
      </w:r>
    </w:p>
    <w:p w:rsidR="007D69E3" w:rsidRDefault="00C34378">
      <w:pPr>
        <w:spacing w:after="0" w:line="360" w:lineRule="auto"/>
        <w:jc w:val="both"/>
        <w:rPr>
          <w:rFonts w:ascii="Arial" w:eastAsia="Arial" w:hAnsi="Arial" w:cs="Arial"/>
          <w:sz w:val="24"/>
          <w:szCs w:val="24"/>
        </w:rPr>
      </w:pPr>
      <w:proofErr w:type="spellStart"/>
      <w:r>
        <w:rPr>
          <w:rFonts w:ascii="Arial" w:eastAsia="Arial" w:hAnsi="Arial" w:cs="Arial"/>
          <w:sz w:val="24"/>
          <w:szCs w:val="24"/>
        </w:rPr>
        <w:t>Beardwell</w:t>
      </w:r>
      <w:proofErr w:type="spellEnd"/>
      <w:r>
        <w:rPr>
          <w:rFonts w:ascii="Arial" w:eastAsia="Arial" w:hAnsi="Arial" w:cs="Arial"/>
          <w:sz w:val="24"/>
          <w:szCs w:val="24"/>
        </w:rPr>
        <w:t>, J. and Thompson, A., 2017. </w:t>
      </w:r>
      <w:r>
        <w:rPr>
          <w:rFonts w:ascii="Arial" w:eastAsia="Arial" w:hAnsi="Arial" w:cs="Arial"/>
          <w:i/>
          <w:sz w:val="24"/>
          <w:szCs w:val="24"/>
        </w:rPr>
        <w:t>Human resource management</w:t>
      </w:r>
      <w:r>
        <w:rPr>
          <w:rFonts w:ascii="Arial" w:eastAsia="Arial" w:hAnsi="Arial" w:cs="Arial"/>
          <w:sz w:val="24"/>
          <w:szCs w:val="24"/>
        </w:rPr>
        <w:t>. Harlow: Pearson Education.</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Brand, M. and </w:t>
      </w:r>
      <w:proofErr w:type="spellStart"/>
      <w:r>
        <w:rPr>
          <w:rFonts w:ascii="Arial" w:eastAsia="Arial" w:hAnsi="Arial" w:cs="Arial"/>
          <w:sz w:val="24"/>
          <w:szCs w:val="24"/>
        </w:rPr>
        <w:t>Bax</w:t>
      </w:r>
      <w:proofErr w:type="spellEnd"/>
      <w:r>
        <w:rPr>
          <w:rFonts w:ascii="Arial" w:eastAsia="Arial" w:hAnsi="Arial" w:cs="Arial"/>
          <w:sz w:val="24"/>
          <w:szCs w:val="24"/>
        </w:rPr>
        <w:t>, E., 2015. Strategic HRM for SMEs: implications for firms and policy. </w:t>
      </w:r>
      <w:r>
        <w:rPr>
          <w:rFonts w:ascii="Arial" w:eastAsia="Arial" w:hAnsi="Arial" w:cs="Arial"/>
          <w:i/>
          <w:sz w:val="24"/>
          <w:szCs w:val="24"/>
        </w:rPr>
        <w:t>Education + Training</w:t>
      </w:r>
      <w:r>
        <w:rPr>
          <w:rFonts w:ascii="Arial" w:eastAsia="Arial" w:hAnsi="Arial" w:cs="Arial"/>
          <w:sz w:val="24"/>
          <w:szCs w:val="24"/>
        </w:rPr>
        <w:t>, 44(8/9), pp.451-463.</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 xml:space="preserve">Brooks, I. and </w:t>
      </w:r>
      <w:proofErr w:type="spellStart"/>
      <w:r>
        <w:rPr>
          <w:rFonts w:ascii="Arial" w:eastAsia="Arial" w:hAnsi="Arial" w:cs="Arial"/>
          <w:sz w:val="24"/>
          <w:szCs w:val="24"/>
        </w:rPr>
        <w:t>Weatherston</w:t>
      </w:r>
      <w:proofErr w:type="spellEnd"/>
      <w:r>
        <w:rPr>
          <w:rFonts w:ascii="Arial" w:eastAsia="Arial" w:hAnsi="Arial" w:cs="Arial"/>
          <w:sz w:val="24"/>
          <w:szCs w:val="24"/>
        </w:rPr>
        <w:t>, J., 2012. </w:t>
      </w:r>
      <w:r>
        <w:rPr>
          <w:rFonts w:ascii="Arial" w:eastAsia="Arial" w:hAnsi="Arial" w:cs="Arial"/>
          <w:i/>
          <w:sz w:val="24"/>
          <w:szCs w:val="24"/>
        </w:rPr>
        <w:t>The business environment</w:t>
      </w:r>
      <w:r>
        <w:rPr>
          <w:rFonts w:ascii="Arial" w:eastAsia="Arial" w:hAnsi="Arial" w:cs="Arial"/>
          <w:sz w:val="24"/>
          <w:szCs w:val="24"/>
        </w:rPr>
        <w:t>. Harlow, England: Financial Times/Prentice Hall.</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t>Corporate.aldi.us. 2021. </w:t>
      </w:r>
      <w:r>
        <w:rPr>
          <w:rFonts w:ascii="Arial" w:eastAsia="Arial" w:hAnsi="Arial" w:cs="Arial"/>
          <w:i/>
          <w:sz w:val="24"/>
          <w:szCs w:val="24"/>
        </w:rPr>
        <w:t>COVID-19 Updates | ALDI US</w:t>
      </w:r>
      <w:r>
        <w:rPr>
          <w:rFonts w:ascii="Arial" w:eastAsia="Arial" w:hAnsi="Arial" w:cs="Arial"/>
          <w:sz w:val="24"/>
          <w:szCs w:val="24"/>
        </w:rPr>
        <w:t>. [online] Available at: &lt;https://corporate.aldi.us/en/newsroom/aldi-covid-19-updates/&gt; [Accessed 6 December 2021].</w:t>
      </w:r>
    </w:p>
    <w:p w:rsidR="007D69E3" w:rsidRDefault="00C34378">
      <w:pPr>
        <w:spacing w:after="0" w:line="360" w:lineRule="auto"/>
        <w:jc w:val="both"/>
        <w:rPr>
          <w:rFonts w:ascii="Arial" w:eastAsia="Arial" w:hAnsi="Arial" w:cs="Arial"/>
          <w:sz w:val="24"/>
          <w:szCs w:val="24"/>
        </w:rPr>
      </w:pPr>
      <w:r>
        <w:rPr>
          <w:rFonts w:ascii="Arial" w:eastAsia="Arial" w:hAnsi="Arial" w:cs="Arial"/>
          <w:sz w:val="24"/>
          <w:szCs w:val="24"/>
        </w:rPr>
        <w:lastRenderedPageBreak/>
        <w:t>Hook, C. and Jenkins, A., 2020. </w:t>
      </w:r>
      <w:r>
        <w:rPr>
          <w:rFonts w:ascii="Arial" w:eastAsia="Arial" w:hAnsi="Arial" w:cs="Arial"/>
          <w:i/>
          <w:sz w:val="24"/>
          <w:szCs w:val="24"/>
        </w:rPr>
        <w:t>Introducing human resource management</w:t>
      </w:r>
      <w:r>
        <w:rPr>
          <w:rFonts w:ascii="Arial" w:eastAsia="Arial" w:hAnsi="Arial" w:cs="Arial"/>
          <w:sz w:val="24"/>
          <w:szCs w:val="24"/>
        </w:rPr>
        <w:t>.</w:t>
      </w:r>
    </w:p>
    <w:p w:rsidR="007D69E3" w:rsidRDefault="00C34378">
      <w:pPr>
        <w:spacing w:after="0" w:line="360" w:lineRule="auto"/>
        <w:jc w:val="both"/>
        <w:rPr>
          <w:rFonts w:ascii="Arial" w:eastAsia="Arial" w:hAnsi="Arial" w:cs="Arial"/>
          <w:sz w:val="24"/>
          <w:szCs w:val="24"/>
        </w:rPr>
      </w:pPr>
      <w:proofErr w:type="spellStart"/>
      <w:r>
        <w:rPr>
          <w:rFonts w:ascii="Arial" w:eastAsia="Arial" w:hAnsi="Arial" w:cs="Arial"/>
          <w:sz w:val="24"/>
          <w:szCs w:val="24"/>
        </w:rPr>
        <w:t>Moharana</w:t>
      </w:r>
      <w:proofErr w:type="spellEnd"/>
      <w:r>
        <w:rPr>
          <w:rFonts w:ascii="Arial" w:eastAsia="Arial" w:hAnsi="Arial" w:cs="Arial"/>
          <w:sz w:val="24"/>
          <w:szCs w:val="24"/>
        </w:rPr>
        <w:t>, S., 2013. Strategic HR Activities to Enhance the Plant Productivity Through Inventory, Logistics and Supply Chain Management. </w:t>
      </w:r>
      <w:r>
        <w:rPr>
          <w:rFonts w:ascii="Arial" w:eastAsia="Arial" w:hAnsi="Arial" w:cs="Arial"/>
          <w:i/>
          <w:sz w:val="24"/>
          <w:szCs w:val="24"/>
        </w:rPr>
        <w:t xml:space="preserve">SSRN Electronic </w:t>
      </w:r>
      <w:proofErr w:type="gramStart"/>
      <w:r>
        <w:rPr>
          <w:rFonts w:ascii="Arial" w:eastAsia="Arial" w:hAnsi="Arial" w:cs="Arial"/>
          <w:i/>
          <w:sz w:val="24"/>
          <w:szCs w:val="24"/>
        </w:rPr>
        <w:t>Journal</w:t>
      </w:r>
      <w:r>
        <w:rPr>
          <w:rFonts w:ascii="Arial" w:eastAsia="Arial" w:hAnsi="Arial" w:cs="Arial"/>
          <w:sz w:val="24"/>
          <w:szCs w:val="24"/>
        </w:rPr>
        <w:t>,.</w:t>
      </w:r>
      <w:proofErr w:type="gramEnd"/>
    </w:p>
    <w:p w:rsidR="007D69E3" w:rsidRDefault="00C34378">
      <w:pPr>
        <w:spacing w:after="0" w:line="360" w:lineRule="auto"/>
        <w:jc w:val="both"/>
        <w:rPr>
          <w:rFonts w:ascii="Arial" w:eastAsia="Arial" w:hAnsi="Arial" w:cs="Arial"/>
          <w:sz w:val="24"/>
          <w:szCs w:val="24"/>
        </w:rPr>
      </w:pPr>
      <w:proofErr w:type="spellStart"/>
      <w:r>
        <w:rPr>
          <w:rFonts w:ascii="Arial" w:eastAsia="Arial" w:hAnsi="Arial" w:cs="Arial"/>
          <w:sz w:val="24"/>
          <w:szCs w:val="24"/>
        </w:rPr>
        <w:t>Nerlich</w:t>
      </w:r>
      <w:proofErr w:type="spellEnd"/>
      <w:r>
        <w:rPr>
          <w:rFonts w:ascii="Arial" w:eastAsia="Arial" w:hAnsi="Arial" w:cs="Arial"/>
          <w:sz w:val="24"/>
          <w:szCs w:val="24"/>
        </w:rPr>
        <w:t xml:space="preserve">, B. and </w:t>
      </w:r>
      <w:proofErr w:type="spellStart"/>
      <w:r>
        <w:rPr>
          <w:rFonts w:ascii="Arial" w:eastAsia="Arial" w:hAnsi="Arial" w:cs="Arial"/>
          <w:sz w:val="24"/>
          <w:szCs w:val="24"/>
        </w:rPr>
        <w:t>Jaspal</w:t>
      </w:r>
      <w:proofErr w:type="spellEnd"/>
      <w:r>
        <w:rPr>
          <w:rFonts w:ascii="Arial" w:eastAsia="Arial" w:hAnsi="Arial" w:cs="Arial"/>
          <w:sz w:val="24"/>
          <w:szCs w:val="24"/>
        </w:rPr>
        <w:t>, R., 2021. Social representations of ‘social distancing’ in response to COVID-19 in the UK media. </w:t>
      </w:r>
      <w:r>
        <w:rPr>
          <w:rFonts w:ascii="Arial" w:eastAsia="Arial" w:hAnsi="Arial" w:cs="Arial"/>
          <w:i/>
          <w:sz w:val="24"/>
          <w:szCs w:val="24"/>
        </w:rPr>
        <w:t>Current Sociology</w:t>
      </w:r>
      <w:r>
        <w:rPr>
          <w:rFonts w:ascii="Arial" w:eastAsia="Arial" w:hAnsi="Arial" w:cs="Arial"/>
          <w:sz w:val="24"/>
          <w:szCs w:val="24"/>
        </w:rPr>
        <w:t>, p.001139212199003.</w:t>
      </w:r>
    </w:p>
    <w:p w:rsidR="007D69E3" w:rsidRDefault="007D69E3">
      <w:pPr>
        <w:spacing w:after="0" w:line="240" w:lineRule="auto"/>
        <w:rPr>
          <w:sz w:val="24"/>
          <w:szCs w:val="24"/>
        </w:rPr>
      </w:pPr>
    </w:p>
    <w:p w:rsidR="007D69E3" w:rsidRDefault="007D69E3">
      <w:pPr>
        <w:spacing w:after="0" w:line="240" w:lineRule="auto"/>
        <w:rPr>
          <w:rFonts w:ascii="Arial" w:eastAsia="Arial" w:hAnsi="Arial" w:cs="Arial"/>
          <w:sz w:val="24"/>
          <w:szCs w:val="24"/>
        </w:rPr>
      </w:pPr>
    </w:p>
    <w:p w:rsidR="007D69E3" w:rsidRDefault="007D69E3">
      <w:pPr>
        <w:spacing w:line="360" w:lineRule="auto"/>
      </w:pPr>
    </w:p>
    <w:p w:rsidR="007D69E3" w:rsidRDefault="007D69E3">
      <w:pPr>
        <w:spacing w:line="360" w:lineRule="auto"/>
      </w:pPr>
    </w:p>
    <w:sectPr w:rsidR="007D69E3">
      <w:pgSz w:w="11906" w:h="16838"/>
      <w:pgMar w:top="1440" w:right="1440" w:bottom="1440"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4"/>
  </w:compat>
  <w:rsids>
    <w:rsidRoot w:val="007D69E3"/>
    <w:rsid w:val="004F74F8"/>
    <w:rsid w:val="007D69E3"/>
    <w:rsid w:val="00C3437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35A30"/>
  <w15:docId w15:val="{E7FA56AD-6552-4943-8C4D-2CE00504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_________Microsoft_PowerPoint4.sldx"/><Relationship Id="rId18" Type="http://schemas.openxmlformats.org/officeDocument/2006/relationships/image" Target="media/image8.emf"/><Relationship Id="rId26" Type="http://schemas.openxmlformats.org/officeDocument/2006/relationships/image" Target="media/image12.emf"/><Relationship Id="rId21" Type="http://schemas.openxmlformats.org/officeDocument/2006/relationships/package" Target="embeddings/_________Microsoft_PowerPoint8.sldx"/><Relationship Id="rId34" Type="http://schemas.openxmlformats.org/officeDocument/2006/relationships/image" Target="media/image16.emf"/><Relationship Id="rId7" Type="http://schemas.openxmlformats.org/officeDocument/2006/relationships/package" Target="embeddings/_________Microsoft_PowerPoint1.sldx"/><Relationship Id="rId12" Type="http://schemas.openxmlformats.org/officeDocument/2006/relationships/image" Target="media/image5.emf"/><Relationship Id="rId17" Type="http://schemas.openxmlformats.org/officeDocument/2006/relationships/package" Target="embeddings/_________Microsoft_PowerPoint6.sldx"/><Relationship Id="rId25" Type="http://schemas.openxmlformats.org/officeDocument/2006/relationships/package" Target="embeddings/_________Microsoft_PowerPoint10.sldx"/><Relationship Id="rId33" Type="http://schemas.openxmlformats.org/officeDocument/2006/relationships/package" Target="embeddings/_________Microsoft_PowerPoint14.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_________Microsoft_PowerPoint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_________Microsoft_PowerPoint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theme" Target="theme/theme1.xml"/><Relationship Id="rId5" Type="http://schemas.openxmlformats.org/officeDocument/2006/relationships/package" Target="embeddings/_________Microsoft_PowerPoint.sldx"/><Relationship Id="rId15" Type="http://schemas.openxmlformats.org/officeDocument/2006/relationships/package" Target="embeddings/_________Microsoft_PowerPoint5.sldx"/><Relationship Id="rId23" Type="http://schemas.openxmlformats.org/officeDocument/2006/relationships/package" Target="embeddings/_________Microsoft_PowerPoint9.sldx"/><Relationship Id="rId28" Type="http://schemas.openxmlformats.org/officeDocument/2006/relationships/image" Target="media/image13.emf"/><Relationship Id="rId36"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package" Target="embeddings/_________Microsoft_PowerPoint7.sldx"/><Relationship Id="rId31" Type="http://schemas.openxmlformats.org/officeDocument/2006/relationships/package" Target="embeddings/_________Microsoft_PowerPoint13.sldx"/><Relationship Id="rId4" Type="http://schemas.openxmlformats.org/officeDocument/2006/relationships/image" Target="media/image1.emf"/><Relationship Id="rId9" Type="http://schemas.openxmlformats.org/officeDocument/2006/relationships/package" Target="embeddings/_________Microsoft_PowerPoint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_________Microsoft_PowerPoint11.sldx"/><Relationship Id="rId30" Type="http://schemas.openxmlformats.org/officeDocument/2006/relationships/image" Target="media/image14.emf"/><Relationship Id="rId35" Type="http://schemas.openxmlformats.org/officeDocument/2006/relationships/package" Target="embeddings/_________Microsoft_PowerPoint15.sldx"/><Relationship Id="rId8" Type="http://schemas.openxmlformats.org/officeDocument/2006/relationships/image" Target="media/image3.emf"/><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1010</TotalTime>
  <Pages>1</Pages>
  <Words>1828</Words>
  <Characters>10425</Characters>
  <Application>Microsoft Office Word</Application>
  <DocSecurity>0</DocSecurity>
  <Lines>86</Lines>
  <Paragraphs>24</Paragraphs>
  <ScaleCrop>false</ScaleCrop>
  <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Потребител на Windows</cp:lastModifiedBy>
  <cp:revision>4</cp:revision>
  <dcterms:created xsi:type="dcterms:W3CDTF">2021-12-16T14:35:00Z</dcterms:created>
  <dcterms:modified xsi:type="dcterms:W3CDTF">2021-12-17T09:42:00Z</dcterms:modified>
</cp:coreProperties>
</file>