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Ind w:w="2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810"/>
      </w:tblGrid>
      <w:tr w:rsidR="00841E24" w:rsidRPr="005E6FF7" w14:paraId="007ADB0E" w14:textId="77777777" w:rsidTr="00E47C71">
        <w:trPr>
          <w:trHeight w:val="255"/>
        </w:trPr>
        <w:tc>
          <w:tcPr>
            <w:tcW w:w="18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CCC976D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Module Code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FDA3046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val="en-GB" w:eastAsia="zh-CN"/>
              </w:rPr>
              <w:t>LCHS7001</w:t>
            </w:r>
          </w:p>
        </w:tc>
      </w:tr>
      <w:tr w:rsidR="00841E24" w:rsidRPr="005E6FF7" w14:paraId="24D2C8FA" w14:textId="77777777" w:rsidTr="00E47C71">
        <w:trPr>
          <w:trHeight w:val="255"/>
        </w:trPr>
        <w:tc>
          <w:tcPr>
            <w:tcW w:w="18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432519A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Title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9712630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3EA30DD4">
              <w:rPr>
                <w:rFonts w:ascii="Arial" w:eastAsia="Arial" w:hAnsi="Arial" w:cs="Arial"/>
                <w:b/>
                <w:bCs/>
              </w:rPr>
              <w:t>Practice-Based Research</w:t>
            </w:r>
          </w:p>
        </w:tc>
      </w:tr>
      <w:tr w:rsidR="00841E24" w:rsidRPr="005E6FF7" w14:paraId="42EA2775" w14:textId="77777777" w:rsidTr="00E47C71">
        <w:trPr>
          <w:trHeight w:val="255"/>
        </w:trPr>
        <w:tc>
          <w:tcPr>
            <w:tcW w:w="18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74E89B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Date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0C60CB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lang w:val="en-GB" w:eastAsia="zh-CN"/>
              </w:rPr>
            </w:pPr>
            <w:r w:rsidRPr="00340215">
              <w:rPr>
                <w:rFonts w:ascii="Arial" w:eastAsia="Arial" w:hAnsi="Arial" w:cs="Arial"/>
                <w:b/>
                <w:bCs/>
              </w:rPr>
              <w:t>12/07/2022</w:t>
            </w:r>
          </w:p>
        </w:tc>
      </w:tr>
      <w:tr w:rsidR="00841E24" w:rsidRPr="005E6FF7" w14:paraId="6732FC99" w14:textId="77777777" w:rsidTr="00E47C71">
        <w:trPr>
          <w:trHeight w:val="255"/>
        </w:trPr>
        <w:tc>
          <w:tcPr>
            <w:tcW w:w="18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BF899EF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Level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B3624E9" w14:textId="77777777" w:rsidR="00841E24" w:rsidRPr="00F72008" w:rsidRDefault="00841E24" w:rsidP="00E47C71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b/>
                <w:bCs/>
                <w:color w:val="000000"/>
                <w:lang w:val="en-GB" w:eastAsia="zh-CN"/>
              </w:rPr>
            </w:pPr>
            <w:r>
              <w:rPr>
                <w:rFonts w:asciiTheme="minorBidi" w:eastAsia="Times New Roman" w:hAnsiTheme="minorBidi" w:cstheme="minorBidi"/>
                <w:b/>
                <w:bCs/>
                <w:color w:val="000000"/>
                <w:lang w:val="en-GB" w:eastAsia="zh-CN"/>
              </w:rPr>
              <w:t>7</w:t>
            </w:r>
          </w:p>
        </w:tc>
      </w:tr>
      <w:tr w:rsidR="00841E24" w:rsidRPr="005E6FF7" w14:paraId="7575C1A5" w14:textId="77777777" w:rsidTr="00E47C71">
        <w:trPr>
          <w:trHeight w:val="255"/>
        </w:trPr>
        <w:tc>
          <w:tcPr>
            <w:tcW w:w="18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A116076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Credits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7AE5167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20 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</w:tr>
      <w:tr w:rsidR="00841E24" w:rsidRPr="005E6FF7" w14:paraId="4BDC4378" w14:textId="77777777" w:rsidTr="00E47C71">
        <w:trPr>
          <w:trHeight w:val="255"/>
        </w:trPr>
        <w:tc>
          <w:tcPr>
            <w:tcW w:w="18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192C011" w14:textId="77777777" w:rsidR="00841E24" w:rsidRPr="005E6FF7" w:rsidRDefault="00841E24" w:rsidP="00E47C7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Pre-Requisites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5DF2006" w14:textId="77777777" w:rsidR="00841E24" w:rsidRPr="00F72008" w:rsidRDefault="00841E24" w:rsidP="00E47C71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b/>
                <w:bCs/>
                <w:color w:val="000000"/>
                <w:lang w:val="en-GB" w:eastAsia="zh-CN"/>
              </w:rPr>
            </w:pPr>
            <w:r w:rsidRPr="00F72008">
              <w:rPr>
                <w:rFonts w:asciiTheme="minorBidi" w:eastAsia="Times New Roman" w:hAnsiTheme="minorBidi" w:cstheme="minorBidi"/>
                <w:b/>
                <w:bCs/>
                <w:color w:val="000000"/>
                <w:lang w:val="en-GB" w:eastAsia="zh-CN"/>
              </w:rPr>
              <w:t>None</w:t>
            </w:r>
          </w:p>
        </w:tc>
      </w:tr>
    </w:tbl>
    <w:p w14:paraId="5C1542C3" w14:textId="77777777" w:rsidR="00841E24" w:rsidRPr="008D66B2" w:rsidRDefault="00841E24" w:rsidP="00841E24">
      <w:pPr>
        <w:spacing w:line="240" w:lineRule="auto"/>
        <w:jc w:val="both"/>
      </w:pPr>
    </w:p>
    <w:p w14:paraId="36AF0975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AIM(S)</w:t>
      </w:r>
    </w:p>
    <w:p w14:paraId="740AA671" w14:textId="77777777" w:rsidR="00841E24" w:rsidRPr="008D66B2" w:rsidRDefault="00841E24" w:rsidP="00841E2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>To gain knowledge of the main principles of designing, conducting, evaluating the impacts and dissemination of evidence-based research.</w:t>
      </w:r>
    </w:p>
    <w:p w14:paraId="57A02E31" w14:textId="77777777" w:rsidR="00841E24" w:rsidRPr="008D66B2" w:rsidRDefault="00841E24" w:rsidP="00841E2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>To conduct an independent practice-based research project within a public health and social care setting with professional integrity.</w:t>
      </w:r>
    </w:p>
    <w:p w14:paraId="3718F26E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p w14:paraId="53193DA0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LEARNING OUTCOMES</w:t>
      </w:r>
    </w:p>
    <w:p w14:paraId="0A5E10E6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lang w:val="en-GB"/>
        </w:rPr>
        <w:t>Upon the successful completion of this module, the student should be able to:</w:t>
      </w:r>
    </w:p>
    <w:p w14:paraId="55BAFF00" w14:textId="77777777" w:rsidR="00841E24" w:rsidRPr="008D66B2" w:rsidRDefault="00841E24" w:rsidP="00841E2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 xml:space="preserve">Engage in practice-based research in public health and social care settings and identify areas for improvement in terms of physical and/or mental health of the target group or community of interest. </w:t>
      </w:r>
    </w:p>
    <w:p w14:paraId="01D58CBA" w14:textId="77777777" w:rsidR="00841E24" w:rsidRPr="008D66B2" w:rsidRDefault="00841E24" w:rsidP="00841E2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>Develop critical reflection skills, including skills of critical analysis, appraisal, and evaluation of research findings and provide relevant recommendations for health and social care professionals, policymakers, services, practice, and/or the wider population.</w:t>
      </w:r>
    </w:p>
    <w:p w14:paraId="78847A5B" w14:textId="77777777" w:rsidR="00841E24" w:rsidRPr="008D66B2" w:rsidRDefault="00841E24" w:rsidP="00841E2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>Critically analyse the data collection and findings from quantitative, qualitative or mixed methods research.</w:t>
      </w:r>
    </w:p>
    <w:p w14:paraId="0D56FD82" w14:textId="77777777" w:rsidR="00841E24" w:rsidRPr="008D66B2" w:rsidRDefault="00841E24" w:rsidP="00841E2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 xml:space="preserve">Develop knowledge and understanding of professional integrity and ethics in research and potential risks for participants and how to prevent them. </w:t>
      </w:r>
    </w:p>
    <w:p w14:paraId="5D4825CA" w14:textId="77777777" w:rsidR="00841E24" w:rsidRPr="008D66B2" w:rsidRDefault="00841E24" w:rsidP="00841E24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ind w:left="3600" w:hanging="3600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INDICATIVE CONTENT</w:t>
      </w:r>
    </w:p>
    <w:p w14:paraId="33DE8DC0" w14:textId="77777777" w:rsidR="00841E24" w:rsidRPr="008D66B2" w:rsidRDefault="00841E24" w:rsidP="00841E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 xml:space="preserve">Introduction to Research Methods – definitions of Quantitative and Qualitative research; formulating theoretical framework for research; primary and secondary research; key research methods for data collection and analysis in qualitative and quantitative research; main tools/techniques for data collection and analysis. </w:t>
      </w:r>
    </w:p>
    <w:p w14:paraId="7BF0D0A5" w14:textId="77777777" w:rsidR="00841E24" w:rsidRPr="008D66B2" w:rsidRDefault="00841E24" w:rsidP="00841E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 xml:space="preserve">Research Ethics – main principles and knowledge of ethical issues in research with special reference to professional settings and social research; ethical standards followed by UWTSD; NICE research recommendations; ONS; NHS; WHO health data and statistics; UK-based research organisations’ activities; research completion of a short ethical approval form which the lecturer should approve first before embarking on a research project. </w:t>
      </w:r>
    </w:p>
    <w:p w14:paraId="6081383C" w14:textId="77777777" w:rsidR="00841E24" w:rsidRPr="008D66B2" w:rsidRDefault="00841E24" w:rsidP="00841E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>Research Design – formulate a research question, aim, and objectives; conducting a literature review; writing a research proposal for a ‘low-risk’ pilot research project (e.g. if quantitative, conduct two interviews with the use of an existing questionnaire; if qualitative, conduct participant observation at a public space); process of sample selection, sample size, sample characteristics.</w:t>
      </w:r>
    </w:p>
    <w:p w14:paraId="58573E05" w14:textId="77777777" w:rsidR="00841E24" w:rsidRPr="008D66B2" w:rsidRDefault="00841E24" w:rsidP="00841E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>Developing a Research tool/instrument – guidance for developing set of questions for survey/questionnaire or guide for interviews/focus groups; formulating hypotheses; taking field notes in participant observation; doing an ethnography; etc.</w:t>
      </w:r>
    </w:p>
    <w:p w14:paraId="25F3390F" w14:textId="77777777" w:rsidR="00841E24" w:rsidRPr="008D66B2" w:rsidRDefault="00841E24" w:rsidP="00841E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 xml:space="preserve">Data Analysis – techniques/methods for analysis of data in quantitative (using descriptive statistics, SPSS, cross-tabulation, Chi-square; statistical significance etc.) </w:t>
      </w:r>
      <w:r w:rsidRPr="3EA30DD4">
        <w:rPr>
          <w:rFonts w:ascii="Arial" w:eastAsia="Arial" w:hAnsi="Arial" w:cs="Arial"/>
          <w:lang w:val="en-GB"/>
        </w:rPr>
        <w:lastRenderedPageBreak/>
        <w:t>or qualitative (using coding in thematic analysis; template analysis; content analysis; diary-writing; etc.) methods.</w:t>
      </w:r>
    </w:p>
    <w:p w14:paraId="7EE0B5DC" w14:textId="77777777" w:rsidR="00841E24" w:rsidRPr="008D66B2" w:rsidRDefault="00841E24" w:rsidP="00841E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>Practical skills for conducting fieldwork – recruitment of participants; contacting participants/stakeholders/healthcare settings for permission; structure of an interview or focus group; interviewing techniques; role-play using focus groups and interviews in workshops in class.</w:t>
      </w:r>
    </w:p>
    <w:p w14:paraId="0DADA8B8" w14:textId="77777777" w:rsidR="00841E24" w:rsidRPr="008D66B2" w:rsidRDefault="00841E24" w:rsidP="00841E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>Reporting Research Findings – writing a research report; reflection of the researcher; critical reflection; evaluation of the project; providing solid and evidence-based arguments and recommendations for practice; critical analysis; understanding implication of research findings in real-life context; acknowledging strengths and limitations of a research.</w:t>
      </w:r>
    </w:p>
    <w:p w14:paraId="5A2E4E9E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lang w:val="en-GB"/>
        </w:rPr>
        <w:t xml:space="preserve"> </w:t>
      </w:r>
      <w:r w:rsidRPr="3EA30DD4">
        <w:rPr>
          <w:rFonts w:ascii="Arial" w:eastAsia="Arial" w:hAnsi="Arial" w:cs="Arial"/>
          <w:b/>
          <w:bCs/>
          <w:lang w:val="en-GB"/>
        </w:rPr>
        <w:t>Study Time Allocation</w:t>
      </w:r>
    </w:p>
    <w:p w14:paraId="3D8AF0F2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lang w:val="en-GB"/>
        </w:rPr>
        <w:t>The study time for the module is divided as follows: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00841E24" w14:paraId="0B13BA8C" w14:textId="77777777" w:rsidTr="00E47C71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4A3CD2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0C1403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689B1F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841E24" w14:paraId="21B0749F" w14:textId="77777777" w:rsidTr="00E47C71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E84EE0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269BD4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48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34CD30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24%</w:t>
            </w:r>
          </w:p>
        </w:tc>
      </w:tr>
      <w:tr w:rsidR="00841E24" w14:paraId="0A54F892" w14:textId="77777777" w:rsidTr="00E47C71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76AFF6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492CB0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152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4417E1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76%</w:t>
            </w:r>
          </w:p>
        </w:tc>
      </w:tr>
      <w:tr w:rsidR="00841E24" w14:paraId="1F31AA96" w14:textId="77777777" w:rsidTr="00E47C71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D0A6D1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9C9F73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9E04F9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0%</w:t>
            </w:r>
          </w:p>
        </w:tc>
      </w:tr>
      <w:tr w:rsidR="00841E24" w14:paraId="5D111742" w14:textId="77777777" w:rsidTr="00E47C71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6A0612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77C89E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 xml:space="preserve"> 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581456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73B62E04" w14:textId="77777777" w:rsidR="00841E24" w:rsidRPr="008D66B2" w:rsidRDefault="00841E24" w:rsidP="00841E24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p w14:paraId="2F105700" w14:textId="77777777" w:rsidR="00841E24" w:rsidRPr="008D66B2" w:rsidRDefault="00841E24" w:rsidP="00841E24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ASSESSMENT</w:t>
      </w:r>
    </w:p>
    <w:p w14:paraId="20E6651B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Assessment Component 1</w:t>
      </w:r>
    </w:p>
    <w:p w14:paraId="41C188F0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i/>
          <w:iCs/>
          <w:lang w:val="en-GB"/>
        </w:rPr>
        <w:t>(Tick one)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460"/>
        <w:gridCol w:w="540"/>
        <w:gridCol w:w="2475"/>
        <w:gridCol w:w="540"/>
        <w:gridCol w:w="2475"/>
      </w:tblGrid>
      <w:tr w:rsidR="00841E24" w14:paraId="3D1A2618" w14:textId="77777777" w:rsidTr="00E47C71">
        <w:tc>
          <w:tcPr>
            <w:tcW w:w="555" w:type="dxa"/>
          </w:tcPr>
          <w:p w14:paraId="38AF27A5" w14:textId="77777777" w:rsidR="00841E24" w:rsidRDefault="00841E24" w:rsidP="00E47C71">
            <w:r w:rsidRPr="3EA30DD4">
              <w:rPr>
                <w:rFonts w:ascii="Segoe UI Symbol" w:eastAsia="Segoe UI Symbol" w:hAnsi="Segoe UI Symbol" w:cs="Segoe UI Symbol"/>
                <w:color w:val="2B579A"/>
              </w:rPr>
              <w:t>☐</w:t>
            </w:r>
          </w:p>
        </w:tc>
        <w:tc>
          <w:tcPr>
            <w:tcW w:w="2460" w:type="dxa"/>
          </w:tcPr>
          <w:p w14:paraId="3290B138" w14:textId="77777777" w:rsidR="00841E24" w:rsidRDefault="00841E24" w:rsidP="00E47C71">
            <w:r w:rsidRPr="3EA30DD4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tc>
          <w:tcPr>
            <w:tcW w:w="540" w:type="dxa"/>
          </w:tcPr>
          <w:p w14:paraId="73EB87BC" w14:textId="77777777" w:rsidR="00841E24" w:rsidRDefault="00841E24" w:rsidP="00E47C71">
            <w:r w:rsidRPr="3EA30DD4">
              <w:rPr>
                <w:rFonts w:ascii="Segoe UI Symbol" w:eastAsia="Segoe UI Symbol" w:hAnsi="Segoe UI Symbol" w:cs="Segoe UI Symbol"/>
                <w:color w:val="2B579A"/>
              </w:rPr>
              <w:t>☐</w:t>
            </w:r>
          </w:p>
        </w:tc>
        <w:tc>
          <w:tcPr>
            <w:tcW w:w="2475" w:type="dxa"/>
          </w:tcPr>
          <w:p w14:paraId="2DC321B2" w14:textId="77777777" w:rsidR="00841E24" w:rsidRDefault="00841E24" w:rsidP="00E47C71">
            <w:r w:rsidRPr="3EA30DD4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tc>
          <w:tcPr>
            <w:tcW w:w="540" w:type="dxa"/>
          </w:tcPr>
          <w:p w14:paraId="31F080CF" w14:textId="77777777" w:rsidR="00841E24" w:rsidRDefault="00841E24" w:rsidP="00E47C71">
            <w:r w:rsidRPr="3EA30DD4">
              <w:rPr>
                <w:rFonts w:ascii="Segoe UI Symbol" w:eastAsia="Segoe UI Symbol" w:hAnsi="Segoe UI Symbol" w:cs="Segoe UI Symbol"/>
                <w:color w:val="2B579A"/>
              </w:rPr>
              <w:t>☒</w:t>
            </w:r>
          </w:p>
        </w:tc>
        <w:tc>
          <w:tcPr>
            <w:tcW w:w="2475" w:type="dxa"/>
          </w:tcPr>
          <w:p w14:paraId="728A4230" w14:textId="77777777" w:rsidR="00841E24" w:rsidRDefault="00841E24" w:rsidP="00E47C71">
            <w:r w:rsidRPr="3EA30DD4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</w:tbl>
    <w:p w14:paraId="2F344DE5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3975"/>
        <w:gridCol w:w="1560"/>
      </w:tblGrid>
      <w:tr w:rsidR="00841E24" w14:paraId="0D2C4C21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9D289B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2B70B1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EFA7C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841E24" w14:paraId="67B1AE3D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7142BC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Presentation (individual)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1A21B4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20 minutes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8BD686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50%</w:t>
            </w:r>
          </w:p>
        </w:tc>
      </w:tr>
    </w:tbl>
    <w:p w14:paraId="26765904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p w14:paraId="2541B5C9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Assessment Component 2</w:t>
      </w:r>
    </w:p>
    <w:p w14:paraId="64E7B6DC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i/>
          <w:iCs/>
          <w:lang w:val="en-GB"/>
        </w:rPr>
        <w:t>(Tick one)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460"/>
        <w:gridCol w:w="540"/>
        <w:gridCol w:w="2475"/>
        <w:gridCol w:w="540"/>
        <w:gridCol w:w="2475"/>
      </w:tblGrid>
      <w:tr w:rsidR="00841E24" w14:paraId="12E00B46" w14:textId="77777777" w:rsidTr="00E47C71">
        <w:tc>
          <w:tcPr>
            <w:tcW w:w="555" w:type="dxa"/>
          </w:tcPr>
          <w:p w14:paraId="285F03C5" w14:textId="77777777" w:rsidR="00841E24" w:rsidRDefault="00841E24" w:rsidP="00E47C71">
            <w:r w:rsidRPr="3EA30DD4">
              <w:rPr>
                <w:rFonts w:ascii="Segoe UI Symbol" w:eastAsia="Segoe UI Symbol" w:hAnsi="Segoe UI Symbol" w:cs="Segoe UI Symbol"/>
                <w:color w:val="2B579A"/>
              </w:rPr>
              <w:t>☐</w:t>
            </w:r>
          </w:p>
        </w:tc>
        <w:tc>
          <w:tcPr>
            <w:tcW w:w="2460" w:type="dxa"/>
          </w:tcPr>
          <w:p w14:paraId="60205AFB" w14:textId="77777777" w:rsidR="00841E24" w:rsidRDefault="00841E24" w:rsidP="00E47C71">
            <w:r w:rsidRPr="3EA30DD4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tc>
          <w:tcPr>
            <w:tcW w:w="540" w:type="dxa"/>
          </w:tcPr>
          <w:p w14:paraId="544F34C9" w14:textId="77777777" w:rsidR="00841E24" w:rsidRDefault="00841E24" w:rsidP="00E47C71">
            <w:r w:rsidRPr="3EA30DD4">
              <w:rPr>
                <w:rFonts w:ascii="Segoe UI Symbol" w:eastAsia="Segoe UI Symbol" w:hAnsi="Segoe UI Symbol" w:cs="Segoe UI Symbol"/>
                <w:color w:val="2B579A"/>
              </w:rPr>
              <w:t>☒</w:t>
            </w:r>
          </w:p>
        </w:tc>
        <w:tc>
          <w:tcPr>
            <w:tcW w:w="2475" w:type="dxa"/>
          </w:tcPr>
          <w:p w14:paraId="7DA8E88B" w14:textId="77777777" w:rsidR="00841E24" w:rsidRDefault="00841E24" w:rsidP="00E47C71">
            <w:r w:rsidRPr="3EA30DD4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tc>
          <w:tcPr>
            <w:tcW w:w="540" w:type="dxa"/>
          </w:tcPr>
          <w:p w14:paraId="53EE216B" w14:textId="77777777" w:rsidR="00841E24" w:rsidRDefault="00841E24" w:rsidP="00E47C71">
            <w:r w:rsidRPr="3EA30DD4">
              <w:rPr>
                <w:rFonts w:ascii="Segoe UI Symbol" w:eastAsia="Segoe UI Symbol" w:hAnsi="Segoe UI Symbol" w:cs="Segoe UI Symbol"/>
                <w:color w:val="2B579A"/>
              </w:rPr>
              <w:t>☐</w:t>
            </w:r>
          </w:p>
        </w:tc>
        <w:tc>
          <w:tcPr>
            <w:tcW w:w="2475" w:type="dxa"/>
          </w:tcPr>
          <w:p w14:paraId="7184E8B3" w14:textId="77777777" w:rsidR="00841E24" w:rsidRDefault="00841E24" w:rsidP="00E47C71">
            <w:r w:rsidRPr="3EA30DD4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</w:tbl>
    <w:p w14:paraId="381D33CD" w14:textId="77777777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3975"/>
        <w:gridCol w:w="1560"/>
      </w:tblGrid>
      <w:tr w:rsidR="00841E24" w14:paraId="381A824B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59223A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82F459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E4B5AD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841E24" w14:paraId="0B5B32B1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0545EB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Written Report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583DF0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3,000 words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4CD383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50%</w:t>
            </w:r>
          </w:p>
        </w:tc>
      </w:tr>
    </w:tbl>
    <w:p w14:paraId="44B46B92" w14:textId="77777777" w:rsidR="00841E24" w:rsidRPr="008D66B2" w:rsidRDefault="00841E24" w:rsidP="00841E24">
      <w:pPr>
        <w:spacing w:line="240" w:lineRule="auto"/>
        <w:jc w:val="both"/>
        <w:rPr>
          <w:rFonts w:ascii="Arial" w:eastAsia="Arial" w:hAnsi="Arial" w:cs="Arial"/>
          <w:b/>
          <w:bCs/>
          <w:highlight w:val="cyan"/>
          <w:lang w:val="en-GB"/>
        </w:rPr>
      </w:pPr>
    </w:p>
    <w:p w14:paraId="588F8D84" w14:textId="77777777" w:rsidR="00841E24" w:rsidRPr="008D66B2" w:rsidRDefault="00841E24" w:rsidP="00841E24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00841E24" w14:paraId="0176538B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34D3C0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AC3B94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841E24" w14:paraId="6865113B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6FA682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Written exam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5386BE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-</w:t>
            </w:r>
          </w:p>
        </w:tc>
      </w:tr>
      <w:tr w:rsidR="00841E24" w14:paraId="34792747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5303AA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Coursework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C05491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50%</w:t>
            </w:r>
          </w:p>
        </w:tc>
      </w:tr>
      <w:tr w:rsidR="00841E24" w14:paraId="66378E1F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E49826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Practical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ADBCFA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50%</w:t>
            </w:r>
          </w:p>
        </w:tc>
      </w:tr>
      <w:tr w:rsidR="00841E24" w14:paraId="531D8BA3" w14:textId="77777777" w:rsidTr="00E47C7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542A27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E213C7" w14:textId="77777777" w:rsidR="00841E24" w:rsidRDefault="00841E24" w:rsidP="00E47C71">
            <w:pPr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38A55EC8" w14:textId="77777777" w:rsidR="004079FE" w:rsidRDefault="004079FE" w:rsidP="00841E24">
      <w:pPr>
        <w:spacing w:line="240" w:lineRule="auto"/>
        <w:jc w:val="both"/>
        <w:rPr>
          <w:rFonts w:ascii="Arial" w:eastAsia="Arial" w:hAnsi="Arial" w:cs="Arial"/>
          <w:b/>
          <w:bCs/>
          <w:lang w:val="en-GB"/>
        </w:rPr>
      </w:pPr>
    </w:p>
    <w:p w14:paraId="2F82DDF5" w14:textId="65062AD0" w:rsidR="00841E24" w:rsidRPr="008D66B2" w:rsidRDefault="00841E24" w:rsidP="00841E24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lastRenderedPageBreak/>
        <w:t>INDICATIVE READING LIST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5610"/>
        <w:gridCol w:w="1365"/>
      </w:tblGrid>
      <w:tr w:rsidR="00841E24" w14:paraId="7017FA8E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A89CF81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Module Code</w:t>
            </w:r>
          </w:p>
        </w:tc>
        <w:tc>
          <w:tcPr>
            <w:tcW w:w="69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EA56FD" w14:textId="77777777" w:rsidR="00841E24" w:rsidRDefault="00841E24" w:rsidP="00E47C71">
            <w:pPr>
              <w:tabs>
                <w:tab w:val="left" w:pos="0"/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LCHS7001</w:t>
            </w:r>
          </w:p>
        </w:tc>
      </w:tr>
      <w:tr w:rsidR="00841E24" w14:paraId="7CAAF09F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2F400D6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Module Title</w:t>
            </w:r>
          </w:p>
        </w:tc>
        <w:tc>
          <w:tcPr>
            <w:tcW w:w="69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D0F745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</w:rPr>
              <w:t>Practice-Based Research</w:t>
            </w:r>
          </w:p>
        </w:tc>
      </w:tr>
      <w:tr w:rsidR="00841E24" w14:paraId="6DA4A93D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4DE0CCE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Classification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59E1D38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Reading List entry</w:t>
            </w:r>
          </w:p>
        </w:tc>
        <w:tc>
          <w:tcPr>
            <w:tcW w:w="1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DD3B3C6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Electronic*</w:t>
            </w:r>
          </w:p>
        </w:tc>
      </w:tr>
      <w:tr w:rsidR="00841E24" w14:paraId="6AB72B24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FD822B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7792F2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Bernard, H.R. (2000) </w:t>
            </w:r>
            <w:r w:rsidRPr="3EA30DD4">
              <w:rPr>
                <w:rFonts w:ascii="Arial" w:eastAsia="Arial" w:hAnsi="Arial" w:cs="Arial"/>
                <w:i/>
                <w:iCs/>
              </w:rPr>
              <w:t>Social Research Methods: Qualitative and Quantitative Approaches</w:t>
            </w:r>
            <w:r w:rsidRPr="3EA30DD4">
              <w:rPr>
                <w:rFonts w:ascii="Arial" w:eastAsia="Arial" w:hAnsi="Arial" w:cs="Arial"/>
              </w:rPr>
              <w:t>. Sage: London.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4D3A43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☒</w:t>
            </w:r>
          </w:p>
          <w:p w14:paraId="13C0E8FF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841E24" w14:paraId="16BFA60F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FF003D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B8D6D0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proofErr w:type="spellStart"/>
            <w:r w:rsidRPr="3EA30DD4">
              <w:rPr>
                <w:rFonts w:ascii="Arial" w:eastAsia="Arial" w:hAnsi="Arial" w:cs="Arial"/>
              </w:rPr>
              <w:t>Kardoff</w:t>
            </w:r>
            <w:proofErr w:type="spellEnd"/>
            <w:r w:rsidRPr="3EA30DD4">
              <w:rPr>
                <w:rFonts w:ascii="Arial" w:eastAsia="Arial" w:hAnsi="Arial" w:cs="Arial"/>
              </w:rPr>
              <w:t xml:space="preserve"> E. &amp; Steinke I. (eds.) </w:t>
            </w:r>
            <w:r w:rsidRPr="3EA30DD4">
              <w:rPr>
                <w:rFonts w:ascii="Arial" w:eastAsia="Arial" w:hAnsi="Arial" w:cs="Arial"/>
                <w:i/>
                <w:iCs/>
              </w:rPr>
              <w:t>A Companion to Qualitative Research</w:t>
            </w:r>
            <w:r w:rsidRPr="3EA30DD4">
              <w:rPr>
                <w:rFonts w:ascii="Arial" w:eastAsia="Arial" w:hAnsi="Arial" w:cs="Arial"/>
              </w:rPr>
              <w:t>, London: Sage, 248-253.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15BB50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841E24" w14:paraId="2EFCEAE0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52578E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F5C5B7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Boyatzis, R. E. (1998). </w:t>
            </w:r>
            <w:r w:rsidRPr="3EA30DD4">
              <w:rPr>
                <w:rFonts w:ascii="Arial" w:eastAsia="Arial" w:hAnsi="Arial" w:cs="Arial"/>
                <w:i/>
                <w:iCs/>
              </w:rPr>
              <w:t>Transforming qualitative information: Thematic analysis and code development.</w:t>
            </w:r>
            <w:r w:rsidRPr="3EA30DD4">
              <w:rPr>
                <w:rFonts w:ascii="Arial" w:eastAsia="Arial" w:hAnsi="Arial" w:cs="Arial"/>
              </w:rPr>
              <w:t xml:space="preserve"> California: SAGE Publications, Inc.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AEE33C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715041E5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841E24" w14:paraId="7F768BE7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CB5071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D9DA51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Braun, V., &amp; Clarke, V. (2006). ‘Using thematic analysis in psychology’. </w:t>
            </w:r>
            <w:r w:rsidRPr="3EA30DD4">
              <w:rPr>
                <w:rFonts w:ascii="Arial" w:eastAsia="Arial" w:hAnsi="Arial" w:cs="Arial"/>
                <w:i/>
                <w:iCs/>
              </w:rPr>
              <w:t>Qualitative Research in Psychology</w:t>
            </w:r>
            <w:r w:rsidRPr="3EA30DD4">
              <w:rPr>
                <w:rFonts w:ascii="Arial" w:eastAsia="Arial" w:hAnsi="Arial" w:cs="Arial"/>
              </w:rPr>
              <w:t>, 3(2), 77-101.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99120A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005607D1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841E24" w14:paraId="41E43934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E218DB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E035B1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Brooks, J., McCluskey, S., Turley, E., &amp; King, N. (2015). ‘The Utility of Template Analysis in Qualitative Psychology Research’. </w:t>
            </w:r>
            <w:r w:rsidRPr="3EA30DD4">
              <w:rPr>
                <w:rFonts w:ascii="Arial" w:eastAsia="Arial" w:hAnsi="Arial" w:cs="Arial"/>
                <w:i/>
                <w:iCs/>
              </w:rPr>
              <w:t>Qualitative Research in</w:t>
            </w:r>
            <w:r w:rsidRPr="3EA30DD4">
              <w:rPr>
                <w:rFonts w:ascii="Arial" w:eastAsia="Arial" w:hAnsi="Arial" w:cs="Arial"/>
              </w:rPr>
              <w:t xml:space="preserve"> </w:t>
            </w:r>
            <w:r w:rsidRPr="3EA30DD4">
              <w:rPr>
                <w:rFonts w:ascii="Arial" w:eastAsia="Arial" w:hAnsi="Arial" w:cs="Arial"/>
                <w:i/>
                <w:iCs/>
              </w:rPr>
              <w:t>Psychology</w:t>
            </w:r>
            <w:r w:rsidRPr="3EA30DD4">
              <w:rPr>
                <w:rFonts w:ascii="Arial" w:eastAsia="Arial" w:hAnsi="Arial" w:cs="Arial"/>
              </w:rPr>
              <w:t>, 12(2), 202-222.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78A09F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73B6ABA8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841E24" w14:paraId="7B995028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734C64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4683A0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000B5A9A">
              <w:rPr>
                <w:rFonts w:ascii="Arial" w:eastAsia="Arial" w:hAnsi="Arial" w:cs="Arial"/>
                <w:lang w:val="fr-FR"/>
              </w:rPr>
              <w:t xml:space="preserve">Bourdieu, P., &amp; Wacquant, L. J. (1992). </w:t>
            </w:r>
            <w:r w:rsidRPr="3EA30DD4">
              <w:rPr>
                <w:rFonts w:ascii="Arial" w:eastAsia="Arial" w:hAnsi="Arial" w:cs="Arial"/>
                <w:i/>
                <w:iCs/>
              </w:rPr>
              <w:t>An Invitation to Reflexive Sociology</w:t>
            </w:r>
            <w:r w:rsidRPr="3EA30DD4">
              <w:rPr>
                <w:rFonts w:ascii="Arial" w:eastAsia="Arial" w:hAnsi="Arial" w:cs="Arial"/>
              </w:rPr>
              <w:t>. Cambridge: Polity Press.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346F29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841E24" w14:paraId="3F03834B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A50DAF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0AD5DB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Davidson, C. (2009). ‘Transcription: Imperatives for Qualitative Research’. </w:t>
            </w:r>
            <w:r w:rsidRPr="3EA30DD4">
              <w:rPr>
                <w:rFonts w:ascii="Arial" w:eastAsia="Arial" w:hAnsi="Arial" w:cs="Arial"/>
                <w:i/>
                <w:iCs/>
              </w:rPr>
              <w:t>International Journal of Qualitative Methods</w:t>
            </w:r>
            <w:r w:rsidRPr="3EA30DD4">
              <w:rPr>
                <w:rFonts w:ascii="Arial" w:eastAsia="Arial" w:hAnsi="Arial" w:cs="Arial"/>
              </w:rPr>
              <w:t>, 8(2), 35-52.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BAFFE2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50F76C53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841E24" w14:paraId="2C482086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D0B79B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20633D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000B5A9A">
              <w:rPr>
                <w:rFonts w:ascii="Arial" w:eastAsia="Arial" w:hAnsi="Arial" w:cs="Arial"/>
                <w:lang w:val="de-DE"/>
              </w:rPr>
              <w:t xml:space="preserve">Flick, U., von Kardorff, E., &amp; Steinke, I. (2004). </w:t>
            </w:r>
            <w:r w:rsidRPr="3EA30DD4">
              <w:rPr>
                <w:rFonts w:ascii="Arial" w:eastAsia="Arial" w:hAnsi="Arial" w:cs="Arial"/>
                <w:i/>
                <w:iCs/>
              </w:rPr>
              <w:t>A companion to qualitative research</w:t>
            </w:r>
            <w:r w:rsidRPr="3EA30DD4">
              <w:rPr>
                <w:rFonts w:ascii="Arial" w:eastAsia="Arial" w:hAnsi="Arial" w:cs="Arial"/>
              </w:rPr>
              <w:t>. Glasgow: Sage Publications Ltd.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8C0243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1D3F9BC9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841E24" w14:paraId="2ADCD5F2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14787D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5F3C03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Kitzinger J. (1994) ‘The Methodology of Focus Groups – the Importance of Interaction between Research Participants,’ </w:t>
            </w:r>
            <w:r w:rsidRPr="3EA30DD4">
              <w:rPr>
                <w:rFonts w:ascii="Arial" w:eastAsia="Arial" w:hAnsi="Arial" w:cs="Arial"/>
                <w:i/>
                <w:iCs/>
              </w:rPr>
              <w:t>Sociology of Health &amp; Illness</w:t>
            </w:r>
            <w:r w:rsidRPr="3EA30DD4">
              <w:rPr>
                <w:rFonts w:ascii="Arial" w:eastAsia="Arial" w:hAnsi="Arial" w:cs="Arial"/>
              </w:rPr>
              <w:t>, 16: 103-121.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8E0871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4DE6D095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841E24" w14:paraId="2BE3FF8D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087B61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72299A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King, N. (2012). ‘Doing Template Analysis’. In G. Symon, &amp; C. Cassell (Eds.), </w:t>
            </w:r>
            <w:r w:rsidRPr="3EA30DD4">
              <w:rPr>
                <w:rFonts w:ascii="Arial" w:eastAsia="Arial" w:hAnsi="Arial" w:cs="Arial"/>
                <w:i/>
                <w:iCs/>
              </w:rPr>
              <w:t>Qualitative Organizational Research: Core Methods and Current Challenges</w:t>
            </w:r>
            <w:r w:rsidRPr="3EA30DD4">
              <w:rPr>
                <w:rFonts w:ascii="Arial" w:eastAsia="Arial" w:hAnsi="Arial" w:cs="Arial"/>
              </w:rPr>
              <w:t xml:space="preserve"> (pp. 426-450). London: SAGE Publications Ltd.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B2F267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330A441E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841E24" w14:paraId="562EAF0E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F9717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E44984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proofErr w:type="spellStart"/>
            <w:r w:rsidRPr="3EA30DD4">
              <w:rPr>
                <w:rFonts w:ascii="Arial" w:eastAsia="Arial" w:hAnsi="Arial" w:cs="Arial"/>
              </w:rPr>
              <w:t>Scambler</w:t>
            </w:r>
            <w:proofErr w:type="spellEnd"/>
            <w:r w:rsidRPr="3EA30DD4">
              <w:rPr>
                <w:rFonts w:ascii="Arial" w:eastAsia="Arial" w:hAnsi="Arial" w:cs="Arial"/>
              </w:rPr>
              <w:t xml:space="preserve">, G.N. (2002) </w:t>
            </w:r>
            <w:r w:rsidRPr="3EA30DD4">
              <w:rPr>
                <w:rFonts w:ascii="Arial" w:eastAsia="Arial" w:hAnsi="Arial" w:cs="Arial"/>
                <w:i/>
                <w:iCs/>
              </w:rPr>
              <w:t>Health and Social Change. A Critical Theory</w:t>
            </w:r>
            <w:r w:rsidRPr="3EA30DD4">
              <w:rPr>
                <w:rFonts w:ascii="Arial" w:eastAsia="Arial" w:hAnsi="Arial" w:cs="Arial"/>
              </w:rPr>
              <w:t>. Open University Press: Buckingham.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4FF9A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841E24" w14:paraId="126C08A9" w14:textId="77777777" w:rsidTr="00E47C71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FE8C84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619B63" w14:textId="77777777" w:rsidR="00841E24" w:rsidRDefault="00841E24" w:rsidP="00E47C71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spacing w:after="0" w:line="240" w:lineRule="auto"/>
            </w:pPr>
            <w:r w:rsidRPr="3EA30DD4">
              <w:rPr>
                <w:rFonts w:ascii="Arial" w:eastAsia="Arial" w:hAnsi="Arial" w:cs="Arial"/>
              </w:rPr>
              <w:t xml:space="preserve">Townsend, P. and Davidson, N. (1982) </w:t>
            </w:r>
            <w:r w:rsidRPr="3EA30DD4">
              <w:rPr>
                <w:rFonts w:ascii="Arial" w:eastAsia="Arial" w:hAnsi="Arial" w:cs="Arial"/>
                <w:i/>
                <w:iCs/>
              </w:rPr>
              <w:t>Inequalities in Health: The Black Report</w:t>
            </w:r>
            <w:r w:rsidRPr="3EA30DD4">
              <w:rPr>
                <w:rFonts w:ascii="Arial" w:eastAsia="Arial" w:hAnsi="Arial" w:cs="Arial"/>
              </w:rPr>
              <w:t xml:space="preserve">. Penguin: Harmondsworth. (New edition of original report of a research working group, published 1980). Available online at: </w:t>
            </w:r>
            <w:hyperlink r:id="rId5">
              <w:r w:rsidRPr="3EA30DD4">
                <w:rPr>
                  <w:rStyle w:val="Hyperlink"/>
                  <w:rFonts w:ascii="Arial" w:eastAsia="Arial" w:hAnsi="Arial" w:cs="Arial"/>
                </w:rPr>
                <w:t>http://www.sochealth.co.uk/resources/public-health-and-wellbeing/poverty-and-inequality/the-black-report-1980/</w:t>
              </w:r>
            </w:hyperlink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931355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☒</w:t>
            </w:r>
          </w:p>
          <w:p w14:paraId="07599314" w14:textId="77777777" w:rsidR="00841E24" w:rsidRDefault="00841E24" w:rsidP="00E47C71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5594FD2E" w14:textId="77777777" w:rsidR="00841E24" w:rsidRPr="008D66B2" w:rsidRDefault="00841E24" w:rsidP="00841E24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p w14:paraId="146689B1" w14:textId="77777777" w:rsidR="005B1BC8" w:rsidRDefault="005B1BC8"/>
    <w:sectPr w:rsidR="005B1B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0984"/>
    <w:multiLevelType w:val="hybridMultilevel"/>
    <w:tmpl w:val="F702A5A0"/>
    <w:lvl w:ilvl="0" w:tplc="6472D1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2A048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042D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FED9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1899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5E2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C24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EE74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5CCA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6D2D0D"/>
    <w:multiLevelType w:val="hybridMultilevel"/>
    <w:tmpl w:val="1032C88C"/>
    <w:lvl w:ilvl="0" w:tplc="54862F60">
      <w:start w:val="1"/>
      <w:numFmt w:val="bullet"/>
      <w:lvlText w:val=""/>
      <w:lvlJc w:val="left"/>
      <w:pPr>
        <w:ind w:left="720" w:hanging="360"/>
      </w:pPr>
      <w:rPr>
        <w:rFonts w:ascii="Wingdings" w:hAnsi="Wingdings" w:hint="default"/>
      </w:rPr>
    </w:lvl>
    <w:lvl w:ilvl="1" w:tplc="ED069A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704D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1E60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AC1C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D2B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54D2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82B3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BECD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A74123"/>
    <w:multiLevelType w:val="hybridMultilevel"/>
    <w:tmpl w:val="E8209F3C"/>
    <w:lvl w:ilvl="0" w:tplc="40B4C0C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D6D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C20F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2EE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8C1B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EE1C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98F1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122C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8463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070536">
    <w:abstractNumId w:val="2"/>
  </w:num>
  <w:num w:numId="2" w16cid:durableId="678432871">
    <w:abstractNumId w:val="0"/>
  </w:num>
  <w:num w:numId="3" w16cid:durableId="1988438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E24"/>
    <w:rsid w:val="00391483"/>
    <w:rsid w:val="004079FE"/>
    <w:rsid w:val="005B1BC8"/>
    <w:rsid w:val="00841E24"/>
    <w:rsid w:val="00E4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B3EF9"/>
  <w15:chartTrackingRefBased/>
  <w15:docId w15:val="{A7286426-18D3-46D6-82E8-4CE7FAC8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E24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41E24"/>
    <w:pPr>
      <w:ind w:left="720"/>
      <w:contextualSpacing/>
    </w:pPr>
  </w:style>
  <w:style w:type="table" w:styleId="TableGrid">
    <w:name w:val="Table Grid"/>
    <w:basedOn w:val="TableNormal"/>
    <w:rsid w:val="00841E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41E24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841E24"/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ochealth.co.uk/resources/public-health-and-wellbeing/poverty-and-inequality/the-black-report-198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5425</Characters>
  <Application>Microsoft Office Word</Application>
  <DocSecurity>0</DocSecurity>
  <Lines>45</Lines>
  <Paragraphs>12</Paragraphs>
  <ScaleCrop>false</ScaleCrop>
  <Company>University of Wales Trinity Saint David</Company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 Bakre</dc:creator>
  <cp:keywords/>
  <dc:description/>
  <cp:lastModifiedBy>Aishat Bakre</cp:lastModifiedBy>
  <cp:revision>2</cp:revision>
  <dcterms:created xsi:type="dcterms:W3CDTF">2022-12-01T15:34:00Z</dcterms:created>
  <dcterms:modified xsi:type="dcterms:W3CDTF">2022-12-01T15:36:00Z</dcterms:modified>
</cp:coreProperties>
</file>