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B7CA7" w14:textId="77777777" w:rsidR="00A73147" w:rsidRDefault="00A73147" w:rsidP="00A73147">
      <w:pPr>
        <w:jc w:val="center"/>
        <w:rPr>
          <w:b/>
        </w:rPr>
      </w:pPr>
    </w:p>
    <w:p w14:paraId="27746F62" w14:textId="77777777" w:rsidR="00A73147" w:rsidRDefault="00A73147" w:rsidP="00A73147">
      <w:pPr>
        <w:jc w:val="center"/>
        <w:rPr>
          <w:b/>
        </w:rPr>
      </w:pPr>
    </w:p>
    <w:p w14:paraId="49268B80" w14:textId="77777777" w:rsidR="00A73147" w:rsidRDefault="00A73147" w:rsidP="00A73147">
      <w:pPr>
        <w:jc w:val="center"/>
        <w:rPr>
          <w:b/>
        </w:rPr>
      </w:pPr>
    </w:p>
    <w:p w14:paraId="52FF418C" w14:textId="77777777" w:rsidR="00A73147" w:rsidRDefault="00A73147" w:rsidP="00A73147">
      <w:pPr>
        <w:jc w:val="center"/>
        <w:rPr>
          <w:b/>
        </w:rPr>
      </w:pPr>
    </w:p>
    <w:p w14:paraId="1B13D1E3" w14:textId="77777777" w:rsidR="00A73147" w:rsidRDefault="00A73147" w:rsidP="00A73147">
      <w:pPr>
        <w:jc w:val="center"/>
        <w:rPr>
          <w:b/>
        </w:rPr>
      </w:pPr>
    </w:p>
    <w:p w14:paraId="406B5DFA" w14:textId="1C955B3F" w:rsidR="00A73147" w:rsidRPr="00A73147" w:rsidRDefault="001355B4" w:rsidP="00A73147">
      <w:pPr>
        <w:jc w:val="center"/>
        <w:rPr>
          <w:b/>
          <w:sz w:val="28"/>
          <w:szCs w:val="28"/>
        </w:rPr>
      </w:pPr>
      <w:r>
        <w:rPr>
          <w:b/>
          <w:sz w:val="28"/>
          <w:szCs w:val="28"/>
        </w:rPr>
        <w:t xml:space="preserve">Component 1-  Case Study </w:t>
      </w:r>
      <w:r w:rsidR="00D534F7">
        <w:rPr>
          <w:b/>
          <w:sz w:val="28"/>
          <w:szCs w:val="28"/>
        </w:rPr>
        <w:t xml:space="preserve">Report </w:t>
      </w:r>
    </w:p>
    <w:p w14:paraId="293289E0" w14:textId="6267BA85" w:rsidR="00A73147" w:rsidRPr="00A73147" w:rsidRDefault="00A73147" w:rsidP="00A73147">
      <w:pPr>
        <w:jc w:val="center"/>
        <w:rPr>
          <w:b/>
          <w:sz w:val="28"/>
          <w:szCs w:val="28"/>
        </w:rPr>
      </w:pPr>
      <w:r w:rsidRPr="00A73147">
        <w:rPr>
          <w:b/>
          <w:sz w:val="28"/>
          <w:szCs w:val="28"/>
        </w:rPr>
        <w:t>Student name: Ghazala Hussain</w:t>
      </w:r>
    </w:p>
    <w:p w14:paraId="0C90FA1B" w14:textId="5A3AE030" w:rsidR="00A73147" w:rsidRPr="00A73147" w:rsidRDefault="00A73147" w:rsidP="00A73147">
      <w:pPr>
        <w:jc w:val="center"/>
        <w:rPr>
          <w:b/>
          <w:sz w:val="28"/>
          <w:szCs w:val="28"/>
        </w:rPr>
      </w:pPr>
      <w:r w:rsidRPr="00A73147">
        <w:rPr>
          <w:b/>
          <w:sz w:val="28"/>
          <w:szCs w:val="28"/>
        </w:rPr>
        <w:t>Student ID: 2408113</w:t>
      </w:r>
    </w:p>
    <w:p w14:paraId="1CA1ED1B" w14:textId="35E743F6" w:rsidR="00A73147" w:rsidRPr="00A73147" w:rsidRDefault="00A73147" w:rsidP="00A73147">
      <w:pPr>
        <w:jc w:val="center"/>
        <w:rPr>
          <w:b/>
          <w:sz w:val="28"/>
          <w:szCs w:val="28"/>
        </w:rPr>
      </w:pPr>
      <w:r w:rsidRPr="00A73147">
        <w:rPr>
          <w:b/>
          <w:sz w:val="28"/>
          <w:szCs w:val="28"/>
        </w:rPr>
        <w:t>Module title: Introduction to Physiology</w:t>
      </w:r>
    </w:p>
    <w:p w14:paraId="0B11D37E" w14:textId="77777777" w:rsidR="00A73147" w:rsidRPr="00A73147" w:rsidRDefault="00A73147" w:rsidP="00A73147">
      <w:pPr>
        <w:jc w:val="center"/>
        <w:rPr>
          <w:b/>
          <w:sz w:val="28"/>
          <w:szCs w:val="28"/>
        </w:rPr>
      </w:pPr>
      <w:r w:rsidRPr="00A73147">
        <w:rPr>
          <w:b/>
          <w:sz w:val="28"/>
          <w:szCs w:val="28"/>
        </w:rPr>
        <w:t>Module Code: BMHP5023</w:t>
      </w:r>
    </w:p>
    <w:p w14:paraId="68C91F64" w14:textId="39F3F351" w:rsidR="00A73147" w:rsidRPr="00A73147" w:rsidRDefault="00A73147" w:rsidP="00A73147">
      <w:pPr>
        <w:jc w:val="center"/>
        <w:rPr>
          <w:b/>
          <w:sz w:val="28"/>
          <w:szCs w:val="28"/>
        </w:rPr>
      </w:pPr>
      <w:r w:rsidRPr="00A73147">
        <w:rPr>
          <w:b/>
          <w:sz w:val="28"/>
          <w:szCs w:val="28"/>
        </w:rPr>
        <w:t xml:space="preserve">Tutor’s details: </w:t>
      </w:r>
      <w:r w:rsidR="004F4794">
        <w:rPr>
          <w:b/>
          <w:sz w:val="28"/>
          <w:szCs w:val="28"/>
        </w:rPr>
        <w:t>Robert Nartowski</w:t>
      </w:r>
    </w:p>
    <w:p w14:paraId="1FFF93DF" w14:textId="717CCA19" w:rsidR="00A73147" w:rsidRPr="00A73147" w:rsidRDefault="00A73147" w:rsidP="00A73147">
      <w:pPr>
        <w:jc w:val="center"/>
        <w:rPr>
          <w:b/>
          <w:sz w:val="28"/>
          <w:szCs w:val="28"/>
        </w:rPr>
      </w:pPr>
      <w:r w:rsidRPr="00A73147">
        <w:rPr>
          <w:b/>
          <w:sz w:val="28"/>
          <w:szCs w:val="28"/>
        </w:rPr>
        <w:t xml:space="preserve">Module leader: </w:t>
      </w:r>
      <w:r w:rsidR="004F4794">
        <w:rPr>
          <w:b/>
          <w:sz w:val="28"/>
          <w:szCs w:val="28"/>
        </w:rPr>
        <w:t>Gillian Weaver</w:t>
      </w:r>
    </w:p>
    <w:p w14:paraId="45EB4278" w14:textId="1FB77F82" w:rsidR="00A73147" w:rsidRPr="00A73147" w:rsidRDefault="00A73147" w:rsidP="00A73147">
      <w:pPr>
        <w:jc w:val="center"/>
        <w:rPr>
          <w:b/>
        </w:rPr>
      </w:pPr>
      <w:r w:rsidRPr="00A73147">
        <w:rPr>
          <w:b/>
        </w:rPr>
        <w:br w:type="page"/>
      </w:r>
    </w:p>
    <w:sdt>
      <w:sdtPr>
        <w:id w:val="-770088417"/>
        <w:docPartObj>
          <w:docPartGallery w:val="Custom Table of Contents"/>
        </w:docPartObj>
      </w:sdtPr>
      <w:sdtContent>
        <w:p w14:paraId="6D61CA2F" w14:textId="77777777" w:rsidR="00A73147" w:rsidRPr="00A73147" w:rsidRDefault="00A73147" w:rsidP="00A73147">
          <w:pPr>
            <w:rPr>
              <w:b/>
              <w:bCs/>
            </w:rPr>
          </w:pPr>
          <w:r w:rsidRPr="00A73147">
            <w:rPr>
              <w:b/>
              <w:bCs/>
            </w:rPr>
            <w:t>Contents</w:t>
          </w:r>
        </w:p>
        <w:p w14:paraId="5B96700C" w14:textId="77777777" w:rsidR="00A73147" w:rsidRPr="00A73147" w:rsidRDefault="00A73147" w:rsidP="00A73147">
          <w:pPr>
            <w:rPr>
              <w:u w:val="single"/>
            </w:rPr>
          </w:pPr>
          <w:hyperlink r:id="rId10" w:anchor="_Toc222086170" w:history="1">
            <w:r w:rsidRPr="00A73147">
              <w:rPr>
                <w:rStyle w:val="Hyperlink"/>
                <w:color w:val="auto"/>
              </w:rPr>
              <w:t>Introduction</w:t>
            </w:r>
            <w:r w:rsidRPr="00A73147">
              <w:rPr>
                <w:rStyle w:val="Hyperlink"/>
                <w:color w:val="auto"/>
              </w:rPr>
              <w:tab/>
            </w:r>
            <w:r w:rsidRPr="00A73147">
              <w:rPr>
                <w:rStyle w:val="Hyperlink"/>
                <w:color w:val="auto"/>
              </w:rPr>
              <w:fldChar w:fldCharType="begin"/>
            </w:r>
            <w:r w:rsidRPr="00A73147">
              <w:rPr>
                <w:rStyle w:val="Hyperlink"/>
                <w:color w:val="auto"/>
              </w:rPr>
              <w:instrText xml:space="preserve"> PAGEREF _Toc222086170 \h </w:instrText>
            </w:r>
            <w:r w:rsidRPr="00A73147">
              <w:rPr>
                <w:rStyle w:val="Hyperlink"/>
                <w:color w:val="auto"/>
              </w:rPr>
            </w:r>
            <w:r w:rsidRPr="00A73147">
              <w:rPr>
                <w:rStyle w:val="Hyperlink"/>
                <w:color w:val="auto"/>
              </w:rPr>
              <w:fldChar w:fldCharType="separate"/>
            </w:r>
            <w:r w:rsidRPr="00A73147">
              <w:rPr>
                <w:rStyle w:val="Hyperlink"/>
                <w:color w:val="auto"/>
              </w:rPr>
              <w:t>3</w:t>
            </w:r>
            <w:r w:rsidRPr="00A73147">
              <w:rPr>
                <w:rStyle w:val="Hyperlink"/>
                <w:color w:val="auto"/>
              </w:rPr>
              <w:fldChar w:fldCharType="end"/>
            </w:r>
          </w:hyperlink>
        </w:p>
        <w:p w14:paraId="355569AE" w14:textId="77777777" w:rsidR="00A73147" w:rsidRPr="00A73147" w:rsidRDefault="00A73147" w:rsidP="00A73147">
          <w:pPr>
            <w:rPr>
              <w:u w:val="single"/>
            </w:rPr>
          </w:pPr>
          <w:hyperlink r:id="rId11" w:anchor="_Toc222086171" w:history="1">
            <w:r w:rsidRPr="00A73147">
              <w:rPr>
                <w:rStyle w:val="Hyperlink"/>
                <w:color w:val="auto"/>
              </w:rPr>
              <w:t>Regulation of Blood Glucose and Homeostasis</w:t>
            </w:r>
            <w:r w:rsidRPr="00A73147">
              <w:rPr>
                <w:rStyle w:val="Hyperlink"/>
                <w:color w:val="auto"/>
              </w:rPr>
              <w:tab/>
            </w:r>
            <w:r w:rsidRPr="00A73147">
              <w:rPr>
                <w:rStyle w:val="Hyperlink"/>
                <w:color w:val="auto"/>
              </w:rPr>
              <w:fldChar w:fldCharType="begin"/>
            </w:r>
            <w:r w:rsidRPr="00A73147">
              <w:rPr>
                <w:rStyle w:val="Hyperlink"/>
                <w:color w:val="auto"/>
              </w:rPr>
              <w:instrText xml:space="preserve"> PAGEREF _Toc222086171 \h </w:instrText>
            </w:r>
            <w:r w:rsidRPr="00A73147">
              <w:rPr>
                <w:rStyle w:val="Hyperlink"/>
                <w:color w:val="auto"/>
              </w:rPr>
            </w:r>
            <w:r w:rsidRPr="00A73147">
              <w:rPr>
                <w:rStyle w:val="Hyperlink"/>
                <w:color w:val="auto"/>
              </w:rPr>
              <w:fldChar w:fldCharType="separate"/>
            </w:r>
            <w:r w:rsidRPr="00A73147">
              <w:rPr>
                <w:rStyle w:val="Hyperlink"/>
                <w:color w:val="auto"/>
              </w:rPr>
              <w:t>3</w:t>
            </w:r>
            <w:r w:rsidRPr="00A73147">
              <w:rPr>
                <w:rStyle w:val="Hyperlink"/>
                <w:color w:val="auto"/>
              </w:rPr>
              <w:fldChar w:fldCharType="end"/>
            </w:r>
          </w:hyperlink>
        </w:p>
        <w:p w14:paraId="28C41294" w14:textId="77777777" w:rsidR="00A73147" w:rsidRPr="00A73147" w:rsidRDefault="00A73147" w:rsidP="00A73147">
          <w:pPr>
            <w:rPr>
              <w:u w:val="single"/>
            </w:rPr>
          </w:pPr>
          <w:hyperlink r:id="rId12" w:anchor="_Toc222086172" w:history="1">
            <w:r w:rsidRPr="00A73147">
              <w:rPr>
                <w:rStyle w:val="Hyperlink"/>
                <w:color w:val="auto"/>
              </w:rPr>
              <w:t>Cellular Metabolism: How Glucose and Oxygen Produce Energy</w:t>
            </w:r>
            <w:r w:rsidRPr="00A73147">
              <w:rPr>
                <w:rStyle w:val="Hyperlink"/>
                <w:color w:val="auto"/>
              </w:rPr>
              <w:tab/>
            </w:r>
            <w:r w:rsidRPr="00A73147">
              <w:rPr>
                <w:rStyle w:val="Hyperlink"/>
                <w:color w:val="auto"/>
              </w:rPr>
              <w:fldChar w:fldCharType="begin"/>
            </w:r>
            <w:r w:rsidRPr="00A73147">
              <w:rPr>
                <w:rStyle w:val="Hyperlink"/>
                <w:color w:val="auto"/>
              </w:rPr>
              <w:instrText xml:space="preserve"> PAGEREF _Toc222086172 \h </w:instrText>
            </w:r>
            <w:r w:rsidRPr="00A73147">
              <w:rPr>
                <w:rStyle w:val="Hyperlink"/>
                <w:color w:val="auto"/>
              </w:rPr>
            </w:r>
            <w:r w:rsidRPr="00A73147">
              <w:rPr>
                <w:rStyle w:val="Hyperlink"/>
                <w:color w:val="auto"/>
              </w:rPr>
              <w:fldChar w:fldCharType="separate"/>
            </w:r>
            <w:r w:rsidRPr="00A73147">
              <w:rPr>
                <w:rStyle w:val="Hyperlink"/>
                <w:color w:val="auto"/>
              </w:rPr>
              <w:t>4</w:t>
            </w:r>
            <w:r w:rsidRPr="00A73147">
              <w:rPr>
                <w:rStyle w:val="Hyperlink"/>
                <w:color w:val="auto"/>
              </w:rPr>
              <w:fldChar w:fldCharType="end"/>
            </w:r>
          </w:hyperlink>
        </w:p>
        <w:p w14:paraId="05096D7E" w14:textId="3C85CD38" w:rsidR="00A73147" w:rsidRPr="00A73147" w:rsidRDefault="00A73147" w:rsidP="00A73147">
          <w:pPr>
            <w:rPr>
              <w:u w:val="single"/>
            </w:rPr>
          </w:pPr>
          <w:hyperlink r:id="rId13" w:anchor="_Toc222086173" w:history="1">
            <w:r w:rsidRPr="00A73147">
              <w:rPr>
                <w:rStyle w:val="Hyperlink"/>
                <w:color w:val="auto"/>
              </w:rPr>
              <w:t>Routine Data Collection: Blood Glucose Monitoring</w:t>
            </w:r>
            <w:r w:rsidRPr="00A73147">
              <w:rPr>
                <w:rStyle w:val="Hyperlink"/>
                <w:color w:val="auto"/>
              </w:rPr>
              <w:tab/>
            </w:r>
            <w:r>
              <w:rPr>
                <w:rStyle w:val="Hyperlink"/>
                <w:color w:val="auto"/>
              </w:rPr>
              <w:t xml:space="preserve">    </w:t>
            </w:r>
            <w:r w:rsidRPr="00A73147">
              <w:rPr>
                <w:rStyle w:val="Hyperlink"/>
                <w:color w:val="auto"/>
                <w:u w:val="none"/>
              </w:rPr>
              <w:t>4</w:t>
            </w:r>
          </w:hyperlink>
        </w:p>
        <w:p w14:paraId="55BA3751" w14:textId="1B133A46" w:rsidR="00A73147" w:rsidRPr="00A73147" w:rsidRDefault="00A73147" w:rsidP="00A73147">
          <w:pPr>
            <w:rPr>
              <w:u w:val="single"/>
            </w:rPr>
          </w:pPr>
          <w:hyperlink r:id="rId14" w:anchor="_Toc222086174" w:history="1">
            <w:r w:rsidRPr="00A73147">
              <w:rPr>
                <w:rStyle w:val="Hyperlink"/>
                <w:color w:val="auto"/>
              </w:rPr>
              <w:t>Lifestyle Factors and Evidence Based Recommendations</w:t>
            </w:r>
            <w:r w:rsidRPr="00A73147">
              <w:rPr>
                <w:rStyle w:val="Hyperlink"/>
                <w:color w:val="auto"/>
              </w:rPr>
              <w:tab/>
            </w:r>
            <w:r>
              <w:rPr>
                <w:rStyle w:val="Hyperlink"/>
                <w:color w:val="auto"/>
              </w:rPr>
              <w:t xml:space="preserve"> </w:t>
            </w:r>
            <w:r w:rsidRPr="00A73147">
              <w:rPr>
                <w:rStyle w:val="Hyperlink"/>
                <w:color w:val="auto"/>
                <w:u w:val="none"/>
              </w:rPr>
              <w:t>5</w:t>
            </w:r>
          </w:hyperlink>
        </w:p>
        <w:p w14:paraId="63E8EF46" w14:textId="18772750" w:rsidR="00A73147" w:rsidRPr="00A73147" w:rsidRDefault="00A73147" w:rsidP="00A73147">
          <w:pPr>
            <w:rPr>
              <w:u w:val="single"/>
            </w:rPr>
          </w:pPr>
          <w:r w:rsidRPr="00A73147">
            <w:rPr>
              <w:u w:val="single"/>
            </w:rPr>
            <w:t>Conclusion</w:t>
          </w:r>
          <w:r w:rsidRPr="00A73147">
            <w:rPr>
              <w:u w:val="single"/>
            </w:rPr>
            <w:tab/>
          </w:r>
          <w:r w:rsidRPr="00A73147">
            <w:t>6</w:t>
          </w:r>
        </w:p>
        <w:p w14:paraId="7A3029E4" w14:textId="4FF12A70" w:rsidR="00A73147" w:rsidRPr="00A73147" w:rsidRDefault="00A73147" w:rsidP="00A73147">
          <w:pPr>
            <w:rPr>
              <w:u w:val="single"/>
            </w:rPr>
          </w:pPr>
          <w:r w:rsidRPr="00A73147">
            <w:rPr>
              <w:u w:val="single"/>
            </w:rPr>
            <w:t>References</w:t>
          </w:r>
          <w:r w:rsidRPr="00A73147">
            <w:rPr>
              <w:u w:val="single"/>
            </w:rPr>
            <w:tab/>
          </w:r>
          <w:r w:rsidRPr="00A73147">
            <w:t>7</w:t>
          </w:r>
        </w:p>
        <w:p w14:paraId="24C40B63" w14:textId="77777777" w:rsidR="00A73147" w:rsidRPr="00A73147" w:rsidRDefault="00A73147" w:rsidP="00A73147">
          <w:r w:rsidRPr="00A73147">
            <w:t xml:space="preserve"> </w:t>
          </w:r>
        </w:p>
      </w:sdtContent>
    </w:sdt>
    <w:p w14:paraId="0FF59CAD" w14:textId="77777777" w:rsidR="00A73147" w:rsidRPr="00A73147" w:rsidRDefault="00A73147" w:rsidP="00A73147">
      <w:pPr>
        <w:rPr>
          <w:b/>
        </w:rPr>
      </w:pPr>
      <w:r w:rsidRPr="00A73147">
        <w:br w:type="page"/>
      </w:r>
    </w:p>
    <w:p w14:paraId="5C8845CE" w14:textId="77777777" w:rsidR="00A73147" w:rsidRPr="00A73147" w:rsidRDefault="00A73147" w:rsidP="00A73147">
      <w:pPr>
        <w:rPr>
          <w:b/>
        </w:rPr>
      </w:pPr>
      <w:bookmarkStart w:id="0" w:name="_Toc222086170"/>
      <w:bookmarkEnd w:id="0"/>
      <w:r w:rsidRPr="00A73147">
        <w:rPr>
          <w:b/>
        </w:rPr>
        <w:lastRenderedPageBreak/>
        <w:t>Introduction</w:t>
      </w:r>
    </w:p>
    <w:p w14:paraId="72EAC913" w14:textId="5BA15AF3" w:rsidR="00A73147" w:rsidRPr="00A73147" w:rsidRDefault="00A73147" w:rsidP="00A73147">
      <w:r w:rsidRPr="00A73147">
        <w:t xml:space="preserve">Diabetes mellitus Type 2 is a </w:t>
      </w:r>
      <w:r w:rsidR="004F4794" w:rsidRPr="00A73147">
        <w:t>long-term</w:t>
      </w:r>
      <w:r w:rsidRPr="00A73147">
        <w:t xml:space="preserve"> metabolic disorder where the body is unable to control blood glucose. It is typified by chronic hyperglycaemia (that is, the level of blood glucose is consistently elevated compared to the physiological normal level) (Goyal, </w:t>
      </w:r>
      <w:proofErr w:type="spellStart"/>
      <w:r w:rsidRPr="00A73147">
        <w:t>Jialal</w:t>
      </w:r>
      <w:proofErr w:type="spellEnd"/>
      <w:r w:rsidRPr="00A73147">
        <w:t xml:space="preserve"> and Singhal, 2023). This is mainly due to insulin resistance, which is a condition whereby body cells fail to respond normally to insulin and </w:t>
      </w:r>
      <w:r w:rsidR="004F4794" w:rsidRPr="00A73147">
        <w:t>since</w:t>
      </w:r>
      <w:r w:rsidRPr="00A73147">
        <w:t xml:space="preserve"> the pancreas progressively becomes incapacitated to produce sufficient insulin to counterbalance.</w:t>
      </w:r>
    </w:p>
    <w:p w14:paraId="3430C48E" w14:textId="3691D650" w:rsidR="00A73147" w:rsidRPr="00A73147" w:rsidRDefault="00A73147" w:rsidP="00A73147">
      <w:r w:rsidRPr="00A73147">
        <w:t xml:space="preserve">There are </w:t>
      </w:r>
      <w:r w:rsidR="004F4794" w:rsidRPr="00A73147">
        <w:t>several</w:t>
      </w:r>
      <w:r w:rsidRPr="00A73147">
        <w:t xml:space="preserve"> harmful factors that predispose an individual to Type 2 diabetes. The insulin resistance is closely linked to obesity, especially central or abdominal obesity (Yashi and Daley, 2023). Sedentary lifestyle lowers the uptake of glucose by the skeletal muscle </w:t>
      </w:r>
      <w:r w:rsidR="004F4794" w:rsidRPr="00A73147">
        <w:t>and</w:t>
      </w:r>
      <w:r w:rsidRPr="00A73147">
        <w:t xml:space="preserve"> leads to weight gain, which worsens metabolic control. Genetic predisposition is also significant as people who have a family history of diabetes are at risk. Old age is associated with lower efficiency of beta cells and lower insulin sensitivity (Goyal et al., 2023). The other identified factor is ethnicity whereby some South Asian, African and Caribbean populations have been found to have higher prevalence.</w:t>
      </w:r>
    </w:p>
    <w:p w14:paraId="4DF14FBB" w14:textId="267C9DE0" w:rsidR="00A73147" w:rsidRPr="00A73147" w:rsidRDefault="00A73147" w:rsidP="00A73147">
      <w:r w:rsidRPr="00A73147">
        <w:t>To be able to manage glucose, it is critical to understand the physiology behind its regulation. The understanding of the insulin mechanisms and the normal control of blood glucose levels will help patients to understand the importance of monitor and the impact of lifestyle choices on the development of the disease (</w:t>
      </w:r>
      <w:proofErr w:type="spellStart"/>
      <w:r w:rsidRPr="00A73147">
        <w:t>Nakrani</w:t>
      </w:r>
      <w:proofErr w:type="spellEnd"/>
      <w:r w:rsidRPr="00A73147">
        <w:t xml:space="preserve">, Wineland and Anjum, 2023). Safe and effective </w:t>
      </w:r>
      <w:r w:rsidR="004F4794" w:rsidRPr="00A73147">
        <w:t>long-term</w:t>
      </w:r>
      <w:r w:rsidRPr="00A73147">
        <w:t xml:space="preserve"> management is based on routine monitoring of blood glucose level and treatment of modifiable risk factors like diet, smoking and physical inactivity.</w:t>
      </w:r>
    </w:p>
    <w:p w14:paraId="3D8C9219" w14:textId="77777777" w:rsidR="00A73147" w:rsidRPr="00A73147" w:rsidRDefault="00A73147" w:rsidP="00A73147">
      <w:pPr>
        <w:rPr>
          <w:b/>
        </w:rPr>
      </w:pPr>
      <w:bookmarkStart w:id="1" w:name="_Toc222086171"/>
      <w:bookmarkEnd w:id="1"/>
      <w:r w:rsidRPr="00A73147">
        <w:rPr>
          <w:b/>
        </w:rPr>
        <w:t>Regulation of Blood Glucose and Homeostasis</w:t>
      </w:r>
    </w:p>
    <w:p w14:paraId="54CDA8C4" w14:textId="1304D9B6" w:rsidR="00A73147" w:rsidRPr="00A73147" w:rsidRDefault="00A73147" w:rsidP="00A73147">
      <w:r w:rsidRPr="00A73147">
        <w:t xml:space="preserve">The endocrine system is perfectly synchronized to ensure homeostasis concerning blood glucose levels. The pancreas is in the </w:t>
      </w:r>
      <w:proofErr w:type="spellStart"/>
      <w:r w:rsidRPr="00A73147">
        <w:t>center</w:t>
      </w:r>
      <w:proofErr w:type="spellEnd"/>
      <w:r w:rsidRPr="00A73147">
        <w:t xml:space="preserve"> of the structural and functional functioning of the process (Röder et al., 2016). The pancreas contains bundles of endocrine tissue referred to as the Islets of Langerhans. Specialised cells which are unique in their functions are found in these islands. The beta cells release </w:t>
      </w:r>
      <w:r w:rsidR="004F4794" w:rsidRPr="00A73147">
        <w:t>insulin,</w:t>
      </w:r>
      <w:r w:rsidRPr="00A73147">
        <w:t xml:space="preserve"> and the alpha cells release glucagon. The proximity of these cells enables quick hormonal reaction to variations in the level of blood sugar. Form thus follows directly on the purpose with the islets being extremely vascularised, which allows the hormones to reach the bloodstream more rapidly.</w:t>
      </w:r>
    </w:p>
    <w:p w14:paraId="70D03F51" w14:textId="77777777" w:rsidR="00A73147" w:rsidRPr="00A73147" w:rsidRDefault="00A73147" w:rsidP="00A73147">
      <w:r w:rsidRPr="00A73147">
        <w:t>Beta cells sense an increase in blood glucose following meals and insulin is released. Insulin is attached to receptors on muscle, adipose and liver cells in stimulating the uptake of glucose and lowering the glucose levels in the circulation. It also stimulates the liver to store glucose as glycogen as it is a liver promoting glycogenesis (</w:t>
      </w:r>
      <w:proofErr w:type="spellStart"/>
      <w:r w:rsidRPr="00A73147">
        <w:t>Nakrani</w:t>
      </w:r>
      <w:proofErr w:type="spellEnd"/>
      <w:r w:rsidRPr="00A73147">
        <w:t>, Wineland and Anjum, 2023). Conversely, glucagon is released by alpha cells in response to a decrease in blood glucose. The effects of glucagon are the stimulation of glycogenolysis, the breakdown of glycogen into glucose, and gluconeogenesis, which is the formation of new glucose using non carbohydrates. The negative feedback mechanism ensures that glucose is kept within a small narrow physiological range (Rix et al., 2019).</w:t>
      </w:r>
    </w:p>
    <w:p w14:paraId="0019F7A6" w14:textId="77777777" w:rsidR="00A73147" w:rsidRPr="00A73147" w:rsidRDefault="00A73147" w:rsidP="00A73147">
      <w:r w:rsidRPr="00A73147">
        <w:t xml:space="preserve">This is a regulatory mechanism that is impaired in Type 2 diabetes. Insulin resistance refers to the inability of the target tissues to respond effectively to insulin, thus, making glucose uptake low regardless of the normal or high levels of insulin (Freeman and Pennings, 2023). Beta cells develop dysfunction over time and the level of secretion of insulin reduces. Consequently, hyperglycaemia ensues. The effects of compromised regulation are very serious such as the </w:t>
      </w:r>
      <w:r w:rsidRPr="00A73147">
        <w:lastRenderedPageBreak/>
        <w:t>damage to blood vessels, nerves and organs. This shows how normal pancreatic development and hormonal balance are critical in the achievement of metabolic stability.</w:t>
      </w:r>
    </w:p>
    <w:p w14:paraId="7F3E3A19" w14:textId="77777777" w:rsidR="00A73147" w:rsidRPr="00A73147" w:rsidRDefault="00A73147" w:rsidP="00A73147">
      <w:pPr>
        <w:rPr>
          <w:b/>
        </w:rPr>
      </w:pPr>
      <w:bookmarkStart w:id="2" w:name="_Toc222086172"/>
      <w:bookmarkEnd w:id="2"/>
      <w:r w:rsidRPr="00A73147">
        <w:rPr>
          <w:b/>
        </w:rPr>
        <w:t>Cellular Metabolism: How Glucose and Oxygen Produce Energy</w:t>
      </w:r>
    </w:p>
    <w:p w14:paraId="1147C407" w14:textId="54FDE839" w:rsidR="00A73147" w:rsidRPr="00A73147" w:rsidRDefault="00A73147" w:rsidP="00A73147">
      <w:r w:rsidRPr="00A73147">
        <w:t xml:space="preserve">The body cells use glucose as the main fuel to generate energy. This energy is formed by aerobic respiration which occurs </w:t>
      </w:r>
      <w:r w:rsidR="004F4794" w:rsidRPr="00A73147">
        <w:t>during</w:t>
      </w:r>
      <w:r w:rsidRPr="00A73147">
        <w:t xml:space="preserve"> the major part in the mitochondria and needs oxygen. The aerobic respiration happens in three primary phases: glycolysis, the Krebs cycle and the electron transport chain (Chaudhry and </w:t>
      </w:r>
      <w:proofErr w:type="spellStart"/>
      <w:r w:rsidRPr="00A73147">
        <w:t>Varacallo</w:t>
      </w:r>
      <w:proofErr w:type="spellEnd"/>
      <w:r w:rsidRPr="00A73147">
        <w:t>, 2023).</w:t>
      </w:r>
    </w:p>
    <w:p w14:paraId="0937F3DF" w14:textId="0717AC20" w:rsidR="00A73147" w:rsidRPr="00A73147" w:rsidRDefault="00A73147" w:rsidP="00A73147">
      <w:r w:rsidRPr="00A73147">
        <w:t xml:space="preserve">Glycolysis is a cytoplasmic process that entails the degradation of one mole of glucose to two </w:t>
      </w:r>
      <w:r w:rsidR="004F4794" w:rsidRPr="00A73147">
        <w:t>moles</w:t>
      </w:r>
      <w:r w:rsidRPr="00A73147">
        <w:t xml:space="preserve"> of pyruvate. The step generates low concentration levels of adenosine triphosphate, or ATP, and low concentration levels of coenzymes that contain a high concentration of energy electrons (Chaudhry and </w:t>
      </w:r>
      <w:proofErr w:type="spellStart"/>
      <w:r w:rsidRPr="00A73147">
        <w:t>Varacallo</w:t>
      </w:r>
      <w:proofErr w:type="spellEnd"/>
      <w:r w:rsidRPr="00A73147">
        <w:t>, 2023). Pyruvate is then transported to the mitochondria where it is changed into acetyl coenzyme A and is involved in the Krebs cycle. Krebs cycle produces more reduced coenzymes and little ATP. The last phase, electron transport chain occurs along the inner mitochondrial membrane. In this case, the movement of electrons takes place via a bunch of protein complexes. Oxygen is the ultimate electron donor as it unites with electrons and hydrogen ions to compose water. This mechanism leads to the generation of much ATP via the oxidative phosphorylation (Ahmad, Kahwaji and Wolberg, 2023).</w:t>
      </w:r>
    </w:p>
    <w:p w14:paraId="429375BF" w14:textId="77777777" w:rsidR="00A73147" w:rsidRPr="00A73147" w:rsidRDefault="00A73147" w:rsidP="00A73147">
      <w:r w:rsidRPr="00A73147">
        <w:t>ATP is a necessity since it gives energy to cellular processes like muscle contraction, nerve transmission and active transport. The cells will be unable to support their energy requirements without a constant supply of glucose and oxygen.</w:t>
      </w:r>
    </w:p>
    <w:p w14:paraId="2E190205" w14:textId="69172345" w:rsidR="00A73147" w:rsidRPr="00A73147" w:rsidRDefault="00A73147" w:rsidP="00A73147">
      <w:r w:rsidRPr="00A73147">
        <w:t xml:space="preserve">Chronic hyperglycaemia interferes with the normal metabolism in Type 2 diabetes. The surplus glucose may </w:t>
      </w:r>
      <w:r w:rsidR="004F4794" w:rsidRPr="00A73147">
        <w:t>enter</w:t>
      </w:r>
      <w:r w:rsidRPr="00A73147">
        <w:t xml:space="preserve"> other metabolic processes that result in the generation of toxic byproducts (Cersosimo et al., 2021). Oxidative stress, a condition of having elevated levels of reactive oxygen species, is caused by continuous high glucose levels and is caused by the inability of the body to produce enough antioxidants to neutralize it. Oxidative stress destroys blood vessels, nerves and organs. Also, the resistance to insulin changes the uptake of glucose by cells, resulting in a lack of balance between the energy intake and expenditure (González et al., 2023). This illustrates the role of disruption of the basic cellular metabolism in the development and complications of diseases.</w:t>
      </w:r>
    </w:p>
    <w:p w14:paraId="106F474C" w14:textId="77777777" w:rsidR="00A73147" w:rsidRPr="00A73147" w:rsidRDefault="00A73147" w:rsidP="00A73147">
      <w:pPr>
        <w:rPr>
          <w:b/>
        </w:rPr>
      </w:pPr>
      <w:bookmarkStart w:id="3" w:name="_Toc222086173"/>
      <w:bookmarkEnd w:id="3"/>
      <w:r w:rsidRPr="00A73147">
        <w:rPr>
          <w:b/>
        </w:rPr>
        <w:t>Routine Data Collection: Blood Glucose Monitoring</w:t>
      </w:r>
    </w:p>
    <w:p w14:paraId="180EDB0B" w14:textId="0DFE5F55" w:rsidR="00A73147" w:rsidRPr="00A73147" w:rsidRDefault="00A73147" w:rsidP="00A73147">
      <w:r w:rsidRPr="00A73147">
        <w:t xml:space="preserve">One of the most important </w:t>
      </w:r>
      <w:r w:rsidR="004F4794" w:rsidRPr="00A73147">
        <w:t>components</w:t>
      </w:r>
      <w:r w:rsidRPr="00A73147">
        <w:t xml:space="preserve"> of Type 2 diabetes management is the regular blood glucose monitoring. In the clinical practice, a variety of data types are gathered. Fasting blood glucose tests are used to determine the level of glucose following the interval of not consuming food and are used to evaluate baseline control (Mathew, Tadi and Zubair, 2023). The level of glycated haemoglobin or HbA1c is a measure of average blood sugar levels over a period of about three months and gives an indication of </w:t>
      </w:r>
      <w:r w:rsidR="004F4794" w:rsidRPr="00A73147">
        <w:t>long-term</w:t>
      </w:r>
      <w:r w:rsidRPr="00A73147">
        <w:t xml:space="preserve"> control. Finger prick testing of blood glucose enables users to monitor the level of blood sugar at home. Continuous glucose monitoring devices offer real time levels 24/7 meaning that they have detailed information </w:t>
      </w:r>
      <w:r w:rsidR="004F4794" w:rsidRPr="00A73147">
        <w:t>about</w:t>
      </w:r>
      <w:r w:rsidRPr="00A73147">
        <w:t xml:space="preserve"> changes.</w:t>
      </w:r>
    </w:p>
    <w:p w14:paraId="0CF603D3" w14:textId="77777777" w:rsidR="00A73147" w:rsidRPr="00A73147" w:rsidRDefault="00A73147" w:rsidP="00A73147">
      <w:r w:rsidRPr="00A73147">
        <w:t>Longitudinal tracking of this data is important because it identifies patterns rather than isolated readings. Trends can show whether glucose levels rise after certain meals or fall during periods of increased activity (</w:t>
      </w:r>
      <w:proofErr w:type="spellStart"/>
      <w:r w:rsidRPr="00A73147">
        <w:t>Khatirnamani</w:t>
      </w:r>
      <w:proofErr w:type="spellEnd"/>
      <w:r w:rsidRPr="00A73147">
        <w:t xml:space="preserve"> et al., 2020). This helps prevent hypoglycaemia and hyperglycaemia. It also supports medication adjustment, including changes to oral agents or </w:t>
      </w:r>
      <w:r w:rsidRPr="00A73147">
        <w:lastRenderedPageBreak/>
        <w:t>insulin therapy. By reviewing recorded data, healthcare professionals can develop and adapt personalised care plans. Routine health data informs clinical decision making and supports safe and effective management.</w:t>
      </w:r>
    </w:p>
    <w:p w14:paraId="54FD6C6D" w14:textId="2A45C2D5" w:rsidR="00A73147" w:rsidRPr="00A73147" w:rsidRDefault="00A73147" w:rsidP="00A73147">
      <w:r w:rsidRPr="00A73147">
        <w:t xml:space="preserve">However, monitoring has limitations. </w:t>
      </w:r>
      <w:r w:rsidR="004F4794" w:rsidRPr="00A73147">
        <w:t>Self-monitoring</w:t>
      </w:r>
      <w:r w:rsidRPr="00A73147">
        <w:t xml:space="preserve"> depends on patient adherence and correct technique. Some individuals may test infrequently due to cost, discomfort or lack of understanding. Interpretation errors can occur if patients are unsure how to respond to abnormal readings (Natale et al., 2023). Social determinants such as income, education and access to technology may affect the reliability of collected data. Despite these challenges, systematic recording and review of blood glucose levels remain central to </w:t>
      </w:r>
      <w:r w:rsidR="004F4794" w:rsidRPr="00A73147">
        <w:t>evidence-based</w:t>
      </w:r>
      <w:r w:rsidRPr="00A73147">
        <w:t xml:space="preserve"> diabetes care and demonstrate how routine data is used within health and social care practice.</w:t>
      </w:r>
    </w:p>
    <w:p w14:paraId="193562F9" w14:textId="77777777" w:rsidR="00A73147" w:rsidRPr="00A73147" w:rsidRDefault="00A73147" w:rsidP="00A73147">
      <w:pPr>
        <w:rPr>
          <w:b/>
        </w:rPr>
      </w:pPr>
      <w:bookmarkStart w:id="4" w:name="_Toc222086174"/>
      <w:bookmarkEnd w:id="4"/>
      <w:r w:rsidRPr="00A73147">
        <w:rPr>
          <w:b/>
        </w:rPr>
        <w:t>Lifestyle Factors and Evidence Based Recommendations</w:t>
      </w:r>
    </w:p>
    <w:p w14:paraId="3022A7F9" w14:textId="77777777" w:rsidR="00A73147" w:rsidRPr="00A73147" w:rsidRDefault="00A73147" w:rsidP="00A73147">
      <w:r w:rsidRPr="00A73147">
        <w:t>The intervention of Type 2 diabetes is based on lifestyle modification since it has a direct effect on endocrine processes and glucose homeostasis. The results continue to demonstrate that dietary changes, physical exercise and the elimination of smoking positively affect glycaemic regulation, as well as the mitigation of complications (Lee et al., 2025).</w:t>
      </w:r>
    </w:p>
    <w:p w14:paraId="3C92DA2B" w14:textId="77777777" w:rsidR="00A73147" w:rsidRPr="00A73147" w:rsidRDefault="00A73147" w:rsidP="00A73147">
      <w:r w:rsidRPr="00A73147">
        <w:t xml:space="preserve">Diet is a very important factor in controlling the postprandial glucose levels. Low-glycaemic index foods are absorbed and digested slower, and instead of a sudden increase of the blood glucose level, they gradually increase it (Vlachos et al., 2020). This lowers the pressure that is put on the beta cells to release large volumes of insulin simultaneously. A low intake of refined carbohydrates like white bread and sweet beverages reduces the immediate intake of glucose and aids in the avoidance of frequent hyperglycaemia episodes. An increase in fibre augments satiety and postpones emptying of the stomach and increases insulin sensitivity. The importance of weight management cannot be overstated, and excess adipose tissue is a cause of insulin resistance, mediated by inflammatory mechanisms and disturbed hormone signalling. Even the small weight reduction has been reported to enhance the insulin receptor responsiveness and lower the level of fasting glucose (Chandrasekaran and </w:t>
      </w:r>
      <w:proofErr w:type="spellStart"/>
      <w:r w:rsidRPr="00A73147">
        <w:t>Weiskirchen</w:t>
      </w:r>
      <w:proofErr w:type="spellEnd"/>
      <w:r w:rsidRPr="00A73147">
        <w:t>, 2024).</w:t>
      </w:r>
    </w:p>
    <w:p w14:paraId="68C86DDF" w14:textId="77777777" w:rsidR="00A73147" w:rsidRPr="00A73147" w:rsidRDefault="00A73147" w:rsidP="00A73147">
      <w:r w:rsidRPr="00A73147">
        <w:t>The exercise enhances the insulin sensitivity in many ways that are physiologic. When muscles are contracting, glucose transporter 4 transfers to the muscle cell surface, without the help of insulin, which enables the muscle to take in more glucose through the blood supply (Vargas, Podder and Carrillo Sepulveda, 2022). Venereal fat is also diminished by regular physical activity lowering the production of the inflammatory mediators that disrupt the insulin signalling. Consequently, exercise will lower the glucose levels in circulation and decreases long term HbA1c. This shows that there is a direct connection between lifestyle and endocrine regulation.</w:t>
      </w:r>
    </w:p>
    <w:p w14:paraId="6C2C0470" w14:textId="77777777" w:rsidR="00A73147" w:rsidRPr="00A73147" w:rsidRDefault="00A73147" w:rsidP="00A73147">
      <w:r w:rsidRPr="00A73147">
        <w:t>Smoking has deleterious effects on metabolic control. Nicotine causes insulin resistance by changing the release of catecholamine and overactivity of sympathetic nervous system. Vascular damage is also an effect of smoking that encourages inflammation and endothelial dysfunction (Corsi and Agbaje, 2025). This is a major risk factor of cardiovascular disease and microvascular complications in diabetic persons. The quitting of smoking thus enhances the health of the blood vessels, and it promotes healthier metabolism.</w:t>
      </w:r>
    </w:p>
    <w:p w14:paraId="6FB32343" w14:textId="77777777" w:rsidR="00A73147" w:rsidRPr="00A73147" w:rsidRDefault="00A73147" w:rsidP="00A73147">
      <w:r w:rsidRPr="00A73147">
        <w:t xml:space="preserve">These recommendations are supported by national and international guidelines. NICE recommends first line management based on structured education, weight loss and regular physical exercise. Healthy eating habits and smoking cessation programmes are advertised via </w:t>
      </w:r>
      <w:r w:rsidRPr="00A73147">
        <w:lastRenderedPageBreak/>
        <w:t>Public Health England (NICE, 2025). World Health Organization focuses on prevention by means of diet, physical activity and lessening of modifiable risk factors.</w:t>
      </w:r>
    </w:p>
    <w:p w14:paraId="465CB4CE" w14:textId="09CD901D" w:rsidR="00A73147" w:rsidRPr="00A73147" w:rsidRDefault="00A73147" w:rsidP="00A73147">
      <w:r w:rsidRPr="00A73147">
        <w:t xml:space="preserve">Still, compliance may be a problem. Economic constraints, cultural eating habits, poor availability of nutritious food and secure physical activity might decrease efficacy. </w:t>
      </w:r>
      <w:r w:rsidR="004F4794" w:rsidRPr="00A73147">
        <w:t>Self-recorded</w:t>
      </w:r>
      <w:r w:rsidRPr="00A73147">
        <w:t xml:space="preserve"> glucose levels and HbA1c are examples of data that can be monitored to determine the effectiveness of lifestyle interventions. This connects physiology and practical care planning and explains that regular data helps with continual administration (Dungan and Verma, 2023).</w:t>
      </w:r>
    </w:p>
    <w:p w14:paraId="6D91193A" w14:textId="77777777" w:rsidR="00A73147" w:rsidRPr="00A73147" w:rsidRDefault="00A73147" w:rsidP="00A73147">
      <w:pPr>
        <w:rPr>
          <w:b/>
        </w:rPr>
      </w:pPr>
      <w:bookmarkStart w:id="5" w:name="_Toc222086175"/>
      <w:bookmarkEnd w:id="5"/>
      <w:r w:rsidRPr="00A73147">
        <w:rPr>
          <w:b/>
        </w:rPr>
        <w:t>Conclusion</w:t>
      </w:r>
    </w:p>
    <w:p w14:paraId="7281B077" w14:textId="77777777" w:rsidR="00A73147" w:rsidRPr="00A73147" w:rsidRDefault="00A73147" w:rsidP="00A73147">
      <w:r w:rsidRPr="00A73147">
        <w:t>Type 2 diabetes is a multifaceted metabolic complication, which is marked by insulin resistance, beta cells dysfunction, and chronic hyperglycaemia. Hormonal feedback mechanisms work together with the coordinated action of the pancreas, liver and peripheral tissues to provide normal glucose regulation. On a cellular level, glucose and oxygen are also important in the production of ATP by aerobic respiration. In case of regulation breakdown, metabolic imbalance and tissue damage are caused due to persistent elevation of glucose levels.</w:t>
      </w:r>
    </w:p>
    <w:p w14:paraId="745BC2BC" w14:textId="77777777" w:rsidR="00A73147" w:rsidRPr="00A73147" w:rsidRDefault="00A73147" w:rsidP="00A73147">
      <w:r w:rsidRPr="00A73147">
        <w:t>Regular self-monitoring of blood glucose, fasting, and HbA1c help both the healthcare provider and the patient to evaluate the trends and modify the therapy safely. Making lifestyle change is one of the major elements of management. Eating habits, physical exercises and quitting smoking enhance the intensity of insulin and contribute to the maintenance of endocrine balance.</w:t>
      </w:r>
    </w:p>
    <w:p w14:paraId="7F4A89B9" w14:textId="07C29423" w:rsidR="00A73147" w:rsidRPr="00A73147" w:rsidRDefault="00A73147" w:rsidP="00A73147">
      <w:r w:rsidRPr="00A73147">
        <w:t xml:space="preserve">Education of the patients is thus necessary. </w:t>
      </w:r>
      <w:r w:rsidR="004F4794" w:rsidRPr="00A73147">
        <w:t>If</w:t>
      </w:r>
      <w:r w:rsidRPr="00A73147">
        <w:t xml:space="preserve"> people learn the physiological cause of their condition and the aim of monitoring, they will be more willing to go through their care plans. Integration of physiological knowledge and regular data collection and </w:t>
      </w:r>
      <w:r w:rsidR="00C06D30" w:rsidRPr="00A73147">
        <w:t>evidence-based</w:t>
      </w:r>
      <w:r w:rsidRPr="00A73147">
        <w:t xml:space="preserve"> lifestyle changes </w:t>
      </w:r>
      <w:r w:rsidR="004F4794" w:rsidRPr="00A73147">
        <w:t>help</w:t>
      </w:r>
      <w:r w:rsidRPr="00A73147">
        <w:t xml:space="preserve"> in the clouds of safer and more efficient management in the long term.</w:t>
      </w:r>
    </w:p>
    <w:p w14:paraId="69927FE8" w14:textId="77777777" w:rsidR="00A73147" w:rsidRPr="00A73147" w:rsidRDefault="00A73147" w:rsidP="00A73147">
      <w:r w:rsidRPr="00A73147">
        <w:br w:type="page"/>
      </w:r>
    </w:p>
    <w:p w14:paraId="3441D14E" w14:textId="77777777" w:rsidR="00A73147" w:rsidRPr="00A73147" w:rsidRDefault="00A73147" w:rsidP="00A73147">
      <w:pPr>
        <w:rPr>
          <w:b/>
        </w:rPr>
      </w:pPr>
      <w:bookmarkStart w:id="6" w:name="_Toc222086176"/>
      <w:bookmarkEnd w:id="6"/>
      <w:r w:rsidRPr="00A73147">
        <w:rPr>
          <w:b/>
        </w:rPr>
        <w:lastRenderedPageBreak/>
        <w:t>References</w:t>
      </w:r>
    </w:p>
    <w:p w14:paraId="5C0777FF" w14:textId="77777777" w:rsidR="00A73147" w:rsidRPr="00A73147" w:rsidRDefault="00A73147" w:rsidP="00A73147">
      <w:r w:rsidRPr="00A73147">
        <w:t xml:space="preserve">Ahmad, M., Kahwaji, C.I. and Wolberg, A. (2023). </w:t>
      </w:r>
      <w:r w:rsidRPr="00A73147">
        <w:rPr>
          <w:i/>
          <w:iCs/>
        </w:rPr>
        <w:t>Biochemistry, Electron Transport Chain</w:t>
      </w:r>
      <w:r w:rsidRPr="00A73147">
        <w:t>. [online] PubMed. Available at: https://www.ncbi.nlm.nih.gov/books/NBK526105/.</w:t>
      </w:r>
    </w:p>
    <w:p w14:paraId="25936999" w14:textId="77777777" w:rsidR="00A73147" w:rsidRPr="00A73147" w:rsidRDefault="00A73147" w:rsidP="00A73147">
      <w:r w:rsidRPr="00A73147">
        <w:t xml:space="preserve">Cersosimo, E., Triplitt, C., Solis-Herrera, C., Mandarino, L.J. and DeFronzo, R.A. (2021). </w:t>
      </w:r>
      <w:r w:rsidRPr="00A73147">
        <w:rPr>
          <w:i/>
          <w:iCs/>
        </w:rPr>
        <w:t>Pathogenesis of Type 2 Diabetes Mellitus</w:t>
      </w:r>
      <w:r w:rsidRPr="00A73147">
        <w:t>. [online] Nih.gov. Available at: https://www.ncbi.nlm.nih.gov/books/NBK279115/.</w:t>
      </w:r>
    </w:p>
    <w:p w14:paraId="2346E501" w14:textId="77777777" w:rsidR="00A73147" w:rsidRPr="00A73147" w:rsidRDefault="00A73147" w:rsidP="00A73147">
      <w:r w:rsidRPr="00A73147">
        <w:t xml:space="preserve">Chandrasekaran, P. and </w:t>
      </w:r>
      <w:proofErr w:type="spellStart"/>
      <w:r w:rsidRPr="00A73147">
        <w:t>Weiskirchen</w:t>
      </w:r>
      <w:proofErr w:type="spellEnd"/>
      <w:r w:rsidRPr="00A73147">
        <w:t xml:space="preserve">, R. (2024). The role of obesity in type 2 diabetes mellitus—an overview. </w:t>
      </w:r>
      <w:r w:rsidRPr="00A73147">
        <w:rPr>
          <w:i/>
          <w:iCs/>
        </w:rPr>
        <w:t>International Journal of Molecular Sciences</w:t>
      </w:r>
      <w:r w:rsidRPr="00A73147">
        <w:t xml:space="preserve">, [online] 25(3), pp.1882–1882. </w:t>
      </w:r>
      <w:proofErr w:type="spellStart"/>
      <w:r w:rsidRPr="00A73147">
        <w:t>doi:https</w:t>
      </w:r>
      <w:proofErr w:type="spellEnd"/>
      <w:r w:rsidRPr="00A73147">
        <w:t>://doi.org/10.3390/ijms25031882.</w:t>
      </w:r>
    </w:p>
    <w:p w14:paraId="71CC29B5" w14:textId="77777777" w:rsidR="00A73147" w:rsidRPr="00A73147" w:rsidRDefault="00A73147" w:rsidP="00A73147">
      <w:r w:rsidRPr="00A73147">
        <w:t xml:space="preserve">Chaudhry, R. and </w:t>
      </w:r>
      <w:proofErr w:type="spellStart"/>
      <w:r w:rsidRPr="00A73147">
        <w:t>Varacallo</w:t>
      </w:r>
      <w:proofErr w:type="spellEnd"/>
      <w:r w:rsidRPr="00A73147">
        <w:t xml:space="preserve">, M. (2023). </w:t>
      </w:r>
      <w:r w:rsidRPr="00A73147">
        <w:rPr>
          <w:i/>
          <w:iCs/>
        </w:rPr>
        <w:t>Biochemistry, glycolysis</w:t>
      </w:r>
      <w:r w:rsidRPr="00A73147">
        <w:t>. [online] National Library of Medicine. Available at: https://www.ncbi.nlm.nih.gov/books/NBK482303/.</w:t>
      </w:r>
    </w:p>
    <w:p w14:paraId="4068F67F" w14:textId="77777777" w:rsidR="00A73147" w:rsidRPr="00A73147" w:rsidRDefault="00A73147" w:rsidP="00A73147">
      <w:r w:rsidRPr="00A73147">
        <w:t xml:space="preserve">Corsi, D.R. and Agbaje, A.O. (2025). Impact of smoking from childhood associated with greater risk of cardiac damage. </w:t>
      </w:r>
      <w:r w:rsidRPr="00A73147">
        <w:rPr>
          <w:i/>
          <w:iCs/>
        </w:rPr>
        <w:t>Trends in Cardiovascular Medicine</w:t>
      </w:r>
      <w:r w:rsidRPr="00A73147">
        <w:t xml:space="preserve">. </w:t>
      </w:r>
      <w:proofErr w:type="spellStart"/>
      <w:r w:rsidRPr="00A73147">
        <w:t>doi:https</w:t>
      </w:r>
      <w:proofErr w:type="spellEnd"/>
      <w:r w:rsidRPr="00A73147">
        <w:t>://doi.org/10.1016/j.tcm.2025.10.002.</w:t>
      </w:r>
    </w:p>
    <w:p w14:paraId="15C535CA" w14:textId="77777777" w:rsidR="00A73147" w:rsidRPr="00A73147" w:rsidRDefault="00A73147" w:rsidP="00A73147">
      <w:r w:rsidRPr="00A73147">
        <w:t xml:space="preserve">Dungan, K. and Verma, N. (2023). </w:t>
      </w:r>
      <w:r w:rsidRPr="00A73147">
        <w:rPr>
          <w:i/>
          <w:iCs/>
        </w:rPr>
        <w:t xml:space="preserve">Monitoring Technologies – Continuous Glucose Monitoring, Mobile Technology, Biomarkers of </w:t>
      </w:r>
      <w:proofErr w:type="spellStart"/>
      <w:r w:rsidRPr="00A73147">
        <w:rPr>
          <w:i/>
          <w:iCs/>
        </w:rPr>
        <w:t>Glycemic</w:t>
      </w:r>
      <w:proofErr w:type="spellEnd"/>
      <w:r w:rsidRPr="00A73147">
        <w:rPr>
          <w:i/>
          <w:iCs/>
        </w:rPr>
        <w:t xml:space="preserve"> Control</w:t>
      </w:r>
      <w:r w:rsidRPr="00A73147">
        <w:t>. [online] Nih.gov. Available at: https://www.ncbi.nlm.nih.gov/books/NBK279046/.</w:t>
      </w:r>
    </w:p>
    <w:p w14:paraId="49AD3D15" w14:textId="77777777" w:rsidR="00A73147" w:rsidRPr="00A73147" w:rsidRDefault="00A73147" w:rsidP="00A73147">
      <w:r w:rsidRPr="00A73147">
        <w:t xml:space="preserve">Freeman, A.M. and Pennings, N. (2023). </w:t>
      </w:r>
      <w:r w:rsidRPr="00A73147">
        <w:rPr>
          <w:i/>
          <w:iCs/>
        </w:rPr>
        <w:t>Insulin Resistance</w:t>
      </w:r>
      <w:r w:rsidRPr="00A73147">
        <w:t>. [online] nih.gov. Available at: https://www.ncbi.nlm.nih.gov/books/NBK507839/.</w:t>
      </w:r>
    </w:p>
    <w:p w14:paraId="160D1909" w14:textId="77777777" w:rsidR="00A73147" w:rsidRPr="00A73147" w:rsidRDefault="00A73147" w:rsidP="00A73147">
      <w:r w:rsidRPr="00A73147">
        <w:t xml:space="preserve">González, P., Lozano, P., Ros, G. and Solano, F. (2023). </w:t>
      </w:r>
      <w:proofErr w:type="spellStart"/>
      <w:r w:rsidRPr="00A73147">
        <w:t>Hyperglycemia</w:t>
      </w:r>
      <w:proofErr w:type="spellEnd"/>
      <w:r w:rsidRPr="00A73147">
        <w:t xml:space="preserve"> and Oxidative Stress: An Integral, Updated and Critical Overview of Their Metabolic Interconnections. </w:t>
      </w:r>
      <w:proofErr w:type="spellStart"/>
      <w:r w:rsidRPr="00A73147">
        <w:rPr>
          <w:i/>
          <w:iCs/>
        </w:rPr>
        <w:t>Hyperglycemia</w:t>
      </w:r>
      <w:proofErr w:type="spellEnd"/>
      <w:r w:rsidRPr="00A73147">
        <w:rPr>
          <w:i/>
          <w:iCs/>
        </w:rPr>
        <w:t xml:space="preserve"> and Oxidative Stress: An Integral, Updated and Critical Overview of Their Metabolic Interconnections</w:t>
      </w:r>
      <w:r w:rsidRPr="00A73147">
        <w:t xml:space="preserve">, [online] 24(11), pp.9352–9352. </w:t>
      </w:r>
      <w:proofErr w:type="spellStart"/>
      <w:r w:rsidRPr="00A73147">
        <w:t>doi:https</w:t>
      </w:r>
      <w:proofErr w:type="spellEnd"/>
      <w:r w:rsidRPr="00A73147">
        <w:t>://doi.org/10.3390/ijms24119352.</w:t>
      </w:r>
    </w:p>
    <w:p w14:paraId="0F862FE9" w14:textId="77777777" w:rsidR="00A73147" w:rsidRPr="00A73147" w:rsidRDefault="00A73147" w:rsidP="00A73147">
      <w:r w:rsidRPr="00A73147">
        <w:t xml:space="preserve">Goyal, R., </w:t>
      </w:r>
      <w:proofErr w:type="spellStart"/>
      <w:r w:rsidRPr="00A73147">
        <w:t>Jialal</w:t>
      </w:r>
      <w:proofErr w:type="spellEnd"/>
      <w:r w:rsidRPr="00A73147">
        <w:t xml:space="preserve">, I. and Singhal, M. (2023). </w:t>
      </w:r>
      <w:r w:rsidRPr="00A73147">
        <w:rPr>
          <w:i/>
          <w:iCs/>
        </w:rPr>
        <w:t>Type 2 diabetes</w:t>
      </w:r>
      <w:r w:rsidRPr="00A73147">
        <w:t xml:space="preserve">. [online] National </w:t>
      </w:r>
      <w:proofErr w:type="spellStart"/>
      <w:r w:rsidRPr="00A73147">
        <w:t>Center</w:t>
      </w:r>
      <w:proofErr w:type="spellEnd"/>
      <w:r w:rsidRPr="00A73147">
        <w:t xml:space="preserve"> for Biotechnology Information. Available at: https://www.ncbi.nlm.nih.gov/books/NBK513253/.</w:t>
      </w:r>
    </w:p>
    <w:p w14:paraId="29E8B59E" w14:textId="77777777" w:rsidR="00A73147" w:rsidRPr="00A73147" w:rsidRDefault="00A73147" w:rsidP="00A73147">
      <w:r w:rsidRPr="00A73147">
        <w:t xml:space="preserve">Goyal, S., Rani, J., Bhat, M.A. and Vanita, V. (2023). Genetics of diabetes. </w:t>
      </w:r>
      <w:r w:rsidRPr="00A73147">
        <w:rPr>
          <w:i/>
          <w:iCs/>
        </w:rPr>
        <w:t>World Journal of Diabetes</w:t>
      </w:r>
      <w:r w:rsidRPr="00A73147">
        <w:t xml:space="preserve">, 14(6), pp.656–679. </w:t>
      </w:r>
      <w:proofErr w:type="spellStart"/>
      <w:r w:rsidRPr="00A73147">
        <w:t>doi:https</w:t>
      </w:r>
      <w:proofErr w:type="spellEnd"/>
      <w:r w:rsidRPr="00A73147">
        <w:t>://doi.org/10.4239/wjd.v14.i6.656.</w:t>
      </w:r>
    </w:p>
    <w:p w14:paraId="5F8C3C2C" w14:textId="77777777" w:rsidR="00A73147" w:rsidRPr="00A73147" w:rsidRDefault="00A73147" w:rsidP="00A73147">
      <w:proofErr w:type="spellStart"/>
      <w:r w:rsidRPr="00A73147">
        <w:t>Khatirnamani</w:t>
      </w:r>
      <w:proofErr w:type="spellEnd"/>
      <w:r w:rsidRPr="00A73147">
        <w:t xml:space="preserve">, Z., Bakhshi, E., </w:t>
      </w:r>
      <w:proofErr w:type="spellStart"/>
      <w:r w:rsidRPr="00A73147">
        <w:t>Naghipour</w:t>
      </w:r>
      <w:proofErr w:type="spellEnd"/>
      <w:r w:rsidRPr="00A73147">
        <w:t xml:space="preserve">, A., </w:t>
      </w:r>
      <w:proofErr w:type="spellStart"/>
      <w:r w:rsidRPr="00A73147">
        <w:t>Teymouri</w:t>
      </w:r>
      <w:proofErr w:type="spellEnd"/>
      <w:r w:rsidRPr="00A73147">
        <w:t xml:space="preserve">, R. and Hosseinzadeh, S. (2020). Longitudinal Trend of Fasting Blood Glucose and Related Factors in Patients with Type 2 Diabetes. </w:t>
      </w:r>
      <w:r w:rsidRPr="00A73147">
        <w:rPr>
          <w:i/>
          <w:iCs/>
        </w:rPr>
        <w:t>International Journal of Preventive Medicine</w:t>
      </w:r>
      <w:r w:rsidRPr="00A73147">
        <w:t xml:space="preserve">, [online] 11. </w:t>
      </w:r>
      <w:proofErr w:type="spellStart"/>
      <w:r w:rsidRPr="00A73147">
        <w:t>doi:https</w:t>
      </w:r>
      <w:proofErr w:type="spellEnd"/>
      <w:r w:rsidRPr="00A73147">
        <w:t>://doi.org/10.4103/ijpvm.IJPVM_195_18.</w:t>
      </w:r>
    </w:p>
    <w:p w14:paraId="21ED52A8" w14:textId="77777777" w:rsidR="00A73147" w:rsidRPr="00A73147" w:rsidRDefault="00A73147" w:rsidP="00A73147">
      <w:r w:rsidRPr="00A73147">
        <w:t xml:space="preserve">Lee, I., Kang, M., Choi, J.H., Lim, H. and Chon, S. (2025). Clinically Practical and Affordable Lifestyle Modification to Prevent Diabetes Mellitus in Real Practice. </w:t>
      </w:r>
      <w:r w:rsidRPr="00A73147">
        <w:rPr>
          <w:i/>
          <w:iCs/>
        </w:rPr>
        <w:t>Diabetes &amp; Metabolism Journal</w:t>
      </w:r>
      <w:r w:rsidRPr="00A73147">
        <w:t xml:space="preserve">, [online] 49(5), pp.951–963. </w:t>
      </w:r>
      <w:proofErr w:type="spellStart"/>
      <w:r w:rsidRPr="00A73147">
        <w:t>doi:https</w:t>
      </w:r>
      <w:proofErr w:type="spellEnd"/>
      <w:r w:rsidRPr="00A73147">
        <w:t>://doi.org/10.4093/dmj.2025.0675.</w:t>
      </w:r>
    </w:p>
    <w:p w14:paraId="2888B560" w14:textId="77777777" w:rsidR="00A73147" w:rsidRPr="00A73147" w:rsidRDefault="00A73147" w:rsidP="00A73147">
      <w:r w:rsidRPr="00A73147">
        <w:t xml:space="preserve">Mathew, T.K., Tadi, P. and Zubair, M. (2023). </w:t>
      </w:r>
      <w:r w:rsidRPr="00A73147">
        <w:rPr>
          <w:i/>
          <w:iCs/>
        </w:rPr>
        <w:t>Blood Glucose Monitoring</w:t>
      </w:r>
      <w:r w:rsidRPr="00A73147">
        <w:t>. [online] National Library of Medicine. Available at: https://www.ncbi.nlm.nih.gov/books/NBK555976/.</w:t>
      </w:r>
    </w:p>
    <w:p w14:paraId="1FA2DC26" w14:textId="77777777" w:rsidR="00A73147" w:rsidRPr="00A73147" w:rsidRDefault="00A73147" w:rsidP="00A73147">
      <w:proofErr w:type="spellStart"/>
      <w:r w:rsidRPr="00A73147">
        <w:t>Nakrani</w:t>
      </w:r>
      <w:proofErr w:type="spellEnd"/>
      <w:r w:rsidRPr="00A73147">
        <w:t xml:space="preserve">, M.N., Wineland, R.H. and Anjum, F. (2023). </w:t>
      </w:r>
      <w:r w:rsidRPr="00A73147">
        <w:rPr>
          <w:i/>
          <w:iCs/>
        </w:rPr>
        <w:t>Physiology, Glucose Metabolism</w:t>
      </w:r>
      <w:r w:rsidRPr="00A73147">
        <w:t>. [online] PubMed. Available at: https://www.ncbi.nlm.nih.gov/books/NBK560599/.</w:t>
      </w:r>
    </w:p>
    <w:p w14:paraId="45E46117" w14:textId="77777777" w:rsidR="00A73147" w:rsidRPr="00A73147" w:rsidRDefault="00A73147" w:rsidP="00A73147">
      <w:r w:rsidRPr="00A73147">
        <w:lastRenderedPageBreak/>
        <w:t xml:space="preserve">Natale, P., Ni, J.Y., Martinez-Martin, D., Kelly, A., Chow, C.K., </w:t>
      </w:r>
      <w:proofErr w:type="spellStart"/>
      <w:r w:rsidRPr="00A73147">
        <w:t>Thiagalingam</w:t>
      </w:r>
      <w:proofErr w:type="spellEnd"/>
      <w:r w:rsidRPr="00A73147">
        <w:t xml:space="preserve">, A., Caillaud, C., Eggleton, B., Scholes-Robertson, N., Craig, J.C., Strippoli, G.F.M. and Jaure, A. (2023). Perspectives and Experiences of Self-monitoring of Blood Pressure Among Patients With Hypertension: A Systematic Review of Qualitative Studies. </w:t>
      </w:r>
      <w:r w:rsidRPr="00A73147">
        <w:rPr>
          <w:i/>
          <w:iCs/>
        </w:rPr>
        <w:t>American Journal of Hypertension</w:t>
      </w:r>
      <w:r w:rsidRPr="00A73147">
        <w:t xml:space="preserve">, 36(7). </w:t>
      </w:r>
      <w:proofErr w:type="spellStart"/>
      <w:r w:rsidRPr="00A73147">
        <w:t>doi:https</w:t>
      </w:r>
      <w:proofErr w:type="spellEnd"/>
      <w:r w:rsidRPr="00A73147">
        <w:t>://doi.org/10.1093/</w:t>
      </w:r>
      <w:proofErr w:type="spellStart"/>
      <w:r w:rsidRPr="00A73147">
        <w:t>ajh</w:t>
      </w:r>
      <w:proofErr w:type="spellEnd"/>
      <w:r w:rsidRPr="00A73147">
        <w:t>/hpad021.</w:t>
      </w:r>
    </w:p>
    <w:p w14:paraId="656D8D8A" w14:textId="77777777" w:rsidR="00A73147" w:rsidRPr="00A73147" w:rsidRDefault="00A73147" w:rsidP="00A73147">
      <w:r w:rsidRPr="00A73147">
        <w:t xml:space="preserve">NICE (2025). </w:t>
      </w:r>
      <w:r w:rsidRPr="00A73147">
        <w:rPr>
          <w:i/>
          <w:iCs/>
        </w:rPr>
        <w:t>Overweight and Obesity Management NICE Guideline</w:t>
      </w:r>
      <w:r w:rsidRPr="00A73147">
        <w:t>. [online] Available at: https://www.nice.org.uk/guidance/ng246/resources/overweight-and-obesity-management-pdf-66143959958725.</w:t>
      </w:r>
    </w:p>
    <w:p w14:paraId="36DBCD56" w14:textId="77777777" w:rsidR="00A73147" w:rsidRPr="00A73147" w:rsidRDefault="00A73147" w:rsidP="00A73147">
      <w:r w:rsidRPr="00A73147">
        <w:t xml:space="preserve">Rix, I., Nexøe-Larsen, C., Bergmann, N.C., Lund, A. and Knop, F.K. (2019). </w:t>
      </w:r>
      <w:r w:rsidRPr="00A73147">
        <w:rPr>
          <w:i/>
          <w:iCs/>
        </w:rPr>
        <w:t>Glucagon Physiology</w:t>
      </w:r>
      <w:r w:rsidRPr="00A73147">
        <w:t>. [online] National Library of Medicine. Available at: https://www.ncbi.nlm.nih.gov/books/NBK279127/.</w:t>
      </w:r>
    </w:p>
    <w:p w14:paraId="29612CCB" w14:textId="77777777" w:rsidR="00A73147" w:rsidRPr="00A73147" w:rsidRDefault="00A73147" w:rsidP="00A73147">
      <w:r w:rsidRPr="00A73147">
        <w:t xml:space="preserve">Röder, P.V., Wu, B., Liu, Y. and Han, W. (2016). Pancreatic Regulation of Glucose Homeostasis. </w:t>
      </w:r>
      <w:r w:rsidRPr="00A73147">
        <w:rPr>
          <w:i/>
          <w:iCs/>
        </w:rPr>
        <w:t>Experimental &amp; Molecular Medicine</w:t>
      </w:r>
      <w:r w:rsidRPr="00A73147">
        <w:t xml:space="preserve">, [online] 48(3), pp.1–19. </w:t>
      </w:r>
      <w:proofErr w:type="spellStart"/>
      <w:r w:rsidRPr="00A73147">
        <w:t>doi:https</w:t>
      </w:r>
      <w:proofErr w:type="spellEnd"/>
      <w:r w:rsidRPr="00A73147">
        <w:t>://doi.org/10.1038/emm.2016.6.</w:t>
      </w:r>
    </w:p>
    <w:p w14:paraId="10002557" w14:textId="77777777" w:rsidR="00A73147" w:rsidRPr="00A73147" w:rsidRDefault="00A73147" w:rsidP="00A73147">
      <w:r w:rsidRPr="00A73147">
        <w:t xml:space="preserve">Vargas, E., Podder, V. and Carrillo Sepulveda, M.A. (2022). </w:t>
      </w:r>
      <w:r w:rsidRPr="00A73147">
        <w:rPr>
          <w:i/>
          <w:iCs/>
        </w:rPr>
        <w:t>Physiology, glucose transporter type 4 (GLUT4)</w:t>
      </w:r>
      <w:r w:rsidRPr="00A73147">
        <w:t>. [online] PubMed. Available at: https://www.ncbi.nlm.nih.gov/books/NBK537322/.</w:t>
      </w:r>
    </w:p>
    <w:p w14:paraId="70A539EB" w14:textId="77777777" w:rsidR="00A73147" w:rsidRPr="00A73147" w:rsidRDefault="00A73147" w:rsidP="00A73147">
      <w:r w:rsidRPr="00A73147">
        <w:t xml:space="preserve">Vlachos, D., </w:t>
      </w:r>
      <w:proofErr w:type="spellStart"/>
      <w:r w:rsidRPr="00A73147">
        <w:t>Malisova</w:t>
      </w:r>
      <w:proofErr w:type="spellEnd"/>
      <w:r w:rsidRPr="00A73147">
        <w:t xml:space="preserve">, S., Lindberg, F.A. and </w:t>
      </w:r>
      <w:proofErr w:type="spellStart"/>
      <w:r w:rsidRPr="00A73147">
        <w:t>Karaniki</w:t>
      </w:r>
      <w:proofErr w:type="spellEnd"/>
      <w:r w:rsidRPr="00A73147">
        <w:t xml:space="preserve">, G. (2020). </w:t>
      </w:r>
      <w:proofErr w:type="spellStart"/>
      <w:r w:rsidRPr="00A73147">
        <w:t>Glycemic</w:t>
      </w:r>
      <w:proofErr w:type="spellEnd"/>
      <w:r w:rsidRPr="00A73147">
        <w:t xml:space="preserve"> Index (GI) or </w:t>
      </w:r>
      <w:proofErr w:type="spellStart"/>
      <w:r w:rsidRPr="00A73147">
        <w:t>Glycemic</w:t>
      </w:r>
      <w:proofErr w:type="spellEnd"/>
      <w:r w:rsidRPr="00A73147">
        <w:t xml:space="preserve"> Load (GL) and Dietary Interventions for Optimizing Postprandial </w:t>
      </w:r>
      <w:proofErr w:type="spellStart"/>
      <w:r w:rsidRPr="00A73147">
        <w:t>Hyperglycemia</w:t>
      </w:r>
      <w:proofErr w:type="spellEnd"/>
      <w:r w:rsidRPr="00A73147">
        <w:t xml:space="preserve"> in Patients with T2 Diabetes: A Review. </w:t>
      </w:r>
      <w:r w:rsidRPr="00A73147">
        <w:rPr>
          <w:i/>
          <w:iCs/>
        </w:rPr>
        <w:t>Nutrients</w:t>
      </w:r>
      <w:r w:rsidRPr="00A73147">
        <w:t xml:space="preserve">, 12(6), p.1561. </w:t>
      </w:r>
      <w:proofErr w:type="spellStart"/>
      <w:r w:rsidRPr="00A73147">
        <w:t>doi:https</w:t>
      </w:r>
      <w:proofErr w:type="spellEnd"/>
      <w:r w:rsidRPr="00A73147">
        <w:t>://doi.org/10.3390/nu12061561.</w:t>
      </w:r>
    </w:p>
    <w:p w14:paraId="0DABD8DF" w14:textId="77777777" w:rsidR="00A73147" w:rsidRPr="00A73147" w:rsidRDefault="00A73147" w:rsidP="00A73147">
      <w:r w:rsidRPr="00A73147">
        <w:t xml:space="preserve">Yashi, K. and Daley, S.F. (2023). </w:t>
      </w:r>
      <w:r w:rsidRPr="00A73147">
        <w:rPr>
          <w:i/>
          <w:iCs/>
        </w:rPr>
        <w:t>Obesity and type 2 diabetes</w:t>
      </w:r>
      <w:r w:rsidRPr="00A73147">
        <w:t>. [online] PubMed. Available at: https://www.ncbi.nlm.nih.gov/books/NBK592412/.</w:t>
      </w:r>
    </w:p>
    <w:p w14:paraId="18E3D6C8" w14:textId="77777777" w:rsidR="00F24EC5" w:rsidRDefault="00F24EC5"/>
    <w:sectPr w:rsidR="00F24EC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D6DA92" w14:textId="77777777" w:rsidR="00AF24F1" w:rsidRDefault="00AF24F1" w:rsidP="00A73147">
      <w:pPr>
        <w:spacing w:after="0" w:line="240" w:lineRule="auto"/>
      </w:pPr>
      <w:r>
        <w:separator/>
      </w:r>
    </w:p>
  </w:endnote>
  <w:endnote w:type="continuationSeparator" w:id="0">
    <w:p w14:paraId="731A7E50" w14:textId="77777777" w:rsidR="00AF24F1" w:rsidRDefault="00AF24F1" w:rsidP="00A731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8592575"/>
      <w:docPartObj>
        <w:docPartGallery w:val="Page Numbers (Bottom of Page)"/>
        <w:docPartUnique/>
      </w:docPartObj>
    </w:sdtPr>
    <w:sdtContent>
      <w:p w14:paraId="17A51169" w14:textId="4B568335" w:rsidR="00A73147" w:rsidRDefault="00A73147">
        <w:pPr>
          <w:pStyle w:val="Footer"/>
          <w:jc w:val="right"/>
        </w:pPr>
        <w:r>
          <w:fldChar w:fldCharType="begin"/>
        </w:r>
        <w:r>
          <w:instrText>PAGE   \* MERGEFORMAT</w:instrText>
        </w:r>
        <w:r>
          <w:fldChar w:fldCharType="separate"/>
        </w:r>
        <w:r>
          <w:t>2</w:t>
        </w:r>
        <w:r>
          <w:fldChar w:fldCharType="end"/>
        </w:r>
      </w:p>
    </w:sdtContent>
  </w:sdt>
  <w:p w14:paraId="263C102A" w14:textId="77777777" w:rsidR="00A73147" w:rsidRDefault="00A731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FBB27" w14:textId="77777777" w:rsidR="00AF24F1" w:rsidRDefault="00AF24F1" w:rsidP="00A73147">
      <w:pPr>
        <w:spacing w:after="0" w:line="240" w:lineRule="auto"/>
      </w:pPr>
      <w:r>
        <w:separator/>
      </w:r>
    </w:p>
  </w:footnote>
  <w:footnote w:type="continuationSeparator" w:id="0">
    <w:p w14:paraId="2292C70B" w14:textId="77777777" w:rsidR="00AF24F1" w:rsidRDefault="00AF24F1" w:rsidP="00A731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147"/>
    <w:rsid w:val="001355B4"/>
    <w:rsid w:val="004F4794"/>
    <w:rsid w:val="007F6237"/>
    <w:rsid w:val="00A63CD0"/>
    <w:rsid w:val="00A73147"/>
    <w:rsid w:val="00AB4192"/>
    <w:rsid w:val="00AF24F1"/>
    <w:rsid w:val="00C06D30"/>
    <w:rsid w:val="00D3044D"/>
    <w:rsid w:val="00D534F7"/>
    <w:rsid w:val="00F24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89458"/>
  <w15:chartTrackingRefBased/>
  <w15:docId w15:val="{69A866E0-A45A-40AC-9A40-3DFB68CD4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1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31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31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31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31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31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31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31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31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1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31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31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31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31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31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31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31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3147"/>
    <w:rPr>
      <w:rFonts w:eastAsiaTheme="majorEastAsia" w:cstheme="majorBidi"/>
      <w:color w:val="272727" w:themeColor="text1" w:themeTint="D8"/>
    </w:rPr>
  </w:style>
  <w:style w:type="paragraph" w:styleId="Title">
    <w:name w:val="Title"/>
    <w:basedOn w:val="Normal"/>
    <w:next w:val="Normal"/>
    <w:link w:val="TitleChar"/>
    <w:uiPriority w:val="10"/>
    <w:qFormat/>
    <w:rsid w:val="00A731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1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1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31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3147"/>
    <w:pPr>
      <w:spacing w:before="160"/>
      <w:jc w:val="center"/>
    </w:pPr>
    <w:rPr>
      <w:i/>
      <w:iCs/>
      <w:color w:val="404040" w:themeColor="text1" w:themeTint="BF"/>
    </w:rPr>
  </w:style>
  <w:style w:type="character" w:customStyle="1" w:styleId="QuoteChar">
    <w:name w:val="Quote Char"/>
    <w:basedOn w:val="DefaultParagraphFont"/>
    <w:link w:val="Quote"/>
    <w:uiPriority w:val="29"/>
    <w:rsid w:val="00A73147"/>
    <w:rPr>
      <w:i/>
      <w:iCs/>
      <w:color w:val="404040" w:themeColor="text1" w:themeTint="BF"/>
    </w:rPr>
  </w:style>
  <w:style w:type="paragraph" w:styleId="ListParagraph">
    <w:name w:val="List Paragraph"/>
    <w:basedOn w:val="Normal"/>
    <w:uiPriority w:val="34"/>
    <w:qFormat/>
    <w:rsid w:val="00A73147"/>
    <w:pPr>
      <w:ind w:left="720"/>
      <w:contextualSpacing/>
    </w:pPr>
  </w:style>
  <w:style w:type="character" w:styleId="IntenseEmphasis">
    <w:name w:val="Intense Emphasis"/>
    <w:basedOn w:val="DefaultParagraphFont"/>
    <w:uiPriority w:val="21"/>
    <w:qFormat/>
    <w:rsid w:val="00A73147"/>
    <w:rPr>
      <w:i/>
      <w:iCs/>
      <w:color w:val="0F4761" w:themeColor="accent1" w:themeShade="BF"/>
    </w:rPr>
  </w:style>
  <w:style w:type="paragraph" w:styleId="IntenseQuote">
    <w:name w:val="Intense Quote"/>
    <w:basedOn w:val="Normal"/>
    <w:next w:val="Normal"/>
    <w:link w:val="IntenseQuoteChar"/>
    <w:uiPriority w:val="30"/>
    <w:qFormat/>
    <w:rsid w:val="00A731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3147"/>
    <w:rPr>
      <w:i/>
      <w:iCs/>
      <w:color w:val="0F4761" w:themeColor="accent1" w:themeShade="BF"/>
    </w:rPr>
  </w:style>
  <w:style w:type="character" w:styleId="IntenseReference">
    <w:name w:val="Intense Reference"/>
    <w:basedOn w:val="DefaultParagraphFont"/>
    <w:uiPriority w:val="32"/>
    <w:qFormat/>
    <w:rsid w:val="00A73147"/>
    <w:rPr>
      <w:b/>
      <w:bCs/>
      <w:smallCaps/>
      <w:color w:val="0F4761" w:themeColor="accent1" w:themeShade="BF"/>
      <w:spacing w:val="5"/>
    </w:rPr>
  </w:style>
  <w:style w:type="character" w:styleId="Hyperlink">
    <w:name w:val="Hyperlink"/>
    <w:basedOn w:val="DefaultParagraphFont"/>
    <w:uiPriority w:val="99"/>
    <w:unhideWhenUsed/>
    <w:rsid w:val="00A73147"/>
    <w:rPr>
      <w:color w:val="467886" w:themeColor="hyperlink"/>
      <w:u w:val="single"/>
    </w:rPr>
  </w:style>
  <w:style w:type="character" w:styleId="UnresolvedMention">
    <w:name w:val="Unresolved Mention"/>
    <w:basedOn w:val="DefaultParagraphFont"/>
    <w:uiPriority w:val="99"/>
    <w:semiHidden/>
    <w:unhideWhenUsed/>
    <w:rsid w:val="00A73147"/>
    <w:rPr>
      <w:color w:val="605E5C"/>
      <w:shd w:val="clear" w:color="auto" w:fill="E1DFDD"/>
    </w:rPr>
  </w:style>
  <w:style w:type="paragraph" w:styleId="Header">
    <w:name w:val="header"/>
    <w:basedOn w:val="Normal"/>
    <w:link w:val="HeaderChar"/>
    <w:uiPriority w:val="99"/>
    <w:unhideWhenUsed/>
    <w:rsid w:val="00A731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147"/>
  </w:style>
  <w:style w:type="paragraph" w:styleId="Footer">
    <w:name w:val="footer"/>
    <w:basedOn w:val="Normal"/>
    <w:link w:val="FooterChar"/>
    <w:uiPriority w:val="99"/>
    <w:unhideWhenUsed/>
    <w:rsid w:val="00A731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1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Ghaza\AppData\Local\Packages\5319275A.WhatsAppDesktop_cv1g1gvanyjgm\LocalState\sessions\726DFC1B058C1519E356FF4F3799E9ACFD0F7AD8\transfers\2026-08\BMHP5023%20Written.docx"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file:///C:\Users\Ghaza\AppData\Local\Packages\5319275A.WhatsAppDesktop_cv1g1gvanyjgm\LocalState\sessions\726DFC1B058C1519E356FF4F3799E9ACFD0F7AD8\transfers\2026-08\BMHP5023%20Written.doc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Ghaza\AppData\Local\Packages\5319275A.WhatsAppDesktop_cv1g1gvanyjgm\LocalState\sessions\726DFC1B058C1519E356FF4F3799E9ACFD0F7AD8\transfers\2026-08\BMHP5023%20Written.docx"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file:///C:\Users\Ghaza\AppData\Local\Packages\5319275A.WhatsAppDesktop_cv1g1gvanyjgm\LocalState\sessions\726DFC1B058C1519E356FF4F3799E9ACFD0F7AD8\transfers\2026-08\BMHP5023%20Written.docx"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file:///C:\Users\Ghaza\AppData\Local\Packages\5319275A.WhatsAppDesktop_cv1g1gvanyjgm\LocalState\sessions\726DFC1B058C1519E356FF4F3799E9ACFD0F7AD8\transfers\2026-08\BMHP5023%20Written.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99151771e178ab7487ae140bfcd68e79">
  <xsd:schema xmlns:xsd="http://www.w3.org/2001/XMLSchema" xmlns:xs="http://www.w3.org/2001/XMLSchema" xmlns:p="http://schemas.microsoft.com/office/2006/metadata/properties" xmlns:ns3="ccfc14db-0f45-423b-b2f5-752f8f8a0ada" targetNamespace="http://schemas.microsoft.com/office/2006/metadata/properties" ma:root="true" ma:fieldsID="81a41490006016e8b231cfa7ed3be450"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71E45C3-7109-45A6-890A-81E4DA534C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88F166-20BD-49FE-A48A-84D321A86B0F}">
  <ds:schemaRefs>
    <ds:schemaRef ds:uri="http://schemas.openxmlformats.org/officeDocument/2006/bibliography"/>
  </ds:schemaRefs>
</ds:datastoreItem>
</file>

<file path=customXml/itemProps3.xml><?xml version="1.0" encoding="utf-8"?>
<ds:datastoreItem xmlns:ds="http://schemas.openxmlformats.org/officeDocument/2006/customXml" ds:itemID="{89A4397C-9DC4-4A60-80D0-B066B69E8B49}">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0DC9D2C0-35C9-4569-8201-59D1017489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8</Pages>
  <Words>2891</Words>
  <Characters>16485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Ghazala Hussain (2408113)</dc:creator>
  <cp:keywords/>
  <dc:description/>
  <cp:lastModifiedBy>Ghazala Hussain (2408113)</cp:lastModifiedBy>
  <cp:revision>4</cp:revision>
  <dcterms:created xsi:type="dcterms:W3CDTF">2026-02-22T16:06:00Z</dcterms:created>
  <dcterms:modified xsi:type="dcterms:W3CDTF">2026-02-22T16:41:00Z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