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963D48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A6EF7" w:rsidRPr="00C81741">
              <w:rPr>
                <w:rFonts w:asciiTheme="minorHAnsi" w:hAnsiTheme="minorHAnsi" w:cstheme="minorHAnsi"/>
                <w:bCs/>
                <w:color w:val="auto"/>
                <w:sz w:val="28"/>
                <w:szCs w:val="28"/>
              </w:rPr>
              <w:t>Hannah Burgoyne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6F3EF92C" w14:textId="77777777" w:rsidR="00681822" w:rsidRPr="00DD758F" w:rsidRDefault="00681822" w:rsidP="00681822">
            <w:pPr>
              <w:overflowPunct/>
              <w:autoSpaceDE/>
              <w:autoSpaceDN/>
              <w:adjustRightInd/>
              <w:ind w:right="-957"/>
              <w:textAlignment w:val="auto"/>
              <w:rPr>
                <w:rFonts w:ascii="Times New Roman" w:hAnsi="Times New Roman" w:cs="Times New Roman"/>
                <w:bCs/>
                <w:color w:val="auto"/>
                <w:sz w:val="28"/>
                <w:szCs w:val="28"/>
              </w:rPr>
            </w:pPr>
            <w:r w:rsidRPr="00DD758F">
              <w:rPr>
                <w:rFonts w:ascii="Times New Roman" w:hAnsi="Times New Roman" w:cs="Times New Roman"/>
                <w:bCs/>
                <w:color w:val="auto"/>
                <w:sz w:val="28"/>
                <w:szCs w:val="28"/>
              </w:rPr>
              <w:t xml:space="preserve">hannburgoyne123@outlook.com </w:t>
            </w:r>
          </w:p>
          <w:p w14:paraId="59500E3C" w14:textId="0FEB35D6" w:rsidR="00681822" w:rsidRPr="00681822" w:rsidRDefault="00681822" w:rsidP="005D3F07">
            <w:pPr>
              <w:overflowPunct/>
              <w:autoSpaceDE/>
              <w:autoSpaceDN/>
              <w:adjustRightInd/>
              <w:ind w:right="-957"/>
              <w:textAlignment w:val="auto"/>
              <w:rPr>
                <w:rFonts w:ascii="Times New Roman" w:hAnsi="Times New Roman" w:cs="Times New Roman"/>
                <w:bCs/>
                <w:color w:val="auto"/>
                <w:sz w:val="28"/>
                <w:szCs w:val="28"/>
              </w:rPr>
            </w:pPr>
            <w:r w:rsidRPr="00DD758F">
              <w:rPr>
                <w:rFonts w:ascii="Times New Roman" w:hAnsi="Times New Roman" w:cs="Times New Roman"/>
                <w:bCs/>
                <w:color w:val="auto"/>
                <w:sz w:val="28"/>
                <w:szCs w:val="28"/>
              </w:rPr>
              <w:t xml:space="preserve">&amp; </w:t>
            </w:r>
            <w:hyperlink r:id="rId11" w:history="1">
              <w:r w:rsidRPr="00DD758F">
                <w:rPr>
                  <w:rStyle w:val="Hyperlink"/>
                  <w:rFonts w:ascii="Times New Roman" w:hAnsi="Times New Roman" w:cs="Times New Roman"/>
                  <w:bCs/>
                  <w:sz w:val="28"/>
                  <w:szCs w:val="28"/>
                </w:rPr>
                <w:t>hannah.burgoyne@firstaffinityfostering.co.uk</w:t>
              </w:r>
            </w:hyperlink>
            <w:r w:rsidRPr="00DD758F">
              <w:rPr>
                <w:rFonts w:ascii="Times New Roman" w:hAnsi="Times New Roman" w:cs="Times New Roman"/>
                <w:bCs/>
                <w:color w:val="auto"/>
                <w:sz w:val="28"/>
                <w:szCs w:val="2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8D6AFDF" w14:textId="77777777" w:rsidR="0026275F" w:rsidRPr="003D7F86" w:rsidRDefault="0026275F" w:rsidP="0026275F">
            <w:pPr>
              <w:overflowPunct/>
              <w:autoSpaceDE/>
              <w:autoSpaceDN/>
              <w:adjustRightInd/>
              <w:textAlignment w:val="auto"/>
              <w:rPr>
                <w:rFonts w:asciiTheme="minorHAnsi" w:hAnsiTheme="minorHAnsi" w:cstheme="minorHAnsi"/>
                <w:color w:val="auto"/>
                <w:sz w:val="28"/>
                <w:szCs w:val="28"/>
              </w:rPr>
            </w:pPr>
            <w:r w:rsidRPr="003D7F86">
              <w:rPr>
                <w:rFonts w:asciiTheme="minorHAnsi" w:hAnsiTheme="minorHAnsi" w:cstheme="minorHAnsi"/>
                <w:sz w:val="28"/>
                <w:szCs w:val="28"/>
              </w:rPr>
              <w:t>2522535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CE8E526"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A6425F" w:rsidRPr="00C34FBF">
              <w:rPr>
                <w:rFonts w:ascii="Times New Roman" w:hAnsi="Times New Roman" w:cs="Times New Roman"/>
                <w:bCs/>
                <w:color w:val="auto"/>
                <w:sz w:val="28"/>
                <w:szCs w:val="28"/>
              </w:rPr>
              <w:t>26</w:t>
            </w:r>
          </w:p>
        </w:tc>
      </w:tr>
    </w:tbl>
    <w:p w14:paraId="70797153" w14:textId="1D2CA619" w:rsidR="007F312E" w:rsidRDefault="008420E1" w:rsidP="00C4044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C58C075" w14:textId="79F13742" w:rsidR="00C40446" w:rsidRPr="00C40446" w:rsidRDefault="00C40446" w:rsidP="00C40446">
      <w:pPr>
        <w:overflowPunct/>
        <w:autoSpaceDE/>
        <w:autoSpaceDN/>
        <w:adjustRightInd/>
        <w:ind w:right="-957"/>
        <w:textAlignment w:val="auto"/>
        <w:rPr>
          <w:rFonts w:ascii="Times New Roman" w:hAnsi="Times New Roman" w:cs="Times New Roman"/>
          <w:b/>
          <w:color w:val="auto"/>
          <w:sz w:val="4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E4710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E4710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E4710B">
            <w:pPr>
              <w:jc w:val="both"/>
              <w:rPr>
                <w:sz w:val="24"/>
                <w:szCs w:val="24"/>
              </w:rPr>
            </w:pPr>
          </w:p>
          <w:p w14:paraId="4FF8EBF3" w14:textId="77777777" w:rsidR="005A545C" w:rsidRDefault="005414F4" w:rsidP="00E4710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2B7098A8" w14:textId="77777777" w:rsidR="0047474E" w:rsidRDefault="0047474E" w:rsidP="00E4710B">
            <w:pPr>
              <w:jc w:val="both"/>
              <w:rPr>
                <w:sz w:val="24"/>
                <w:szCs w:val="24"/>
              </w:rPr>
            </w:pPr>
          </w:p>
          <w:p w14:paraId="5A522F9F" w14:textId="77777777" w:rsidR="00AB0EC6" w:rsidRPr="00656CF4" w:rsidRDefault="00AB0EC6" w:rsidP="00E4710B">
            <w:pPr>
              <w:pStyle w:val="NormalWeb"/>
              <w:jc w:val="both"/>
              <w:rPr>
                <w:rFonts w:asciiTheme="minorHAnsi" w:hAnsiTheme="minorHAnsi" w:cstheme="minorHAnsi"/>
              </w:rPr>
            </w:pPr>
            <w:r w:rsidRPr="00656CF4">
              <w:rPr>
                <w:rFonts w:asciiTheme="minorHAnsi" w:hAnsiTheme="minorHAnsi" w:cstheme="minorHAnsi"/>
              </w:rPr>
              <w:t>Safeguarding is a key part of social work practice and is everyone's responsibility. It is about protecting people from abuse, neglect and exploitation whilst also promoting their rights, wellbeing and independence. As a Supervising Social Worker working mainly within fostering and children's services, completing this task has given me the opportunity to develop my understanding of safeguarding within adult services and the legislation, policies and procedures that underpin practice when concerns arise.</w:t>
            </w:r>
          </w:p>
          <w:p w14:paraId="1DF9D908" w14:textId="77777777" w:rsidR="00AB0EC6" w:rsidRPr="00656CF4" w:rsidRDefault="00AB0EC6" w:rsidP="00E4710B">
            <w:pPr>
              <w:spacing w:line="300" w:lineRule="atLeast"/>
              <w:jc w:val="both"/>
              <w:rPr>
                <w:rFonts w:asciiTheme="minorHAnsi" w:hAnsiTheme="minorHAnsi" w:cstheme="minorHAnsi"/>
                <w:sz w:val="24"/>
                <w:szCs w:val="24"/>
              </w:rPr>
            </w:pPr>
            <w:r w:rsidRPr="00656CF4">
              <w:rPr>
                <w:rFonts w:asciiTheme="minorHAnsi" w:hAnsiTheme="minorHAnsi" w:cstheme="minorHAnsi"/>
                <w:sz w:val="24"/>
                <w:szCs w:val="24"/>
              </w:rPr>
              <w:t>The main piece of legislation that guides safeguarding practice in Wales is the Social Services and Well-being (Wales) Act 2014, this Act places a duty on local authorities and partner agencies to work together to safeguard and promote the wellbeing of individuals who need care and support. Throughout this task, I have reflected on how the Social Services and Well-being (Wales) Act 2014 promotes a strengths-based and person-centred approach, ensuring that individuals are involved in decisions about their lives and encouraged to have voice, choice and control wherever possible, whilst also outlining responsibilities for reporting safeguarding concerns and emphasising the importance of multi-agency working to protect adults who may be at risk of abuse or neglect (Social Care Institute for Excellence, 2015).</w:t>
            </w:r>
          </w:p>
          <w:p w14:paraId="1507BB76" w14:textId="77777777" w:rsidR="00AB0EC6" w:rsidRPr="00656CF4" w:rsidRDefault="00AB0EC6" w:rsidP="00E4710B">
            <w:pPr>
              <w:pStyle w:val="NormalWeb"/>
              <w:jc w:val="both"/>
              <w:rPr>
                <w:rFonts w:asciiTheme="minorHAnsi" w:hAnsiTheme="minorHAnsi" w:cstheme="minorHAnsi"/>
              </w:rPr>
            </w:pPr>
            <w:r w:rsidRPr="00656CF4">
              <w:rPr>
                <w:rFonts w:asciiTheme="minorHAnsi" w:hAnsiTheme="minorHAnsi" w:cstheme="minorHAnsi"/>
              </w:rPr>
              <w:t>One area that I found particularly interesting when exploring safeguarding in adult services was the importance of assessing mental capacity. Within children's services, decisions are often made based on a child's welfare and best interests. However, when working with adults there is a greater emphasis on an individual's right to make their own decisions, even if others may not agree with them. The Mental Capacity Act (2005) provides a legal framework for assessing whether an individual has capacity to make a particular decision and guides professionals when capacity is lacking. Learning more about this legislation has helped me understand the balance that social workers must achieve between protecting individuals from harm whilst also respecting their rights and autonomy.</w:t>
            </w:r>
          </w:p>
          <w:p w14:paraId="64AF5024" w14:textId="77777777" w:rsidR="00AB0EC6" w:rsidRPr="00656CF4" w:rsidRDefault="00AB0EC6" w:rsidP="00E4710B">
            <w:pPr>
              <w:pStyle w:val="NormalWeb"/>
              <w:jc w:val="both"/>
              <w:rPr>
                <w:rFonts w:asciiTheme="minorHAnsi" w:hAnsiTheme="minorHAnsi" w:cstheme="minorHAnsi"/>
              </w:rPr>
            </w:pPr>
            <w:r w:rsidRPr="00656CF4">
              <w:rPr>
                <w:rFonts w:asciiTheme="minorHAnsi" w:hAnsiTheme="minorHAnsi" w:cstheme="minorHAnsi"/>
              </w:rPr>
              <w:lastRenderedPageBreak/>
              <w:t>Other important legislation includes the Human Rights Act 1998 and the Equality Act 2010. These Acts promote dignity, equality and non-discriminatory practice. As social workers, we have a responsibility to ensure that safeguarding interventions are proportionate and that individuals are treated fairly and with respect. This links closely with anti-oppressive practice and the values that underpin social work (Thompson, 2021).</w:t>
            </w:r>
          </w:p>
          <w:p w14:paraId="34A270B6" w14:textId="77777777" w:rsidR="00AB0EC6" w:rsidRPr="00656CF4" w:rsidRDefault="00AB0EC6" w:rsidP="00E4710B">
            <w:pPr>
              <w:pStyle w:val="NormalWeb"/>
              <w:jc w:val="both"/>
              <w:rPr>
                <w:rFonts w:asciiTheme="minorHAnsi" w:hAnsiTheme="minorHAnsi" w:cstheme="minorHAnsi"/>
              </w:rPr>
            </w:pPr>
            <w:r w:rsidRPr="00656CF4">
              <w:rPr>
                <w:rFonts w:asciiTheme="minorHAnsi" w:hAnsiTheme="minorHAnsi" w:cstheme="minorHAnsi"/>
              </w:rPr>
              <w:t>Alongside legislation, safeguarding practice is guided by national and local procedures. The Wales Safeguarding Procedures provide professionals with clear guidance on how to recognise, respond to and report safeguarding concerns (Wales Safeguarding Procedures, 2022). They help ensure that there is a consistent approach across agencies and support effective decision-making. At a local level, the North Wales Safeguarding Board (2026) plays an important role in coordinating safeguarding activity, promoting partnership working and sharing learning to improve practice.</w:t>
            </w:r>
          </w:p>
          <w:p w14:paraId="56CAC4B7" w14:textId="77777777" w:rsidR="00AB0EC6" w:rsidRPr="00656CF4" w:rsidRDefault="00AB0EC6" w:rsidP="00E4710B">
            <w:pPr>
              <w:pStyle w:val="NormalWeb"/>
              <w:jc w:val="both"/>
              <w:rPr>
                <w:rFonts w:asciiTheme="minorHAnsi" w:hAnsiTheme="minorHAnsi" w:cstheme="minorHAnsi"/>
              </w:rPr>
            </w:pPr>
            <w:r w:rsidRPr="00656CF4">
              <w:rPr>
                <w:rFonts w:asciiTheme="minorHAnsi" w:hAnsiTheme="minorHAnsi" w:cstheme="minorHAnsi"/>
              </w:rPr>
              <w:t>Overall, developing my understanding of safeguarding within adult services has broadened my knowledge beyond my usual area of practice. It has reinforced the importance of legislation, policies and procedures in guiding professional decision-making and highlighted the need to balance safeguarding responsibilities with an individual's rights, independence and choice. This learning has strengthened my confidence in recognising how safeguarding principles apply across all areas of social work practice.</w:t>
            </w:r>
          </w:p>
          <w:p w14:paraId="00AC475B" w14:textId="70C8F88B" w:rsidR="0047474E" w:rsidRPr="00AB0EC6" w:rsidRDefault="00AB0EC6" w:rsidP="00E4710B">
            <w:pPr>
              <w:pStyle w:val="NormalWeb"/>
              <w:jc w:val="both"/>
              <w:rPr>
                <w:rFonts w:asciiTheme="minorHAnsi" w:hAnsiTheme="minorHAnsi" w:cstheme="minorHAnsi"/>
              </w:rPr>
            </w:pPr>
            <w:r w:rsidRPr="00FD1B7C">
              <w:rPr>
                <w:rStyle w:val="Strong"/>
                <w:rFonts w:asciiTheme="minorHAnsi" w:hAnsiTheme="minorHAnsi" w:cstheme="minorHAnsi"/>
              </w:rPr>
              <w:t>Word Count: 5</w:t>
            </w:r>
            <w:r>
              <w:rPr>
                <w:rStyle w:val="Strong"/>
                <w:rFonts w:asciiTheme="minorHAnsi" w:hAnsiTheme="minorHAnsi" w:cstheme="minorHAnsi"/>
              </w:rPr>
              <w:t>32</w:t>
            </w:r>
          </w:p>
          <w:p w14:paraId="03BD6D93" w14:textId="56AD433A" w:rsidR="007A628F" w:rsidRPr="008B28E7" w:rsidRDefault="007A628F" w:rsidP="00E4710B">
            <w:pPr>
              <w:jc w:val="both"/>
              <w:rPr>
                <w:b/>
                <w:sz w:val="24"/>
                <w:szCs w:val="24"/>
              </w:rPr>
            </w:pPr>
          </w:p>
        </w:tc>
      </w:tr>
    </w:tbl>
    <w:p w14:paraId="37E9CF73" w14:textId="77777777" w:rsidR="00AA666E" w:rsidRPr="008B28E7" w:rsidRDefault="00AA666E" w:rsidP="00E4710B">
      <w:pPr>
        <w:jc w:val="both"/>
        <w:rPr>
          <w:sz w:val="24"/>
          <w:szCs w:val="24"/>
        </w:rPr>
      </w:pPr>
    </w:p>
    <w:p w14:paraId="1FC83FC7" w14:textId="77777777" w:rsidR="00AA666E" w:rsidRPr="008B28E7" w:rsidRDefault="00AA666E" w:rsidP="00E4710B">
      <w:pPr>
        <w:jc w:val="both"/>
        <w:rPr>
          <w:sz w:val="24"/>
          <w:szCs w:val="24"/>
        </w:rPr>
      </w:pPr>
    </w:p>
    <w:p w14:paraId="60437654" w14:textId="77777777" w:rsidR="00AA666E" w:rsidRDefault="00AA666E" w:rsidP="00E4710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E4710B">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E4710B">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E4710B">
            <w:pPr>
              <w:jc w:val="both"/>
              <w:rPr>
                <w:sz w:val="24"/>
                <w:szCs w:val="24"/>
              </w:rPr>
            </w:pPr>
          </w:p>
          <w:p w14:paraId="6BA3DD84" w14:textId="0013357A" w:rsidR="00FC0334" w:rsidRDefault="00FC0334" w:rsidP="00E4710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7DC9F3FE" w14:textId="77777777" w:rsidR="0047474E" w:rsidRDefault="0047474E" w:rsidP="00E4710B">
            <w:pPr>
              <w:jc w:val="both"/>
              <w:rPr>
                <w:i/>
                <w:sz w:val="24"/>
                <w:szCs w:val="24"/>
              </w:rPr>
            </w:pPr>
          </w:p>
          <w:p w14:paraId="273C1FB8" w14:textId="77777777" w:rsidR="00BE3B4D" w:rsidRPr="00BE3B4D" w:rsidRDefault="00BE3B4D" w:rsidP="00E4710B">
            <w:pPr>
              <w:spacing w:before="100" w:beforeAutospacing="1" w:after="100" w:afterAutospacing="1" w:line="300" w:lineRule="atLeast"/>
              <w:jc w:val="both"/>
              <w:rPr>
                <w:rFonts w:asciiTheme="minorHAnsi" w:hAnsiTheme="minorHAnsi" w:cstheme="minorHAnsi"/>
                <w:sz w:val="24"/>
                <w:szCs w:val="24"/>
              </w:rPr>
            </w:pPr>
            <w:r w:rsidRPr="00BE3B4D">
              <w:rPr>
                <w:rFonts w:asciiTheme="minorHAnsi" w:hAnsiTheme="minorHAnsi" w:cstheme="minorHAnsi"/>
                <w:sz w:val="24"/>
                <w:szCs w:val="24"/>
              </w:rPr>
              <w:t>As a Supervising Social Worker, my experience of safeguarding has primarily been within children's services and fostering. Through exploring safeguarding within adult services, I have developed a greater understanding of both the similarities and differences between safeguarding adults and safeguarding children, and how these influence social work practice.</w:t>
            </w:r>
          </w:p>
          <w:p w14:paraId="48999695" w14:textId="77777777" w:rsidR="00BE3B4D" w:rsidRPr="00BE3B4D" w:rsidRDefault="00BE3B4D" w:rsidP="00E4710B">
            <w:pPr>
              <w:spacing w:before="100" w:beforeAutospacing="1" w:after="100" w:afterAutospacing="1" w:line="300" w:lineRule="atLeast"/>
              <w:jc w:val="both"/>
              <w:rPr>
                <w:rFonts w:asciiTheme="minorHAnsi" w:hAnsiTheme="minorHAnsi" w:cstheme="minorHAnsi"/>
                <w:sz w:val="24"/>
                <w:szCs w:val="24"/>
              </w:rPr>
            </w:pPr>
            <w:r w:rsidRPr="00BE3B4D">
              <w:rPr>
                <w:rFonts w:asciiTheme="minorHAnsi" w:hAnsiTheme="minorHAnsi" w:cstheme="minorHAnsi"/>
                <w:sz w:val="24"/>
                <w:szCs w:val="24"/>
              </w:rPr>
              <w:t>One of the most significant differences is the emphasis placed on autonomy and self-determination in adult safeguarding. Within children's services, the welfare of the child is paramount, and social workers have a duty to intervene when there are concerns that a child may be experiencing or at risk of significant harm. Children are often reliant on adults to make decisions in their best interests, meaning professionals may need to take protective action regardless of the wishes of the child or their family.</w:t>
            </w:r>
          </w:p>
          <w:p w14:paraId="4732A992" w14:textId="77777777" w:rsidR="00BE3B4D" w:rsidRPr="00BE3B4D" w:rsidRDefault="00BE3B4D" w:rsidP="00E4710B">
            <w:pPr>
              <w:spacing w:before="100" w:beforeAutospacing="1" w:after="100" w:afterAutospacing="1" w:line="300" w:lineRule="atLeast"/>
              <w:jc w:val="both"/>
              <w:rPr>
                <w:rFonts w:asciiTheme="minorHAnsi" w:hAnsiTheme="minorHAnsi" w:cstheme="minorHAnsi"/>
                <w:sz w:val="24"/>
                <w:szCs w:val="24"/>
              </w:rPr>
            </w:pPr>
            <w:r w:rsidRPr="00BE3B4D">
              <w:rPr>
                <w:rFonts w:asciiTheme="minorHAnsi" w:hAnsiTheme="minorHAnsi" w:cstheme="minorHAnsi"/>
                <w:sz w:val="24"/>
                <w:szCs w:val="24"/>
              </w:rPr>
              <w:t xml:space="preserve">In contrast, adult safeguarding adopts a more person-centred approach that places significant importance on an individual's rights, wishes and choices. Through my learning, I developed a better </w:t>
            </w:r>
            <w:r w:rsidRPr="00BE3B4D">
              <w:rPr>
                <w:rFonts w:asciiTheme="minorHAnsi" w:hAnsiTheme="minorHAnsi" w:cstheme="minorHAnsi"/>
                <w:sz w:val="24"/>
                <w:szCs w:val="24"/>
              </w:rPr>
              <w:lastRenderedPageBreak/>
              <w:t>understanding of the role of the Mental Capacity Act (2005) and how capacity must be considered when responding to safeguarding concerns. I found it particularly interesting that adults who have capacity can choose to make decisions that professionals may consider unwise, provided they understand the consequences of their actions. This challenged some of my assumptions developed through working in children's services, where professional intervention is often necessary to ensure a child's safety.</w:t>
            </w:r>
          </w:p>
          <w:p w14:paraId="7DA01EE7" w14:textId="77777777" w:rsidR="00BE3B4D" w:rsidRPr="00BE3B4D" w:rsidRDefault="00BE3B4D" w:rsidP="00E4710B">
            <w:pPr>
              <w:spacing w:line="300" w:lineRule="atLeast"/>
              <w:jc w:val="both"/>
              <w:rPr>
                <w:rFonts w:asciiTheme="minorHAnsi" w:hAnsiTheme="minorHAnsi" w:cstheme="minorHAnsi"/>
                <w:color w:val="auto"/>
                <w:sz w:val="24"/>
                <w:szCs w:val="24"/>
              </w:rPr>
            </w:pPr>
            <w:r w:rsidRPr="00BE3B4D">
              <w:rPr>
                <w:rFonts w:asciiTheme="minorHAnsi" w:hAnsiTheme="minorHAnsi" w:cstheme="minorHAnsi"/>
                <w:color w:val="auto"/>
                <w:sz w:val="24"/>
                <w:szCs w:val="24"/>
              </w:rPr>
              <w:t>Despite these differences, I recognised that both adult and children's safeguarding share many common principles. Effective communication, professional curiosity, information sharing and multi-agency working are all essential in identifying and responding to safeguarding concerns. These principles help practitioners build a full picture of an individual's circumstances and ensure that risks are identified and managed appropriately through collaborative working across agencies (Department for Education, 2023).</w:t>
            </w:r>
          </w:p>
          <w:p w14:paraId="02CE6E18" w14:textId="77777777" w:rsidR="00BE3B4D" w:rsidRPr="00BE3B4D" w:rsidRDefault="00BE3B4D" w:rsidP="00E4710B">
            <w:pPr>
              <w:spacing w:before="100" w:beforeAutospacing="1" w:after="100" w:afterAutospacing="1" w:line="300" w:lineRule="atLeast"/>
              <w:jc w:val="both"/>
              <w:rPr>
                <w:rFonts w:asciiTheme="minorHAnsi" w:hAnsiTheme="minorHAnsi" w:cstheme="minorHAnsi"/>
                <w:color w:val="auto"/>
                <w:sz w:val="24"/>
                <w:szCs w:val="24"/>
              </w:rPr>
            </w:pPr>
            <w:r w:rsidRPr="00BE3B4D">
              <w:rPr>
                <w:rFonts w:asciiTheme="minorHAnsi" w:hAnsiTheme="minorHAnsi" w:cstheme="minorHAnsi"/>
                <w:color w:val="auto"/>
                <w:sz w:val="24"/>
                <w:szCs w:val="24"/>
              </w:rPr>
              <w:t>In both areas of practice, social workers have a responsibility to recognise signs of abuse or neglect, assess risk, and work collaboratively with others to promote wellbeing and safety (Welsh Government, 2014).</w:t>
            </w:r>
          </w:p>
          <w:p w14:paraId="44625108" w14:textId="77777777" w:rsidR="00BE3B4D" w:rsidRPr="00BE3B4D" w:rsidRDefault="00BE3B4D" w:rsidP="00E4710B">
            <w:pPr>
              <w:spacing w:before="100" w:beforeAutospacing="1" w:after="100" w:afterAutospacing="1" w:line="300" w:lineRule="atLeast"/>
              <w:jc w:val="both"/>
              <w:rPr>
                <w:rFonts w:asciiTheme="minorHAnsi" w:hAnsiTheme="minorHAnsi" w:cstheme="minorHAnsi"/>
                <w:sz w:val="24"/>
                <w:szCs w:val="24"/>
              </w:rPr>
            </w:pPr>
            <w:r w:rsidRPr="00BE3B4D">
              <w:rPr>
                <w:rFonts w:asciiTheme="minorHAnsi" w:hAnsiTheme="minorHAnsi" w:cstheme="minorHAnsi"/>
                <w:sz w:val="24"/>
                <w:szCs w:val="24"/>
              </w:rPr>
              <w:t>Reflecting on this learning has enhanced my understanding of rights-based practice and the balance between protection and empowerment. It has reinforced the importance of listening to the individual and understanding their lived experiences rather than focusing solely on the presenting concern. As a Supervising Social Worker, this learning has strengthened my overall safeguarding knowledge and encouraged me to consider how principles of choice, voice and control can be incorporated into my work with foster carers and children. Furthermore, it has highlighted the importance of ensuring that interventions are proportionate, person-centred and informed by legislation, policy and professional judgement.</w:t>
            </w:r>
          </w:p>
          <w:p w14:paraId="08760B3D" w14:textId="09CDC222" w:rsidR="00FC0334" w:rsidRPr="00BE3B4D" w:rsidRDefault="00BE3B4D" w:rsidP="00E4710B">
            <w:pPr>
              <w:spacing w:before="100" w:beforeAutospacing="1" w:after="100" w:afterAutospacing="1" w:line="300" w:lineRule="atLeast"/>
              <w:jc w:val="both"/>
              <w:rPr>
                <w:rFonts w:asciiTheme="minorHAnsi" w:hAnsiTheme="minorHAnsi" w:cstheme="minorHAnsi"/>
                <w:b/>
                <w:bCs/>
                <w:sz w:val="24"/>
                <w:szCs w:val="24"/>
              </w:rPr>
            </w:pPr>
            <w:r w:rsidRPr="00BE3B4D">
              <w:rPr>
                <w:rFonts w:asciiTheme="minorHAnsi" w:hAnsiTheme="minorHAnsi" w:cstheme="minorHAnsi"/>
                <w:b/>
                <w:bCs/>
                <w:sz w:val="24"/>
                <w:szCs w:val="24"/>
              </w:rPr>
              <w:t>Word Count: 436</w:t>
            </w: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B61DE" w14:textId="77777777" w:rsidR="00261190" w:rsidRDefault="00261190">
      <w:r>
        <w:separator/>
      </w:r>
    </w:p>
  </w:endnote>
  <w:endnote w:type="continuationSeparator" w:id="0">
    <w:p w14:paraId="1C3D2B08" w14:textId="77777777" w:rsidR="00261190" w:rsidRDefault="00261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E3D22" w14:textId="77777777" w:rsidR="00261190" w:rsidRDefault="00261190">
      <w:r>
        <w:separator/>
      </w:r>
    </w:p>
  </w:footnote>
  <w:footnote w:type="continuationSeparator" w:id="0">
    <w:p w14:paraId="669DE3FC" w14:textId="77777777" w:rsidR="00261190" w:rsidRDefault="00261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959"/>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2E6D"/>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8FB"/>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D38"/>
    <w:rsid w:val="00260663"/>
    <w:rsid w:val="00261190"/>
    <w:rsid w:val="0026275F"/>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15C"/>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C90"/>
    <w:rsid w:val="00463B55"/>
    <w:rsid w:val="00465947"/>
    <w:rsid w:val="004667B1"/>
    <w:rsid w:val="00467F66"/>
    <w:rsid w:val="00470461"/>
    <w:rsid w:val="00470BB1"/>
    <w:rsid w:val="00473153"/>
    <w:rsid w:val="0047350F"/>
    <w:rsid w:val="004743AF"/>
    <w:rsid w:val="0047474E"/>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ADB"/>
    <w:rsid w:val="004D0BF1"/>
    <w:rsid w:val="004D0F4E"/>
    <w:rsid w:val="004D3278"/>
    <w:rsid w:val="004D35A4"/>
    <w:rsid w:val="004D445F"/>
    <w:rsid w:val="004E087B"/>
    <w:rsid w:val="004E18E7"/>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CF4"/>
    <w:rsid w:val="006579FD"/>
    <w:rsid w:val="006635E3"/>
    <w:rsid w:val="006669F3"/>
    <w:rsid w:val="006712A7"/>
    <w:rsid w:val="00672CED"/>
    <w:rsid w:val="00674FC2"/>
    <w:rsid w:val="00676E35"/>
    <w:rsid w:val="00677E42"/>
    <w:rsid w:val="0068182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6EF7"/>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0712"/>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25F"/>
    <w:rsid w:val="00A652F6"/>
    <w:rsid w:val="00A65861"/>
    <w:rsid w:val="00A732EA"/>
    <w:rsid w:val="00A7489E"/>
    <w:rsid w:val="00A7711F"/>
    <w:rsid w:val="00A8015F"/>
    <w:rsid w:val="00A85039"/>
    <w:rsid w:val="00A906AA"/>
    <w:rsid w:val="00A94C5E"/>
    <w:rsid w:val="00AA252C"/>
    <w:rsid w:val="00AA666E"/>
    <w:rsid w:val="00AA7960"/>
    <w:rsid w:val="00AB0EC6"/>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B4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0446"/>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710B"/>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AB0E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B0E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hannah.burgoyne@firstaffinityfostering.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Burgoyne</cp:lastModifiedBy>
  <cp:revision>16</cp:revision>
  <cp:lastPrinted>2020-02-11T19:20:00Z</cp:lastPrinted>
  <dcterms:created xsi:type="dcterms:W3CDTF">2026-01-22T11:56:00Z</dcterms:created>
  <dcterms:modified xsi:type="dcterms:W3CDTF">2026-10-07T09:13:00Z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