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A54CB" w14:textId="29B260FA" w:rsidR="00653308" w:rsidRDefault="00FB67E1" w:rsidP="000A7657">
      <w:pPr>
        <w:spacing w:line="360" w:lineRule="auto"/>
        <w:jc w:val="center"/>
        <w:rPr>
          <w:rFonts w:ascii="Times New Roman" w:hAnsi="Times New Roman" w:cs="Times New Roman"/>
          <w:bCs/>
          <w:sz w:val="32"/>
          <w:szCs w:val="32"/>
        </w:rPr>
      </w:pPr>
      <w:r w:rsidRPr="00FB67E1">
        <w:rPr>
          <w:rFonts w:ascii="Times New Roman" w:hAnsi="Times New Roman" w:cs="Times New Roman"/>
          <w:bCs/>
          <w:sz w:val="32"/>
          <w:szCs w:val="32"/>
        </w:rPr>
        <w:t>Evaluating the Effectiveness of Chosen Maintenance Strategies for Dedicated Equipment</w:t>
      </w:r>
    </w:p>
    <w:p w14:paraId="4FD1B134" w14:textId="526F98E1" w:rsidR="00FB67E1" w:rsidRDefault="00FB67E1" w:rsidP="000A7657">
      <w:pPr>
        <w:spacing w:line="360" w:lineRule="auto"/>
        <w:jc w:val="center"/>
        <w:rPr>
          <w:rFonts w:ascii="Times New Roman" w:hAnsi="Times New Roman" w:cs="Times New Roman"/>
          <w:bCs/>
          <w:sz w:val="32"/>
          <w:szCs w:val="32"/>
        </w:rPr>
      </w:pPr>
      <w:r>
        <w:rPr>
          <w:rFonts w:ascii="Times New Roman" w:hAnsi="Times New Roman" w:cs="Times New Roman"/>
          <w:bCs/>
          <w:sz w:val="32"/>
          <w:szCs w:val="32"/>
        </w:rPr>
        <w:t>ACMA6007 Plant and Asset Engineering</w:t>
      </w:r>
    </w:p>
    <w:p w14:paraId="697B43A9" w14:textId="6E22367C" w:rsidR="00FB67E1" w:rsidRDefault="00FB67E1" w:rsidP="000A7657">
      <w:pPr>
        <w:spacing w:line="360" w:lineRule="auto"/>
        <w:jc w:val="center"/>
        <w:rPr>
          <w:rFonts w:ascii="Times New Roman" w:hAnsi="Times New Roman" w:cs="Times New Roman"/>
          <w:bCs/>
          <w:sz w:val="32"/>
          <w:szCs w:val="32"/>
        </w:rPr>
      </w:pPr>
      <w:r>
        <w:rPr>
          <w:rFonts w:ascii="Times New Roman" w:hAnsi="Times New Roman" w:cs="Times New Roman"/>
          <w:bCs/>
          <w:sz w:val="32"/>
          <w:szCs w:val="32"/>
        </w:rPr>
        <w:t>Morgan Evans 2222959</w:t>
      </w:r>
    </w:p>
    <w:p w14:paraId="1D48A84F" w14:textId="06ED5440" w:rsidR="002A694B" w:rsidRDefault="002A694B" w:rsidP="00FB67E1">
      <w:pPr>
        <w:jc w:val="center"/>
        <w:rPr>
          <w:rFonts w:ascii="Times New Roman" w:hAnsi="Times New Roman" w:cs="Times New Roman"/>
          <w:bCs/>
          <w:sz w:val="44"/>
          <w:szCs w:val="44"/>
        </w:rPr>
      </w:pPr>
    </w:p>
    <w:p w14:paraId="59C5E068" w14:textId="77777777" w:rsidR="002A694B" w:rsidRDefault="002A694B">
      <w:pPr>
        <w:rPr>
          <w:rFonts w:ascii="Times New Roman" w:hAnsi="Times New Roman" w:cs="Times New Roman"/>
          <w:bCs/>
          <w:sz w:val="44"/>
          <w:szCs w:val="44"/>
        </w:rPr>
      </w:pPr>
      <w:r>
        <w:rPr>
          <w:rFonts w:ascii="Times New Roman" w:hAnsi="Times New Roman" w:cs="Times New Roman"/>
          <w:bCs/>
          <w:sz w:val="44"/>
          <w:szCs w:val="44"/>
        </w:rPr>
        <w:br w:type="page"/>
      </w:r>
    </w:p>
    <w:sdt>
      <w:sdtPr>
        <w:rPr>
          <w:rFonts w:asciiTheme="minorHAnsi" w:eastAsiaTheme="minorHAnsi" w:hAnsiTheme="minorHAnsi" w:cstheme="minorBidi"/>
          <w:color w:val="auto"/>
          <w:kern w:val="2"/>
          <w:sz w:val="24"/>
          <w:szCs w:val="24"/>
          <w:lang w:val="en-GB"/>
          <w14:ligatures w14:val="standardContextual"/>
        </w:rPr>
        <w:id w:val="-852948309"/>
        <w:docPartObj>
          <w:docPartGallery w:val="Table of Contents"/>
          <w:docPartUnique/>
        </w:docPartObj>
      </w:sdtPr>
      <w:sdtEndPr>
        <w:rPr>
          <w:b/>
          <w:bCs/>
          <w:noProof/>
        </w:rPr>
      </w:sdtEndPr>
      <w:sdtContent>
        <w:p w14:paraId="5CFCAAFF" w14:textId="30216162" w:rsidR="002A694B" w:rsidRDefault="002A694B">
          <w:pPr>
            <w:pStyle w:val="TOCHeading"/>
          </w:pPr>
          <w:r>
            <w:t>Contents</w:t>
          </w:r>
        </w:p>
        <w:p w14:paraId="6438D313" w14:textId="492F2168" w:rsidR="002A694B" w:rsidRDefault="002A694B">
          <w:r>
            <w:fldChar w:fldCharType="begin"/>
          </w:r>
          <w:r>
            <w:instrText xml:space="preserve"> TOC \o "1-3" \h \z \u </w:instrText>
          </w:r>
          <w:r>
            <w:fldChar w:fldCharType="separate"/>
          </w:r>
          <w:r>
            <w:rPr>
              <w:b/>
              <w:bCs/>
              <w:noProof/>
              <w:lang w:val="en-US"/>
            </w:rPr>
            <w:t>No table of contents entries found.</w:t>
          </w:r>
          <w:r>
            <w:rPr>
              <w:b/>
              <w:bCs/>
              <w:noProof/>
            </w:rPr>
            <w:fldChar w:fldCharType="end"/>
          </w:r>
        </w:p>
      </w:sdtContent>
    </w:sdt>
    <w:p w14:paraId="721ABDB9" w14:textId="64CA887E" w:rsidR="00C43866" w:rsidRDefault="00C43866" w:rsidP="00FB67E1">
      <w:pPr>
        <w:jc w:val="center"/>
        <w:rPr>
          <w:rFonts w:ascii="Times New Roman" w:hAnsi="Times New Roman" w:cs="Times New Roman"/>
          <w:bCs/>
          <w:sz w:val="44"/>
          <w:szCs w:val="44"/>
        </w:rPr>
      </w:pPr>
    </w:p>
    <w:p w14:paraId="48E32BB4" w14:textId="77777777" w:rsidR="00C43866" w:rsidRDefault="00C43866">
      <w:pPr>
        <w:rPr>
          <w:rFonts w:ascii="Times New Roman" w:hAnsi="Times New Roman" w:cs="Times New Roman"/>
          <w:bCs/>
          <w:sz w:val="44"/>
          <w:szCs w:val="44"/>
        </w:rPr>
      </w:pPr>
      <w:r>
        <w:rPr>
          <w:rFonts w:ascii="Times New Roman" w:hAnsi="Times New Roman" w:cs="Times New Roman"/>
          <w:bCs/>
          <w:sz w:val="44"/>
          <w:szCs w:val="44"/>
        </w:rPr>
        <w:br w:type="page"/>
      </w:r>
    </w:p>
    <w:p w14:paraId="46A28B65" w14:textId="3B5D2A18" w:rsidR="00FB67E1" w:rsidRDefault="00C43866" w:rsidP="00C43866">
      <w:pPr>
        <w:pStyle w:val="Heading1"/>
        <w:rPr>
          <w:rFonts w:ascii="Arial" w:hAnsi="Arial" w:cs="Arial"/>
          <w:sz w:val="32"/>
          <w:szCs w:val="32"/>
        </w:rPr>
      </w:pPr>
      <w:r>
        <w:rPr>
          <w:rFonts w:ascii="Arial" w:hAnsi="Arial" w:cs="Arial"/>
          <w:sz w:val="32"/>
          <w:szCs w:val="32"/>
        </w:rPr>
        <w:lastRenderedPageBreak/>
        <w:t>1 Introduction</w:t>
      </w:r>
    </w:p>
    <w:p w14:paraId="581679BC" w14:textId="77777777" w:rsidR="00C43866" w:rsidRDefault="00C43866" w:rsidP="00C80B00">
      <w:pPr>
        <w:spacing w:line="360" w:lineRule="auto"/>
        <w:rPr>
          <w:rFonts w:ascii="Arial" w:hAnsi="Arial" w:cs="Arial"/>
          <w:lang w:val="en-US"/>
        </w:rPr>
      </w:pPr>
      <w:r w:rsidRPr="00C43866">
        <w:rPr>
          <w:rFonts w:ascii="Arial" w:hAnsi="Arial" w:cs="Arial"/>
          <w:lang w:val="en-US"/>
        </w:rPr>
        <w:t>The maintenance plan for the AMADA EML AJ series laser cutting equipment currently in use at Safran Seats, Cwmbran, is thoroughly examined in this study. The machine, a vital component of the manufacturing process, is crucial to maintaining constant production quality, accuracy, and throughput. Thus, overall manufacturing output, cost control, and operational efficiency are all closely related to its performance and dependability.</w:t>
      </w:r>
    </w:p>
    <w:p w14:paraId="50DA712D" w14:textId="77777777" w:rsidR="00C43866" w:rsidRPr="00C43866" w:rsidRDefault="00C43866" w:rsidP="00C80B00">
      <w:pPr>
        <w:spacing w:line="360" w:lineRule="auto"/>
        <w:rPr>
          <w:rFonts w:ascii="Arial" w:hAnsi="Arial" w:cs="Arial"/>
          <w:lang w:val="en-US"/>
        </w:rPr>
      </w:pPr>
      <w:r w:rsidRPr="00C43866">
        <w:rPr>
          <w:rFonts w:ascii="Arial" w:hAnsi="Arial" w:cs="Arial"/>
          <w:lang w:val="en-US"/>
        </w:rPr>
        <w:t>Currently, AMADA, the original equipment manufacturer (OEM), oversees all maintenance operations, both preventative and corrective, under an established service agreement. Using authentic parts, adhering to manufacturer-recommended maintenance procedures, and having access to highly specialized technical experience are just a few benefits of this strategy. Additionally, considering the complexity of contemporary fiber laser systems like the EML AJ series, OEM engagement helps maintain machine integrity and lowers the danger of inappropriate servicing.</w:t>
      </w:r>
    </w:p>
    <w:p w14:paraId="220286A1" w14:textId="76AB35DA" w:rsidR="00C80B00" w:rsidRDefault="00C80B00" w:rsidP="00C80B00">
      <w:pPr>
        <w:spacing w:line="360" w:lineRule="auto"/>
        <w:rPr>
          <w:rFonts w:ascii="Arial" w:hAnsi="Arial" w:cs="Arial"/>
          <w:lang w:val="en-US"/>
        </w:rPr>
      </w:pPr>
      <w:r w:rsidRPr="00C80B00">
        <w:rPr>
          <w:rFonts w:ascii="Arial" w:hAnsi="Arial" w:cs="Arial"/>
          <w:lang w:val="en-US"/>
        </w:rPr>
        <w:t>However, several operational and strategic considerations are also introduced by this totally outsourced maintenance strategy. Reliance on an outside supplier can contribute to longer lead times for issue response and repair, especially when parts logistics or engineer availability become constraints. Furthermore, the pricing structure of callouts and OEM service contracts could be a substantial long-term financial commitment. Additionally, there are less opportunities for internal skill development, which could restrict the organization's capacity to autonomously address minor issues or regular maintenance needs.</w:t>
      </w:r>
    </w:p>
    <w:p w14:paraId="54CDC4E2" w14:textId="77777777" w:rsidR="00C80B00" w:rsidRPr="00C80B00" w:rsidRDefault="00C80B00" w:rsidP="00C80B00">
      <w:pPr>
        <w:spacing w:line="360" w:lineRule="auto"/>
        <w:rPr>
          <w:rFonts w:ascii="Arial" w:hAnsi="Arial" w:cs="Arial"/>
          <w:lang w:val="en-US"/>
        </w:rPr>
      </w:pPr>
      <w:r w:rsidRPr="00C80B00">
        <w:rPr>
          <w:rFonts w:ascii="Arial" w:hAnsi="Arial" w:cs="Arial"/>
          <w:lang w:val="en-US"/>
        </w:rPr>
        <w:t>This report's objective is to assess the current maintenance arrangement's efficacy and efficiency critically. Routine maintenance schedules, unanticipated downtime issues, reaction times, and overall equipment availability are all analyzed. A hybrid maintenance paradigm, in which some regular or low-risk jobs are brought in-house but OEM support is maintained for more complicated operations, is one of the possible alternative solutions that will be examined in this research.</w:t>
      </w:r>
    </w:p>
    <w:p w14:paraId="65238C93" w14:textId="7B6CD678" w:rsidR="002C3FC9" w:rsidRDefault="00C80B00" w:rsidP="00C80B00">
      <w:pPr>
        <w:spacing w:line="360" w:lineRule="auto"/>
        <w:rPr>
          <w:rFonts w:ascii="Arial" w:hAnsi="Arial" w:cs="Arial"/>
          <w:lang w:val="en-US"/>
        </w:rPr>
      </w:pPr>
      <w:r w:rsidRPr="00C80B00">
        <w:rPr>
          <w:rFonts w:ascii="Arial" w:hAnsi="Arial" w:cs="Arial"/>
          <w:lang w:val="en-US"/>
        </w:rPr>
        <w:lastRenderedPageBreak/>
        <w:t xml:space="preserve">The viability of creating internal maintenance capabilities will also be evaluated. This entails considering the risks of departing from OEM-managed </w:t>
      </w:r>
      <w:r w:rsidR="0003683B" w:rsidRPr="00C80B00">
        <w:rPr>
          <w:rFonts w:ascii="Arial" w:hAnsi="Arial" w:cs="Arial"/>
          <w:lang w:val="en-US"/>
        </w:rPr>
        <w:t>service</w:t>
      </w:r>
      <w:r w:rsidRPr="00C80B00">
        <w:rPr>
          <w:rFonts w:ascii="Arial" w:hAnsi="Arial" w:cs="Arial"/>
          <w:lang w:val="en-US"/>
        </w:rPr>
        <w:t>, the investment in diagnostic equipment and spare parts inventory, and the technical training needed for staff. We'll also look at things like warranty consequences, machine performance standards protection, and health and safety compliance.</w:t>
      </w:r>
      <w:r w:rsidRPr="00C80B00">
        <w:rPr>
          <w:rFonts w:ascii="Arial" w:hAnsi="Arial" w:cs="Arial"/>
          <w:lang w:val="en-US"/>
        </w:rPr>
        <w:br/>
      </w:r>
      <w:r w:rsidRPr="00C80B00">
        <w:rPr>
          <w:rFonts w:ascii="Arial" w:hAnsi="Arial" w:cs="Arial"/>
          <w:lang w:val="en-US"/>
        </w:rPr>
        <w:br/>
        <w:t>This paper attempts to offer an organized and fact-based basis for decision-making by assessing both the technical and operational elements of maintenance for the AMADA EML AJ series. The final goal is to ascertain whether the existing reliance on AMADA is still the most efficient and long-term solution, or whether a different maintenance plan could increase operational resilience, lower downtime, and improve cost efficiency at</w:t>
      </w:r>
      <w:r>
        <w:rPr>
          <w:rFonts w:ascii="Arial" w:hAnsi="Arial" w:cs="Arial"/>
          <w:lang w:val="en-US"/>
        </w:rPr>
        <w:t xml:space="preserve"> Safran Seats.</w:t>
      </w:r>
    </w:p>
    <w:p w14:paraId="196CC078" w14:textId="77777777" w:rsidR="002C3FC9" w:rsidRDefault="002C3FC9">
      <w:pPr>
        <w:rPr>
          <w:rFonts w:ascii="Arial" w:hAnsi="Arial" w:cs="Arial"/>
          <w:lang w:val="en-US"/>
        </w:rPr>
      </w:pPr>
      <w:r>
        <w:rPr>
          <w:rFonts w:ascii="Arial" w:hAnsi="Arial" w:cs="Arial"/>
          <w:lang w:val="en-US"/>
        </w:rPr>
        <w:br w:type="page"/>
      </w:r>
    </w:p>
    <w:p w14:paraId="5BC6F9DF" w14:textId="5CC0E1AF" w:rsidR="00C80B00" w:rsidRDefault="002C3FC9" w:rsidP="002C3FC9">
      <w:pPr>
        <w:pStyle w:val="Heading1"/>
        <w:rPr>
          <w:rFonts w:ascii="Arial" w:hAnsi="Arial" w:cs="Arial"/>
          <w:bCs/>
          <w:sz w:val="32"/>
          <w:szCs w:val="32"/>
        </w:rPr>
      </w:pPr>
      <w:r w:rsidRPr="002C3FC9">
        <w:rPr>
          <w:rFonts w:ascii="Arial" w:hAnsi="Arial" w:cs="Arial"/>
          <w:bCs/>
          <w:sz w:val="32"/>
          <w:szCs w:val="32"/>
        </w:rPr>
        <w:lastRenderedPageBreak/>
        <w:t xml:space="preserve">2 Critical </w:t>
      </w:r>
      <w:proofErr w:type="gramStart"/>
      <w:r w:rsidRPr="002C3FC9">
        <w:rPr>
          <w:rFonts w:ascii="Arial" w:hAnsi="Arial" w:cs="Arial"/>
          <w:bCs/>
          <w:sz w:val="32"/>
          <w:szCs w:val="32"/>
        </w:rPr>
        <w:t>review</w:t>
      </w:r>
      <w:proofErr w:type="gramEnd"/>
      <w:r w:rsidRPr="002C3FC9">
        <w:rPr>
          <w:rFonts w:ascii="Arial" w:hAnsi="Arial" w:cs="Arial"/>
          <w:bCs/>
          <w:sz w:val="32"/>
          <w:szCs w:val="32"/>
        </w:rPr>
        <w:t xml:space="preserve"> of current maintenance practice</w:t>
      </w:r>
    </w:p>
    <w:p w14:paraId="7521E253" w14:textId="77777777" w:rsidR="002C3FC9" w:rsidRDefault="002C3FC9" w:rsidP="005E093A">
      <w:pPr>
        <w:spacing w:line="360" w:lineRule="auto"/>
        <w:rPr>
          <w:rFonts w:ascii="Arial" w:hAnsi="Arial" w:cs="Arial"/>
          <w:lang w:val="en-US"/>
        </w:rPr>
      </w:pPr>
      <w:r w:rsidRPr="002C3FC9">
        <w:rPr>
          <w:rFonts w:ascii="Arial" w:hAnsi="Arial" w:cs="Arial"/>
          <w:lang w:val="en-US"/>
        </w:rPr>
        <w:t>A thorough analysis of Safran Seats' current maintenance plan for the AMADA EML AJ series at Cwmbran reveals a compromise between operational reliance and technical assurance, with both significant advantages and disadvantages.</w:t>
      </w:r>
    </w:p>
    <w:p w14:paraId="06D8D720" w14:textId="6E496367" w:rsidR="002C3FC9" w:rsidRDefault="002C3FC9" w:rsidP="005E093A">
      <w:pPr>
        <w:spacing w:line="360" w:lineRule="auto"/>
        <w:rPr>
          <w:rFonts w:ascii="Arial" w:hAnsi="Arial" w:cs="Arial"/>
          <w:lang w:val="en-US"/>
        </w:rPr>
      </w:pPr>
      <w:r w:rsidRPr="002C3FC9">
        <w:rPr>
          <w:rFonts w:ascii="Arial" w:hAnsi="Arial" w:cs="Arial"/>
          <w:lang w:val="en-US"/>
        </w:rPr>
        <w:t>Technically speaking, AMADA's maintenance guarantees a high degree of service quality. AMADA has extensive understanding of the EML AJ series, including unique systems like fiber laser source, motion control architecture, and embedded diagnostics, because it was the original equipment manufacturer. This guarantees that repairs are carried out in compliance with manufacturer requirements and lowers the possibility of misdiagnosis. Using OEM-approved components enhances machine dependability and aids in upholding performance requirements including energy efficiency, repeatability, and cutting accuracy. Additionally, following recommended preventative maintenance plans can increase machine longevity and lower the likelihood of catastrophic failure.</w:t>
      </w:r>
    </w:p>
    <w:p w14:paraId="19884762" w14:textId="77777777" w:rsidR="002C3FC9" w:rsidRPr="002C3FC9" w:rsidRDefault="002C3FC9" w:rsidP="005E093A">
      <w:pPr>
        <w:spacing w:line="360" w:lineRule="auto"/>
        <w:rPr>
          <w:rFonts w:ascii="Arial" w:hAnsi="Arial" w:cs="Arial"/>
          <w:lang w:val="en-US"/>
        </w:rPr>
      </w:pPr>
      <w:r w:rsidRPr="002C3FC9">
        <w:rPr>
          <w:rFonts w:ascii="Arial" w:hAnsi="Arial" w:cs="Arial"/>
          <w:lang w:val="en-US"/>
        </w:rPr>
        <w:t>However, a considerable amount of dependence on outside assistance is introduced by this strategy. Response time is one of the main disadvantages. Safran Seats is reliant on AMADA engineer availability in the event of unscheduled outage, which may be impacted by workload, geographic coverage, and parts logistics. Production schedules and throughput may be adversely impacted by prolonged equipment downtime, especially in cases of major breakdowns. Even brief delays can have disproportionately negative operational and financial effects in a manufacturing setting with strong demand.</w:t>
      </w:r>
    </w:p>
    <w:p w14:paraId="68DD02E3" w14:textId="77777777" w:rsidR="005E093A" w:rsidRPr="005E093A" w:rsidRDefault="005E093A" w:rsidP="005E093A">
      <w:pPr>
        <w:spacing w:line="360" w:lineRule="auto"/>
        <w:rPr>
          <w:rFonts w:ascii="Arial" w:hAnsi="Arial" w:cs="Arial"/>
          <w:lang w:val="en-US"/>
        </w:rPr>
      </w:pPr>
      <w:r w:rsidRPr="005E093A">
        <w:rPr>
          <w:rFonts w:ascii="Arial" w:hAnsi="Arial" w:cs="Arial"/>
          <w:lang w:val="en-US"/>
        </w:rPr>
        <w:t>Another important factor is cost. Because of the specialized knowledge and assistance offered, OEM maintenance contracts and callout fees are usually more expensive. This might be warranted for complicated repairs, but it might not be as economical for regular maintenance procedures like filter replacements, alignment inspections, or simple diagnostics. If the machine runs at high utilization rates, the total cost of entirely outsourced maintenance may eventually surpass that of a partially internalized model.</w:t>
      </w:r>
    </w:p>
    <w:p w14:paraId="2C077180" w14:textId="7E4CD527" w:rsidR="005E093A" w:rsidRDefault="005E093A" w:rsidP="005E093A">
      <w:pPr>
        <w:spacing w:line="360" w:lineRule="auto"/>
        <w:rPr>
          <w:rFonts w:ascii="Arial" w:hAnsi="Arial" w:cs="Arial"/>
          <w:lang w:val="en-US"/>
        </w:rPr>
      </w:pPr>
      <w:r w:rsidRPr="005E093A">
        <w:rPr>
          <w:rFonts w:ascii="Arial" w:hAnsi="Arial" w:cs="Arial"/>
          <w:lang w:val="en-US"/>
        </w:rPr>
        <w:t xml:space="preserve">The absence of internal capability development is another drawback. There is little chance for internal engineers or technicians to become familiar with the system </w:t>
      </w:r>
      <w:r w:rsidRPr="005E093A">
        <w:rPr>
          <w:rFonts w:ascii="Arial" w:hAnsi="Arial" w:cs="Arial"/>
          <w:lang w:val="en-US"/>
        </w:rPr>
        <w:lastRenderedPageBreak/>
        <w:t>because all maintenance tasks are performed externally. The organization's capacity to respond to small errors, carry out first-line diagnostics, or carry out quick corrective actions is diminished because of this knowledge gap. As a result, the necessity for outside assistance may cause even relatively straightforward problems to worsen and result in extended downtime.</w:t>
      </w:r>
    </w:p>
    <w:p w14:paraId="20F894D5" w14:textId="77777777" w:rsidR="005E093A" w:rsidRPr="005E093A" w:rsidRDefault="005E093A" w:rsidP="005E093A">
      <w:pPr>
        <w:spacing w:line="360" w:lineRule="auto"/>
        <w:rPr>
          <w:rFonts w:ascii="Arial" w:hAnsi="Arial" w:cs="Arial"/>
          <w:lang w:val="en-US"/>
        </w:rPr>
      </w:pPr>
      <w:r w:rsidRPr="005E093A">
        <w:rPr>
          <w:rFonts w:ascii="Arial" w:hAnsi="Arial" w:cs="Arial"/>
          <w:lang w:val="en-US"/>
        </w:rPr>
        <w:t>Dependency on vendors carries additional strategic risks. Decision-making can be hampered by relying solely on AMADA, especially if service conditions, costs, or support availability alter over time. Additionally, maintenance continuity may be directly impacted by any disruption to the supplier relationship, whether it be operational, contractual, or logistical.</w:t>
      </w:r>
      <w:r w:rsidRPr="005E093A">
        <w:rPr>
          <w:rFonts w:ascii="Arial" w:hAnsi="Arial" w:cs="Arial"/>
          <w:lang w:val="en-US"/>
        </w:rPr>
        <w:br/>
      </w:r>
      <w:r w:rsidRPr="005E093A">
        <w:rPr>
          <w:rFonts w:ascii="Arial" w:hAnsi="Arial" w:cs="Arial"/>
          <w:lang w:val="en-US"/>
        </w:rPr>
        <w:br/>
        <w:t>Notwithstanding these drawbacks, it's critical to acknowledge that the intricacy of the AMADA EML AJ series warrants some OEM engagement. Systems like the laser resonator, optical path components, and sophisticated control software require specialized equipment and knowledge that would not be feasible or economical to duplicate internally. Therefore, there may be hazards associated with machine performance, safety, and warranty compliance if OEM support is completely discontinued.</w:t>
      </w:r>
    </w:p>
    <w:p w14:paraId="49D35347" w14:textId="3E5BF9E8" w:rsidR="00B92DE9" w:rsidRDefault="005E093A" w:rsidP="005E093A">
      <w:pPr>
        <w:spacing w:line="360" w:lineRule="auto"/>
        <w:rPr>
          <w:rFonts w:ascii="Arial" w:hAnsi="Arial" w:cs="Arial"/>
          <w:lang w:val="en-US"/>
        </w:rPr>
      </w:pPr>
      <w:r w:rsidRPr="005E093A">
        <w:rPr>
          <w:rFonts w:ascii="Arial" w:hAnsi="Arial" w:cs="Arial"/>
          <w:lang w:val="en-US"/>
        </w:rPr>
        <w:t xml:space="preserve">In conclusion, AMADA-led maintenance lowers the risk of incorrect service and offers a high degree of technical reliability, but it comes at the expense of responsiveness, cost effectiveness, and internal capability development. A more optimal answer might be provided by a more balanced approach, like a hybrid maintenance method. </w:t>
      </w:r>
      <w:proofErr w:type="gramStart"/>
      <w:r w:rsidRPr="005E093A">
        <w:rPr>
          <w:rFonts w:ascii="Arial" w:hAnsi="Arial" w:cs="Arial"/>
          <w:lang w:val="en-US"/>
        </w:rPr>
        <w:t>In order to</w:t>
      </w:r>
      <w:proofErr w:type="gramEnd"/>
      <w:r w:rsidRPr="005E093A">
        <w:rPr>
          <w:rFonts w:ascii="Arial" w:hAnsi="Arial" w:cs="Arial"/>
          <w:lang w:val="en-US"/>
        </w:rPr>
        <w:t xml:space="preserve"> improve overall operational resilience and cost control, this would entail keeping AMADA support for complicated and high-risk operations while building internal capacity for routine maintenance and first-line fault response.</w:t>
      </w:r>
    </w:p>
    <w:p w14:paraId="698F03FC" w14:textId="77777777" w:rsidR="00B92DE9" w:rsidRDefault="00B92DE9">
      <w:pPr>
        <w:rPr>
          <w:rFonts w:ascii="Arial" w:hAnsi="Arial" w:cs="Arial"/>
          <w:lang w:val="en-US"/>
        </w:rPr>
      </w:pPr>
      <w:r>
        <w:rPr>
          <w:rFonts w:ascii="Arial" w:hAnsi="Arial" w:cs="Arial"/>
          <w:lang w:val="en-US"/>
        </w:rPr>
        <w:br w:type="page"/>
      </w:r>
    </w:p>
    <w:p w14:paraId="57E4C50B" w14:textId="77777777" w:rsidR="00B92DE9" w:rsidRDefault="00B92DE9" w:rsidP="00B92DE9">
      <w:pPr>
        <w:pStyle w:val="Heading1"/>
        <w:rPr>
          <w:rFonts w:ascii="Arial" w:hAnsi="Arial" w:cs="Arial"/>
          <w:sz w:val="32"/>
          <w:szCs w:val="32"/>
        </w:rPr>
      </w:pPr>
      <w:r>
        <w:rPr>
          <w:rFonts w:ascii="Arial" w:hAnsi="Arial" w:cs="Arial"/>
          <w:sz w:val="32"/>
          <w:szCs w:val="32"/>
          <w:lang w:val="en-US"/>
        </w:rPr>
        <w:lastRenderedPageBreak/>
        <w:t xml:space="preserve">3 </w:t>
      </w:r>
      <w:r w:rsidRPr="00B92DE9">
        <w:rPr>
          <w:rFonts w:ascii="Arial" w:hAnsi="Arial" w:cs="Arial"/>
          <w:bCs/>
          <w:sz w:val="32"/>
          <w:szCs w:val="32"/>
        </w:rPr>
        <w:t>A full evaluation of how the current approaches to maintenance could be improved.</w:t>
      </w:r>
      <w:r w:rsidRPr="00B92DE9">
        <w:rPr>
          <w:rFonts w:ascii="Arial" w:hAnsi="Arial" w:cs="Arial"/>
          <w:sz w:val="32"/>
          <w:szCs w:val="32"/>
        </w:rPr>
        <w:t xml:space="preserve"> </w:t>
      </w:r>
    </w:p>
    <w:p w14:paraId="5BF707C7" w14:textId="77777777" w:rsidR="00405D5E" w:rsidRPr="00405D5E" w:rsidRDefault="00405D5E" w:rsidP="00405D5E">
      <w:pPr>
        <w:spacing w:line="360" w:lineRule="auto"/>
        <w:rPr>
          <w:rFonts w:ascii="Arial" w:hAnsi="Arial" w:cs="Arial"/>
          <w:lang w:val="en-US"/>
        </w:rPr>
      </w:pPr>
      <w:r w:rsidRPr="00405D5E">
        <w:rPr>
          <w:rFonts w:ascii="Arial" w:hAnsi="Arial" w:cs="Arial"/>
          <w:lang w:val="en-US"/>
        </w:rPr>
        <w:t>A transition from a completely OEM-dependent model to a more balanced, capability-driven strategy is necessary for a thorough assessment of how the existing maintenance approach for the AMADA EML AJ series at Safran Seats, Cwmbran should be improved. Although the current agreement with AMADA offers robust technical assurance, it is not optimized for long-term operational resilience, cost effectiveness, or responsiveness.</w:t>
      </w:r>
    </w:p>
    <w:p w14:paraId="6F31EAC5" w14:textId="77777777" w:rsidR="00405D5E" w:rsidRPr="00405D5E" w:rsidRDefault="00405D5E" w:rsidP="00405D5E">
      <w:pPr>
        <w:spacing w:line="360" w:lineRule="auto"/>
        <w:rPr>
          <w:rFonts w:ascii="Arial" w:hAnsi="Arial" w:cs="Arial"/>
          <w:lang w:val="en-US"/>
        </w:rPr>
      </w:pPr>
      <w:r w:rsidRPr="00405D5E">
        <w:rPr>
          <w:rFonts w:ascii="Arial" w:hAnsi="Arial" w:cs="Arial"/>
          <w:lang w:val="en-US"/>
        </w:rPr>
        <w:t>The implementation of a tiered or hybrid maintenance system is one of the most pressing areas for development. All tasks are currently escalated to AMADA, regardless of their difficulty. This is ineffective. It is possible to assign skilled internal staff to handle routine preventative maintenance tasks including filter replacement, nozzle cleaning, lens inspection, lubrication, and simple calibration checks. Bringing these jobs in-house would lower service costs and remove needless delays related to scheduling OEM visits because they are often low-risk but high-frequency. Then, high-complexity interventions like laser source malfunctions, control system malfunctions, or precision alignment processes could be saved for AMADA help. This strategy is in line with accepted maintenance engineering concepts, which employ job criticality to effectively distribute resources (Mobley, 2002).</w:t>
      </w:r>
    </w:p>
    <w:p w14:paraId="1831A5F7" w14:textId="77777777" w:rsidR="00405D5E" w:rsidRPr="00405D5E" w:rsidRDefault="00405D5E" w:rsidP="00405D5E">
      <w:pPr>
        <w:spacing w:line="360" w:lineRule="auto"/>
        <w:rPr>
          <w:rFonts w:ascii="Arial" w:hAnsi="Arial" w:cs="Arial"/>
          <w:lang w:val="en-US"/>
        </w:rPr>
      </w:pPr>
      <w:r w:rsidRPr="00405D5E">
        <w:rPr>
          <w:rFonts w:ascii="Arial" w:hAnsi="Arial" w:cs="Arial"/>
          <w:lang w:val="en-US"/>
        </w:rPr>
        <w:t>A planned training program is necessary to facilitate this shift. Safran Seats would have to spend money on training operators and maintenance technicians to a certain level of proficiency. This entails conducting first-line fault isolation, deciphering diagnostic codes, and comprehending machine architecture. To guarantee compliance with manufacturer standards, this training should ideally be conducted in conjunction with AMADA. Supporting frameworks like ISO 17359 highlight how crucial skilled workers are to putting condition-based maintenance techniques into practice (ISO, 2018).</w:t>
      </w:r>
    </w:p>
    <w:p w14:paraId="565B5F58" w14:textId="77777777" w:rsidR="00405D5E" w:rsidRPr="00405D5E" w:rsidRDefault="00405D5E" w:rsidP="00405D5E">
      <w:pPr>
        <w:spacing w:line="360" w:lineRule="auto"/>
        <w:rPr>
          <w:rFonts w:ascii="Arial" w:hAnsi="Arial" w:cs="Arial"/>
          <w:lang w:val="en-US"/>
        </w:rPr>
      </w:pPr>
      <w:r w:rsidRPr="00405D5E">
        <w:rPr>
          <w:rFonts w:ascii="Arial" w:hAnsi="Arial" w:cs="Arial"/>
          <w:lang w:val="en-US"/>
        </w:rPr>
        <w:t xml:space="preserve">Response time to unforeseen downtime is another important area for development. The availability of AMADA is a major factor in determining delays under the current arrangement. Mean time </w:t>
      </w:r>
      <w:proofErr w:type="gramStart"/>
      <w:r w:rsidRPr="00405D5E">
        <w:rPr>
          <w:rFonts w:ascii="Arial" w:hAnsi="Arial" w:cs="Arial"/>
          <w:lang w:val="en-US"/>
        </w:rPr>
        <w:t>to</w:t>
      </w:r>
      <w:proofErr w:type="gramEnd"/>
      <w:r w:rsidRPr="00405D5E">
        <w:rPr>
          <w:rFonts w:ascii="Arial" w:hAnsi="Arial" w:cs="Arial"/>
          <w:lang w:val="en-US"/>
        </w:rPr>
        <w:t xml:space="preserve"> repair (MTTR) could be greatly decreased by putting in place an internal first-response capability. Early diagnosis helps expedite OEM </w:t>
      </w:r>
      <w:r w:rsidRPr="00405D5E">
        <w:rPr>
          <w:rFonts w:ascii="Arial" w:hAnsi="Arial" w:cs="Arial"/>
          <w:lang w:val="en-US"/>
        </w:rPr>
        <w:lastRenderedPageBreak/>
        <w:t xml:space="preserve">assistance by guaranteeing the right parts and expertise are deployed on the first visit, even if internal teams are unable to completely resolve a problem. This is in line with the tenets of Reliability-Centered Maintenance, which places an emphasis on quick fault detection and system repair </w:t>
      </w:r>
      <w:proofErr w:type="gramStart"/>
      <w:r w:rsidRPr="00405D5E">
        <w:rPr>
          <w:rFonts w:ascii="Arial" w:hAnsi="Arial" w:cs="Arial"/>
          <w:lang w:val="en-US"/>
        </w:rPr>
        <w:t>in order to</w:t>
      </w:r>
      <w:proofErr w:type="gramEnd"/>
      <w:r w:rsidRPr="00405D5E">
        <w:rPr>
          <w:rFonts w:ascii="Arial" w:hAnsi="Arial" w:cs="Arial"/>
          <w:lang w:val="en-US"/>
        </w:rPr>
        <w:t xml:space="preserve"> preserve operational continuity (Moubray, 1997).</w:t>
      </w:r>
    </w:p>
    <w:p w14:paraId="38BD19FF" w14:textId="77777777" w:rsidR="00405D5E" w:rsidRPr="00405D5E" w:rsidRDefault="00405D5E" w:rsidP="00405D5E">
      <w:pPr>
        <w:spacing w:line="360" w:lineRule="auto"/>
        <w:rPr>
          <w:rFonts w:ascii="Arial" w:hAnsi="Arial" w:cs="Arial"/>
          <w:lang w:val="en-US"/>
        </w:rPr>
      </w:pPr>
      <w:r w:rsidRPr="00405D5E">
        <w:rPr>
          <w:rFonts w:ascii="Arial" w:hAnsi="Arial" w:cs="Arial"/>
          <w:lang w:val="en-US"/>
        </w:rPr>
        <w:t>Additionally, spare parts management is a useful area for development. Currently, parts are probably delivered reactively due to dependency on AMADA. Logistics-related delays could be reduced by creating an on-site critical spares inventory based on lead times and failure histories. Priority should be given to parts including consumables, filters, lenses, and frequently malfunctioning mechanical or pneumatic components. This strategy is supported by ISO 55000 guidelines, which emphasize the significance of resource availability and lifecycle planning in preserving asset performance (ISO, 2014).</w:t>
      </w:r>
    </w:p>
    <w:p w14:paraId="4F61A75F" w14:textId="77777777" w:rsidR="00405D5E" w:rsidRPr="00405D5E" w:rsidRDefault="00405D5E" w:rsidP="00405D5E">
      <w:pPr>
        <w:spacing w:line="360" w:lineRule="auto"/>
        <w:rPr>
          <w:rFonts w:ascii="Arial" w:hAnsi="Arial" w:cs="Arial"/>
          <w:lang w:val="en-US"/>
        </w:rPr>
      </w:pPr>
      <w:r w:rsidRPr="00405D5E">
        <w:rPr>
          <w:rFonts w:ascii="Arial" w:hAnsi="Arial" w:cs="Arial"/>
          <w:lang w:val="en-US"/>
        </w:rPr>
        <w:t xml:space="preserve">From a strategic standpoint, the current service contract should be reviewed </w:t>
      </w:r>
      <w:proofErr w:type="gramStart"/>
      <w:r w:rsidRPr="00405D5E">
        <w:rPr>
          <w:rFonts w:ascii="Arial" w:hAnsi="Arial" w:cs="Arial"/>
          <w:lang w:val="en-US"/>
        </w:rPr>
        <w:t>in order to</w:t>
      </w:r>
      <w:proofErr w:type="gramEnd"/>
      <w:r w:rsidRPr="00405D5E">
        <w:rPr>
          <w:rFonts w:ascii="Arial" w:hAnsi="Arial" w:cs="Arial"/>
          <w:lang w:val="en-US"/>
        </w:rPr>
        <w:t xml:space="preserve"> optimize costs. Safran Seats should determine whether the present contract is in line with real usage trends and failure rates. If internal skills are improved, there might be room to renegotiate terms, lower coverage levels, or move toward a more flexible, pay-as-needed approach. The company runs the danger of overpaying for services that could be completed more affordably internally if this analysis isn't conducted.</w:t>
      </w:r>
    </w:p>
    <w:p w14:paraId="7049FF0A" w14:textId="77777777" w:rsidR="00405D5E" w:rsidRPr="00405D5E" w:rsidRDefault="00405D5E" w:rsidP="00405D5E">
      <w:pPr>
        <w:spacing w:line="360" w:lineRule="auto"/>
        <w:rPr>
          <w:rFonts w:ascii="Arial" w:hAnsi="Arial" w:cs="Arial"/>
          <w:lang w:val="en-US"/>
        </w:rPr>
      </w:pPr>
      <w:r w:rsidRPr="00405D5E">
        <w:rPr>
          <w:rFonts w:ascii="Arial" w:hAnsi="Arial" w:cs="Arial"/>
          <w:lang w:val="en-US"/>
        </w:rPr>
        <w:t>The lack of data-driven maintenance is another drawback of the current strategy. A more organized maintenance monitoring system that records parameters like component lifespan, repair durations, failure modes, and downtime frequency would be an improvement. Instead of depending just on set OEM schedules, this data can be used to transition to a predictive or condition-based maintenance strategy. This shift is supported by methods evolved from condition monitoring and predictive maintenance, which use historical and real-time data to optimize maintenance intervals and minimize needless interventions (Jardine et al., 2006).</w:t>
      </w:r>
    </w:p>
    <w:p w14:paraId="74DAD9B8" w14:textId="77777777" w:rsidR="00405D5E" w:rsidRPr="00405D5E" w:rsidRDefault="00405D5E" w:rsidP="00405D5E">
      <w:pPr>
        <w:spacing w:line="360" w:lineRule="auto"/>
        <w:rPr>
          <w:rFonts w:ascii="Arial" w:hAnsi="Arial" w:cs="Arial"/>
          <w:lang w:val="en-US"/>
        </w:rPr>
      </w:pPr>
      <w:r w:rsidRPr="00405D5E">
        <w:rPr>
          <w:rFonts w:ascii="Arial" w:hAnsi="Arial" w:cs="Arial"/>
          <w:lang w:val="en-US"/>
        </w:rPr>
        <w:t xml:space="preserve">Any improvement plan must also take risk management into account. There are possible hazards associated with safety, quality, and warranty compliance when moving away from complete OEM reliance. By establishing precise maintenance boundaries—what can and cannot be done internally—and upholding a formal escalation process to </w:t>
      </w:r>
      <w:r w:rsidRPr="00405D5E">
        <w:rPr>
          <w:rFonts w:ascii="Arial" w:hAnsi="Arial" w:cs="Arial"/>
          <w:lang w:val="en-US"/>
        </w:rPr>
        <w:lastRenderedPageBreak/>
        <w:t>AMADA for serious problems, these can be lessened. To guarantee consistency and accountability, documentation, standard operating procedures (SOPs), and compliance checks would be crucial. ISO 9001, which emphasizes the necessity of controlled procedures and ongoing development, might also be cited (ISO, 2015).</w:t>
      </w:r>
    </w:p>
    <w:p w14:paraId="768BC1B6" w14:textId="01C6966C" w:rsidR="001B0189" w:rsidRDefault="001B0189">
      <w:pPr>
        <w:rPr>
          <w:rFonts w:ascii="Arial" w:hAnsi="Arial" w:cs="Arial"/>
          <w:lang w:val="en-US"/>
        </w:rPr>
      </w:pPr>
      <w:r>
        <w:rPr>
          <w:rFonts w:ascii="Arial" w:hAnsi="Arial" w:cs="Arial"/>
          <w:lang w:val="en-US"/>
        </w:rPr>
        <w:br w:type="page"/>
      </w:r>
    </w:p>
    <w:p w14:paraId="3A8558FE" w14:textId="48F1DA51" w:rsidR="00B72E6B" w:rsidRDefault="001B0189" w:rsidP="001B0189">
      <w:pPr>
        <w:pStyle w:val="Heading1"/>
        <w:spacing w:line="360" w:lineRule="auto"/>
        <w:rPr>
          <w:rFonts w:ascii="Arial" w:hAnsi="Arial" w:cs="Arial"/>
          <w:b/>
          <w:sz w:val="32"/>
          <w:szCs w:val="32"/>
        </w:rPr>
      </w:pPr>
      <w:r>
        <w:rPr>
          <w:rFonts w:ascii="Arial" w:hAnsi="Arial" w:cs="Arial"/>
          <w:b/>
          <w:sz w:val="32"/>
          <w:szCs w:val="32"/>
        </w:rPr>
        <w:lastRenderedPageBreak/>
        <w:t xml:space="preserve">4 </w:t>
      </w:r>
      <w:r w:rsidRPr="001B0189">
        <w:rPr>
          <w:rFonts w:ascii="Arial" w:hAnsi="Arial" w:cs="Arial"/>
          <w:b/>
          <w:sz w:val="32"/>
          <w:szCs w:val="32"/>
        </w:rPr>
        <w:t>A consideration of costs and resources required to implement proposed changes</w:t>
      </w:r>
    </w:p>
    <w:p w14:paraId="14CBACF6" w14:textId="77777777" w:rsidR="001B0189" w:rsidRPr="001B0189" w:rsidRDefault="001B0189" w:rsidP="001B0189">
      <w:pPr>
        <w:spacing w:line="360" w:lineRule="auto"/>
        <w:rPr>
          <w:rFonts w:ascii="Arial" w:hAnsi="Arial" w:cs="Arial"/>
          <w:lang w:val="en-US"/>
        </w:rPr>
      </w:pPr>
      <w:r w:rsidRPr="001B0189">
        <w:rPr>
          <w:rFonts w:ascii="Arial" w:hAnsi="Arial" w:cs="Arial"/>
          <w:lang w:val="en-US"/>
        </w:rPr>
        <w:t>For the AMADA EML AJ series at Safran Seats, Cwmbran, a shift from a completely OEM-dependent maintenance methodology to a hybrid strategy involves both upfront investment requirements and long-term cost implications. To ascertain if the suggested modifications are both financially and operationally feasible, an organized assessment of expenses and resource requirements is required.</w:t>
      </w:r>
    </w:p>
    <w:p w14:paraId="006EEEDF" w14:textId="77777777" w:rsidR="001B0189" w:rsidRPr="001B0189" w:rsidRDefault="001B0189" w:rsidP="001B0189">
      <w:pPr>
        <w:spacing w:line="360" w:lineRule="auto"/>
        <w:rPr>
          <w:rFonts w:ascii="Arial" w:hAnsi="Arial" w:cs="Arial"/>
          <w:lang w:val="en-US"/>
        </w:rPr>
      </w:pPr>
      <w:r w:rsidRPr="001B0189">
        <w:rPr>
          <w:rFonts w:ascii="Arial" w:hAnsi="Arial" w:cs="Arial"/>
          <w:lang w:val="en-US"/>
        </w:rPr>
        <w:t>Workforce development is one of the main expenses. Implementing in-house maintenance capabilities necessitates hiring more qualified workers or providing focused technical training for current employees. Machine operation, diagnostics, preventative maintenance techniques, and health and safety compliance would all need to be covered in training programs, ideally administered in conjunction with AMADA. Here, expenses include labor time, training fees, and possible productivity losses during training sessions. Nonetheless, this expenditure is in line with maintenance capability development models and long-term decreases in reliance on external services (Mobley, 2002).</w:t>
      </w:r>
    </w:p>
    <w:p w14:paraId="2F0DBBF3" w14:textId="77777777" w:rsidR="001B0189" w:rsidRPr="001B0189" w:rsidRDefault="001B0189" w:rsidP="001B0189">
      <w:pPr>
        <w:spacing w:line="360" w:lineRule="auto"/>
        <w:rPr>
          <w:rFonts w:ascii="Arial" w:hAnsi="Arial" w:cs="Arial"/>
          <w:lang w:val="en-US"/>
        </w:rPr>
      </w:pPr>
      <w:r w:rsidRPr="001B0189">
        <w:rPr>
          <w:rFonts w:ascii="Arial" w:hAnsi="Arial" w:cs="Arial"/>
          <w:lang w:val="en-US"/>
        </w:rPr>
        <w:t>Another prerequisite is a capital investment in tools and equipment. A fiber laser system like the EML AJ series requires general maintenance tools, alignment equipment, and diagnostic instruments for internal maintenance. A baseline toolbox for regular servicing and fault-finding must be established, even though OEM control may still apply to high-end laser calibration equipment. This is necessary to enable interior intervention, although it comes with a moderate upfront expense. Appropriate resource allocation is essential to guaranteeing asset performance and dependability, according to ISO 55000's asset management principles (ISO, 2014).</w:t>
      </w:r>
    </w:p>
    <w:p w14:paraId="240A844E" w14:textId="5797F517" w:rsidR="001B0189" w:rsidRDefault="001B0189" w:rsidP="001B0189">
      <w:pPr>
        <w:spacing w:line="360" w:lineRule="auto"/>
        <w:rPr>
          <w:rFonts w:ascii="Arial" w:hAnsi="Arial" w:cs="Arial"/>
        </w:rPr>
      </w:pPr>
      <w:r w:rsidRPr="001B0189">
        <w:rPr>
          <w:rFonts w:ascii="Arial" w:hAnsi="Arial" w:cs="Arial"/>
        </w:rPr>
        <w:t xml:space="preserve">Spare parts inventory introduces an additional financial consideration. Under the current model, parts are typically supplied on demand via AMADA. Moving toward a hybrid approach requires Safran Seats to hold a stock of critical spares, including consumables (e.g. nozzles, filters, lenses) and selected high-failure components. The cost here is twofold: initial procurement and ongoing inventory holding costs. There is </w:t>
      </w:r>
      <w:r w:rsidRPr="001B0189">
        <w:rPr>
          <w:rFonts w:ascii="Arial" w:hAnsi="Arial" w:cs="Arial"/>
        </w:rPr>
        <w:lastRenderedPageBreak/>
        <w:t>also a risk of obsolescence or underutilisation if inventory is not well managed. However, this must be weighed against the cost of downtime, as improved parts availability can significantly reduce repair lead times. Effective inventory strategies are supported by condition-based maintenance frameworks such as ISO 17359 (ISO, 2018).</w:t>
      </w:r>
    </w:p>
    <w:p w14:paraId="38F1F7A3" w14:textId="480D1B8D" w:rsidR="001B0189" w:rsidRDefault="001B0189" w:rsidP="001B0189">
      <w:pPr>
        <w:spacing w:line="360" w:lineRule="auto"/>
        <w:rPr>
          <w:rFonts w:ascii="Arial" w:hAnsi="Arial" w:cs="Arial"/>
          <w:lang w:val="en-US"/>
        </w:rPr>
      </w:pPr>
      <w:r w:rsidRPr="001B0189">
        <w:rPr>
          <w:rFonts w:ascii="Arial" w:hAnsi="Arial" w:cs="Arial"/>
          <w:lang w:val="en-US"/>
        </w:rPr>
        <w:t xml:space="preserve">The distribution of labor resources must also be </w:t>
      </w:r>
      <w:r w:rsidRPr="001B0189">
        <w:rPr>
          <w:rFonts w:ascii="Arial" w:hAnsi="Arial" w:cs="Arial"/>
          <w:lang w:val="en-US"/>
        </w:rPr>
        <w:t>considered</w:t>
      </w:r>
      <w:r w:rsidRPr="001B0189">
        <w:rPr>
          <w:rFonts w:ascii="Arial" w:hAnsi="Arial" w:cs="Arial"/>
          <w:lang w:val="en-US"/>
        </w:rPr>
        <w:t xml:space="preserve">. Internal teams will have more work to do if maintenance activities are moved in-house, which can necessitate hiring more staff or reorganizing roles. Recurring labor costs are </w:t>
      </w:r>
      <w:r w:rsidR="005C1CEF" w:rsidRPr="001B0189">
        <w:rPr>
          <w:rFonts w:ascii="Arial" w:hAnsi="Arial" w:cs="Arial"/>
          <w:lang w:val="en-US"/>
        </w:rPr>
        <w:t>introduced;</w:t>
      </w:r>
      <w:r w:rsidRPr="001B0189">
        <w:rPr>
          <w:rFonts w:ascii="Arial" w:hAnsi="Arial" w:cs="Arial"/>
          <w:lang w:val="en-US"/>
        </w:rPr>
        <w:t xml:space="preserve"> </w:t>
      </w:r>
      <w:proofErr w:type="gramStart"/>
      <w:r w:rsidRPr="001B0189">
        <w:rPr>
          <w:rFonts w:ascii="Arial" w:hAnsi="Arial" w:cs="Arial"/>
          <w:lang w:val="en-US"/>
        </w:rPr>
        <w:t>however</w:t>
      </w:r>
      <w:proofErr w:type="gramEnd"/>
      <w:r w:rsidRPr="001B0189">
        <w:rPr>
          <w:rFonts w:ascii="Arial" w:hAnsi="Arial" w:cs="Arial"/>
          <w:lang w:val="en-US"/>
        </w:rPr>
        <w:t xml:space="preserve"> these might be compensated for by lower OEM callout and service contract rates. To quantify this trade-off, a thorough cost comparison between internal labor and external service expenditures is required. This analysis is supported by reliability-based methods like Reliability-Centered Maintenance, which connect maintenance effort to system criticality and failure consequences (Moubray, 1997).</w:t>
      </w:r>
    </w:p>
    <w:p w14:paraId="4E4F18F1" w14:textId="2ED486CF" w:rsidR="001B0189" w:rsidRDefault="001B0189" w:rsidP="001B0189">
      <w:pPr>
        <w:spacing w:line="360" w:lineRule="auto"/>
        <w:rPr>
          <w:rFonts w:ascii="Arial" w:hAnsi="Arial" w:cs="Arial"/>
        </w:rPr>
      </w:pPr>
      <w:r w:rsidRPr="001B0189">
        <w:rPr>
          <w:rFonts w:ascii="Arial" w:hAnsi="Arial" w:cs="Arial"/>
        </w:rPr>
        <w:t>Another significant cost factor is the modification or renegotiation of the existing service agreement with AMADA. As internal capability increases, Safran Seats may reduce its reliance on comprehensive OEM coverage, shifting instead to a limited support or emergency-response contract. This could reduce fixed annual costs but may increase variable costs per intervention. The financial outcome will depend on machine reliability, failure frequency, and the effectiveness of in-house maintenance.</w:t>
      </w:r>
    </w:p>
    <w:p w14:paraId="1232827E" w14:textId="77777777" w:rsidR="005C1CEF" w:rsidRPr="005C1CEF" w:rsidRDefault="005C1CEF" w:rsidP="005C1CEF">
      <w:pPr>
        <w:spacing w:line="360" w:lineRule="auto"/>
        <w:rPr>
          <w:rFonts w:ascii="Arial" w:hAnsi="Arial" w:cs="Arial"/>
          <w:lang w:val="en-US"/>
        </w:rPr>
      </w:pPr>
      <w:r w:rsidRPr="005C1CEF">
        <w:rPr>
          <w:rFonts w:ascii="Arial" w:hAnsi="Arial" w:cs="Arial"/>
          <w:lang w:val="en-US"/>
        </w:rPr>
        <w:t>Investment in data analysis and maintenance monitoring systems is also necessary for implementation. To record maintenance activities, track failure trends, and support predictive maintenance programs, a Computerized Maintenance Management System (CMMS) or an improvement of current systems may be required. Expenses include personnel training, system integration, and the purchase or licensing of software. However, it has been demonstrated that data-driven maintenance lowers lifespan costs and enhances asset performance (Jardine et al., 2006).</w:t>
      </w:r>
    </w:p>
    <w:p w14:paraId="5EC7A463" w14:textId="77777777" w:rsidR="005C1CEF" w:rsidRPr="005C1CEF" w:rsidRDefault="005C1CEF" w:rsidP="005C1CEF">
      <w:pPr>
        <w:spacing w:line="360" w:lineRule="auto"/>
        <w:rPr>
          <w:rFonts w:ascii="Arial" w:hAnsi="Arial" w:cs="Arial"/>
          <w:lang w:val="en-US"/>
        </w:rPr>
      </w:pPr>
      <w:r w:rsidRPr="005C1CEF">
        <w:rPr>
          <w:rFonts w:ascii="Arial" w:hAnsi="Arial" w:cs="Arial"/>
          <w:lang w:val="en-US"/>
        </w:rPr>
        <w:t xml:space="preserve">Risk and compliance-related resource consequences exist in addition to monetary expenses. The obligation of guaranteeing compliance with safety regulations, operating protocols, and quality standards is introduced when maintenance tasks are internalized. The creation of risk assessments, audit procedures, and standard operating procedures </w:t>
      </w:r>
      <w:r w:rsidRPr="005C1CEF">
        <w:rPr>
          <w:rFonts w:ascii="Arial" w:hAnsi="Arial" w:cs="Arial"/>
          <w:lang w:val="en-US"/>
        </w:rPr>
        <w:lastRenderedPageBreak/>
        <w:t>(SOPs) may be necessary for this. Controlling and constantly improving these processes is ensured by alignment with ISO 9001 (ISO, 2015).</w:t>
      </w:r>
    </w:p>
    <w:p w14:paraId="67FAFB2A" w14:textId="2471950E" w:rsidR="005C1CEF" w:rsidRPr="005C1CEF" w:rsidRDefault="005C1CEF" w:rsidP="005C1CEF">
      <w:pPr>
        <w:spacing w:line="360" w:lineRule="auto"/>
        <w:rPr>
          <w:rFonts w:ascii="Arial" w:hAnsi="Arial" w:cs="Arial"/>
          <w:lang w:val="en-US"/>
        </w:rPr>
      </w:pPr>
      <w:r w:rsidRPr="005C1CEF">
        <w:rPr>
          <w:rFonts w:ascii="Arial" w:hAnsi="Arial" w:cs="Arial"/>
          <w:lang w:val="en-US"/>
        </w:rPr>
        <w:t xml:space="preserve">From a wider angle, weighing short-term investment versus long-term profits is the economic rationale for making these adjustments. The possible advantages include decreased downtime, quicker fault response, less reliance on outside contractors, and increased operational flexibility, even if the initial costs—training, tooling, and inventory—may be high. </w:t>
      </w:r>
      <w:r w:rsidRPr="005C1CEF">
        <w:rPr>
          <w:rFonts w:ascii="Arial" w:hAnsi="Arial" w:cs="Arial"/>
          <w:lang w:val="en-US"/>
        </w:rPr>
        <w:t>To</w:t>
      </w:r>
      <w:r w:rsidRPr="005C1CEF">
        <w:rPr>
          <w:rFonts w:ascii="Arial" w:hAnsi="Arial" w:cs="Arial"/>
          <w:lang w:val="en-US"/>
        </w:rPr>
        <w:t xml:space="preserve"> properly evaluate the return on investment, a lifecycle cost analysis is advised.</w:t>
      </w:r>
    </w:p>
    <w:p w14:paraId="0A9DAE70" w14:textId="39E6B8FB" w:rsidR="005C1CEF" w:rsidRDefault="005C1CEF">
      <w:pPr>
        <w:rPr>
          <w:rFonts w:ascii="Arial" w:hAnsi="Arial" w:cs="Arial"/>
          <w:lang w:val="en-US"/>
        </w:rPr>
      </w:pPr>
      <w:r>
        <w:rPr>
          <w:rFonts w:ascii="Arial" w:hAnsi="Arial" w:cs="Arial"/>
          <w:lang w:val="en-US"/>
        </w:rPr>
        <w:br w:type="page"/>
      </w:r>
    </w:p>
    <w:p w14:paraId="635336F8" w14:textId="37064A5E" w:rsidR="005E093A" w:rsidRDefault="005C1CEF" w:rsidP="005C1CEF">
      <w:pPr>
        <w:pStyle w:val="Heading1"/>
        <w:spacing w:line="360" w:lineRule="auto"/>
        <w:rPr>
          <w:rFonts w:ascii="Arial" w:hAnsi="Arial" w:cs="Arial"/>
          <w:sz w:val="32"/>
          <w:szCs w:val="32"/>
          <w:lang w:val="en-US"/>
        </w:rPr>
      </w:pPr>
      <w:r>
        <w:rPr>
          <w:rFonts w:ascii="Arial" w:hAnsi="Arial" w:cs="Arial"/>
          <w:sz w:val="32"/>
          <w:szCs w:val="32"/>
          <w:lang w:val="en-US"/>
        </w:rPr>
        <w:lastRenderedPageBreak/>
        <w:t>5 Conclusion</w:t>
      </w:r>
    </w:p>
    <w:p w14:paraId="2FEE6BE6" w14:textId="77777777" w:rsidR="005C1CEF" w:rsidRPr="005C1CEF" w:rsidRDefault="005C1CEF" w:rsidP="005C1CEF">
      <w:pPr>
        <w:spacing w:line="360" w:lineRule="auto"/>
        <w:rPr>
          <w:rFonts w:ascii="Arial" w:hAnsi="Arial" w:cs="Arial"/>
          <w:lang w:val="en-US"/>
        </w:rPr>
      </w:pPr>
      <w:r w:rsidRPr="005C1CEF">
        <w:rPr>
          <w:rFonts w:ascii="Arial" w:hAnsi="Arial" w:cs="Arial"/>
          <w:lang w:val="en-US"/>
        </w:rPr>
        <w:t xml:space="preserve">In conclusion, Safran Seats, Cwmbran's current maintenance plan for the AMADA EML AJ </w:t>
      </w:r>
      <w:proofErr w:type="gramStart"/>
      <w:r w:rsidRPr="005C1CEF">
        <w:rPr>
          <w:rFonts w:ascii="Arial" w:hAnsi="Arial" w:cs="Arial"/>
          <w:lang w:val="en-US"/>
        </w:rPr>
        <w:t>series—</w:t>
      </w:r>
      <w:proofErr w:type="gramEnd"/>
      <w:r w:rsidRPr="005C1CEF">
        <w:rPr>
          <w:rFonts w:ascii="Arial" w:hAnsi="Arial" w:cs="Arial"/>
          <w:lang w:val="en-US"/>
        </w:rPr>
        <w:t xml:space="preserve">which is entirely outsourced to </w:t>
      </w:r>
      <w:proofErr w:type="gramStart"/>
      <w:r w:rsidRPr="005C1CEF">
        <w:rPr>
          <w:rFonts w:ascii="Arial" w:hAnsi="Arial" w:cs="Arial"/>
          <w:lang w:val="en-US"/>
        </w:rPr>
        <w:t>AMADA—</w:t>
      </w:r>
      <w:proofErr w:type="gramEnd"/>
      <w:r w:rsidRPr="005C1CEF">
        <w:rPr>
          <w:rFonts w:ascii="Arial" w:hAnsi="Arial" w:cs="Arial"/>
          <w:lang w:val="en-US"/>
        </w:rPr>
        <w:t>offers a high degree of technical assurance, guaranteeing that the machine is maintained in accordance with manufacturer requirements and backed by specialized knowledge. Given the complexity of fiber laser systems, this strategy supports consistent machine performance and lowers the danger of incorrect servicing.</w:t>
      </w:r>
    </w:p>
    <w:p w14:paraId="339C6F32" w14:textId="77777777" w:rsidR="005C1CEF" w:rsidRDefault="005C1CEF" w:rsidP="005C1CEF">
      <w:pPr>
        <w:spacing w:line="360" w:lineRule="auto"/>
        <w:rPr>
          <w:rFonts w:ascii="Arial" w:hAnsi="Arial" w:cs="Arial"/>
          <w:lang w:val="en-US"/>
        </w:rPr>
      </w:pPr>
      <w:r w:rsidRPr="005C1CEF">
        <w:rPr>
          <w:rFonts w:ascii="Arial" w:hAnsi="Arial" w:cs="Arial"/>
          <w:lang w:val="en-US"/>
        </w:rPr>
        <w:t>Nevertheless, the study shows that this paradigm is not economically or operationally optimized. Extended reaction times during unscheduled outage, high ongoing service costs, and a lack of internal maintenance capabilities are some of the key drawbacks. These elements impede long-term adaptability and resilience by introducing inefficiencies and fostering a reliance on outside assistance.</w:t>
      </w:r>
      <w:r w:rsidRPr="005C1CEF">
        <w:rPr>
          <w:rFonts w:ascii="Arial" w:hAnsi="Arial" w:cs="Arial"/>
          <w:lang w:val="en-US"/>
        </w:rPr>
        <w:br/>
      </w:r>
      <w:r w:rsidRPr="005C1CEF">
        <w:rPr>
          <w:rFonts w:ascii="Arial" w:hAnsi="Arial" w:cs="Arial"/>
          <w:lang w:val="en-US"/>
        </w:rPr>
        <w:br/>
        <w:t>A more balanced approach can be found by switching to a hybrid maintenance method. Safran Seats might increase reaction times, cut expenses, and gain important internal knowledge by internalizing regular and low-risk maintenance chores while keeping OEM support for complicated and high-risk solutions. This change is consistent with known maintenance practices like Reliability-Centered Maintenance and the asset management principles described in ISO 55000, even if it necessitates an initial investment in training, equipment, and spare parts.</w:t>
      </w:r>
    </w:p>
    <w:p w14:paraId="608C42FE" w14:textId="77777777" w:rsidR="005C1CEF" w:rsidRPr="005C1CEF" w:rsidRDefault="005C1CEF" w:rsidP="005C1CEF">
      <w:pPr>
        <w:spacing w:line="360" w:lineRule="auto"/>
        <w:rPr>
          <w:rFonts w:ascii="Arial" w:hAnsi="Arial" w:cs="Arial"/>
          <w:lang w:val="en-US"/>
        </w:rPr>
      </w:pPr>
      <w:r w:rsidRPr="005C1CEF">
        <w:rPr>
          <w:rFonts w:ascii="Arial" w:hAnsi="Arial" w:cs="Arial"/>
          <w:lang w:val="en-US"/>
        </w:rPr>
        <w:t>A lifecycle cost study that balances the initial expenditure against long-term operational advantages should ultimately determine whether to change the current maintenance strategy. The suggested modifications could increase equipment availability, decrease downtime, and improve overall maintenance efficiency without sacrificing performance or safety if they are carried out in a controlled and organized manner.</w:t>
      </w:r>
    </w:p>
    <w:p w14:paraId="3DA63A63" w14:textId="77777777" w:rsidR="005C1CEF" w:rsidRPr="005C1CEF" w:rsidRDefault="005C1CEF" w:rsidP="005C1CEF">
      <w:pPr>
        <w:spacing w:line="360" w:lineRule="auto"/>
        <w:rPr>
          <w:rFonts w:ascii="Arial" w:hAnsi="Arial" w:cs="Arial"/>
          <w:lang w:val="en-US"/>
        </w:rPr>
      </w:pPr>
    </w:p>
    <w:p w14:paraId="01808EAA" w14:textId="77777777" w:rsidR="005C1CEF" w:rsidRPr="005C1CEF" w:rsidRDefault="005C1CEF" w:rsidP="005C1CEF">
      <w:pPr>
        <w:rPr>
          <w:lang w:val="en-US"/>
        </w:rPr>
      </w:pPr>
    </w:p>
    <w:p w14:paraId="4F219983" w14:textId="77777777" w:rsidR="002C3FC9" w:rsidRPr="002C3FC9" w:rsidRDefault="002C3FC9" w:rsidP="002C3FC9">
      <w:pPr>
        <w:spacing w:line="360" w:lineRule="auto"/>
        <w:rPr>
          <w:rFonts w:ascii="Arial" w:hAnsi="Arial" w:cs="Arial"/>
          <w:lang w:val="en-US"/>
        </w:rPr>
      </w:pPr>
    </w:p>
    <w:p w14:paraId="5D24B383" w14:textId="0E0E098E" w:rsidR="00C80B00" w:rsidRPr="005C1CEF" w:rsidRDefault="005C1CEF" w:rsidP="005C1CEF">
      <w:pPr>
        <w:pStyle w:val="Heading1"/>
        <w:rPr>
          <w:rFonts w:ascii="Arial" w:hAnsi="Arial" w:cs="Arial"/>
          <w:sz w:val="32"/>
          <w:szCs w:val="32"/>
          <w:lang w:val="en-US"/>
        </w:rPr>
      </w:pPr>
      <w:r>
        <w:rPr>
          <w:rFonts w:ascii="Arial" w:hAnsi="Arial" w:cs="Arial"/>
          <w:sz w:val="32"/>
          <w:szCs w:val="32"/>
          <w:lang w:val="en-US"/>
        </w:rPr>
        <w:lastRenderedPageBreak/>
        <w:t xml:space="preserve">6 Referencing </w:t>
      </w:r>
    </w:p>
    <w:p w14:paraId="54396BC0" w14:textId="745B8FFD" w:rsidR="005C1CEF" w:rsidRPr="005C1CEF" w:rsidRDefault="005C1CEF" w:rsidP="005C1CEF">
      <w:pPr>
        <w:rPr>
          <w:rFonts w:ascii="Arial" w:hAnsi="Arial" w:cs="Arial"/>
          <w:lang w:val="en-US"/>
        </w:rPr>
      </w:pPr>
      <w:r w:rsidRPr="005C1CEF">
        <w:rPr>
          <w:rFonts w:ascii="Arial" w:hAnsi="Arial" w:cs="Arial"/>
          <w:lang w:val="en-US"/>
        </w:rPr>
        <w:t xml:space="preserve">ISO (2014) </w:t>
      </w:r>
      <w:r w:rsidRPr="005C1CEF">
        <w:rPr>
          <w:rFonts w:ascii="Arial" w:hAnsi="Arial" w:cs="Arial"/>
          <w:i/>
          <w:iCs/>
          <w:lang w:val="en-US"/>
        </w:rPr>
        <w:t>ISO 55000: Asset management – Overview, principles and terminology</w:t>
      </w:r>
      <w:r w:rsidRPr="005C1CEF">
        <w:rPr>
          <w:rFonts w:ascii="Arial" w:hAnsi="Arial" w:cs="Arial"/>
          <w:lang w:val="en-US"/>
        </w:rPr>
        <w:t xml:space="preserve">. Geneva: International Organization for Standardization. </w:t>
      </w:r>
    </w:p>
    <w:p w14:paraId="39E78063" w14:textId="1C4A95A5" w:rsidR="005C1CEF" w:rsidRPr="005C1CEF" w:rsidRDefault="005C1CEF" w:rsidP="005C1CEF">
      <w:pPr>
        <w:rPr>
          <w:rFonts w:ascii="Arial" w:hAnsi="Arial" w:cs="Arial"/>
          <w:lang w:val="en-US"/>
        </w:rPr>
      </w:pPr>
      <w:r w:rsidRPr="005C1CEF">
        <w:rPr>
          <w:rFonts w:ascii="Arial" w:hAnsi="Arial" w:cs="Arial"/>
          <w:lang w:val="en-US"/>
        </w:rPr>
        <w:t xml:space="preserve">ISO (2015) </w:t>
      </w:r>
      <w:r w:rsidRPr="005C1CEF">
        <w:rPr>
          <w:rFonts w:ascii="Arial" w:hAnsi="Arial" w:cs="Arial"/>
          <w:i/>
          <w:iCs/>
          <w:lang w:val="en-US"/>
        </w:rPr>
        <w:t>ISO 9001: Quality management systems – Requirements</w:t>
      </w:r>
      <w:r w:rsidRPr="005C1CEF">
        <w:rPr>
          <w:rFonts w:ascii="Arial" w:hAnsi="Arial" w:cs="Arial"/>
          <w:lang w:val="en-US"/>
        </w:rPr>
        <w:t xml:space="preserve">. Geneva: International Organization for Standardization. </w:t>
      </w:r>
    </w:p>
    <w:p w14:paraId="0135356D" w14:textId="5CAE0D8C" w:rsidR="005C1CEF" w:rsidRPr="005C1CEF" w:rsidRDefault="005C1CEF" w:rsidP="005C1CEF">
      <w:pPr>
        <w:rPr>
          <w:rFonts w:ascii="Arial" w:hAnsi="Arial" w:cs="Arial"/>
          <w:lang w:val="en-US"/>
        </w:rPr>
      </w:pPr>
      <w:r w:rsidRPr="005C1CEF">
        <w:rPr>
          <w:rFonts w:ascii="Arial" w:hAnsi="Arial" w:cs="Arial"/>
          <w:lang w:val="en-US"/>
        </w:rPr>
        <w:t xml:space="preserve">ISO (2018) </w:t>
      </w:r>
      <w:r w:rsidRPr="005C1CEF">
        <w:rPr>
          <w:rFonts w:ascii="Arial" w:hAnsi="Arial" w:cs="Arial"/>
          <w:i/>
          <w:iCs/>
          <w:lang w:val="en-US"/>
        </w:rPr>
        <w:t>ISO 17359: Condition monitoring and diagnostics of machines – General guidelines</w:t>
      </w:r>
      <w:r w:rsidRPr="005C1CEF">
        <w:rPr>
          <w:rFonts w:ascii="Arial" w:hAnsi="Arial" w:cs="Arial"/>
          <w:lang w:val="en-US"/>
        </w:rPr>
        <w:t xml:space="preserve">. Geneva: International Organization for Standardization. </w:t>
      </w:r>
    </w:p>
    <w:p w14:paraId="714F59CE" w14:textId="223815EE" w:rsidR="005C1CEF" w:rsidRPr="005C1CEF" w:rsidRDefault="005C1CEF" w:rsidP="005C1CEF">
      <w:pPr>
        <w:rPr>
          <w:rFonts w:ascii="Arial" w:hAnsi="Arial" w:cs="Arial"/>
          <w:lang w:val="en-US"/>
        </w:rPr>
      </w:pPr>
      <w:r w:rsidRPr="005C1CEF">
        <w:rPr>
          <w:rFonts w:ascii="Arial" w:hAnsi="Arial" w:cs="Arial"/>
          <w:lang w:val="en-US"/>
        </w:rPr>
        <w:t xml:space="preserve">Jardine, A.K.S., Lin, D. and Banjevic, D. (2006) ‘A review on machinery diagnostics and prognostics implementing condition-based maintenance’, </w:t>
      </w:r>
      <w:r w:rsidRPr="005C1CEF">
        <w:rPr>
          <w:rFonts w:ascii="Arial" w:hAnsi="Arial" w:cs="Arial"/>
          <w:i/>
          <w:iCs/>
          <w:lang w:val="en-US"/>
        </w:rPr>
        <w:t>Mechanical Systems and Signal Processing</w:t>
      </w:r>
      <w:r w:rsidRPr="005C1CEF">
        <w:rPr>
          <w:rFonts w:ascii="Arial" w:hAnsi="Arial" w:cs="Arial"/>
          <w:lang w:val="en-US"/>
        </w:rPr>
        <w:t xml:space="preserve">, 20(7), pp. 1483–1510. </w:t>
      </w:r>
    </w:p>
    <w:p w14:paraId="180DA7B5" w14:textId="62639AD7" w:rsidR="00C43866" w:rsidRPr="00C43866" w:rsidRDefault="005C1CEF" w:rsidP="005C1CEF">
      <w:pPr>
        <w:rPr>
          <w:rFonts w:ascii="Arial" w:hAnsi="Arial" w:cs="Arial"/>
          <w:lang w:val="en-US"/>
        </w:rPr>
      </w:pPr>
      <w:r w:rsidRPr="005C1CEF">
        <w:rPr>
          <w:rFonts w:ascii="Arial" w:hAnsi="Arial" w:cs="Arial"/>
          <w:lang w:val="en-US"/>
        </w:rPr>
        <w:t xml:space="preserve">Mobley, R.K. (2002) </w:t>
      </w:r>
      <w:r w:rsidRPr="005C1CEF">
        <w:rPr>
          <w:rFonts w:ascii="Arial" w:hAnsi="Arial" w:cs="Arial"/>
          <w:i/>
          <w:iCs/>
          <w:lang w:val="en-US"/>
        </w:rPr>
        <w:t>An Introduction to Predictive Maintenance</w:t>
      </w:r>
      <w:r w:rsidRPr="005C1CEF">
        <w:rPr>
          <w:rFonts w:ascii="Arial" w:hAnsi="Arial" w:cs="Arial"/>
          <w:lang w:val="en-US"/>
        </w:rPr>
        <w:t xml:space="preserve">. 2nd </w:t>
      </w:r>
      <w:proofErr w:type="gramStart"/>
      <w:r w:rsidRPr="005C1CEF">
        <w:rPr>
          <w:rFonts w:ascii="Arial" w:hAnsi="Arial" w:cs="Arial"/>
          <w:lang w:val="en-US"/>
        </w:rPr>
        <w:t>edn</w:t>
      </w:r>
      <w:proofErr w:type="gramEnd"/>
      <w:r w:rsidRPr="005C1CEF">
        <w:rPr>
          <w:rFonts w:ascii="Arial" w:hAnsi="Arial" w:cs="Arial"/>
          <w:lang w:val="en-US"/>
        </w:rPr>
        <w:t>. Burlington: Butterworth-Heinemann.</w:t>
      </w:r>
    </w:p>
    <w:sectPr w:rsidR="00C43866" w:rsidRPr="00C43866">
      <w:headerReference w:type="even" r:id="rId7"/>
      <w:headerReference w:type="default" r:id="rId8"/>
      <w:headerReference w:type="firs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28128" w14:textId="77777777" w:rsidR="0038055C" w:rsidRDefault="0038055C">
      <w:pPr>
        <w:spacing w:after="0" w:line="240" w:lineRule="auto"/>
      </w:pPr>
    </w:p>
  </w:endnote>
  <w:endnote w:type="continuationSeparator" w:id="0">
    <w:p w14:paraId="7D290A27" w14:textId="77777777" w:rsidR="0038055C" w:rsidRDefault="0038055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3EA42" w14:textId="77777777" w:rsidR="0038055C" w:rsidRDefault="0038055C">
      <w:pPr>
        <w:spacing w:after="0" w:line="240" w:lineRule="auto"/>
      </w:pPr>
    </w:p>
  </w:footnote>
  <w:footnote w:type="continuationSeparator" w:id="0">
    <w:p w14:paraId="1CD9F48D" w14:textId="77777777" w:rsidR="0038055C" w:rsidRDefault="0038055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22DDB" w14:textId="77777777" w:rsidR="00EA50C2" w:rsidRDefault="00EA50C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748DA3" w14:textId="77777777" w:rsidR="00EA50C2" w:rsidRDefault="00EA50C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C21EE7" w14:textId="77777777" w:rsidR="00EA50C2" w:rsidRDefault="00EA50C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7E1"/>
    <w:rsid w:val="0003683B"/>
    <w:rsid w:val="000A7657"/>
    <w:rsid w:val="001B0189"/>
    <w:rsid w:val="0020019A"/>
    <w:rsid w:val="002A694B"/>
    <w:rsid w:val="002C3FC9"/>
    <w:rsid w:val="00314A06"/>
    <w:rsid w:val="0038055C"/>
    <w:rsid w:val="00405D5E"/>
    <w:rsid w:val="005C1CEF"/>
    <w:rsid w:val="005E093A"/>
    <w:rsid w:val="006317B9"/>
    <w:rsid w:val="00653308"/>
    <w:rsid w:val="006705BE"/>
    <w:rsid w:val="0076038A"/>
    <w:rsid w:val="00950FCA"/>
    <w:rsid w:val="009679F9"/>
    <w:rsid w:val="009F5524"/>
    <w:rsid w:val="00B26921"/>
    <w:rsid w:val="00B72E6B"/>
    <w:rsid w:val="00B92DE9"/>
    <w:rsid w:val="00BD113B"/>
    <w:rsid w:val="00C226DC"/>
    <w:rsid w:val="00C43866"/>
    <w:rsid w:val="00C80B00"/>
    <w:rsid w:val="00CB2901"/>
    <w:rsid w:val="00DA3D8D"/>
    <w:rsid w:val="00DF5E5E"/>
    <w:rsid w:val="00EA50C2"/>
    <w:rsid w:val="00F6401E"/>
    <w:rsid w:val="00FB67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EC63E"/>
  <w15:chartTrackingRefBased/>
  <w15:docId w15:val="{F38B03BD-B8D5-44D0-832D-CE2972F30A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B67E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B67E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B67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B67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B67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B67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B67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B67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B67E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67E1"/>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semiHidden/>
    <w:rsid w:val="00FB67E1"/>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FB67E1"/>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FB67E1"/>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FB67E1"/>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FB67E1"/>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FB67E1"/>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FB67E1"/>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FB67E1"/>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FB67E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B67E1"/>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FB67E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B67E1"/>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FB67E1"/>
    <w:pPr>
      <w:spacing w:before="160"/>
      <w:jc w:val="center"/>
    </w:pPr>
    <w:rPr>
      <w:i/>
      <w:iCs/>
      <w:color w:val="404040" w:themeColor="text1" w:themeTint="BF"/>
    </w:rPr>
  </w:style>
  <w:style w:type="character" w:customStyle="1" w:styleId="QuoteChar">
    <w:name w:val="Quote Char"/>
    <w:basedOn w:val="DefaultParagraphFont"/>
    <w:link w:val="Quote"/>
    <w:uiPriority w:val="29"/>
    <w:rsid w:val="00FB67E1"/>
    <w:rPr>
      <w:i/>
      <w:iCs/>
      <w:color w:val="404040" w:themeColor="text1" w:themeTint="BF"/>
      <w:lang w:val="en-GB"/>
    </w:rPr>
  </w:style>
  <w:style w:type="paragraph" w:styleId="ListParagraph">
    <w:name w:val="List Paragraph"/>
    <w:basedOn w:val="Normal"/>
    <w:uiPriority w:val="34"/>
    <w:qFormat/>
    <w:rsid w:val="00FB67E1"/>
    <w:pPr>
      <w:ind w:left="720"/>
      <w:contextualSpacing/>
    </w:pPr>
  </w:style>
  <w:style w:type="character" w:styleId="IntenseEmphasis">
    <w:name w:val="Intense Emphasis"/>
    <w:basedOn w:val="DefaultParagraphFont"/>
    <w:uiPriority w:val="21"/>
    <w:qFormat/>
    <w:rsid w:val="00FB67E1"/>
    <w:rPr>
      <w:i/>
      <w:iCs/>
      <w:color w:val="0F4761" w:themeColor="accent1" w:themeShade="BF"/>
    </w:rPr>
  </w:style>
  <w:style w:type="paragraph" w:styleId="IntenseQuote">
    <w:name w:val="Intense Quote"/>
    <w:basedOn w:val="Normal"/>
    <w:next w:val="Normal"/>
    <w:link w:val="IntenseQuoteChar"/>
    <w:uiPriority w:val="30"/>
    <w:qFormat/>
    <w:rsid w:val="00FB67E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B67E1"/>
    <w:rPr>
      <w:i/>
      <w:iCs/>
      <w:color w:val="0F4761" w:themeColor="accent1" w:themeShade="BF"/>
      <w:lang w:val="en-GB"/>
    </w:rPr>
  </w:style>
  <w:style w:type="character" w:styleId="IntenseReference">
    <w:name w:val="Intense Reference"/>
    <w:basedOn w:val="DefaultParagraphFont"/>
    <w:uiPriority w:val="32"/>
    <w:qFormat/>
    <w:rsid w:val="00FB67E1"/>
    <w:rPr>
      <w:b/>
      <w:bCs/>
      <w:smallCaps/>
      <w:color w:val="0F4761" w:themeColor="accent1" w:themeShade="BF"/>
      <w:spacing w:val="5"/>
    </w:rPr>
  </w:style>
  <w:style w:type="paragraph" w:styleId="Header">
    <w:name w:val="header"/>
    <w:basedOn w:val="Normal"/>
    <w:link w:val="HeaderChar"/>
    <w:uiPriority w:val="99"/>
    <w:unhideWhenUsed/>
    <w:rsid w:val="00EA50C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A50C2"/>
    <w:rPr>
      <w:lang w:val="en-GB"/>
    </w:rPr>
  </w:style>
  <w:style w:type="paragraph" w:styleId="TOCHeading">
    <w:name w:val="TOC Heading"/>
    <w:basedOn w:val="Heading1"/>
    <w:next w:val="Normal"/>
    <w:uiPriority w:val="39"/>
    <w:unhideWhenUsed/>
    <w:qFormat/>
    <w:rsid w:val="002A694B"/>
    <w:pPr>
      <w:spacing w:before="240" w:after="0" w:line="259" w:lineRule="auto"/>
      <w:outlineLvl w:val="9"/>
    </w:pPr>
    <w:rPr>
      <w:kern w:val="0"/>
      <w:sz w:val="32"/>
      <w:szCs w:val="3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0E6C84-80D8-4763-A6EA-CE6A8B08F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14</Pages>
  <Words>2994</Words>
  <Characters>17070</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SAFRAN</Company>
  <LinksUpToDate>false</LinksUpToDate>
  <CharactersWithSpaces>20024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EVANS Morgan (SAFRAN SEATS)</dc:creator>
  <cp:keywords/>
  <dc:description/>
  <cp:lastModifiedBy>EVANS Morgan (SAFRAN SEATS)</cp:lastModifiedBy>
  <cp:revision>7</cp:revision>
  <dcterms:created xsi:type="dcterms:W3CDTF">2026-03-26T13:03:00Z</dcterms:created>
  <dcterms:modified xsi:type="dcterms:W3CDTF">2026-04-18T06:31:00Z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4ffcea-f25b-491e-9dc9-834516f3550e_Enabled">
    <vt:lpwstr>true</vt:lpwstr>
  </property>
  <property fmtid="{D5CDD505-2E9C-101B-9397-08002B2CF9AE}" pid="3" name="MSIP_Label_024ffcea-f25b-491e-9dc9-834516f3550e_SetDate">
    <vt:lpwstr>2026-04-04T12:18:32Z</vt:lpwstr>
  </property>
  <property fmtid="{D5CDD505-2E9C-101B-9397-08002B2CF9AE}" pid="4" name="MSIP_Label_024ffcea-f25b-491e-9dc9-834516f3550e_Method">
    <vt:lpwstr>Standard</vt:lpwstr>
  </property>
  <property fmtid="{D5CDD505-2E9C-101B-9397-08002B2CF9AE}" pid="5" name="MSIP_Label_024ffcea-f25b-491e-9dc9-834516f3550e_Name">
    <vt:lpwstr>C2 - restricted</vt:lpwstr>
  </property>
  <property fmtid="{D5CDD505-2E9C-101B-9397-08002B2CF9AE}" pid="6" name="MSIP_Label_024ffcea-f25b-491e-9dc9-834516f3550e_SiteId">
    <vt:lpwstr>d52b49b7-0c8f-4d89-8c4f-f20517306e08</vt:lpwstr>
  </property>
  <property fmtid="{D5CDD505-2E9C-101B-9397-08002B2CF9AE}" pid="7" name="MSIP_Label_024ffcea-f25b-491e-9dc9-834516f3550e_ActionId">
    <vt:lpwstr>1e6ed027-a84a-4a8d-87b4-0be025d075e8</vt:lpwstr>
  </property>
  <property fmtid="{D5CDD505-2E9C-101B-9397-08002B2CF9AE}" pid="8" name="MSIP_Label_024ffcea-f25b-491e-9dc9-834516f3550e_ContentBits">
    <vt:lpwstr>1</vt:lpwstr>
  </property>
  <property fmtid="{D5CDD505-2E9C-101B-9397-08002B2CF9AE}" pid="9" name="MSIP_Label_024ffcea-f25b-491e-9dc9-834516f3550e_Tag">
    <vt:lpwstr>10, 3, 0, 1</vt:lpwstr>
  </property>
</Properties>
</file>