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7B292" w14:textId="12565FBE" w:rsidR="006A7750" w:rsidRDefault="00791D1D" w:rsidP="00F33A0F">
      <w:pPr>
        <w:tabs>
          <w:tab w:val="left" w:pos="6300"/>
        </w:tabs>
      </w:pPr>
      <w:bookmarkStart w:id="0" w:name="_Hlk130188385"/>
      <w:bookmarkEnd w:id="0"/>
      <w:r>
        <w:t xml:space="preserve">Banafshe </w:t>
      </w:r>
      <w:proofErr w:type="spellStart"/>
      <w:r>
        <w:t>B</w:t>
      </w:r>
      <w:r w:rsidR="00F33A0F">
        <w:t>arzegarsaadi</w:t>
      </w:r>
      <w:proofErr w:type="spellEnd"/>
      <w:r w:rsidR="00F33A0F">
        <w:tab/>
        <w:t>student number:2215168</w:t>
      </w:r>
    </w:p>
    <w:p w14:paraId="3B68EA20" w14:textId="24FD2E78" w:rsidR="006A7750" w:rsidRPr="006A7750" w:rsidRDefault="006A7750" w:rsidP="00A601BB">
      <w:pPr>
        <w:rPr>
          <w:color w:val="4472C4" w:themeColor="accent1"/>
          <w:sz w:val="48"/>
          <w:szCs w:val="48"/>
        </w:rPr>
      </w:pPr>
      <w:r w:rsidRPr="006A7750">
        <w:rPr>
          <w:color w:val="4472C4" w:themeColor="accent1"/>
          <w:sz w:val="48"/>
          <w:szCs w:val="48"/>
        </w:rPr>
        <w:t>Task 1:</w:t>
      </w:r>
    </w:p>
    <w:p w14:paraId="3CFF6ABC" w14:textId="77777777" w:rsidR="006A7750" w:rsidRDefault="006A7750" w:rsidP="00A601BB"/>
    <w:p w14:paraId="40FC4EB8" w14:textId="42EA9914" w:rsidR="00F816DE" w:rsidRDefault="00F816DE" w:rsidP="00A601BB">
      <w:r>
        <w:t xml:space="preserve">To: </w:t>
      </w:r>
      <w:r w:rsidR="0089434E">
        <w:t>Moneymaker@yahoo.com</w:t>
      </w:r>
      <w:r w:rsidR="00A601BB">
        <w:t xml:space="preserve">     </w:t>
      </w:r>
    </w:p>
    <w:p w14:paraId="77316BBC" w14:textId="05DD02C0" w:rsidR="00F816DE" w:rsidRDefault="00232DF5" w:rsidP="00A601BB">
      <w:r>
        <w:t>Subject: advice for investment</w:t>
      </w:r>
    </w:p>
    <w:p w14:paraId="795B226C" w14:textId="77777777" w:rsidR="00F816DE" w:rsidRDefault="00F816DE" w:rsidP="00A601BB"/>
    <w:p w14:paraId="34D5A7FD" w14:textId="77777777" w:rsidR="00F816DE" w:rsidRDefault="00F816DE" w:rsidP="00A601BB"/>
    <w:p w14:paraId="0F7A6804" w14:textId="384471FC" w:rsidR="00A601BB" w:rsidRDefault="00A601BB" w:rsidP="00A601BB">
      <w:r>
        <w:t xml:space="preserve">                                                                </w:t>
      </w:r>
      <w:r>
        <w:rPr>
          <w:noProof/>
        </w:rPr>
        <w:drawing>
          <wp:inline distT="0" distB="0" distL="0" distR="0" wp14:anchorId="310E4BDC" wp14:editId="607E018D">
            <wp:extent cx="1272540" cy="1371600"/>
            <wp:effectExtent l="0" t="0" r="381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2540" cy="1371600"/>
                    </a:xfrm>
                    <a:prstGeom prst="rect">
                      <a:avLst/>
                    </a:prstGeom>
                    <a:noFill/>
                    <a:ln>
                      <a:noFill/>
                    </a:ln>
                  </pic:spPr>
                </pic:pic>
              </a:graphicData>
            </a:graphic>
          </wp:inline>
        </w:drawing>
      </w:r>
    </w:p>
    <w:p w14:paraId="65F5287C" w14:textId="77777777" w:rsidR="00A601BB" w:rsidRDefault="00A601BB" w:rsidP="00A601BB"/>
    <w:p w14:paraId="091EFE62" w14:textId="77777777" w:rsidR="00A601BB" w:rsidRDefault="00A601BB" w:rsidP="00A601BB"/>
    <w:p w14:paraId="0511A735" w14:textId="52421A11" w:rsidR="00A601BB" w:rsidRDefault="00A601BB" w:rsidP="00A601BB">
      <w:r>
        <w:t>Thank you for contacting Lawyers Law Firm</w:t>
      </w:r>
      <w:r w:rsidR="00A67CCE">
        <w:t xml:space="preserve"> MR</w:t>
      </w:r>
      <w:r w:rsidR="00E37025">
        <w:t xml:space="preserve"> </w:t>
      </w:r>
      <w:r w:rsidR="00290252">
        <w:t>Money-maker</w:t>
      </w:r>
      <w:r>
        <w:t xml:space="preserve">. </w:t>
      </w:r>
      <w:r w:rsidR="001B0D5F" w:rsidRPr="001B0D5F">
        <w:t xml:space="preserve">We are not certified by the Financial Conduct Authority under FSMA, as are most legal firms. </w:t>
      </w:r>
      <w:hyperlink r:id="rId9" w:history="1">
        <w:r w:rsidR="001B0D5F" w:rsidRPr="0022270D">
          <w:rPr>
            <w:rStyle w:val="Hyperlink"/>
          </w:rPr>
          <w:t>The Solicitors Regulation Authority “SRA" </w:t>
        </w:r>
      </w:hyperlink>
      <w:r w:rsidR="001B0D5F" w:rsidRPr="001B0D5F">
        <w:t>as an alternative authorises and regulates us (SRA ID 2215168)</w:t>
      </w:r>
      <w:r w:rsidR="008414AE">
        <w:t xml:space="preserve"> </w:t>
      </w:r>
      <w:r w:rsidR="00701488">
        <w:t>(</w:t>
      </w:r>
      <w:r w:rsidR="004D63C5">
        <w:t xml:space="preserve">A. </w:t>
      </w:r>
      <w:r w:rsidR="008414AE" w:rsidRPr="008414AE">
        <w:t xml:space="preserve">Solicitor regulation authority </w:t>
      </w:r>
      <w:r w:rsidR="008414AE">
        <w:t>).</w:t>
      </w:r>
      <w:r w:rsidR="001B0D5F" w:rsidRPr="001B0D5F">
        <w:t xml:space="preserve">The Law Society is a recognized professional organisation for the provisions of </w:t>
      </w:r>
      <w:hyperlink r:id="rId10" w:history="1">
        <w:r w:rsidR="001B0D5F" w:rsidRPr="00966393">
          <w:rPr>
            <w:rStyle w:val="Hyperlink"/>
          </w:rPr>
          <w:t>FSMA</w:t>
        </w:r>
      </w:hyperlink>
      <w:r w:rsidR="001B0D5F" w:rsidRPr="001B0D5F">
        <w:t>, although authority for regulation and complaint processing has been removed from the Law Society's representational role</w:t>
      </w:r>
      <w:r w:rsidR="009439F5">
        <w:t xml:space="preserve"> (</w:t>
      </w:r>
      <w:r w:rsidR="00226278">
        <w:t>A.</w:t>
      </w:r>
      <w:r w:rsidR="00950B88">
        <w:t xml:space="preserve"> FSMA</w:t>
      </w:r>
      <w:r w:rsidR="009439F5" w:rsidRPr="009439F5">
        <w:t xml:space="preserve"> 2000</w:t>
      </w:r>
      <w:r w:rsidR="00EF2C1B">
        <w:t>).</w:t>
      </w:r>
      <w:r w:rsidR="001B0D5F" w:rsidRPr="001B0D5F">
        <w:t xml:space="preserve"> The SRA is the Law Society's separate regulating agency, and the Legal Authority handles complaints regarding attorneys registered in England and Wales.</w:t>
      </w:r>
      <w:r w:rsidR="0006374D" w:rsidRPr="0006374D">
        <w:t xml:space="preserve"> We provide some investment-related services (such as insurance distribution companies) </w:t>
      </w:r>
      <w:hyperlink r:id="rId11" w:history="1">
        <w:r w:rsidR="0006374D" w:rsidRPr="00C139B9">
          <w:rPr>
            <w:rStyle w:val="Hyperlink"/>
          </w:rPr>
          <w:t>We are listed on a register established by the FCA for the use of insurance distribution operations (generally, advising on, selling, and administering insurance contracts) and are authorised by the FCA to take out insurance distribution activities as an additional insurance administrator</w:t>
        </w:r>
      </w:hyperlink>
      <w:r w:rsidR="0006374D" w:rsidRPr="0006374D">
        <w:t xml:space="preserve">. </w:t>
      </w:r>
      <w:r w:rsidR="00B14D39">
        <w:t>(</w:t>
      </w:r>
      <w:r w:rsidR="00A017D7">
        <w:t>A.</w:t>
      </w:r>
      <w:r w:rsidR="00422065">
        <w:t>FCA</w:t>
      </w:r>
      <w:r w:rsidR="000C795D">
        <w:t xml:space="preserve"> 2023</w:t>
      </w:r>
      <w:r w:rsidR="00B14D39">
        <w:t>).</w:t>
      </w:r>
    </w:p>
    <w:p w14:paraId="62DD0996" w14:textId="4D9309CC" w:rsidR="0006374D" w:rsidRDefault="000416E4" w:rsidP="00A601BB">
      <w:r w:rsidRPr="000416E4">
        <w:t xml:space="preserve">We are not entitled under </w:t>
      </w:r>
      <w:r w:rsidRPr="008651CA">
        <w:t>FSMA</w:t>
      </w:r>
      <w:r w:rsidR="00140A0A">
        <w:t>2000</w:t>
      </w:r>
      <w:r w:rsidRPr="000416E4">
        <w:t xml:space="preserve"> to express invitations or inducements to engage in investing activities unless they have been accepted by an appropriate authority or are excepted from such authorisation. We are preserved exclusively to provide legal and, where relevant, tax guidance to our customers, but nothing we say or do should be understood as investment or financial advice to anyone on the obtaining or possession of specific investments, such as insurance contracts</w:t>
      </w:r>
      <w:r w:rsidR="00A67DFF">
        <w:t>.</w:t>
      </w:r>
    </w:p>
    <w:p w14:paraId="06282011" w14:textId="1066DE39" w:rsidR="00B77190" w:rsidRDefault="00B77190" w:rsidP="00B77190">
      <w:r>
        <w:t>The guidelines</w:t>
      </w:r>
      <w:r w:rsidR="00B061EC">
        <w:t xml:space="preserve"> of SRA</w:t>
      </w:r>
      <w:r>
        <w:t xml:space="preserve"> reflect the 'outcomes-focused' control of solicitors and provide advice responsibilities to their clients. The emphasis is on positive customer results</w:t>
      </w:r>
      <w:r w:rsidR="005F44F7">
        <w:t>.</w:t>
      </w:r>
      <w:r w:rsidR="00827205">
        <w:t xml:space="preserve"> Below I listed some schemes that you can </w:t>
      </w:r>
      <w:r w:rsidR="00D12F6F">
        <w:t>rely on</w:t>
      </w:r>
      <w:r w:rsidR="00827205">
        <w:t xml:space="preserve"> an</w:t>
      </w:r>
      <w:r w:rsidR="000B5B41">
        <w:t>d think about:</w:t>
      </w:r>
    </w:p>
    <w:p w14:paraId="580BE3EC" w14:textId="01E29BAC" w:rsidR="000416E4" w:rsidRPr="005965EA" w:rsidRDefault="005965EA" w:rsidP="00A601BB">
      <w:pPr>
        <w:rPr>
          <w:sz w:val="32"/>
          <w:szCs w:val="32"/>
        </w:rPr>
      </w:pPr>
      <w:r w:rsidRPr="005965EA">
        <w:rPr>
          <w:sz w:val="32"/>
          <w:szCs w:val="32"/>
        </w:rPr>
        <w:t>Equity share</w:t>
      </w:r>
    </w:p>
    <w:p w14:paraId="2CF6D269" w14:textId="3C71EC6C" w:rsidR="001B0D5F" w:rsidRDefault="005965EA" w:rsidP="00A601BB">
      <w:r w:rsidRPr="005965EA">
        <w:t xml:space="preserve">One type of fundraising follows the same ideas as reward-based sharing, but instead of receiving reductions or additional content, each participant receives shares in the company. This, of course, </w:t>
      </w:r>
      <w:r w:rsidRPr="005965EA">
        <w:lastRenderedPageBreak/>
        <w:t>implies they will be financially rewarded if the company succeeds, but they will also lost their investments if the organization fails.</w:t>
      </w:r>
    </w:p>
    <w:p w14:paraId="0D1C69CF" w14:textId="22747245" w:rsidR="005965EA" w:rsidRDefault="005965EA" w:rsidP="005965EA">
      <w:r>
        <w:t xml:space="preserve">Fundraiser and </w:t>
      </w:r>
      <w:proofErr w:type="spellStart"/>
      <w:r>
        <w:t>Seedrs</w:t>
      </w:r>
      <w:proofErr w:type="spellEnd"/>
      <w:r>
        <w:t xml:space="preserve"> are two equities share financing platforms that can help with this technique.</w:t>
      </w:r>
    </w:p>
    <w:p w14:paraId="406363DB" w14:textId="4A658D01" w:rsidR="005965EA" w:rsidRDefault="005965EA" w:rsidP="005965EA">
      <w:r>
        <w:t xml:space="preserve">Equity-based fundraising is a regulated activity in the United Kingdom under the </w:t>
      </w:r>
      <w:hyperlink r:id="rId12" w:history="1">
        <w:r w:rsidR="006D3C21" w:rsidRPr="00FA3EA0">
          <w:rPr>
            <w:rStyle w:val="Hyperlink"/>
          </w:rPr>
          <w:t>FSMA</w:t>
        </w:r>
        <w:r w:rsidRPr="00FA3EA0">
          <w:rPr>
            <w:rStyle w:val="Hyperlink"/>
          </w:rPr>
          <w:t xml:space="preserve"> 2000.</w:t>
        </w:r>
      </w:hyperlink>
      <w:r w:rsidR="00BD48B3">
        <w:t>(</w:t>
      </w:r>
      <w:r w:rsidR="00213BC7">
        <w:t xml:space="preserve"> </w:t>
      </w:r>
      <w:r w:rsidR="00226278">
        <w:t xml:space="preserve">B. </w:t>
      </w:r>
      <w:r w:rsidR="00422065">
        <w:t>FSMA</w:t>
      </w:r>
      <w:r w:rsidR="00213BC7">
        <w:t xml:space="preserve"> 2000)</w:t>
      </w:r>
    </w:p>
    <w:p w14:paraId="66D995FA" w14:textId="40684B44" w:rsidR="00D043E7" w:rsidRDefault="00D043E7" w:rsidP="005965EA">
      <w:pPr>
        <w:rPr>
          <w:sz w:val="32"/>
          <w:szCs w:val="32"/>
        </w:rPr>
      </w:pPr>
      <w:r>
        <w:rPr>
          <w:sz w:val="32"/>
          <w:szCs w:val="32"/>
        </w:rPr>
        <w:t>Unit</w:t>
      </w:r>
    </w:p>
    <w:p w14:paraId="56484830" w14:textId="2AEE3D2B" w:rsidR="00D043E7" w:rsidRPr="00D043E7" w:rsidRDefault="00D043E7" w:rsidP="00D043E7">
      <w:r>
        <w:t>The designated investment class of units in a collectively financial plan comprises units in a unit trust strategy or an allowed contractual plan, interests in open-ended investment firms, and rights in most limited companies. Interests or assets in an open-ended investment firm are considered differently from interests in other corporations. They are not included in the defined investment category of stocks. This does not indicate that they are not investments; rather, they are dealt universally in the same manner as units in other types of collective investment schemes.</w:t>
      </w:r>
    </w:p>
    <w:p w14:paraId="06C1C86D" w14:textId="10A943F5" w:rsidR="00D043E7" w:rsidRPr="00A43DCA" w:rsidRDefault="00A43DCA" w:rsidP="005965EA">
      <w:r w:rsidRPr="00A43DCA">
        <w:t>As a result, when an open-ended investor group issues its shares, it is subject to the prohibitions on the marketing of collective investment plan set out in Section 238 of the Act</w:t>
      </w:r>
      <w:r w:rsidR="009A7370">
        <w:t>(</w:t>
      </w:r>
      <w:r w:rsidR="00BE7B01">
        <w:t xml:space="preserve">C. </w:t>
      </w:r>
      <w:r w:rsidR="00815DAC">
        <w:t>FSMA</w:t>
      </w:r>
      <w:r w:rsidR="00887D1E">
        <w:t xml:space="preserve"> 2000)</w:t>
      </w:r>
      <w:r w:rsidRPr="00A43DCA">
        <w:t xml:space="preserve"> Exemptions from the limits on collective investment scheme rules may be found in the </w:t>
      </w:r>
      <w:hyperlink r:id="rId13" w:history="1">
        <w:r w:rsidR="007550B6" w:rsidRPr="00EB27B7">
          <w:rPr>
            <w:rStyle w:val="Hyperlink"/>
          </w:rPr>
          <w:t>FSMA</w:t>
        </w:r>
        <w:r w:rsidRPr="00EB27B7">
          <w:rPr>
            <w:rStyle w:val="Hyperlink"/>
          </w:rPr>
          <w:t xml:space="preserve"> 2000</w:t>
        </w:r>
      </w:hyperlink>
      <w:r w:rsidR="00583CBA">
        <w:t>(</w:t>
      </w:r>
      <w:r w:rsidRPr="00A43DCA">
        <w:t xml:space="preserve"> </w:t>
      </w:r>
      <w:r w:rsidR="00EE6232">
        <w:t>D. FSMA 2000).</w:t>
      </w:r>
    </w:p>
    <w:p w14:paraId="203BEA9D" w14:textId="5332C05C" w:rsidR="00D046F7" w:rsidRDefault="00D046F7" w:rsidP="005965EA">
      <w:pPr>
        <w:rPr>
          <w:sz w:val="32"/>
          <w:szCs w:val="32"/>
        </w:rPr>
      </w:pPr>
      <w:r w:rsidRPr="00D046F7">
        <w:rPr>
          <w:sz w:val="32"/>
          <w:szCs w:val="32"/>
        </w:rPr>
        <w:t>Angel investors</w:t>
      </w:r>
    </w:p>
    <w:p w14:paraId="1C654224" w14:textId="60758D7B" w:rsidR="00D046F7" w:rsidRDefault="00D046F7" w:rsidP="00D046F7">
      <w:r>
        <w:t>An angel investor</w:t>
      </w:r>
      <w:r w:rsidR="0056709F">
        <w:t xml:space="preserve"> </w:t>
      </w:r>
      <w:r>
        <w:t>is a private investor who provides investment from their own funds to innovators, start-ups</w:t>
      </w:r>
      <w:r w:rsidR="0056709F">
        <w:t xml:space="preserve"> </w:t>
      </w:r>
      <w:r>
        <w:t>companies in exchange for a share in the organization.</w:t>
      </w:r>
    </w:p>
    <w:p w14:paraId="19A7D6B4" w14:textId="1682C704" w:rsidR="00D046F7" w:rsidRPr="00D046F7" w:rsidRDefault="00D046F7" w:rsidP="00D046F7">
      <w:r>
        <w:t xml:space="preserve">Angel investors typically provide more appealing conditions than other types of funding. </w:t>
      </w:r>
      <w:r w:rsidR="0056709F">
        <w:t xml:space="preserve">Their </w:t>
      </w:r>
      <w:r>
        <w:t>share in the company may not exceed 30%.</w:t>
      </w:r>
    </w:p>
    <w:p w14:paraId="5CBEE0D0" w14:textId="6853422F" w:rsidR="00B82E9A" w:rsidRDefault="00B82E9A" w:rsidP="00B82E9A">
      <w:r>
        <w:t xml:space="preserve">Angel investors, like venture capitalists, want to invest in both the goods or services and the business. It is the decision of the investor how much funds they are willing to spend, although most angel investment agreements need a minimum investment of £10,000 and a maximum investment of £500,000. </w:t>
      </w:r>
    </w:p>
    <w:p w14:paraId="64C47808" w14:textId="529F1A66" w:rsidR="001B0D5F" w:rsidRDefault="00B82E9A" w:rsidP="00B82E9A">
      <w:r>
        <w:t xml:space="preserve">Angel investors are often skilled business individuals that, as condition of their investment, provide advice and assistance to start-ups to help them expand. </w:t>
      </w:r>
    </w:p>
    <w:p w14:paraId="2C7C1F90" w14:textId="0EAB8349" w:rsidR="00A80625" w:rsidRDefault="00B82E9A" w:rsidP="006D03B0">
      <w:r>
        <w:t xml:space="preserve">The </w:t>
      </w:r>
      <w:r w:rsidR="007550B6">
        <w:t xml:space="preserve">FCA </w:t>
      </w:r>
      <w:r>
        <w:t xml:space="preserve">controls angel investing. Angels must self-certify as professional investors or individuals with substantial assets under the </w:t>
      </w:r>
      <w:hyperlink r:id="rId14" w:history="1">
        <w:r w:rsidR="007550B6" w:rsidRPr="005D65FC">
          <w:rPr>
            <w:rStyle w:val="Hyperlink"/>
          </w:rPr>
          <w:t>FSMA</w:t>
        </w:r>
        <w:r w:rsidRPr="005D65FC">
          <w:rPr>
            <w:rStyle w:val="Hyperlink"/>
          </w:rPr>
          <w:t xml:space="preserve"> 2000.</w:t>
        </w:r>
      </w:hyperlink>
      <w:r w:rsidR="00F61D15">
        <w:t>(</w:t>
      </w:r>
      <w:r w:rsidR="00B67B12">
        <w:t xml:space="preserve"> E. FSMA 2000).</w:t>
      </w:r>
    </w:p>
    <w:p w14:paraId="5ECF3BAF" w14:textId="20606129" w:rsidR="006D03B0" w:rsidRDefault="00C779D1" w:rsidP="006D03B0">
      <w:r>
        <w:t>*</w:t>
      </w:r>
      <w:r w:rsidR="00792BF5">
        <w:t xml:space="preserve">Here is an essential </w:t>
      </w:r>
      <w:r w:rsidR="002D592E">
        <w:t>note that you should keep in your mind</w:t>
      </w:r>
      <w:r>
        <w:t xml:space="preserve">. </w:t>
      </w:r>
      <w:r w:rsidR="006D03B0">
        <w:t>AML regulations in the United Kingdom are determined by a variety of domestic and international legislation. Here are a few examples:</w:t>
      </w:r>
    </w:p>
    <w:p w14:paraId="392B70C4" w14:textId="70EDE77F" w:rsidR="006D03B0" w:rsidRDefault="006D03B0" w:rsidP="006D03B0">
      <w:r>
        <w:t xml:space="preserve">The Money Laundering, Terrorism Financing, and Transfer of </w:t>
      </w:r>
      <w:r w:rsidR="00677093">
        <w:t>Funds, Regulations</w:t>
      </w:r>
      <w:r>
        <w:t xml:space="preserve"> 2017 and its updates impose different AML obligations on organisations.</w:t>
      </w:r>
    </w:p>
    <w:p w14:paraId="75DC3ADF" w14:textId="03684FB3" w:rsidR="00497154" w:rsidRDefault="006D03B0" w:rsidP="006D03B0">
      <w:r>
        <w:t xml:space="preserve"> FSMA governs all financial services in the United Kingdom. </w:t>
      </w:r>
      <w:hyperlink r:id="rId15" w:history="1">
        <w:r w:rsidRPr="00FA2CC3">
          <w:rPr>
            <w:rStyle w:val="Hyperlink"/>
          </w:rPr>
          <w:t>This law establishes the Financial Conduct Authority as the primary AML regulator and outlines its responsibilities.</w:t>
        </w:r>
      </w:hyperlink>
      <w:r w:rsidR="005E7D9C">
        <w:t xml:space="preserve"> </w:t>
      </w:r>
      <w:r w:rsidR="002841B2">
        <w:t>(B. FCA).</w:t>
      </w:r>
    </w:p>
    <w:p w14:paraId="6A5E20AB" w14:textId="77777777" w:rsidR="00A350E3" w:rsidRDefault="00A350E3" w:rsidP="00A350E3">
      <w:r>
        <w:t>A company must first assess the money laundering risks it faces before applying new internal protections and checks. Businesses must consider the following factors while assessing these risks:</w:t>
      </w:r>
    </w:p>
    <w:p w14:paraId="13F89262" w14:textId="261313F8" w:rsidR="00A350E3" w:rsidRDefault="00A350E3" w:rsidP="00A350E3">
      <w:r>
        <w:lastRenderedPageBreak/>
        <w:t>Whoever their customers are; the services and goods that they provide; the locations in which they exist; the delivery methods; and the trades they conduct.</w:t>
      </w:r>
    </w:p>
    <w:p w14:paraId="4214630A" w14:textId="1442E219" w:rsidR="00A350E3" w:rsidRDefault="00A350E3" w:rsidP="00A350E3">
      <w:r>
        <w:t>For example, a firm that works online poses greater risks than one that does face-to-face onboarding. This is due to the ease with which false papers may be used to avoid online verification, and the company must learn how to limit this risk, such as by including biometrics or video verification into their onboarding process. Companies that do not sell complicated goods and have minimal worldwide access, on the other hand, may not need to examine as many risks.</w:t>
      </w:r>
      <w:r w:rsidR="00E97F51">
        <w:t>(the law society 2022)</w:t>
      </w:r>
      <w:r w:rsidR="007372A2">
        <w:t>.</w:t>
      </w:r>
    </w:p>
    <w:p w14:paraId="4A7603D3" w14:textId="77777777" w:rsidR="007372A2" w:rsidRDefault="007372A2" w:rsidP="00A350E3"/>
    <w:p w14:paraId="58B61651" w14:textId="5C8301DB" w:rsidR="001B0D5F" w:rsidRDefault="001B0D5F" w:rsidP="00A601BB"/>
    <w:p w14:paraId="28EB25FF" w14:textId="601D6FA4" w:rsidR="001B0D5F" w:rsidRDefault="001B0D5F" w:rsidP="00A601BB"/>
    <w:p w14:paraId="6450D5C5" w14:textId="0C25D5B0" w:rsidR="001B0D5F" w:rsidRDefault="001B0D5F" w:rsidP="00A601BB"/>
    <w:p w14:paraId="228382BA" w14:textId="2A3ADF7B" w:rsidR="001B0D5F" w:rsidRDefault="001B0D5F" w:rsidP="00A601BB"/>
    <w:p w14:paraId="2F9C3738" w14:textId="77777777" w:rsidR="001B0D5F" w:rsidRDefault="001B0D5F" w:rsidP="00A601BB"/>
    <w:p w14:paraId="1148592C" w14:textId="77777777" w:rsidR="00A601BB" w:rsidRDefault="00A601BB" w:rsidP="00A601BB"/>
    <w:p w14:paraId="1F91BA50" w14:textId="77777777" w:rsidR="00A601BB" w:rsidRDefault="00A601BB" w:rsidP="00A601BB">
      <w:r>
        <w:t>Thank you,</w:t>
      </w:r>
    </w:p>
    <w:p w14:paraId="34A553EC" w14:textId="77777777" w:rsidR="00A601BB" w:rsidRDefault="00A601BB" w:rsidP="00A601BB"/>
    <w:p w14:paraId="45915BCD" w14:textId="17D7CB66" w:rsidR="00A601BB" w:rsidRDefault="00A601BB" w:rsidP="00A601BB">
      <w:r>
        <w:rPr>
          <w:noProof/>
        </w:rPr>
        <w:drawing>
          <wp:inline distT="0" distB="0" distL="0" distR="0" wp14:anchorId="2D35CC96" wp14:editId="744F0DF8">
            <wp:extent cx="1851660" cy="952500"/>
            <wp:effectExtent l="0" t="0" r="0" b="0"/>
            <wp:docPr id="2" name="Picture 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51660" cy="952500"/>
                    </a:xfrm>
                    <a:prstGeom prst="rect">
                      <a:avLst/>
                    </a:prstGeom>
                    <a:noFill/>
                    <a:ln>
                      <a:noFill/>
                    </a:ln>
                  </pic:spPr>
                </pic:pic>
              </a:graphicData>
            </a:graphic>
          </wp:inline>
        </w:drawing>
      </w:r>
    </w:p>
    <w:p w14:paraId="747BA3DB" w14:textId="77777777" w:rsidR="00A601BB" w:rsidRDefault="00A601BB" w:rsidP="00A601BB"/>
    <w:p w14:paraId="464A0756" w14:textId="66484E4F" w:rsidR="00A601BB" w:rsidRDefault="00A601BB" w:rsidP="00A601BB">
      <w:r>
        <w:t>barzegarb88@gmail.com</w:t>
      </w:r>
    </w:p>
    <w:p w14:paraId="210854F9" w14:textId="7EC5405C" w:rsidR="00A601BB" w:rsidRDefault="001B0D5F" w:rsidP="00A601BB">
      <w:r>
        <w:t>LAWYERS</w:t>
      </w:r>
    </w:p>
    <w:p w14:paraId="57B0890E" w14:textId="6E7C988C" w:rsidR="00A601BB" w:rsidRDefault="00A601BB" w:rsidP="00A601BB">
      <w:bookmarkStart w:id="1" w:name="_Hlk130025209"/>
      <w:r>
        <w:t>https://www.</w:t>
      </w:r>
      <w:r w:rsidR="001B0D5F">
        <w:t>lawyers</w:t>
      </w:r>
      <w:r>
        <w:t>.net</w:t>
      </w:r>
    </w:p>
    <w:p w14:paraId="2A86CB8F" w14:textId="2FE0384C" w:rsidR="00A601BB" w:rsidRDefault="001B0D5F" w:rsidP="00A601BB">
      <w:bookmarkStart w:id="2" w:name="_Hlk130025198"/>
      <w:r>
        <w:t>01215611357</w:t>
      </w:r>
    </w:p>
    <w:bookmarkEnd w:id="2"/>
    <w:bookmarkEnd w:id="1"/>
    <w:p w14:paraId="3CFE8339" w14:textId="47DC7754" w:rsidR="00A601BB" w:rsidRDefault="00A601BB" w:rsidP="00A601BB"/>
    <w:p w14:paraId="4F5047B3" w14:textId="36160031" w:rsidR="008C7DA2" w:rsidRDefault="008C7DA2" w:rsidP="008C7DA2"/>
    <w:p w14:paraId="0512305F" w14:textId="25D65473" w:rsidR="006A7750" w:rsidRDefault="006A7750" w:rsidP="008C7DA2"/>
    <w:p w14:paraId="2A729280" w14:textId="1FD4D24D" w:rsidR="006A7750" w:rsidRPr="00144083" w:rsidRDefault="00144083" w:rsidP="008C7DA2">
      <w:pPr>
        <w:rPr>
          <w:color w:val="4472C4" w:themeColor="accent1"/>
          <w:sz w:val="40"/>
          <w:szCs w:val="40"/>
        </w:rPr>
      </w:pPr>
      <w:r w:rsidRPr="00144083">
        <w:rPr>
          <w:color w:val="4472C4" w:themeColor="accent1"/>
          <w:sz w:val="40"/>
          <w:szCs w:val="40"/>
        </w:rPr>
        <w:t>Task 2</w:t>
      </w:r>
      <w:r>
        <w:rPr>
          <w:color w:val="4472C4" w:themeColor="accent1"/>
          <w:sz w:val="40"/>
          <w:szCs w:val="40"/>
        </w:rPr>
        <w:t>:</w:t>
      </w:r>
    </w:p>
    <w:p w14:paraId="60CBA339" w14:textId="77777777" w:rsidR="008C7DA2" w:rsidRPr="008C7DA2" w:rsidRDefault="008C7DA2" w:rsidP="008C7DA2"/>
    <w:p w14:paraId="1494290A" w14:textId="4294A6C5" w:rsidR="008C7DA2" w:rsidRDefault="008C7DA2" w:rsidP="008C7DA2"/>
    <w:p w14:paraId="5BCEA264" w14:textId="5C15AE78" w:rsidR="00144083" w:rsidRDefault="00144083" w:rsidP="00144083">
      <w:pPr>
        <w:jc w:val="center"/>
      </w:pPr>
    </w:p>
    <w:p w14:paraId="1749AD9B" w14:textId="22C9647F" w:rsidR="00144083" w:rsidRPr="000F450F" w:rsidRDefault="00B13075" w:rsidP="00C15562">
      <w:pPr>
        <w:tabs>
          <w:tab w:val="left" w:pos="3936"/>
        </w:tabs>
        <w:spacing w:after="0"/>
        <w:rPr>
          <w:sz w:val="16"/>
          <w:szCs w:val="16"/>
        </w:rPr>
      </w:pPr>
      <w:r>
        <w:lastRenderedPageBreak/>
        <w:t xml:space="preserve">                                                                    </w:t>
      </w:r>
      <w:r w:rsidR="000F450F">
        <w:t xml:space="preserve">      </w:t>
      </w:r>
      <w:r>
        <w:t xml:space="preserve">  </w:t>
      </w:r>
      <w:r w:rsidR="00C96076" w:rsidRPr="000F450F">
        <w:rPr>
          <w:sz w:val="16"/>
          <w:szCs w:val="16"/>
        </w:rPr>
        <w:t xml:space="preserve">35 cape </w:t>
      </w:r>
      <w:r w:rsidR="00C15562">
        <w:rPr>
          <w:sz w:val="16"/>
          <w:szCs w:val="16"/>
        </w:rPr>
        <w:t>H</w:t>
      </w:r>
      <w:r w:rsidR="00C96076" w:rsidRPr="000F450F">
        <w:rPr>
          <w:sz w:val="16"/>
          <w:szCs w:val="16"/>
        </w:rPr>
        <w:t xml:space="preserve">ill, </w:t>
      </w:r>
      <w:r w:rsidRPr="000F450F">
        <w:rPr>
          <w:sz w:val="16"/>
          <w:szCs w:val="16"/>
        </w:rPr>
        <w:t>Smethwic</w:t>
      </w:r>
      <w:r w:rsidR="0064773E" w:rsidRPr="000F450F">
        <w:rPr>
          <w:sz w:val="16"/>
          <w:szCs w:val="16"/>
        </w:rPr>
        <w:t>k</w:t>
      </w:r>
    </w:p>
    <w:p w14:paraId="1722959F" w14:textId="5A128D7C" w:rsidR="0064773E" w:rsidRPr="000F450F" w:rsidRDefault="0064773E" w:rsidP="00C15562">
      <w:pPr>
        <w:tabs>
          <w:tab w:val="left" w:pos="3936"/>
        </w:tabs>
        <w:spacing w:after="0"/>
        <w:rPr>
          <w:sz w:val="16"/>
          <w:szCs w:val="16"/>
        </w:rPr>
      </w:pPr>
      <w:r w:rsidRPr="000F450F">
        <w:rPr>
          <w:sz w:val="16"/>
          <w:szCs w:val="16"/>
        </w:rPr>
        <w:t xml:space="preserve">                                   </w:t>
      </w:r>
      <w:r w:rsidR="000F450F">
        <w:rPr>
          <w:sz w:val="16"/>
          <w:szCs w:val="16"/>
        </w:rPr>
        <w:t xml:space="preserve">                            </w:t>
      </w:r>
      <w:r w:rsidRPr="000F450F">
        <w:rPr>
          <w:sz w:val="16"/>
          <w:szCs w:val="16"/>
        </w:rPr>
        <w:t xml:space="preserve">                              </w:t>
      </w:r>
      <w:r w:rsidR="000F450F">
        <w:rPr>
          <w:sz w:val="16"/>
          <w:szCs w:val="16"/>
        </w:rPr>
        <w:t xml:space="preserve">           </w:t>
      </w:r>
      <w:r w:rsidRPr="000F450F">
        <w:rPr>
          <w:sz w:val="16"/>
          <w:szCs w:val="16"/>
        </w:rPr>
        <w:t xml:space="preserve">    www.lawyers.net</w:t>
      </w:r>
    </w:p>
    <w:p w14:paraId="0E790D5D" w14:textId="76DD74E7" w:rsidR="00144083" w:rsidRPr="000F450F" w:rsidRDefault="0064773E" w:rsidP="00C15562">
      <w:pPr>
        <w:tabs>
          <w:tab w:val="left" w:pos="3936"/>
        </w:tabs>
        <w:spacing w:after="0"/>
        <w:rPr>
          <w:sz w:val="16"/>
          <w:szCs w:val="16"/>
        </w:rPr>
      </w:pPr>
      <w:r w:rsidRPr="000F450F">
        <w:rPr>
          <w:sz w:val="16"/>
          <w:szCs w:val="16"/>
        </w:rPr>
        <w:t xml:space="preserve">                                                                         </w:t>
      </w:r>
      <w:r w:rsidR="000F450F">
        <w:rPr>
          <w:sz w:val="16"/>
          <w:szCs w:val="16"/>
        </w:rPr>
        <w:t xml:space="preserve">                                      </w:t>
      </w:r>
      <w:r w:rsidRPr="000F450F">
        <w:rPr>
          <w:sz w:val="16"/>
          <w:szCs w:val="16"/>
        </w:rPr>
        <w:t xml:space="preserve">   01215611357</w:t>
      </w:r>
    </w:p>
    <w:p w14:paraId="5A042C32" w14:textId="6D206F59" w:rsidR="00144083" w:rsidRDefault="00144083" w:rsidP="008C7DA2"/>
    <w:p w14:paraId="105CACD6" w14:textId="1AFC92F6" w:rsidR="00144083" w:rsidRPr="00144083" w:rsidRDefault="005E28C7" w:rsidP="008C7DA2">
      <w:r>
        <w:t>12 Mach 2023</w:t>
      </w:r>
    </w:p>
    <w:p w14:paraId="30025234" w14:textId="77777777" w:rsidR="008C7DA2" w:rsidRPr="008C7DA2" w:rsidRDefault="008C7DA2" w:rsidP="008C7DA2"/>
    <w:p w14:paraId="14E77571" w14:textId="6163E9BC" w:rsidR="008C7DA2" w:rsidRDefault="003114DF" w:rsidP="008C7DA2">
      <w:r>
        <w:t xml:space="preserve">Dear </w:t>
      </w:r>
      <w:r w:rsidR="00AB5317">
        <w:t>Sirs/Madam</w:t>
      </w:r>
      <w:r w:rsidR="000B738F">
        <w:t>:</w:t>
      </w:r>
    </w:p>
    <w:p w14:paraId="1F651C50" w14:textId="76CF61BB" w:rsidR="00847DD2" w:rsidRDefault="00AA7D77" w:rsidP="008C7DA2">
      <w:r>
        <w:t xml:space="preserve">I will explain the purpose and </w:t>
      </w:r>
      <w:r w:rsidR="00D231F2">
        <w:t xml:space="preserve">some </w:t>
      </w:r>
      <w:r w:rsidR="0010322A">
        <w:t xml:space="preserve">rules of SRA in this </w:t>
      </w:r>
      <w:r w:rsidR="00FF3A23">
        <w:t xml:space="preserve">letter please ask any question </w:t>
      </w:r>
      <w:r w:rsidR="00140D8E">
        <w:t xml:space="preserve">and read further </w:t>
      </w:r>
      <w:r w:rsidR="00C31EF7">
        <w:t>information. The</w:t>
      </w:r>
      <w:r w:rsidR="002F17E5" w:rsidRPr="002F17E5">
        <w:t xml:space="preserve"> SRA governs all solicitors and </w:t>
      </w:r>
      <w:r w:rsidRPr="002F17E5">
        <w:t>many</w:t>
      </w:r>
      <w:r w:rsidR="002F17E5" w:rsidRPr="002F17E5">
        <w:t xml:space="preserve"> legal firms in England and Wales. Secure and assist the society by ensuring that solicitors and legal firms fulfil high standards. Act immediately against solicitors who break the regulations, such as taking one's property or acting dishonestly.</w:t>
      </w:r>
      <w:r w:rsidR="00C31EF7">
        <w:t xml:space="preserve"> </w:t>
      </w:r>
      <w:r w:rsidR="00175EF8">
        <w:t xml:space="preserve">SRA regulate </w:t>
      </w:r>
      <w:r w:rsidR="003462CE">
        <w:t xml:space="preserve">the rules by </w:t>
      </w:r>
      <w:r w:rsidR="003462CE" w:rsidRPr="003462CE">
        <w:t xml:space="preserve">applying punishments such as fines. managing how a company or individual operates. Placing judgements prohibiting persons from working for organisations that </w:t>
      </w:r>
      <w:r w:rsidR="004249EF">
        <w:t>they</w:t>
      </w:r>
      <w:r w:rsidR="003462CE" w:rsidRPr="003462CE">
        <w:t xml:space="preserve"> </w:t>
      </w:r>
      <w:r w:rsidR="00ED07E4" w:rsidRPr="003462CE">
        <w:t>regulate or</w:t>
      </w:r>
      <w:r w:rsidR="003462CE" w:rsidRPr="003462CE">
        <w:t xml:space="preserve"> withdrawing a law firm's permits. </w:t>
      </w:r>
      <w:r w:rsidR="003462CE" w:rsidRPr="00C31EF7">
        <w:t xml:space="preserve">According to the SRA, the goal of its regulation is to safeguard legal service customers and to protect the legal principals and the effective justice </w:t>
      </w:r>
      <w:r w:rsidR="00D81E18" w:rsidRPr="00C31EF7">
        <w:t>system.</w:t>
      </w:r>
      <w:r w:rsidR="00D81E18">
        <w:t xml:space="preserve"> (</w:t>
      </w:r>
      <w:r w:rsidR="00E34BDE">
        <w:t xml:space="preserve">B. </w:t>
      </w:r>
      <w:r w:rsidR="00613E8E">
        <w:t>SRA 2023).</w:t>
      </w:r>
    </w:p>
    <w:p w14:paraId="771FD824" w14:textId="0822D4B6" w:rsidR="00D81E18" w:rsidRDefault="008F0EE1" w:rsidP="008C7DA2">
      <w:r>
        <w:t>S</w:t>
      </w:r>
      <w:r w:rsidR="00362140">
        <w:t>everal</w:t>
      </w:r>
      <w:r w:rsidR="00C148E0">
        <w:t xml:space="preserve"> major principals of </w:t>
      </w:r>
      <w:r>
        <w:t>t</w:t>
      </w:r>
      <w:r w:rsidRPr="008F0EE1">
        <w:t>he SRA Code of Conduct</w:t>
      </w:r>
      <w:r w:rsidR="00362140">
        <w:t xml:space="preserve"> are </w:t>
      </w:r>
      <w:r w:rsidR="00400F27">
        <w:t>listed below</w:t>
      </w:r>
      <w:r w:rsidR="001B2CED">
        <w:t>: (C. SRA 2023)</w:t>
      </w:r>
    </w:p>
    <w:p w14:paraId="6A35F5F8" w14:textId="3C67379E" w:rsidR="00D81E18" w:rsidRDefault="00D81E18" w:rsidP="00D81E18">
      <w:r>
        <w:t>1: Maintaining trust and acting fairly</w:t>
      </w:r>
      <w:r w:rsidR="002F0C73">
        <w:t>:</w:t>
      </w:r>
    </w:p>
    <w:p w14:paraId="7909048C" w14:textId="685A404E" w:rsidR="00725722" w:rsidRDefault="00725722" w:rsidP="00D81E18">
      <w:r w:rsidRPr="00725722">
        <w:t>You do not bias against others by permitting your personal opinions to influence your work connections and how you perform your services. You don't really take undue benefit of people in your role.</w:t>
      </w:r>
    </w:p>
    <w:p w14:paraId="332A0D53" w14:textId="5ECD72CD" w:rsidR="00D81E18" w:rsidRDefault="00D81E18" w:rsidP="00D81E18">
      <w:r>
        <w:t xml:space="preserve">2: Dispute resolution and proceedings before courts, </w:t>
      </w:r>
      <w:r w:rsidR="001B2F61">
        <w:t>tribunals,</w:t>
      </w:r>
      <w:r>
        <w:t xml:space="preserve"> and inquiries</w:t>
      </w:r>
      <w:r w:rsidR="002F0C73">
        <w:t>:</w:t>
      </w:r>
    </w:p>
    <w:p w14:paraId="6D66EF07" w14:textId="4F1D45E6" w:rsidR="00725722" w:rsidRDefault="00AE7FC9" w:rsidP="00D81E18">
      <w:r w:rsidRPr="00AE7FC9">
        <w:t>You do not mix with or try to mess with evidence. You do not try to affect the body of evidence, such as by creating fake evidence or encouraging witnesses to shift their testimony.</w:t>
      </w:r>
      <w:r w:rsidR="00D952AD" w:rsidRPr="00D952AD">
        <w:t xml:space="preserve"> Do not commit breaking the law; do not waste the court's time; and direct the court's focus to the appropriate statute instances.</w:t>
      </w:r>
    </w:p>
    <w:p w14:paraId="6F4E0802" w14:textId="35641831" w:rsidR="00D81E18" w:rsidRDefault="00D81E18" w:rsidP="00D81E18">
      <w:r>
        <w:t>3: Service and competence</w:t>
      </w:r>
      <w:r w:rsidR="00D952AD">
        <w:t>:</w:t>
      </w:r>
    </w:p>
    <w:p w14:paraId="5C00EF7C" w14:textId="6E98A071" w:rsidR="00D952AD" w:rsidRDefault="00865F22" w:rsidP="00D81E18">
      <w:r w:rsidRPr="00865F22">
        <w:t xml:space="preserve">You only operate for customers on their orders or on the directions of anyone </w:t>
      </w:r>
      <w:r w:rsidR="00662153" w:rsidRPr="00865F22">
        <w:t>permitted</w:t>
      </w:r>
      <w:r w:rsidRPr="00865F22">
        <w:t xml:space="preserve"> to represent them. If you have a suspicion that the recommendations do not accurately reflect the intentions of your client, you do not proceed until you are assured that they do.</w:t>
      </w:r>
    </w:p>
    <w:p w14:paraId="527B4FED" w14:textId="172A2BCF" w:rsidR="00847DD2" w:rsidRDefault="00D81E18" w:rsidP="00D81E18">
      <w:r>
        <w:t>4: Client money and assets</w:t>
      </w:r>
      <w:r w:rsidR="000008D1">
        <w:t xml:space="preserve">: </w:t>
      </w:r>
    </w:p>
    <w:p w14:paraId="710A8C4C" w14:textId="234AE6E8" w:rsidR="000B738F" w:rsidRDefault="009B0354" w:rsidP="008C7DA2">
      <w:r w:rsidRPr="009B0354">
        <w:t>Unless they've accepted differently, you appropriately report to customers for any financial gain you obtain as an outcome of their guidance. You protect the funds and possessions that clients have given to you.</w:t>
      </w:r>
    </w:p>
    <w:p w14:paraId="0B892A67" w14:textId="5B8F557C" w:rsidR="001443B1" w:rsidRDefault="00316CE9" w:rsidP="008C7DA2">
      <w:r>
        <w:t xml:space="preserve">You should keep in your mid </w:t>
      </w:r>
      <w:r w:rsidR="00AF68DF">
        <w:t>rule 6 of SRA:</w:t>
      </w:r>
    </w:p>
    <w:p w14:paraId="064FDE9F" w14:textId="5F33EC0A" w:rsidR="00676AA7" w:rsidRPr="008C7DA2" w:rsidRDefault="00AF68DF" w:rsidP="00F40661">
      <w:r>
        <w:t xml:space="preserve">First part is </w:t>
      </w:r>
      <w:r w:rsidR="00F40661">
        <w:t>6.1-6.2: Conflict of interests:</w:t>
      </w:r>
      <w:r w:rsidR="00755E43">
        <w:t xml:space="preserve"> </w:t>
      </w:r>
    </w:p>
    <w:p w14:paraId="7179FECC" w14:textId="58079571" w:rsidR="008C7DA2" w:rsidRDefault="00034BD5" w:rsidP="008C7DA2">
      <w:r w:rsidRPr="00034BD5">
        <w:t>Where necessary, you create efficient protections to secure your clients' personal data, and you are sure that it is acceptable for you to act on behalf of all the clients. All of the clients have offered you their permission, either verbally or in writing, to do so.</w:t>
      </w:r>
    </w:p>
    <w:p w14:paraId="35FCEF83" w14:textId="3FFF70CA" w:rsidR="00034BD5" w:rsidRDefault="00CC2DCB" w:rsidP="008C7DA2">
      <w:r>
        <w:lastRenderedPageBreak/>
        <w:t>Las part of this rule include:</w:t>
      </w:r>
    </w:p>
    <w:p w14:paraId="551FEC33" w14:textId="77777777" w:rsidR="00795BC8" w:rsidRDefault="00795BC8" w:rsidP="00795BC8">
      <w:r>
        <w:t>6.3-6.5: Confidentiality and disclosure</w:t>
      </w:r>
    </w:p>
    <w:p w14:paraId="271B6CD0" w14:textId="36E7CB9D" w:rsidR="0066402B" w:rsidRDefault="0066402B" w:rsidP="00795BC8">
      <w:r w:rsidRPr="0066402B">
        <w:t xml:space="preserve">The supreme court has declared that these duty or responsibility of maintaining privacy varies from case to case, as it is an obligation to keep that information secret and not established from taking any reasonable steps to do so. In the case of </w:t>
      </w:r>
      <w:r w:rsidRPr="003E6CD7">
        <w:rPr>
          <w:i/>
          <w:iCs/>
        </w:rPr>
        <w:t xml:space="preserve">Prince Jeffrey Bolkiah vs KPMG </w:t>
      </w:r>
      <w:r w:rsidR="003E6CD7">
        <w:rPr>
          <w:i/>
          <w:iCs/>
        </w:rPr>
        <w:t>(</w:t>
      </w:r>
      <w:r w:rsidRPr="003E6CD7">
        <w:rPr>
          <w:i/>
          <w:iCs/>
        </w:rPr>
        <w:t>1998</w:t>
      </w:r>
      <w:r w:rsidR="003E6CD7">
        <w:rPr>
          <w:i/>
          <w:iCs/>
        </w:rPr>
        <w:t>)</w:t>
      </w:r>
      <w:r w:rsidRPr="0066402B">
        <w:t>, a court of law concluded that protecting the confidentiality of data is an aspect of a wider obligation not to misuse or misapply it, which included not using it or allowing others to access it for the advantage of other clients without the approval of the present or past client</w:t>
      </w:r>
      <w:r>
        <w:t>.</w:t>
      </w:r>
    </w:p>
    <w:p w14:paraId="715DB8C6" w14:textId="4D469052" w:rsidR="00795BC8" w:rsidRDefault="00C304C6" w:rsidP="00795BC8">
      <w:r>
        <w:t xml:space="preserve">Please don’t hesitate to ask </w:t>
      </w:r>
      <w:r w:rsidR="00D25C00">
        <w:t>if you have questions.</w:t>
      </w:r>
    </w:p>
    <w:p w14:paraId="622F56C8" w14:textId="4D21270C" w:rsidR="00D25C00" w:rsidRDefault="00D25C00" w:rsidP="00795BC8"/>
    <w:p w14:paraId="0BE3E2E3" w14:textId="1C6B83C1" w:rsidR="00D25C00" w:rsidRDefault="005A73DD" w:rsidP="00795BC8">
      <w:r>
        <w:t>Sincerely</w:t>
      </w:r>
    </w:p>
    <w:p w14:paraId="4B716EFE" w14:textId="759CCA1B" w:rsidR="005A73DD" w:rsidRDefault="005A73DD" w:rsidP="00795BC8">
      <w:r>
        <w:t xml:space="preserve">Banafshe </w:t>
      </w:r>
      <w:proofErr w:type="spellStart"/>
      <w:r>
        <w:t>Barzegarsaadi</w:t>
      </w:r>
      <w:proofErr w:type="spellEnd"/>
    </w:p>
    <w:p w14:paraId="1B02615A" w14:textId="511391BF" w:rsidR="00AE57AE" w:rsidRDefault="00AE57AE" w:rsidP="00795BC8">
      <w:r>
        <w:t>Supervisor</w:t>
      </w:r>
    </w:p>
    <w:p w14:paraId="0932E3C1" w14:textId="76CB3669" w:rsidR="00AE57AE" w:rsidRDefault="00AE57AE" w:rsidP="00795BC8"/>
    <w:p w14:paraId="6CF34331" w14:textId="4B65A21D" w:rsidR="00AE57AE" w:rsidRDefault="00AE57AE" w:rsidP="00795BC8"/>
    <w:p w14:paraId="1509215B" w14:textId="1A516C57" w:rsidR="00AE57AE" w:rsidRDefault="00AE57AE" w:rsidP="00795BC8"/>
    <w:p w14:paraId="20556905" w14:textId="07AAB392" w:rsidR="00AE57AE" w:rsidRDefault="00AE57AE" w:rsidP="00795BC8"/>
    <w:p w14:paraId="3AB797D8" w14:textId="7D48F229" w:rsidR="00AE57AE" w:rsidRDefault="00070437" w:rsidP="00795BC8">
      <w:pPr>
        <w:rPr>
          <w:color w:val="4472C4" w:themeColor="accent1"/>
          <w:sz w:val="40"/>
          <w:szCs w:val="40"/>
        </w:rPr>
      </w:pPr>
      <w:r w:rsidRPr="00070437">
        <w:rPr>
          <w:color w:val="4472C4" w:themeColor="accent1"/>
          <w:sz w:val="40"/>
          <w:szCs w:val="40"/>
        </w:rPr>
        <w:t>Task</w:t>
      </w:r>
      <w:r w:rsidR="00481238">
        <w:rPr>
          <w:color w:val="4472C4" w:themeColor="accent1"/>
          <w:sz w:val="40"/>
          <w:szCs w:val="40"/>
        </w:rPr>
        <w:t>3</w:t>
      </w:r>
    </w:p>
    <w:tbl>
      <w:tblPr>
        <w:tblStyle w:val="TableGrid"/>
        <w:tblpPr w:leftFromText="180" w:rightFromText="180" w:vertAnchor="text" w:horzAnchor="page" w:tblpX="541" w:tblpY="-1031"/>
        <w:tblW w:w="10885" w:type="dxa"/>
        <w:tblLook w:val="04A0" w:firstRow="1" w:lastRow="0" w:firstColumn="1" w:lastColumn="0" w:noHBand="0" w:noVBand="1"/>
      </w:tblPr>
      <w:tblGrid>
        <w:gridCol w:w="10885"/>
      </w:tblGrid>
      <w:tr w:rsidR="002924C7" w14:paraId="4CFA59BC" w14:textId="77777777" w:rsidTr="002924C7">
        <w:trPr>
          <w:trHeight w:val="16471"/>
        </w:trPr>
        <w:tc>
          <w:tcPr>
            <w:tcW w:w="10885" w:type="dxa"/>
          </w:tcPr>
          <w:p w14:paraId="7D18B883" w14:textId="77777777" w:rsidR="002924C7" w:rsidRDefault="003E24AD" w:rsidP="0046098D">
            <w:pPr>
              <w:rPr>
                <w:color w:val="4472C4" w:themeColor="accent1"/>
              </w:rPr>
            </w:pPr>
            <w:r w:rsidRPr="00623514">
              <w:rPr>
                <w:noProof/>
              </w:rPr>
              <w:lastRenderedPageBreak/>
              <w:drawing>
                <wp:anchor distT="0" distB="0" distL="114300" distR="114300" simplePos="0" relativeHeight="251658240" behindDoc="1" locked="0" layoutInCell="1" allowOverlap="1" wp14:anchorId="04FF419A" wp14:editId="104360DB">
                  <wp:simplePos x="0" y="0"/>
                  <wp:positionH relativeFrom="column">
                    <wp:posOffset>-18415</wp:posOffset>
                  </wp:positionH>
                  <wp:positionV relativeFrom="paragraph">
                    <wp:posOffset>99695</wp:posOffset>
                  </wp:positionV>
                  <wp:extent cx="1059180" cy="926465"/>
                  <wp:effectExtent l="0" t="0" r="7620" b="6985"/>
                  <wp:wrapTight wrapText="bothSides">
                    <wp:wrapPolygon edited="0">
                      <wp:start x="0" y="0"/>
                      <wp:lineTo x="0" y="21319"/>
                      <wp:lineTo x="21367" y="21319"/>
                      <wp:lineTo x="2136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59180" cy="926465"/>
                          </a:xfrm>
                          <a:prstGeom prst="rect">
                            <a:avLst/>
                          </a:prstGeom>
                          <a:noFill/>
                        </pic:spPr>
                      </pic:pic>
                    </a:graphicData>
                  </a:graphic>
                  <wp14:sizeRelH relativeFrom="margin">
                    <wp14:pctWidth>0</wp14:pctWidth>
                  </wp14:sizeRelH>
                </wp:anchor>
              </w:drawing>
            </w:r>
          </w:p>
          <w:p w14:paraId="4C6671EB" w14:textId="1942A45E" w:rsidR="003D03A9" w:rsidRDefault="003D03A9" w:rsidP="009B18AA">
            <w:pPr>
              <w:tabs>
                <w:tab w:val="left" w:pos="2316"/>
              </w:tabs>
              <w:jc w:val="center"/>
              <w:rPr>
                <w:rFonts w:ascii="Arial" w:hAnsi="Arial" w:cs="Arial"/>
                <w:color w:val="C45911" w:themeColor="accent2" w:themeShade="BF"/>
              </w:rPr>
            </w:pPr>
            <w:r w:rsidRPr="009B18AA">
              <w:rPr>
                <w:rFonts w:ascii="Arial" w:hAnsi="Arial" w:cs="Arial"/>
                <w:b/>
                <w:bCs/>
                <w:i/>
                <w:iCs/>
                <w:color w:val="833C0B" w:themeColor="accent2" w:themeShade="80"/>
                <w:sz w:val="28"/>
                <w:szCs w:val="28"/>
                <w:u w:val="single"/>
              </w:rPr>
              <w:t>Funding your case</w:t>
            </w:r>
            <w:r w:rsidRPr="003D03A9">
              <w:rPr>
                <w:rFonts w:ascii="Arial" w:hAnsi="Arial" w:cs="Arial"/>
                <w:color w:val="C45911" w:themeColor="accent2" w:themeShade="BF"/>
              </w:rPr>
              <w:t>:</w:t>
            </w:r>
            <w:r w:rsidRPr="003D03A9">
              <w:rPr>
                <w:color w:val="C45911" w:themeColor="accent2" w:themeShade="BF"/>
              </w:rPr>
              <w:t xml:space="preserve"> </w:t>
            </w:r>
            <w:r w:rsidRPr="003C625D">
              <w:rPr>
                <w:rFonts w:ascii="Arial" w:hAnsi="Arial" w:cs="Arial"/>
                <w:b/>
                <w:bCs/>
                <w:color w:val="385623" w:themeColor="accent6" w:themeShade="80"/>
              </w:rPr>
              <w:t>We recognise that majority of our clients are concerned about cost. We are determined to being open and honest about our fees, and we are completely sure our specialised knowledge and exceptional customer care provide excellent value for money</w:t>
            </w:r>
            <w:r w:rsidR="00C352A8">
              <w:rPr>
                <w:rFonts w:ascii="Arial" w:hAnsi="Arial" w:cs="Arial"/>
                <w:color w:val="C45911" w:themeColor="accent2" w:themeShade="BF"/>
              </w:rPr>
              <w:t>.</w:t>
            </w:r>
            <w:r w:rsidRPr="003D03A9">
              <w:rPr>
                <w:rFonts w:ascii="Arial" w:hAnsi="Arial" w:cs="Arial"/>
                <w:color w:val="C45911" w:themeColor="accent2" w:themeShade="BF"/>
              </w:rPr>
              <w:t xml:space="preserve"> </w:t>
            </w:r>
          </w:p>
          <w:p w14:paraId="1653326E" w14:textId="3380C1D5" w:rsidR="009E6E05" w:rsidRPr="00FF371D" w:rsidRDefault="00CA6C97" w:rsidP="00097ABD">
            <w:pPr>
              <w:tabs>
                <w:tab w:val="left" w:pos="4368"/>
                <w:tab w:val="left" w:pos="8100"/>
              </w:tabs>
              <w:rPr>
                <w:rFonts w:ascii="Gabriola" w:hAnsi="Gabriola" w:cs="Arial"/>
                <w:b/>
                <w:bCs/>
                <w:i/>
                <w:iCs/>
                <w:color w:val="C45911" w:themeColor="accent2" w:themeShade="BF"/>
                <w:sz w:val="36"/>
                <w:szCs w:val="36"/>
              </w:rPr>
            </w:pPr>
            <w:r>
              <w:rPr>
                <w:rFonts w:ascii="Arial" w:hAnsi="Arial" w:cs="Arial"/>
                <w:noProof/>
              </w:rPr>
              <mc:AlternateContent>
                <mc:Choice Requires="wps">
                  <w:drawing>
                    <wp:anchor distT="0" distB="0" distL="114300" distR="114300" simplePos="0" relativeHeight="251668480" behindDoc="0" locked="0" layoutInCell="1" allowOverlap="1" wp14:anchorId="35988306" wp14:editId="23260C66">
                      <wp:simplePos x="0" y="0"/>
                      <wp:positionH relativeFrom="column">
                        <wp:posOffset>-22225</wp:posOffset>
                      </wp:positionH>
                      <wp:positionV relativeFrom="paragraph">
                        <wp:posOffset>342900</wp:posOffset>
                      </wp:positionV>
                      <wp:extent cx="914400" cy="612140"/>
                      <wp:effectExtent l="19050" t="19050" r="19050" b="92710"/>
                      <wp:wrapNone/>
                      <wp:docPr id="44" name="Speech Bubble: Oval 44"/>
                      <wp:cNvGraphicFramePr/>
                      <a:graphic xmlns:a="http://schemas.openxmlformats.org/drawingml/2006/main">
                        <a:graphicData uri="http://schemas.microsoft.com/office/word/2010/wordprocessingShape">
                          <wps:wsp>
                            <wps:cNvSpPr/>
                            <wps:spPr>
                              <a:xfrm>
                                <a:off x="0" y="0"/>
                                <a:ext cx="914400" cy="612140"/>
                              </a:xfrm>
                              <a:prstGeom prst="wedgeEllipseCallout">
                                <a:avLst>
                                  <a:gd name="adj1" fmla="val 20833"/>
                                  <a:gd name="adj2" fmla="val 60011"/>
                                </a:avLst>
                              </a:prstGeom>
                              <a:solidFill>
                                <a:schemeClr val="accent6">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6849DE" w14:textId="0813386E" w:rsidR="001B14C2" w:rsidRDefault="001B14C2" w:rsidP="001B14C2">
                                  <w:pPr>
                                    <w:jc w:val="center"/>
                                  </w:pPr>
                                  <w:r>
                                    <w:t>Fixed fees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5988306"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44" o:spid="_x0000_s1026" type="#_x0000_t63" style="position:absolute;margin-left:-1.75pt;margin-top:27pt;width:1in;height:48.2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" adj="15300,23762" fillcolor="#538135 [2409]" strokecolor="black [3213]" strokeweight="1pt">
                      <v:textbox>
                        <w:txbxContent>
                          <w:p w14:paraId="5E6849DE" w14:textId="0813386E" w:rsidR="001B14C2" w:rsidRDefault="001B14C2" w:rsidP="001B14C2">
                            <w:pPr>
                              <w:jc w:val="center"/>
                            </w:pPr>
                            <w:r>
                              <w:t>Fixed fees</w:t>
                            </w:r>
                          </w:p>
                        </w:txbxContent>
                      </v:textbox>
                    </v:shape>
                  </w:pict>
                </mc:Fallback>
              </mc:AlternateContent>
            </w:r>
            <w:r w:rsidR="00920C9B">
              <w:rPr>
                <w:rFonts w:ascii="Arial" w:hAnsi="Arial" w:cs="Arial"/>
                <w:noProof/>
              </w:rPr>
              <mc:AlternateContent>
                <mc:Choice Requires="wps">
                  <w:drawing>
                    <wp:anchor distT="0" distB="0" distL="114300" distR="114300" simplePos="0" relativeHeight="251667456" behindDoc="0" locked="0" layoutInCell="1" allowOverlap="1" wp14:anchorId="4BBF058C" wp14:editId="226243C2">
                      <wp:simplePos x="0" y="0"/>
                      <wp:positionH relativeFrom="column">
                        <wp:posOffset>2789555</wp:posOffset>
                      </wp:positionH>
                      <wp:positionV relativeFrom="paragraph">
                        <wp:posOffset>110490</wp:posOffset>
                      </wp:positionV>
                      <wp:extent cx="1703070" cy="758825"/>
                      <wp:effectExtent l="19050" t="0" r="30480" b="41275"/>
                      <wp:wrapNone/>
                      <wp:docPr id="32" name="Ribbon: Curved and Tilted Up 32"/>
                      <wp:cNvGraphicFramePr/>
                      <a:graphic xmlns:a="http://schemas.openxmlformats.org/drawingml/2006/main">
                        <a:graphicData uri="http://schemas.microsoft.com/office/word/2010/wordprocessingShape">
                          <wps:wsp>
                            <wps:cNvSpPr/>
                            <wps:spPr>
                              <a:xfrm>
                                <a:off x="0" y="0"/>
                                <a:ext cx="1703070" cy="758825"/>
                              </a:xfrm>
                              <a:prstGeom prst="ellipseRibbon2">
                                <a:avLst>
                                  <a:gd name="adj1" fmla="val 27008"/>
                                  <a:gd name="adj2" fmla="val 100000"/>
                                  <a:gd name="adj3" fmla="val 20533"/>
                                </a:avLst>
                              </a:prstGeom>
                              <a:solidFill>
                                <a:schemeClr val="accent4"/>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C44E9E" w14:textId="4974573D" w:rsidR="009058DE" w:rsidRPr="003C625D" w:rsidRDefault="009058DE" w:rsidP="009058DE">
                                  <w:pPr>
                                    <w:jc w:val="center"/>
                                    <w:rPr>
                                      <w:b/>
                                      <w:bCs/>
                                      <w:color w:val="385623" w:themeColor="accent6" w:themeShade="80"/>
                                    </w:rPr>
                                  </w:pPr>
                                  <w:r w:rsidRPr="003C625D">
                                    <w:rPr>
                                      <w:b/>
                                      <w:bCs/>
                                      <w:color w:val="385623" w:themeColor="accent6" w:themeShade="80"/>
                                    </w:rPr>
                                    <w:t xml:space="preserve">   charging method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BBF058C" id="_x0000_t108" coordsize="21600,21600" o:spt="108" adj="5400,16200,2700" path="wr@9@34@8@35,0@24@0@23@9,0@8@11@0@22@19@22@9@34@8@35@19@23@3@24l@7@36@3@4at@9@31@8@32@3@4@18@30@9@1@8@33@18@28@17@28@9@31@8@32@17@30,0@4l@5@36xear@9@1@8@33@17@28@0@29nfl@17@30ewr@9@1@8@33@18@28@19@29nfl@18@30em@0@23nfl@0@29em@19@23nfl@19@29e">
                      <v:formulas>
                        <v:f eqn="val #0"/>
                        <v:f eqn="val #1"/>
                        <v:f eqn="val #2"/>
                        <v:f eqn="val width"/>
                        <v:f eqn="val height"/>
                        <v:f eqn="prod width 1 8"/>
                        <v:f eqn="prod width 1 2"/>
                        <v:f eqn="prod width 7 8"/>
                        <v:f eqn="prod width 3 2"/>
                        <v:f eqn="sum 0 0 @6"/>
                        <v:f eqn="prod #2 30573 4096"/>
                        <v:f eqn="prod @10 2 1"/>
                        <v:f eqn="sum @10 height #2"/>
                        <v:f eqn="sum @10 #1 0"/>
                        <v:f eqn="prod #1 1 2"/>
                        <v:f eqn="sum @10 @14 0"/>
                        <v:f eqn="sum @12 0 #1"/>
                        <v:f eqn="sum #0 @5 0"/>
                        <v:f eqn="sum width 0 @17"/>
                        <v:f eqn="sum width 0 #0"/>
                        <v:f eqn="sum @6 0 #0"/>
                        <v:f eqn="ellipse @20 width @10"/>
                        <v:f eqn="sum @10 0 @21"/>
                        <v:f eqn="sum @22 @16 @10"/>
                        <v:f eqn="sum #2 @16 @10"/>
                        <v:f eqn="prod @10 2391 32768"/>
                        <v:f eqn="sum @6 0 @17"/>
                        <v:f eqn="ellipse @26 width @10"/>
                        <v:f eqn="sum @10 #1 @27"/>
                        <v:f eqn="sum @22 #1 0"/>
                        <v:f eqn="sum @12 0 @27"/>
                        <v:f eqn="sum height 0 #2"/>
                        <v:f eqn="sum @10 @12 0"/>
                        <v:f eqn="sum @32 @10 @16"/>
                        <v:f eqn="sum @31 @10 @13"/>
                        <v:f eqn="sum @32 @10 @13"/>
                        <v:f eqn="sum @25 @12 @15"/>
                        <v:f eqn="sum @16 0 @15"/>
                        <v:f eqn="prod @37 2 3"/>
                        <v:f eqn="sum @1 @38 0"/>
                        <v:f eqn="sum #2 @38 0"/>
                        <v:f eqn="max @40 675"/>
                        <v:f eqn="prod width 3 8"/>
                        <v:f eqn="sum @42 0 4"/>
                      </v:formulas>
                      <v:path o:extrusionok="f" o:connecttype="custom" o:connectlocs="@6,0;@5,@36;@6,@1;@7,@36" o:connectangles="270,180,90,0" textboxrect="@0,@22,@19,@1"/>
                      <v:handles>
                        <v:h position="#0,topLeft" xrange="@5,@43"/>
                        <v:h position="center,#1" yrange="@39,@31"/>
                        <v:h position="topLeft,#2" yrange="@41,@24"/>
                      </v:handles>
                      <o:complex v:ext="view"/>
                    </v:shapetype>
                    <v:shape id="Ribbon: Curved and Tilted Up 32" o:spid="_x0000_s1027" type="#_x0000_t108" style="position:absolute;margin-left:219.65pt;margin-top:8.7pt;width:134.1pt;height:59.7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" adj="0,15766,4435" fillcolor="#ffc000 [3207]" strokecolor="#0d0d0d [3069]" strokeweight="1pt">
                      <v:stroke joinstyle="miter"/>
                      <v:textbox>
                        <w:txbxContent>
                          <w:p w14:paraId="4CC44E9E" w14:textId="4974573D" w:rsidR="009058DE" w:rsidRPr="003C625D" w:rsidRDefault="009058DE" w:rsidP="009058DE">
                            <w:pPr>
                              <w:jc w:val="center"/>
                              <w:rPr>
                                <w:b/>
                                <w:bCs/>
                                <w:color w:val="385623" w:themeColor="accent6" w:themeShade="80"/>
                              </w:rPr>
                            </w:pPr>
                            <w:r w:rsidRPr="003C625D">
                              <w:rPr>
                                <w:b/>
                                <w:bCs/>
                                <w:color w:val="385623" w:themeColor="accent6" w:themeShade="80"/>
                              </w:rPr>
                              <w:t xml:space="preserve">   charging method</w:t>
                            </w:r>
                          </w:p>
                        </w:txbxContent>
                      </v:textbox>
                    </v:shape>
                  </w:pict>
                </mc:Fallback>
              </mc:AlternateContent>
            </w:r>
          </w:p>
          <w:p w14:paraId="5CDF5485" w14:textId="49A96164" w:rsidR="009E6E05" w:rsidRDefault="009058DE" w:rsidP="009058DE">
            <w:pPr>
              <w:tabs>
                <w:tab w:val="left" w:pos="6072"/>
              </w:tabs>
              <w:rPr>
                <w:rFonts w:ascii="Arial" w:hAnsi="Arial" w:cs="Arial"/>
                <w:color w:val="C45911" w:themeColor="accent2" w:themeShade="BF"/>
              </w:rPr>
            </w:pPr>
            <w:bookmarkStart w:id="3" w:name="_Hlk130188379"/>
            <w:r>
              <w:rPr>
                <w:rFonts w:ascii="Arial" w:hAnsi="Arial" w:cs="Arial"/>
                <w:color w:val="C45911" w:themeColor="accent2" w:themeShade="BF"/>
              </w:rPr>
              <w:t xml:space="preserve">  </w:t>
            </w:r>
            <w:bookmarkEnd w:id="3"/>
            <w:r w:rsidR="00920C9B">
              <w:rPr>
                <w:rFonts w:ascii="Arial" w:hAnsi="Arial" w:cs="Arial"/>
                <w:color w:val="C45911" w:themeColor="accent2" w:themeShade="BF"/>
              </w:rPr>
              <w:t xml:space="preserve">                                                                              </w:t>
            </w:r>
          </w:p>
          <w:p w14:paraId="54A3E243" w14:textId="4B6CC8F6" w:rsidR="00920C9B" w:rsidRPr="00D12F6F" w:rsidRDefault="00345174" w:rsidP="00345174">
            <w:pPr>
              <w:tabs>
                <w:tab w:val="left" w:pos="8172"/>
              </w:tabs>
              <w:rPr>
                <w:rFonts w:ascii="Arial" w:hAnsi="Arial" w:cs="Arial"/>
                <w:b/>
                <w:bCs/>
                <w:color w:val="C45911" w:themeColor="accent2" w:themeShade="BF"/>
                <w:sz w:val="18"/>
                <w:szCs w:val="18"/>
              </w:rPr>
            </w:pPr>
            <w:r>
              <w:rPr>
                <w:rFonts w:ascii="Arial" w:hAnsi="Arial" w:cs="Arial"/>
                <w:color w:val="C45911" w:themeColor="accent2" w:themeShade="BF"/>
              </w:rPr>
              <w:tab/>
            </w:r>
            <w:r w:rsidRPr="007B326A">
              <w:rPr>
                <w:rFonts w:ascii="Arial" w:hAnsi="Arial" w:cs="Arial"/>
                <w:bCs/>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expenses include </w:t>
            </w:r>
            <w:r w:rsidR="00D3420D" w:rsidRPr="007B326A">
              <w:rPr>
                <w:rFonts w:ascii="Arial" w:hAnsi="Arial" w:cs="Arial"/>
                <w:bCs/>
                <w:color w:val="000000" w:themeColor="text1"/>
                <w:sz w:val="18"/>
                <w:szCs w:val="18"/>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VAT.</w:t>
            </w:r>
          </w:p>
          <w:p w14:paraId="6938D714" w14:textId="7FDC0F79" w:rsidR="00920C9B" w:rsidRDefault="004913E0" w:rsidP="00920C9B">
            <w:pPr>
              <w:rPr>
                <w:rFonts w:ascii="Arial" w:hAnsi="Arial" w:cs="Arial"/>
                <w:color w:val="C45911" w:themeColor="accent2" w:themeShade="BF"/>
              </w:rPr>
            </w:pPr>
            <w:r>
              <w:rPr>
                <w:rFonts w:ascii="Arial" w:hAnsi="Arial" w:cs="Arial"/>
                <w:noProof/>
              </w:rPr>
              <mc:AlternateContent>
                <mc:Choice Requires="wps">
                  <w:drawing>
                    <wp:anchor distT="0" distB="0" distL="114300" distR="114300" simplePos="0" relativeHeight="251669504" behindDoc="0" locked="0" layoutInCell="1" allowOverlap="1" wp14:anchorId="5A8D10D2" wp14:editId="1D21FF83">
                      <wp:simplePos x="0" y="0"/>
                      <wp:positionH relativeFrom="column">
                        <wp:posOffset>644525</wp:posOffset>
                      </wp:positionH>
                      <wp:positionV relativeFrom="paragraph">
                        <wp:posOffset>52070</wp:posOffset>
                      </wp:positionV>
                      <wp:extent cx="6019800" cy="1691640"/>
                      <wp:effectExtent l="0" t="0" r="19050" b="22860"/>
                      <wp:wrapNone/>
                      <wp:docPr id="45" name="Scroll: Horizontal 45"/>
                      <wp:cNvGraphicFramePr/>
                      <a:graphic xmlns:a="http://schemas.openxmlformats.org/drawingml/2006/main">
                        <a:graphicData uri="http://schemas.microsoft.com/office/word/2010/wordprocessingShape">
                          <wps:wsp>
                            <wps:cNvSpPr/>
                            <wps:spPr>
                              <a:xfrm>
                                <a:off x="0" y="0"/>
                                <a:ext cx="6019800" cy="1691640"/>
                              </a:xfrm>
                              <a:prstGeom prst="horizontalScroll">
                                <a:avLst/>
                              </a:prstGeom>
                              <a:solidFill>
                                <a:srgbClr val="92D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10386A" w14:textId="0F2FA68F" w:rsidR="001B14C2" w:rsidRPr="007F3BB7" w:rsidRDefault="001B14C2" w:rsidP="00CA6C97">
                                  <w:pPr>
                                    <w:pStyle w:val="ListParagraph"/>
                                    <w:numPr>
                                      <w:ilvl w:val="0"/>
                                      <w:numId w:val="4"/>
                                    </w:numPr>
                                    <w:spacing w:after="0"/>
                                    <w:rPr>
                                      <w:rFonts w:ascii="Arial" w:hAnsi="Arial" w:cs="Arial"/>
                                      <w:b/>
                                      <w:bCs/>
                                      <w:color w:val="385623" w:themeColor="accent6" w:themeShade="80"/>
                                    </w:rPr>
                                  </w:pPr>
                                  <w:r w:rsidRPr="007F3BB7">
                                    <w:rPr>
                                      <w:rFonts w:ascii="Arial" w:hAnsi="Arial" w:cs="Arial"/>
                                      <w:b/>
                                      <w:bCs/>
                                      <w:color w:val="385623" w:themeColor="accent6" w:themeShade="80"/>
                                    </w:rPr>
                                    <w:t>you will be informed in advance of the cost of the service and will not be required to pay extra.</w:t>
                                  </w:r>
                                </w:p>
                                <w:p w14:paraId="0650F1E2" w14:textId="42417AFF" w:rsidR="001B14C2" w:rsidRPr="007F3BB7" w:rsidRDefault="001B14C2" w:rsidP="00CA6C97">
                                  <w:pPr>
                                    <w:pStyle w:val="ListParagraph"/>
                                    <w:numPr>
                                      <w:ilvl w:val="0"/>
                                      <w:numId w:val="4"/>
                                    </w:numPr>
                                    <w:spacing w:after="0"/>
                                    <w:rPr>
                                      <w:rFonts w:ascii="Arial" w:hAnsi="Arial" w:cs="Arial"/>
                                      <w:b/>
                                      <w:bCs/>
                                      <w:color w:val="385623" w:themeColor="accent6" w:themeShade="80"/>
                                    </w:rPr>
                                  </w:pPr>
                                  <w:r w:rsidRPr="007F3BB7">
                                    <w:rPr>
                                      <w:rFonts w:ascii="Arial" w:hAnsi="Arial" w:cs="Arial"/>
                                      <w:b/>
                                      <w:bCs/>
                                      <w:color w:val="385623" w:themeColor="accent6" w:themeShade="80"/>
                                    </w:rPr>
                                    <w:t>If the situation gets more complicated, we have the right to adjust the cost.</w:t>
                                  </w:r>
                                </w:p>
                                <w:p w14:paraId="6C63F60C" w14:textId="6565C858" w:rsidR="001B14C2" w:rsidRPr="007F3BB7" w:rsidRDefault="001B14C2" w:rsidP="00CA6C97">
                                  <w:pPr>
                                    <w:pStyle w:val="ListParagraph"/>
                                    <w:numPr>
                                      <w:ilvl w:val="0"/>
                                      <w:numId w:val="4"/>
                                    </w:numPr>
                                    <w:spacing w:after="0"/>
                                    <w:rPr>
                                      <w:rFonts w:ascii="Arial" w:hAnsi="Arial" w:cs="Arial"/>
                                      <w:b/>
                                      <w:bCs/>
                                      <w:color w:val="385623" w:themeColor="accent6" w:themeShade="80"/>
                                    </w:rPr>
                                  </w:pPr>
                                  <w:r w:rsidRPr="007F3BB7">
                                    <w:rPr>
                                      <w:rFonts w:ascii="Arial" w:hAnsi="Arial" w:cs="Arial"/>
                                      <w:b/>
                                      <w:bCs/>
                                      <w:color w:val="385623" w:themeColor="accent6" w:themeShade="80"/>
                                    </w:rPr>
                                    <w:t>decided upon at the start of a deal.</w:t>
                                  </w:r>
                                </w:p>
                                <w:p w14:paraId="03F8A770" w14:textId="721BD11A" w:rsidR="001B14C2" w:rsidRPr="007F3BB7" w:rsidRDefault="001B14C2" w:rsidP="00CA6C97">
                                  <w:pPr>
                                    <w:pStyle w:val="ListParagraph"/>
                                    <w:numPr>
                                      <w:ilvl w:val="0"/>
                                      <w:numId w:val="4"/>
                                    </w:numPr>
                                    <w:spacing w:after="0"/>
                                    <w:rPr>
                                      <w:rFonts w:ascii="Arial" w:hAnsi="Arial" w:cs="Arial"/>
                                      <w:b/>
                                      <w:bCs/>
                                      <w:color w:val="385623" w:themeColor="accent6" w:themeShade="80"/>
                                    </w:rPr>
                                  </w:pPr>
                                  <w:r w:rsidRPr="007F3BB7">
                                    <w:rPr>
                                      <w:rFonts w:ascii="Arial" w:hAnsi="Arial" w:cs="Arial"/>
                                      <w:b/>
                                      <w:bCs/>
                                      <w:color w:val="385623" w:themeColor="accent6" w:themeShade="80"/>
                                    </w:rPr>
                                    <w:t>Normal in conveyancing transaction deals.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8D10D2"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45" o:spid="_x0000_s1028" type="#_x0000_t98" style="position:absolute;margin-left:50.75pt;margin-top:4.1pt;width:474pt;height:133.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" fillcolor="#92d050" strokecolor="black [3213]" strokeweight="1pt">
                      <v:stroke joinstyle="miter"/>
                      <v:textbox>
                        <w:txbxContent>
                          <w:p w14:paraId="2110386A" w14:textId="0F2FA68F" w:rsidR="001B14C2" w:rsidRPr="007F3BB7" w:rsidRDefault="001B14C2" w:rsidP="00CA6C97">
                            <w:pPr>
                              <w:pStyle w:val="ListParagraph"/>
                              <w:numPr>
                                <w:ilvl w:val="0"/>
                                <w:numId w:val="4"/>
                              </w:numPr>
                              <w:spacing w:after="0"/>
                              <w:rPr>
                                <w:rFonts w:ascii="Arial" w:hAnsi="Arial" w:cs="Arial"/>
                                <w:b/>
                                <w:bCs/>
                                <w:color w:val="385623" w:themeColor="accent6" w:themeShade="80"/>
                              </w:rPr>
                            </w:pPr>
                            <w:r w:rsidRPr="007F3BB7">
                              <w:rPr>
                                <w:rFonts w:ascii="Arial" w:hAnsi="Arial" w:cs="Arial"/>
                                <w:b/>
                                <w:bCs/>
                                <w:color w:val="385623" w:themeColor="accent6" w:themeShade="80"/>
                              </w:rPr>
                              <w:t>you will be informed in advance of the cost of the service and will not be required to pay extra.</w:t>
                            </w:r>
                          </w:p>
                          <w:p w14:paraId="0650F1E2" w14:textId="42417AFF" w:rsidR="001B14C2" w:rsidRPr="007F3BB7" w:rsidRDefault="001B14C2" w:rsidP="00CA6C97">
                            <w:pPr>
                              <w:pStyle w:val="ListParagraph"/>
                              <w:numPr>
                                <w:ilvl w:val="0"/>
                                <w:numId w:val="4"/>
                              </w:numPr>
                              <w:spacing w:after="0"/>
                              <w:rPr>
                                <w:rFonts w:ascii="Arial" w:hAnsi="Arial" w:cs="Arial"/>
                                <w:b/>
                                <w:bCs/>
                                <w:color w:val="385623" w:themeColor="accent6" w:themeShade="80"/>
                              </w:rPr>
                            </w:pPr>
                            <w:r w:rsidRPr="007F3BB7">
                              <w:rPr>
                                <w:rFonts w:ascii="Arial" w:hAnsi="Arial" w:cs="Arial"/>
                                <w:b/>
                                <w:bCs/>
                                <w:color w:val="385623" w:themeColor="accent6" w:themeShade="80"/>
                              </w:rPr>
                              <w:t>If the situation gets more complicated, we have the right to adjust the cost.</w:t>
                            </w:r>
                          </w:p>
                          <w:p w14:paraId="6C63F60C" w14:textId="6565C858" w:rsidR="001B14C2" w:rsidRPr="007F3BB7" w:rsidRDefault="001B14C2" w:rsidP="00CA6C97">
                            <w:pPr>
                              <w:pStyle w:val="ListParagraph"/>
                              <w:numPr>
                                <w:ilvl w:val="0"/>
                                <w:numId w:val="4"/>
                              </w:numPr>
                              <w:spacing w:after="0"/>
                              <w:rPr>
                                <w:rFonts w:ascii="Arial" w:hAnsi="Arial" w:cs="Arial"/>
                                <w:b/>
                                <w:bCs/>
                                <w:color w:val="385623" w:themeColor="accent6" w:themeShade="80"/>
                              </w:rPr>
                            </w:pPr>
                            <w:r w:rsidRPr="007F3BB7">
                              <w:rPr>
                                <w:rFonts w:ascii="Arial" w:hAnsi="Arial" w:cs="Arial"/>
                                <w:b/>
                                <w:bCs/>
                                <w:color w:val="385623" w:themeColor="accent6" w:themeShade="80"/>
                              </w:rPr>
                              <w:t>decided upon at the start of a deal.</w:t>
                            </w:r>
                          </w:p>
                          <w:p w14:paraId="03F8A770" w14:textId="721BD11A" w:rsidR="001B14C2" w:rsidRPr="007F3BB7" w:rsidRDefault="001B14C2" w:rsidP="00CA6C97">
                            <w:pPr>
                              <w:pStyle w:val="ListParagraph"/>
                              <w:numPr>
                                <w:ilvl w:val="0"/>
                                <w:numId w:val="4"/>
                              </w:numPr>
                              <w:spacing w:after="0"/>
                              <w:rPr>
                                <w:rFonts w:ascii="Arial" w:hAnsi="Arial" w:cs="Arial"/>
                                <w:b/>
                                <w:bCs/>
                                <w:color w:val="385623" w:themeColor="accent6" w:themeShade="80"/>
                              </w:rPr>
                            </w:pPr>
                            <w:r w:rsidRPr="007F3BB7">
                              <w:rPr>
                                <w:rFonts w:ascii="Arial" w:hAnsi="Arial" w:cs="Arial"/>
                                <w:b/>
                                <w:bCs/>
                                <w:color w:val="385623" w:themeColor="accent6" w:themeShade="80"/>
                              </w:rPr>
                              <w:t>Normal in conveyancing transaction deals.</w:t>
                            </w:r>
                          </w:p>
                        </w:txbxContent>
                      </v:textbox>
                    </v:shape>
                  </w:pict>
                </mc:Fallback>
              </mc:AlternateContent>
            </w:r>
          </w:p>
          <w:p w14:paraId="11BAF94A" w14:textId="198A9C5E" w:rsidR="00920C9B" w:rsidRPr="00920C9B" w:rsidRDefault="003C625D" w:rsidP="00920C9B">
            <w:pPr>
              <w:rPr>
                <w:rFonts w:ascii="Arial" w:hAnsi="Arial" w:cs="Arial"/>
              </w:rPr>
            </w:pPr>
            <w:r>
              <w:rPr>
                <w:rFonts w:ascii="Arial" w:hAnsi="Arial" w:cs="Arial"/>
                <w:noProof/>
              </w:rPr>
              <mc:AlternateContent>
                <mc:Choice Requires="wps">
                  <w:drawing>
                    <wp:anchor distT="0" distB="0" distL="114300" distR="114300" simplePos="0" relativeHeight="251670528" behindDoc="0" locked="0" layoutInCell="1" allowOverlap="1" wp14:anchorId="3B4B8C5D" wp14:editId="2457B212">
                      <wp:simplePos x="0" y="0"/>
                      <wp:positionH relativeFrom="column">
                        <wp:posOffset>42545</wp:posOffset>
                      </wp:positionH>
                      <wp:positionV relativeFrom="paragraph">
                        <wp:posOffset>1637665</wp:posOffset>
                      </wp:positionV>
                      <wp:extent cx="1257300" cy="612648"/>
                      <wp:effectExtent l="0" t="0" r="19050" b="16510"/>
                      <wp:wrapNone/>
                      <wp:docPr id="46" name="Flowchart: Sequential Access Storage 46"/>
                      <wp:cNvGraphicFramePr/>
                      <a:graphic xmlns:a="http://schemas.openxmlformats.org/drawingml/2006/main">
                        <a:graphicData uri="http://schemas.microsoft.com/office/word/2010/wordprocessingShape">
                          <wps:wsp>
                            <wps:cNvSpPr/>
                            <wps:spPr>
                              <a:xfrm>
                                <a:off x="0" y="0"/>
                                <a:ext cx="1257300" cy="612648"/>
                              </a:xfrm>
                              <a:prstGeom prst="flowChartMagneticTape">
                                <a:avLst/>
                              </a:prstGeom>
                              <a:solidFill>
                                <a:schemeClr val="accent5">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5F0975" w14:textId="58F59006" w:rsidR="00CA6C97" w:rsidRPr="003C625D" w:rsidRDefault="00CA6C97" w:rsidP="00CA6C97">
                                  <w:pPr>
                                    <w:jc w:val="center"/>
                                    <w:rPr>
                                      <w:b/>
                                      <w:bCs/>
                                      <w:color w:val="000000" w:themeColor="text1"/>
                                    </w:rPr>
                                  </w:pPr>
                                  <w:r w:rsidRPr="003C625D">
                                    <w:rPr>
                                      <w:b/>
                                      <w:bCs/>
                                      <w:color w:val="000000" w:themeColor="text1"/>
                                    </w:rPr>
                                    <w:t>Time recording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B4B8C5D" id="_x0000_t131" coordsize="21600,21600" o:spt="131" path="ar,,21600,21600,18685,18165,10677,21597l20990,21597r,-3432xe">
                      <v:stroke joinstyle="miter"/>
                      <v:path o:connecttype="rect" textboxrect="3163,3163,18437,18437"/>
                    </v:shapetype>
                    <v:shape id="Flowchart: Sequential Access Storage 46" o:spid="_x0000_s1029" type="#_x0000_t131" style="position:absolute;margin-left:3.35pt;margin-top:128.95pt;width:99pt;height:48.2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" fillcolor="#9cc2e5 [1944]" strokecolor="black [3213]" strokeweight="1pt">
                      <v:textbox>
                        <w:txbxContent>
                          <w:p w14:paraId="485F0975" w14:textId="58F59006" w:rsidR="00CA6C97" w:rsidRPr="003C625D" w:rsidRDefault="00CA6C97" w:rsidP="00CA6C97">
                            <w:pPr>
                              <w:jc w:val="center"/>
                              <w:rPr>
                                <w:b/>
                                <w:bCs/>
                                <w:color w:val="000000" w:themeColor="text1"/>
                              </w:rPr>
                            </w:pPr>
                            <w:r w:rsidRPr="003C625D">
                              <w:rPr>
                                <w:b/>
                                <w:bCs/>
                                <w:color w:val="000000" w:themeColor="text1"/>
                              </w:rPr>
                              <w:t>Time recording</w:t>
                            </w:r>
                          </w:p>
                        </w:txbxContent>
                      </v:textbox>
                    </v:shape>
                  </w:pict>
                </mc:Fallback>
              </mc:AlternateContent>
            </w:r>
            <w:r w:rsidR="00895A32">
              <w:rPr>
                <w:rFonts w:ascii="Arial" w:hAnsi="Arial" w:cs="Arial"/>
                <w:noProof/>
              </w:rPr>
              <mc:AlternateContent>
                <mc:Choice Requires="wps">
                  <w:drawing>
                    <wp:anchor distT="0" distB="0" distL="114300" distR="114300" simplePos="0" relativeHeight="251675648" behindDoc="0" locked="0" layoutInCell="1" allowOverlap="1" wp14:anchorId="6B08DE59" wp14:editId="53251109">
                      <wp:simplePos x="0" y="0"/>
                      <wp:positionH relativeFrom="column">
                        <wp:posOffset>1132205</wp:posOffset>
                      </wp:positionH>
                      <wp:positionV relativeFrom="paragraph">
                        <wp:posOffset>3872865</wp:posOffset>
                      </wp:positionV>
                      <wp:extent cx="5654040" cy="1234440"/>
                      <wp:effectExtent l="0" t="0" r="22860" b="22860"/>
                      <wp:wrapNone/>
                      <wp:docPr id="52" name="Scroll: Horizontal 52"/>
                      <wp:cNvGraphicFramePr/>
                      <a:graphic xmlns:a="http://schemas.openxmlformats.org/drawingml/2006/main">
                        <a:graphicData uri="http://schemas.microsoft.com/office/word/2010/wordprocessingShape">
                          <wps:wsp>
                            <wps:cNvSpPr/>
                            <wps:spPr>
                              <a:xfrm>
                                <a:off x="0" y="0"/>
                                <a:ext cx="5654040" cy="1234440"/>
                              </a:xfrm>
                              <a:prstGeom prst="horizontalScroll">
                                <a:avLst>
                                  <a:gd name="adj" fmla="val 8812"/>
                                </a:avLst>
                              </a:prstGeom>
                              <a:gradFill flip="none" rotWithShape="1">
                                <a:gsLst>
                                  <a:gs pos="0">
                                    <a:schemeClr val="accent2">
                                      <a:lumMod val="75000"/>
                                      <a:shade val="30000"/>
                                      <a:satMod val="115000"/>
                                    </a:schemeClr>
                                  </a:gs>
                                  <a:gs pos="50000">
                                    <a:schemeClr val="accent2">
                                      <a:lumMod val="75000"/>
                                      <a:shade val="67500"/>
                                      <a:satMod val="115000"/>
                                    </a:schemeClr>
                                  </a:gs>
                                  <a:gs pos="100000">
                                    <a:schemeClr val="accent2">
                                      <a:lumMod val="75000"/>
                                      <a:shade val="100000"/>
                                      <a:satMod val="115000"/>
                                    </a:schemeClr>
                                  </a:gs>
                                </a:gsLst>
                                <a:lin ang="0" scaled="1"/>
                                <a:tileRect/>
                              </a:gra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C76F62" w14:textId="55E882BF" w:rsidR="00CD2217" w:rsidRDefault="000B6DF7" w:rsidP="007C6B88">
                                  <w:pPr>
                                    <w:pStyle w:val="ListParagraph"/>
                                    <w:numPr>
                                      <w:ilvl w:val="0"/>
                                      <w:numId w:val="11"/>
                                    </w:numPr>
                                    <w:spacing w:after="0"/>
                                  </w:pPr>
                                  <w:r>
                                    <w:t xml:space="preserve">If your </w:t>
                                  </w:r>
                                  <w:r w:rsidR="007F1F11">
                                    <w:t>case win you will pay for solicitors.</w:t>
                                  </w:r>
                                </w:p>
                                <w:p w14:paraId="6608C86F" w14:textId="77777777" w:rsidR="00CD2217" w:rsidRDefault="00CD2217" w:rsidP="007C6B88">
                                  <w:pPr>
                                    <w:pStyle w:val="ListParagraph"/>
                                    <w:numPr>
                                      <w:ilvl w:val="0"/>
                                      <w:numId w:val="11"/>
                                    </w:numPr>
                                    <w:spacing w:after="0"/>
                                  </w:pPr>
                                  <w:r>
                                    <w:t>This is common in personal injury cases.</w:t>
                                  </w:r>
                                </w:p>
                                <w:p w14:paraId="614303B7" w14:textId="55A714BF" w:rsidR="00CD2217" w:rsidRDefault="009E6BCD" w:rsidP="007C6B88">
                                  <w:pPr>
                                    <w:pStyle w:val="ListParagraph"/>
                                    <w:numPr>
                                      <w:ilvl w:val="0"/>
                                      <w:numId w:val="11"/>
                                    </w:numPr>
                                    <w:spacing w:after="0"/>
                                  </w:pPr>
                                  <w:r>
                                    <w:t xml:space="preserve">CFA allows lawyer to gain more from the standard </w:t>
                                  </w:r>
                                  <w:r w:rsidR="00F4156E">
                                    <w:t>expenses</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8DE59" id="Scroll: Horizontal 52" o:spid="_x0000_s1030" type="#_x0000_t98" style="position:absolute;margin-left:89.15pt;margin-top:304.95pt;width:445.2pt;height:97.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" adj="1903" fillcolor="#c45911 [2405]" strokecolor="black [3213]" strokeweight="1pt">
                      <v:fill color2="#c45911 [2405]" rotate="t" angle="90" colors="0 #7a2f00;.5 #b14801;1 #d35704" focus="100%" type="gradient"/>
                      <v:stroke joinstyle="miter"/>
                      <v:textbox>
                        <w:txbxContent>
                          <w:p w14:paraId="08C76F62" w14:textId="55E882BF" w:rsidR="00CD2217" w:rsidRDefault="000B6DF7" w:rsidP="007C6B88">
                            <w:pPr>
                              <w:pStyle w:val="ListParagraph"/>
                              <w:numPr>
                                <w:ilvl w:val="0"/>
                                <w:numId w:val="11"/>
                              </w:numPr>
                              <w:spacing w:after="0"/>
                            </w:pPr>
                            <w:r>
                              <w:t xml:space="preserve">If your </w:t>
                            </w:r>
                            <w:r w:rsidR="007F1F11">
                              <w:t>case win you will pay for solicitors.</w:t>
                            </w:r>
                          </w:p>
                          <w:p w14:paraId="6608C86F" w14:textId="77777777" w:rsidR="00CD2217" w:rsidRDefault="00CD2217" w:rsidP="007C6B88">
                            <w:pPr>
                              <w:pStyle w:val="ListParagraph"/>
                              <w:numPr>
                                <w:ilvl w:val="0"/>
                                <w:numId w:val="11"/>
                              </w:numPr>
                              <w:spacing w:after="0"/>
                            </w:pPr>
                            <w:r>
                              <w:t>This is common in personal injury cases.</w:t>
                            </w:r>
                          </w:p>
                          <w:p w14:paraId="614303B7" w14:textId="55A714BF" w:rsidR="00CD2217" w:rsidRDefault="009E6BCD" w:rsidP="007C6B88">
                            <w:pPr>
                              <w:pStyle w:val="ListParagraph"/>
                              <w:numPr>
                                <w:ilvl w:val="0"/>
                                <w:numId w:val="11"/>
                              </w:numPr>
                              <w:spacing w:after="0"/>
                            </w:pPr>
                            <w:r>
                              <w:t xml:space="preserve">CFA allows lawyer to gain more from the standard </w:t>
                            </w:r>
                            <w:r w:rsidR="00F4156E">
                              <w:t>expenses</w:t>
                            </w:r>
                            <w:r>
                              <w:t>.</w:t>
                            </w:r>
                          </w:p>
                        </w:txbxContent>
                      </v:textbox>
                    </v:shape>
                  </w:pict>
                </mc:Fallback>
              </mc:AlternateContent>
            </w:r>
            <w:r w:rsidR="004913E0">
              <w:rPr>
                <w:rFonts w:ascii="Arial" w:hAnsi="Arial" w:cs="Arial"/>
                <w:noProof/>
              </w:rPr>
              <mc:AlternateContent>
                <mc:Choice Requires="wps">
                  <w:drawing>
                    <wp:anchor distT="0" distB="0" distL="114300" distR="114300" simplePos="0" relativeHeight="251677696" behindDoc="0" locked="0" layoutInCell="1" allowOverlap="1" wp14:anchorId="1472A750" wp14:editId="5730AF88">
                      <wp:simplePos x="0" y="0"/>
                      <wp:positionH relativeFrom="column">
                        <wp:posOffset>12065</wp:posOffset>
                      </wp:positionH>
                      <wp:positionV relativeFrom="paragraph">
                        <wp:posOffset>5149850</wp:posOffset>
                      </wp:positionV>
                      <wp:extent cx="5097780" cy="1303020"/>
                      <wp:effectExtent l="0" t="0" r="26670" b="11430"/>
                      <wp:wrapNone/>
                      <wp:docPr id="56" name="Scroll: Horizontal 56"/>
                      <wp:cNvGraphicFramePr/>
                      <a:graphic xmlns:a="http://schemas.openxmlformats.org/drawingml/2006/main">
                        <a:graphicData uri="http://schemas.microsoft.com/office/word/2010/wordprocessingShape">
                          <wps:wsp>
                            <wps:cNvSpPr/>
                            <wps:spPr>
                              <a:xfrm>
                                <a:off x="0" y="0"/>
                                <a:ext cx="5097780" cy="1303020"/>
                              </a:xfrm>
                              <a:prstGeom prst="horizontalScroll">
                                <a:avLst>
                                  <a:gd name="adj" fmla="val 9291"/>
                                </a:avLst>
                              </a:prstGeom>
                              <a:solidFill>
                                <a:schemeClr val="accent4">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6D85C3" w14:textId="385D81FB" w:rsidR="00C51E12" w:rsidRPr="00FD118E" w:rsidRDefault="00C51E12" w:rsidP="00C51E12">
                                  <w:pPr>
                                    <w:spacing w:after="0"/>
                                    <w:rPr>
                                      <w:b/>
                                      <w:bCs/>
                                      <w:color w:val="000000" w:themeColor="text1"/>
                                    </w:rPr>
                                  </w:pPr>
                                  <w:r w:rsidRPr="00FD118E">
                                    <w:rPr>
                                      <w:b/>
                                      <w:bCs/>
                                      <w:color w:val="000000" w:themeColor="text1"/>
                                    </w:rPr>
                                    <w:t>cover potential dangers. Clients purchase legal expenses insurance to secure legal charges incurred when pursuing claims involving:</w:t>
                                  </w:r>
                                </w:p>
                                <w:p w14:paraId="44E7227C" w14:textId="57B16D32" w:rsidR="00C51E12" w:rsidRPr="00FD118E" w:rsidRDefault="00C51E12" w:rsidP="00C51E12">
                                  <w:pPr>
                                    <w:spacing w:after="0"/>
                                    <w:rPr>
                                      <w:b/>
                                      <w:bCs/>
                                      <w:color w:val="000000" w:themeColor="text1"/>
                                    </w:rPr>
                                  </w:pPr>
                                  <w:r w:rsidRPr="00FD118E">
                                    <w:rPr>
                                      <w:b/>
                                      <w:bCs/>
                                      <w:color w:val="000000" w:themeColor="text1"/>
                                    </w:rPr>
                                    <w:t>Personal injury, contracts for goods and services, property, employment. Most plans are offered as an optional bonus to house or car insurance.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2A750" id="Scroll: Horizontal 56" o:spid="_x0000_s1031" type="#_x0000_t98" style="position:absolute;margin-left:.95pt;margin-top:405.5pt;width:401.4pt;height:10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" adj="2007" fillcolor="#bf8f00 [2407]" strokecolor="black [3213]" strokeweight="1pt">
                      <v:stroke joinstyle="miter"/>
                      <v:textbox>
                        <w:txbxContent>
                          <w:p w14:paraId="6F6D85C3" w14:textId="385D81FB" w:rsidR="00C51E12" w:rsidRPr="00FD118E" w:rsidRDefault="00C51E12" w:rsidP="00C51E12">
                            <w:pPr>
                              <w:spacing w:after="0"/>
                              <w:rPr>
                                <w:b/>
                                <w:bCs/>
                                <w:color w:val="000000" w:themeColor="text1"/>
                              </w:rPr>
                            </w:pPr>
                            <w:r w:rsidRPr="00FD118E">
                              <w:rPr>
                                <w:b/>
                                <w:bCs/>
                                <w:color w:val="000000" w:themeColor="text1"/>
                              </w:rPr>
                              <w:t>cover potential dangers. Clients purchase legal expenses insurance to secure legal charges incurred when pursuing claims involving:</w:t>
                            </w:r>
                          </w:p>
                          <w:p w14:paraId="44E7227C" w14:textId="57B16D32" w:rsidR="00C51E12" w:rsidRPr="00FD118E" w:rsidRDefault="00C51E12" w:rsidP="00C51E12">
                            <w:pPr>
                              <w:spacing w:after="0"/>
                              <w:rPr>
                                <w:b/>
                                <w:bCs/>
                                <w:color w:val="000000" w:themeColor="text1"/>
                              </w:rPr>
                            </w:pPr>
                            <w:r w:rsidRPr="00FD118E">
                              <w:rPr>
                                <w:b/>
                                <w:bCs/>
                                <w:color w:val="000000" w:themeColor="text1"/>
                              </w:rPr>
                              <w:t>Personal injury, contracts for goods and services, property, employment. Most plans are offered as an optional bonus to house or car insurance.</w:t>
                            </w:r>
                          </w:p>
                        </w:txbxContent>
                      </v:textbox>
                    </v:shape>
                  </w:pict>
                </mc:Fallback>
              </mc:AlternateContent>
            </w:r>
            <w:r w:rsidR="004913E0">
              <w:rPr>
                <w:rFonts w:ascii="Arial" w:hAnsi="Arial" w:cs="Arial"/>
                <w:noProof/>
              </w:rPr>
              <mc:AlternateContent>
                <mc:Choice Requires="wps">
                  <w:drawing>
                    <wp:anchor distT="0" distB="0" distL="114300" distR="114300" simplePos="0" relativeHeight="251672576" behindDoc="0" locked="0" layoutInCell="1" allowOverlap="1" wp14:anchorId="4C07E4B4" wp14:editId="3459DF14">
                      <wp:simplePos x="0" y="0"/>
                      <wp:positionH relativeFrom="column">
                        <wp:posOffset>5856605</wp:posOffset>
                      </wp:positionH>
                      <wp:positionV relativeFrom="paragraph">
                        <wp:posOffset>2772410</wp:posOffset>
                      </wp:positionV>
                      <wp:extent cx="914400" cy="746760"/>
                      <wp:effectExtent l="152400" t="0" r="38100" b="34290"/>
                      <wp:wrapNone/>
                      <wp:docPr id="48" name="Thought Bubble: Cloud 48"/>
                      <wp:cNvGraphicFramePr/>
                      <a:graphic xmlns:a="http://schemas.openxmlformats.org/drawingml/2006/main">
                        <a:graphicData uri="http://schemas.microsoft.com/office/word/2010/wordprocessingShape">
                          <wps:wsp>
                            <wps:cNvSpPr/>
                            <wps:spPr>
                              <a:xfrm>
                                <a:off x="0" y="0"/>
                                <a:ext cx="914400" cy="746760"/>
                              </a:xfrm>
                              <a:prstGeom prst="cloudCallout">
                                <a:avLst>
                                  <a:gd name="adj1" fmla="val -63333"/>
                                  <a:gd name="adj2" fmla="val 27806"/>
                                </a:avLst>
                              </a:prstGeom>
                              <a:solidFill>
                                <a:schemeClr val="accent3">
                                  <a:lumMod val="75000"/>
                                </a:schemeClr>
                              </a:solidFill>
                              <a:ln>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2C327F" w14:textId="2B2CD408" w:rsidR="00EC6FAE" w:rsidRPr="004F44D8" w:rsidRDefault="00EC6FAE" w:rsidP="00EC6FAE">
                                  <w:pPr>
                                    <w:jc w:val="center"/>
                                    <w:rPr>
                                      <w:b/>
                                      <w:bCs/>
                                    </w:rPr>
                                  </w:pPr>
                                  <w:r w:rsidRPr="004F44D8">
                                    <w:rPr>
                                      <w:b/>
                                      <w:bCs/>
                                    </w:rPr>
                                    <w:t>Public fund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C07E4B4"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48" o:spid="_x0000_s1032" type="#_x0000_t106" style="position:absolute;margin-left:461.15pt;margin-top:218.3pt;width:1in;height:58.8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" adj="-2880,16806" fillcolor="#7b7b7b [2406]" strokecolor="#212934 [1615]" strokeweight="1pt">
                      <v:stroke joinstyle="miter"/>
                      <v:textbox>
                        <w:txbxContent>
                          <w:p w14:paraId="672C327F" w14:textId="2B2CD408" w:rsidR="00EC6FAE" w:rsidRPr="004F44D8" w:rsidRDefault="00EC6FAE" w:rsidP="00EC6FAE">
                            <w:pPr>
                              <w:jc w:val="center"/>
                              <w:rPr>
                                <w:b/>
                                <w:bCs/>
                              </w:rPr>
                            </w:pPr>
                            <w:r w:rsidRPr="004F44D8">
                              <w:rPr>
                                <w:b/>
                                <w:bCs/>
                              </w:rPr>
                              <w:t>Public fund</w:t>
                            </w:r>
                          </w:p>
                        </w:txbxContent>
                      </v:textbox>
                    </v:shape>
                  </w:pict>
                </mc:Fallback>
              </mc:AlternateContent>
            </w:r>
            <w:r w:rsidR="004913E0">
              <w:rPr>
                <w:rFonts w:ascii="Arial" w:hAnsi="Arial" w:cs="Arial"/>
                <w:noProof/>
              </w:rPr>
              <mc:AlternateContent>
                <mc:Choice Requires="wps">
                  <w:drawing>
                    <wp:anchor distT="0" distB="0" distL="114300" distR="114300" simplePos="0" relativeHeight="251673600" behindDoc="0" locked="0" layoutInCell="1" allowOverlap="1" wp14:anchorId="3CEFBE3F" wp14:editId="4A721366">
                      <wp:simplePos x="0" y="0"/>
                      <wp:positionH relativeFrom="column">
                        <wp:posOffset>53975</wp:posOffset>
                      </wp:positionH>
                      <wp:positionV relativeFrom="paragraph">
                        <wp:posOffset>2653665</wp:posOffset>
                      </wp:positionV>
                      <wp:extent cx="5585460" cy="1264920"/>
                      <wp:effectExtent l="0" t="0" r="15240" b="11430"/>
                      <wp:wrapNone/>
                      <wp:docPr id="50" name="Scroll: Horizontal 50"/>
                      <wp:cNvGraphicFramePr/>
                      <a:graphic xmlns:a="http://schemas.openxmlformats.org/drawingml/2006/main">
                        <a:graphicData uri="http://schemas.microsoft.com/office/word/2010/wordprocessingShape">
                          <wps:wsp>
                            <wps:cNvSpPr/>
                            <wps:spPr>
                              <a:xfrm>
                                <a:off x="0" y="0"/>
                                <a:ext cx="5585460" cy="1264920"/>
                              </a:xfrm>
                              <a:prstGeom prst="horizontalScroll">
                                <a:avLst/>
                              </a:prstGeom>
                              <a:gradFill flip="none" rotWithShape="1">
                                <a:gsLst>
                                  <a:gs pos="0">
                                    <a:schemeClr val="accent3">
                                      <a:lumMod val="75000"/>
                                      <a:shade val="30000"/>
                                      <a:satMod val="115000"/>
                                    </a:schemeClr>
                                  </a:gs>
                                  <a:gs pos="50000">
                                    <a:schemeClr val="accent3">
                                      <a:lumMod val="75000"/>
                                      <a:shade val="67500"/>
                                      <a:satMod val="115000"/>
                                    </a:schemeClr>
                                  </a:gs>
                                  <a:gs pos="100000">
                                    <a:schemeClr val="accent3">
                                      <a:lumMod val="75000"/>
                                      <a:shade val="100000"/>
                                      <a:satMod val="115000"/>
                                    </a:schemeClr>
                                  </a:gs>
                                </a:gsLst>
                                <a:lin ang="16200000" scaled="1"/>
                                <a:tileRect/>
                              </a:gra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48C518" w14:textId="77777777" w:rsidR="004A0554" w:rsidRDefault="004A0554" w:rsidP="004A0554">
                                  <w:pPr>
                                    <w:spacing w:after="0"/>
                                  </w:pPr>
                                  <w:r>
                                    <w:t>Legal aid can assist with the cost of legal advice, child support, and legal representation.</w:t>
                                  </w:r>
                                </w:p>
                                <w:p w14:paraId="4055E225" w14:textId="3FB0982C" w:rsidR="004A0554" w:rsidRDefault="004A0554" w:rsidP="004A0554">
                                  <w:pPr>
                                    <w:spacing w:after="0"/>
                                  </w:pPr>
                                  <w:r>
                                    <w:t xml:space="preserve">you should show </w:t>
                                  </w:r>
                                  <w:r w:rsidR="00FD118E">
                                    <w:t>the</w:t>
                                  </w:r>
                                  <w:r>
                                    <w:t xml:space="preserve"> situation is critical, and you're unable to cover the legal expenses.</w:t>
                                  </w:r>
                                </w:p>
                                <w:p w14:paraId="035BB8C4" w14:textId="230CEB00" w:rsidR="004A0554" w:rsidRDefault="00F246B8" w:rsidP="004A0554">
                                  <w:pPr>
                                    <w:spacing w:after="0"/>
                                  </w:pPr>
                                  <w:r w:rsidRPr="00F246B8">
                                    <w:t>Some family cases involving domestic violence</w:t>
                                  </w:r>
                                  <w:r>
                                    <w:t xml:space="preserve"> and </w:t>
                                  </w:r>
                                  <w:r w:rsidR="00FD118E">
                                    <w:t>childcare</w:t>
                                  </w:r>
                                  <w:r w:rsidRPr="00F246B8">
                                    <w:t xml:space="preserve"> are eligible</w:t>
                                  </w:r>
                                  <w:r>
                                    <w:t xml:space="preserve"> for </w:t>
                                  </w:r>
                                  <w:r w:rsidR="004B4305">
                                    <w:t xml:space="preserve">public </w:t>
                                  </w:r>
                                  <w:r w:rsidR="00FD118E">
                                    <w:t>fund. (Legal</w:t>
                                  </w:r>
                                  <w:r w:rsidR="00E326A4">
                                    <w:t xml:space="preserve"> aid)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FBE3F" id="Scroll: Horizontal 50" o:spid="_x0000_s1033" type="#_x0000_t98" style="position:absolute;margin-left:4.25pt;margin-top:208.95pt;width:439.8pt;height:99.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" fillcolor="#7b7b7b [2406]" strokecolor="black [3213]" strokeweight="1pt">
                      <v:fill color2="#7b7b7b [2406]" rotate="t" angle="180" colors="0 #454545;.5 #676767;1 #7c7c7c" focus="100%" type="gradient"/>
                      <v:stroke joinstyle="miter"/>
                      <v:textbox>
                        <w:txbxContent>
                          <w:p w14:paraId="3748C518" w14:textId="77777777" w:rsidR="004A0554" w:rsidRDefault="004A0554" w:rsidP="004A0554">
                            <w:pPr>
                              <w:spacing w:after="0"/>
                            </w:pPr>
                            <w:r>
                              <w:t>Legal aid can assist with the cost of legal advice, child support, and legal representation.</w:t>
                            </w:r>
                          </w:p>
                          <w:p w14:paraId="4055E225" w14:textId="3FB0982C" w:rsidR="004A0554" w:rsidRDefault="004A0554" w:rsidP="004A0554">
                            <w:pPr>
                              <w:spacing w:after="0"/>
                            </w:pPr>
                            <w:r>
                              <w:t xml:space="preserve">you should show </w:t>
                            </w:r>
                            <w:r w:rsidR="00FD118E">
                              <w:t>the</w:t>
                            </w:r>
                            <w:r>
                              <w:t xml:space="preserve"> situation is critical, and you're unable to cover the legal expenses.</w:t>
                            </w:r>
                          </w:p>
                          <w:p w14:paraId="035BB8C4" w14:textId="230CEB00" w:rsidR="004A0554" w:rsidRDefault="00F246B8" w:rsidP="004A0554">
                            <w:pPr>
                              <w:spacing w:after="0"/>
                            </w:pPr>
                            <w:r w:rsidRPr="00F246B8">
                              <w:t>Some family cases involving domestic violence</w:t>
                            </w:r>
                            <w:r>
                              <w:t xml:space="preserve"> and </w:t>
                            </w:r>
                            <w:r w:rsidR="00FD118E">
                              <w:t>childcare</w:t>
                            </w:r>
                            <w:r w:rsidRPr="00F246B8">
                              <w:t xml:space="preserve"> are eligible</w:t>
                            </w:r>
                            <w:r>
                              <w:t xml:space="preserve"> for </w:t>
                            </w:r>
                            <w:r w:rsidR="004B4305">
                              <w:t xml:space="preserve">public </w:t>
                            </w:r>
                            <w:r w:rsidR="00FD118E">
                              <w:t>fund. (Legal</w:t>
                            </w:r>
                            <w:r w:rsidR="00E326A4">
                              <w:t xml:space="preserve"> aid)</w:t>
                            </w:r>
                          </w:p>
                        </w:txbxContent>
                      </v:textbox>
                    </v:shape>
                  </w:pict>
                </mc:Fallback>
              </mc:AlternateContent>
            </w:r>
            <w:r w:rsidR="004913E0">
              <w:rPr>
                <w:rFonts w:ascii="Arial" w:hAnsi="Arial" w:cs="Arial"/>
                <w:noProof/>
              </w:rPr>
              <mc:AlternateContent>
                <mc:Choice Requires="wps">
                  <w:drawing>
                    <wp:anchor distT="0" distB="0" distL="114300" distR="114300" simplePos="0" relativeHeight="251671552" behindDoc="0" locked="0" layoutInCell="1" allowOverlap="1" wp14:anchorId="1D63967E" wp14:editId="0C49834D">
                      <wp:simplePos x="0" y="0"/>
                      <wp:positionH relativeFrom="column">
                        <wp:posOffset>1376045</wp:posOffset>
                      </wp:positionH>
                      <wp:positionV relativeFrom="paragraph">
                        <wp:posOffset>1408430</wp:posOffset>
                      </wp:positionV>
                      <wp:extent cx="5349240" cy="1287780"/>
                      <wp:effectExtent l="0" t="0" r="22860" b="26670"/>
                      <wp:wrapNone/>
                      <wp:docPr id="47" name="Scroll: Horizontal 47"/>
                      <wp:cNvGraphicFramePr/>
                      <a:graphic xmlns:a="http://schemas.openxmlformats.org/drawingml/2006/main">
                        <a:graphicData uri="http://schemas.microsoft.com/office/word/2010/wordprocessingShape">
                          <wps:wsp>
                            <wps:cNvSpPr/>
                            <wps:spPr>
                              <a:xfrm>
                                <a:off x="0" y="0"/>
                                <a:ext cx="5349240" cy="1287780"/>
                              </a:xfrm>
                              <a:prstGeom prst="horizontalScroll">
                                <a:avLst>
                                  <a:gd name="adj" fmla="val 6278"/>
                                </a:avLst>
                              </a:prstGeom>
                              <a:solidFill>
                                <a:schemeClr val="accent1">
                                  <a:lumMod val="5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18FF8C" w14:textId="38A6FC0F" w:rsidR="00CA6C97" w:rsidRPr="007F3BB7" w:rsidRDefault="00CA6C97" w:rsidP="00EC6FAE">
                                  <w:pPr>
                                    <w:pStyle w:val="ListParagraph"/>
                                    <w:numPr>
                                      <w:ilvl w:val="0"/>
                                      <w:numId w:val="5"/>
                                    </w:numPr>
                                    <w:rPr>
                                      <w:rFonts w:ascii="Arial" w:hAnsi="Arial" w:cs="Arial"/>
                                      <w:b/>
                                      <w:bCs/>
                                    </w:rPr>
                                  </w:pPr>
                                  <w:r w:rsidRPr="007F3BB7">
                                    <w:rPr>
                                      <w:rFonts w:ascii="Arial" w:hAnsi="Arial" w:cs="Arial"/>
                                      <w:b/>
                                      <w:bCs/>
                                    </w:rPr>
                                    <w:t xml:space="preserve">The customer is billed based on the amount of spending time on a </w:t>
                                  </w:r>
                                  <w:r w:rsidR="00EC6FAE" w:rsidRPr="007F3BB7">
                                    <w:rPr>
                                      <w:rFonts w:ascii="Arial" w:hAnsi="Arial" w:cs="Arial"/>
                                      <w:b/>
                                      <w:bCs/>
                                    </w:rPr>
                                    <w:t xml:space="preserve">subject. </w:t>
                                  </w:r>
                                </w:p>
                                <w:p w14:paraId="4D105575" w14:textId="74B34BDA" w:rsidR="00CA6C97" w:rsidRPr="007F3BB7" w:rsidRDefault="00CA6C97" w:rsidP="00EC6FAE">
                                  <w:pPr>
                                    <w:pStyle w:val="ListParagraph"/>
                                    <w:numPr>
                                      <w:ilvl w:val="0"/>
                                      <w:numId w:val="5"/>
                                    </w:numPr>
                                    <w:rPr>
                                      <w:rFonts w:ascii="Arial" w:hAnsi="Arial" w:cs="Arial"/>
                                      <w:b/>
                                      <w:bCs/>
                                    </w:rPr>
                                  </w:pPr>
                                  <w:r w:rsidRPr="007F3BB7">
                                    <w:rPr>
                                      <w:rFonts w:ascii="Arial" w:hAnsi="Arial" w:cs="Arial"/>
                                      <w:b/>
                                      <w:bCs/>
                                    </w:rPr>
                                    <w:t>Law firms charge their clients on an hourly basis for the number of hours any fee earner has spent on each client issue</w:t>
                                  </w:r>
                                  <w:r w:rsidR="006E23C6" w:rsidRPr="007F3BB7">
                                    <w:rPr>
                                      <w:rFonts w:ascii="Arial" w:hAnsi="Arial" w:cs="Arial"/>
                                      <w:b/>
                                      <w:bCs/>
                                    </w:rPr>
                                    <w:t>.</w:t>
                                  </w:r>
                                </w:p>
                                <w:p w14:paraId="78C3FFF2" w14:textId="6D84C5F8" w:rsidR="00CA6C97" w:rsidRPr="007F3BB7" w:rsidRDefault="00CA6C97" w:rsidP="00EC6FAE">
                                  <w:pPr>
                                    <w:pStyle w:val="ListParagraph"/>
                                    <w:numPr>
                                      <w:ilvl w:val="0"/>
                                      <w:numId w:val="5"/>
                                    </w:numPr>
                                    <w:rPr>
                                      <w:rFonts w:ascii="Arial" w:hAnsi="Arial" w:cs="Arial"/>
                                      <w:b/>
                                      <w:bCs/>
                                    </w:rPr>
                                  </w:pPr>
                                  <w:r w:rsidRPr="007F3BB7">
                                    <w:rPr>
                                      <w:rFonts w:ascii="Arial" w:hAnsi="Arial" w:cs="Arial"/>
                                      <w:b/>
                                      <w:bCs/>
                                    </w:rPr>
                                    <w:t xml:space="preserve">explain it at </w:t>
                                  </w:r>
                                  <w:r w:rsidR="00EC6FAE" w:rsidRPr="007F3BB7">
                                    <w:rPr>
                                      <w:rFonts w:ascii="Arial" w:hAnsi="Arial" w:cs="Arial"/>
                                      <w:b/>
                                      <w:bCs/>
                                    </w:rPr>
                                    <w:t>beginning</w:t>
                                  </w:r>
                                  <w:r w:rsidRPr="007F3BB7">
                                    <w:rPr>
                                      <w:rFonts w:ascii="Arial" w:hAnsi="Arial" w:cs="Arial"/>
                                      <w:b/>
                                      <w:bCs/>
                                    </w:rPr>
                                    <w:t xml:space="preserve"> of case.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63967E" id="Scroll: Horizontal 47" o:spid="_x0000_s1034" type="#_x0000_t98" style="position:absolute;margin-left:108.35pt;margin-top:110.9pt;width:421.2pt;height:101.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" adj="1356" fillcolor="#1f3763 [1604]" strokecolor="black [3213]" strokeweight="1pt">
                      <v:stroke joinstyle="miter"/>
                      <v:textbox>
                        <w:txbxContent>
                          <w:p w14:paraId="0F18FF8C" w14:textId="38A6FC0F" w:rsidR="00CA6C97" w:rsidRPr="007F3BB7" w:rsidRDefault="00CA6C97" w:rsidP="00EC6FAE">
                            <w:pPr>
                              <w:pStyle w:val="ListParagraph"/>
                              <w:numPr>
                                <w:ilvl w:val="0"/>
                                <w:numId w:val="5"/>
                              </w:numPr>
                              <w:rPr>
                                <w:rFonts w:ascii="Arial" w:hAnsi="Arial" w:cs="Arial"/>
                                <w:b/>
                                <w:bCs/>
                              </w:rPr>
                            </w:pPr>
                            <w:r w:rsidRPr="007F3BB7">
                              <w:rPr>
                                <w:rFonts w:ascii="Arial" w:hAnsi="Arial" w:cs="Arial"/>
                                <w:b/>
                                <w:bCs/>
                              </w:rPr>
                              <w:t xml:space="preserve">The customer is billed based on the amount of spending time on a </w:t>
                            </w:r>
                            <w:r w:rsidR="00EC6FAE" w:rsidRPr="007F3BB7">
                              <w:rPr>
                                <w:rFonts w:ascii="Arial" w:hAnsi="Arial" w:cs="Arial"/>
                                <w:b/>
                                <w:bCs/>
                              </w:rPr>
                              <w:t xml:space="preserve">subject. </w:t>
                            </w:r>
                          </w:p>
                          <w:p w14:paraId="4D105575" w14:textId="74B34BDA" w:rsidR="00CA6C97" w:rsidRPr="007F3BB7" w:rsidRDefault="00CA6C97" w:rsidP="00EC6FAE">
                            <w:pPr>
                              <w:pStyle w:val="ListParagraph"/>
                              <w:numPr>
                                <w:ilvl w:val="0"/>
                                <w:numId w:val="5"/>
                              </w:numPr>
                              <w:rPr>
                                <w:rFonts w:ascii="Arial" w:hAnsi="Arial" w:cs="Arial"/>
                                <w:b/>
                                <w:bCs/>
                              </w:rPr>
                            </w:pPr>
                            <w:r w:rsidRPr="007F3BB7">
                              <w:rPr>
                                <w:rFonts w:ascii="Arial" w:hAnsi="Arial" w:cs="Arial"/>
                                <w:b/>
                                <w:bCs/>
                              </w:rPr>
                              <w:t>Law firms charge their clients on an hourly basis for the number of hours any fee earner has spent on each client issue</w:t>
                            </w:r>
                            <w:r w:rsidR="006E23C6" w:rsidRPr="007F3BB7">
                              <w:rPr>
                                <w:rFonts w:ascii="Arial" w:hAnsi="Arial" w:cs="Arial"/>
                                <w:b/>
                                <w:bCs/>
                              </w:rPr>
                              <w:t>.</w:t>
                            </w:r>
                          </w:p>
                          <w:p w14:paraId="78C3FFF2" w14:textId="6D84C5F8" w:rsidR="00CA6C97" w:rsidRPr="007F3BB7" w:rsidRDefault="00CA6C97" w:rsidP="00EC6FAE">
                            <w:pPr>
                              <w:pStyle w:val="ListParagraph"/>
                              <w:numPr>
                                <w:ilvl w:val="0"/>
                                <w:numId w:val="5"/>
                              </w:numPr>
                              <w:rPr>
                                <w:rFonts w:ascii="Arial" w:hAnsi="Arial" w:cs="Arial"/>
                                <w:b/>
                                <w:bCs/>
                              </w:rPr>
                            </w:pPr>
                            <w:r w:rsidRPr="007F3BB7">
                              <w:rPr>
                                <w:rFonts w:ascii="Arial" w:hAnsi="Arial" w:cs="Arial"/>
                                <w:b/>
                                <w:bCs/>
                              </w:rPr>
                              <w:t xml:space="preserve">explain it at </w:t>
                            </w:r>
                            <w:r w:rsidR="00EC6FAE" w:rsidRPr="007F3BB7">
                              <w:rPr>
                                <w:rFonts w:ascii="Arial" w:hAnsi="Arial" w:cs="Arial"/>
                                <w:b/>
                                <w:bCs/>
                              </w:rPr>
                              <w:t>beginning</w:t>
                            </w:r>
                            <w:r w:rsidRPr="007F3BB7">
                              <w:rPr>
                                <w:rFonts w:ascii="Arial" w:hAnsi="Arial" w:cs="Arial"/>
                                <w:b/>
                                <w:bCs/>
                              </w:rPr>
                              <w:t xml:space="preserve"> of case.</w:t>
                            </w:r>
                          </w:p>
                        </w:txbxContent>
                      </v:textbox>
                    </v:shape>
                  </w:pict>
                </mc:Fallback>
              </mc:AlternateContent>
            </w:r>
            <w:r w:rsidR="00F4156E">
              <w:rPr>
                <w:rFonts w:ascii="Arial" w:hAnsi="Arial" w:cs="Arial"/>
                <w:noProof/>
              </w:rPr>
              <mc:AlternateContent>
                <mc:Choice Requires="wps">
                  <w:drawing>
                    <wp:anchor distT="0" distB="0" distL="114300" distR="114300" simplePos="0" relativeHeight="251679744" behindDoc="0" locked="0" layoutInCell="1" allowOverlap="1" wp14:anchorId="3C93D56D" wp14:editId="133B2450">
                      <wp:simplePos x="0" y="0"/>
                      <wp:positionH relativeFrom="column">
                        <wp:posOffset>1635125</wp:posOffset>
                      </wp:positionH>
                      <wp:positionV relativeFrom="paragraph">
                        <wp:posOffset>6370955</wp:posOffset>
                      </wp:positionV>
                      <wp:extent cx="5120640" cy="1033272"/>
                      <wp:effectExtent l="0" t="0" r="22860" b="14605"/>
                      <wp:wrapNone/>
                      <wp:docPr id="58" name="Scroll: Horizontal 58"/>
                      <wp:cNvGraphicFramePr/>
                      <a:graphic xmlns:a="http://schemas.openxmlformats.org/drawingml/2006/main">
                        <a:graphicData uri="http://schemas.microsoft.com/office/word/2010/wordprocessingShape">
                          <wps:wsp>
                            <wps:cNvSpPr/>
                            <wps:spPr>
                              <a:xfrm>
                                <a:off x="0" y="0"/>
                                <a:ext cx="5120640" cy="1033272"/>
                              </a:xfrm>
                              <a:prstGeom prst="horizontalScroll">
                                <a:avLst/>
                              </a:prstGeom>
                              <a:solidFill>
                                <a:schemeClr val="accent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ED8B1F" w14:textId="7CA9BFD0" w:rsidR="00DE51BF" w:rsidRPr="007B326A" w:rsidRDefault="00DE51BF" w:rsidP="00DE51BF">
                                  <w:pPr>
                                    <w:jc w:val="center"/>
                                    <w:rPr>
                                      <w:b/>
                                      <w:bCs/>
                                      <w:color w:val="000000" w:themeColor="text1"/>
                                    </w:rPr>
                                  </w:pPr>
                                  <w:r w:rsidRPr="007B326A">
                                    <w:rPr>
                                      <w:b/>
                                      <w:bCs/>
                                      <w:color w:val="000000" w:themeColor="text1"/>
                                    </w:rPr>
                                    <w:t>in employment cannot allow for a payment in excess of 35% of the amount eventually paid, including VAT.</w:t>
                                  </w:r>
                                  <w:r w:rsidR="00142F37" w:rsidRPr="007B326A">
                                    <w:rPr>
                                      <w:b/>
                                      <w:bCs/>
                                      <w:color w:val="000000" w:themeColor="text1"/>
                                    </w:rPr>
                                    <w:t xml:space="preserve"> Common in employment and personal injury </w:t>
                                  </w:r>
                                  <w:r w:rsidR="007B326A" w:rsidRPr="007B326A">
                                    <w:rPr>
                                      <w:b/>
                                      <w:bCs/>
                                      <w:color w:val="000000" w:themeColor="text1"/>
                                    </w:rPr>
                                    <w:t>cases (</w:t>
                                  </w:r>
                                  <w:r w:rsidR="003C7AC4" w:rsidRPr="007B326A">
                                    <w:rPr>
                                      <w:b/>
                                      <w:bCs/>
                                      <w:color w:val="000000" w:themeColor="text1"/>
                                    </w:rPr>
                                    <w:t>%25).</w:t>
                                  </w:r>
                                  <w:r w:rsidR="00097ABD" w:rsidRPr="007B326A">
                                    <w:rPr>
                                      <w:b/>
                                      <w:bCs/>
                                      <w:color w:val="000000" w:themeColor="text1"/>
                                    </w:rPr>
                                    <w:t xml:space="preserve"> </w:t>
                                  </w:r>
                                  <w:r w:rsidR="003C7AC4" w:rsidRPr="007B326A">
                                    <w:rPr>
                                      <w:b/>
                                      <w:bCs/>
                                      <w:color w:val="000000" w:themeColor="text1"/>
                                    </w:rPr>
                                    <w:t>(</w:t>
                                  </w:r>
                                  <w:r w:rsidR="00097ABD" w:rsidRPr="007B326A">
                                    <w:rPr>
                                      <w:b/>
                                      <w:bCs/>
                                      <w:color w:val="000000" w:themeColor="text1"/>
                                    </w:rPr>
                                    <w:t>DBA2013)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C93D56D" id="Scroll: Horizontal 58" o:spid="_x0000_s1035" type="#_x0000_t98" style="position:absolute;margin-left:128.75pt;margin-top:501.65pt;width:403.2pt;height:81.3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" fillcolor="#70ad47 [3209]" strokecolor="black [3213]" strokeweight="1pt">
                      <v:stroke joinstyle="miter"/>
                      <v:textbox>
                        <w:txbxContent>
                          <w:p w14:paraId="7CED8B1F" w14:textId="7CA9BFD0" w:rsidR="00DE51BF" w:rsidRPr="007B326A" w:rsidRDefault="00DE51BF" w:rsidP="00DE51BF">
                            <w:pPr>
                              <w:jc w:val="center"/>
                              <w:rPr>
                                <w:b/>
                                <w:bCs/>
                                <w:color w:val="000000" w:themeColor="text1"/>
                              </w:rPr>
                            </w:pPr>
                            <w:r w:rsidRPr="007B326A">
                              <w:rPr>
                                <w:b/>
                                <w:bCs/>
                                <w:color w:val="000000" w:themeColor="text1"/>
                              </w:rPr>
                              <w:t>in employment cannot allow for a payment in excess of 35% of the amount eventually paid, including VAT.</w:t>
                            </w:r>
                            <w:r w:rsidR="00142F37" w:rsidRPr="007B326A">
                              <w:rPr>
                                <w:b/>
                                <w:bCs/>
                                <w:color w:val="000000" w:themeColor="text1"/>
                              </w:rPr>
                              <w:t xml:space="preserve"> Common in employment and personal injury </w:t>
                            </w:r>
                            <w:r w:rsidR="007B326A" w:rsidRPr="007B326A">
                              <w:rPr>
                                <w:b/>
                                <w:bCs/>
                                <w:color w:val="000000" w:themeColor="text1"/>
                              </w:rPr>
                              <w:t>cases (</w:t>
                            </w:r>
                            <w:r w:rsidR="003C7AC4" w:rsidRPr="007B326A">
                              <w:rPr>
                                <w:b/>
                                <w:bCs/>
                                <w:color w:val="000000" w:themeColor="text1"/>
                              </w:rPr>
                              <w:t>%25).</w:t>
                            </w:r>
                            <w:r w:rsidR="00097ABD" w:rsidRPr="007B326A">
                              <w:rPr>
                                <w:b/>
                                <w:bCs/>
                                <w:color w:val="000000" w:themeColor="text1"/>
                              </w:rPr>
                              <w:t xml:space="preserve"> </w:t>
                            </w:r>
                            <w:r w:rsidR="003C7AC4" w:rsidRPr="007B326A">
                              <w:rPr>
                                <w:b/>
                                <w:bCs/>
                                <w:color w:val="000000" w:themeColor="text1"/>
                              </w:rPr>
                              <w:t>(</w:t>
                            </w:r>
                            <w:r w:rsidR="00097ABD" w:rsidRPr="007B326A">
                              <w:rPr>
                                <w:b/>
                                <w:bCs/>
                                <w:color w:val="000000" w:themeColor="text1"/>
                              </w:rPr>
                              <w:t>DBA2013)</w:t>
                            </w:r>
                          </w:p>
                        </w:txbxContent>
                      </v:textbox>
                    </v:shape>
                  </w:pict>
                </mc:Fallback>
              </mc:AlternateContent>
            </w:r>
            <w:r w:rsidR="00F4156E">
              <w:rPr>
                <w:rFonts w:ascii="Arial" w:hAnsi="Arial" w:cs="Arial"/>
                <w:noProof/>
              </w:rPr>
              <mc:AlternateContent>
                <mc:Choice Requires="wps">
                  <w:drawing>
                    <wp:anchor distT="0" distB="0" distL="114300" distR="114300" simplePos="0" relativeHeight="251678720" behindDoc="0" locked="0" layoutInCell="1" allowOverlap="1" wp14:anchorId="7D91CEEE" wp14:editId="6B4EC5D8">
                      <wp:simplePos x="0" y="0"/>
                      <wp:positionH relativeFrom="column">
                        <wp:posOffset>-18415</wp:posOffset>
                      </wp:positionH>
                      <wp:positionV relativeFrom="paragraph">
                        <wp:posOffset>6509385</wp:posOffset>
                      </wp:positionV>
                      <wp:extent cx="1600200" cy="655320"/>
                      <wp:effectExtent l="0" t="0" r="19050" b="11430"/>
                      <wp:wrapNone/>
                      <wp:docPr id="57" name="Flowchart: Sequential Access Storage 57"/>
                      <wp:cNvGraphicFramePr/>
                      <a:graphic xmlns:a="http://schemas.openxmlformats.org/drawingml/2006/main">
                        <a:graphicData uri="http://schemas.microsoft.com/office/word/2010/wordprocessingShape">
                          <wps:wsp>
                            <wps:cNvSpPr/>
                            <wps:spPr>
                              <a:xfrm>
                                <a:off x="0" y="0"/>
                                <a:ext cx="1600200" cy="655320"/>
                              </a:xfrm>
                              <a:prstGeom prst="flowChartMagneticTape">
                                <a:avLst/>
                              </a:prstGeom>
                              <a:solidFill>
                                <a:schemeClr val="accent6">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2738B5" w14:textId="497B5E95" w:rsidR="00C16F18" w:rsidRPr="00FD118E" w:rsidRDefault="00C16F18" w:rsidP="00C16F18">
                                  <w:pPr>
                                    <w:jc w:val="center"/>
                                    <w:rPr>
                                      <w:b/>
                                      <w:bCs/>
                                      <w:color w:val="000000" w:themeColor="text1"/>
                                    </w:rPr>
                                  </w:pPr>
                                  <w:r w:rsidRPr="00FD118E">
                                    <w:rPr>
                                      <w:b/>
                                      <w:bCs/>
                                      <w:color w:val="000000" w:themeColor="text1"/>
                                    </w:rPr>
                                    <w:t>Damage based</w:t>
                                  </w:r>
                                  <w:r w:rsidR="00531EE2" w:rsidRPr="00FD118E">
                                    <w:rPr>
                                      <w:b/>
                                      <w:bCs/>
                                      <w:color w:val="000000" w:themeColor="text1"/>
                                    </w:rPr>
                                    <w:t xml:space="preserve"> </w:t>
                                  </w:r>
                                  <w:r w:rsidR="00FD118E" w:rsidRPr="00FD118E">
                                    <w:rPr>
                                      <w:b/>
                                      <w:bCs/>
                                      <w:color w:val="000000" w:themeColor="text1"/>
                                    </w:rPr>
                                    <w:t>agreement.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1CEEE" id="Flowchart: Sequential Access Storage 57" o:spid="_x0000_s1036" type="#_x0000_t131" style="position:absolute;margin-left:-1.45pt;margin-top:512.55pt;width:126pt;height:51.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" fillcolor="#a8d08d [1945]" strokecolor="black [3213]" strokeweight="1pt">
                      <v:textbox>
                        <w:txbxContent>
                          <w:p w14:paraId="6A2738B5" w14:textId="497B5E95" w:rsidR="00C16F18" w:rsidRPr="00FD118E" w:rsidRDefault="00C16F18" w:rsidP="00C16F18">
                            <w:pPr>
                              <w:jc w:val="center"/>
                              <w:rPr>
                                <w:b/>
                                <w:bCs/>
                                <w:color w:val="000000" w:themeColor="text1"/>
                              </w:rPr>
                            </w:pPr>
                            <w:r w:rsidRPr="00FD118E">
                              <w:rPr>
                                <w:b/>
                                <w:bCs/>
                                <w:color w:val="000000" w:themeColor="text1"/>
                              </w:rPr>
                              <w:t>Damage based</w:t>
                            </w:r>
                            <w:r w:rsidR="00531EE2" w:rsidRPr="00FD118E">
                              <w:rPr>
                                <w:b/>
                                <w:bCs/>
                                <w:color w:val="000000" w:themeColor="text1"/>
                              </w:rPr>
                              <w:t xml:space="preserve"> </w:t>
                            </w:r>
                            <w:r w:rsidR="00FD118E" w:rsidRPr="00FD118E">
                              <w:rPr>
                                <w:b/>
                                <w:bCs/>
                                <w:color w:val="000000" w:themeColor="text1"/>
                              </w:rPr>
                              <w:t>agreement.</w:t>
                            </w:r>
                          </w:p>
                        </w:txbxContent>
                      </v:textbox>
                    </v:shape>
                  </w:pict>
                </mc:Fallback>
              </mc:AlternateContent>
            </w:r>
            <w:r w:rsidR="007C6B88">
              <w:rPr>
                <w:rFonts w:ascii="Arial" w:hAnsi="Arial" w:cs="Arial"/>
                <w:noProof/>
              </w:rPr>
              <mc:AlternateContent>
                <mc:Choice Requires="wps">
                  <w:drawing>
                    <wp:anchor distT="0" distB="0" distL="114300" distR="114300" simplePos="0" relativeHeight="251676672" behindDoc="0" locked="0" layoutInCell="1" allowOverlap="1" wp14:anchorId="2F2C7972" wp14:editId="3D6F2C8B">
                      <wp:simplePos x="0" y="0"/>
                      <wp:positionH relativeFrom="column">
                        <wp:posOffset>5422265</wp:posOffset>
                      </wp:positionH>
                      <wp:positionV relativeFrom="paragraph">
                        <wp:posOffset>5461635</wp:posOffset>
                      </wp:positionV>
                      <wp:extent cx="1398270" cy="612140"/>
                      <wp:effectExtent l="114300" t="19050" r="30480" b="35560"/>
                      <wp:wrapNone/>
                      <wp:docPr id="55" name="Speech Bubble: Oval 55"/>
                      <wp:cNvGraphicFramePr/>
                      <a:graphic xmlns:a="http://schemas.openxmlformats.org/drawingml/2006/main">
                        <a:graphicData uri="http://schemas.microsoft.com/office/word/2010/wordprocessingShape">
                          <wps:wsp>
                            <wps:cNvSpPr/>
                            <wps:spPr>
                              <a:xfrm>
                                <a:off x="0" y="0"/>
                                <a:ext cx="1398270" cy="612140"/>
                              </a:xfrm>
                              <a:prstGeom prst="wedgeEllipseCallout">
                                <a:avLst>
                                  <a:gd name="adj1" fmla="val -56256"/>
                                  <a:gd name="adj2" fmla="val -8454"/>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B08ECC" w14:textId="2C14D8F7" w:rsidR="007C6B88" w:rsidRPr="00FD118E" w:rsidRDefault="007C6B88" w:rsidP="007C6B88">
                                  <w:pPr>
                                    <w:rPr>
                                      <w:rFonts w:cstheme="minorHAnsi"/>
                                      <w:b/>
                                      <w:bCs/>
                                      <w:color w:val="000000" w:themeColor="text1"/>
                                      <w:sz w:val="20"/>
                                      <w:szCs w:val="20"/>
                                    </w:rPr>
                                  </w:pPr>
                                  <w:r w:rsidRPr="00FD118E">
                                    <w:rPr>
                                      <w:rFonts w:cstheme="minorHAnsi"/>
                                      <w:b/>
                                      <w:bCs/>
                                      <w:color w:val="000000" w:themeColor="text1"/>
                                      <w:sz w:val="20"/>
                                      <w:szCs w:val="20"/>
                                    </w:rPr>
                                    <w:t>Legal Expenses Insurance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F2C7972" id="Speech Bubble: Oval 55" o:spid="_x0000_s1037" type="#_x0000_t63" style="position:absolute;margin-left:426.95pt;margin-top:430.05pt;width:110.1pt;height:48.2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" adj="-1351,8974" fillcolor="#ffc000" strokecolor="black [3213]" strokeweight="1pt">
                      <v:textbox>
                        <w:txbxContent>
                          <w:p w14:paraId="0BB08ECC" w14:textId="2C14D8F7" w:rsidR="007C6B88" w:rsidRPr="00FD118E" w:rsidRDefault="007C6B88" w:rsidP="007C6B88">
                            <w:pPr>
                              <w:rPr>
                                <w:rFonts w:cstheme="minorHAnsi"/>
                                <w:b/>
                                <w:bCs/>
                                <w:color w:val="000000" w:themeColor="text1"/>
                                <w:sz w:val="20"/>
                                <w:szCs w:val="20"/>
                              </w:rPr>
                            </w:pPr>
                            <w:r w:rsidRPr="00FD118E">
                              <w:rPr>
                                <w:rFonts w:cstheme="minorHAnsi"/>
                                <w:b/>
                                <w:bCs/>
                                <w:color w:val="000000" w:themeColor="text1"/>
                                <w:sz w:val="20"/>
                                <w:szCs w:val="20"/>
                              </w:rPr>
                              <w:t>Legal Expenses Insurance</w:t>
                            </w:r>
                          </w:p>
                        </w:txbxContent>
                      </v:textbox>
                    </v:shape>
                  </w:pict>
                </mc:Fallback>
              </mc:AlternateContent>
            </w:r>
            <w:r w:rsidR="004B4305">
              <w:rPr>
                <w:rFonts w:ascii="Arial" w:hAnsi="Arial" w:cs="Arial"/>
                <w:noProof/>
              </w:rPr>
              <mc:AlternateContent>
                <mc:Choice Requires="wps">
                  <w:drawing>
                    <wp:anchor distT="0" distB="0" distL="114300" distR="114300" simplePos="0" relativeHeight="251674624" behindDoc="0" locked="0" layoutInCell="1" allowOverlap="1" wp14:anchorId="2DA6DE5B" wp14:editId="6EAF9E9B">
                      <wp:simplePos x="0" y="0"/>
                      <wp:positionH relativeFrom="column">
                        <wp:posOffset>27305</wp:posOffset>
                      </wp:positionH>
                      <wp:positionV relativeFrom="paragraph">
                        <wp:posOffset>4383405</wp:posOffset>
                      </wp:positionV>
                      <wp:extent cx="975360" cy="762000"/>
                      <wp:effectExtent l="0" t="0" r="72390" b="19050"/>
                      <wp:wrapNone/>
                      <wp:docPr id="51" name="Speech Bubble: Oval 51"/>
                      <wp:cNvGraphicFramePr/>
                      <a:graphic xmlns:a="http://schemas.openxmlformats.org/drawingml/2006/main">
                        <a:graphicData uri="http://schemas.microsoft.com/office/word/2010/wordprocessingShape">
                          <wps:wsp>
                            <wps:cNvSpPr/>
                            <wps:spPr>
                              <a:xfrm>
                                <a:off x="0" y="0"/>
                                <a:ext cx="975360" cy="762000"/>
                              </a:xfrm>
                              <a:prstGeom prst="wedgeEllipseCallout">
                                <a:avLst>
                                  <a:gd name="adj1" fmla="val 55000"/>
                                  <a:gd name="adj2" fmla="val 31380"/>
                                </a:avLst>
                              </a:prstGeom>
                              <a:solidFill>
                                <a:schemeClr val="accent2">
                                  <a:lumMod val="5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2F4F6D" w14:textId="2FD5A3DA" w:rsidR="004B4305" w:rsidRPr="00FD118E" w:rsidRDefault="004B4305" w:rsidP="004B4305">
                                  <w:pPr>
                                    <w:jc w:val="center"/>
                                    <w:rPr>
                                      <w:b/>
                                      <w:bCs/>
                                      <w:sz w:val="18"/>
                                      <w:szCs w:val="18"/>
                                    </w:rPr>
                                  </w:pPr>
                                  <w:r w:rsidRPr="00FD118E">
                                    <w:rPr>
                                      <w:b/>
                                      <w:bCs/>
                                      <w:sz w:val="18"/>
                                      <w:szCs w:val="18"/>
                                    </w:rPr>
                                    <w:t>Conditional Fee Agreements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A6DE5B" id="Speech Bubble: Oval 51" o:spid="_x0000_s1038" type="#_x0000_t63" style="position:absolute;margin-left:2.15pt;margin-top:345.15pt;width:76.8pt;height:6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" adj="22680,17578" fillcolor="#823b0b [1605]" strokecolor="black [3213]" strokeweight="1pt">
                      <v:textbox>
                        <w:txbxContent>
                          <w:p w14:paraId="542F4F6D" w14:textId="2FD5A3DA" w:rsidR="004B4305" w:rsidRPr="00FD118E" w:rsidRDefault="004B4305" w:rsidP="004B4305">
                            <w:pPr>
                              <w:jc w:val="center"/>
                              <w:rPr>
                                <w:b/>
                                <w:bCs/>
                                <w:sz w:val="18"/>
                                <w:szCs w:val="18"/>
                              </w:rPr>
                            </w:pPr>
                            <w:r w:rsidRPr="00FD118E">
                              <w:rPr>
                                <w:b/>
                                <w:bCs/>
                                <w:sz w:val="18"/>
                                <w:szCs w:val="18"/>
                              </w:rPr>
                              <w:t>Conditional Fee Agreements</w:t>
                            </w:r>
                          </w:p>
                        </w:txbxContent>
                      </v:textbox>
                    </v:shape>
                  </w:pict>
                </mc:Fallback>
              </mc:AlternateContent>
            </w:r>
          </w:p>
        </w:tc>
      </w:tr>
    </w:tbl>
    <w:p w14:paraId="0A0A3532" w14:textId="7D6BCFC3" w:rsidR="008C7DA2" w:rsidRDefault="008C7DA2" w:rsidP="008C7DA2">
      <w:r>
        <w:lastRenderedPageBreak/>
        <w:t>References:</w:t>
      </w:r>
    </w:p>
    <w:p w14:paraId="00440054" w14:textId="77777777" w:rsidR="00CB76B3" w:rsidRDefault="00CB76B3" w:rsidP="003157E2"/>
    <w:p w14:paraId="4BCD35AF" w14:textId="46011B96" w:rsidR="00CB76B3" w:rsidRDefault="00CB76B3" w:rsidP="00FE1B24">
      <w:pPr>
        <w:pStyle w:val="ListParagraph"/>
        <w:numPr>
          <w:ilvl w:val="0"/>
          <w:numId w:val="7"/>
        </w:numPr>
        <w:rPr>
          <w:rStyle w:val="Hyperlink"/>
        </w:rPr>
      </w:pPr>
      <w:bookmarkStart w:id="4" w:name="_Hlk130022064"/>
      <w:r>
        <w:t>Financial conduct authority</w:t>
      </w:r>
      <w:bookmarkEnd w:id="4"/>
      <w:r>
        <w:t xml:space="preserve">. (2023). The financial services register. Available at: </w:t>
      </w:r>
      <w:hyperlink r:id="rId18" w:history="1">
        <w:r w:rsidRPr="004E3FF9">
          <w:rPr>
            <w:rStyle w:val="Hyperlink"/>
          </w:rPr>
          <w:t>https://register.fca.org.uk/s/</w:t>
        </w:r>
      </w:hyperlink>
      <w:r>
        <w:t>. (Accessed 10 March 2023).</w:t>
      </w:r>
    </w:p>
    <w:p w14:paraId="1A9169FF" w14:textId="6A6653BE" w:rsidR="00CB76B3" w:rsidRDefault="00CB76B3" w:rsidP="00FE1B24">
      <w:pPr>
        <w:pStyle w:val="ListParagraph"/>
        <w:numPr>
          <w:ilvl w:val="0"/>
          <w:numId w:val="7"/>
        </w:numPr>
      </w:pPr>
      <w:r w:rsidRPr="00EF2C1B">
        <w:t>Financial Services and Markets Act 2000</w:t>
      </w:r>
      <w:r>
        <w:t xml:space="preserve">. Available at: </w:t>
      </w:r>
      <w:hyperlink r:id="rId19" w:history="1">
        <w:r w:rsidRPr="004E3FF9">
          <w:rPr>
            <w:rStyle w:val="Hyperlink"/>
          </w:rPr>
          <w:t>https://www.legislation.gov.uk/ukpga/2000/8/contents</w:t>
        </w:r>
      </w:hyperlink>
      <w:r>
        <w:t>. (Accessed 10 March 2023).</w:t>
      </w:r>
    </w:p>
    <w:p w14:paraId="579C2152" w14:textId="79B5A883" w:rsidR="00CB76B3" w:rsidRDefault="00CB76B3" w:rsidP="00FE1B24">
      <w:pPr>
        <w:pStyle w:val="ListParagraph"/>
        <w:numPr>
          <w:ilvl w:val="0"/>
          <w:numId w:val="7"/>
        </w:numPr>
      </w:pPr>
      <w:bookmarkStart w:id="5" w:name="_Hlk130021339"/>
      <w:r>
        <w:t>Solicitor regulation authority</w:t>
      </w:r>
      <w:bookmarkEnd w:id="5"/>
      <w:r>
        <w:t xml:space="preserve">. (2018). </w:t>
      </w:r>
      <w:r w:rsidRPr="00221B8A">
        <w:t>SRA Code of Conduct for Solicitors, RELs and RFLs</w:t>
      </w:r>
      <w:r>
        <w:t xml:space="preserve">. Available at: </w:t>
      </w:r>
      <w:hyperlink r:id="rId20" w:history="1">
        <w:r w:rsidRPr="004E3FF9">
          <w:rPr>
            <w:rStyle w:val="Hyperlink"/>
          </w:rPr>
          <w:t>https://www.sra.org.uk/solicitors/standards-regulations/code-conduct-solicitors/</w:t>
        </w:r>
      </w:hyperlink>
      <w:r>
        <w:t>. (Accessed 10 March 2023).</w:t>
      </w:r>
    </w:p>
    <w:p w14:paraId="1BB71DC9" w14:textId="3E16B689" w:rsidR="00CB76B3" w:rsidRPr="002841B2" w:rsidRDefault="00CB76B3" w:rsidP="00FE1B24">
      <w:pPr>
        <w:pStyle w:val="ListParagraph"/>
        <w:numPr>
          <w:ilvl w:val="0"/>
          <w:numId w:val="7"/>
        </w:numPr>
      </w:pPr>
      <w:r>
        <w:t xml:space="preserve">Financial conduct authority. (2023). </w:t>
      </w:r>
      <w:r w:rsidRPr="002841B2">
        <w:t>Money laundering and terrorist financing</w:t>
      </w:r>
      <w:r>
        <w:t xml:space="preserve">. Available at: </w:t>
      </w:r>
      <w:hyperlink r:id="rId21" w:history="1">
        <w:r w:rsidRPr="00E433B6">
          <w:rPr>
            <w:rStyle w:val="Hyperlink"/>
          </w:rPr>
          <w:t>https://www.fca.org.uk/firms/financial-crime/money-laundering-terrorist-financing</w:t>
        </w:r>
      </w:hyperlink>
      <w:r>
        <w:t>. (Accessed 11 March 2023).</w:t>
      </w:r>
    </w:p>
    <w:p w14:paraId="5AFE5713" w14:textId="1782515A" w:rsidR="00CB76B3" w:rsidRDefault="00CB76B3" w:rsidP="00FE1B24">
      <w:pPr>
        <w:pStyle w:val="ListParagraph"/>
        <w:numPr>
          <w:ilvl w:val="0"/>
          <w:numId w:val="7"/>
        </w:numPr>
      </w:pPr>
      <w:r>
        <w:t xml:space="preserve">financial services and markets Act 2000). Available at: </w:t>
      </w:r>
      <w:hyperlink r:id="rId22" w:history="1">
        <w:r w:rsidRPr="004E3FF9">
          <w:rPr>
            <w:rStyle w:val="Hyperlink"/>
          </w:rPr>
          <w:t>https://www.legislation.gov.uk/ukpga/2000/8/schedule/2/part/II</w:t>
        </w:r>
      </w:hyperlink>
      <w:r>
        <w:t>. (Accessed 10 March 2023).</w:t>
      </w:r>
    </w:p>
    <w:p w14:paraId="6A5F5070" w14:textId="65F021B7" w:rsidR="00CB76B3" w:rsidRDefault="00CB76B3" w:rsidP="00FE1B24">
      <w:pPr>
        <w:pStyle w:val="ListParagraph"/>
        <w:numPr>
          <w:ilvl w:val="0"/>
          <w:numId w:val="7"/>
        </w:numPr>
      </w:pPr>
      <w:r w:rsidRPr="002E29DE">
        <w:t>Solicitor regulation authority</w:t>
      </w:r>
      <w:r>
        <w:t xml:space="preserve">. (2023). How we work. Available at: </w:t>
      </w:r>
      <w:hyperlink r:id="rId23" w:anchor=":~:text=The%20SRA%20is%20the%20regulator,acting%20when%20risks%20are%20identified" w:history="1">
        <w:r w:rsidRPr="00E433B6">
          <w:rPr>
            <w:rStyle w:val="Hyperlink"/>
          </w:rPr>
          <w:t>https://www.sra.org.uk/sra/how-we-work/#:~:text=The%20SRA%20is%20the%20regulator,acting%20when%20risks%20are%20identified</w:t>
        </w:r>
      </w:hyperlink>
      <w:r w:rsidRPr="00E34BDE">
        <w:t>.</w:t>
      </w:r>
      <w:r>
        <w:t xml:space="preserve"> (Accessed 12 March 2023).</w:t>
      </w:r>
    </w:p>
    <w:p w14:paraId="659DBF0A" w14:textId="6E689101" w:rsidR="00CB76B3" w:rsidRDefault="00CB76B3" w:rsidP="00FE1B24">
      <w:pPr>
        <w:pStyle w:val="ListParagraph"/>
        <w:numPr>
          <w:ilvl w:val="0"/>
          <w:numId w:val="7"/>
        </w:numPr>
      </w:pPr>
      <w:r>
        <w:t xml:space="preserve">Financial services and markets act 2000. Available at: </w:t>
      </w:r>
      <w:hyperlink r:id="rId24" w:history="1">
        <w:r w:rsidRPr="004E3FF9">
          <w:rPr>
            <w:rStyle w:val="Hyperlink"/>
          </w:rPr>
          <w:t>https://www.legislation.gov.uk/ukpga/2000/8/section/238</w:t>
        </w:r>
      </w:hyperlink>
      <w:r>
        <w:t>. (Accessed 10 March 2023).</w:t>
      </w:r>
    </w:p>
    <w:p w14:paraId="6FB6C11D" w14:textId="3EA28549" w:rsidR="00CB76B3" w:rsidRDefault="00CB76B3" w:rsidP="00FE1B24">
      <w:pPr>
        <w:pStyle w:val="ListParagraph"/>
        <w:numPr>
          <w:ilvl w:val="0"/>
          <w:numId w:val="7"/>
        </w:numPr>
      </w:pPr>
      <w:r>
        <w:t>Solicitor regulation authority. (2023).</w:t>
      </w:r>
      <w:r w:rsidRPr="00791ADD">
        <w:t xml:space="preserve"> SRA Code of Conduct for Solicitors, RELs and RFLs</w:t>
      </w:r>
      <w:r>
        <w:t xml:space="preserve">. Available at: </w:t>
      </w:r>
      <w:hyperlink r:id="rId25" w:anchor=":~:text=1%3A%20Maintaining%20trust%20and%20acting%20fairly&amp;text=You%20do%20not%20unfairly%20discriminate,advantage%20of%20clients%20or%20others" w:history="1">
        <w:r w:rsidRPr="00E433B6">
          <w:rPr>
            <w:rStyle w:val="Hyperlink"/>
          </w:rPr>
          <w:t>https://www.sra.org.uk/solicitors/standards-regulations/code-conduct-solicitors/#:~:text=1%3A%20Maintaining%20trust%20and%20acting%20fairly&amp;text=You%20do%20not%20unfairly%20discriminate,advantage%20of%20clients%20or%20others</w:t>
        </w:r>
      </w:hyperlink>
      <w:r>
        <w:t>. (Accessed 12 March 2023).</w:t>
      </w:r>
    </w:p>
    <w:p w14:paraId="511B779C" w14:textId="1F555ABC" w:rsidR="00CB76B3" w:rsidRDefault="00CB76B3" w:rsidP="00FE1B24">
      <w:pPr>
        <w:pStyle w:val="ListParagraph"/>
        <w:numPr>
          <w:ilvl w:val="0"/>
          <w:numId w:val="7"/>
        </w:numPr>
      </w:pPr>
      <w:r w:rsidRPr="005638CB">
        <w:t>The Financial Services and Markets Act 2000 (Promotion of Collective Investment Schemes) (Exemptions) Order 2001</w:t>
      </w:r>
      <w:r>
        <w:t>. Available at:</w:t>
      </w:r>
      <w:r w:rsidRPr="00EE6232">
        <w:t xml:space="preserve"> </w:t>
      </w:r>
      <w:hyperlink r:id="rId26" w:history="1">
        <w:r w:rsidRPr="00E433B6">
          <w:rPr>
            <w:rStyle w:val="Hyperlink"/>
          </w:rPr>
          <w:t>https://www.legislation.gov.uk/uksi/2001/1060/made</w:t>
        </w:r>
      </w:hyperlink>
      <w:r>
        <w:t>. (Accessed 10 March 2023).</w:t>
      </w:r>
    </w:p>
    <w:p w14:paraId="25C8821A" w14:textId="7EC5CB7E" w:rsidR="00CB76B3" w:rsidRDefault="00CB76B3" w:rsidP="00FE1B24">
      <w:pPr>
        <w:pStyle w:val="ListParagraph"/>
        <w:numPr>
          <w:ilvl w:val="0"/>
          <w:numId w:val="7"/>
        </w:numPr>
      </w:pPr>
      <w:r w:rsidRPr="00FE436C">
        <w:t>The Financial Services and Markets Act 2000 (Regulated Activities) Order 2001</w:t>
      </w:r>
      <w:r>
        <w:t xml:space="preserve">. Available at: </w:t>
      </w:r>
      <w:hyperlink r:id="rId27" w:history="1">
        <w:r w:rsidRPr="00E433B6">
          <w:rPr>
            <w:rStyle w:val="Hyperlink"/>
          </w:rPr>
          <w:t>https://www.legislation.gov.uk/uksi/2001/544/article/72F?timeline=false&amp;view=plain</w:t>
        </w:r>
      </w:hyperlink>
      <w:r>
        <w:t>. (Accessed 11 March 2023).</w:t>
      </w:r>
    </w:p>
    <w:p w14:paraId="1833DE8A" w14:textId="77777777" w:rsidR="00CB76B3" w:rsidRPr="003157E2" w:rsidRDefault="00CB76B3" w:rsidP="00FE1B24">
      <w:pPr>
        <w:pStyle w:val="ListParagraph"/>
        <w:numPr>
          <w:ilvl w:val="0"/>
          <w:numId w:val="7"/>
        </w:numPr>
      </w:pPr>
      <w:r w:rsidRPr="003157E2">
        <w:t>Prince Jefri Bolkiah v KPMG [1999] 2 AC 222 (HL)</w:t>
      </w:r>
      <w:r w:rsidRPr="003157E2">
        <w:cr/>
      </w:r>
    </w:p>
    <w:p w14:paraId="18ED055D" w14:textId="77777777" w:rsidR="00CB76B3" w:rsidRDefault="00CB76B3" w:rsidP="00FE1B24">
      <w:pPr>
        <w:pStyle w:val="ListParagraph"/>
        <w:numPr>
          <w:ilvl w:val="0"/>
          <w:numId w:val="7"/>
        </w:numPr>
      </w:pPr>
      <w:r>
        <w:t xml:space="preserve">The law society. (2022). </w:t>
      </w:r>
      <w:r w:rsidRPr="00F17A67">
        <w:t>Anti-money laundering guidance for the legal sector</w:t>
      </w:r>
      <w:r>
        <w:t xml:space="preserve">. Available at: </w:t>
      </w:r>
      <w:hyperlink r:id="rId28" w:history="1">
        <w:r w:rsidRPr="004E3FF9">
          <w:rPr>
            <w:rStyle w:val="Hyperlink"/>
          </w:rPr>
          <w:t>https://www.lawsociety.org.uk/topics/anti-money-laundering/anti-money-laundering-guidance</w:t>
        </w:r>
      </w:hyperlink>
      <w:r>
        <w:t>. (Accessed 05 March2023).</w:t>
      </w:r>
    </w:p>
    <w:p w14:paraId="46B44C52" w14:textId="396F0ECA" w:rsidR="00253CC2" w:rsidRDefault="00253CC2" w:rsidP="00FE1B24">
      <w:pPr>
        <w:pStyle w:val="ListParagraph"/>
        <w:numPr>
          <w:ilvl w:val="0"/>
          <w:numId w:val="7"/>
        </w:numPr>
      </w:pPr>
      <w:r>
        <w:t xml:space="preserve">Legal </w:t>
      </w:r>
      <w:r w:rsidR="00126D24">
        <w:t>aid. (</w:t>
      </w:r>
      <w:r>
        <w:t xml:space="preserve">2023). </w:t>
      </w:r>
      <w:r w:rsidR="00AC5858">
        <w:t>A</w:t>
      </w:r>
      <w:r>
        <w:t>vaila</w:t>
      </w:r>
      <w:r w:rsidR="00AC5858">
        <w:t xml:space="preserve">ble at: </w:t>
      </w:r>
      <w:hyperlink r:id="rId29" w:history="1">
        <w:r w:rsidR="00AC5858" w:rsidRPr="006D583A">
          <w:rPr>
            <w:rStyle w:val="Hyperlink"/>
          </w:rPr>
          <w:t>https://www.gov.uk/legal-aid</w:t>
        </w:r>
      </w:hyperlink>
      <w:r w:rsidR="00AC5858">
        <w:t>. (Accessed 16</w:t>
      </w:r>
      <w:r w:rsidR="00126D24">
        <w:t xml:space="preserve"> March 2023).</w:t>
      </w:r>
    </w:p>
    <w:p w14:paraId="0FEA31AD" w14:textId="52A67383" w:rsidR="00632225" w:rsidRDefault="00632225" w:rsidP="00FE1B24">
      <w:pPr>
        <w:pStyle w:val="ListParagraph"/>
        <w:numPr>
          <w:ilvl w:val="0"/>
          <w:numId w:val="7"/>
        </w:numPr>
      </w:pPr>
      <w:r w:rsidRPr="00632225">
        <w:t>The Damages-Based Agreements Regulations 2013</w:t>
      </w:r>
      <w:r>
        <w:t>.</w:t>
      </w:r>
      <w:r w:rsidR="00694768">
        <w:t xml:space="preserve"> Available at:</w:t>
      </w:r>
      <w:r w:rsidR="00694768" w:rsidRPr="00694768">
        <w:t xml:space="preserve"> </w:t>
      </w:r>
      <w:hyperlink r:id="rId30" w:history="1">
        <w:r w:rsidR="00694768" w:rsidRPr="006D583A">
          <w:rPr>
            <w:rStyle w:val="Hyperlink"/>
          </w:rPr>
          <w:t>https://www.legislation.gov.uk/ukdsi/2013/9780111533444</w:t>
        </w:r>
      </w:hyperlink>
      <w:r w:rsidR="00694768">
        <w:t xml:space="preserve">. </w:t>
      </w:r>
      <w:r w:rsidR="00E13D6B">
        <w:t>(Accessed 16 March 2023)</w:t>
      </w:r>
    </w:p>
    <w:sectPr w:rsidR="006322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EA7FC" w14:textId="77777777" w:rsidR="0063552D" w:rsidRDefault="0063552D" w:rsidP="0063552D">
      <w:pPr>
        <w:spacing w:after="0" w:line="240" w:lineRule="auto"/>
      </w:pPr>
      <w:r>
        <w:separator/>
      </w:r>
    </w:p>
  </w:endnote>
  <w:endnote w:type="continuationSeparator" w:id="0">
    <w:p w14:paraId="2E038ABC" w14:textId="77777777" w:rsidR="0063552D" w:rsidRDefault="0063552D" w:rsidP="00635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4354B" w14:textId="77777777" w:rsidR="0063552D" w:rsidRDefault="0063552D" w:rsidP="0063552D">
      <w:pPr>
        <w:spacing w:after="0" w:line="240" w:lineRule="auto"/>
      </w:pPr>
      <w:r>
        <w:separator/>
      </w:r>
    </w:p>
  </w:footnote>
  <w:footnote w:type="continuationSeparator" w:id="0">
    <w:p w14:paraId="25F7EF5E" w14:textId="77777777" w:rsidR="0063552D" w:rsidRDefault="0063552D" w:rsidP="006355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DCD5"/>
      </v:shape>
    </w:pict>
  </w:numPicBullet>
  <w:abstractNum w:abstractNumId="0" w15:restartNumberingAfterBreak="0">
    <w:nsid w:val="1DA45FB6"/>
    <w:multiLevelType w:val="hybridMultilevel"/>
    <w:tmpl w:val="440874A2"/>
    <w:lvl w:ilvl="0" w:tplc="07348FC4">
      <w:start w:val="1"/>
      <w:numFmt w:val="bullet"/>
      <w:lvlText w:val="•"/>
      <w:lvlJc w:val="left"/>
      <w:pPr>
        <w:tabs>
          <w:tab w:val="num" w:pos="720"/>
        </w:tabs>
        <w:ind w:left="720" w:hanging="360"/>
      </w:pPr>
      <w:rPr>
        <w:rFonts w:ascii="Times New Roman" w:hAnsi="Times New Roman" w:hint="default"/>
      </w:rPr>
    </w:lvl>
    <w:lvl w:ilvl="1" w:tplc="C7B01CFA" w:tentative="1">
      <w:start w:val="1"/>
      <w:numFmt w:val="bullet"/>
      <w:lvlText w:val="•"/>
      <w:lvlJc w:val="left"/>
      <w:pPr>
        <w:tabs>
          <w:tab w:val="num" w:pos="1440"/>
        </w:tabs>
        <w:ind w:left="1440" w:hanging="360"/>
      </w:pPr>
      <w:rPr>
        <w:rFonts w:ascii="Times New Roman" w:hAnsi="Times New Roman" w:hint="default"/>
      </w:rPr>
    </w:lvl>
    <w:lvl w:ilvl="2" w:tplc="E39ED056" w:tentative="1">
      <w:start w:val="1"/>
      <w:numFmt w:val="bullet"/>
      <w:lvlText w:val="•"/>
      <w:lvlJc w:val="left"/>
      <w:pPr>
        <w:tabs>
          <w:tab w:val="num" w:pos="2160"/>
        </w:tabs>
        <w:ind w:left="2160" w:hanging="360"/>
      </w:pPr>
      <w:rPr>
        <w:rFonts w:ascii="Times New Roman" w:hAnsi="Times New Roman" w:hint="default"/>
      </w:rPr>
    </w:lvl>
    <w:lvl w:ilvl="3" w:tplc="2BB87A94" w:tentative="1">
      <w:start w:val="1"/>
      <w:numFmt w:val="bullet"/>
      <w:lvlText w:val="•"/>
      <w:lvlJc w:val="left"/>
      <w:pPr>
        <w:tabs>
          <w:tab w:val="num" w:pos="2880"/>
        </w:tabs>
        <w:ind w:left="2880" w:hanging="360"/>
      </w:pPr>
      <w:rPr>
        <w:rFonts w:ascii="Times New Roman" w:hAnsi="Times New Roman" w:hint="default"/>
      </w:rPr>
    </w:lvl>
    <w:lvl w:ilvl="4" w:tplc="052EFB84" w:tentative="1">
      <w:start w:val="1"/>
      <w:numFmt w:val="bullet"/>
      <w:lvlText w:val="•"/>
      <w:lvlJc w:val="left"/>
      <w:pPr>
        <w:tabs>
          <w:tab w:val="num" w:pos="3600"/>
        </w:tabs>
        <w:ind w:left="3600" w:hanging="360"/>
      </w:pPr>
      <w:rPr>
        <w:rFonts w:ascii="Times New Roman" w:hAnsi="Times New Roman" w:hint="default"/>
      </w:rPr>
    </w:lvl>
    <w:lvl w:ilvl="5" w:tplc="C308BBC8" w:tentative="1">
      <w:start w:val="1"/>
      <w:numFmt w:val="bullet"/>
      <w:lvlText w:val="•"/>
      <w:lvlJc w:val="left"/>
      <w:pPr>
        <w:tabs>
          <w:tab w:val="num" w:pos="4320"/>
        </w:tabs>
        <w:ind w:left="4320" w:hanging="360"/>
      </w:pPr>
      <w:rPr>
        <w:rFonts w:ascii="Times New Roman" w:hAnsi="Times New Roman" w:hint="default"/>
      </w:rPr>
    </w:lvl>
    <w:lvl w:ilvl="6" w:tplc="563EDD2E" w:tentative="1">
      <w:start w:val="1"/>
      <w:numFmt w:val="bullet"/>
      <w:lvlText w:val="•"/>
      <w:lvlJc w:val="left"/>
      <w:pPr>
        <w:tabs>
          <w:tab w:val="num" w:pos="5040"/>
        </w:tabs>
        <w:ind w:left="5040" w:hanging="360"/>
      </w:pPr>
      <w:rPr>
        <w:rFonts w:ascii="Times New Roman" w:hAnsi="Times New Roman" w:hint="default"/>
      </w:rPr>
    </w:lvl>
    <w:lvl w:ilvl="7" w:tplc="DEE2184E" w:tentative="1">
      <w:start w:val="1"/>
      <w:numFmt w:val="bullet"/>
      <w:lvlText w:val="•"/>
      <w:lvlJc w:val="left"/>
      <w:pPr>
        <w:tabs>
          <w:tab w:val="num" w:pos="5760"/>
        </w:tabs>
        <w:ind w:left="5760" w:hanging="360"/>
      </w:pPr>
      <w:rPr>
        <w:rFonts w:ascii="Times New Roman" w:hAnsi="Times New Roman" w:hint="default"/>
      </w:rPr>
    </w:lvl>
    <w:lvl w:ilvl="8" w:tplc="B2E6A76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D141C8A"/>
    <w:multiLevelType w:val="hybridMultilevel"/>
    <w:tmpl w:val="0D8E7B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321D35"/>
    <w:multiLevelType w:val="hybridMultilevel"/>
    <w:tmpl w:val="BAA869E6"/>
    <w:lvl w:ilvl="0" w:tplc="08090015">
      <w:start w:val="1"/>
      <w:numFmt w:val="upperLetter"/>
      <w:lvlText w:val="%1."/>
      <w:lvlJc w:val="left"/>
      <w:pPr>
        <w:ind w:left="720" w:hanging="360"/>
      </w:pPr>
      <w:rPr>
        <w:rFonts w:hint="default"/>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4E2156"/>
    <w:multiLevelType w:val="hybridMultilevel"/>
    <w:tmpl w:val="54E067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E95F8A"/>
    <w:multiLevelType w:val="hybridMultilevel"/>
    <w:tmpl w:val="E6889ED4"/>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5C085E9C"/>
    <w:multiLevelType w:val="hybridMultilevel"/>
    <w:tmpl w:val="D55265A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D42EBB"/>
    <w:multiLevelType w:val="hybridMultilevel"/>
    <w:tmpl w:val="033084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0D14EA"/>
    <w:multiLevelType w:val="hybridMultilevel"/>
    <w:tmpl w:val="FF0E8A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445917"/>
    <w:multiLevelType w:val="hybridMultilevel"/>
    <w:tmpl w:val="059A25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631ED9"/>
    <w:multiLevelType w:val="hybridMultilevel"/>
    <w:tmpl w:val="2ADEF8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4A0084"/>
    <w:multiLevelType w:val="hybridMultilevel"/>
    <w:tmpl w:val="ED10463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1198494">
    <w:abstractNumId w:val="10"/>
  </w:num>
  <w:num w:numId="2" w16cid:durableId="2140562107">
    <w:abstractNumId w:val="4"/>
  </w:num>
  <w:num w:numId="3" w16cid:durableId="587930702">
    <w:abstractNumId w:val="0"/>
  </w:num>
  <w:num w:numId="4" w16cid:durableId="1156990242">
    <w:abstractNumId w:val="9"/>
  </w:num>
  <w:num w:numId="5" w16cid:durableId="1331446587">
    <w:abstractNumId w:val="6"/>
  </w:num>
  <w:num w:numId="6" w16cid:durableId="1565411622">
    <w:abstractNumId w:val="8"/>
  </w:num>
  <w:num w:numId="7" w16cid:durableId="400249401">
    <w:abstractNumId w:val="1"/>
  </w:num>
  <w:num w:numId="8" w16cid:durableId="321354749">
    <w:abstractNumId w:val="2"/>
  </w:num>
  <w:num w:numId="9" w16cid:durableId="799807775">
    <w:abstractNumId w:val="5"/>
  </w:num>
  <w:num w:numId="10" w16cid:durableId="1547067024">
    <w:abstractNumId w:val="7"/>
  </w:num>
  <w:num w:numId="11" w16cid:durableId="5693926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1BB"/>
    <w:rsid w:val="000008D1"/>
    <w:rsid w:val="00007735"/>
    <w:rsid w:val="00034BD5"/>
    <w:rsid w:val="00035B4F"/>
    <w:rsid w:val="000416E4"/>
    <w:rsid w:val="0006374D"/>
    <w:rsid w:val="00070437"/>
    <w:rsid w:val="000761E8"/>
    <w:rsid w:val="00097ABD"/>
    <w:rsid w:val="000B5B41"/>
    <w:rsid w:val="000B6DF7"/>
    <w:rsid w:val="000B738F"/>
    <w:rsid w:val="000C48A2"/>
    <w:rsid w:val="000C795D"/>
    <w:rsid w:val="000F450F"/>
    <w:rsid w:val="0010322A"/>
    <w:rsid w:val="0011674C"/>
    <w:rsid w:val="00126D24"/>
    <w:rsid w:val="00140A0A"/>
    <w:rsid w:val="00140D8E"/>
    <w:rsid w:val="00142F37"/>
    <w:rsid w:val="00144083"/>
    <w:rsid w:val="001443B1"/>
    <w:rsid w:val="00151E1B"/>
    <w:rsid w:val="00160C53"/>
    <w:rsid w:val="00175EF8"/>
    <w:rsid w:val="001A3BD9"/>
    <w:rsid w:val="001A4EC9"/>
    <w:rsid w:val="001B0D5F"/>
    <w:rsid w:val="001B14C2"/>
    <w:rsid w:val="001B2CED"/>
    <w:rsid w:val="001B2F61"/>
    <w:rsid w:val="001E356D"/>
    <w:rsid w:val="00213BC7"/>
    <w:rsid w:val="00221B8A"/>
    <w:rsid w:val="0022270D"/>
    <w:rsid w:val="00223A18"/>
    <w:rsid w:val="00226278"/>
    <w:rsid w:val="00227FA6"/>
    <w:rsid w:val="00232DF5"/>
    <w:rsid w:val="00241DBB"/>
    <w:rsid w:val="00242B0E"/>
    <w:rsid w:val="00253CC2"/>
    <w:rsid w:val="00255CB3"/>
    <w:rsid w:val="002706A4"/>
    <w:rsid w:val="002841B2"/>
    <w:rsid w:val="00290252"/>
    <w:rsid w:val="002924C7"/>
    <w:rsid w:val="002949B5"/>
    <w:rsid w:val="002A72F9"/>
    <w:rsid w:val="002B5D26"/>
    <w:rsid w:val="002B698F"/>
    <w:rsid w:val="002B6F62"/>
    <w:rsid w:val="002C4C5B"/>
    <w:rsid w:val="002C7322"/>
    <w:rsid w:val="002D1672"/>
    <w:rsid w:val="002D592E"/>
    <w:rsid w:val="002E29DE"/>
    <w:rsid w:val="002F023C"/>
    <w:rsid w:val="002F0C73"/>
    <w:rsid w:val="002F17E5"/>
    <w:rsid w:val="002F3563"/>
    <w:rsid w:val="003114DF"/>
    <w:rsid w:val="00312189"/>
    <w:rsid w:val="003157E2"/>
    <w:rsid w:val="00316CE9"/>
    <w:rsid w:val="0034494D"/>
    <w:rsid w:val="00345174"/>
    <w:rsid w:val="003462CE"/>
    <w:rsid w:val="003576CB"/>
    <w:rsid w:val="00362140"/>
    <w:rsid w:val="0036243D"/>
    <w:rsid w:val="0037758D"/>
    <w:rsid w:val="00395AFC"/>
    <w:rsid w:val="003A7378"/>
    <w:rsid w:val="003C625D"/>
    <w:rsid w:val="003C7AC4"/>
    <w:rsid w:val="003D03A9"/>
    <w:rsid w:val="003D0E26"/>
    <w:rsid w:val="003E24AD"/>
    <w:rsid w:val="003E6CD7"/>
    <w:rsid w:val="00400F27"/>
    <w:rsid w:val="004019C7"/>
    <w:rsid w:val="00402106"/>
    <w:rsid w:val="00412623"/>
    <w:rsid w:val="00422065"/>
    <w:rsid w:val="004225AC"/>
    <w:rsid w:val="004249EF"/>
    <w:rsid w:val="00426CB9"/>
    <w:rsid w:val="0046098D"/>
    <w:rsid w:val="004666FE"/>
    <w:rsid w:val="00474BA7"/>
    <w:rsid w:val="00481238"/>
    <w:rsid w:val="004913E0"/>
    <w:rsid w:val="00496096"/>
    <w:rsid w:val="00497154"/>
    <w:rsid w:val="00497642"/>
    <w:rsid w:val="004A0554"/>
    <w:rsid w:val="004A46FE"/>
    <w:rsid w:val="004B4305"/>
    <w:rsid w:val="004C57A6"/>
    <w:rsid w:val="004D63C5"/>
    <w:rsid w:val="004E345D"/>
    <w:rsid w:val="004E613D"/>
    <w:rsid w:val="004F44D8"/>
    <w:rsid w:val="00531EE2"/>
    <w:rsid w:val="00541DE6"/>
    <w:rsid w:val="00561924"/>
    <w:rsid w:val="005638CB"/>
    <w:rsid w:val="0056709F"/>
    <w:rsid w:val="00571779"/>
    <w:rsid w:val="00573BD8"/>
    <w:rsid w:val="0057552A"/>
    <w:rsid w:val="00583CBA"/>
    <w:rsid w:val="00593DCE"/>
    <w:rsid w:val="005965EA"/>
    <w:rsid w:val="005A73DD"/>
    <w:rsid w:val="005B5860"/>
    <w:rsid w:val="005D65FC"/>
    <w:rsid w:val="005E1C07"/>
    <w:rsid w:val="005E28C7"/>
    <w:rsid w:val="005E7D9C"/>
    <w:rsid w:val="005F44F7"/>
    <w:rsid w:val="00605B9D"/>
    <w:rsid w:val="00613E8E"/>
    <w:rsid w:val="00623514"/>
    <w:rsid w:val="00632225"/>
    <w:rsid w:val="00634BFC"/>
    <w:rsid w:val="0063552D"/>
    <w:rsid w:val="00646022"/>
    <w:rsid w:val="0064773E"/>
    <w:rsid w:val="00647920"/>
    <w:rsid w:val="00662153"/>
    <w:rsid w:val="0066402B"/>
    <w:rsid w:val="00676AA7"/>
    <w:rsid w:val="00677093"/>
    <w:rsid w:val="00694768"/>
    <w:rsid w:val="006A7750"/>
    <w:rsid w:val="006B2C63"/>
    <w:rsid w:val="006B56F8"/>
    <w:rsid w:val="006C4B88"/>
    <w:rsid w:val="006D03B0"/>
    <w:rsid w:val="006D3C21"/>
    <w:rsid w:val="006E23C6"/>
    <w:rsid w:val="00701488"/>
    <w:rsid w:val="00722D63"/>
    <w:rsid w:val="00725722"/>
    <w:rsid w:val="007372A2"/>
    <w:rsid w:val="00740FE4"/>
    <w:rsid w:val="00750B83"/>
    <w:rsid w:val="007550B6"/>
    <w:rsid w:val="00755E43"/>
    <w:rsid w:val="007660C4"/>
    <w:rsid w:val="00791ADD"/>
    <w:rsid w:val="00791D1D"/>
    <w:rsid w:val="00792BF5"/>
    <w:rsid w:val="00795BC8"/>
    <w:rsid w:val="007B00EE"/>
    <w:rsid w:val="007B326A"/>
    <w:rsid w:val="007C6B88"/>
    <w:rsid w:val="007F1F11"/>
    <w:rsid w:val="007F3BB7"/>
    <w:rsid w:val="007F5D20"/>
    <w:rsid w:val="00803D30"/>
    <w:rsid w:val="00807CAD"/>
    <w:rsid w:val="00811106"/>
    <w:rsid w:val="00815DAC"/>
    <w:rsid w:val="00827205"/>
    <w:rsid w:val="008414AE"/>
    <w:rsid w:val="008466E9"/>
    <w:rsid w:val="00847DD2"/>
    <w:rsid w:val="00854372"/>
    <w:rsid w:val="008651CA"/>
    <w:rsid w:val="00865F22"/>
    <w:rsid w:val="00866A0C"/>
    <w:rsid w:val="00887D1E"/>
    <w:rsid w:val="0089434E"/>
    <w:rsid w:val="00895A32"/>
    <w:rsid w:val="008A4A8E"/>
    <w:rsid w:val="008A5364"/>
    <w:rsid w:val="008B4F92"/>
    <w:rsid w:val="008C7DA2"/>
    <w:rsid w:val="008E4109"/>
    <w:rsid w:val="008F0EE1"/>
    <w:rsid w:val="009058DE"/>
    <w:rsid w:val="009061D4"/>
    <w:rsid w:val="00920C9B"/>
    <w:rsid w:val="009439F5"/>
    <w:rsid w:val="00950B88"/>
    <w:rsid w:val="00957262"/>
    <w:rsid w:val="009613FA"/>
    <w:rsid w:val="00966393"/>
    <w:rsid w:val="00970091"/>
    <w:rsid w:val="009A7370"/>
    <w:rsid w:val="009B0354"/>
    <w:rsid w:val="009B1619"/>
    <w:rsid w:val="009B18AA"/>
    <w:rsid w:val="009D6A2A"/>
    <w:rsid w:val="009E6BCD"/>
    <w:rsid w:val="009E6E05"/>
    <w:rsid w:val="009F6862"/>
    <w:rsid w:val="00A017D7"/>
    <w:rsid w:val="00A033ED"/>
    <w:rsid w:val="00A13090"/>
    <w:rsid w:val="00A350E3"/>
    <w:rsid w:val="00A43DCA"/>
    <w:rsid w:val="00A601BB"/>
    <w:rsid w:val="00A6613B"/>
    <w:rsid w:val="00A67CCE"/>
    <w:rsid w:val="00A67DFF"/>
    <w:rsid w:val="00A75D12"/>
    <w:rsid w:val="00A767BF"/>
    <w:rsid w:val="00A80625"/>
    <w:rsid w:val="00A8552F"/>
    <w:rsid w:val="00AA3C6A"/>
    <w:rsid w:val="00AA7D77"/>
    <w:rsid w:val="00AB481B"/>
    <w:rsid w:val="00AB5317"/>
    <w:rsid w:val="00AC4B03"/>
    <w:rsid w:val="00AC5858"/>
    <w:rsid w:val="00AD379C"/>
    <w:rsid w:val="00AE57AE"/>
    <w:rsid w:val="00AE7FC9"/>
    <w:rsid w:val="00AF68DF"/>
    <w:rsid w:val="00B012E7"/>
    <w:rsid w:val="00B061EC"/>
    <w:rsid w:val="00B13075"/>
    <w:rsid w:val="00B14D39"/>
    <w:rsid w:val="00B35A17"/>
    <w:rsid w:val="00B42710"/>
    <w:rsid w:val="00B67B12"/>
    <w:rsid w:val="00B76B41"/>
    <w:rsid w:val="00B77190"/>
    <w:rsid w:val="00B82E9A"/>
    <w:rsid w:val="00B90EAE"/>
    <w:rsid w:val="00B944C3"/>
    <w:rsid w:val="00BA56EC"/>
    <w:rsid w:val="00BB0829"/>
    <w:rsid w:val="00BC6ABD"/>
    <w:rsid w:val="00BD48B3"/>
    <w:rsid w:val="00BE7B01"/>
    <w:rsid w:val="00BF6821"/>
    <w:rsid w:val="00C1131D"/>
    <w:rsid w:val="00C139B9"/>
    <w:rsid w:val="00C148E0"/>
    <w:rsid w:val="00C15562"/>
    <w:rsid w:val="00C16F18"/>
    <w:rsid w:val="00C278B2"/>
    <w:rsid w:val="00C304C6"/>
    <w:rsid w:val="00C31EF7"/>
    <w:rsid w:val="00C352A8"/>
    <w:rsid w:val="00C41BE9"/>
    <w:rsid w:val="00C4572F"/>
    <w:rsid w:val="00C51E12"/>
    <w:rsid w:val="00C54AE7"/>
    <w:rsid w:val="00C63FCB"/>
    <w:rsid w:val="00C76571"/>
    <w:rsid w:val="00C766F6"/>
    <w:rsid w:val="00C779D1"/>
    <w:rsid w:val="00C96076"/>
    <w:rsid w:val="00CA6C97"/>
    <w:rsid w:val="00CB67CD"/>
    <w:rsid w:val="00CB76B3"/>
    <w:rsid w:val="00CC2DCB"/>
    <w:rsid w:val="00CC2FFF"/>
    <w:rsid w:val="00CC7C26"/>
    <w:rsid w:val="00CD2217"/>
    <w:rsid w:val="00D043E7"/>
    <w:rsid w:val="00D046F7"/>
    <w:rsid w:val="00D12F6F"/>
    <w:rsid w:val="00D172B7"/>
    <w:rsid w:val="00D231F2"/>
    <w:rsid w:val="00D25C00"/>
    <w:rsid w:val="00D3420D"/>
    <w:rsid w:val="00D41BE6"/>
    <w:rsid w:val="00D46A9E"/>
    <w:rsid w:val="00D81E18"/>
    <w:rsid w:val="00D952AD"/>
    <w:rsid w:val="00DA1CDA"/>
    <w:rsid w:val="00DD3A2F"/>
    <w:rsid w:val="00DE30EC"/>
    <w:rsid w:val="00DE51BF"/>
    <w:rsid w:val="00DF5EA0"/>
    <w:rsid w:val="00E10A0A"/>
    <w:rsid w:val="00E13D6B"/>
    <w:rsid w:val="00E16041"/>
    <w:rsid w:val="00E245A0"/>
    <w:rsid w:val="00E30CDA"/>
    <w:rsid w:val="00E326A4"/>
    <w:rsid w:val="00E34BDE"/>
    <w:rsid w:val="00E37025"/>
    <w:rsid w:val="00E5218E"/>
    <w:rsid w:val="00E7380B"/>
    <w:rsid w:val="00E7677B"/>
    <w:rsid w:val="00E85C5E"/>
    <w:rsid w:val="00E97F51"/>
    <w:rsid w:val="00EB27B7"/>
    <w:rsid w:val="00EC6FAE"/>
    <w:rsid w:val="00ED07E4"/>
    <w:rsid w:val="00EE6232"/>
    <w:rsid w:val="00EF0F6A"/>
    <w:rsid w:val="00EF2C1B"/>
    <w:rsid w:val="00F17A67"/>
    <w:rsid w:val="00F246B8"/>
    <w:rsid w:val="00F33A0F"/>
    <w:rsid w:val="00F40661"/>
    <w:rsid w:val="00F4156E"/>
    <w:rsid w:val="00F618A7"/>
    <w:rsid w:val="00F61D15"/>
    <w:rsid w:val="00F66C11"/>
    <w:rsid w:val="00F816DE"/>
    <w:rsid w:val="00F83E4D"/>
    <w:rsid w:val="00F939F0"/>
    <w:rsid w:val="00FA2CC3"/>
    <w:rsid w:val="00FA3EA0"/>
    <w:rsid w:val="00FA7251"/>
    <w:rsid w:val="00FD118E"/>
    <w:rsid w:val="00FE1B24"/>
    <w:rsid w:val="00FE436C"/>
    <w:rsid w:val="00FF371D"/>
    <w:rsid w:val="00FF3A23"/>
    <w:rsid w:val="00FF6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E6600F"/>
  <w15:chartTrackingRefBased/>
  <w15:docId w15:val="{D981DDB6-6BD2-41A8-852C-C5926E39B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39F0"/>
    <w:rPr>
      <w:color w:val="0563C1" w:themeColor="hyperlink"/>
      <w:u w:val="single"/>
    </w:rPr>
  </w:style>
  <w:style w:type="character" w:styleId="UnresolvedMention">
    <w:name w:val="Unresolved Mention"/>
    <w:basedOn w:val="DefaultParagraphFont"/>
    <w:uiPriority w:val="99"/>
    <w:semiHidden/>
    <w:unhideWhenUsed/>
    <w:rsid w:val="00F939F0"/>
    <w:rPr>
      <w:color w:val="605E5C"/>
      <w:shd w:val="clear" w:color="auto" w:fill="E1DFDD"/>
    </w:rPr>
  </w:style>
  <w:style w:type="character" w:styleId="FollowedHyperlink">
    <w:name w:val="FollowedHyperlink"/>
    <w:basedOn w:val="DefaultParagraphFont"/>
    <w:uiPriority w:val="99"/>
    <w:semiHidden/>
    <w:unhideWhenUsed/>
    <w:rsid w:val="00402106"/>
    <w:rPr>
      <w:color w:val="954F72" w:themeColor="followedHyperlink"/>
      <w:u w:val="single"/>
    </w:rPr>
  </w:style>
  <w:style w:type="paragraph" w:styleId="Header">
    <w:name w:val="header"/>
    <w:basedOn w:val="Normal"/>
    <w:link w:val="HeaderChar"/>
    <w:uiPriority w:val="99"/>
    <w:unhideWhenUsed/>
    <w:rsid w:val="006355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52D"/>
  </w:style>
  <w:style w:type="paragraph" w:styleId="Footer">
    <w:name w:val="footer"/>
    <w:basedOn w:val="Normal"/>
    <w:link w:val="FooterChar"/>
    <w:uiPriority w:val="99"/>
    <w:unhideWhenUsed/>
    <w:rsid w:val="006355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52D"/>
  </w:style>
  <w:style w:type="table" w:styleId="TableGrid">
    <w:name w:val="Table Grid"/>
    <w:basedOn w:val="TableNormal"/>
    <w:uiPriority w:val="39"/>
    <w:rsid w:val="00481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5E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16260">
      <w:bodyDiv w:val="1"/>
      <w:marLeft w:val="0"/>
      <w:marRight w:val="0"/>
      <w:marTop w:val="0"/>
      <w:marBottom w:val="0"/>
      <w:divBdr>
        <w:top w:val="none" w:sz="0" w:space="0" w:color="auto"/>
        <w:left w:val="none" w:sz="0" w:space="0" w:color="auto"/>
        <w:bottom w:val="none" w:sz="0" w:space="0" w:color="auto"/>
        <w:right w:val="none" w:sz="0" w:space="0" w:color="auto"/>
      </w:divBdr>
      <w:divsChild>
        <w:div w:id="1217426748">
          <w:marLeft w:val="547"/>
          <w:marRight w:val="0"/>
          <w:marTop w:val="0"/>
          <w:marBottom w:val="0"/>
          <w:divBdr>
            <w:top w:val="none" w:sz="0" w:space="0" w:color="auto"/>
            <w:left w:val="none" w:sz="0" w:space="0" w:color="auto"/>
            <w:bottom w:val="none" w:sz="0" w:space="0" w:color="auto"/>
            <w:right w:val="none" w:sz="0" w:space="0" w:color="auto"/>
          </w:divBdr>
        </w:div>
        <w:div w:id="499123393">
          <w:marLeft w:val="547"/>
          <w:marRight w:val="0"/>
          <w:marTop w:val="0"/>
          <w:marBottom w:val="0"/>
          <w:divBdr>
            <w:top w:val="none" w:sz="0" w:space="0" w:color="auto"/>
            <w:left w:val="none" w:sz="0" w:space="0" w:color="auto"/>
            <w:bottom w:val="none" w:sz="0" w:space="0" w:color="auto"/>
            <w:right w:val="none" w:sz="0" w:space="0" w:color="auto"/>
          </w:divBdr>
        </w:div>
        <w:div w:id="151926960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egislation.gov.uk/uksi/2001/1060/made" TargetMode="External"/><Relationship Id="rId18" Type="http://schemas.openxmlformats.org/officeDocument/2006/relationships/hyperlink" Target="https://register.fca.org.uk/s/" TargetMode="External"/><Relationship Id="rId26" Type="http://schemas.openxmlformats.org/officeDocument/2006/relationships/hyperlink" Target="https://www.legislation.gov.uk/uksi/2001/1060/made" TargetMode="External"/><Relationship Id="rId3" Type="http://schemas.openxmlformats.org/officeDocument/2006/relationships/styles" Target="styles.xml"/><Relationship Id="rId21" Type="http://schemas.openxmlformats.org/officeDocument/2006/relationships/hyperlink" Target="https://www.fca.org.uk/firms/financial-crime/money-laundering-terrorist-financing" TargetMode="External"/><Relationship Id="rId7" Type="http://schemas.openxmlformats.org/officeDocument/2006/relationships/endnotes" Target="endnotes.xml"/><Relationship Id="rId12" Type="http://schemas.openxmlformats.org/officeDocument/2006/relationships/hyperlink" Target="https://www.legislation.gov.uk/ukpga/2000/8/schedule/2/part/II" TargetMode="External"/><Relationship Id="rId17" Type="http://schemas.openxmlformats.org/officeDocument/2006/relationships/image" Target="media/image4.png"/><Relationship Id="rId25" Type="http://schemas.openxmlformats.org/officeDocument/2006/relationships/hyperlink" Target="https://www.sra.org.uk/solicitors/standards-regulations/code-conduct-solicitors/"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www.sra.org.uk/solicitors/standards-regulations/code-conduct-solicitors/" TargetMode="External"/><Relationship Id="rId29" Type="http://schemas.openxmlformats.org/officeDocument/2006/relationships/hyperlink" Target="https://www.gov.uk/legal-ai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gister.fca.org.uk/s/" TargetMode="External"/><Relationship Id="rId24" Type="http://schemas.openxmlformats.org/officeDocument/2006/relationships/hyperlink" Target="https://www.legislation.gov.uk/ukpga/2000/8/section/23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ca.org.uk/firms/financial-crime/money-laundering-terrorist-financing" TargetMode="External"/><Relationship Id="rId23" Type="http://schemas.openxmlformats.org/officeDocument/2006/relationships/hyperlink" Target="https://www.sra.org.uk/sra/how-we-work/" TargetMode="External"/><Relationship Id="rId28" Type="http://schemas.openxmlformats.org/officeDocument/2006/relationships/hyperlink" Target="https://www.lawsociety.org.uk/topics/anti-money-laundering/anti-money-laundering-guidance" TargetMode="External"/><Relationship Id="rId10" Type="http://schemas.openxmlformats.org/officeDocument/2006/relationships/hyperlink" Target="https://www.legislation.gov.uk/ukpga/2000/8/contents" TargetMode="External"/><Relationship Id="rId19" Type="http://schemas.openxmlformats.org/officeDocument/2006/relationships/hyperlink" Target="https://www.legislation.gov.uk/ukpga/2000/8/content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ra.org.uk/solicitors/standards-regulations/code-conduct-solicitors/" TargetMode="External"/><Relationship Id="rId14" Type="http://schemas.openxmlformats.org/officeDocument/2006/relationships/hyperlink" Target="https://www.legislation.gov.uk/uksi/2001/544/article/72F?timeline=false&amp;view=plain" TargetMode="External"/><Relationship Id="rId22" Type="http://schemas.openxmlformats.org/officeDocument/2006/relationships/hyperlink" Target="https://www.legislation.gov.uk/ukpga/2000/8/schedule/2/part/II" TargetMode="External"/><Relationship Id="rId27" Type="http://schemas.openxmlformats.org/officeDocument/2006/relationships/hyperlink" Target="https://www.legislation.gov.uk/uksi/2001/544/article/72F?timeline=false&amp;view=plain" TargetMode="External"/><Relationship Id="rId30" Type="http://schemas.openxmlformats.org/officeDocument/2006/relationships/hyperlink" Target="https://www.legislation.gov.uk/ukdsi/2013/9780111533444"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15AA2-3E39-42A9-93E3-88030B7BE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2089</Words>
  <Characters>11911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Banafshe</dc:creator>
  <cp:keywords/>
  <dc:description/>
  <cp:lastModifiedBy>Banafshe</cp:lastModifiedBy>
  <cp:revision>2</cp:revision>
  <dcterms:created xsi:type="dcterms:W3CDTF">2023-03-20T09:22:00Z</dcterms:created>
  <dcterms:modified xsi:type="dcterms:W3CDTF">2023-03-20T09:22:00Z</dcterms:modified>
</cp:coreProperties>
</file>