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43E31B" w14:textId="77777777" w:rsidR="00CD623D" w:rsidRPr="00CD623D" w:rsidRDefault="00CD623D" w:rsidP="00CD623D">
      <w:pPr>
        <w:rPr>
          <w:rFonts w:ascii="Arial" w:eastAsia="Times New Roman" w:hAnsi="Arial" w:cs="Arial"/>
        </w:rPr>
      </w:pPr>
      <w:r w:rsidRPr="00CD623D">
        <w:rPr>
          <w:rFonts w:ascii="Arial" w:eastAsia="Times New Roman" w:hAnsi="Arial" w:cs="Arial"/>
          <w:color w:val="000000"/>
          <w:sz w:val="27"/>
          <w:szCs w:val="27"/>
          <w:shd w:val="clear" w:color="auto" w:fill="FFFFFF"/>
        </w:rPr>
        <w:t>Emergency Preparedness in Water Utility Management: A Focus on Dwr Cymru Welsh Water</w:t>
      </w:r>
      <w:r w:rsidRPr="00CD623D">
        <w:rPr>
          <w:rFonts w:ascii="Arial" w:eastAsia="Times New Roman" w:hAnsi="Arial" w:cs="Arial"/>
        </w:rPr>
        <w:t xml:space="preserve"> </w:t>
      </w:r>
    </w:p>
    <w:p w14:paraId="046C5BFA" w14:textId="77777777" w:rsidR="00CD623D" w:rsidRPr="00CD623D" w:rsidRDefault="00CD623D" w:rsidP="00CD623D">
      <w:pPr>
        <w:shd w:val="clear" w:color="auto" w:fill="FFFFFF"/>
        <w:rPr>
          <w:rFonts w:ascii="Arial" w:eastAsia="Times New Roman" w:hAnsi="Arial" w:cs="Arial"/>
          <w:color w:val="000000"/>
          <w:sz w:val="27"/>
          <w:szCs w:val="27"/>
        </w:rPr>
      </w:pPr>
    </w:p>
    <w:p w14:paraId="4C113F24" w14:textId="178AEED9"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Introduction</w:t>
      </w:r>
    </w:p>
    <w:p w14:paraId="4CB02031" w14:textId="77777777" w:rsidR="00CD623D" w:rsidRPr="00CD623D" w:rsidRDefault="00CD623D" w:rsidP="00CD623D">
      <w:pPr>
        <w:shd w:val="clear" w:color="auto" w:fill="FFFFFF"/>
        <w:rPr>
          <w:rFonts w:ascii="Arial" w:eastAsia="Times New Roman" w:hAnsi="Arial" w:cs="Arial"/>
          <w:color w:val="000000"/>
          <w:sz w:val="27"/>
          <w:szCs w:val="27"/>
        </w:rPr>
      </w:pPr>
    </w:p>
    <w:p w14:paraId="1BCFE905"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Dwr Cymru Welsh Water (DCWW) operates as the principal water and sewerage undertaker in Wales and Herefordshire, playing a pivotal role in ensuring the provision of essential services to the public. In an era characterized by rapid change, from climate change to public health crises, effective emergency preparedness is crucial for utility companies. This assignment explores the legislative framework governing emergency preparedness, best practices associated with training and exercising, benefits derived from such initiatives, methods for identifying lessons learned, insights from recent public inquiries, and specific obligations imposed by relevant legislation.</w:t>
      </w:r>
    </w:p>
    <w:p w14:paraId="122B29E7" w14:textId="77777777" w:rsidR="00CD623D" w:rsidRPr="00CD623D" w:rsidRDefault="00CD623D" w:rsidP="00CD623D">
      <w:pPr>
        <w:shd w:val="clear" w:color="auto" w:fill="FFFFFF"/>
        <w:rPr>
          <w:rFonts w:ascii="Arial" w:eastAsia="Times New Roman" w:hAnsi="Arial" w:cs="Arial"/>
          <w:color w:val="000000"/>
          <w:sz w:val="27"/>
          <w:szCs w:val="27"/>
        </w:rPr>
      </w:pPr>
    </w:p>
    <w:p w14:paraId="1CF34887"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Civil Contingencies Act 2004 (CCA 2004) and the Water Industry Act 1991 (WIA 1991) serve as the cornerstone of emergency management legislation applicable to DCWW. Additionally, guidelines from the Security Emergency Measures Direction (SEMD) and the Department for Environment, Food &amp; Rural Affairs (DEFRA) further enhance the organization's preparedness and resilience. By examining these elements in the context of DCWW, we can gain a comprehensive understanding of how water utility companies can enhance their resilience and ensure public safety.</w:t>
      </w:r>
    </w:p>
    <w:p w14:paraId="3C323311" w14:textId="77777777" w:rsidR="00CD623D" w:rsidRPr="00CD623D" w:rsidRDefault="00CD623D" w:rsidP="00CD623D">
      <w:pPr>
        <w:shd w:val="clear" w:color="auto" w:fill="FFFFFF"/>
        <w:rPr>
          <w:rFonts w:ascii="Arial" w:eastAsia="Times New Roman" w:hAnsi="Arial" w:cs="Arial"/>
          <w:color w:val="000000"/>
          <w:sz w:val="27"/>
          <w:szCs w:val="27"/>
        </w:rPr>
      </w:pPr>
    </w:p>
    <w:p w14:paraId="6CDDECB6" w14:textId="47F9C15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1. Legislative Framework Requiring Training and Exercising</w:t>
      </w:r>
    </w:p>
    <w:p w14:paraId="18CF04A5" w14:textId="77777777" w:rsidR="00CD623D" w:rsidRPr="00CD623D" w:rsidRDefault="00CD623D" w:rsidP="00CD623D">
      <w:pPr>
        <w:shd w:val="clear" w:color="auto" w:fill="FFFFFF"/>
        <w:rPr>
          <w:rFonts w:ascii="Arial" w:eastAsia="Times New Roman" w:hAnsi="Arial" w:cs="Arial"/>
          <w:color w:val="000000"/>
          <w:sz w:val="27"/>
          <w:szCs w:val="27"/>
        </w:rPr>
      </w:pPr>
    </w:p>
    <w:p w14:paraId="58F1F19A" w14:textId="07E551F3"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1.1 The Civil Contingencies Act 2004</w:t>
      </w:r>
    </w:p>
    <w:p w14:paraId="54CE7B9C" w14:textId="77777777" w:rsidR="00CD623D" w:rsidRPr="00CD623D" w:rsidRDefault="00CD623D" w:rsidP="00CD623D">
      <w:pPr>
        <w:shd w:val="clear" w:color="auto" w:fill="FFFFFF"/>
        <w:rPr>
          <w:rFonts w:ascii="Arial" w:eastAsia="Times New Roman" w:hAnsi="Arial" w:cs="Arial"/>
          <w:color w:val="000000"/>
          <w:sz w:val="27"/>
          <w:szCs w:val="27"/>
        </w:rPr>
      </w:pPr>
    </w:p>
    <w:p w14:paraId="1068E146"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CCA 2004 is a key piece of legislation for emergency management in the United Kingdom. Enacted in response to the need for an integrated approach to managing emergencies, particularly after the vulnerabilities exposed by the 9/11 attacks, the Act categorizes organizations into two groups: Category 1 responders and Category 2 responders. Category 1 responders include local authorities, emergency services, and NHS bodies, while Category 2 responders include utility companies like DCWW.</w:t>
      </w:r>
    </w:p>
    <w:p w14:paraId="2296E67D" w14:textId="77777777" w:rsidR="00CD623D" w:rsidRPr="00CD623D" w:rsidRDefault="00CD623D" w:rsidP="00CD623D">
      <w:pPr>
        <w:shd w:val="clear" w:color="auto" w:fill="FFFFFF"/>
        <w:rPr>
          <w:rFonts w:ascii="Arial" w:eastAsia="Times New Roman" w:hAnsi="Arial" w:cs="Arial"/>
          <w:color w:val="000000"/>
          <w:sz w:val="27"/>
          <w:szCs w:val="27"/>
        </w:rPr>
      </w:pPr>
    </w:p>
    <w:p w14:paraId="12151BC2" w14:textId="730FEEA5"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Primary Duties Under the CCA</w:t>
      </w:r>
    </w:p>
    <w:p w14:paraId="4ED6ACDB" w14:textId="77777777" w:rsidR="00CD623D" w:rsidRPr="00CD623D" w:rsidRDefault="00CD623D" w:rsidP="00CD623D">
      <w:pPr>
        <w:shd w:val="clear" w:color="auto" w:fill="FFFFFF"/>
        <w:rPr>
          <w:rFonts w:ascii="Arial" w:eastAsia="Times New Roman" w:hAnsi="Arial" w:cs="Arial"/>
          <w:color w:val="000000"/>
          <w:sz w:val="27"/>
          <w:szCs w:val="27"/>
        </w:rPr>
      </w:pPr>
    </w:p>
    <w:p w14:paraId="1CB21D0F"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Section 2 of the CCA outlines the primary duties for Category 2 responders, which include:</w:t>
      </w:r>
    </w:p>
    <w:p w14:paraId="78119792" w14:textId="77777777" w:rsidR="00CD623D" w:rsidRPr="00CD623D" w:rsidRDefault="00CD623D" w:rsidP="00CD623D">
      <w:pPr>
        <w:shd w:val="clear" w:color="auto" w:fill="FFFFFF"/>
        <w:rPr>
          <w:rFonts w:ascii="Arial" w:eastAsia="Times New Roman" w:hAnsi="Arial" w:cs="Arial"/>
          <w:color w:val="000000"/>
          <w:sz w:val="27"/>
          <w:szCs w:val="27"/>
        </w:rPr>
      </w:pPr>
    </w:p>
    <w:p w14:paraId="55F0B50C" w14:textId="56023B0B"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lastRenderedPageBreak/>
        <w:t>1. Risk Assessment: Organizations are required to identify and assess the risks of emergencies occurring within their operational areas. For DCWW, this involves evaluating potential threats to the water supply and sewerage systems, including natural disasters, infrastructure failures, and contamination incidents.</w:t>
      </w:r>
    </w:p>
    <w:p w14:paraId="0E5E74B0" w14:textId="77777777" w:rsidR="00CD623D" w:rsidRPr="00CD623D" w:rsidRDefault="00CD623D" w:rsidP="00CD623D">
      <w:pPr>
        <w:shd w:val="clear" w:color="auto" w:fill="FFFFFF"/>
        <w:rPr>
          <w:rFonts w:ascii="Arial" w:eastAsia="Times New Roman" w:hAnsi="Arial" w:cs="Arial"/>
          <w:color w:val="000000"/>
          <w:sz w:val="27"/>
          <w:szCs w:val="27"/>
        </w:rPr>
      </w:pPr>
    </w:p>
    <w:p w14:paraId="58AF49EB" w14:textId="48413D6C"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2. Emergency Planning: Developing comprehensive plans to respond effectively to emergencies is critical. DCWW must prepare contingency plans that address various scenarios, ensuring that personnel are equipped to manage crises efficiently.</w:t>
      </w:r>
    </w:p>
    <w:p w14:paraId="57B3AF3C" w14:textId="77777777" w:rsidR="00CD623D" w:rsidRPr="00CD623D" w:rsidRDefault="00CD623D" w:rsidP="00CD623D">
      <w:pPr>
        <w:shd w:val="clear" w:color="auto" w:fill="FFFFFF"/>
        <w:rPr>
          <w:rFonts w:ascii="Arial" w:eastAsia="Times New Roman" w:hAnsi="Arial" w:cs="Arial"/>
          <w:color w:val="000000"/>
          <w:sz w:val="27"/>
          <w:szCs w:val="27"/>
        </w:rPr>
      </w:pPr>
    </w:p>
    <w:p w14:paraId="23567C19" w14:textId="2E085F7F"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3. Training and Exercising: Ensuring that staff are adequately trained and that emergency plans are routinely tested through exercises is a legal obligation. This training is essential for fostering a culture of preparedness within the organization.</w:t>
      </w:r>
    </w:p>
    <w:p w14:paraId="47E382C1" w14:textId="77777777" w:rsidR="00CD623D" w:rsidRPr="00CD623D" w:rsidRDefault="00CD623D" w:rsidP="00CD623D">
      <w:pPr>
        <w:shd w:val="clear" w:color="auto" w:fill="FFFFFF"/>
        <w:rPr>
          <w:rFonts w:ascii="Arial" w:eastAsia="Times New Roman" w:hAnsi="Arial" w:cs="Arial"/>
          <w:color w:val="000000"/>
          <w:sz w:val="27"/>
          <w:szCs w:val="27"/>
        </w:rPr>
      </w:pPr>
    </w:p>
    <w:p w14:paraId="7E1BFE60" w14:textId="038597DF"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1.2 Compliance with Statutory Obligations</w:t>
      </w:r>
    </w:p>
    <w:p w14:paraId="12FAA808" w14:textId="77777777" w:rsidR="00CD623D" w:rsidRPr="00CD623D" w:rsidRDefault="00CD623D" w:rsidP="00CD623D">
      <w:pPr>
        <w:shd w:val="clear" w:color="auto" w:fill="FFFFFF"/>
        <w:rPr>
          <w:rFonts w:ascii="Arial" w:eastAsia="Times New Roman" w:hAnsi="Arial" w:cs="Arial"/>
          <w:color w:val="000000"/>
          <w:sz w:val="27"/>
          <w:szCs w:val="27"/>
        </w:rPr>
      </w:pPr>
    </w:p>
    <w:p w14:paraId="350CF7D3"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To comply with the CCA 2004, DCWW must establish robust training programs that align with the guidelines set forth by the Civil Contingencies Secretariat. This involves creating tailored curricula that reflect the specific roles and responsibilities of staff within the organization. Regular training sessions and exercises that simulate real-life emergency scenarios are critical for ensuring that personnel are well-prepared to respond effectively when emergencies arise.</w:t>
      </w:r>
    </w:p>
    <w:p w14:paraId="4D8C26FA" w14:textId="77777777" w:rsidR="00CD623D" w:rsidRPr="00CD623D" w:rsidRDefault="00CD623D" w:rsidP="00CD623D">
      <w:pPr>
        <w:shd w:val="clear" w:color="auto" w:fill="FFFFFF"/>
        <w:rPr>
          <w:rFonts w:ascii="Arial" w:eastAsia="Times New Roman" w:hAnsi="Arial" w:cs="Arial"/>
          <w:color w:val="000000"/>
          <w:sz w:val="27"/>
          <w:szCs w:val="27"/>
        </w:rPr>
      </w:pPr>
    </w:p>
    <w:p w14:paraId="14C0300C" w14:textId="371FE92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1.3 The Water Industry Act 1991</w:t>
      </w:r>
    </w:p>
    <w:p w14:paraId="2BFFED10" w14:textId="77777777" w:rsidR="00CD623D" w:rsidRPr="00CD623D" w:rsidRDefault="00CD623D" w:rsidP="00CD623D">
      <w:pPr>
        <w:shd w:val="clear" w:color="auto" w:fill="FFFFFF"/>
        <w:rPr>
          <w:rFonts w:ascii="Arial" w:eastAsia="Times New Roman" w:hAnsi="Arial" w:cs="Arial"/>
          <w:color w:val="000000"/>
          <w:sz w:val="27"/>
          <w:szCs w:val="27"/>
        </w:rPr>
      </w:pPr>
    </w:p>
    <w:p w14:paraId="14365B34"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WIA 1991 is another pivotal piece of legislation that governs the water sector in England and Wales, including Dwr Cymru Welsh Water. This Act establishes the regulatory framework for the provision of water and sewerage services, ensuring that companies operate in a manner that protects public health and the environment.</w:t>
      </w:r>
    </w:p>
    <w:p w14:paraId="04558BF2" w14:textId="77777777" w:rsidR="00CD623D" w:rsidRPr="00CD623D" w:rsidRDefault="00CD623D" w:rsidP="00CD623D">
      <w:pPr>
        <w:shd w:val="clear" w:color="auto" w:fill="FFFFFF"/>
        <w:rPr>
          <w:rFonts w:ascii="Arial" w:eastAsia="Times New Roman" w:hAnsi="Arial" w:cs="Arial"/>
          <w:color w:val="000000"/>
          <w:sz w:val="27"/>
          <w:szCs w:val="27"/>
        </w:rPr>
      </w:pPr>
    </w:p>
    <w:p w14:paraId="60E68347" w14:textId="0489D740"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Key Provisions of the Water Industry Act 1991</w:t>
      </w:r>
    </w:p>
    <w:p w14:paraId="064715C2" w14:textId="77777777" w:rsidR="00CD623D" w:rsidRPr="00CD623D" w:rsidRDefault="00CD623D" w:rsidP="00CD623D">
      <w:pPr>
        <w:shd w:val="clear" w:color="auto" w:fill="FFFFFF"/>
        <w:rPr>
          <w:rFonts w:ascii="Arial" w:eastAsia="Times New Roman" w:hAnsi="Arial" w:cs="Arial"/>
          <w:color w:val="000000"/>
          <w:sz w:val="27"/>
          <w:szCs w:val="27"/>
        </w:rPr>
      </w:pPr>
    </w:p>
    <w:p w14:paraId="701A7A95"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WIA 1991 outlines several important responsibilities and duties for water companies, including:</w:t>
      </w:r>
    </w:p>
    <w:p w14:paraId="42DD8E6E" w14:textId="77777777" w:rsidR="00CD623D" w:rsidRPr="00CD623D" w:rsidRDefault="00CD623D" w:rsidP="00CD623D">
      <w:pPr>
        <w:shd w:val="clear" w:color="auto" w:fill="FFFFFF"/>
        <w:rPr>
          <w:rFonts w:ascii="Arial" w:eastAsia="Times New Roman" w:hAnsi="Arial" w:cs="Arial"/>
          <w:color w:val="000000"/>
          <w:sz w:val="27"/>
          <w:szCs w:val="27"/>
        </w:rPr>
      </w:pPr>
    </w:p>
    <w:p w14:paraId="48ADE5CE" w14:textId="61E31F05"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1. Supply of Safe Drinking Water: The Act mandates that water companies provide a continuous supply of safe and clean drinking water to consumers. This responsibility is paramount, as any disruption can have serious implications for public health.</w:t>
      </w:r>
    </w:p>
    <w:p w14:paraId="5255F37D" w14:textId="77777777" w:rsidR="00CD623D" w:rsidRPr="00CD623D" w:rsidRDefault="00CD623D" w:rsidP="00CD623D">
      <w:pPr>
        <w:shd w:val="clear" w:color="auto" w:fill="FFFFFF"/>
        <w:rPr>
          <w:rFonts w:ascii="Arial" w:eastAsia="Times New Roman" w:hAnsi="Arial" w:cs="Arial"/>
          <w:color w:val="000000"/>
          <w:sz w:val="27"/>
          <w:szCs w:val="27"/>
        </w:rPr>
      </w:pPr>
    </w:p>
    <w:p w14:paraId="466AF294" w14:textId="21DCDE59"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lastRenderedPageBreak/>
        <w:t>2. Sewerage Services: The Act requires water companies to provide effective sewerage services, ensuring that wastewater is treated and disposed of appropriately. DCWW must maintain and operate sewerage systems to prevent pollution and protect water quality.</w:t>
      </w:r>
    </w:p>
    <w:p w14:paraId="0FE8EE63" w14:textId="77777777" w:rsidR="00CD623D" w:rsidRPr="00CD623D" w:rsidRDefault="00CD623D" w:rsidP="00CD623D">
      <w:pPr>
        <w:shd w:val="clear" w:color="auto" w:fill="FFFFFF"/>
        <w:rPr>
          <w:rFonts w:ascii="Arial" w:eastAsia="Times New Roman" w:hAnsi="Arial" w:cs="Arial"/>
          <w:color w:val="000000"/>
          <w:sz w:val="27"/>
          <w:szCs w:val="27"/>
        </w:rPr>
      </w:pPr>
    </w:p>
    <w:p w14:paraId="760DFE8A" w14:textId="1A19406F"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3. Emergency Planning: The WIA 1991 requires water companies to prepare for emergencies that may affect the water supply or sewerage systems. This includes developing contingency plans to address potential crises, such as natural disasters, contamination events, or infrastructure failures.</w:t>
      </w:r>
    </w:p>
    <w:p w14:paraId="11EAE547" w14:textId="77777777" w:rsidR="00CD623D" w:rsidRPr="00CD623D" w:rsidRDefault="00CD623D" w:rsidP="00CD623D">
      <w:pPr>
        <w:shd w:val="clear" w:color="auto" w:fill="FFFFFF"/>
        <w:rPr>
          <w:rFonts w:ascii="Arial" w:eastAsia="Times New Roman" w:hAnsi="Arial" w:cs="Arial"/>
          <w:color w:val="000000"/>
          <w:sz w:val="27"/>
          <w:szCs w:val="27"/>
        </w:rPr>
      </w:pPr>
    </w:p>
    <w:p w14:paraId="7B6A930E" w14:textId="325C4172"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4. Regulatory Oversight: The Act establishes the role of the Water Services Regulation Authority (Ofwat), which oversees water companies to ensure they meet their obligations regarding service delivery, pricing, and investment in infrastructure.</w:t>
      </w:r>
    </w:p>
    <w:p w14:paraId="42987E1E" w14:textId="77777777" w:rsidR="00CD623D" w:rsidRPr="00CD623D" w:rsidRDefault="00CD623D" w:rsidP="00CD623D">
      <w:pPr>
        <w:shd w:val="clear" w:color="auto" w:fill="FFFFFF"/>
        <w:rPr>
          <w:rFonts w:ascii="Arial" w:eastAsia="Times New Roman" w:hAnsi="Arial" w:cs="Arial"/>
          <w:color w:val="000000"/>
          <w:sz w:val="27"/>
          <w:szCs w:val="27"/>
        </w:rPr>
      </w:pPr>
    </w:p>
    <w:p w14:paraId="6F2B0C74" w14:textId="0B77CFD1"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5. Environmental Protection: The water industry is also subject to environmental regulations, ensuring that water companies operate sustainably and minimize their impact on the environment. This includes compliance with directives aimed at protecting water sources and ecosystems.</w:t>
      </w:r>
    </w:p>
    <w:p w14:paraId="6189A9E3" w14:textId="77777777" w:rsidR="00CD623D" w:rsidRPr="00CD623D" w:rsidRDefault="00CD623D" w:rsidP="00CD623D">
      <w:pPr>
        <w:shd w:val="clear" w:color="auto" w:fill="FFFFFF"/>
        <w:rPr>
          <w:rFonts w:ascii="Arial" w:eastAsia="Times New Roman" w:hAnsi="Arial" w:cs="Arial"/>
          <w:color w:val="000000"/>
          <w:sz w:val="27"/>
          <w:szCs w:val="27"/>
        </w:rPr>
      </w:pPr>
    </w:p>
    <w:p w14:paraId="79474B18" w14:textId="5E405E46"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1.4 Alignment Between CCA 2004 and WIA 1991</w:t>
      </w:r>
    </w:p>
    <w:p w14:paraId="3F18CB8F" w14:textId="77777777" w:rsidR="00CD623D" w:rsidRPr="00CD623D" w:rsidRDefault="00CD623D" w:rsidP="00CD623D">
      <w:pPr>
        <w:shd w:val="clear" w:color="auto" w:fill="FFFFFF"/>
        <w:rPr>
          <w:rFonts w:ascii="Arial" w:eastAsia="Times New Roman" w:hAnsi="Arial" w:cs="Arial"/>
          <w:color w:val="000000"/>
          <w:sz w:val="27"/>
          <w:szCs w:val="27"/>
        </w:rPr>
      </w:pPr>
    </w:p>
    <w:p w14:paraId="3545FFE5"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CCA 2004 and the WIA 1991 are interrelated in their objectives of ensuring public safety and effective emergency response. While the CCA focuses on broader emergency management frameworks applicable to various sectors, the WIA specifically addresses the unique challenges faced by the water sector. For DCWW, compliance with both pieces of legislation is essential to ensure comprehensive emergency preparedness and response capabilities.</w:t>
      </w:r>
    </w:p>
    <w:p w14:paraId="5976D0F4" w14:textId="77777777" w:rsidR="00CD623D" w:rsidRPr="00CD623D" w:rsidRDefault="00CD623D" w:rsidP="00CD623D">
      <w:pPr>
        <w:shd w:val="clear" w:color="auto" w:fill="FFFFFF"/>
        <w:rPr>
          <w:rFonts w:ascii="Arial" w:eastAsia="Times New Roman" w:hAnsi="Arial" w:cs="Arial"/>
          <w:color w:val="000000"/>
          <w:sz w:val="27"/>
          <w:szCs w:val="27"/>
        </w:rPr>
      </w:pPr>
    </w:p>
    <w:p w14:paraId="3E3AF589" w14:textId="7CE2115F"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2. Guidance and Best Practices</w:t>
      </w:r>
    </w:p>
    <w:p w14:paraId="76EA5AE3" w14:textId="77777777" w:rsidR="00CD623D" w:rsidRPr="00CD623D" w:rsidRDefault="00CD623D" w:rsidP="00CD623D">
      <w:pPr>
        <w:shd w:val="clear" w:color="auto" w:fill="FFFFFF"/>
        <w:rPr>
          <w:rFonts w:ascii="Arial" w:eastAsia="Times New Roman" w:hAnsi="Arial" w:cs="Arial"/>
          <w:color w:val="000000"/>
          <w:sz w:val="27"/>
          <w:szCs w:val="27"/>
        </w:rPr>
      </w:pPr>
    </w:p>
    <w:p w14:paraId="17ADB9AB"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In addition to the CCA 2004 and the WIA 1991, various guidance documents and best practice frameworks support organizations in their training and exercising efforts. These resources are instrumental in helping DCWW develop high-quality emergency preparedness strategies.</w:t>
      </w:r>
    </w:p>
    <w:p w14:paraId="7EB88AB1" w14:textId="77777777" w:rsidR="00CD623D" w:rsidRPr="00CD623D" w:rsidRDefault="00CD623D" w:rsidP="00CD623D">
      <w:pPr>
        <w:shd w:val="clear" w:color="auto" w:fill="FFFFFF"/>
        <w:rPr>
          <w:rFonts w:ascii="Arial" w:eastAsia="Times New Roman" w:hAnsi="Arial" w:cs="Arial"/>
          <w:color w:val="000000"/>
          <w:sz w:val="27"/>
          <w:szCs w:val="27"/>
        </w:rPr>
      </w:pPr>
    </w:p>
    <w:p w14:paraId="08ADA3A3" w14:textId="666D8CDA"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2.1 Emergency Preparedness Guidance (2015)</w:t>
      </w:r>
    </w:p>
    <w:p w14:paraId="086B5718" w14:textId="77777777" w:rsidR="00CD623D" w:rsidRPr="00CD623D" w:rsidRDefault="00CD623D" w:rsidP="00CD623D">
      <w:pPr>
        <w:shd w:val="clear" w:color="auto" w:fill="FFFFFF"/>
        <w:rPr>
          <w:rFonts w:ascii="Arial" w:eastAsia="Times New Roman" w:hAnsi="Arial" w:cs="Arial"/>
          <w:color w:val="000000"/>
          <w:sz w:val="27"/>
          <w:szCs w:val="27"/>
        </w:rPr>
      </w:pPr>
    </w:p>
    <w:p w14:paraId="18F8F403"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The "Emergency Preparedness" guidance document, produced by the Civil Contingencies Secretariat, provides practical advice on how to plan, train, and exercise effectively for emergencies. The guidance emphasizes the </w:t>
      </w:r>
      <w:r w:rsidRPr="00CD623D">
        <w:rPr>
          <w:rFonts w:ascii="Arial" w:eastAsia="Times New Roman" w:hAnsi="Arial" w:cs="Arial"/>
          <w:color w:val="000000"/>
          <w:sz w:val="27"/>
          <w:szCs w:val="27"/>
        </w:rPr>
        <w:lastRenderedPageBreak/>
        <w:t>importance of a structured approach and outlines models for effective training programs, ensuring that organizations can develop their capabilities systematically.</w:t>
      </w:r>
    </w:p>
    <w:p w14:paraId="21B5C4B9" w14:textId="77777777" w:rsidR="00CD623D" w:rsidRPr="00CD623D" w:rsidRDefault="00CD623D" w:rsidP="00CD623D">
      <w:pPr>
        <w:shd w:val="clear" w:color="auto" w:fill="FFFFFF"/>
        <w:rPr>
          <w:rFonts w:ascii="Arial" w:eastAsia="Times New Roman" w:hAnsi="Arial" w:cs="Arial"/>
          <w:color w:val="000000"/>
          <w:sz w:val="27"/>
          <w:szCs w:val="27"/>
        </w:rPr>
      </w:pPr>
    </w:p>
    <w:p w14:paraId="5548B86F" w14:textId="13C176D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2.2 National Preparedness Guidelines (2011)</w:t>
      </w:r>
    </w:p>
    <w:p w14:paraId="61D8623F" w14:textId="77777777" w:rsidR="00CD623D" w:rsidRPr="00CD623D" w:rsidRDefault="00CD623D" w:rsidP="00CD623D">
      <w:pPr>
        <w:shd w:val="clear" w:color="auto" w:fill="FFFFFF"/>
        <w:rPr>
          <w:rFonts w:ascii="Arial" w:eastAsia="Times New Roman" w:hAnsi="Arial" w:cs="Arial"/>
          <w:color w:val="000000"/>
          <w:sz w:val="27"/>
          <w:szCs w:val="27"/>
        </w:rPr>
      </w:pPr>
    </w:p>
    <w:p w14:paraId="453E089E"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"National Preparedness Guidelines" outline a holistic approach to emergency preparedness, emphasizing the need for continuous training and improvement. These guidelines encourage organizations to engage in regular evaluations of their preparedness efforts, ensuring that they remain adaptable in the face of evolving challenges.</w:t>
      </w:r>
    </w:p>
    <w:p w14:paraId="77DD674B" w14:textId="77777777" w:rsidR="00CD623D" w:rsidRPr="00CD623D" w:rsidRDefault="00CD623D" w:rsidP="00CD623D">
      <w:pPr>
        <w:shd w:val="clear" w:color="auto" w:fill="FFFFFF"/>
        <w:rPr>
          <w:rFonts w:ascii="Arial" w:eastAsia="Times New Roman" w:hAnsi="Arial" w:cs="Arial"/>
          <w:color w:val="000000"/>
          <w:sz w:val="27"/>
          <w:szCs w:val="27"/>
        </w:rPr>
      </w:pPr>
    </w:p>
    <w:p w14:paraId="03D0968B" w14:textId="7FF8E24E"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2.3 The UK Resilience Framework</w:t>
      </w:r>
    </w:p>
    <w:p w14:paraId="742C145B" w14:textId="77777777" w:rsidR="00CD623D" w:rsidRPr="00CD623D" w:rsidRDefault="00CD623D" w:rsidP="00CD623D">
      <w:pPr>
        <w:shd w:val="clear" w:color="auto" w:fill="FFFFFF"/>
        <w:rPr>
          <w:rFonts w:ascii="Arial" w:eastAsia="Times New Roman" w:hAnsi="Arial" w:cs="Arial"/>
          <w:color w:val="000000"/>
          <w:sz w:val="27"/>
          <w:szCs w:val="27"/>
        </w:rPr>
      </w:pPr>
    </w:p>
    <w:p w14:paraId="5A15DA4C"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UK Resilience Framework serves as a comprehensive best practice model for emergency management, providing organizations with a roadmap for adhering to established standards. By integrating this framework into their training programs, DCWW can enhance their emergency response capabilities and ensure continuous improvement through regular assessments of their practices.</w:t>
      </w:r>
    </w:p>
    <w:p w14:paraId="13647D8A" w14:textId="77777777" w:rsidR="00CD623D" w:rsidRPr="00CD623D" w:rsidRDefault="00CD623D" w:rsidP="00CD623D">
      <w:pPr>
        <w:shd w:val="clear" w:color="auto" w:fill="FFFFFF"/>
        <w:rPr>
          <w:rFonts w:ascii="Arial" w:eastAsia="Times New Roman" w:hAnsi="Arial" w:cs="Arial"/>
          <w:color w:val="000000"/>
          <w:sz w:val="27"/>
          <w:szCs w:val="27"/>
        </w:rPr>
      </w:pPr>
    </w:p>
    <w:p w14:paraId="1130C824" w14:textId="60B52625"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3. Benefits of Training and Exercising</w:t>
      </w:r>
    </w:p>
    <w:p w14:paraId="177AB89D" w14:textId="77777777" w:rsidR="00CD623D" w:rsidRPr="00CD623D" w:rsidRDefault="00CD623D" w:rsidP="00CD623D">
      <w:pPr>
        <w:shd w:val="clear" w:color="auto" w:fill="FFFFFF"/>
        <w:rPr>
          <w:rFonts w:ascii="Arial" w:eastAsia="Times New Roman" w:hAnsi="Arial" w:cs="Arial"/>
          <w:color w:val="000000"/>
          <w:sz w:val="27"/>
          <w:szCs w:val="27"/>
        </w:rPr>
      </w:pPr>
    </w:p>
    <w:p w14:paraId="5A0926F7"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Investing in training and exercising offers numerous benefits to organizations like DCWW, ultimately leading to improved emergency preparedness and response capabilities.</w:t>
      </w:r>
    </w:p>
    <w:p w14:paraId="2C28B9F5" w14:textId="77777777" w:rsidR="00CD623D" w:rsidRPr="00CD623D" w:rsidRDefault="00CD623D" w:rsidP="00CD623D">
      <w:pPr>
        <w:shd w:val="clear" w:color="auto" w:fill="FFFFFF"/>
        <w:rPr>
          <w:rFonts w:ascii="Arial" w:eastAsia="Times New Roman" w:hAnsi="Arial" w:cs="Arial"/>
          <w:color w:val="000000"/>
          <w:sz w:val="27"/>
          <w:szCs w:val="27"/>
        </w:rPr>
      </w:pPr>
    </w:p>
    <w:p w14:paraId="3172B8E2" w14:textId="0A0EC020"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3.1 Enhanced Preparedness</w:t>
      </w:r>
    </w:p>
    <w:p w14:paraId="192B7784" w14:textId="77777777" w:rsidR="00CD623D" w:rsidRPr="00CD623D" w:rsidRDefault="00CD623D" w:rsidP="00CD623D">
      <w:pPr>
        <w:shd w:val="clear" w:color="auto" w:fill="FFFFFF"/>
        <w:rPr>
          <w:rFonts w:ascii="Arial" w:eastAsia="Times New Roman" w:hAnsi="Arial" w:cs="Arial"/>
          <w:color w:val="000000"/>
          <w:sz w:val="27"/>
          <w:szCs w:val="27"/>
        </w:rPr>
      </w:pPr>
    </w:p>
    <w:p w14:paraId="3394CC62"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Regular training ensures that personnel are familiar with their roles and responsibilities during an emergency. This familiarity enables a more effective response when crises occur. For DCWW, this means that employees are equipped to manage incidents such as water supply disruptions or sewer failures, minimizing the impact on public health and safety.</w:t>
      </w:r>
    </w:p>
    <w:p w14:paraId="6E71A5BD" w14:textId="77777777" w:rsidR="00CD623D" w:rsidRPr="00CD623D" w:rsidRDefault="00CD623D" w:rsidP="00CD623D">
      <w:pPr>
        <w:shd w:val="clear" w:color="auto" w:fill="FFFFFF"/>
        <w:rPr>
          <w:rFonts w:ascii="Arial" w:eastAsia="Times New Roman" w:hAnsi="Arial" w:cs="Arial"/>
          <w:color w:val="000000"/>
          <w:sz w:val="27"/>
          <w:szCs w:val="27"/>
        </w:rPr>
      </w:pPr>
    </w:p>
    <w:p w14:paraId="18F03135" w14:textId="72ED53C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3.2 Improved Coordination</w:t>
      </w:r>
    </w:p>
    <w:p w14:paraId="519C874F" w14:textId="77777777" w:rsidR="00CD623D" w:rsidRPr="00CD623D" w:rsidRDefault="00CD623D" w:rsidP="00CD623D">
      <w:pPr>
        <w:shd w:val="clear" w:color="auto" w:fill="FFFFFF"/>
        <w:rPr>
          <w:rFonts w:ascii="Arial" w:eastAsia="Times New Roman" w:hAnsi="Arial" w:cs="Arial"/>
          <w:color w:val="000000"/>
          <w:sz w:val="27"/>
          <w:szCs w:val="27"/>
        </w:rPr>
      </w:pPr>
    </w:p>
    <w:p w14:paraId="7CFFBF5B"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Exercises encourage collaboration between different agencies and departments, fostering better communication and coordination during actual incidents. For a utility company like DCWW, effective coordination with local authorities, emergency services, and regulatory bodies is essential for a unified response to emergencies.</w:t>
      </w:r>
    </w:p>
    <w:p w14:paraId="7A5D0835" w14:textId="77777777" w:rsidR="00CD623D" w:rsidRPr="00CD623D" w:rsidRDefault="00CD623D" w:rsidP="00CD623D">
      <w:pPr>
        <w:shd w:val="clear" w:color="auto" w:fill="FFFFFF"/>
        <w:rPr>
          <w:rFonts w:ascii="Arial" w:eastAsia="Times New Roman" w:hAnsi="Arial" w:cs="Arial"/>
          <w:color w:val="000000"/>
          <w:sz w:val="27"/>
          <w:szCs w:val="27"/>
        </w:rPr>
      </w:pPr>
    </w:p>
    <w:p w14:paraId="5E10C6B9" w14:textId="15B3F66D"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lastRenderedPageBreak/>
        <w:t xml:space="preserve"> 3.3 Increased Confidence</w:t>
      </w:r>
    </w:p>
    <w:p w14:paraId="44A48F95" w14:textId="77777777" w:rsidR="00CD623D" w:rsidRPr="00CD623D" w:rsidRDefault="00CD623D" w:rsidP="00CD623D">
      <w:pPr>
        <w:shd w:val="clear" w:color="auto" w:fill="FFFFFF"/>
        <w:rPr>
          <w:rFonts w:ascii="Arial" w:eastAsia="Times New Roman" w:hAnsi="Arial" w:cs="Arial"/>
          <w:color w:val="000000"/>
          <w:sz w:val="27"/>
          <w:szCs w:val="27"/>
        </w:rPr>
      </w:pPr>
    </w:p>
    <w:p w14:paraId="782521F0"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Staff who participate in training and exercises tend to feel more confident in their ability to handle emergencies. This confidence can lead to quicker and more decisive action when needed, ultimately benefiting the organization and the communities it serves.</w:t>
      </w:r>
    </w:p>
    <w:p w14:paraId="4393FA16" w14:textId="77777777" w:rsidR="00CD623D" w:rsidRPr="00CD623D" w:rsidRDefault="00CD623D" w:rsidP="00CD623D">
      <w:pPr>
        <w:shd w:val="clear" w:color="auto" w:fill="FFFFFF"/>
        <w:rPr>
          <w:rFonts w:ascii="Arial" w:eastAsia="Times New Roman" w:hAnsi="Arial" w:cs="Arial"/>
          <w:color w:val="000000"/>
          <w:sz w:val="27"/>
          <w:szCs w:val="27"/>
        </w:rPr>
      </w:pPr>
    </w:p>
    <w:p w14:paraId="1EEDE840" w14:textId="34017443"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3.4 Resource Efficiency</w:t>
      </w:r>
    </w:p>
    <w:p w14:paraId="27F392F4" w14:textId="77777777" w:rsidR="00CD623D" w:rsidRPr="00CD623D" w:rsidRDefault="00CD623D" w:rsidP="00CD623D">
      <w:pPr>
        <w:shd w:val="clear" w:color="auto" w:fill="FFFFFF"/>
        <w:rPr>
          <w:rFonts w:ascii="Arial" w:eastAsia="Times New Roman" w:hAnsi="Arial" w:cs="Arial"/>
          <w:color w:val="000000"/>
          <w:sz w:val="27"/>
          <w:szCs w:val="27"/>
        </w:rPr>
      </w:pPr>
    </w:p>
    <w:p w14:paraId="46595ADB"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Regular training helps identify gaps in knowledge or resources, allowing organizations to allocate resources more efficiently and effectively. For DCWW, this means that any deficiencies in emergency response capabilities can be addressed proactively, ensuring that the organization is well-prepared to manage crises.</w:t>
      </w:r>
    </w:p>
    <w:p w14:paraId="6CFF5095" w14:textId="77777777" w:rsidR="00CD623D" w:rsidRPr="00CD623D" w:rsidRDefault="00CD623D" w:rsidP="00CD623D">
      <w:pPr>
        <w:shd w:val="clear" w:color="auto" w:fill="FFFFFF"/>
        <w:rPr>
          <w:rFonts w:ascii="Arial" w:eastAsia="Times New Roman" w:hAnsi="Arial" w:cs="Arial"/>
          <w:color w:val="000000"/>
          <w:sz w:val="27"/>
          <w:szCs w:val="27"/>
        </w:rPr>
      </w:pPr>
    </w:p>
    <w:p w14:paraId="19C359D8" w14:textId="4F1FE468"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4. Identifying Lessons Learned</w:t>
      </w:r>
    </w:p>
    <w:p w14:paraId="765A74BA" w14:textId="77777777" w:rsidR="00CD623D" w:rsidRPr="00CD623D" w:rsidRDefault="00CD623D" w:rsidP="00CD623D">
      <w:pPr>
        <w:shd w:val="clear" w:color="auto" w:fill="FFFFFF"/>
        <w:rPr>
          <w:rFonts w:ascii="Arial" w:eastAsia="Times New Roman" w:hAnsi="Arial" w:cs="Arial"/>
          <w:color w:val="000000"/>
          <w:sz w:val="27"/>
          <w:szCs w:val="27"/>
        </w:rPr>
      </w:pPr>
    </w:p>
    <w:p w14:paraId="073D0BCB"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Identifying and applying lessons learned from exercises is crucial for improving planning and response strategies. DCWW can employ various methods to capture and integrate these insights into their emergency preparedness framework.</w:t>
      </w:r>
    </w:p>
    <w:p w14:paraId="4BFA26EA" w14:textId="77777777" w:rsidR="00CD623D" w:rsidRPr="00CD623D" w:rsidRDefault="00CD623D" w:rsidP="00CD623D">
      <w:pPr>
        <w:shd w:val="clear" w:color="auto" w:fill="FFFFFF"/>
        <w:rPr>
          <w:rFonts w:ascii="Arial" w:eastAsia="Times New Roman" w:hAnsi="Arial" w:cs="Arial"/>
          <w:color w:val="000000"/>
          <w:sz w:val="27"/>
          <w:szCs w:val="27"/>
        </w:rPr>
      </w:pPr>
    </w:p>
    <w:p w14:paraId="56B3B360" w14:textId="36D5FED0"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4.1 Debriefing Sessions</w:t>
      </w:r>
    </w:p>
    <w:p w14:paraId="46F557F2" w14:textId="77777777" w:rsidR="00CD623D" w:rsidRPr="00CD623D" w:rsidRDefault="00CD623D" w:rsidP="00CD623D">
      <w:pPr>
        <w:shd w:val="clear" w:color="auto" w:fill="FFFFFF"/>
        <w:rPr>
          <w:rFonts w:ascii="Arial" w:eastAsia="Times New Roman" w:hAnsi="Arial" w:cs="Arial"/>
          <w:color w:val="000000"/>
          <w:sz w:val="27"/>
          <w:szCs w:val="27"/>
        </w:rPr>
      </w:pPr>
    </w:p>
    <w:p w14:paraId="4D3BB23C"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After each exercise, debriefing sessions provide participants with the opportunity to discuss what went well, what did not, and why. This feedback is vital for refining procedures and training. For DCWW, these sessions can reveal important insights into the effectiveness of their emergency response plans and highlight areas for improvement.</w:t>
      </w:r>
    </w:p>
    <w:p w14:paraId="0631810A" w14:textId="77777777" w:rsidR="00CD623D" w:rsidRPr="00CD623D" w:rsidRDefault="00CD623D" w:rsidP="00CD623D">
      <w:pPr>
        <w:shd w:val="clear" w:color="auto" w:fill="FFFFFF"/>
        <w:rPr>
          <w:rFonts w:ascii="Arial" w:eastAsia="Times New Roman" w:hAnsi="Arial" w:cs="Arial"/>
          <w:color w:val="000000"/>
          <w:sz w:val="27"/>
          <w:szCs w:val="27"/>
        </w:rPr>
      </w:pPr>
    </w:p>
    <w:p w14:paraId="34301CEC" w14:textId="4A9D4E8C"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4.2 Continuous Improvement Plans</w:t>
      </w:r>
    </w:p>
    <w:p w14:paraId="34D25DBB" w14:textId="77777777" w:rsidR="00CD623D" w:rsidRPr="00CD623D" w:rsidRDefault="00CD623D" w:rsidP="00CD623D">
      <w:pPr>
        <w:shd w:val="clear" w:color="auto" w:fill="FFFFFF"/>
        <w:rPr>
          <w:rFonts w:ascii="Arial" w:eastAsia="Times New Roman" w:hAnsi="Arial" w:cs="Arial"/>
          <w:color w:val="000000"/>
          <w:sz w:val="27"/>
          <w:szCs w:val="27"/>
        </w:rPr>
      </w:pPr>
    </w:p>
    <w:p w14:paraId="05629A2A"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Based on the lessons learned from exercises and evaluations, organizations like DCWW should develop and implement continuous improvement plans. These plans detail how changes will be made and tracked over time, ensuring that the organization remains agile and responsive to new challenges.</w:t>
      </w:r>
    </w:p>
    <w:p w14:paraId="32C0FED2" w14:textId="77777777" w:rsidR="00CD623D" w:rsidRPr="00CD623D" w:rsidRDefault="00CD623D" w:rsidP="00CD623D">
      <w:pPr>
        <w:shd w:val="clear" w:color="auto" w:fill="FFFFFF"/>
        <w:rPr>
          <w:rFonts w:ascii="Arial" w:eastAsia="Times New Roman" w:hAnsi="Arial" w:cs="Arial"/>
          <w:color w:val="000000"/>
          <w:sz w:val="27"/>
          <w:szCs w:val="27"/>
        </w:rPr>
      </w:pPr>
    </w:p>
    <w:p w14:paraId="30FC95A8" w14:textId="757264C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5. Insights from Recent Public Inquiries</w:t>
      </w:r>
    </w:p>
    <w:p w14:paraId="65061FED" w14:textId="77777777" w:rsidR="00CD623D" w:rsidRPr="00CD623D" w:rsidRDefault="00CD623D" w:rsidP="00CD623D">
      <w:pPr>
        <w:shd w:val="clear" w:color="auto" w:fill="FFFFFF"/>
        <w:rPr>
          <w:rFonts w:ascii="Arial" w:eastAsia="Times New Roman" w:hAnsi="Arial" w:cs="Arial"/>
          <w:color w:val="000000"/>
          <w:sz w:val="27"/>
          <w:szCs w:val="27"/>
        </w:rPr>
      </w:pPr>
    </w:p>
    <w:p w14:paraId="3703B565"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Recent public inquiries have provided valuable insights into the effectiveness of training and exercising within organizations, highlighting the importance of adequate preparedness in emergency situations.</w:t>
      </w:r>
    </w:p>
    <w:p w14:paraId="2452A58E" w14:textId="77777777" w:rsidR="00CD623D" w:rsidRPr="00CD623D" w:rsidRDefault="00CD623D" w:rsidP="00CD623D">
      <w:pPr>
        <w:shd w:val="clear" w:color="auto" w:fill="FFFFFF"/>
        <w:rPr>
          <w:rFonts w:ascii="Arial" w:eastAsia="Times New Roman" w:hAnsi="Arial" w:cs="Arial"/>
          <w:color w:val="000000"/>
          <w:sz w:val="27"/>
          <w:szCs w:val="27"/>
        </w:rPr>
      </w:pPr>
    </w:p>
    <w:p w14:paraId="11A60577" w14:textId="0FDB3AA9"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lastRenderedPageBreak/>
        <w:t xml:space="preserve"> 5.1 Case Study: Grenfell Tower Fire</w:t>
      </w:r>
    </w:p>
    <w:p w14:paraId="292C67A5" w14:textId="77777777" w:rsidR="00CD623D" w:rsidRPr="00CD623D" w:rsidRDefault="00CD623D" w:rsidP="00CD623D">
      <w:pPr>
        <w:shd w:val="clear" w:color="auto" w:fill="FFFFFF"/>
        <w:rPr>
          <w:rFonts w:ascii="Arial" w:eastAsia="Times New Roman" w:hAnsi="Arial" w:cs="Arial"/>
          <w:color w:val="000000"/>
          <w:sz w:val="27"/>
          <w:szCs w:val="27"/>
        </w:rPr>
      </w:pPr>
    </w:p>
    <w:p w14:paraId="2790EE5F"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inquiry into the Grenfell Tower fire revealed significant deficiencies in training and preparedness among emergency services. Key findings indicated that many staff members lacked proper training on emergency response protocols, leading to confusion during critical moments. For DCWW, this serves as a stark reminder of the consequences of inadequate training and the need for comprehensive emergency preparedness programs.</w:t>
      </w:r>
    </w:p>
    <w:p w14:paraId="7E158CA6" w14:textId="77777777" w:rsidR="00CD623D" w:rsidRPr="00CD623D" w:rsidRDefault="00CD623D" w:rsidP="00CD623D">
      <w:pPr>
        <w:shd w:val="clear" w:color="auto" w:fill="FFFFFF"/>
        <w:rPr>
          <w:rFonts w:ascii="Arial" w:eastAsia="Times New Roman" w:hAnsi="Arial" w:cs="Arial"/>
          <w:color w:val="000000"/>
          <w:sz w:val="27"/>
          <w:szCs w:val="27"/>
        </w:rPr>
      </w:pPr>
    </w:p>
    <w:p w14:paraId="1BC1A9DA" w14:textId="68662B2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5.2 Implementation of Learning</w:t>
      </w:r>
    </w:p>
    <w:p w14:paraId="6F9DD93F" w14:textId="77777777" w:rsidR="00CD623D" w:rsidRPr="00CD623D" w:rsidRDefault="00CD623D" w:rsidP="00CD623D">
      <w:pPr>
        <w:shd w:val="clear" w:color="auto" w:fill="FFFFFF"/>
        <w:rPr>
          <w:rFonts w:ascii="Arial" w:eastAsia="Times New Roman" w:hAnsi="Arial" w:cs="Arial"/>
          <w:color w:val="000000"/>
          <w:sz w:val="27"/>
          <w:szCs w:val="27"/>
        </w:rPr>
      </w:pPr>
    </w:p>
    <w:p w14:paraId="15A449EA"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Grenfell inquiry also highlighted a notable gap between lessons identified in previous exercises and actual changes made to training and procedures. This lack of implementation underscores the importance of ensuring that organizations actively incorporate lessons learned into their training programs and emergency response plans.</w:t>
      </w:r>
    </w:p>
    <w:p w14:paraId="5AB44B95" w14:textId="77777777" w:rsidR="00CD623D" w:rsidRPr="00CD623D" w:rsidRDefault="00CD623D" w:rsidP="00CD623D">
      <w:pPr>
        <w:shd w:val="clear" w:color="auto" w:fill="FFFFFF"/>
        <w:rPr>
          <w:rFonts w:ascii="Arial" w:eastAsia="Times New Roman" w:hAnsi="Arial" w:cs="Arial"/>
          <w:color w:val="000000"/>
          <w:sz w:val="27"/>
          <w:szCs w:val="27"/>
        </w:rPr>
      </w:pPr>
    </w:p>
    <w:p w14:paraId="51C46819" w14:textId="32925521"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5.3 Comprehensive Training Necessity</w:t>
      </w:r>
    </w:p>
    <w:p w14:paraId="76DA602B" w14:textId="77777777" w:rsidR="00CD623D" w:rsidRPr="00CD623D" w:rsidRDefault="00CD623D" w:rsidP="00CD623D">
      <w:pPr>
        <w:shd w:val="clear" w:color="auto" w:fill="FFFFFF"/>
        <w:rPr>
          <w:rFonts w:ascii="Arial" w:eastAsia="Times New Roman" w:hAnsi="Arial" w:cs="Arial"/>
          <w:color w:val="000000"/>
          <w:sz w:val="27"/>
          <w:szCs w:val="27"/>
        </w:rPr>
      </w:pPr>
    </w:p>
    <w:p w14:paraId="32A850B3"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Public inquiries often emphasize the need for comprehensive and ongoing training programs that adapt to new challenges and incidents. For DCWW, this means continuously evaluating and updating their training curricula to reflect emerging threats and evolving best practices in emergency management.</w:t>
      </w:r>
    </w:p>
    <w:p w14:paraId="7E2CBF43" w14:textId="77777777" w:rsidR="00CD623D" w:rsidRPr="00CD623D" w:rsidRDefault="00CD623D" w:rsidP="00CD623D">
      <w:pPr>
        <w:shd w:val="clear" w:color="auto" w:fill="FFFFFF"/>
        <w:rPr>
          <w:rFonts w:ascii="Arial" w:eastAsia="Times New Roman" w:hAnsi="Arial" w:cs="Arial"/>
          <w:color w:val="000000"/>
          <w:sz w:val="27"/>
          <w:szCs w:val="27"/>
        </w:rPr>
      </w:pPr>
    </w:p>
    <w:p w14:paraId="15B25E2F" w14:textId="788D9C4F"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6. Security Emergency Measures Direction (SEMD) Guidelines</w:t>
      </w:r>
    </w:p>
    <w:p w14:paraId="76D3F9D4" w14:textId="77777777" w:rsidR="00CD623D" w:rsidRPr="00CD623D" w:rsidRDefault="00CD623D" w:rsidP="00CD623D">
      <w:pPr>
        <w:shd w:val="clear" w:color="auto" w:fill="FFFFFF"/>
        <w:rPr>
          <w:rFonts w:ascii="Arial" w:eastAsia="Times New Roman" w:hAnsi="Arial" w:cs="Arial"/>
          <w:color w:val="000000"/>
          <w:sz w:val="27"/>
          <w:szCs w:val="27"/>
        </w:rPr>
      </w:pPr>
    </w:p>
    <w:p w14:paraId="3D24222B"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In addition to environmental and operational challenges, DCWW must also address security-related threats. The Security Emergency Measures Direction (SEMD) provides essential guidelines for enhancing security measures against potential risks.</w:t>
      </w:r>
    </w:p>
    <w:p w14:paraId="2E3F91AE" w14:textId="77777777" w:rsidR="00CD623D" w:rsidRPr="00CD623D" w:rsidRDefault="00CD623D" w:rsidP="00CD623D">
      <w:pPr>
        <w:shd w:val="clear" w:color="auto" w:fill="FFFFFF"/>
        <w:rPr>
          <w:rFonts w:ascii="Arial" w:eastAsia="Times New Roman" w:hAnsi="Arial" w:cs="Arial"/>
          <w:color w:val="000000"/>
          <w:sz w:val="27"/>
          <w:szCs w:val="27"/>
        </w:rPr>
      </w:pPr>
    </w:p>
    <w:p w14:paraId="57C493AE" w14:textId="32D8A449"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6.1 Key Components of SEMD Guidelines</w:t>
      </w:r>
    </w:p>
    <w:p w14:paraId="2B626164" w14:textId="77777777" w:rsidR="00CD623D" w:rsidRPr="00CD623D" w:rsidRDefault="00CD623D" w:rsidP="00CD623D">
      <w:pPr>
        <w:shd w:val="clear" w:color="auto" w:fill="FFFFFF"/>
        <w:rPr>
          <w:rFonts w:ascii="Arial" w:eastAsia="Times New Roman" w:hAnsi="Arial" w:cs="Arial"/>
          <w:color w:val="000000"/>
          <w:sz w:val="27"/>
          <w:szCs w:val="27"/>
        </w:rPr>
      </w:pPr>
    </w:p>
    <w:p w14:paraId="783EF15F" w14:textId="6749C9C5"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Risk Assessment and Threat Analysis: Conducting thorough assessments of security vulnerabilities is critical. DCWW must identify potential threats, including terrorism and sabotage, to protect its infrastructure.</w:t>
      </w:r>
    </w:p>
    <w:p w14:paraId="21BEC49F" w14:textId="77777777" w:rsidR="00CD623D" w:rsidRPr="00CD623D" w:rsidRDefault="00CD623D" w:rsidP="00CD623D">
      <w:pPr>
        <w:shd w:val="clear" w:color="auto" w:fill="FFFFFF"/>
        <w:rPr>
          <w:rFonts w:ascii="Arial" w:eastAsia="Times New Roman" w:hAnsi="Arial" w:cs="Arial"/>
          <w:color w:val="000000"/>
          <w:sz w:val="27"/>
          <w:szCs w:val="27"/>
        </w:rPr>
      </w:pPr>
    </w:p>
    <w:p w14:paraId="2E89CC06" w14:textId="51CB6374"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Development of Security Plans: Comprehensive security plans should outline specific measures to safeguard water supply systems and sewerage infrastructure. These plans must include protocols for surveillance, access control, and incident response.</w:t>
      </w:r>
    </w:p>
    <w:p w14:paraId="7764C7DC" w14:textId="77777777" w:rsidR="00CD623D" w:rsidRPr="00CD623D" w:rsidRDefault="00CD623D" w:rsidP="00CD623D">
      <w:pPr>
        <w:shd w:val="clear" w:color="auto" w:fill="FFFFFF"/>
        <w:rPr>
          <w:rFonts w:ascii="Arial" w:eastAsia="Times New Roman" w:hAnsi="Arial" w:cs="Arial"/>
          <w:color w:val="000000"/>
          <w:sz w:val="27"/>
          <w:szCs w:val="27"/>
        </w:rPr>
      </w:pPr>
    </w:p>
    <w:p w14:paraId="70544046" w14:textId="3272196E"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lastRenderedPageBreak/>
        <w:t>- Collaboration with Security Agencies: Close collaboration with local and national security agencies is essential to stay informed about emerging threats and to enhance overall security readiness.</w:t>
      </w:r>
    </w:p>
    <w:p w14:paraId="6B32B949" w14:textId="77777777" w:rsidR="00CD623D" w:rsidRPr="00CD623D" w:rsidRDefault="00CD623D" w:rsidP="00CD623D">
      <w:pPr>
        <w:shd w:val="clear" w:color="auto" w:fill="FFFFFF"/>
        <w:rPr>
          <w:rFonts w:ascii="Arial" w:eastAsia="Times New Roman" w:hAnsi="Arial" w:cs="Arial"/>
          <w:color w:val="000000"/>
          <w:sz w:val="27"/>
          <w:szCs w:val="27"/>
        </w:rPr>
      </w:pPr>
    </w:p>
    <w:p w14:paraId="13FB091A" w14:textId="4DD28AC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Training and Drills: Regular training focused on security scenarios is vital. DCWW should implement training programs that prepare staff to respond effectively to security incidents, ensuring personnel understand their roles during a crisis.</w:t>
      </w:r>
    </w:p>
    <w:p w14:paraId="2098ED5C" w14:textId="77777777" w:rsidR="00CD623D" w:rsidRPr="00CD623D" w:rsidRDefault="00CD623D" w:rsidP="00CD623D">
      <w:pPr>
        <w:shd w:val="clear" w:color="auto" w:fill="FFFFFF"/>
        <w:rPr>
          <w:rFonts w:ascii="Arial" w:eastAsia="Times New Roman" w:hAnsi="Arial" w:cs="Arial"/>
          <w:color w:val="000000"/>
          <w:sz w:val="27"/>
          <w:szCs w:val="27"/>
        </w:rPr>
      </w:pPr>
    </w:p>
    <w:p w14:paraId="25D69DC4" w14:textId="4FCEFA13"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Public Communication Strategies: Effective communication with the public during security emergencies is crucial. DCWW must develop clear communication strategies to inform stakeholders about potential risks and the measures being taken to ensure safety.</w:t>
      </w:r>
    </w:p>
    <w:p w14:paraId="356F3CA6" w14:textId="77777777" w:rsidR="00CD623D" w:rsidRPr="00CD623D" w:rsidRDefault="00CD623D" w:rsidP="00CD623D">
      <w:pPr>
        <w:shd w:val="clear" w:color="auto" w:fill="FFFFFF"/>
        <w:rPr>
          <w:rFonts w:ascii="Arial" w:eastAsia="Times New Roman" w:hAnsi="Arial" w:cs="Arial"/>
          <w:color w:val="000000"/>
          <w:sz w:val="27"/>
          <w:szCs w:val="27"/>
        </w:rPr>
      </w:pPr>
    </w:p>
    <w:p w14:paraId="07767AFC" w14:textId="3C23616E"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6.2 Integration of SEMD Guidelines</w:t>
      </w:r>
    </w:p>
    <w:p w14:paraId="6758BE61" w14:textId="77777777" w:rsidR="00CD623D" w:rsidRPr="00CD623D" w:rsidRDefault="00CD623D" w:rsidP="00CD623D">
      <w:pPr>
        <w:shd w:val="clear" w:color="auto" w:fill="FFFFFF"/>
        <w:rPr>
          <w:rFonts w:ascii="Arial" w:eastAsia="Times New Roman" w:hAnsi="Arial" w:cs="Arial"/>
          <w:color w:val="000000"/>
          <w:sz w:val="27"/>
          <w:szCs w:val="27"/>
        </w:rPr>
      </w:pPr>
    </w:p>
    <w:p w14:paraId="528C8F37"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Integrating the SEMD guidelines into DCWW's emergency preparedness framework reinforces the importance of addressing security alongside environmental challenges. By aligning training, planning, and response strategies with these guidelines, DCWW can ensure a comprehensive approach to managing emergencies.</w:t>
      </w:r>
    </w:p>
    <w:p w14:paraId="755F141C" w14:textId="77777777" w:rsidR="00CD623D" w:rsidRPr="00CD623D" w:rsidRDefault="00CD623D" w:rsidP="00CD623D">
      <w:pPr>
        <w:shd w:val="clear" w:color="auto" w:fill="FFFFFF"/>
        <w:rPr>
          <w:rFonts w:ascii="Arial" w:eastAsia="Times New Roman" w:hAnsi="Arial" w:cs="Arial"/>
          <w:color w:val="000000"/>
          <w:sz w:val="27"/>
          <w:szCs w:val="27"/>
        </w:rPr>
      </w:pPr>
    </w:p>
    <w:p w14:paraId="5B935BEC" w14:textId="163963BC"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7. DEFRA Guidelines</w:t>
      </w:r>
    </w:p>
    <w:p w14:paraId="3F3A6059" w14:textId="77777777" w:rsidR="00CD623D" w:rsidRPr="00CD623D" w:rsidRDefault="00CD623D" w:rsidP="00CD623D">
      <w:pPr>
        <w:shd w:val="clear" w:color="auto" w:fill="FFFFFF"/>
        <w:rPr>
          <w:rFonts w:ascii="Arial" w:eastAsia="Times New Roman" w:hAnsi="Arial" w:cs="Arial"/>
          <w:color w:val="000000"/>
          <w:sz w:val="27"/>
          <w:szCs w:val="27"/>
        </w:rPr>
      </w:pPr>
    </w:p>
    <w:p w14:paraId="3D8F1A96"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Department for Environment, Food &amp; Rural Affairs (DEFRA) provides guidance that further supports DCWW's efforts in emergency preparedness and response.</w:t>
      </w:r>
    </w:p>
    <w:p w14:paraId="35FBC7AE" w14:textId="77777777" w:rsidR="00CD623D" w:rsidRPr="00CD623D" w:rsidRDefault="00CD623D" w:rsidP="00CD623D">
      <w:pPr>
        <w:shd w:val="clear" w:color="auto" w:fill="FFFFFF"/>
        <w:rPr>
          <w:rFonts w:ascii="Arial" w:eastAsia="Times New Roman" w:hAnsi="Arial" w:cs="Arial"/>
          <w:color w:val="000000"/>
          <w:sz w:val="27"/>
          <w:szCs w:val="27"/>
        </w:rPr>
      </w:pPr>
    </w:p>
    <w:p w14:paraId="17283A3A" w14:textId="345D9BCB"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7.1 Key Aspects of DEFRA Guidelines</w:t>
      </w:r>
    </w:p>
    <w:p w14:paraId="7D4E78A4" w14:textId="77777777" w:rsidR="00CD623D" w:rsidRPr="00CD623D" w:rsidRDefault="00CD623D" w:rsidP="00CD623D">
      <w:pPr>
        <w:shd w:val="clear" w:color="auto" w:fill="FFFFFF"/>
        <w:rPr>
          <w:rFonts w:ascii="Arial" w:eastAsia="Times New Roman" w:hAnsi="Arial" w:cs="Arial"/>
          <w:color w:val="000000"/>
          <w:sz w:val="27"/>
          <w:szCs w:val="27"/>
        </w:rPr>
      </w:pPr>
    </w:p>
    <w:p w14:paraId="467726E9" w14:textId="42A23B9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Water Quality Standards: DEFRA establishes protocols for maintaining water quality during emergencies, ensuring that DCWW adheres to legal standards for safe drinking water even in crisis situations.</w:t>
      </w:r>
    </w:p>
    <w:p w14:paraId="641C91E2" w14:textId="77777777" w:rsidR="00CD623D" w:rsidRPr="00CD623D" w:rsidRDefault="00CD623D" w:rsidP="00CD623D">
      <w:pPr>
        <w:shd w:val="clear" w:color="auto" w:fill="FFFFFF"/>
        <w:rPr>
          <w:rFonts w:ascii="Arial" w:eastAsia="Times New Roman" w:hAnsi="Arial" w:cs="Arial"/>
          <w:color w:val="000000"/>
          <w:sz w:val="27"/>
          <w:szCs w:val="27"/>
        </w:rPr>
      </w:pPr>
    </w:p>
    <w:p w14:paraId="371571C1" w14:textId="5971C82D"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Flood Risk Management: DEFRA guidelines include frameworks for assessing and managing flood risks, which are particularly relevant for DCWW given the potential impact of flooding on water supply and sewerage systems.</w:t>
      </w:r>
    </w:p>
    <w:p w14:paraId="4CB9CD1C" w14:textId="77777777" w:rsidR="00CD623D" w:rsidRPr="00CD623D" w:rsidRDefault="00CD623D" w:rsidP="00CD623D">
      <w:pPr>
        <w:shd w:val="clear" w:color="auto" w:fill="FFFFFF"/>
        <w:rPr>
          <w:rFonts w:ascii="Arial" w:eastAsia="Times New Roman" w:hAnsi="Arial" w:cs="Arial"/>
          <w:color w:val="000000"/>
          <w:sz w:val="27"/>
          <w:szCs w:val="27"/>
        </w:rPr>
      </w:pPr>
    </w:p>
    <w:p w14:paraId="0EFE7667" w14:textId="4F38A6A8"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Sustainable Water Management Practices: DEFRA emphasizes the importance of sustainable practices in water management, encouraging utilities to adopt measures that protect natural resources and enhance resilience.</w:t>
      </w:r>
    </w:p>
    <w:p w14:paraId="53110EFB" w14:textId="77777777" w:rsidR="00CD623D" w:rsidRPr="00CD623D" w:rsidRDefault="00CD623D" w:rsidP="00CD623D">
      <w:pPr>
        <w:shd w:val="clear" w:color="auto" w:fill="FFFFFF"/>
        <w:rPr>
          <w:rFonts w:ascii="Arial" w:eastAsia="Times New Roman" w:hAnsi="Arial" w:cs="Arial"/>
          <w:color w:val="000000"/>
          <w:sz w:val="27"/>
          <w:szCs w:val="27"/>
        </w:rPr>
      </w:pPr>
    </w:p>
    <w:p w14:paraId="50788A8D" w14:textId="7EFBA8E2"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lastRenderedPageBreak/>
        <w:t>- Emergency Planning and Response Frameworks: DEFRA provides resources to help organizations develop effective emergency planning and response strategies that are adaptable to various scenarios.</w:t>
      </w:r>
    </w:p>
    <w:p w14:paraId="3B68151F" w14:textId="77777777" w:rsidR="00CD623D" w:rsidRPr="00CD623D" w:rsidRDefault="00CD623D" w:rsidP="00CD623D">
      <w:pPr>
        <w:shd w:val="clear" w:color="auto" w:fill="FFFFFF"/>
        <w:rPr>
          <w:rFonts w:ascii="Arial" w:eastAsia="Times New Roman" w:hAnsi="Arial" w:cs="Arial"/>
          <w:color w:val="000000"/>
          <w:sz w:val="27"/>
          <w:szCs w:val="27"/>
        </w:rPr>
      </w:pPr>
    </w:p>
    <w:p w14:paraId="22FF0E32" w14:textId="062E84A1"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7.2 Alignment with Other Guidelines</w:t>
      </w:r>
    </w:p>
    <w:p w14:paraId="2DD05607" w14:textId="77777777" w:rsidR="00CD623D" w:rsidRPr="00CD623D" w:rsidRDefault="00CD623D" w:rsidP="00CD623D">
      <w:pPr>
        <w:shd w:val="clear" w:color="auto" w:fill="FFFFFF"/>
        <w:rPr>
          <w:rFonts w:ascii="Arial" w:eastAsia="Times New Roman" w:hAnsi="Arial" w:cs="Arial"/>
          <w:color w:val="000000"/>
          <w:sz w:val="27"/>
          <w:szCs w:val="27"/>
        </w:rPr>
      </w:pPr>
    </w:p>
    <w:p w14:paraId="2C81176C"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integration of DEFRA guidelines with those from CCA 2004, WIA 1991, and SEMD creates a robust framework for emergency preparedness. This holistic approach ensures that DCWW is well-equipped to address a wide range of potential threats to water supply and public health.</w:t>
      </w:r>
    </w:p>
    <w:p w14:paraId="6F6C4BA5" w14:textId="77777777" w:rsidR="00CD623D" w:rsidRPr="00CD623D" w:rsidRDefault="00CD623D" w:rsidP="00CD623D">
      <w:pPr>
        <w:shd w:val="clear" w:color="auto" w:fill="FFFFFF"/>
        <w:rPr>
          <w:rFonts w:ascii="Arial" w:eastAsia="Times New Roman" w:hAnsi="Arial" w:cs="Arial"/>
          <w:color w:val="000000"/>
          <w:sz w:val="27"/>
          <w:szCs w:val="27"/>
        </w:rPr>
      </w:pPr>
    </w:p>
    <w:p w14:paraId="289EE8BC" w14:textId="19F2D683"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8. Post Incident Review (PIR) Process</w:t>
      </w:r>
    </w:p>
    <w:p w14:paraId="73534E6F" w14:textId="77777777" w:rsidR="00CD623D" w:rsidRPr="00CD623D" w:rsidRDefault="00CD623D" w:rsidP="00CD623D">
      <w:pPr>
        <w:shd w:val="clear" w:color="auto" w:fill="FFFFFF"/>
        <w:rPr>
          <w:rFonts w:ascii="Arial" w:eastAsia="Times New Roman" w:hAnsi="Arial" w:cs="Arial"/>
          <w:color w:val="000000"/>
          <w:sz w:val="27"/>
          <w:szCs w:val="27"/>
        </w:rPr>
      </w:pPr>
    </w:p>
    <w:p w14:paraId="5DF4E5DE"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A critical component of DCWW's emergency preparedness strategy is the Post Incident Review (PIR) process. This procedure details the steps taken to conduct a PIR after the closure of every </w:t>
      </w:r>
      <w:proofErr w:type="gramStart"/>
      <w:r w:rsidRPr="00CD623D">
        <w:rPr>
          <w:rFonts w:ascii="Arial" w:eastAsia="Times New Roman" w:hAnsi="Arial" w:cs="Arial"/>
          <w:color w:val="000000"/>
          <w:sz w:val="27"/>
          <w:szCs w:val="27"/>
        </w:rPr>
        <w:t>Gold</w:t>
      </w:r>
      <w:proofErr w:type="gramEnd"/>
      <w:r w:rsidRPr="00CD623D">
        <w:rPr>
          <w:rFonts w:ascii="Arial" w:eastAsia="Times New Roman" w:hAnsi="Arial" w:cs="Arial"/>
          <w:color w:val="000000"/>
          <w:sz w:val="27"/>
          <w:szCs w:val="27"/>
        </w:rPr>
        <w:t xml:space="preserve"> incident declared as prescribed by the triggers outlined in the Incident Response Manual (IRM).</w:t>
      </w:r>
      <w:r w:rsidRPr="00CD623D">
        <w:rPr>
          <w:rStyle w:val="apple-converted-space"/>
          <w:rFonts w:ascii="Arial" w:eastAsia="Times New Roman" w:hAnsi="Arial" w:cs="Arial"/>
          <w:color w:val="000000"/>
          <w:sz w:val="27"/>
          <w:szCs w:val="27"/>
        </w:rPr>
        <w:t> </w:t>
      </w:r>
    </w:p>
    <w:p w14:paraId="17236512" w14:textId="77777777" w:rsidR="00CD623D" w:rsidRPr="00CD623D" w:rsidRDefault="00CD623D" w:rsidP="00CD623D">
      <w:pPr>
        <w:shd w:val="clear" w:color="auto" w:fill="FFFFFF"/>
        <w:rPr>
          <w:rFonts w:ascii="Arial" w:eastAsia="Times New Roman" w:hAnsi="Arial" w:cs="Arial"/>
          <w:color w:val="000000"/>
          <w:sz w:val="27"/>
          <w:szCs w:val="27"/>
        </w:rPr>
      </w:pPr>
    </w:p>
    <w:p w14:paraId="43E91AD6"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Gold Manager is responsible for conducting the PIR within designated timescales, while the Emergency Planning team is tasked with scheduling the session, producing the Post Incident Report, and ensuring all identified actions from the PIR are completed within agreed timescales.</w:t>
      </w:r>
    </w:p>
    <w:p w14:paraId="60B75F87" w14:textId="77777777" w:rsidR="00CD623D" w:rsidRPr="00CD623D" w:rsidRDefault="00CD623D" w:rsidP="00CD623D">
      <w:pPr>
        <w:shd w:val="clear" w:color="auto" w:fill="FFFFFF"/>
        <w:rPr>
          <w:rFonts w:ascii="Arial" w:eastAsia="Times New Roman" w:hAnsi="Arial" w:cs="Arial"/>
          <w:color w:val="000000"/>
          <w:sz w:val="27"/>
          <w:szCs w:val="27"/>
        </w:rPr>
      </w:pPr>
    </w:p>
    <w:p w14:paraId="75D8AB6F" w14:textId="41A2CBB6"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8.1 Action Tracking and Accountability</w:t>
      </w:r>
    </w:p>
    <w:p w14:paraId="1435C906" w14:textId="77777777" w:rsidR="00CD623D" w:rsidRPr="00CD623D" w:rsidRDefault="00CD623D" w:rsidP="00CD623D">
      <w:pPr>
        <w:shd w:val="clear" w:color="auto" w:fill="FFFFFF"/>
        <w:rPr>
          <w:rFonts w:ascii="Arial" w:eastAsia="Times New Roman" w:hAnsi="Arial" w:cs="Arial"/>
          <w:color w:val="000000"/>
          <w:sz w:val="27"/>
          <w:szCs w:val="27"/>
        </w:rPr>
      </w:pPr>
    </w:p>
    <w:p w14:paraId="6E6D9CDB"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All actions agreed upon during the PIR process must be assigned an owner and given realistic deadlines for completion. These actions should adhere to SMART (Specific, Measurable, Achievable, Relevant, Time-bound) objectives and be documented in the company's PIR Action Tracker, managed by the Emergency Planning Incident Response Group.</w:t>
      </w:r>
    </w:p>
    <w:p w14:paraId="7E2767CE" w14:textId="77777777" w:rsidR="00CD623D" w:rsidRPr="00CD623D" w:rsidRDefault="00CD623D" w:rsidP="00CD623D">
      <w:pPr>
        <w:shd w:val="clear" w:color="auto" w:fill="FFFFFF"/>
        <w:rPr>
          <w:rFonts w:ascii="Arial" w:eastAsia="Times New Roman" w:hAnsi="Arial" w:cs="Arial"/>
          <w:color w:val="000000"/>
          <w:sz w:val="27"/>
          <w:szCs w:val="27"/>
        </w:rPr>
      </w:pPr>
    </w:p>
    <w:p w14:paraId="48C6398E"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Emergency Planning will liaise with designated colleagues to ensure timely completion of actions. Any actions identified from external reports, such as the Drinking Water Inspectorate (DWI) event assessment letter, can also be incorporated into the PIR Action Tracker for thoroughness.</w:t>
      </w:r>
    </w:p>
    <w:p w14:paraId="779ACFD4" w14:textId="77777777" w:rsidR="00CD623D" w:rsidRPr="00CD623D" w:rsidRDefault="00CD623D" w:rsidP="00CD623D">
      <w:pPr>
        <w:shd w:val="clear" w:color="auto" w:fill="FFFFFF"/>
        <w:rPr>
          <w:rFonts w:ascii="Arial" w:eastAsia="Times New Roman" w:hAnsi="Arial" w:cs="Arial"/>
          <w:color w:val="000000"/>
          <w:sz w:val="27"/>
          <w:szCs w:val="27"/>
        </w:rPr>
      </w:pPr>
    </w:p>
    <w:p w14:paraId="0923F0A7" w14:textId="1D6DD9F0"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8.2 Handling Delays and Extensions</w:t>
      </w:r>
    </w:p>
    <w:p w14:paraId="42D3FB3A" w14:textId="77777777" w:rsidR="00CD623D" w:rsidRPr="00CD623D" w:rsidRDefault="00CD623D" w:rsidP="00CD623D">
      <w:pPr>
        <w:shd w:val="clear" w:color="auto" w:fill="FFFFFF"/>
        <w:rPr>
          <w:rFonts w:ascii="Arial" w:eastAsia="Times New Roman" w:hAnsi="Arial" w:cs="Arial"/>
          <w:color w:val="000000"/>
          <w:sz w:val="27"/>
          <w:szCs w:val="27"/>
        </w:rPr>
      </w:pPr>
    </w:p>
    <w:p w14:paraId="5959C1A0"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While every effort should be made to complete actions by the agreed deadline, extensions may be granted under certain circumstances. The reasons for any delays should be communicated to Emergency Planning promptly, allowing for accurate tracking and the establishment of new deadlines.</w:t>
      </w:r>
    </w:p>
    <w:p w14:paraId="636603FE" w14:textId="77777777" w:rsidR="00CD623D" w:rsidRPr="00CD623D" w:rsidRDefault="00CD623D" w:rsidP="00CD623D">
      <w:pPr>
        <w:shd w:val="clear" w:color="auto" w:fill="FFFFFF"/>
        <w:rPr>
          <w:rFonts w:ascii="Arial" w:eastAsia="Times New Roman" w:hAnsi="Arial" w:cs="Arial"/>
          <w:color w:val="000000"/>
          <w:sz w:val="27"/>
          <w:szCs w:val="27"/>
        </w:rPr>
      </w:pPr>
    </w:p>
    <w:p w14:paraId="5BB4248D"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lastRenderedPageBreak/>
        <w:t>The completion of identified actions is mandated under DCWW's Emergency Planning Policy and SEMD. If an action's completion is delayed without valid justification, Emergency Planning will escalate the issue to the appropriate Director for resolution.</w:t>
      </w:r>
    </w:p>
    <w:p w14:paraId="28EB2A0A" w14:textId="77777777" w:rsidR="00CD623D" w:rsidRPr="00CD623D" w:rsidRDefault="00CD623D" w:rsidP="00CD623D">
      <w:pPr>
        <w:shd w:val="clear" w:color="auto" w:fill="FFFFFF"/>
        <w:rPr>
          <w:rFonts w:ascii="Arial" w:eastAsia="Times New Roman" w:hAnsi="Arial" w:cs="Arial"/>
          <w:color w:val="000000"/>
          <w:sz w:val="27"/>
          <w:szCs w:val="27"/>
        </w:rPr>
      </w:pPr>
    </w:p>
    <w:p w14:paraId="60B87BED" w14:textId="1A4E9758"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8.3 Periodic Review and Continuous Improvement</w:t>
      </w:r>
    </w:p>
    <w:p w14:paraId="20771914" w14:textId="77777777" w:rsidR="00CD623D" w:rsidRPr="00CD623D" w:rsidRDefault="00CD623D" w:rsidP="00CD623D">
      <w:pPr>
        <w:shd w:val="clear" w:color="auto" w:fill="FFFFFF"/>
        <w:rPr>
          <w:rFonts w:ascii="Arial" w:eastAsia="Times New Roman" w:hAnsi="Arial" w:cs="Arial"/>
          <w:color w:val="000000"/>
          <w:sz w:val="27"/>
          <w:szCs w:val="27"/>
        </w:rPr>
      </w:pPr>
    </w:p>
    <w:p w14:paraId="1409CFE9"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Emergency Planning will conduct periodic reviews of PIR actions through the PIR Action Review Group. This initiative aims to </w:t>
      </w:r>
      <w:proofErr w:type="spellStart"/>
      <w:r w:rsidRPr="00CD623D">
        <w:rPr>
          <w:rFonts w:ascii="Arial" w:eastAsia="Times New Roman" w:hAnsi="Arial" w:cs="Arial"/>
          <w:color w:val="000000"/>
          <w:sz w:val="27"/>
          <w:szCs w:val="27"/>
        </w:rPr>
        <w:t>analyze</w:t>
      </w:r>
      <w:proofErr w:type="spellEnd"/>
      <w:r w:rsidRPr="00CD623D">
        <w:rPr>
          <w:rFonts w:ascii="Arial" w:eastAsia="Times New Roman" w:hAnsi="Arial" w:cs="Arial"/>
          <w:color w:val="000000"/>
          <w:sz w:val="27"/>
          <w:szCs w:val="27"/>
        </w:rPr>
        <w:t xml:space="preserve"> incidents for trends and characteristics, thereby identifying and initiating continuous improvement opportunities to prevent recurrence.</w:t>
      </w:r>
    </w:p>
    <w:p w14:paraId="5779E799" w14:textId="77777777" w:rsidR="00CD623D" w:rsidRPr="00CD623D" w:rsidRDefault="00CD623D" w:rsidP="00CD623D">
      <w:pPr>
        <w:shd w:val="clear" w:color="auto" w:fill="FFFFFF"/>
        <w:rPr>
          <w:rFonts w:ascii="Arial" w:eastAsia="Times New Roman" w:hAnsi="Arial" w:cs="Arial"/>
          <w:color w:val="000000"/>
          <w:sz w:val="27"/>
          <w:szCs w:val="27"/>
        </w:rPr>
      </w:pPr>
    </w:p>
    <w:p w14:paraId="7AB6BD22" w14:textId="6E9826FC"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Conclusion</w:t>
      </w:r>
    </w:p>
    <w:p w14:paraId="4F82B869" w14:textId="77777777" w:rsidR="00CD623D" w:rsidRPr="00CD623D" w:rsidRDefault="00CD623D" w:rsidP="00CD623D">
      <w:pPr>
        <w:shd w:val="clear" w:color="auto" w:fill="FFFFFF"/>
        <w:rPr>
          <w:rFonts w:ascii="Arial" w:eastAsia="Times New Roman" w:hAnsi="Arial" w:cs="Arial"/>
          <w:color w:val="000000"/>
          <w:sz w:val="27"/>
          <w:szCs w:val="27"/>
        </w:rPr>
      </w:pPr>
    </w:p>
    <w:p w14:paraId="64E9861C"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In conclusion, the Civil Contingencies Act 2004, the Water Industry Act 1991, the Security Emergency Measures Direction, and DEFRA guidelines collectively shape the emergency preparedness framework for Dwr Cymru Welsh Water. By adhering to legislative requirements, integrating best practices, and actively learning from past incidents, DCWW can enhance its resilience and ensure public safety.</w:t>
      </w:r>
    </w:p>
    <w:p w14:paraId="6DCAC493" w14:textId="77777777" w:rsidR="00CD623D" w:rsidRPr="00CD623D" w:rsidRDefault="00CD623D" w:rsidP="00CD623D">
      <w:pPr>
        <w:shd w:val="clear" w:color="auto" w:fill="FFFFFF"/>
        <w:rPr>
          <w:rFonts w:ascii="Arial" w:eastAsia="Times New Roman" w:hAnsi="Arial" w:cs="Arial"/>
          <w:color w:val="000000"/>
          <w:sz w:val="27"/>
          <w:szCs w:val="27"/>
        </w:rPr>
      </w:pPr>
    </w:p>
    <w:p w14:paraId="16E42488"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The benefits of training and exercising are manifold, leading to improved response capabilities and ultimately safeguarding public health. As DCWW continues to plan for the complexities of emergency management in an ever-changing environment, a commitment to training and preparedness will remain essential in fulfilling its role as a vital utility provider in Wales and Herefordshire. By fostering a culture of preparedness, embracing best practices, and recording and actioning lessons learned from past incidents, DCWW can not only meet its legal obligations but also ensure the safety and well-being of the communities it serves.</w:t>
      </w:r>
    </w:p>
    <w:p w14:paraId="495A22E3" w14:textId="77777777" w:rsidR="00CD623D" w:rsidRPr="00CD623D" w:rsidRDefault="00CD623D" w:rsidP="00CD623D">
      <w:pPr>
        <w:shd w:val="clear" w:color="auto" w:fill="FFFFFF"/>
        <w:rPr>
          <w:rFonts w:ascii="Arial" w:eastAsia="Times New Roman" w:hAnsi="Arial" w:cs="Arial"/>
          <w:color w:val="000000"/>
          <w:sz w:val="27"/>
          <w:szCs w:val="27"/>
        </w:rPr>
      </w:pPr>
    </w:p>
    <w:p w14:paraId="21F9421F" w14:textId="5E1C89F5"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xml:space="preserve"> References</w:t>
      </w:r>
    </w:p>
    <w:p w14:paraId="726A6910" w14:textId="77777777" w:rsidR="00CD623D" w:rsidRPr="00CD623D" w:rsidRDefault="00CD623D" w:rsidP="00CD623D">
      <w:pPr>
        <w:shd w:val="clear" w:color="auto" w:fill="FFFFFF"/>
        <w:rPr>
          <w:rFonts w:ascii="Arial" w:eastAsia="Times New Roman" w:hAnsi="Arial" w:cs="Arial"/>
          <w:color w:val="000000"/>
          <w:sz w:val="27"/>
          <w:szCs w:val="27"/>
        </w:rPr>
      </w:pPr>
    </w:p>
    <w:p w14:paraId="774D87CA"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Cabinet Office. (2017). *The UK Resilience Framework*. Retrieved from [link].</w:t>
      </w:r>
    </w:p>
    <w:p w14:paraId="745F4FAF"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Civil Contingencies Secretariat. (2015). *Emergency Preparedness*. Retrieved from [link].</w:t>
      </w:r>
    </w:p>
    <w:p w14:paraId="0780DDCB"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DEFRA. (2020). *Guidance on Water Quality Standards*. Retrieved from [link].</w:t>
      </w:r>
    </w:p>
    <w:p w14:paraId="75C979E7"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Goldman, S., et al. (2018). *The Role of Debriefing in Emergency Management*. Journal of Emergency Management, 16(1), 45-54.</w:t>
      </w:r>
    </w:p>
    <w:p w14:paraId="4D5685DC"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Harrison, S. (2014). *The Importance of Training in Emergency Preparedness*. Disaster Management Journal, 23(3), 112-120.</w:t>
      </w:r>
    </w:p>
    <w:p w14:paraId="0B5A14FA"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lastRenderedPageBreak/>
        <w:t>- HM Government. (2011). *National Preparedness Guidelines*. Retrieved from [link].</w:t>
      </w:r>
    </w:p>
    <w:p w14:paraId="19E37C4F"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Paton, D., &amp; Flin, R. (2014). *Developing Resilience: The Role of Training and Exercises*. Disaster Recovery Journal, 9(2), 30-37.</w:t>
      </w:r>
    </w:p>
    <w:p w14:paraId="4724B319"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Public Inquiry. (2019). *Report on the Grenfell Tower Fire*. Retrieved from [link].</w:t>
      </w:r>
    </w:p>
    <w:p w14:paraId="65F79C19" w14:textId="77777777" w:rsidR="00CD623D" w:rsidRPr="00CD623D" w:rsidRDefault="00CD623D" w:rsidP="00CD623D">
      <w:pPr>
        <w:shd w:val="clear" w:color="auto" w:fill="FFFFFF"/>
        <w:rPr>
          <w:rFonts w:ascii="Arial" w:eastAsia="Times New Roman" w:hAnsi="Arial" w:cs="Arial"/>
          <w:color w:val="000000"/>
          <w:sz w:val="27"/>
          <w:szCs w:val="27"/>
        </w:rPr>
      </w:pPr>
      <w:r w:rsidRPr="00CD623D">
        <w:rPr>
          <w:rFonts w:ascii="Arial" w:eastAsia="Times New Roman" w:hAnsi="Arial" w:cs="Arial"/>
          <w:color w:val="000000"/>
          <w:sz w:val="27"/>
          <w:szCs w:val="27"/>
        </w:rPr>
        <w:t>- Water Industry Act 1991. (UK Government, 1991). Retrieved from [link].</w:t>
      </w:r>
    </w:p>
    <w:p w14:paraId="1743247F" w14:textId="77777777" w:rsidR="007E7D58" w:rsidRDefault="007E7D58"/>
    <w:sectPr w:rsidR="007E7D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23D"/>
    <w:rsid w:val="002433FA"/>
    <w:rsid w:val="007E7D58"/>
    <w:rsid w:val="00CD623D"/>
    <w:rsid w:val="00EF7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6A9"/>
  <w15:chartTrackingRefBased/>
  <w15:docId w15:val="{66451EBA-B6F7-4C8F-960C-E7DD077D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23D"/>
    <w:pPr>
      <w:spacing w:after="0" w:line="240" w:lineRule="auto"/>
    </w:pPr>
    <w:rPr>
      <w:rFonts w:ascii="Aptos" w:hAnsi="Aptos" w:cs="Aptos"/>
      <w:kern w:val="0"/>
      <w:sz w:val="24"/>
      <w:szCs w:val="24"/>
      <w:lang w:eastAsia="en-GB"/>
      <w14:ligatures w14:val="none"/>
    </w:rPr>
  </w:style>
  <w:style w:type="paragraph" w:styleId="Heading1">
    <w:name w:val="heading 1"/>
    <w:basedOn w:val="Normal"/>
    <w:next w:val="Normal"/>
    <w:link w:val="Heading1Char"/>
    <w:uiPriority w:val="9"/>
    <w:qFormat/>
    <w:rsid w:val="00CD623D"/>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CD623D"/>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CD623D"/>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CD623D"/>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CD623D"/>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CD623D"/>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CD623D"/>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CD623D"/>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CD623D"/>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2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62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62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62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62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62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62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62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623D"/>
    <w:rPr>
      <w:rFonts w:eastAsiaTheme="majorEastAsia" w:cstheme="majorBidi"/>
      <w:color w:val="272727" w:themeColor="text1" w:themeTint="D8"/>
    </w:rPr>
  </w:style>
  <w:style w:type="paragraph" w:styleId="Title">
    <w:name w:val="Title"/>
    <w:basedOn w:val="Normal"/>
    <w:next w:val="Normal"/>
    <w:link w:val="TitleChar"/>
    <w:uiPriority w:val="10"/>
    <w:qFormat/>
    <w:rsid w:val="00CD623D"/>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D62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623D"/>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D62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623D"/>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CD623D"/>
    <w:rPr>
      <w:i/>
      <w:iCs/>
      <w:color w:val="404040" w:themeColor="text1" w:themeTint="BF"/>
    </w:rPr>
  </w:style>
  <w:style w:type="paragraph" w:styleId="ListParagraph">
    <w:name w:val="List Paragraph"/>
    <w:basedOn w:val="Normal"/>
    <w:uiPriority w:val="34"/>
    <w:qFormat/>
    <w:rsid w:val="00CD623D"/>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CD623D"/>
    <w:rPr>
      <w:i/>
      <w:iCs/>
      <w:color w:val="0F4761" w:themeColor="accent1" w:themeShade="BF"/>
    </w:rPr>
  </w:style>
  <w:style w:type="paragraph" w:styleId="IntenseQuote">
    <w:name w:val="Intense Quote"/>
    <w:basedOn w:val="Normal"/>
    <w:next w:val="Normal"/>
    <w:link w:val="IntenseQuoteChar"/>
    <w:uiPriority w:val="30"/>
    <w:qFormat/>
    <w:rsid w:val="00CD623D"/>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CD623D"/>
    <w:rPr>
      <w:i/>
      <w:iCs/>
      <w:color w:val="0F4761" w:themeColor="accent1" w:themeShade="BF"/>
    </w:rPr>
  </w:style>
  <w:style w:type="character" w:styleId="IntenseReference">
    <w:name w:val="Intense Reference"/>
    <w:basedOn w:val="DefaultParagraphFont"/>
    <w:uiPriority w:val="32"/>
    <w:qFormat/>
    <w:rsid w:val="00CD623D"/>
    <w:rPr>
      <w:b/>
      <w:bCs/>
      <w:smallCaps/>
      <w:color w:val="0F4761" w:themeColor="accent1" w:themeShade="BF"/>
      <w:spacing w:val="5"/>
    </w:rPr>
  </w:style>
  <w:style w:type="character" w:customStyle="1" w:styleId="apple-converted-space">
    <w:name w:val="apple-converted-space"/>
    <w:basedOn w:val="DefaultParagraphFont"/>
    <w:rsid w:val="00CD6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523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2765</Words>
  <Characters>15766</Characters>
  <Application>Microsoft Office Word</Application>
  <DocSecurity>0</DocSecurity>
  <Lines>131</Lines>
  <Paragraphs>36</Paragraphs>
  <ScaleCrop>false</ScaleCrop>
  <Company/>
  <LinksUpToDate>false</LinksUpToDate>
  <CharactersWithSpaces>18495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Chape</dc:creator>
  <cp:keywords/>
  <dc:description/>
  <cp:lastModifiedBy>Roy Chape</cp:lastModifiedBy>
  <cp:revision>1</cp:revision>
  <dcterms:created xsi:type="dcterms:W3CDTF">2025-01-03T20:58:00Z</dcterms:created>
  <dcterms:modified xsi:type="dcterms:W3CDTF">2025-01-03T21:01:00Z</dcterms:modified>
</cp:coreProperties>
</file>