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D1E44" w14:textId="1E332298" w:rsidR="00203ECF" w:rsidRDefault="00C35632">
      <w:pPr>
        <w:pStyle w:val="Frspaiere"/>
        <w:spacing w:before="1540" w:after="240"/>
        <w:jc w:val="center"/>
        <w:rPr>
          <w:rFonts w:ascii="Arial" w:eastAsiaTheme="minorHAnsi" w:hAnsi="Arial"/>
          <w:b/>
          <w:bCs/>
          <w:color w:val="5B9BD5" w:themeColor="accent1"/>
          <w:lang w:val="en-GB"/>
        </w:rPr>
      </w:pPr>
      <w:r>
        <w:rPr>
          <w:rFonts w:ascii="Arial" w:eastAsiaTheme="minorHAnsi" w:hAnsi="Arial"/>
          <w:b/>
          <w:bCs/>
          <w:color w:val="5B9BD5" w:themeColor="accent1"/>
          <w:lang w:val="en-GB"/>
        </w:rPr>
        <w:t>IONELA DAN</w:t>
      </w:r>
    </w:p>
    <w:p w14:paraId="2AC2F0CB" w14:textId="2E349018" w:rsidR="00C35632" w:rsidRDefault="00C35632">
      <w:pPr>
        <w:pStyle w:val="Frspaiere"/>
        <w:spacing w:before="1540" w:after="240"/>
        <w:jc w:val="center"/>
        <w:rPr>
          <w:rFonts w:ascii="Arial" w:eastAsiaTheme="minorHAnsi" w:hAnsi="Arial"/>
          <w:b/>
          <w:bCs/>
          <w:color w:val="5B9BD5" w:themeColor="accent1"/>
          <w:lang w:val="en-GB"/>
        </w:rPr>
      </w:pPr>
      <w:r>
        <w:rPr>
          <w:rFonts w:ascii="Arial" w:eastAsiaTheme="minorHAnsi" w:hAnsi="Arial"/>
          <w:b/>
          <w:bCs/>
          <w:color w:val="5B9BD5" w:themeColor="accent1"/>
          <w:lang w:val="en-GB"/>
        </w:rPr>
        <w:t>20</w:t>
      </w:r>
      <w:r w:rsidR="00336A82">
        <w:rPr>
          <w:rFonts w:ascii="Arial" w:eastAsiaTheme="minorHAnsi" w:hAnsi="Arial"/>
          <w:b/>
          <w:bCs/>
          <w:color w:val="5B9BD5" w:themeColor="accent1"/>
          <w:lang w:val="en-GB"/>
        </w:rPr>
        <w:t>23559</w:t>
      </w:r>
    </w:p>
    <w:p w14:paraId="3188BBAA" w14:textId="16DCCA2B" w:rsidR="00336A82" w:rsidRDefault="00336A82">
      <w:pPr>
        <w:pStyle w:val="Frspaiere"/>
        <w:spacing w:before="1540" w:after="240"/>
        <w:jc w:val="center"/>
        <w:rPr>
          <w:rFonts w:ascii="Arial" w:eastAsiaTheme="minorHAnsi" w:hAnsi="Arial"/>
          <w:color w:val="5B9BD5" w:themeColor="accent1"/>
          <w:lang w:val="en-GB"/>
        </w:rPr>
      </w:pPr>
      <w:r>
        <w:rPr>
          <w:rFonts w:ascii="Arial" w:eastAsiaTheme="minorHAnsi" w:hAnsi="Arial"/>
          <w:b/>
          <w:bCs/>
          <w:color w:val="5B9BD5" w:themeColor="accent1"/>
          <w:lang w:val="en-GB"/>
        </w:rPr>
        <w:t xml:space="preserve">Professor OLUSHOYI </w:t>
      </w:r>
      <w:r w:rsidR="003E24B5">
        <w:rPr>
          <w:rFonts w:ascii="Arial" w:eastAsiaTheme="minorHAnsi" w:hAnsi="Arial"/>
          <w:b/>
          <w:bCs/>
          <w:color w:val="5B9BD5" w:themeColor="accent1"/>
          <w:lang w:val="en-GB"/>
        </w:rPr>
        <w:t>ASHAYE</w:t>
      </w:r>
    </w:p>
    <w:sdt>
      <w:sdtPr>
        <w:rPr>
          <w:rFonts w:ascii="Arial" w:eastAsiaTheme="minorHAnsi" w:hAnsi="Arial"/>
          <w:color w:val="5B9BD5" w:themeColor="accent1"/>
          <w:lang w:val="en-GB"/>
        </w:rPr>
        <w:id w:val="54436977"/>
        <w:docPartObj>
          <w:docPartGallery w:val="Cover Pages"/>
          <w:docPartUnique/>
        </w:docPartObj>
      </w:sdtPr>
      <w:sdtEndPr>
        <w:rPr>
          <w:color w:val="000000" w:themeColor="text1"/>
        </w:rPr>
      </w:sdtEndPr>
      <w:sdtContent>
        <w:p w14:paraId="6D169591" w14:textId="5EF93F02" w:rsidR="00B6746B" w:rsidRPr="008B5786" w:rsidRDefault="004A4C6D">
          <w:pPr>
            <w:pStyle w:val="Frspaiere"/>
            <w:spacing w:before="1540" w:after="240"/>
            <w:jc w:val="center"/>
            <w:rPr>
              <w:color w:val="5B9BD5" w:themeColor="accent1"/>
              <w:lang w:val="en-GB"/>
            </w:rPr>
          </w:pPr>
          <w:r>
            <w:rPr>
              <w:rFonts w:ascii="Arial" w:eastAsiaTheme="minorHAnsi" w:hAnsi="Arial"/>
              <w:color w:val="5B9BD5" w:themeColor="accent1"/>
              <w:lang w:val="en-GB"/>
            </w:rPr>
            <w:t>FEBRUARY 2022</w:t>
          </w:r>
        </w:p>
        <w:sdt>
          <w:sdtPr>
            <w:rPr>
              <w:rFonts w:asciiTheme="majorHAnsi" w:eastAsiaTheme="majorEastAsia" w:hAnsiTheme="majorHAnsi" w:cstheme="majorBidi"/>
              <w:caps/>
              <w:color w:val="5B9BD5" w:themeColor="accent1"/>
              <w:sz w:val="72"/>
              <w:szCs w:val="72"/>
              <w:lang w:val="en-GB"/>
            </w:rPr>
            <w:alias w:val="Title"/>
            <w:tag w:val=""/>
            <w:id w:val="1735040861"/>
            <w:placeholder>
              <w:docPart w:val="DB68F93FD99941CF9A03287EBFCAA5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674BE82" w14:textId="6DC65841" w:rsidR="00B6746B" w:rsidRPr="008B5786" w:rsidRDefault="00F1576A">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lang w:val="en-GB"/>
                </w:rPr>
              </w:pPr>
              <w:r w:rsidRPr="008B5786">
                <w:rPr>
                  <w:rFonts w:asciiTheme="majorHAnsi" w:eastAsiaTheme="majorEastAsia" w:hAnsiTheme="majorHAnsi" w:cstheme="majorBidi"/>
                  <w:caps/>
                  <w:color w:val="5B9BD5" w:themeColor="accent1"/>
                  <w:sz w:val="72"/>
                  <w:szCs w:val="72"/>
                  <w:lang w:val="en-GB"/>
                </w:rPr>
                <w:t>MANAGING PEOPLE</w:t>
              </w:r>
            </w:p>
          </w:sdtContent>
        </w:sdt>
        <w:sdt>
          <w:sdtPr>
            <w:rPr>
              <w:color w:val="5B9BD5" w:themeColor="accent1"/>
              <w:sz w:val="28"/>
              <w:szCs w:val="28"/>
              <w:lang w:val="en-GB"/>
            </w:rPr>
            <w:alias w:val="Subtitle"/>
            <w:tag w:val=""/>
            <w:id w:val="328029620"/>
            <w:placeholder>
              <w:docPart w:val="18026A7FE90A48A8B0A8F6E367066ECB"/>
            </w:placeholder>
            <w:dataBinding w:prefixMappings="xmlns:ns0='http://purl.org/dc/elements/1.1/' xmlns:ns1='http://schemas.openxmlformats.org/package/2006/metadata/core-properties' " w:xpath="/ns1:coreProperties[1]/ns0:subject[1]" w:storeItemID="{6C3C8BC8-F283-45AE-878A-BAB7291924A1}"/>
            <w:text/>
          </w:sdtPr>
          <w:sdtEndPr/>
          <w:sdtContent>
            <w:p w14:paraId="17BD4B2F" w14:textId="6B9D5DD3" w:rsidR="00B6746B" w:rsidRPr="008B5786" w:rsidRDefault="00B6746B">
              <w:pPr>
                <w:pStyle w:val="Frspaiere"/>
                <w:jc w:val="center"/>
                <w:rPr>
                  <w:color w:val="5B9BD5" w:themeColor="accent1"/>
                  <w:sz w:val="28"/>
                  <w:szCs w:val="28"/>
                  <w:lang w:val="en-GB"/>
                </w:rPr>
              </w:pPr>
              <w:r w:rsidRPr="008B5786">
                <w:rPr>
                  <w:color w:val="5B9BD5" w:themeColor="accent1"/>
                  <w:sz w:val="28"/>
                  <w:szCs w:val="28"/>
                  <w:lang w:val="en-GB"/>
                </w:rPr>
                <w:t>ASSESSMENT 1</w:t>
              </w:r>
            </w:p>
          </w:sdtContent>
        </w:sdt>
        <w:p w14:paraId="53FA0844" w14:textId="61CDAA92" w:rsidR="00B6746B" w:rsidRPr="008B5786" w:rsidRDefault="00B6746B">
          <w:pPr>
            <w:pStyle w:val="Frspaiere"/>
            <w:spacing w:before="480"/>
            <w:jc w:val="center"/>
            <w:rPr>
              <w:color w:val="5B9BD5" w:themeColor="accent1"/>
              <w:lang w:val="en-GB"/>
            </w:rPr>
          </w:pPr>
        </w:p>
        <w:p w14:paraId="2150485C" w14:textId="0C90E02E" w:rsidR="00B6746B" w:rsidRPr="008B5786" w:rsidRDefault="00B6746B">
          <w:pPr>
            <w:spacing w:line="259" w:lineRule="auto"/>
            <w:jc w:val="left"/>
          </w:pPr>
          <w:r w:rsidRPr="008B5786">
            <w:rPr>
              <w:color w:val="auto"/>
            </w:rPr>
            <w:br w:type="page"/>
          </w:r>
        </w:p>
      </w:sdtContent>
    </w:sdt>
    <w:sdt>
      <w:sdtPr>
        <w:rPr>
          <w:rFonts w:ascii="Arial" w:eastAsiaTheme="minorHAnsi" w:hAnsi="Arial" w:cstheme="minorBidi"/>
          <w:color w:val="000000" w:themeColor="text1"/>
          <w:sz w:val="22"/>
          <w:szCs w:val="22"/>
          <w:lang w:val="en-GB"/>
        </w:rPr>
        <w:id w:val="1736901205"/>
        <w:docPartObj>
          <w:docPartGallery w:val="Table of Contents"/>
          <w:docPartUnique/>
        </w:docPartObj>
      </w:sdtPr>
      <w:sdtEndPr>
        <w:rPr>
          <w:b/>
          <w:bCs/>
        </w:rPr>
      </w:sdtEndPr>
      <w:sdtContent>
        <w:p w14:paraId="1BA31E12" w14:textId="4A36CF85" w:rsidR="00863EDB" w:rsidRPr="008B5786" w:rsidRDefault="00863EDB">
          <w:pPr>
            <w:pStyle w:val="Titlucuprins"/>
            <w:rPr>
              <w:lang w:val="en-GB"/>
            </w:rPr>
          </w:pPr>
          <w:r w:rsidRPr="008B5786">
            <w:rPr>
              <w:lang w:val="en-GB"/>
            </w:rPr>
            <w:t>Table of Contents</w:t>
          </w:r>
        </w:p>
        <w:p w14:paraId="532C4FE7" w14:textId="368B0CDB" w:rsidR="00E579D5" w:rsidRPr="008B5786" w:rsidRDefault="00863EDB">
          <w:pPr>
            <w:pStyle w:val="Cuprins1"/>
            <w:tabs>
              <w:tab w:val="right" w:leader="dot" w:pos="10478"/>
            </w:tabs>
            <w:rPr>
              <w:rFonts w:asciiTheme="minorHAnsi" w:eastAsiaTheme="minorEastAsia" w:hAnsiTheme="minorHAnsi"/>
              <w:color w:val="auto"/>
              <w:lang w:eastAsia="en-GB"/>
            </w:rPr>
          </w:pPr>
          <w:r w:rsidRPr="008B5786">
            <w:fldChar w:fldCharType="begin"/>
          </w:r>
          <w:r w:rsidRPr="008B5786">
            <w:instrText xml:space="preserve"> TOC \o "1-3" \h \z \u </w:instrText>
          </w:r>
          <w:r w:rsidRPr="008B5786">
            <w:fldChar w:fldCharType="separate"/>
          </w:r>
          <w:hyperlink w:anchor="_Toc101600762" w:history="1">
            <w:r w:rsidR="00E579D5" w:rsidRPr="008B5786">
              <w:rPr>
                <w:rStyle w:val="Hyperlink"/>
              </w:rPr>
              <w:t>INTRODUCTION</w:t>
            </w:r>
            <w:r w:rsidR="00E579D5" w:rsidRPr="008B5786">
              <w:rPr>
                <w:webHidden/>
              </w:rPr>
              <w:tab/>
            </w:r>
            <w:r w:rsidR="00E579D5" w:rsidRPr="008B5786">
              <w:rPr>
                <w:webHidden/>
              </w:rPr>
              <w:fldChar w:fldCharType="begin"/>
            </w:r>
            <w:r w:rsidR="00E579D5" w:rsidRPr="008B5786">
              <w:rPr>
                <w:webHidden/>
              </w:rPr>
              <w:instrText xml:space="preserve"> PAGEREF _Toc101600762 \h </w:instrText>
            </w:r>
            <w:r w:rsidR="00E579D5" w:rsidRPr="008B5786">
              <w:rPr>
                <w:webHidden/>
              </w:rPr>
            </w:r>
            <w:r w:rsidR="00E579D5" w:rsidRPr="008B5786">
              <w:rPr>
                <w:webHidden/>
              </w:rPr>
              <w:fldChar w:fldCharType="separate"/>
            </w:r>
            <w:r w:rsidR="00E579D5" w:rsidRPr="008B5786">
              <w:rPr>
                <w:webHidden/>
              </w:rPr>
              <w:t>2</w:t>
            </w:r>
            <w:r w:rsidR="00E579D5" w:rsidRPr="008B5786">
              <w:rPr>
                <w:webHidden/>
              </w:rPr>
              <w:fldChar w:fldCharType="end"/>
            </w:r>
          </w:hyperlink>
        </w:p>
        <w:p w14:paraId="66021FD1" w14:textId="4B31A3C8"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3" w:history="1">
            <w:r w:rsidR="00E579D5" w:rsidRPr="008B5786">
              <w:rPr>
                <w:rStyle w:val="Hyperlink"/>
              </w:rPr>
              <w:t>COMPANY OVERVIEW</w:t>
            </w:r>
            <w:r w:rsidR="00E579D5" w:rsidRPr="008B5786">
              <w:rPr>
                <w:webHidden/>
              </w:rPr>
              <w:tab/>
            </w:r>
            <w:r w:rsidR="00E579D5" w:rsidRPr="008B5786">
              <w:rPr>
                <w:webHidden/>
              </w:rPr>
              <w:fldChar w:fldCharType="begin"/>
            </w:r>
            <w:r w:rsidR="00E579D5" w:rsidRPr="008B5786">
              <w:rPr>
                <w:webHidden/>
              </w:rPr>
              <w:instrText xml:space="preserve"> PAGEREF _Toc101600763 \h </w:instrText>
            </w:r>
            <w:r w:rsidR="00E579D5" w:rsidRPr="008B5786">
              <w:rPr>
                <w:webHidden/>
              </w:rPr>
            </w:r>
            <w:r w:rsidR="00E579D5" w:rsidRPr="008B5786">
              <w:rPr>
                <w:webHidden/>
              </w:rPr>
              <w:fldChar w:fldCharType="separate"/>
            </w:r>
            <w:r w:rsidR="00E579D5" w:rsidRPr="008B5786">
              <w:rPr>
                <w:webHidden/>
              </w:rPr>
              <w:t>2</w:t>
            </w:r>
            <w:r w:rsidR="00E579D5" w:rsidRPr="008B5786">
              <w:rPr>
                <w:webHidden/>
              </w:rPr>
              <w:fldChar w:fldCharType="end"/>
            </w:r>
          </w:hyperlink>
        </w:p>
        <w:p w14:paraId="7A8B7907" w14:textId="63D7F8C2"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4" w:history="1">
            <w:r w:rsidR="00E579D5" w:rsidRPr="008B5786">
              <w:rPr>
                <w:rStyle w:val="Hyperlink"/>
              </w:rPr>
              <w:t>FLEXIBLE WORKING</w:t>
            </w:r>
            <w:r w:rsidR="00E579D5" w:rsidRPr="008B5786">
              <w:rPr>
                <w:webHidden/>
              </w:rPr>
              <w:tab/>
            </w:r>
            <w:r w:rsidR="00E579D5" w:rsidRPr="008B5786">
              <w:rPr>
                <w:webHidden/>
              </w:rPr>
              <w:fldChar w:fldCharType="begin"/>
            </w:r>
            <w:r w:rsidR="00E579D5" w:rsidRPr="008B5786">
              <w:rPr>
                <w:webHidden/>
              </w:rPr>
              <w:instrText xml:space="preserve"> PAGEREF _Toc101600764 \h </w:instrText>
            </w:r>
            <w:r w:rsidR="00E579D5" w:rsidRPr="008B5786">
              <w:rPr>
                <w:webHidden/>
              </w:rPr>
            </w:r>
            <w:r w:rsidR="00E579D5" w:rsidRPr="008B5786">
              <w:rPr>
                <w:webHidden/>
              </w:rPr>
              <w:fldChar w:fldCharType="separate"/>
            </w:r>
            <w:r w:rsidR="00E579D5" w:rsidRPr="008B5786">
              <w:rPr>
                <w:webHidden/>
              </w:rPr>
              <w:t>3</w:t>
            </w:r>
            <w:r w:rsidR="00E579D5" w:rsidRPr="008B5786">
              <w:rPr>
                <w:webHidden/>
              </w:rPr>
              <w:fldChar w:fldCharType="end"/>
            </w:r>
          </w:hyperlink>
        </w:p>
        <w:p w14:paraId="53AEF528" w14:textId="10A5CE09"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5" w:history="1">
            <w:r w:rsidR="00E579D5" w:rsidRPr="008B5786">
              <w:rPr>
                <w:rStyle w:val="Hyperlink"/>
              </w:rPr>
              <w:t>WHO IS FLEXIBLE WORKING FOR?</w:t>
            </w:r>
            <w:r w:rsidR="00E579D5" w:rsidRPr="008B5786">
              <w:rPr>
                <w:webHidden/>
              </w:rPr>
              <w:tab/>
            </w:r>
            <w:r w:rsidR="00E579D5" w:rsidRPr="008B5786">
              <w:rPr>
                <w:webHidden/>
              </w:rPr>
              <w:fldChar w:fldCharType="begin"/>
            </w:r>
            <w:r w:rsidR="00E579D5" w:rsidRPr="008B5786">
              <w:rPr>
                <w:webHidden/>
              </w:rPr>
              <w:instrText xml:space="preserve"> PAGEREF _Toc101600765 \h </w:instrText>
            </w:r>
            <w:r w:rsidR="00E579D5" w:rsidRPr="008B5786">
              <w:rPr>
                <w:webHidden/>
              </w:rPr>
            </w:r>
            <w:r w:rsidR="00E579D5" w:rsidRPr="008B5786">
              <w:rPr>
                <w:webHidden/>
              </w:rPr>
              <w:fldChar w:fldCharType="separate"/>
            </w:r>
            <w:r w:rsidR="00E579D5" w:rsidRPr="008B5786">
              <w:rPr>
                <w:webHidden/>
              </w:rPr>
              <w:t>3</w:t>
            </w:r>
            <w:r w:rsidR="00E579D5" w:rsidRPr="008B5786">
              <w:rPr>
                <w:webHidden/>
              </w:rPr>
              <w:fldChar w:fldCharType="end"/>
            </w:r>
          </w:hyperlink>
        </w:p>
        <w:p w14:paraId="79FFE3DB" w14:textId="568382F2"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6" w:history="1">
            <w:r w:rsidR="00E579D5" w:rsidRPr="008B5786">
              <w:rPr>
                <w:rStyle w:val="Hyperlink"/>
              </w:rPr>
              <w:t>FLEXIBLE WORKING IN RELATION TO DIVERSITY AND INCLUSION</w:t>
            </w:r>
            <w:r w:rsidR="00E579D5" w:rsidRPr="008B5786">
              <w:rPr>
                <w:webHidden/>
              </w:rPr>
              <w:tab/>
            </w:r>
            <w:r w:rsidR="00E579D5" w:rsidRPr="008B5786">
              <w:rPr>
                <w:webHidden/>
              </w:rPr>
              <w:fldChar w:fldCharType="begin"/>
            </w:r>
            <w:r w:rsidR="00E579D5" w:rsidRPr="008B5786">
              <w:rPr>
                <w:webHidden/>
              </w:rPr>
              <w:instrText xml:space="preserve"> PAGEREF _Toc101600766 \h </w:instrText>
            </w:r>
            <w:r w:rsidR="00E579D5" w:rsidRPr="008B5786">
              <w:rPr>
                <w:webHidden/>
              </w:rPr>
            </w:r>
            <w:r w:rsidR="00E579D5" w:rsidRPr="008B5786">
              <w:rPr>
                <w:webHidden/>
              </w:rPr>
              <w:fldChar w:fldCharType="separate"/>
            </w:r>
            <w:r w:rsidR="00E579D5" w:rsidRPr="008B5786">
              <w:rPr>
                <w:webHidden/>
              </w:rPr>
              <w:t>3</w:t>
            </w:r>
            <w:r w:rsidR="00E579D5" w:rsidRPr="008B5786">
              <w:rPr>
                <w:webHidden/>
              </w:rPr>
              <w:fldChar w:fldCharType="end"/>
            </w:r>
          </w:hyperlink>
        </w:p>
        <w:p w14:paraId="68D55113" w14:textId="6B65BC26"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7" w:history="1">
            <w:r w:rsidR="00E579D5" w:rsidRPr="008B5786">
              <w:rPr>
                <w:rStyle w:val="Hyperlink"/>
              </w:rPr>
              <w:t>ROLE OF HUMAN RESOURCES IN PROMOTING DIVERSITY AND INCLUSION THROUGH FLEXIBLE WORKING</w:t>
            </w:r>
            <w:r w:rsidR="00E579D5" w:rsidRPr="008B5786">
              <w:rPr>
                <w:webHidden/>
              </w:rPr>
              <w:tab/>
            </w:r>
            <w:r w:rsidR="00E579D5" w:rsidRPr="008B5786">
              <w:rPr>
                <w:webHidden/>
              </w:rPr>
              <w:fldChar w:fldCharType="begin"/>
            </w:r>
            <w:r w:rsidR="00E579D5" w:rsidRPr="008B5786">
              <w:rPr>
                <w:webHidden/>
              </w:rPr>
              <w:instrText xml:space="preserve"> PAGEREF _Toc101600767 \h </w:instrText>
            </w:r>
            <w:r w:rsidR="00E579D5" w:rsidRPr="008B5786">
              <w:rPr>
                <w:webHidden/>
              </w:rPr>
            </w:r>
            <w:r w:rsidR="00E579D5" w:rsidRPr="008B5786">
              <w:rPr>
                <w:webHidden/>
              </w:rPr>
              <w:fldChar w:fldCharType="separate"/>
            </w:r>
            <w:r w:rsidR="00E579D5" w:rsidRPr="008B5786">
              <w:rPr>
                <w:webHidden/>
              </w:rPr>
              <w:t>4</w:t>
            </w:r>
            <w:r w:rsidR="00E579D5" w:rsidRPr="008B5786">
              <w:rPr>
                <w:webHidden/>
              </w:rPr>
              <w:fldChar w:fldCharType="end"/>
            </w:r>
          </w:hyperlink>
        </w:p>
        <w:p w14:paraId="5A94444E" w14:textId="04F78DAB"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8" w:history="1">
            <w:r w:rsidR="00E579D5" w:rsidRPr="008B5786">
              <w:rPr>
                <w:rStyle w:val="Hyperlink"/>
              </w:rPr>
              <w:t>FLEXIBLE WORKING IN RELATION TO INEQUALITY AT WORK</w:t>
            </w:r>
            <w:r w:rsidR="00E579D5" w:rsidRPr="008B5786">
              <w:rPr>
                <w:webHidden/>
              </w:rPr>
              <w:tab/>
            </w:r>
            <w:r w:rsidR="00E579D5" w:rsidRPr="008B5786">
              <w:rPr>
                <w:webHidden/>
              </w:rPr>
              <w:fldChar w:fldCharType="begin"/>
            </w:r>
            <w:r w:rsidR="00E579D5" w:rsidRPr="008B5786">
              <w:rPr>
                <w:webHidden/>
              </w:rPr>
              <w:instrText xml:space="preserve"> PAGEREF _Toc101600768 \h </w:instrText>
            </w:r>
            <w:r w:rsidR="00E579D5" w:rsidRPr="008B5786">
              <w:rPr>
                <w:webHidden/>
              </w:rPr>
            </w:r>
            <w:r w:rsidR="00E579D5" w:rsidRPr="008B5786">
              <w:rPr>
                <w:webHidden/>
              </w:rPr>
              <w:fldChar w:fldCharType="separate"/>
            </w:r>
            <w:r w:rsidR="00E579D5" w:rsidRPr="008B5786">
              <w:rPr>
                <w:webHidden/>
              </w:rPr>
              <w:t>4</w:t>
            </w:r>
            <w:r w:rsidR="00E579D5" w:rsidRPr="008B5786">
              <w:rPr>
                <w:webHidden/>
              </w:rPr>
              <w:fldChar w:fldCharType="end"/>
            </w:r>
          </w:hyperlink>
        </w:p>
        <w:p w14:paraId="050D4E97" w14:textId="231E0416"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69" w:history="1">
            <w:r w:rsidR="00E579D5" w:rsidRPr="008B5786">
              <w:rPr>
                <w:rStyle w:val="Hyperlink"/>
              </w:rPr>
              <w:t>ROLE OF HUMAN RESOURCES IN ADDRESSING THE CONCERNS OF INEQUALITY THAT MAY ARISE FROM FLEXIBLE WORKING</w:t>
            </w:r>
            <w:r w:rsidR="00E579D5" w:rsidRPr="008B5786">
              <w:rPr>
                <w:webHidden/>
              </w:rPr>
              <w:tab/>
            </w:r>
            <w:r w:rsidR="00E579D5" w:rsidRPr="008B5786">
              <w:rPr>
                <w:webHidden/>
              </w:rPr>
              <w:fldChar w:fldCharType="begin"/>
            </w:r>
            <w:r w:rsidR="00E579D5" w:rsidRPr="008B5786">
              <w:rPr>
                <w:webHidden/>
              </w:rPr>
              <w:instrText xml:space="preserve"> PAGEREF _Toc101600769 \h </w:instrText>
            </w:r>
            <w:r w:rsidR="00E579D5" w:rsidRPr="008B5786">
              <w:rPr>
                <w:webHidden/>
              </w:rPr>
            </w:r>
            <w:r w:rsidR="00E579D5" w:rsidRPr="008B5786">
              <w:rPr>
                <w:webHidden/>
              </w:rPr>
              <w:fldChar w:fldCharType="separate"/>
            </w:r>
            <w:r w:rsidR="00E579D5" w:rsidRPr="008B5786">
              <w:rPr>
                <w:webHidden/>
              </w:rPr>
              <w:t>5</w:t>
            </w:r>
            <w:r w:rsidR="00E579D5" w:rsidRPr="008B5786">
              <w:rPr>
                <w:webHidden/>
              </w:rPr>
              <w:fldChar w:fldCharType="end"/>
            </w:r>
          </w:hyperlink>
        </w:p>
        <w:p w14:paraId="6A8C99B2" w14:textId="589A0549"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70" w:history="1">
            <w:r w:rsidR="00E579D5" w:rsidRPr="008B5786">
              <w:rPr>
                <w:rStyle w:val="Hyperlink"/>
              </w:rPr>
              <w:t>CONCLUSION</w:t>
            </w:r>
            <w:r w:rsidR="00E579D5" w:rsidRPr="008B5786">
              <w:rPr>
                <w:webHidden/>
              </w:rPr>
              <w:tab/>
            </w:r>
            <w:r w:rsidR="00E579D5" w:rsidRPr="008B5786">
              <w:rPr>
                <w:webHidden/>
              </w:rPr>
              <w:fldChar w:fldCharType="begin"/>
            </w:r>
            <w:r w:rsidR="00E579D5" w:rsidRPr="008B5786">
              <w:rPr>
                <w:webHidden/>
              </w:rPr>
              <w:instrText xml:space="preserve"> PAGEREF _Toc101600770 \h </w:instrText>
            </w:r>
            <w:r w:rsidR="00E579D5" w:rsidRPr="008B5786">
              <w:rPr>
                <w:webHidden/>
              </w:rPr>
            </w:r>
            <w:r w:rsidR="00E579D5" w:rsidRPr="008B5786">
              <w:rPr>
                <w:webHidden/>
              </w:rPr>
              <w:fldChar w:fldCharType="separate"/>
            </w:r>
            <w:r w:rsidR="00E579D5" w:rsidRPr="008B5786">
              <w:rPr>
                <w:webHidden/>
              </w:rPr>
              <w:t>8</w:t>
            </w:r>
            <w:r w:rsidR="00E579D5" w:rsidRPr="008B5786">
              <w:rPr>
                <w:webHidden/>
              </w:rPr>
              <w:fldChar w:fldCharType="end"/>
            </w:r>
          </w:hyperlink>
        </w:p>
        <w:p w14:paraId="2EF12D43" w14:textId="1E655178" w:rsidR="00E579D5" w:rsidRPr="008B5786" w:rsidRDefault="00956713">
          <w:pPr>
            <w:pStyle w:val="Cuprins1"/>
            <w:tabs>
              <w:tab w:val="right" w:leader="dot" w:pos="10478"/>
            </w:tabs>
            <w:rPr>
              <w:rFonts w:asciiTheme="minorHAnsi" w:eastAsiaTheme="minorEastAsia" w:hAnsiTheme="minorHAnsi"/>
              <w:color w:val="auto"/>
              <w:lang w:eastAsia="en-GB"/>
            </w:rPr>
          </w:pPr>
          <w:hyperlink w:anchor="_Toc101600771" w:history="1">
            <w:r w:rsidR="00E579D5" w:rsidRPr="008B5786">
              <w:rPr>
                <w:rStyle w:val="Hyperlink"/>
              </w:rPr>
              <w:t>REFERENCE</w:t>
            </w:r>
            <w:r w:rsidR="00E579D5" w:rsidRPr="008B5786">
              <w:rPr>
                <w:webHidden/>
              </w:rPr>
              <w:tab/>
            </w:r>
            <w:r w:rsidR="00E579D5" w:rsidRPr="008B5786">
              <w:rPr>
                <w:webHidden/>
              </w:rPr>
              <w:fldChar w:fldCharType="begin"/>
            </w:r>
            <w:r w:rsidR="00E579D5" w:rsidRPr="008B5786">
              <w:rPr>
                <w:webHidden/>
              </w:rPr>
              <w:instrText xml:space="preserve"> PAGEREF _Toc101600771 \h </w:instrText>
            </w:r>
            <w:r w:rsidR="00E579D5" w:rsidRPr="008B5786">
              <w:rPr>
                <w:webHidden/>
              </w:rPr>
            </w:r>
            <w:r w:rsidR="00E579D5" w:rsidRPr="008B5786">
              <w:rPr>
                <w:webHidden/>
              </w:rPr>
              <w:fldChar w:fldCharType="separate"/>
            </w:r>
            <w:r w:rsidR="00E579D5" w:rsidRPr="008B5786">
              <w:rPr>
                <w:webHidden/>
              </w:rPr>
              <w:t>9</w:t>
            </w:r>
            <w:r w:rsidR="00E579D5" w:rsidRPr="008B5786">
              <w:rPr>
                <w:webHidden/>
              </w:rPr>
              <w:fldChar w:fldCharType="end"/>
            </w:r>
          </w:hyperlink>
        </w:p>
        <w:p w14:paraId="5BC566FD" w14:textId="756236E2" w:rsidR="00863EDB" w:rsidRPr="008B5786" w:rsidRDefault="00863EDB">
          <w:r w:rsidRPr="008B5786">
            <w:rPr>
              <w:b/>
              <w:bCs/>
            </w:rPr>
            <w:fldChar w:fldCharType="end"/>
          </w:r>
        </w:p>
      </w:sdtContent>
    </w:sdt>
    <w:p w14:paraId="4F7FE928" w14:textId="77777777" w:rsidR="004E0CFA" w:rsidRPr="008B5786" w:rsidRDefault="00D00C97">
      <w:pPr>
        <w:spacing w:line="259" w:lineRule="auto"/>
        <w:jc w:val="left"/>
        <w:rPr>
          <w:rFonts w:asciiTheme="majorHAnsi" w:eastAsiaTheme="majorEastAsia" w:hAnsiTheme="majorHAnsi" w:cstheme="majorBidi"/>
          <w:color w:val="2E74B5" w:themeColor="accent1" w:themeShade="BF"/>
          <w:sz w:val="32"/>
          <w:szCs w:val="32"/>
        </w:rPr>
      </w:pPr>
      <w:r w:rsidRPr="008B5786">
        <w:br w:type="page"/>
      </w:r>
    </w:p>
    <w:p w14:paraId="79208EC0" w14:textId="77777777" w:rsidR="003E6649" w:rsidRPr="008B5786" w:rsidRDefault="00D00C97" w:rsidP="007C0492">
      <w:pPr>
        <w:pStyle w:val="Titlu1"/>
      </w:pPr>
      <w:bookmarkStart w:id="0" w:name="_Toc101600762"/>
      <w:r w:rsidRPr="008B5786">
        <w:lastRenderedPageBreak/>
        <w:t>INTRODUCTION</w:t>
      </w:r>
      <w:bookmarkEnd w:id="0"/>
      <w:r w:rsidRPr="008B5786">
        <w:t xml:space="preserve"> </w:t>
      </w:r>
    </w:p>
    <w:p w14:paraId="7111592D" w14:textId="77777777" w:rsidR="000679D1" w:rsidRPr="008B5786" w:rsidRDefault="00D00C97" w:rsidP="00B6746B">
      <w:pPr>
        <w:rPr>
          <w:color w:val="auto"/>
        </w:rPr>
      </w:pPr>
      <w:r w:rsidRPr="008B5786">
        <w:rPr>
          <w:color w:val="auto"/>
        </w:rPr>
        <w:t>The report was created in the context of Joules, a British clothing and homeware company that employs over 1823 people. The report makes a case for flexible working in the context of diversity and inclusion work, as well as an examination of the role of human resources in fostering diversity and inclusion through flexible working. The report provides a case against flexible working in regard to workplace inequality and examines the role of human resources in resolving concerns about inequality that may occur as a result of flexible working. The report demonstrates a critical grasp of the corporate context in which people experts operate and examines how internal issues impact a company's resourcing management.</w:t>
      </w:r>
    </w:p>
    <w:p w14:paraId="4197163F" w14:textId="77777777" w:rsidR="00042758" w:rsidRPr="008B5786" w:rsidRDefault="00D00C97" w:rsidP="00FF4167">
      <w:pPr>
        <w:pStyle w:val="Titlu1"/>
      </w:pPr>
      <w:bookmarkStart w:id="1" w:name="_Toc101600763"/>
      <w:r w:rsidRPr="008B5786">
        <w:t>COMPANY OVERVIEW</w:t>
      </w:r>
      <w:bookmarkEnd w:id="1"/>
    </w:p>
    <w:p w14:paraId="5C3D5550" w14:textId="77777777" w:rsidR="00184262" w:rsidRPr="008B5786" w:rsidRDefault="00D00C97" w:rsidP="007C0492">
      <w:pPr>
        <w:rPr>
          <w:b/>
        </w:rPr>
      </w:pPr>
      <w:r w:rsidRPr="008B5786">
        <w:rPr>
          <w:b/>
        </w:rPr>
        <w:t xml:space="preserve">Joules </w:t>
      </w:r>
    </w:p>
    <w:p w14:paraId="37FEC384" w14:textId="08BA721E" w:rsidR="00184262" w:rsidRPr="008B5786" w:rsidRDefault="00D00C97" w:rsidP="0088244D">
      <w:pPr>
        <w:spacing w:before="240"/>
      </w:pPr>
      <w:r w:rsidRPr="008B5786">
        <w:t>Joules is a British apparel and homewares brand that provides clothes and homewares inspired by British country lives.</w:t>
      </w:r>
      <w:r w:rsidR="002B6E1B" w:rsidRPr="008B5786">
        <w:t xml:space="preserve"> The company was founded about 33 years ago in the year 1989 by Tom Joule. The company employs around 1823 </w:t>
      </w:r>
      <w:r w:rsidR="006E45E8" w:rsidRPr="008B5786">
        <w:t xml:space="preserve">employees. Its brands are Baby Joules, </w:t>
      </w:r>
      <w:r w:rsidR="00900732" w:rsidRPr="008B5786">
        <w:t>Joules,</w:t>
      </w:r>
      <w:r w:rsidR="006E45E8" w:rsidRPr="008B5786">
        <w:t xml:space="preserve"> and Little Joules. It is headquartered in Market Harborough, Leicestershire, United Kingdom. </w:t>
      </w:r>
      <w:r w:rsidR="00C00137" w:rsidRPr="008B5786">
        <w:t>In 1999, the company introduced its own apparel line, and in the 2000s, it started to open stores.</w:t>
      </w:r>
      <w:r w:rsidR="002B431A" w:rsidRPr="008B5786">
        <w:t xml:space="preserve"> The Joules range offers modern apparel, footwear, and accessories for men, women, and children. Although wellies, country-inspired clothes, and polo shirts remain important parts of the line, much of the assortment is now fashion-</w:t>
      </w:r>
      <w:r w:rsidR="00F1576A" w:rsidRPr="008B5786">
        <w:t>forward</w:t>
      </w:r>
      <w:r w:rsidR="002B431A" w:rsidRPr="008B5786">
        <w:t xml:space="preserve">. </w:t>
      </w:r>
      <w:r w:rsidR="00F1576A" w:rsidRPr="008B5786">
        <w:t>Little Joule, aimed towards the children's clothing sector, made its debut in 2008, supported by Baby Joule in 2009.</w:t>
      </w:r>
      <w:r w:rsidR="0088244D" w:rsidRPr="008B5786">
        <w:t xml:space="preserve"> (Joules, 2022)</w:t>
      </w:r>
      <w:r w:rsidR="002B431A" w:rsidRPr="008B5786">
        <w:t>.</w:t>
      </w:r>
      <w:r w:rsidRPr="008B5786">
        <w:br w:type="page"/>
      </w:r>
    </w:p>
    <w:p w14:paraId="439F768B" w14:textId="77777777" w:rsidR="00185DA5" w:rsidRPr="008B5786" w:rsidRDefault="00D00C97" w:rsidP="00185DA5">
      <w:pPr>
        <w:pStyle w:val="Titlu1"/>
      </w:pPr>
      <w:bookmarkStart w:id="2" w:name="_Toc101600764"/>
      <w:r w:rsidRPr="008B5786">
        <w:t>FLEXIBLE WORKING</w:t>
      </w:r>
      <w:bookmarkEnd w:id="2"/>
      <w:r w:rsidRPr="008B5786">
        <w:t xml:space="preserve"> </w:t>
      </w:r>
    </w:p>
    <w:p w14:paraId="5793994C" w14:textId="13279DFF" w:rsidR="007C0492" w:rsidRPr="008B5786" w:rsidRDefault="00F041F0" w:rsidP="00767AD6">
      <w:r w:rsidRPr="008B5786">
        <w:t xml:space="preserve">Flexible working arrangements </w:t>
      </w:r>
      <w:r w:rsidR="00A81E63" w:rsidRPr="008B5786">
        <w:t>let</w:t>
      </w:r>
      <w:r w:rsidRPr="008B5786">
        <w:t xml:space="preserve"> </w:t>
      </w:r>
      <w:r w:rsidR="00A81E63" w:rsidRPr="008B5786">
        <w:t xml:space="preserve">staff </w:t>
      </w:r>
      <w:r w:rsidRPr="008B5786">
        <w:t xml:space="preserve">to change the volume, </w:t>
      </w:r>
      <w:r w:rsidR="008B5786" w:rsidRPr="008B5786">
        <w:t>location,</w:t>
      </w:r>
      <w:r w:rsidR="00A81E63" w:rsidRPr="008B5786">
        <w:t xml:space="preserve"> or </w:t>
      </w:r>
      <w:r w:rsidRPr="008B5786">
        <w:t>timing</w:t>
      </w:r>
      <w:r w:rsidR="00A81E63" w:rsidRPr="008B5786">
        <w:t xml:space="preserve"> </w:t>
      </w:r>
      <w:r w:rsidRPr="008B5786">
        <w:t xml:space="preserve">of their employment, </w:t>
      </w:r>
      <w:r w:rsidR="00A81E63" w:rsidRPr="008B5786">
        <w:t xml:space="preserve">ultimately </w:t>
      </w:r>
      <w:r w:rsidRPr="008B5786">
        <w:t xml:space="preserve">to the </w:t>
      </w:r>
      <w:r w:rsidR="00CB31F1" w:rsidRPr="008B5786">
        <w:t xml:space="preserve">profit </w:t>
      </w:r>
      <w:r w:rsidRPr="008B5786">
        <w:t>of both the organisation and the person. J</w:t>
      </w:r>
      <w:r w:rsidR="00D00C97" w:rsidRPr="008B5786">
        <w:t>ob-sharing, flexitime</w:t>
      </w:r>
      <w:r w:rsidRPr="008B5786">
        <w:t>, part-time working</w:t>
      </w:r>
      <w:r w:rsidR="00D00C97" w:rsidRPr="008B5786">
        <w:t>, compacted and annualised hours, term-time-only employment, working remotely, and mobile working are all examples of work arrangements that fall under this category. Many organisations provide some sort of informal flexibility without knowing it counts as a type of flexible working. As a result, they do not realise the full potential of strategically investing in flexible working methods</w:t>
      </w:r>
      <w:r w:rsidR="00CD51F0" w:rsidRPr="008B5786">
        <w:t xml:space="preserve"> (</w:t>
      </w:r>
      <w:r w:rsidR="00CD51F0" w:rsidRPr="008B5786">
        <w:rPr>
          <w:rFonts w:cs="Arial"/>
          <w:shd w:val="clear" w:color="auto" w:fill="FFFFFF"/>
        </w:rPr>
        <w:t>Austin-Egole, 2020</w:t>
      </w:r>
      <w:r w:rsidR="00CD51F0" w:rsidRPr="008B5786">
        <w:t>)</w:t>
      </w:r>
      <w:r w:rsidR="00D00C97" w:rsidRPr="008B5786">
        <w:t>.</w:t>
      </w:r>
    </w:p>
    <w:p w14:paraId="546CDA8A" w14:textId="77777777" w:rsidR="00253D4F" w:rsidRPr="008B5786" w:rsidRDefault="00D00C97" w:rsidP="00253D4F">
      <w:pPr>
        <w:pStyle w:val="Titlu1"/>
      </w:pPr>
      <w:bookmarkStart w:id="3" w:name="_Toc101600765"/>
      <w:r w:rsidRPr="008B5786">
        <w:t>WHO IS FLEXIBLE WORKING FOR?</w:t>
      </w:r>
      <w:bookmarkEnd w:id="3"/>
    </w:p>
    <w:p w14:paraId="6F08C97B" w14:textId="0A1A1856" w:rsidR="00FF1A4B" w:rsidRPr="008B5786" w:rsidRDefault="0057600D" w:rsidP="00767AD6">
      <w:r w:rsidRPr="008B5786">
        <w:t xml:space="preserve">Companies can benefit from flexible working conditions in a variety of ways, including greater work-life balance, reduced absences, and stress reduction. Employers benefit from improved motivation and output, decreased overhead expenses, and an improvement in trust and company-employee relations. </w:t>
      </w:r>
      <w:r w:rsidR="00D00C97" w:rsidRPr="008B5786">
        <w:t>Although these frequently claimed benefits, flexible working varies perception and is viewed by many as a sensitive issue to too much employee freedom and lower production requirements</w:t>
      </w:r>
      <w:r w:rsidR="001C0227" w:rsidRPr="008B5786">
        <w:t xml:space="preserve"> (</w:t>
      </w:r>
      <w:r w:rsidR="001C0227" w:rsidRPr="008B5786">
        <w:rPr>
          <w:rFonts w:cs="Arial"/>
          <w:shd w:val="clear" w:color="auto" w:fill="FFFFFF"/>
        </w:rPr>
        <w:t>Sulaymonov, 2020</w:t>
      </w:r>
      <w:r w:rsidR="001C0227" w:rsidRPr="008B5786">
        <w:t>)</w:t>
      </w:r>
      <w:r w:rsidR="00D00C97" w:rsidRPr="008B5786">
        <w:t>.</w:t>
      </w:r>
    </w:p>
    <w:p w14:paraId="3F265C5C" w14:textId="77777777" w:rsidR="00253D4F" w:rsidRPr="008B5786" w:rsidRDefault="00D00C97" w:rsidP="004E0CFA">
      <w:pPr>
        <w:pStyle w:val="Titlu1"/>
      </w:pPr>
      <w:bookmarkStart w:id="4" w:name="_Toc101600766"/>
      <w:r w:rsidRPr="008B5786">
        <w:t>FLEXIBLE WORKING IN RELATION TO DIVERSITY AND INCLUSION</w:t>
      </w:r>
      <w:bookmarkEnd w:id="4"/>
    </w:p>
    <w:p w14:paraId="3DB205D2" w14:textId="37E63125" w:rsidR="009E6476" w:rsidRPr="008B5786" w:rsidRDefault="00D00C97" w:rsidP="00767AD6">
      <w:r w:rsidRPr="008B5786">
        <w:t>The capacity to work flexibly is crucial for particular individuals and groups. Many women, elderly employees, single parents, and those with medical or psychiatric challenges could only look for jobs whether they can work part-time or in a flexible capacity. As a result, individuals may be forced to labour in low-wage positions or would be unable to work at all.</w:t>
      </w:r>
      <w:r w:rsidR="002B6AA2" w:rsidRPr="008B5786">
        <w:t xml:space="preserve"> </w:t>
      </w:r>
      <w:r w:rsidR="00FB3F68" w:rsidRPr="008B5786">
        <w:t xml:space="preserve">Professional women have battled for years to balance their numerous professional and personal obligations in society before dual-career families were the norm. Finally, the pandemic triggered the technical framework and social consciousness that was required for a large section of the workers to do their work flexibly. </w:t>
      </w:r>
      <w:r w:rsidR="00F96D53" w:rsidRPr="008B5786">
        <w:t xml:space="preserve">This has facilitated many employees </w:t>
      </w:r>
      <w:r w:rsidR="00FB3F68" w:rsidRPr="008B5786">
        <w:t xml:space="preserve">who have not had </w:t>
      </w:r>
      <w:r w:rsidR="00900732" w:rsidRPr="008B5786">
        <w:t>first-hand</w:t>
      </w:r>
      <w:r w:rsidR="00FB3F68" w:rsidRPr="008B5786">
        <w:t xml:space="preserve"> experience with the numerous benefits of flexible working from home. </w:t>
      </w:r>
      <w:r w:rsidR="00F12FC8" w:rsidRPr="008B5786">
        <w:t>In the wake of the coronavirus outbreak, Joules is enabling its 500 workers to choose whether to work from home or in the office. (Harborough FM</w:t>
      </w:r>
      <w:r w:rsidR="00474CC4" w:rsidRPr="008B5786">
        <w:t>, 2022</w:t>
      </w:r>
      <w:r w:rsidR="00F12FC8" w:rsidRPr="008B5786">
        <w:t>)</w:t>
      </w:r>
    </w:p>
    <w:p w14:paraId="71961F4E" w14:textId="77777777" w:rsidR="00482845" w:rsidRPr="008B5786" w:rsidRDefault="00D00C97" w:rsidP="00767AD6">
      <w:r w:rsidRPr="008B5786">
        <w:t>Flexibility in the workplace and scheduling allows those with physical limitations or health concerns, whether temporary or chronic, to apply for jobs. They may now work from home without being marked out, and a wide range of virtual collaboration tools, such as video captioning, text-to-speech applications, and adapted displays and input devices, boost accessibility.</w:t>
      </w:r>
      <w:r w:rsidR="00705510" w:rsidRPr="008B5786">
        <w:t xml:space="preserve"> If workers barely need to show up at the workplace, Joules can hire individuals from anywhere in the globe, not just aiding to satisfy diversity goals, but also growing new client bases by having reps who understand languages other than English and operate across time zones</w:t>
      </w:r>
      <w:r w:rsidR="00A3476A" w:rsidRPr="008B5786">
        <w:t xml:space="preserve"> (</w:t>
      </w:r>
      <w:r w:rsidR="00A3476A" w:rsidRPr="008B5786">
        <w:rPr>
          <w:rFonts w:cs="Arial"/>
          <w:shd w:val="clear" w:color="auto" w:fill="FFFFFF"/>
        </w:rPr>
        <w:t>Andrade et.al., 2019</w:t>
      </w:r>
      <w:r w:rsidR="000C321C" w:rsidRPr="008B5786">
        <w:rPr>
          <w:rFonts w:cs="Arial"/>
          <w:shd w:val="clear" w:color="auto" w:fill="FFFFFF"/>
        </w:rPr>
        <w:t>; Joules, 2022</w:t>
      </w:r>
      <w:r w:rsidR="00A3476A" w:rsidRPr="008B5786">
        <w:t>)</w:t>
      </w:r>
      <w:r w:rsidR="00705510" w:rsidRPr="008B5786">
        <w:t>.</w:t>
      </w:r>
    </w:p>
    <w:p w14:paraId="273BE142" w14:textId="77777777" w:rsidR="00652A6D" w:rsidRPr="008B5786" w:rsidRDefault="00D00C97" w:rsidP="00652A6D">
      <w:r w:rsidRPr="008B5786">
        <w:t>Professionals from historically underneath and low-income backgrounds usually have fewer development opportunities, like unpaid internship programmes or student exchange during college, and they may presently be trying to balance accountabilities that actually prevent them from connecting civic groups or travelling to seminars. Build a thorough training program, mentorship programmes and work rotations to enhance equity in career progression and to attract and retain personnel (Robin</w:t>
      </w:r>
      <w:r w:rsidR="008A4101" w:rsidRPr="008B5786">
        <w:t>, 2022</w:t>
      </w:r>
      <w:r w:rsidRPr="008B5786">
        <w:t>).</w:t>
      </w:r>
    </w:p>
    <w:p w14:paraId="318F98C7" w14:textId="77777777" w:rsidR="00652A6D" w:rsidRPr="008B5786" w:rsidRDefault="00D00C97" w:rsidP="005921DF">
      <w:pPr>
        <w:pStyle w:val="Titlu1"/>
      </w:pPr>
      <w:bookmarkStart w:id="5" w:name="_Toc101600767"/>
      <w:r w:rsidRPr="008B5786">
        <w:t>ROLE OF HUMAN RESOURCE</w:t>
      </w:r>
      <w:r w:rsidR="00F01008" w:rsidRPr="008B5786">
        <w:t>S</w:t>
      </w:r>
      <w:r w:rsidRPr="008B5786">
        <w:t xml:space="preserve"> </w:t>
      </w:r>
      <w:r w:rsidR="00F01008" w:rsidRPr="008B5786">
        <w:t>IN PROMOTING DIVERSITY AND INC</w:t>
      </w:r>
      <w:r w:rsidR="00C1093B" w:rsidRPr="008B5786">
        <w:t>L</w:t>
      </w:r>
      <w:r w:rsidR="00F01008" w:rsidRPr="008B5786">
        <w:t>USION THROUGH FLEXIBLE WORKING</w:t>
      </w:r>
      <w:bookmarkEnd w:id="5"/>
      <w:r w:rsidR="00F01008" w:rsidRPr="008B5786">
        <w:t xml:space="preserve"> </w:t>
      </w:r>
    </w:p>
    <w:p w14:paraId="6CE4C5B5" w14:textId="69B97EDB" w:rsidR="00863FC8" w:rsidRPr="008B5786" w:rsidRDefault="00402DA6" w:rsidP="00863FC8">
      <w:r w:rsidRPr="008B5786">
        <w:t xml:space="preserve">HR department have a key role in developing and </w:t>
      </w:r>
      <w:r w:rsidR="00CB31F1" w:rsidRPr="008B5786">
        <w:t xml:space="preserve">endorsing </w:t>
      </w:r>
      <w:r w:rsidRPr="008B5786">
        <w:t xml:space="preserve">diversity. Its fundamental goal in diversity leadership and management is to establish and strengthen a corporate culture that </w:t>
      </w:r>
      <w:r w:rsidR="00F56130" w:rsidRPr="008B5786">
        <w:t xml:space="preserve">look after </w:t>
      </w:r>
      <w:r w:rsidRPr="008B5786">
        <w:t xml:space="preserve">a pleasant and friendly, </w:t>
      </w:r>
      <w:r w:rsidR="00F56130" w:rsidRPr="008B5786">
        <w:t xml:space="preserve">general </w:t>
      </w:r>
      <w:r w:rsidRPr="008B5786">
        <w:t xml:space="preserve">workplace in which </w:t>
      </w:r>
      <w:r w:rsidR="00F56130" w:rsidRPr="008B5786">
        <w:t>every</w:t>
      </w:r>
      <w:r w:rsidRPr="008B5786">
        <w:t xml:space="preserve"> </w:t>
      </w:r>
      <w:r w:rsidR="00F56130" w:rsidRPr="008B5786">
        <w:t xml:space="preserve">worker </w:t>
      </w:r>
      <w:r w:rsidRPr="008B5786">
        <w:t xml:space="preserve">has the </w:t>
      </w:r>
      <w:r w:rsidR="005960FC" w:rsidRPr="008B5786">
        <w:t xml:space="preserve">chance </w:t>
      </w:r>
      <w:r w:rsidRPr="008B5786">
        <w:t xml:space="preserve">to grow, </w:t>
      </w:r>
      <w:r w:rsidR="005960FC" w:rsidRPr="008B5786">
        <w:t>contribute</w:t>
      </w:r>
      <w:r w:rsidRPr="008B5786">
        <w:t xml:space="preserve"> and </w:t>
      </w:r>
      <w:r w:rsidR="005960FC" w:rsidRPr="008B5786">
        <w:t xml:space="preserve">learn that will facilitate </w:t>
      </w:r>
      <w:r w:rsidRPr="008B5786">
        <w:t xml:space="preserve">the business's success. </w:t>
      </w:r>
      <w:r w:rsidR="005960FC" w:rsidRPr="008B5786">
        <w:t xml:space="preserve">Human resource management </w:t>
      </w:r>
      <w:r w:rsidRPr="008B5786">
        <w:t xml:space="preserve">should be in charge of performing yearly diversity audits </w:t>
      </w:r>
      <w:r w:rsidR="00E46913" w:rsidRPr="008B5786">
        <w:t xml:space="preserve">and monitoring </w:t>
      </w:r>
      <w:r w:rsidRPr="008B5786">
        <w:t xml:space="preserve">not only for </w:t>
      </w:r>
      <w:r w:rsidR="00E46913" w:rsidRPr="008B5786">
        <w:t xml:space="preserve">present staff </w:t>
      </w:r>
      <w:r w:rsidRPr="008B5786">
        <w:t xml:space="preserve">but also for job candidates, so that their organization's racial profile is </w:t>
      </w:r>
      <w:r w:rsidR="00E579D5" w:rsidRPr="008B5786">
        <w:t>recognised,</w:t>
      </w:r>
      <w:r w:rsidRPr="008B5786">
        <w:t xml:space="preserve"> and progress can be properly measured </w:t>
      </w:r>
      <w:r w:rsidR="00B204E6" w:rsidRPr="008B5786">
        <w:t>(AM et.al., 2020)</w:t>
      </w:r>
      <w:r w:rsidR="007E155C" w:rsidRPr="008B5786">
        <w:t>.</w:t>
      </w:r>
    </w:p>
    <w:p w14:paraId="1F81B288" w14:textId="77777777" w:rsidR="003D229A" w:rsidRPr="008B5786" w:rsidRDefault="00D00C97" w:rsidP="00863FC8">
      <w:r w:rsidRPr="008B5786">
        <w:t>Employee involvement is a critical component of developing an empowering company culture. Connecting with individuals from other cultures enables workers to become more aware of different cultures while also allowing them to feel appreciated. To encourage and strengthen Diversity and inclusions policies, business conglomerates are establishing diversity councils, panel discussions, hosting webinars, learning and development (L&amp;D) modules, management training programmes, seminars and catch-up sessions</w:t>
      </w:r>
      <w:r w:rsidR="00B204E6" w:rsidRPr="008B5786">
        <w:t xml:space="preserve"> (</w:t>
      </w:r>
      <w:r w:rsidR="00B204E6" w:rsidRPr="008B5786">
        <w:rPr>
          <w:rFonts w:cs="Arial"/>
          <w:shd w:val="clear" w:color="auto" w:fill="FFFFFF"/>
        </w:rPr>
        <w:t>Ayega and Muathe, 2018</w:t>
      </w:r>
      <w:r w:rsidR="00B204E6" w:rsidRPr="008B5786">
        <w:t>)</w:t>
      </w:r>
      <w:r w:rsidRPr="008B5786">
        <w:t>.</w:t>
      </w:r>
    </w:p>
    <w:p w14:paraId="4DAAD5F6" w14:textId="77777777" w:rsidR="00FA5E92" w:rsidRPr="008B5786" w:rsidRDefault="00D00C97" w:rsidP="00863FC8">
      <w:r w:rsidRPr="008B5786">
        <w:t>Businesses are dedicated to altering the future of work for women and providing them with training and skill development and educational possibilities. They are also assisting them in preparing for management roles and breaking down the image of</w:t>
      </w:r>
      <w:r w:rsidR="00217EE4" w:rsidRPr="008B5786">
        <w:t xml:space="preserve"> </w:t>
      </w:r>
      <w:r w:rsidRPr="008B5786">
        <w:t>'male-dominated' sectors. Furthermore, executives perform yearly monitoring and diversity audits for existing and potential workers to make people more aware of their company's racial profile. Diversity and inclusion are critical business principles that high-performing organisations value. They place a premium on creating settings that allow their staff to thrive. Diversity leads businesses into a more positive and promising future</w:t>
      </w:r>
      <w:r w:rsidR="00C70B72" w:rsidRPr="008B5786">
        <w:t xml:space="preserve"> (Mannolova et.al., 2020)</w:t>
      </w:r>
      <w:r w:rsidRPr="008B5786">
        <w:t>.</w:t>
      </w:r>
    </w:p>
    <w:p w14:paraId="6126ACA4" w14:textId="14F81789" w:rsidR="00101FCE" w:rsidRPr="008B5786" w:rsidRDefault="00D00C97" w:rsidP="00C70B72">
      <w:pPr>
        <w:spacing w:before="240"/>
      </w:pPr>
      <w:r w:rsidRPr="008B5786">
        <w:t xml:space="preserve">Joules </w:t>
      </w:r>
      <w:r w:rsidR="00A05EE7" w:rsidRPr="008B5786">
        <w:t xml:space="preserve">providing flexible working to the employees will provide the company with an opportunity to </w:t>
      </w:r>
      <w:r w:rsidR="00F9120A" w:rsidRPr="008B5786">
        <w:t xml:space="preserve">expand by recruiting more employees from anywhere around the globe. The </w:t>
      </w:r>
      <w:r w:rsidR="00CD7D5E" w:rsidRPr="008B5786">
        <w:t xml:space="preserve">company providing employees work </w:t>
      </w:r>
      <w:r w:rsidR="00217EE4" w:rsidRPr="008B5786">
        <w:t>will</w:t>
      </w:r>
      <w:r w:rsidR="00CD7D5E" w:rsidRPr="008B5786">
        <w:t xml:space="preserve"> reduce the chances of absentees and increase </w:t>
      </w:r>
      <w:r w:rsidR="005F3439" w:rsidRPr="008B5786">
        <w:t xml:space="preserve">productivity. </w:t>
      </w:r>
      <w:r w:rsidR="00217EE4" w:rsidRPr="008B5786">
        <w:t xml:space="preserve">This encourages female workers </w:t>
      </w:r>
      <w:r w:rsidR="00520DA4" w:rsidRPr="008B5786">
        <w:t xml:space="preserve">to work effectively as it will let them work </w:t>
      </w:r>
      <w:r w:rsidR="00CA2F66" w:rsidRPr="008B5786">
        <w:t>from remote places and</w:t>
      </w:r>
      <w:r w:rsidR="00832AA2" w:rsidRPr="008B5786">
        <w:t xml:space="preserve"> enable them to apply for jobs. It is a</w:t>
      </w:r>
      <w:r w:rsidR="00B1275B" w:rsidRPr="008B5786">
        <w:t>ccountab</w:t>
      </w:r>
      <w:r w:rsidR="00832AA2" w:rsidRPr="008B5786">
        <w:t>le to the human resource</w:t>
      </w:r>
      <w:r w:rsidR="00B1275B" w:rsidRPr="008B5786">
        <w:t xml:space="preserve"> department</w:t>
      </w:r>
      <w:r w:rsidR="00832AA2" w:rsidRPr="008B5786">
        <w:t xml:space="preserve"> to provide proper </w:t>
      </w:r>
      <w:r w:rsidR="00B1275B" w:rsidRPr="008B5786">
        <w:t xml:space="preserve">training and development to the people to let them grow and </w:t>
      </w:r>
      <w:r w:rsidR="00EA35C8" w:rsidRPr="008B5786">
        <w:t xml:space="preserve">gain skills. Training and development of employees is the </w:t>
      </w:r>
      <w:r w:rsidR="00307C2D" w:rsidRPr="008B5786">
        <w:t xml:space="preserve">essential </w:t>
      </w:r>
      <w:r w:rsidR="009C7303" w:rsidRPr="008B5786">
        <w:t xml:space="preserve">thing to cover, that help </w:t>
      </w:r>
      <w:r w:rsidR="001F25FB" w:rsidRPr="008B5786">
        <w:t>the company to accelerate its performance</w:t>
      </w:r>
      <w:r w:rsidR="00C70B72" w:rsidRPr="008B5786">
        <w:t xml:space="preserve"> </w:t>
      </w:r>
      <w:r w:rsidR="00F203E9" w:rsidRPr="008B5786">
        <w:t>(</w:t>
      </w:r>
      <w:r w:rsidR="00F203E9" w:rsidRPr="008B5786">
        <w:rPr>
          <w:rFonts w:cs="Arial"/>
          <w:shd w:val="clear" w:color="auto" w:fill="FFFFFF"/>
        </w:rPr>
        <w:t>Warmate et.al., 2021;</w:t>
      </w:r>
      <w:r w:rsidR="00900732" w:rsidRPr="008B5786">
        <w:rPr>
          <w:rFonts w:cs="Arial"/>
          <w:shd w:val="clear" w:color="auto" w:fill="FFFFFF"/>
        </w:rPr>
        <w:t xml:space="preserve"> </w:t>
      </w:r>
      <w:r w:rsidR="00F203E9" w:rsidRPr="008B5786">
        <w:rPr>
          <w:rFonts w:cs="Arial"/>
          <w:shd w:val="clear" w:color="auto" w:fill="FFFFFF"/>
        </w:rPr>
        <w:t>Joules, 2022</w:t>
      </w:r>
      <w:r w:rsidR="00F203E9" w:rsidRPr="008B5786">
        <w:t>)</w:t>
      </w:r>
      <w:r w:rsidR="001F25FB" w:rsidRPr="008B5786">
        <w:t xml:space="preserve">. </w:t>
      </w:r>
    </w:p>
    <w:p w14:paraId="324A30DC" w14:textId="77777777" w:rsidR="00A25A01" w:rsidRPr="008B5786" w:rsidRDefault="00D00C97" w:rsidP="00C8299F">
      <w:pPr>
        <w:pStyle w:val="Titlu1"/>
      </w:pPr>
      <w:bookmarkStart w:id="6" w:name="_Toc101600768"/>
      <w:r w:rsidRPr="008B5786">
        <w:t>FLEXI</w:t>
      </w:r>
      <w:r w:rsidR="00BB4E72" w:rsidRPr="008B5786">
        <w:t>BLE WORK</w:t>
      </w:r>
      <w:r w:rsidRPr="008B5786">
        <w:t xml:space="preserve">ING IN RELATION TO INEQUALITY </w:t>
      </w:r>
      <w:r w:rsidR="00C8299F" w:rsidRPr="008B5786">
        <w:t>AT WORK</w:t>
      </w:r>
      <w:bookmarkEnd w:id="6"/>
    </w:p>
    <w:p w14:paraId="6341236A" w14:textId="29F7405D" w:rsidR="00C8299F" w:rsidRPr="008B5786" w:rsidRDefault="00D633E3" w:rsidP="00D37B75">
      <w:r w:rsidRPr="008B5786">
        <w:t>Gender disparity in the workplace may include hiring or educating just one gender for a certain position (probably because it is seen as</w:t>
      </w:r>
      <w:r w:rsidR="00E579D5" w:rsidRPr="008B5786">
        <w:t xml:space="preserve"> </w:t>
      </w:r>
      <w:r w:rsidRPr="008B5786">
        <w:t xml:space="preserve">'men's work' or 'women's work'). Female employees may also be concerned about sexual harassment or being treated unjustly during maternity or family leave. Gender disparity is a multidimensional problem that manifests itself in management systems, </w:t>
      </w:r>
      <w:r w:rsidR="008B5786" w:rsidRPr="008B5786">
        <w:t>behaviours,</w:t>
      </w:r>
      <w:r w:rsidR="00E46913" w:rsidRPr="008B5786">
        <w:t xml:space="preserve"> and processes</w:t>
      </w:r>
      <w:r w:rsidRPr="008B5786">
        <w:t xml:space="preserve">. </w:t>
      </w:r>
      <w:r w:rsidR="007552FD" w:rsidRPr="008B5786">
        <w:t xml:space="preserve">Most of the terrible </w:t>
      </w:r>
      <w:r w:rsidRPr="008B5786">
        <w:t xml:space="preserve">gender disparities for women are institutionalised inside human resource (HR) procedures. This is </w:t>
      </w:r>
      <w:r w:rsidR="007552FD" w:rsidRPr="008B5786">
        <w:t xml:space="preserve">for the reason that </w:t>
      </w:r>
      <w:r w:rsidR="00C26525" w:rsidRPr="008B5786">
        <w:t xml:space="preserve">HR exercises (decision </w:t>
      </w:r>
      <w:r w:rsidRPr="008B5786">
        <w:t>making, policies, and their execution) have an influence on women's recruitment</w:t>
      </w:r>
      <w:r w:rsidR="00C26525" w:rsidRPr="008B5786">
        <w:t>, advancement</w:t>
      </w:r>
      <w:r w:rsidRPr="008B5786">
        <w:t xml:space="preserve">, remuneration, and </w:t>
      </w:r>
      <w:r w:rsidR="00C26525" w:rsidRPr="008B5786">
        <w:t>training</w:t>
      </w:r>
      <w:r w:rsidRPr="008B5786">
        <w:t>.</w:t>
      </w:r>
      <w:r w:rsidR="003B6DB1" w:rsidRPr="008B5786">
        <w:t xml:space="preserve"> </w:t>
      </w:r>
      <w:r w:rsidR="00823585" w:rsidRPr="008B5786">
        <w:t xml:space="preserve">They present a model of gender discrimination in human resources </w:t>
      </w:r>
      <w:r w:rsidR="00A44E3E" w:rsidRPr="008B5786">
        <w:t xml:space="preserve">which </w:t>
      </w:r>
      <w:r w:rsidR="00823585" w:rsidRPr="008B5786">
        <w:t xml:space="preserve">emphasises the reciprocal </w:t>
      </w:r>
      <w:r w:rsidR="00A44E3E" w:rsidRPr="008B5786">
        <w:t xml:space="preserve">character </w:t>
      </w:r>
      <w:r w:rsidR="00823585" w:rsidRPr="008B5786">
        <w:t xml:space="preserve">of gender </w:t>
      </w:r>
      <w:r w:rsidR="00240721" w:rsidRPr="008B5786">
        <w:t>discrimination</w:t>
      </w:r>
      <w:r w:rsidR="00823585" w:rsidRPr="008B5786">
        <w:t xml:space="preserve"> within organisations. They suggest that gender </w:t>
      </w:r>
      <w:r w:rsidR="00A93AE0" w:rsidRPr="008B5786">
        <w:t xml:space="preserve">inequality in HR-related decision </w:t>
      </w:r>
      <w:r w:rsidR="008B5786" w:rsidRPr="008B5786">
        <w:t>making,</w:t>
      </w:r>
      <w:r w:rsidR="00823585" w:rsidRPr="008B5786">
        <w:t xml:space="preserve"> and HR </w:t>
      </w:r>
      <w:r w:rsidR="00A93AE0" w:rsidRPr="008B5786">
        <w:t xml:space="preserve">exercise </w:t>
      </w:r>
      <w:r w:rsidR="00823585" w:rsidRPr="008B5786">
        <w:t xml:space="preserve">implementation stems from gender </w:t>
      </w:r>
      <w:r w:rsidR="00276D53" w:rsidRPr="008B5786">
        <w:t xml:space="preserve">discrimination </w:t>
      </w:r>
      <w:r w:rsidR="00823585" w:rsidRPr="008B5786">
        <w:t xml:space="preserve">in </w:t>
      </w:r>
      <w:r w:rsidR="00276D53" w:rsidRPr="008B5786">
        <w:t xml:space="preserve">wider </w:t>
      </w:r>
      <w:r w:rsidR="00823585" w:rsidRPr="008B5786">
        <w:t xml:space="preserve">organisational </w:t>
      </w:r>
      <w:r w:rsidR="00276D53" w:rsidRPr="008B5786">
        <w:t xml:space="preserve">processes, </w:t>
      </w:r>
      <w:r w:rsidR="00823585" w:rsidRPr="008B5786">
        <w:t xml:space="preserve">structures, and practises. This </w:t>
      </w:r>
      <w:r w:rsidR="00240721" w:rsidRPr="008B5786">
        <w:t xml:space="preserve">involves </w:t>
      </w:r>
      <w:r w:rsidR="00823585" w:rsidRPr="008B5786">
        <w:t xml:space="preserve">leadership, </w:t>
      </w:r>
      <w:r w:rsidR="00240721" w:rsidRPr="008B5786">
        <w:t>strategy</w:t>
      </w:r>
      <w:r w:rsidR="00823585" w:rsidRPr="008B5786">
        <w:t>, str</w:t>
      </w:r>
      <w:r w:rsidR="00240721" w:rsidRPr="008B5786">
        <w:t>ucture</w:t>
      </w:r>
      <w:r w:rsidR="00527652" w:rsidRPr="008B5786">
        <w:t>, organisational environment,</w:t>
      </w:r>
      <w:r w:rsidR="00823585" w:rsidRPr="008B5786">
        <w:t xml:space="preserve"> culture, and HR policies. </w:t>
      </w:r>
      <w:r w:rsidR="00527652" w:rsidRPr="008B5786">
        <w:t>Moreover</w:t>
      </w:r>
      <w:r w:rsidR="00823585" w:rsidRPr="008B5786">
        <w:t xml:space="preserve">, organisational decision-makers' degrees of sexism may impact their capacity to make gender </w:t>
      </w:r>
      <w:r w:rsidR="00527652" w:rsidRPr="008B5786">
        <w:t xml:space="preserve">unfair human resources </w:t>
      </w:r>
      <w:r w:rsidR="00823585" w:rsidRPr="008B5786">
        <w:t xml:space="preserve">related decisions or be sexist while </w:t>
      </w:r>
      <w:r w:rsidR="00F50A92" w:rsidRPr="008B5786">
        <w:t xml:space="preserve">applying </w:t>
      </w:r>
      <w:r w:rsidR="00823585" w:rsidRPr="008B5786">
        <w:t xml:space="preserve">HR processes. Importantly, institutional discrimination in organisational structures, procedures, and practises is significant because it not only influences HR practises </w:t>
      </w:r>
      <w:r w:rsidR="00F50A92" w:rsidRPr="008B5786">
        <w:t xml:space="preserve">but then again </w:t>
      </w:r>
      <w:r w:rsidR="00823585" w:rsidRPr="008B5786">
        <w:t xml:space="preserve">also offers a socialising </w:t>
      </w:r>
      <w:r w:rsidR="0028747B" w:rsidRPr="008B5786">
        <w:t xml:space="preserve">setting </w:t>
      </w:r>
      <w:r w:rsidR="00823585" w:rsidRPr="008B5786">
        <w:t xml:space="preserve">for benign sexism </w:t>
      </w:r>
      <w:r w:rsidR="0028747B" w:rsidRPr="008B5786">
        <w:t xml:space="preserve">and hostile between </w:t>
      </w:r>
      <w:r w:rsidR="000854C7" w:rsidRPr="008B5786">
        <w:t xml:space="preserve">corporate decision </w:t>
      </w:r>
      <w:r w:rsidR="00823585" w:rsidRPr="008B5786">
        <w:t>makers.</w:t>
      </w:r>
      <w:r w:rsidR="006E6DE8" w:rsidRPr="008B5786">
        <w:t xml:space="preserve"> </w:t>
      </w:r>
      <w:r w:rsidR="000854C7" w:rsidRPr="008B5786">
        <w:t xml:space="preserve">Regardless of </w:t>
      </w:r>
      <w:r w:rsidR="003B6DB1" w:rsidRPr="008B5786">
        <w:t xml:space="preserve">the </w:t>
      </w:r>
      <w:r w:rsidR="000854C7" w:rsidRPr="008B5786">
        <w:t xml:space="preserve">reality </w:t>
      </w:r>
      <w:r w:rsidR="003B6DB1" w:rsidRPr="008B5786">
        <w:t xml:space="preserve">that we depict gender difference as a self-perpetuating system that may </w:t>
      </w:r>
      <w:r w:rsidR="00BA2E08" w:rsidRPr="008B5786">
        <w:t xml:space="preserve">continue </w:t>
      </w:r>
      <w:r w:rsidR="003B6DB1" w:rsidRPr="008B5786">
        <w:t xml:space="preserve">bias, we find critical levers for eradicating prejudice </w:t>
      </w:r>
      <w:r w:rsidR="00371885" w:rsidRPr="008B5786">
        <w:t>(Chung, 2019)</w:t>
      </w:r>
      <w:r w:rsidR="006E6DE8" w:rsidRPr="008B5786">
        <w:t>.</w:t>
      </w:r>
    </w:p>
    <w:p w14:paraId="54F87BE3" w14:textId="420AADE2" w:rsidR="00537CC2" w:rsidRPr="008B5786" w:rsidRDefault="00D00C97" w:rsidP="00DE5F72">
      <w:r w:rsidRPr="008B5786">
        <w:t xml:space="preserve">Addressing all </w:t>
      </w:r>
      <w:r w:rsidR="00900732" w:rsidRPr="008B5786">
        <w:t>individuals,</w:t>
      </w:r>
      <w:r w:rsidRPr="008B5786">
        <w:t xml:space="preserve"> the same way is no longer enough to ensure equality, according to a strong international consensus. The phrase "substantive equality" has been used to describe an alternative interpretation of what equality involves. This is aimed at addressing disadvantage, under-representation, and marginalisation in the labour market. It acknowledges that the current manner of doing things has frequently been formed by the working life of individuals who have traditionally controlled the labour market. For instance, the conventional practice of working part-time hours was suitable for users in excellent health who have not been bound by care obligations. Consequently, women and girls are more prone to HIV infection and are adversely impacted by the epidemic owing to gender disparities.</w:t>
      </w:r>
      <w:r w:rsidR="007E3205" w:rsidRPr="008B5786">
        <w:t xml:space="preserve"> Women, in particular, constantly encounter a greater amount of family caregiving tasks, which has an influence on their working life</w:t>
      </w:r>
      <w:r w:rsidR="00462A45" w:rsidRPr="008B5786">
        <w:t xml:space="preserve"> (</w:t>
      </w:r>
      <w:r w:rsidR="00462A45" w:rsidRPr="008B5786">
        <w:rPr>
          <w:rFonts w:cs="Arial"/>
          <w:shd w:val="clear" w:color="auto" w:fill="FFFFFF"/>
        </w:rPr>
        <w:t>Kim et.al., 2021</w:t>
      </w:r>
      <w:r w:rsidR="00462A45" w:rsidRPr="008B5786">
        <w:t>)</w:t>
      </w:r>
      <w:r w:rsidR="007E3205" w:rsidRPr="008B5786">
        <w:t>.</w:t>
      </w:r>
    </w:p>
    <w:p w14:paraId="5BB5A042" w14:textId="77777777" w:rsidR="007E3205" w:rsidRPr="008B5786" w:rsidRDefault="00D00C97" w:rsidP="00DE5F72">
      <w:r w:rsidRPr="008B5786">
        <w:t>Requests for accommodations may, on occasion, have an unfavourable influence on other employees. This is a criterion to examine when considering whether the requested accommodation will impose an undue hardship. For instance, a company must not grant a request from a male employee who, for religious reasons, does not wish to work directly under the supervision of a female manager. Any such proposal would cause gender inequity in the workplace and may violate national laws or regulations aimed at guaranteeing gender equality at work.</w:t>
      </w:r>
    </w:p>
    <w:p w14:paraId="61D1FA49" w14:textId="77777777" w:rsidR="00E504FB" w:rsidRPr="008B5786" w:rsidRDefault="00D00C97" w:rsidP="007833EC">
      <w:pPr>
        <w:pStyle w:val="Titlu1"/>
      </w:pPr>
      <w:bookmarkStart w:id="7" w:name="_Toc101600769"/>
      <w:r w:rsidRPr="008B5786">
        <w:t>ROLE OF HUMAN RESOURCES IN AD</w:t>
      </w:r>
      <w:r w:rsidR="002F2D25" w:rsidRPr="008B5786">
        <w:t>D</w:t>
      </w:r>
      <w:r w:rsidRPr="008B5786">
        <w:t>RESSING THE CONCER</w:t>
      </w:r>
      <w:r w:rsidR="002F2D25" w:rsidRPr="008B5786">
        <w:t>N</w:t>
      </w:r>
      <w:r w:rsidRPr="008B5786">
        <w:t xml:space="preserve">S OF INEQUALITY </w:t>
      </w:r>
      <w:r w:rsidR="002F2D25" w:rsidRPr="008B5786">
        <w:t>THAT MAY AR</w:t>
      </w:r>
      <w:r w:rsidR="0038489C" w:rsidRPr="008B5786">
        <w:t xml:space="preserve">ISE FROM </w:t>
      </w:r>
      <w:r w:rsidR="007833EC" w:rsidRPr="008B5786">
        <w:t>FLEXIBLE WORKING</w:t>
      </w:r>
      <w:bookmarkEnd w:id="7"/>
      <w:r w:rsidR="007833EC" w:rsidRPr="008B5786">
        <w:t xml:space="preserve"> </w:t>
      </w:r>
    </w:p>
    <w:p w14:paraId="4F7BBB74" w14:textId="30015ADF" w:rsidR="007833EC" w:rsidRPr="008B5786" w:rsidRDefault="00DD0212" w:rsidP="007833EC">
      <w:r w:rsidRPr="008B5786">
        <w:t xml:space="preserve">A thorough technique for managing equality in the workplace is essential to ensure that all </w:t>
      </w:r>
      <w:r w:rsidR="00BA2E08" w:rsidRPr="008B5786">
        <w:t xml:space="preserve">HRM guidelines </w:t>
      </w:r>
      <w:r w:rsidRPr="008B5786">
        <w:t>and processes are free of prejudice. Evaluating and amending HR policies, training people responsible for recruiting and managing human resources, and incorporating equality into business culture are all best done as part of a well-planned and organised firm equality action plan. An equality policy defining the company's equality ideals is typically used as the foundation for the company's equality action plan.</w:t>
      </w:r>
      <w:r w:rsidR="00B9734E" w:rsidRPr="008B5786">
        <w:t xml:space="preserve"> The equality plan</w:t>
      </w:r>
      <w:r w:rsidR="00862B01" w:rsidRPr="008B5786">
        <w:t xml:space="preserve"> of </w:t>
      </w:r>
      <w:r w:rsidR="008B5786" w:rsidRPr="008B5786">
        <w:t>action often</w:t>
      </w:r>
      <w:r w:rsidR="00B9734E" w:rsidRPr="008B5786">
        <w:t xml:space="preserve"> </w:t>
      </w:r>
      <w:r w:rsidR="00862B01" w:rsidRPr="008B5786">
        <w:t xml:space="preserve">contains </w:t>
      </w:r>
      <w:r w:rsidR="00B9734E" w:rsidRPr="008B5786">
        <w:t xml:space="preserve">a number of activities and </w:t>
      </w:r>
      <w:r w:rsidR="00862B01" w:rsidRPr="008B5786">
        <w:t xml:space="preserve">favourable </w:t>
      </w:r>
      <w:r w:rsidR="00B9734E" w:rsidRPr="008B5786">
        <w:t xml:space="preserve">action measures that are carried out in a tiered fashion, starting with assessments and setting targets and actions and proceeding through implementation and measurement. Women account for more over half of all EU employees (46.3%), but just 35.3% of managers as of 2021. </w:t>
      </w:r>
      <w:r w:rsidR="00192466" w:rsidRPr="008B5786">
        <w:t>(Catalyst, 2022)</w:t>
      </w:r>
      <w:r w:rsidR="00B62AFC" w:rsidRPr="008B5786">
        <w:t xml:space="preserve">. </w:t>
      </w:r>
    </w:p>
    <w:p w14:paraId="58D3316C" w14:textId="77777777" w:rsidR="00CE6005" w:rsidRPr="008B5786" w:rsidRDefault="00D00C97" w:rsidP="00E318B9">
      <w:pPr>
        <w:jc w:val="center"/>
      </w:pPr>
      <w:r w:rsidRPr="008B5786">
        <w:rPr>
          <w:noProof/>
          <w:lang w:eastAsia="en-IN"/>
        </w:rPr>
        <w:drawing>
          <wp:inline distT="0" distB="0" distL="0" distR="0" wp14:anchorId="446B313D" wp14:editId="5F4CCD18">
            <wp:extent cx="5731510" cy="36798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79825"/>
                    </a:xfrm>
                    <a:prstGeom prst="rect">
                      <a:avLst/>
                    </a:prstGeom>
                  </pic:spPr>
                </pic:pic>
              </a:graphicData>
            </a:graphic>
          </wp:inline>
        </w:drawing>
      </w:r>
      <w:r w:rsidRPr="008B5786">
        <w:t xml:space="preserve">Fig 1. </w:t>
      </w:r>
      <w:r w:rsidR="0029646C" w:rsidRPr="008B5786">
        <w:t>Percentage</w:t>
      </w:r>
      <w:r w:rsidRPr="008B5786">
        <w:t xml:space="preserve"> of women managers in European countries, 2021</w:t>
      </w:r>
    </w:p>
    <w:p w14:paraId="391BE5BC" w14:textId="77777777" w:rsidR="00CE6005" w:rsidRPr="008B5786" w:rsidRDefault="00D00C97" w:rsidP="00E318B9">
      <w:pPr>
        <w:jc w:val="center"/>
      </w:pPr>
      <w:r w:rsidRPr="008B5786">
        <w:t>(Source: Catalyst, 2022)</w:t>
      </w:r>
    </w:p>
    <w:p w14:paraId="7E492D8B" w14:textId="5465E6A2" w:rsidR="00AD0B13" w:rsidRPr="008B5786" w:rsidRDefault="00D00C97" w:rsidP="000F10F6">
      <w:r w:rsidRPr="008B5786">
        <w:t>Companies that treat equality sincerely can implement an equality policy to officially commit to the idea of equal opportunity and treatment in t</w:t>
      </w:r>
      <w:r w:rsidR="00592E4B" w:rsidRPr="008B5786">
        <w:t xml:space="preserve">heir human resource procedures. The equality policy, like any other important business policy, should have been carefully prepared and approved by the company's board of directors. For the equality policy to be executed successfully, strong top management financing is required. Following approval, the policy should be publicised and communicated throughout the workplace. </w:t>
      </w:r>
      <w:r w:rsidRPr="008B5786">
        <w:t>Many successful businesses opt to include providing equal employment in their vision and core principles. The equality policy should be carefully designed in collaboration with labour unions and other individual employees. The form of the equality policy and how it is implemented differs from business to business, for instance, based on the company's current size and standard operating procedures. Smaller businesses, for example, may require less formalism. Furthermore, there are several components that should be present in all policy actions.</w:t>
      </w:r>
      <w:r w:rsidR="00A03D88" w:rsidRPr="008B5786">
        <w:t xml:space="preserve"> The structure of the equality policy and how it is applied vary for each company, for example, relying on the company's existing size and normal operating practices. Smaller enterprises, for instance, may need less formalisation. Furthermore, numerous elements should be present in all policy activities.</w:t>
      </w:r>
      <w:r w:rsidR="000F10F6" w:rsidRPr="008B5786">
        <w:t xml:space="preserve"> Every company that is keen to promote equality should begin by reviewing the company's human resource management policies and procedures. All current policies practices and procedures governing recruitment, compensation, eligibility to benefits, establishing employment terms and conditions, accessibility to skills courses, development and promotion, and termination of employment agreements should be </w:t>
      </w:r>
      <w:r w:rsidR="00900732" w:rsidRPr="008B5786">
        <w:t>examined,</w:t>
      </w:r>
      <w:r w:rsidR="000F10F6" w:rsidRPr="008B5786">
        <w:t xml:space="preserve"> and any necessary changes made. Human resource management policies and procedures should be reviewed in collaboration with labour groups or other employee representatives.</w:t>
      </w:r>
      <w:r w:rsidR="00EA2AC0" w:rsidRPr="008B5786">
        <w:t xml:space="preserve"> </w:t>
      </w:r>
      <w:r w:rsidR="00592E4B" w:rsidRPr="008B5786">
        <w:t>Only if the equality policy and action plan are conveyed to all workers and supervisors will they be successful. Employees and supervisors should be aware of what constitutes and does not constitute proper workplace behaviour or practise, as well as their obligations and rights. To ensure that the equality policy is effectively communicated to all employees, equality policy specifics would be included in all new hire case files, and all personnel would get periodic updates o</w:t>
      </w:r>
      <w:r w:rsidR="00710BD0" w:rsidRPr="008B5786">
        <w:t xml:space="preserve">n programme execution </w:t>
      </w:r>
      <w:r w:rsidR="004533BB" w:rsidRPr="008B5786">
        <w:t>(Cipd, 2022)</w:t>
      </w:r>
      <w:r w:rsidR="00EA2AC0" w:rsidRPr="008B5786">
        <w:t>.</w:t>
      </w:r>
    </w:p>
    <w:p w14:paraId="39EDBC80" w14:textId="77777777" w:rsidR="00EA2AC0" w:rsidRPr="008B5786" w:rsidRDefault="00D00C97" w:rsidP="000F10F6">
      <w:r w:rsidRPr="008B5786">
        <w:t>Historically, more women than men have demanded workplace flexibility, particularly those with children or care duties. The move to working from home caused by coronavirus lockdowns has resulted in a permanent change in business culture, to the point that the government is proposing legislation to make working remotely the "standard" choice.</w:t>
      </w:r>
    </w:p>
    <w:p w14:paraId="70654D11" w14:textId="77777777" w:rsidR="003E6649" w:rsidRPr="008B5786" w:rsidRDefault="00D00C97">
      <w:pPr>
        <w:spacing w:line="259" w:lineRule="auto"/>
        <w:jc w:val="left"/>
      </w:pPr>
      <w:r w:rsidRPr="008B5786">
        <w:br w:type="page"/>
      </w:r>
    </w:p>
    <w:p w14:paraId="794A8BD2" w14:textId="77777777" w:rsidR="003E6649" w:rsidRPr="008B5786" w:rsidRDefault="00D00C97" w:rsidP="003E6649">
      <w:pPr>
        <w:pStyle w:val="Titlu1"/>
      </w:pPr>
      <w:bookmarkStart w:id="8" w:name="_Toc101600770"/>
      <w:r w:rsidRPr="008B5786">
        <w:t>CONCLUSION</w:t>
      </w:r>
      <w:bookmarkEnd w:id="8"/>
      <w:r w:rsidRPr="008B5786">
        <w:t xml:space="preserve"> </w:t>
      </w:r>
    </w:p>
    <w:p w14:paraId="3BE2E0DD" w14:textId="0E0AED1E" w:rsidR="00EC767F" w:rsidRPr="008B5786" w:rsidRDefault="00D00C97" w:rsidP="00EC767F">
      <w:r w:rsidRPr="008B5786">
        <w:t xml:space="preserve">Joules is a British clothing and homewares business that creates clothing and homewares inspired by country life in the United Kingdom. Tom Joule launched the firm in 1989, over 33 years ago. </w:t>
      </w:r>
      <w:r w:rsidR="00710BD0" w:rsidRPr="008B5786">
        <w:t>Individuals with flexible working arrangements can modify the volume, schedule, or location of their job, typically to the benefit of both the organisation and the individual.</w:t>
      </w:r>
      <w:r w:rsidRPr="008B5786">
        <w:t xml:space="preserve"> Flexible working arrangements may benefit employees in a variety of ways, including greater work-life balance, reduced absences, and stress reduction. For certain individuals and groups, the ability to operate flexibly is critical. Many women, older workers, single parents, and those with medical or mental issues could only hunt for jobs if they could work part-time or in a flexible capacity. </w:t>
      </w:r>
      <w:r w:rsidR="00473F66" w:rsidRPr="008B5786">
        <w:t xml:space="preserve">Human resources have a critical role in cultivating and encouraging diversity. Its main purpose in diversity leadership and management is to build and strengthen a corporate culture that encourages a pleasant and friendly, inclusive workplace where </w:t>
      </w:r>
      <w:r w:rsidR="00D049FA" w:rsidRPr="008B5786">
        <w:t xml:space="preserve">all staff </w:t>
      </w:r>
      <w:r w:rsidR="00473F66" w:rsidRPr="008B5786">
        <w:t xml:space="preserve">has the chance to grow, </w:t>
      </w:r>
      <w:r w:rsidR="00D049FA" w:rsidRPr="008B5786">
        <w:t>contribute</w:t>
      </w:r>
      <w:r w:rsidR="00473F66" w:rsidRPr="008B5786">
        <w:t xml:space="preserve">, and </w:t>
      </w:r>
      <w:r w:rsidR="00D049FA" w:rsidRPr="008B5786">
        <w:t xml:space="preserve">learn that facilitate </w:t>
      </w:r>
      <w:r w:rsidR="00473F66" w:rsidRPr="008B5786">
        <w:t xml:space="preserve">the </w:t>
      </w:r>
      <w:r w:rsidR="000D50ED" w:rsidRPr="008B5786">
        <w:t xml:space="preserve">attainment </w:t>
      </w:r>
      <w:r w:rsidR="00473F66" w:rsidRPr="008B5786">
        <w:t xml:space="preserve">of the organisation. Gender difference in the </w:t>
      </w:r>
      <w:r w:rsidR="000D50ED" w:rsidRPr="008B5786">
        <w:t xml:space="preserve">office </w:t>
      </w:r>
      <w:r w:rsidR="00473F66" w:rsidRPr="008B5786">
        <w:t xml:space="preserve">may </w:t>
      </w:r>
      <w:r w:rsidR="000D50ED" w:rsidRPr="008B5786">
        <w:t xml:space="preserve">include </w:t>
      </w:r>
      <w:r w:rsidR="00473F66" w:rsidRPr="008B5786">
        <w:t xml:space="preserve">recruiting or educating just one gender for a certain role (most likely because it is perceived as 'men's work' or 'women's work'). A comprehensive </w:t>
      </w:r>
      <w:r w:rsidR="007A3BAE" w:rsidRPr="008B5786">
        <w:t xml:space="preserve">method </w:t>
      </w:r>
      <w:r w:rsidR="00473F66" w:rsidRPr="008B5786">
        <w:t xml:space="preserve">to </w:t>
      </w:r>
      <w:r w:rsidR="007A3BAE" w:rsidRPr="008B5786">
        <w:t xml:space="preserve">supervision </w:t>
      </w:r>
      <w:r w:rsidR="00473F66" w:rsidRPr="008B5786">
        <w:t xml:space="preserve">equality in the </w:t>
      </w:r>
      <w:r w:rsidR="007A3BAE" w:rsidRPr="008B5786">
        <w:t>office</w:t>
      </w:r>
      <w:r w:rsidR="00473F66" w:rsidRPr="008B5786">
        <w:t xml:space="preserve"> is required to guarantee that all </w:t>
      </w:r>
      <w:r w:rsidR="00864DD0" w:rsidRPr="008B5786">
        <w:t xml:space="preserve">HRM guidelines </w:t>
      </w:r>
      <w:r w:rsidR="00473F66" w:rsidRPr="008B5786">
        <w:t xml:space="preserve">and practises are free of </w:t>
      </w:r>
      <w:r w:rsidR="00E579D5" w:rsidRPr="008B5786">
        <w:t>bias.</w:t>
      </w:r>
    </w:p>
    <w:p w14:paraId="09D95595" w14:textId="77777777" w:rsidR="003E6649" w:rsidRPr="008B5786" w:rsidRDefault="00D00C97" w:rsidP="003E6649">
      <w:r w:rsidRPr="008B5786">
        <w:br w:type="page"/>
      </w:r>
    </w:p>
    <w:p w14:paraId="71B4D9B1" w14:textId="77777777" w:rsidR="003E6649" w:rsidRPr="008B5786" w:rsidRDefault="00D00C97" w:rsidP="003E6649">
      <w:pPr>
        <w:pStyle w:val="Titlu1"/>
      </w:pPr>
      <w:bookmarkStart w:id="9" w:name="_Toc101600771"/>
      <w:r w:rsidRPr="008B5786">
        <w:t>REFERENCE</w:t>
      </w:r>
      <w:bookmarkEnd w:id="9"/>
      <w:r w:rsidRPr="008B5786">
        <w:t xml:space="preserve"> </w:t>
      </w:r>
    </w:p>
    <w:p w14:paraId="039E485A" w14:textId="77777777" w:rsidR="008B5786" w:rsidRPr="008B5786" w:rsidRDefault="008B5786" w:rsidP="00EC28A3">
      <w:pPr>
        <w:rPr>
          <w:rFonts w:cs="Arial"/>
          <w:noProof/>
          <w:shd w:val="clear" w:color="auto" w:fill="FFFFFF"/>
        </w:rPr>
      </w:pPr>
      <w:r w:rsidRPr="008B5786">
        <w:rPr>
          <w:rFonts w:cs="Arial"/>
          <w:noProof/>
          <w:shd w:val="clear" w:color="auto" w:fill="FFFFFF"/>
        </w:rPr>
        <w:t>AM, E., Affandi, A., Udobong, A. and Sarwani, S. (2020). Implementation of human resource management in the adaptation period for new habits. </w:t>
      </w:r>
      <w:r w:rsidRPr="008B5786">
        <w:rPr>
          <w:rFonts w:cs="Arial"/>
          <w:i/>
          <w:iCs/>
          <w:noProof/>
          <w:shd w:val="clear" w:color="auto" w:fill="FFFFFF"/>
        </w:rPr>
        <w:t>International Journal of Educational Administration, Management, and Leadership</w:t>
      </w:r>
      <w:r w:rsidRPr="008B5786">
        <w:rPr>
          <w:rFonts w:cs="Arial"/>
          <w:noProof/>
          <w:shd w:val="clear" w:color="auto" w:fill="FFFFFF"/>
        </w:rPr>
        <w:t>, 19-26.</w:t>
      </w:r>
    </w:p>
    <w:p w14:paraId="6A4A5F11" w14:textId="77777777" w:rsidR="008B5786" w:rsidRPr="008B5786" w:rsidRDefault="008B5786" w:rsidP="00EC28A3">
      <w:pPr>
        <w:rPr>
          <w:rFonts w:cs="Arial"/>
          <w:noProof/>
          <w:shd w:val="clear" w:color="auto" w:fill="FFFFFF"/>
        </w:rPr>
      </w:pPr>
      <w:r w:rsidRPr="008B5786">
        <w:rPr>
          <w:rFonts w:cs="Arial"/>
          <w:noProof/>
          <w:shd w:val="clear" w:color="auto" w:fill="FFFFFF"/>
        </w:rPr>
        <w:t>Andrade, M., Westover, J. and Kupka, B. (2019). The role of work-life balance and worker scheduling flexibility in predicting global comparative job satisfaction. </w:t>
      </w:r>
      <w:r w:rsidRPr="008B5786">
        <w:rPr>
          <w:rFonts w:cs="Arial"/>
          <w:i/>
          <w:iCs/>
          <w:noProof/>
          <w:shd w:val="clear" w:color="auto" w:fill="FFFFFF"/>
        </w:rPr>
        <w:t>database</w:t>
      </w:r>
      <w:r w:rsidRPr="008B5786">
        <w:rPr>
          <w:rFonts w:cs="Arial"/>
          <w:noProof/>
          <w:shd w:val="clear" w:color="auto" w:fill="FFFFFF"/>
        </w:rPr>
        <w:t>, </w:t>
      </w:r>
      <w:r w:rsidRPr="008B5786">
        <w:rPr>
          <w:rFonts w:cs="Arial"/>
          <w:i/>
          <w:iCs/>
          <w:noProof/>
          <w:shd w:val="clear" w:color="auto" w:fill="FFFFFF"/>
        </w:rPr>
        <w:t>9</w:t>
      </w:r>
      <w:r w:rsidRPr="008B5786">
        <w:rPr>
          <w:rFonts w:cs="Arial"/>
          <w:noProof/>
          <w:shd w:val="clear" w:color="auto" w:fill="FFFFFF"/>
        </w:rPr>
        <w:t>(2).</w:t>
      </w:r>
    </w:p>
    <w:p w14:paraId="422DECC1" w14:textId="77777777" w:rsidR="008B5786" w:rsidRPr="008B5786" w:rsidRDefault="008B5786" w:rsidP="00EC28A3">
      <w:pPr>
        <w:rPr>
          <w:rFonts w:cs="Arial"/>
          <w:noProof/>
          <w:shd w:val="clear" w:color="auto" w:fill="FFFFFF"/>
        </w:rPr>
      </w:pPr>
      <w:r w:rsidRPr="008B5786">
        <w:rPr>
          <w:rFonts w:cs="Arial"/>
          <w:noProof/>
          <w:shd w:val="clear" w:color="auto" w:fill="FFFFFF"/>
        </w:rPr>
        <w:t>Austin-Egole, I., Iheriohanma, E. and Nwokorie, C. (2020). Flexible working arrangements and organizational performance: An overview. </w:t>
      </w:r>
      <w:r w:rsidRPr="008B5786">
        <w:rPr>
          <w:rFonts w:cs="Arial"/>
          <w:i/>
          <w:iCs/>
          <w:noProof/>
          <w:shd w:val="clear" w:color="auto" w:fill="FFFFFF"/>
        </w:rPr>
        <w:t>IOSR Journal of Humanities and Social Science (IOSR-JHSS)</w:t>
      </w:r>
      <w:r w:rsidRPr="008B5786">
        <w:rPr>
          <w:rFonts w:cs="Arial"/>
          <w:noProof/>
          <w:shd w:val="clear" w:color="auto" w:fill="FFFFFF"/>
        </w:rPr>
        <w:t>, </w:t>
      </w:r>
      <w:r w:rsidRPr="008B5786">
        <w:rPr>
          <w:rFonts w:cs="Arial"/>
          <w:i/>
          <w:iCs/>
          <w:noProof/>
          <w:shd w:val="clear" w:color="auto" w:fill="FFFFFF"/>
        </w:rPr>
        <w:t>25</w:t>
      </w:r>
      <w:r w:rsidRPr="008B5786">
        <w:rPr>
          <w:rFonts w:cs="Arial"/>
          <w:noProof/>
          <w:shd w:val="clear" w:color="auto" w:fill="FFFFFF"/>
        </w:rPr>
        <w:t>(5), 50-59.</w:t>
      </w:r>
    </w:p>
    <w:p w14:paraId="76E06DA5" w14:textId="77777777" w:rsidR="008B5786" w:rsidRPr="008B5786" w:rsidRDefault="008B5786" w:rsidP="00EC28A3">
      <w:pPr>
        <w:rPr>
          <w:rFonts w:cs="Arial"/>
          <w:noProof/>
          <w:shd w:val="clear" w:color="auto" w:fill="FFFFFF"/>
        </w:rPr>
      </w:pPr>
      <w:r w:rsidRPr="008B5786">
        <w:rPr>
          <w:rFonts w:cs="Arial"/>
          <w:noProof/>
          <w:shd w:val="clear" w:color="auto" w:fill="FFFFFF"/>
        </w:rPr>
        <w:t>Ayega, E. and Muathe, S. (2018). Critical review of literature on cultural diversity in the workplace and organizational performance: A research agenda. </w:t>
      </w:r>
      <w:r w:rsidRPr="008B5786">
        <w:rPr>
          <w:rFonts w:cs="Arial"/>
          <w:i/>
          <w:iCs/>
          <w:noProof/>
          <w:shd w:val="clear" w:color="auto" w:fill="FFFFFF"/>
        </w:rPr>
        <w:t>Journal of Human Resource Management</w:t>
      </w:r>
      <w:r w:rsidRPr="008B5786">
        <w:rPr>
          <w:rFonts w:cs="Arial"/>
          <w:noProof/>
          <w:shd w:val="clear" w:color="auto" w:fill="FFFFFF"/>
        </w:rPr>
        <w:t>, </w:t>
      </w:r>
      <w:r w:rsidRPr="008B5786">
        <w:rPr>
          <w:rFonts w:cs="Arial"/>
          <w:i/>
          <w:iCs/>
          <w:noProof/>
          <w:shd w:val="clear" w:color="auto" w:fill="FFFFFF"/>
        </w:rPr>
        <w:t>6</w:t>
      </w:r>
      <w:r w:rsidRPr="008B5786">
        <w:rPr>
          <w:rFonts w:cs="Arial"/>
          <w:noProof/>
          <w:shd w:val="clear" w:color="auto" w:fill="FFFFFF"/>
        </w:rPr>
        <w:t>(1), 9-17.</w:t>
      </w:r>
    </w:p>
    <w:p w14:paraId="1ADB425D" w14:textId="77777777" w:rsidR="008B5786" w:rsidRPr="008B5786" w:rsidRDefault="008B5786" w:rsidP="00EC28A3">
      <w:pPr>
        <w:rPr>
          <w:rFonts w:cs="Arial"/>
          <w:noProof/>
        </w:rPr>
      </w:pPr>
      <w:r w:rsidRPr="008B5786">
        <w:rPr>
          <w:rFonts w:cs="Arial"/>
          <w:noProof/>
        </w:rPr>
        <w:t>Catalyst. (2022). Women in Management (Quick Take). (Online). catalyst.org Available at: https://www.catalyst.org/research/women-in-management/ [Last accessed 14</w:t>
      </w:r>
      <w:r w:rsidRPr="008B5786">
        <w:rPr>
          <w:rFonts w:cs="Arial"/>
          <w:noProof/>
          <w:vertAlign w:val="superscript"/>
        </w:rPr>
        <w:t>th</w:t>
      </w:r>
      <w:r w:rsidRPr="008B5786">
        <w:rPr>
          <w:rFonts w:cs="Arial"/>
          <w:noProof/>
        </w:rPr>
        <w:t xml:space="preserve"> April 2022]</w:t>
      </w:r>
    </w:p>
    <w:p w14:paraId="688DA128" w14:textId="77777777" w:rsidR="008B5786" w:rsidRPr="008B5786" w:rsidRDefault="008B5786" w:rsidP="00EC28A3">
      <w:pPr>
        <w:rPr>
          <w:rFonts w:cs="Arial"/>
          <w:noProof/>
          <w:shd w:val="clear" w:color="auto" w:fill="FFFFFF"/>
        </w:rPr>
      </w:pPr>
      <w:r w:rsidRPr="008B5786">
        <w:rPr>
          <w:rFonts w:cs="Arial"/>
          <w:noProof/>
          <w:shd w:val="clear" w:color="auto" w:fill="FFFFFF"/>
        </w:rPr>
        <w:t>Chung, H. (2019). ‘Women’s work penalty’in access to flexible working arrangements across Europe. </w:t>
      </w:r>
      <w:r w:rsidRPr="008B5786">
        <w:rPr>
          <w:rFonts w:cs="Arial"/>
          <w:i/>
          <w:iCs/>
          <w:noProof/>
          <w:shd w:val="clear" w:color="auto" w:fill="FFFFFF"/>
        </w:rPr>
        <w:t>European Journal of Industrial Relations</w:t>
      </w:r>
      <w:r w:rsidRPr="008B5786">
        <w:rPr>
          <w:rFonts w:cs="Arial"/>
          <w:noProof/>
          <w:shd w:val="clear" w:color="auto" w:fill="FFFFFF"/>
        </w:rPr>
        <w:t>, </w:t>
      </w:r>
      <w:r w:rsidRPr="008B5786">
        <w:rPr>
          <w:rFonts w:cs="Arial"/>
          <w:i/>
          <w:iCs/>
          <w:noProof/>
          <w:shd w:val="clear" w:color="auto" w:fill="FFFFFF"/>
        </w:rPr>
        <w:t>25</w:t>
      </w:r>
      <w:r w:rsidRPr="008B5786">
        <w:rPr>
          <w:rFonts w:cs="Arial"/>
          <w:noProof/>
          <w:shd w:val="clear" w:color="auto" w:fill="FFFFFF"/>
        </w:rPr>
        <w:t>(1), 23-40.</w:t>
      </w:r>
    </w:p>
    <w:p w14:paraId="1C6C5E4A" w14:textId="77777777" w:rsidR="008B5786" w:rsidRPr="008B5786" w:rsidRDefault="008B5786" w:rsidP="00EC28A3">
      <w:pPr>
        <w:rPr>
          <w:rFonts w:cs="Arial"/>
          <w:noProof/>
        </w:rPr>
      </w:pPr>
      <w:r w:rsidRPr="008B5786">
        <w:rPr>
          <w:rFonts w:cs="Arial"/>
          <w:noProof/>
        </w:rPr>
        <w:t>Cipd. (2022). Flexible working: a step to creating more inclusive workplaces. (Online). cipd.co.uk Available at: https://www.cipd.co.uk/news-views/news-articles/flexible-working#gref [Last accessed 14</w:t>
      </w:r>
      <w:r w:rsidRPr="008B5786">
        <w:rPr>
          <w:rFonts w:cs="Arial"/>
          <w:noProof/>
          <w:vertAlign w:val="superscript"/>
        </w:rPr>
        <w:t>th</w:t>
      </w:r>
      <w:r w:rsidRPr="008B5786">
        <w:rPr>
          <w:rFonts w:cs="Arial"/>
          <w:noProof/>
        </w:rPr>
        <w:t xml:space="preserve"> April 2022]</w:t>
      </w:r>
    </w:p>
    <w:p w14:paraId="0469FFCC" w14:textId="77777777" w:rsidR="008B5786" w:rsidRPr="008B5786" w:rsidRDefault="008B5786" w:rsidP="00EC28A3">
      <w:pPr>
        <w:rPr>
          <w:rFonts w:cs="Arial"/>
          <w:noProof/>
        </w:rPr>
      </w:pPr>
      <w:r w:rsidRPr="008B5786">
        <w:rPr>
          <w:rFonts w:cs="Arial"/>
          <w:noProof/>
        </w:rPr>
        <w:t>Harborough FM. (2022). Joules introduces ‘fully flexible’ approach to where staff work. (Online). harboroughfm.co.uk Available at: https://harboroughfm.co.uk/joules-introduces-fully-flexible-approach-to-where-staff-work/ [Last accessed 14</w:t>
      </w:r>
      <w:r w:rsidRPr="008B5786">
        <w:rPr>
          <w:rFonts w:cs="Arial"/>
          <w:noProof/>
          <w:vertAlign w:val="superscript"/>
        </w:rPr>
        <w:t>th</w:t>
      </w:r>
      <w:r w:rsidRPr="008B5786">
        <w:rPr>
          <w:rFonts w:cs="Arial"/>
          <w:noProof/>
        </w:rPr>
        <w:t xml:space="preserve"> April 2022]</w:t>
      </w:r>
    </w:p>
    <w:p w14:paraId="7186F073" w14:textId="77777777" w:rsidR="008B5786" w:rsidRPr="008B5786" w:rsidRDefault="008B5786" w:rsidP="00EC28A3">
      <w:pPr>
        <w:rPr>
          <w:rFonts w:cs="Arial"/>
          <w:noProof/>
        </w:rPr>
      </w:pPr>
      <w:r w:rsidRPr="008B5786">
        <w:rPr>
          <w:rFonts w:cs="Arial"/>
          <w:noProof/>
        </w:rPr>
        <w:t>Joules group. (2022). Our story. (Online). joulesgroup.com Available at: https://www.joulesgroup.com/about-us/our-story/ [Last accessed 14</w:t>
      </w:r>
      <w:r w:rsidRPr="008B5786">
        <w:rPr>
          <w:rFonts w:cs="Arial"/>
          <w:noProof/>
          <w:vertAlign w:val="superscript"/>
        </w:rPr>
        <w:t>th</w:t>
      </w:r>
      <w:r w:rsidRPr="008B5786">
        <w:rPr>
          <w:rFonts w:cs="Arial"/>
          <w:noProof/>
        </w:rPr>
        <w:t xml:space="preserve"> April 2022]</w:t>
      </w:r>
    </w:p>
    <w:p w14:paraId="60C36695" w14:textId="77777777" w:rsidR="008B5786" w:rsidRPr="008B5786" w:rsidRDefault="008B5786" w:rsidP="00EC28A3">
      <w:pPr>
        <w:rPr>
          <w:rFonts w:cs="Arial"/>
          <w:noProof/>
          <w:shd w:val="clear" w:color="auto" w:fill="FFFFFF"/>
        </w:rPr>
      </w:pPr>
      <w:r w:rsidRPr="008B5786">
        <w:rPr>
          <w:rFonts w:cs="Arial"/>
          <w:noProof/>
          <w:shd w:val="clear" w:color="auto" w:fill="FFFFFF"/>
        </w:rPr>
        <w:t>Kim, J., Henly, J., Golden, L. and Lambert, S. (2020). Workplace flexibility and worker well</w:t>
      </w:r>
      <w:r w:rsidRPr="008B5786">
        <w:rPr>
          <w:rFonts w:ascii="Cambria Math" w:hAnsi="Cambria Math" w:cs="Cambria Math"/>
          <w:noProof/>
          <w:shd w:val="clear" w:color="auto" w:fill="FFFFFF"/>
        </w:rPr>
        <w:t>‐</w:t>
      </w:r>
      <w:r w:rsidRPr="008B5786">
        <w:rPr>
          <w:rFonts w:cs="Arial"/>
          <w:noProof/>
          <w:shd w:val="clear" w:color="auto" w:fill="FFFFFF"/>
        </w:rPr>
        <w:t>being by gender. </w:t>
      </w:r>
      <w:r w:rsidRPr="008B5786">
        <w:rPr>
          <w:rFonts w:cs="Arial"/>
          <w:i/>
          <w:iCs/>
          <w:noProof/>
          <w:shd w:val="clear" w:color="auto" w:fill="FFFFFF"/>
        </w:rPr>
        <w:t>Journal of Marriage and Family</w:t>
      </w:r>
      <w:r w:rsidRPr="008B5786">
        <w:rPr>
          <w:rFonts w:cs="Arial"/>
          <w:noProof/>
          <w:shd w:val="clear" w:color="auto" w:fill="FFFFFF"/>
        </w:rPr>
        <w:t>, </w:t>
      </w:r>
      <w:r w:rsidRPr="008B5786">
        <w:rPr>
          <w:rFonts w:cs="Arial"/>
          <w:i/>
          <w:iCs/>
          <w:noProof/>
          <w:shd w:val="clear" w:color="auto" w:fill="FFFFFF"/>
        </w:rPr>
        <w:t>82</w:t>
      </w:r>
      <w:r w:rsidRPr="008B5786">
        <w:rPr>
          <w:rFonts w:cs="Arial"/>
          <w:noProof/>
          <w:shd w:val="clear" w:color="auto" w:fill="FFFFFF"/>
        </w:rPr>
        <w:t>(3), 892-910.</w:t>
      </w:r>
    </w:p>
    <w:p w14:paraId="4343573E" w14:textId="77777777" w:rsidR="008B5786" w:rsidRPr="008B5786" w:rsidRDefault="008B5786" w:rsidP="00EC28A3">
      <w:pPr>
        <w:rPr>
          <w:rFonts w:cs="Arial"/>
          <w:noProof/>
          <w:shd w:val="clear" w:color="auto" w:fill="FFFFFF"/>
        </w:rPr>
      </w:pPr>
      <w:r w:rsidRPr="008B5786">
        <w:rPr>
          <w:rFonts w:cs="Arial"/>
          <w:noProof/>
          <w:shd w:val="clear" w:color="auto" w:fill="FFFFFF"/>
        </w:rPr>
        <w:t>Manolova, T., Brush, C., Edelman, L. and Elam, A. (2020). &lt;? covid19?&gt; Pivoting to stay the course: How women entrepreneurs take advantage of opportunities created by the COVID-19 pandemic. </w:t>
      </w:r>
      <w:r w:rsidRPr="008B5786">
        <w:rPr>
          <w:rFonts w:cs="Arial"/>
          <w:i/>
          <w:iCs/>
          <w:noProof/>
          <w:shd w:val="clear" w:color="auto" w:fill="FFFFFF"/>
        </w:rPr>
        <w:t>International Small Business Journal</w:t>
      </w:r>
      <w:r w:rsidRPr="008B5786">
        <w:rPr>
          <w:rFonts w:cs="Arial"/>
          <w:noProof/>
          <w:shd w:val="clear" w:color="auto" w:fill="FFFFFF"/>
        </w:rPr>
        <w:t>, </w:t>
      </w:r>
      <w:r w:rsidRPr="008B5786">
        <w:rPr>
          <w:rFonts w:cs="Arial"/>
          <w:i/>
          <w:iCs/>
          <w:noProof/>
          <w:shd w:val="clear" w:color="auto" w:fill="FFFFFF"/>
        </w:rPr>
        <w:t>38</w:t>
      </w:r>
      <w:r w:rsidRPr="008B5786">
        <w:rPr>
          <w:rFonts w:cs="Arial"/>
          <w:noProof/>
          <w:shd w:val="clear" w:color="auto" w:fill="FFFFFF"/>
        </w:rPr>
        <w:t>(6), 481-491.</w:t>
      </w:r>
    </w:p>
    <w:p w14:paraId="0976BBB2" w14:textId="77777777" w:rsidR="008B5786" w:rsidRPr="008B5786" w:rsidRDefault="008B5786" w:rsidP="00EC28A3">
      <w:pPr>
        <w:rPr>
          <w:rFonts w:cs="Arial"/>
          <w:noProof/>
        </w:rPr>
      </w:pPr>
      <w:r w:rsidRPr="008B5786">
        <w:rPr>
          <w:rFonts w:cs="Arial"/>
          <w:noProof/>
        </w:rPr>
        <w:t>Robin powered. (2022). Flexible work opens the door for big improvements in DE&amp;I. (Online). robinpowered.com Available at: https://robinpowered.com/blog/flexible-work-improvements-diversity-and-inclusion [Last accessed 14</w:t>
      </w:r>
      <w:r w:rsidRPr="008B5786">
        <w:rPr>
          <w:rFonts w:cs="Arial"/>
          <w:noProof/>
          <w:vertAlign w:val="superscript"/>
        </w:rPr>
        <w:t>th</w:t>
      </w:r>
      <w:r w:rsidRPr="008B5786">
        <w:rPr>
          <w:rFonts w:cs="Arial"/>
          <w:noProof/>
        </w:rPr>
        <w:t xml:space="preserve"> April 2022]</w:t>
      </w:r>
    </w:p>
    <w:p w14:paraId="2B0B4ACC" w14:textId="77777777" w:rsidR="008B5786" w:rsidRPr="008B5786" w:rsidRDefault="008B5786" w:rsidP="00EC28A3">
      <w:pPr>
        <w:rPr>
          <w:rFonts w:cs="Arial"/>
          <w:noProof/>
          <w:shd w:val="clear" w:color="auto" w:fill="FFFFFF"/>
        </w:rPr>
      </w:pPr>
      <w:r w:rsidRPr="008B5786">
        <w:rPr>
          <w:rFonts w:cs="Arial"/>
          <w:noProof/>
          <w:shd w:val="clear" w:color="auto" w:fill="FFFFFF"/>
        </w:rPr>
        <w:t>Sulaymonov, A. (2020). Flexible working practices: urgency or future?. </w:t>
      </w:r>
      <w:r w:rsidRPr="008B5786">
        <w:rPr>
          <w:rFonts w:cs="Arial"/>
          <w:i/>
          <w:iCs/>
          <w:noProof/>
          <w:shd w:val="clear" w:color="auto" w:fill="FFFFFF"/>
        </w:rPr>
        <w:t>Modern Economy</w:t>
      </w:r>
      <w:r w:rsidRPr="008B5786">
        <w:rPr>
          <w:rFonts w:cs="Arial"/>
          <w:noProof/>
          <w:shd w:val="clear" w:color="auto" w:fill="FFFFFF"/>
        </w:rPr>
        <w:t>, </w:t>
      </w:r>
      <w:r w:rsidRPr="008B5786">
        <w:rPr>
          <w:rFonts w:cs="Arial"/>
          <w:i/>
          <w:iCs/>
          <w:noProof/>
          <w:shd w:val="clear" w:color="auto" w:fill="FFFFFF"/>
        </w:rPr>
        <w:t>11</w:t>
      </w:r>
      <w:r w:rsidRPr="008B5786">
        <w:rPr>
          <w:rFonts w:cs="Arial"/>
          <w:noProof/>
          <w:shd w:val="clear" w:color="auto" w:fill="FFFFFF"/>
        </w:rPr>
        <w:t>(07), 1342.</w:t>
      </w:r>
    </w:p>
    <w:p w14:paraId="6B413140" w14:textId="77777777" w:rsidR="008B5786" w:rsidRPr="008B5786" w:rsidRDefault="008B5786" w:rsidP="00EC28A3">
      <w:pPr>
        <w:rPr>
          <w:rFonts w:cs="Arial"/>
          <w:noProof/>
          <w:shd w:val="clear" w:color="auto" w:fill="FFFFFF"/>
        </w:rPr>
      </w:pPr>
      <w:r w:rsidRPr="008B5786">
        <w:rPr>
          <w:rFonts w:cs="Arial"/>
          <w:noProof/>
          <w:shd w:val="clear" w:color="auto" w:fill="FFFFFF"/>
        </w:rPr>
        <w:t>Warmate, Z., Eldaly, M and Elamer, A. (2021). Offering flexible working opportunities to people with mental disabilities: The missing link between sustainable development goals and financial implications. </w:t>
      </w:r>
      <w:r w:rsidRPr="008B5786">
        <w:rPr>
          <w:rFonts w:cs="Arial"/>
          <w:i/>
          <w:iCs/>
          <w:noProof/>
          <w:shd w:val="clear" w:color="auto" w:fill="FFFFFF"/>
        </w:rPr>
        <w:t>Business Strategy and the Environment</w:t>
      </w:r>
      <w:r w:rsidRPr="008B5786">
        <w:rPr>
          <w:rFonts w:cs="Arial"/>
          <w:noProof/>
          <w:shd w:val="clear" w:color="auto" w:fill="FFFFFF"/>
        </w:rPr>
        <w:t>, </w:t>
      </w:r>
      <w:r w:rsidRPr="008B5786">
        <w:rPr>
          <w:rFonts w:cs="Arial"/>
          <w:i/>
          <w:iCs/>
          <w:noProof/>
          <w:shd w:val="clear" w:color="auto" w:fill="FFFFFF"/>
        </w:rPr>
        <w:t>30</w:t>
      </w:r>
      <w:r w:rsidRPr="008B5786">
        <w:rPr>
          <w:rFonts w:cs="Arial"/>
          <w:noProof/>
          <w:shd w:val="clear" w:color="auto" w:fill="FFFFFF"/>
        </w:rPr>
        <w:t>(4), 1563-1579.</w:t>
      </w:r>
    </w:p>
    <w:p w14:paraId="6F20FCC8" w14:textId="77777777" w:rsidR="000C321C" w:rsidRPr="008B5786" w:rsidRDefault="000C321C" w:rsidP="000C321C"/>
    <w:sectPr w:rsidR="000C321C" w:rsidRPr="008B5786" w:rsidSect="006509E0">
      <w:headerReference w:type="even" r:id="rId8"/>
      <w:headerReference w:type="default" r:id="rId9"/>
      <w:footerReference w:type="even" r:id="rId10"/>
      <w:footerReference w:type="default" r:id="rId11"/>
      <w:headerReference w:type="first" r:id="rId12"/>
      <w:footerReference w:type="first" r:id="rId13"/>
      <w:pgSz w:w="11906" w:h="16838"/>
      <w:pgMar w:top="567" w:right="709" w:bottom="567" w:left="709"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5B699" w14:textId="77777777" w:rsidR="00B553E4" w:rsidRDefault="00B553E4" w:rsidP="00EC28A3">
      <w:pPr>
        <w:spacing w:after="0" w:line="240" w:lineRule="auto"/>
      </w:pPr>
      <w:r>
        <w:separator/>
      </w:r>
    </w:p>
  </w:endnote>
  <w:endnote w:type="continuationSeparator" w:id="0">
    <w:p w14:paraId="793BD27E" w14:textId="77777777" w:rsidR="00B553E4" w:rsidRDefault="00B553E4" w:rsidP="00EC2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7DD7" w14:textId="77777777" w:rsidR="00EC28A3" w:rsidRDefault="00EC28A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80537"/>
      <w:docPartObj>
        <w:docPartGallery w:val="Page Numbers (Bottom of Page)"/>
        <w:docPartUnique/>
      </w:docPartObj>
    </w:sdtPr>
    <w:sdtEndPr>
      <w:rPr>
        <w:noProof/>
      </w:rPr>
    </w:sdtEndPr>
    <w:sdtContent>
      <w:p w14:paraId="25111CDF" w14:textId="43EE7190" w:rsidR="00EC28A3" w:rsidRDefault="00EC28A3">
        <w:pPr>
          <w:pStyle w:val="Subsol"/>
          <w:jc w:val="right"/>
        </w:pPr>
        <w:r>
          <w:fldChar w:fldCharType="begin"/>
        </w:r>
        <w:r>
          <w:instrText xml:space="preserve"> PAGE   \* MERGEFORMAT </w:instrText>
        </w:r>
        <w:r>
          <w:fldChar w:fldCharType="separate"/>
        </w:r>
        <w:r w:rsidR="0013615C">
          <w:rPr>
            <w:noProof/>
          </w:rPr>
          <w:t>10</w:t>
        </w:r>
        <w:r>
          <w:rPr>
            <w:noProof/>
          </w:rPr>
          <w:fldChar w:fldCharType="end"/>
        </w:r>
      </w:p>
    </w:sdtContent>
  </w:sdt>
  <w:p w14:paraId="1C8D53EE" w14:textId="77777777" w:rsidR="00EC28A3" w:rsidRDefault="00EC28A3">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34A1D" w14:textId="77777777" w:rsidR="00EC28A3" w:rsidRDefault="00EC28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4B9E7" w14:textId="77777777" w:rsidR="00B553E4" w:rsidRDefault="00B553E4" w:rsidP="00EC28A3">
      <w:pPr>
        <w:spacing w:after="0" w:line="240" w:lineRule="auto"/>
      </w:pPr>
      <w:r>
        <w:separator/>
      </w:r>
    </w:p>
  </w:footnote>
  <w:footnote w:type="continuationSeparator" w:id="0">
    <w:p w14:paraId="3C54AAA4" w14:textId="77777777" w:rsidR="00B553E4" w:rsidRDefault="00B553E4" w:rsidP="00EC2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7165" w14:textId="77777777" w:rsidR="00EC28A3" w:rsidRDefault="00EC28A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950D" w14:textId="77777777" w:rsidR="00EC28A3" w:rsidRDefault="00EC28A3">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703E" w14:textId="77777777" w:rsidR="00EC28A3" w:rsidRDefault="00EC28A3">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3NjA1NzOzNDCzMDdR0lEKTi0uzszPAykwqQUAKOI2ISwAAAA="/>
  </w:docVars>
  <w:rsids>
    <w:rsidRoot w:val="00E43D3C"/>
    <w:rsid w:val="00015047"/>
    <w:rsid w:val="000418B4"/>
    <w:rsid w:val="00042758"/>
    <w:rsid w:val="00051446"/>
    <w:rsid w:val="000679D1"/>
    <w:rsid w:val="0008356B"/>
    <w:rsid w:val="000854C7"/>
    <w:rsid w:val="000C321C"/>
    <w:rsid w:val="000D50ED"/>
    <w:rsid w:val="000D5ED8"/>
    <w:rsid w:val="000E27C1"/>
    <w:rsid w:val="000E6981"/>
    <w:rsid w:val="000F10F6"/>
    <w:rsid w:val="00101FCE"/>
    <w:rsid w:val="0013615C"/>
    <w:rsid w:val="00184262"/>
    <w:rsid w:val="00185DA5"/>
    <w:rsid w:val="00192466"/>
    <w:rsid w:val="001C0227"/>
    <w:rsid w:val="001F25FB"/>
    <w:rsid w:val="001F41CD"/>
    <w:rsid w:val="002012B8"/>
    <w:rsid w:val="00203ECF"/>
    <w:rsid w:val="00217EE4"/>
    <w:rsid w:val="00240721"/>
    <w:rsid w:val="00253D4F"/>
    <w:rsid w:val="00276D53"/>
    <w:rsid w:val="0028747B"/>
    <w:rsid w:val="0029646C"/>
    <w:rsid w:val="002B431A"/>
    <w:rsid w:val="002B6AA2"/>
    <w:rsid w:val="002B6E1B"/>
    <w:rsid w:val="002F2D25"/>
    <w:rsid w:val="00307C2D"/>
    <w:rsid w:val="00336A82"/>
    <w:rsid w:val="00356CDC"/>
    <w:rsid w:val="00371885"/>
    <w:rsid w:val="0038489C"/>
    <w:rsid w:val="003A45BD"/>
    <w:rsid w:val="003B6DB1"/>
    <w:rsid w:val="003D229A"/>
    <w:rsid w:val="003E24B5"/>
    <w:rsid w:val="003E6649"/>
    <w:rsid w:val="003F54C7"/>
    <w:rsid w:val="00402DA6"/>
    <w:rsid w:val="0041344C"/>
    <w:rsid w:val="00415A9A"/>
    <w:rsid w:val="004533BB"/>
    <w:rsid w:val="00462A45"/>
    <w:rsid w:val="00473F66"/>
    <w:rsid w:val="00474CC4"/>
    <w:rsid w:val="00482845"/>
    <w:rsid w:val="00485E1B"/>
    <w:rsid w:val="004A4C6D"/>
    <w:rsid w:val="004A7171"/>
    <w:rsid w:val="004E0CFA"/>
    <w:rsid w:val="00520DA4"/>
    <w:rsid w:val="00527652"/>
    <w:rsid w:val="00537CC2"/>
    <w:rsid w:val="0057600D"/>
    <w:rsid w:val="005921DF"/>
    <w:rsid w:val="00592E4B"/>
    <w:rsid w:val="005960FC"/>
    <w:rsid w:val="005F3439"/>
    <w:rsid w:val="006000FC"/>
    <w:rsid w:val="00602A73"/>
    <w:rsid w:val="0064214B"/>
    <w:rsid w:val="006478F1"/>
    <w:rsid w:val="006509E0"/>
    <w:rsid w:val="00652A6D"/>
    <w:rsid w:val="006A3748"/>
    <w:rsid w:val="006E45E8"/>
    <w:rsid w:val="006E6DE8"/>
    <w:rsid w:val="006F50C0"/>
    <w:rsid w:val="00705510"/>
    <w:rsid w:val="00706F26"/>
    <w:rsid w:val="00710BD0"/>
    <w:rsid w:val="0074365F"/>
    <w:rsid w:val="007552FD"/>
    <w:rsid w:val="00767AD6"/>
    <w:rsid w:val="007833EC"/>
    <w:rsid w:val="007864FB"/>
    <w:rsid w:val="007A1E6D"/>
    <w:rsid w:val="007A3BAE"/>
    <w:rsid w:val="007C0492"/>
    <w:rsid w:val="007C4BA2"/>
    <w:rsid w:val="007E155C"/>
    <w:rsid w:val="007E3205"/>
    <w:rsid w:val="00823585"/>
    <w:rsid w:val="00832AA2"/>
    <w:rsid w:val="00862B01"/>
    <w:rsid w:val="00863EDB"/>
    <w:rsid w:val="00863FC8"/>
    <w:rsid w:val="00864DD0"/>
    <w:rsid w:val="0088244D"/>
    <w:rsid w:val="008A4101"/>
    <w:rsid w:val="008B3D5E"/>
    <w:rsid w:val="008B5786"/>
    <w:rsid w:val="008B7940"/>
    <w:rsid w:val="008F126E"/>
    <w:rsid w:val="008F6BCF"/>
    <w:rsid w:val="00900732"/>
    <w:rsid w:val="00907997"/>
    <w:rsid w:val="00956713"/>
    <w:rsid w:val="00982A55"/>
    <w:rsid w:val="009C7303"/>
    <w:rsid w:val="009E4D3B"/>
    <w:rsid w:val="009E6476"/>
    <w:rsid w:val="009E6F18"/>
    <w:rsid w:val="009F276C"/>
    <w:rsid w:val="00A03D88"/>
    <w:rsid w:val="00A04722"/>
    <w:rsid w:val="00A05EE7"/>
    <w:rsid w:val="00A25A01"/>
    <w:rsid w:val="00A26A0B"/>
    <w:rsid w:val="00A3476A"/>
    <w:rsid w:val="00A44E3E"/>
    <w:rsid w:val="00A54FC1"/>
    <w:rsid w:val="00A81E63"/>
    <w:rsid w:val="00A85DF5"/>
    <w:rsid w:val="00A93AE0"/>
    <w:rsid w:val="00AC6178"/>
    <w:rsid w:val="00AD0B13"/>
    <w:rsid w:val="00B1275B"/>
    <w:rsid w:val="00B204E6"/>
    <w:rsid w:val="00B46785"/>
    <w:rsid w:val="00B553E4"/>
    <w:rsid w:val="00B62AFC"/>
    <w:rsid w:val="00B6746B"/>
    <w:rsid w:val="00B9734E"/>
    <w:rsid w:val="00BA191C"/>
    <w:rsid w:val="00BA2E08"/>
    <w:rsid w:val="00BB4E72"/>
    <w:rsid w:val="00BF7CC7"/>
    <w:rsid w:val="00C00137"/>
    <w:rsid w:val="00C1093B"/>
    <w:rsid w:val="00C2223D"/>
    <w:rsid w:val="00C26525"/>
    <w:rsid w:val="00C35632"/>
    <w:rsid w:val="00C56B26"/>
    <w:rsid w:val="00C70B72"/>
    <w:rsid w:val="00C8299F"/>
    <w:rsid w:val="00C93B68"/>
    <w:rsid w:val="00CA2F66"/>
    <w:rsid w:val="00CA4893"/>
    <w:rsid w:val="00CB31F1"/>
    <w:rsid w:val="00CD51F0"/>
    <w:rsid w:val="00CD7D5E"/>
    <w:rsid w:val="00CE5946"/>
    <w:rsid w:val="00CE6005"/>
    <w:rsid w:val="00CF04E1"/>
    <w:rsid w:val="00D00C97"/>
    <w:rsid w:val="00D049FA"/>
    <w:rsid w:val="00D139A0"/>
    <w:rsid w:val="00D167C5"/>
    <w:rsid w:val="00D32658"/>
    <w:rsid w:val="00D37B75"/>
    <w:rsid w:val="00D633E3"/>
    <w:rsid w:val="00D811FE"/>
    <w:rsid w:val="00DD0212"/>
    <w:rsid w:val="00DD2341"/>
    <w:rsid w:val="00DE5F72"/>
    <w:rsid w:val="00E318B9"/>
    <w:rsid w:val="00E43D3C"/>
    <w:rsid w:val="00E46913"/>
    <w:rsid w:val="00E504FB"/>
    <w:rsid w:val="00E579D5"/>
    <w:rsid w:val="00E61FE1"/>
    <w:rsid w:val="00EA2AC0"/>
    <w:rsid w:val="00EA35C8"/>
    <w:rsid w:val="00EC28A3"/>
    <w:rsid w:val="00EC767F"/>
    <w:rsid w:val="00F01008"/>
    <w:rsid w:val="00F041F0"/>
    <w:rsid w:val="00F12FC8"/>
    <w:rsid w:val="00F1576A"/>
    <w:rsid w:val="00F16F67"/>
    <w:rsid w:val="00F203E9"/>
    <w:rsid w:val="00F50A92"/>
    <w:rsid w:val="00F56130"/>
    <w:rsid w:val="00F644D2"/>
    <w:rsid w:val="00F87139"/>
    <w:rsid w:val="00F9120A"/>
    <w:rsid w:val="00F96D53"/>
    <w:rsid w:val="00FA4E7F"/>
    <w:rsid w:val="00FA5E92"/>
    <w:rsid w:val="00FB3F68"/>
    <w:rsid w:val="00FB4E31"/>
    <w:rsid w:val="00FF1A4B"/>
    <w:rsid w:val="00FF416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27C3"/>
  <w15:chartTrackingRefBased/>
  <w15:docId w15:val="{4CEEE602-6F13-4461-A4FD-066D3146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46B"/>
    <w:pPr>
      <w:spacing w:line="360" w:lineRule="auto"/>
      <w:jc w:val="both"/>
    </w:pPr>
    <w:rPr>
      <w:rFonts w:ascii="Arial" w:hAnsi="Arial"/>
      <w:color w:val="000000" w:themeColor="text1"/>
      <w:lang w:val="en-GB"/>
    </w:rPr>
  </w:style>
  <w:style w:type="paragraph" w:styleId="Titlu1">
    <w:name w:val="heading 1"/>
    <w:basedOn w:val="Normal"/>
    <w:next w:val="Normal"/>
    <w:link w:val="Titlu1Caracter"/>
    <w:uiPriority w:val="9"/>
    <w:qFormat/>
    <w:rsid w:val="007C04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C0492"/>
    <w:rPr>
      <w:rFonts w:asciiTheme="majorHAnsi" w:eastAsiaTheme="majorEastAsia" w:hAnsiTheme="majorHAnsi" w:cstheme="majorBidi"/>
      <w:color w:val="2E74B5" w:themeColor="accent1" w:themeShade="BF"/>
      <w:sz w:val="32"/>
      <w:szCs w:val="32"/>
    </w:rPr>
  </w:style>
  <w:style w:type="paragraph" w:styleId="Frspaiere">
    <w:name w:val="No Spacing"/>
    <w:link w:val="FrspaiereCaracter"/>
    <w:uiPriority w:val="1"/>
    <w:qFormat/>
    <w:rsid w:val="004E0CFA"/>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4E0CFA"/>
    <w:rPr>
      <w:rFonts w:eastAsiaTheme="minorEastAsia"/>
      <w:lang w:val="en-US"/>
    </w:rPr>
  </w:style>
  <w:style w:type="paragraph" w:styleId="Titlucuprins">
    <w:name w:val="TOC Heading"/>
    <w:basedOn w:val="Titlu1"/>
    <w:next w:val="Normal"/>
    <w:uiPriority w:val="39"/>
    <w:unhideWhenUsed/>
    <w:qFormat/>
    <w:rsid w:val="004E0CFA"/>
    <w:pPr>
      <w:spacing w:line="259" w:lineRule="auto"/>
      <w:jc w:val="left"/>
      <w:outlineLvl w:val="9"/>
    </w:pPr>
    <w:rPr>
      <w:lang w:val="en-US"/>
    </w:rPr>
  </w:style>
  <w:style w:type="paragraph" w:styleId="Cuprins1">
    <w:name w:val="toc 1"/>
    <w:basedOn w:val="Normal"/>
    <w:next w:val="Normal"/>
    <w:autoRedefine/>
    <w:uiPriority w:val="39"/>
    <w:unhideWhenUsed/>
    <w:rsid w:val="004E0CFA"/>
    <w:pPr>
      <w:spacing w:after="100"/>
    </w:pPr>
  </w:style>
  <w:style w:type="character" w:styleId="Hyperlink">
    <w:name w:val="Hyperlink"/>
    <w:basedOn w:val="Fontdeparagrafimplicit"/>
    <w:uiPriority w:val="99"/>
    <w:unhideWhenUsed/>
    <w:rsid w:val="004E0CFA"/>
    <w:rPr>
      <w:color w:val="0563C1" w:themeColor="hyperlink"/>
      <w:u w:val="single"/>
    </w:rPr>
  </w:style>
  <w:style w:type="paragraph" w:styleId="Antet">
    <w:name w:val="header"/>
    <w:basedOn w:val="Normal"/>
    <w:link w:val="AntetCaracter"/>
    <w:uiPriority w:val="99"/>
    <w:unhideWhenUsed/>
    <w:rsid w:val="00EC28A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C28A3"/>
    <w:rPr>
      <w:rFonts w:ascii="Arial" w:hAnsi="Arial"/>
    </w:rPr>
  </w:style>
  <w:style w:type="paragraph" w:styleId="Subsol">
    <w:name w:val="footer"/>
    <w:basedOn w:val="Normal"/>
    <w:link w:val="SubsolCaracter"/>
    <w:uiPriority w:val="99"/>
    <w:unhideWhenUsed/>
    <w:rsid w:val="00EC28A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C28A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glossaryDocument" Target="glossary/document.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68F93FD99941CF9A03287EBFCAA5AA"/>
        <w:category>
          <w:name w:val="General"/>
          <w:gallery w:val="placeholder"/>
        </w:category>
        <w:types>
          <w:type w:val="bbPlcHdr"/>
        </w:types>
        <w:behaviors>
          <w:behavior w:val="content"/>
        </w:behaviors>
        <w:guid w:val="{FB8410C6-0BB6-40FA-B33C-6486B36E0DA0}"/>
      </w:docPartPr>
      <w:docPartBody>
        <w:p w:rsidR="008A14B8" w:rsidRDefault="002412FF" w:rsidP="002412FF">
          <w:pPr>
            <w:pStyle w:val="DB68F93FD99941CF9A03287EBFCAA5AA"/>
          </w:pPr>
          <w:r>
            <w:rPr>
              <w:rFonts w:asciiTheme="majorHAnsi" w:eastAsiaTheme="majorEastAsia" w:hAnsiTheme="majorHAnsi" w:cstheme="majorBidi"/>
              <w:caps/>
              <w:color w:val="4472C4" w:themeColor="accent1"/>
              <w:sz w:val="80"/>
              <w:szCs w:val="80"/>
            </w:rPr>
            <w:t>[Document title]</w:t>
          </w:r>
        </w:p>
      </w:docPartBody>
    </w:docPart>
    <w:docPart>
      <w:docPartPr>
        <w:name w:val="18026A7FE90A48A8B0A8F6E367066ECB"/>
        <w:category>
          <w:name w:val="General"/>
          <w:gallery w:val="placeholder"/>
        </w:category>
        <w:types>
          <w:type w:val="bbPlcHdr"/>
        </w:types>
        <w:behaviors>
          <w:behavior w:val="content"/>
        </w:behaviors>
        <w:guid w:val="{F0F86D87-C3B1-421B-9F10-7CBA896AAF01}"/>
      </w:docPartPr>
      <w:docPartBody>
        <w:p w:rsidR="008A14B8" w:rsidRDefault="002412FF" w:rsidP="002412FF">
          <w:pPr>
            <w:pStyle w:val="18026A7FE90A48A8B0A8F6E367066EC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2FF"/>
    <w:rsid w:val="00073984"/>
    <w:rsid w:val="0009091D"/>
    <w:rsid w:val="000C2410"/>
    <w:rsid w:val="002412FF"/>
    <w:rsid w:val="002D4748"/>
    <w:rsid w:val="00486E5B"/>
    <w:rsid w:val="006B34A5"/>
    <w:rsid w:val="008A14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B68F93FD99941CF9A03287EBFCAA5AA">
    <w:name w:val="DB68F93FD99941CF9A03287EBFCAA5AA"/>
    <w:rsid w:val="002412FF"/>
  </w:style>
  <w:style w:type="paragraph" w:customStyle="1" w:styleId="18026A7FE90A48A8B0A8F6E367066ECB">
    <w:name w:val="18026A7FE90A48A8B0A8F6E367066ECB"/>
    <w:rsid w:val="002412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B51BC-4C3C-4BEB-8AA1-46D5C6D792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2984</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1</dc:subject>
  <dc:creator>Intel</dc:creator>
  <cp:lastModifiedBy>ionela Dan</cp:lastModifiedBy>
  <cp:revision>2</cp:revision>
  <dcterms:created xsi:type="dcterms:W3CDTF">2022-05-03T06:03:00Z</dcterms:created>
  <dcterms:modified xsi:type="dcterms:W3CDTF">2022-05-03T06:03:00Z</dcterms:modified>
</cp:coreProperties>
</file>