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3C7EF" w14:textId="77777777" w:rsidR="00D507E5" w:rsidRPr="00D507E5" w:rsidRDefault="00D507E5" w:rsidP="00D507E5">
      <w:pPr>
        <w:spacing w:line="360" w:lineRule="auto"/>
        <w:ind w:right="-1080"/>
        <w:rPr>
          <w:rFonts w:ascii="Arial" w:hAnsi="Arial" w:cs="Arial"/>
        </w:rPr>
      </w:pPr>
      <w:r w:rsidRPr="00D507E5">
        <w:rPr>
          <w:rFonts w:ascii="Arial" w:hAnsi="Arial" w:cs="Arial"/>
          <w:noProof/>
        </w:rPr>
        <w:drawing>
          <wp:anchor distT="0" distB="0" distL="114300" distR="114300" simplePos="0" relativeHeight="251658240" behindDoc="1" locked="0" layoutInCell="1" allowOverlap="1" wp14:anchorId="09AD1588" wp14:editId="501FC3D1">
            <wp:simplePos x="0" y="0"/>
            <wp:positionH relativeFrom="margin">
              <wp:posOffset>1447800</wp:posOffset>
            </wp:positionH>
            <wp:positionV relativeFrom="paragraph">
              <wp:posOffset>-130447</wp:posOffset>
            </wp:positionV>
            <wp:extent cx="3086100" cy="1289685"/>
            <wp:effectExtent l="0" t="0" r="0" b="0"/>
            <wp:wrapNone/>
            <wp:docPr id="845017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86100" cy="1289685"/>
                    </a:xfrm>
                    <a:prstGeom prst="rect">
                      <a:avLst/>
                    </a:prstGeom>
                    <a:noFill/>
                    <a:ln>
                      <a:noFill/>
                    </a:ln>
                  </pic:spPr>
                </pic:pic>
              </a:graphicData>
            </a:graphic>
          </wp:anchor>
        </w:drawing>
      </w:r>
    </w:p>
    <w:p w14:paraId="268A0074" w14:textId="77777777" w:rsidR="00D507E5" w:rsidRPr="00D507E5" w:rsidRDefault="00D507E5" w:rsidP="00D507E5">
      <w:pPr>
        <w:spacing w:line="360" w:lineRule="auto"/>
        <w:ind w:right="-1080"/>
        <w:rPr>
          <w:rFonts w:ascii="Arial" w:hAnsi="Arial" w:cs="Arial"/>
        </w:rPr>
      </w:pPr>
    </w:p>
    <w:p w14:paraId="174039CF" w14:textId="77777777" w:rsidR="00D507E5" w:rsidRPr="00D507E5" w:rsidRDefault="00D507E5" w:rsidP="00D507E5">
      <w:pPr>
        <w:spacing w:line="360" w:lineRule="auto"/>
        <w:ind w:right="-1080"/>
        <w:rPr>
          <w:rFonts w:ascii="Arial" w:hAnsi="Arial" w:cs="Arial"/>
        </w:rPr>
      </w:pPr>
    </w:p>
    <w:p w14:paraId="15F6819C" w14:textId="77777777" w:rsidR="00D507E5" w:rsidRPr="00D507E5" w:rsidRDefault="00D507E5" w:rsidP="00D507E5">
      <w:pPr>
        <w:spacing w:line="360" w:lineRule="auto"/>
        <w:ind w:right="-1080"/>
        <w:rPr>
          <w:rFonts w:ascii="Arial" w:hAnsi="Arial" w:cs="Arial"/>
        </w:rPr>
      </w:pPr>
    </w:p>
    <w:p w14:paraId="2CD6F51F" w14:textId="77777777" w:rsidR="00D507E5" w:rsidRPr="00D507E5" w:rsidRDefault="00D507E5" w:rsidP="00D507E5">
      <w:pPr>
        <w:spacing w:line="360" w:lineRule="auto"/>
        <w:ind w:right="-1080"/>
        <w:rPr>
          <w:rFonts w:ascii="Arial" w:hAnsi="Arial" w:cs="Arial"/>
        </w:rPr>
      </w:pPr>
    </w:p>
    <w:p w14:paraId="4D86699F" w14:textId="77777777" w:rsidR="00D507E5" w:rsidRPr="00D507E5" w:rsidRDefault="00D507E5" w:rsidP="00D507E5">
      <w:pPr>
        <w:spacing w:line="360" w:lineRule="auto"/>
        <w:ind w:right="-1080"/>
        <w:rPr>
          <w:rFonts w:ascii="Arial" w:hAnsi="Arial" w:cs="Arial"/>
        </w:rPr>
      </w:pPr>
    </w:p>
    <w:p w14:paraId="388EDDEA" w14:textId="77777777" w:rsidR="00D507E5" w:rsidRPr="00D507E5" w:rsidRDefault="00D507E5" w:rsidP="00D507E5">
      <w:pPr>
        <w:spacing w:line="360" w:lineRule="auto"/>
        <w:ind w:right="-1080"/>
        <w:rPr>
          <w:rFonts w:ascii="Arial" w:hAnsi="Arial" w:cs="Arial"/>
        </w:rPr>
      </w:pPr>
    </w:p>
    <w:p w14:paraId="5BE43C16" w14:textId="77777777" w:rsidR="00D507E5" w:rsidRPr="00D507E5" w:rsidRDefault="00D507E5" w:rsidP="00D507E5">
      <w:pPr>
        <w:spacing w:line="360" w:lineRule="auto"/>
        <w:ind w:right="-1080"/>
        <w:jc w:val="both"/>
        <w:rPr>
          <w:rFonts w:ascii="Arial" w:hAnsi="Arial" w:cs="Arial"/>
          <w:b/>
          <w:bCs/>
        </w:rPr>
      </w:pPr>
      <w:proofErr w:type="spellStart"/>
      <w:r w:rsidRPr="00D507E5">
        <w:rPr>
          <w:rFonts w:ascii="Arial" w:hAnsi="Arial" w:cs="Arial"/>
          <w:b/>
          <w:bCs/>
        </w:rPr>
        <w:t>Programme</w:t>
      </w:r>
      <w:proofErr w:type="spellEnd"/>
      <w:r w:rsidRPr="00D507E5">
        <w:rPr>
          <w:rFonts w:ascii="Arial" w:hAnsi="Arial" w:cs="Arial"/>
          <w:b/>
          <w:bCs/>
        </w:rPr>
        <w:t xml:space="preserve">: Master of Business Administration </w:t>
      </w:r>
    </w:p>
    <w:p w14:paraId="5DE20F47" w14:textId="7AAD2FE5" w:rsidR="00D507E5" w:rsidRPr="00D507E5" w:rsidRDefault="00D507E5" w:rsidP="00D507E5">
      <w:pPr>
        <w:spacing w:line="360" w:lineRule="auto"/>
        <w:ind w:right="-1080"/>
        <w:jc w:val="both"/>
        <w:rPr>
          <w:rFonts w:ascii="Arial" w:hAnsi="Arial" w:cs="Arial"/>
          <w:b/>
          <w:bCs/>
        </w:rPr>
      </w:pPr>
      <w:r w:rsidRPr="00D507E5">
        <w:rPr>
          <w:rFonts w:ascii="Arial" w:hAnsi="Arial" w:cs="Arial"/>
          <w:b/>
          <w:bCs/>
        </w:rPr>
        <w:t xml:space="preserve">Module: </w:t>
      </w:r>
      <w:r w:rsidRPr="00D507E5">
        <w:rPr>
          <w:rFonts w:ascii="Arial" w:hAnsi="Arial" w:cs="Arial"/>
          <w:b/>
          <w:bCs/>
        </w:rPr>
        <w:t>F</w:t>
      </w:r>
      <w:r w:rsidRPr="00D507E5">
        <w:rPr>
          <w:rFonts w:ascii="Arial" w:hAnsi="Arial" w:cs="Arial"/>
          <w:b/>
          <w:bCs/>
        </w:rPr>
        <w:t>inancial Management</w:t>
      </w:r>
    </w:p>
    <w:p w14:paraId="4470F73A" w14:textId="1824BDFB" w:rsidR="00D507E5" w:rsidRPr="00D507E5" w:rsidRDefault="00D507E5" w:rsidP="00D507E5">
      <w:pPr>
        <w:spacing w:line="360" w:lineRule="auto"/>
        <w:ind w:right="-1080"/>
        <w:jc w:val="both"/>
        <w:rPr>
          <w:rFonts w:ascii="Arial" w:hAnsi="Arial" w:cs="Arial"/>
          <w:b/>
          <w:bCs/>
        </w:rPr>
      </w:pPr>
      <w:r w:rsidRPr="00D507E5">
        <w:rPr>
          <w:rFonts w:ascii="Arial" w:hAnsi="Arial" w:cs="Arial"/>
          <w:b/>
          <w:bCs/>
        </w:rPr>
        <w:t>Module code: LCMB70</w:t>
      </w:r>
      <w:r w:rsidRPr="00D507E5">
        <w:rPr>
          <w:rFonts w:ascii="Arial" w:hAnsi="Arial" w:cs="Arial"/>
          <w:b/>
          <w:bCs/>
        </w:rPr>
        <w:t>02</w:t>
      </w:r>
    </w:p>
    <w:p w14:paraId="3CC93D25" w14:textId="1E47FB6B" w:rsidR="00D507E5" w:rsidRPr="00D507E5" w:rsidRDefault="00D507E5" w:rsidP="00D507E5">
      <w:pPr>
        <w:spacing w:line="360" w:lineRule="auto"/>
        <w:ind w:right="-1080"/>
        <w:jc w:val="both"/>
        <w:rPr>
          <w:rFonts w:ascii="Arial" w:hAnsi="Arial" w:cs="Arial"/>
          <w:b/>
          <w:bCs/>
          <w:u w:val="single"/>
          <w:lang w:val="en-GB"/>
        </w:rPr>
      </w:pPr>
      <w:r w:rsidRPr="00D507E5">
        <w:rPr>
          <w:rFonts w:ascii="Arial" w:hAnsi="Arial" w:cs="Arial"/>
          <w:b/>
          <w:bCs/>
        </w:rPr>
        <w:t>Title:</w:t>
      </w:r>
      <w:r w:rsidRPr="00D507E5">
        <w:rPr>
          <w:rFonts w:ascii="Arial" w:hAnsi="Arial" w:cs="Arial"/>
        </w:rPr>
        <w:t xml:space="preserve"> </w:t>
      </w:r>
      <w:r w:rsidRPr="00D507E5">
        <w:rPr>
          <w:rFonts w:ascii="Arial" w:hAnsi="Arial" w:cs="Arial"/>
          <w:b/>
          <w:bCs/>
        </w:rPr>
        <w:t>Assessment component: Financial performance and management</w:t>
      </w:r>
    </w:p>
    <w:p w14:paraId="0F3B7C73" w14:textId="088FDDB6" w:rsidR="00D507E5" w:rsidRPr="00D507E5" w:rsidRDefault="00D507E5" w:rsidP="00D507E5">
      <w:pPr>
        <w:spacing w:line="360" w:lineRule="auto"/>
        <w:ind w:right="-1080"/>
        <w:rPr>
          <w:rFonts w:ascii="Arial" w:hAnsi="Arial" w:cs="Arial"/>
          <w:b/>
          <w:bCs/>
        </w:rPr>
      </w:pPr>
      <w:r w:rsidRPr="00D507E5">
        <w:rPr>
          <w:rFonts w:ascii="Arial" w:hAnsi="Arial" w:cs="Arial"/>
          <w:b/>
          <w:bCs/>
        </w:rPr>
        <w:t>Lecturer: Patrick Yeboah</w:t>
      </w:r>
    </w:p>
    <w:p w14:paraId="7822109B" w14:textId="77777777" w:rsidR="00D507E5" w:rsidRPr="00D507E5" w:rsidRDefault="00D507E5" w:rsidP="00D507E5">
      <w:pPr>
        <w:spacing w:line="360" w:lineRule="auto"/>
        <w:ind w:right="-1080"/>
        <w:rPr>
          <w:rFonts w:ascii="Arial" w:hAnsi="Arial" w:cs="Arial"/>
          <w:b/>
          <w:bCs/>
        </w:rPr>
      </w:pPr>
      <w:r w:rsidRPr="00D507E5">
        <w:rPr>
          <w:rFonts w:ascii="Arial" w:hAnsi="Arial" w:cs="Arial"/>
          <w:b/>
          <w:bCs/>
        </w:rPr>
        <w:t xml:space="preserve">Student Name: Nihar </w:t>
      </w:r>
      <w:proofErr w:type="spellStart"/>
      <w:r w:rsidRPr="00D507E5">
        <w:rPr>
          <w:rFonts w:ascii="Arial" w:hAnsi="Arial" w:cs="Arial"/>
          <w:b/>
          <w:bCs/>
        </w:rPr>
        <w:t>Rameshbhai</w:t>
      </w:r>
      <w:proofErr w:type="spellEnd"/>
      <w:r w:rsidRPr="00D507E5">
        <w:rPr>
          <w:rFonts w:ascii="Arial" w:hAnsi="Arial" w:cs="Arial"/>
          <w:b/>
          <w:bCs/>
        </w:rPr>
        <w:t xml:space="preserve"> Devani</w:t>
      </w:r>
    </w:p>
    <w:p w14:paraId="4DE3F96D" w14:textId="77777777" w:rsidR="00D507E5" w:rsidRPr="00D507E5" w:rsidRDefault="00D507E5" w:rsidP="00D507E5">
      <w:pPr>
        <w:spacing w:line="360" w:lineRule="auto"/>
        <w:ind w:right="-1080"/>
        <w:rPr>
          <w:rFonts w:ascii="Arial" w:hAnsi="Arial" w:cs="Arial"/>
          <w:b/>
          <w:bCs/>
        </w:rPr>
      </w:pPr>
      <w:r w:rsidRPr="00D507E5">
        <w:rPr>
          <w:rFonts w:ascii="Arial" w:hAnsi="Arial" w:cs="Arial"/>
          <w:b/>
          <w:bCs/>
        </w:rPr>
        <w:t>Student ID: 2439635</w:t>
      </w:r>
    </w:p>
    <w:p w14:paraId="3DE4B2D3" w14:textId="0AD50D07" w:rsidR="00D507E5" w:rsidRPr="00D507E5" w:rsidRDefault="00D507E5" w:rsidP="00D507E5">
      <w:pPr>
        <w:spacing w:line="360" w:lineRule="auto"/>
        <w:ind w:right="-1080"/>
        <w:rPr>
          <w:rFonts w:ascii="Arial" w:hAnsi="Arial" w:cs="Arial"/>
          <w:b/>
          <w:bCs/>
        </w:rPr>
      </w:pPr>
      <w:r w:rsidRPr="00D507E5">
        <w:rPr>
          <w:rFonts w:ascii="Arial" w:hAnsi="Arial" w:cs="Arial"/>
          <w:b/>
          <w:bCs/>
        </w:rPr>
        <w:t xml:space="preserve">Submission Date: - </w:t>
      </w:r>
      <w:r w:rsidRPr="00D507E5">
        <w:rPr>
          <w:rFonts w:ascii="Arial" w:hAnsi="Arial" w:cs="Arial"/>
          <w:b/>
          <w:bCs/>
        </w:rPr>
        <w:t>24</w:t>
      </w:r>
      <w:r w:rsidRPr="00D507E5">
        <w:rPr>
          <w:rFonts w:ascii="Arial" w:hAnsi="Arial" w:cs="Arial"/>
          <w:b/>
          <w:bCs/>
        </w:rPr>
        <w:t>th November 2025</w:t>
      </w:r>
    </w:p>
    <w:p w14:paraId="5E77D0B6" w14:textId="77777777" w:rsidR="00D507E5" w:rsidRDefault="00D507E5" w:rsidP="00D507E5">
      <w:pPr>
        <w:ind w:right="-1080"/>
        <w:rPr>
          <w:rFonts w:ascii="Arial" w:eastAsiaTheme="majorEastAsia" w:hAnsi="Arial" w:cs="Arial"/>
          <w:color w:val="17365D" w:themeColor="text2" w:themeShade="BF"/>
          <w:spacing w:val="5"/>
          <w:kern w:val="28"/>
          <w:sz w:val="52"/>
          <w:szCs w:val="52"/>
        </w:rPr>
      </w:pPr>
    </w:p>
    <w:p w14:paraId="40C43BDD" w14:textId="77777777" w:rsidR="00D507E5" w:rsidRDefault="00D507E5" w:rsidP="00D507E5">
      <w:pPr>
        <w:ind w:right="-1080"/>
        <w:rPr>
          <w:rFonts w:ascii="Arial" w:eastAsiaTheme="majorEastAsia" w:hAnsi="Arial" w:cs="Arial"/>
          <w:color w:val="17365D" w:themeColor="text2" w:themeShade="BF"/>
          <w:spacing w:val="5"/>
          <w:kern w:val="28"/>
          <w:sz w:val="52"/>
          <w:szCs w:val="52"/>
        </w:rPr>
      </w:pPr>
    </w:p>
    <w:p w14:paraId="09B22545" w14:textId="77777777" w:rsidR="00D507E5" w:rsidRDefault="00D507E5" w:rsidP="00D507E5">
      <w:pPr>
        <w:ind w:right="-1080"/>
        <w:rPr>
          <w:rFonts w:ascii="Arial" w:eastAsiaTheme="majorEastAsia" w:hAnsi="Arial" w:cs="Arial"/>
          <w:color w:val="17365D" w:themeColor="text2" w:themeShade="BF"/>
          <w:spacing w:val="5"/>
          <w:kern w:val="28"/>
          <w:sz w:val="52"/>
          <w:szCs w:val="52"/>
        </w:rPr>
      </w:pPr>
    </w:p>
    <w:p w14:paraId="1B7711CF" w14:textId="77777777" w:rsidR="00D507E5" w:rsidRDefault="00D507E5" w:rsidP="00D507E5">
      <w:pPr>
        <w:ind w:right="-1080"/>
        <w:rPr>
          <w:rFonts w:ascii="Arial" w:eastAsiaTheme="majorEastAsia" w:hAnsi="Arial" w:cs="Arial"/>
          <w:color w:val="17365D" w:themeColor="text2" w:themeShade="BF"/>
          <w:spacing w:val="5"/>
          <w:kern w:val="28"/>
          <w:sz w:val="52"/>
          <w:szCs w:val="52"/>
        </w:rPr>
      </w:pPr>
    </w:p>
    <w:p w14:paraId="1F816297" w14:textId="277B8C89" w:rsidR="00D507E5" w:rsidRDefault="00D507E5" w:rsidP="00D507E5">
      <w:pPr>
        <w:ind w:right="-1080"/>
        <w:rPr>
          <w:rFonts w:ascii="Arial" w:eastAsiaTheme="majorEastAsia" w:hAnsi="Arial" w:cs="Arial"/>
          <w:color w:val="17365D" w:themeColor="text2" w:themeShade="BF"/>
          <w:spacing w:val="5"/>
          <w:kern w:val="28"/>
          <w:sz w:val="52"/>
          <w:szCs w:val="52"/>
        </w:rPr>
      </w:pPr>
    </w:p>
    <w:sdt>
      <w:sdtPr>
        <w:id w:val="-1407141142"/>
        <w:docPartObj>
          <w:docPartGallery w:val="Table of Contents"/>
          <w:docPartUnique/>
        </w:docPartObj>
      </w:sdtPr>
      <w:sdtEndPr>
        <w:rPr>
          <w:rFonts w:asciiTheme="minorHAnsi" w:eastAsiaTheme="minorEastAsia" w:hAnsiTheme="minorHAnsi" w:cstheme="minorBidi"/>
          <w:noProof/>
          <w:color w:val="auto"/>
          <w:sz w:val="22"/>
          <w:szCs w:val="22"/>
        </w:rPr>
      </w:sdtEndPr>
      <w:sdtContent>
        <w:p w14:paraId="6D270231" w14:textId="5700D5A4" w:rsidR="00D507E5" w:rsidRDefault="00D507E5">
          <w:pPr>
            <w:pStyle w:val="TOCHeading"/>
          </w:pPr>
          <w:r>
            <w:t>Table of Contents</w:t>
          </w:r>
        </w:p>
        <w:p w14:paraId="0C758A6C" w14:textId="40980263" w:rsidR="00D507E5" w:rsidRDefault="00D507E5">
          <w:pPr>
            <w:pStyle w:val="TOC1"/>
            <w:tabs>
              <w:tab w:val="right" w:leader="dot" w:pos="8630"/>
            </w:tabs>
            <w:rPr>
              <w:noProof/>
              <w:kern w:val="2"/>
              <w:sz w:val="24"/>
              <w:szCs w:val="24"/>
              <w14:ligatures w14:val="standardContextual"/>
            </w:rPr>
          </w:pPr>
          <w:r>
            <w:fldChar w:fldCharType="begin"/>
          </w:r>
          <w:r>
            <w:instrText xml:space="preserve"> TOC \o "1-3" \h \z \u </w:instrText>
          </w:r>
          <w:r>
            <w:fldChar w:fldCharType="separate"/>
          </w:r>
          <w:hyperlink w:anchor="_Toc214838958" w:history="1">
            <w:r w:rsidRPr="008F0175">
              <w:rPr>
                <w:rStyle w:val="Hyperlink"/>
                <w:rFonts w:ascii="Arial" w:hAnsi="Arial" w:cs="Arial"/>
                <w:noProof/>
              </w:rPr>
              <w:t>1. Introduction</w:t>
            </w:r>
            <w:r>
              <w:rPr>
                <w:noProof/>
                <w:webHidden/>
              </w:rPr>
              <w:tab/>
            </w:r>
            <w:r>
              <w:rPr>
                <w:noProof/>
                <w:webHidden/>
              </w:rPr>
              <w:fldChar w:fldCharType="begin"/>
            </w:r>
            <w:r>
              <w:rPr>
                <w:noProof/>
                <w:webHidden/>
              </w:rPr>
              <w:instrText xml:space="preserve"> PAGEREF _Toc214838958 \h </w:instrText>
            </w:r>
            <w:r>
              <w:rPr>
                <w:noProof/>
                <w:webHidden/>
              </w:rPr>
            </w:r>
            <w:r>
              <w:rPr>
                <w:noProof/>
                <w:webHidden/>
              </w:rPr>
              <w:fldChar w:fldCharType="separate"/>
            </w:r>
            <w:r>
              <w:rPr>
                <w:noProof/>
                <w:webHidden/>
              </w:rPr>
              <w:t>3</w:t>
            </w:r>
            <w:r>
              <w:rPr>
                <w:noProof/>
                <w:webHidden/>
              </w:rPr>
              <w:fldChar w:fldCharType="end"/>
            </w:r>
          </w:hyperlink>
        </w:p>
        <w:p w14:paraId="144C17D2" w14:textId="7C1C7721" w:rsidR="00D507E5" w:rsidRDefault="00D507E5">
          <w:pPr>
            <w:pStyle w:val="TOC1"/>
            <w:tabs>
              <w:tab w:val="right" w:leader="dot" w:pos="8630"/>
            </w:tabs>
            <w:rPr>
              <w:noProof/>
              <w:kern w:val="2"/>
              <w:sz w:val="24"/>
              <w:szCs w:val="24"/>
              <w14:ligatures w14:val="standardContextual"/>
            </w:rPr>
          </w:pPr>
          <w:hyperlink w:anchor="_Toc214838959" w:history="1">
            <w:r w:rsidRPr="008F0175">
              <w:rPr>
                <w:rStyle w:val="Hyperlink"/>
                <w:rFonts w:ascii="Arial" w:hAnsi="Arial" w:cs="Arial"/>
                <w:noProof/>
              </w:rPr>
              <w:t>2. Financial Health Check</w:t>
            </w:r>
            <w:r>
              <w:rPr>
                <w:noProof/>
                <w:webHidden/>
              </w:rPr>
              <w:tab/>
            </w:r>
            <w:r>
              <w:rPr>
                <w:noProof/>
                <w:webHidden/>
              </w:rPr>
              <w:fldChar w:fldCharType="begin"/>
            </w:r>
            <w:r>
              <w:rPr>
                <w:noProof/>
                <w:webHidden/>
              </w:rPr>
              <w:instrText xml:space="preserve"> PAGEREF _Toc214838959 \h </w:instrText>
            </w:r>
            <w:r>
              <w:rPr>
                <w:noProof/>
                <w:webHidden/>
              </w:rPr>
            </w:r>
            <w:r>
              <w:rPr>
                <w:noProof/>
                <w:webHidden/>
              </w:rPr>
              <w:fldChar w:fldCharType="separate"/>
            </w:r>
            <w:r>
              <w:rPr>
                <w:noProof/>
                <w:webHidden/>
              </w:rPr>
              <w:t>4</w:t>
            </w:r>
            <w:r>
              <w:rPr>
                <w:noProof/>
                <w:webHidden/>
              </w:rPr>
              <w:fldChar w:fldCharType="end"/>
            </w:r>
          </w:hyperlink>
        </w:p>
        <w:p w14:paraId="463A8AD0" w14:textId="5940C7FA" w:rsidR="00D507E5" w:rsidRDefault="00D507E5">
          <w:pPr>
            <w:pStyle w:val="TOC2"/>
            <w:tabs>
              <w:tab w:val="right" w:leader="dot" w:pos="8630"/>
            </w:tabs>
            <w:rPr>
              <w:noProof/>
              <w:kern w:val="2"/>
              <w:sz w:val="24"/>
              <w:szCs w:val="24"/>
              <w14:ligatures w14:val="standardContextual"/>
            </w:rPr>
          </w:pPr>
          <w:hyperlink w:anchor="_Toc214838960" w:history="1">
            <w:r w:rsidRPr="008F0175">
              <w:rPr>
                <w:rStyle w:val="Hyperlink"/>
                <w:rFonts w:ascii="Arial" w:hAnsi="Arial" w:cs="Arial"/>
                <w:noProof/>
              </w:rPr>
              <w:t>2.2 Ratio Analysis Summary</w:t>
            </w:r>
            <w:r>
              <w:rPr>
                <w:noProof/>
                <w:webHidden/>
              </w:rPr>
              <w:tab/>
            </w:r>
            <w:r>
              <w:rPr>
                <w:noProof/>
                <w:webHidden/>
              </w:rPr>
              <w:fldChar w:fldCharType="begin"/>
            </w:r>
            <w:r>
              <w:rPr>
                <w:noProof/>
                <w:webHidden/>
              </w:rPr>
              <w:instrText xml:space="preserve"> PAGEREF _Toc214838960 \h </w:instrText>
            </w:r>
            <w:r>
              <w:rPr>
                <w:noProof/>
                <w:webHidden/>
              </w:rPr>
            </w:r>
            <w:r>
              <w:rPr>
                <w:noProof/>
                <w:webHidden/>
              </w:rPr>
              <w:fldChar w:fldCharType="separate"/>
            </w:r>
            <w:r>
              <w:rPr>
                <w:noProof/>
                <w:webHidden/>
              </w:rPr>
              <w:t>4</w:t>
            </w:r>
            <w:r>
              <w:rPr>
                <w:noProof/>
                <w:webHidden/>
              </w:rPr>
              <w:fldChar w:fldCharType="end"/>
            </w:r>
          </w:hyperlink>
        </w:p>
        <w:p w14:paraId="4EEC17E4" w14:textId="580286CD" w:rsidR="00D507E5" w:rsidRDefault="00D507E5">
          <w:pPr>
            <w:pStyle w:val="TOC1"/>
            <w:tabs>
              <w:tab w:val="right" w:leader="dot" w:pos="8630"/>
            </w:tabs>
            <w:rPr>
              <w:noProof/>
              <w:kern w:val="2"/>
              <w:sz w:val="24"/>
              <w:szCs w:val="24"/>
              <w14:ligatures w14:val="standardContextual"/>
            </w:rPr>
          </w:pPr>
          <w:hyperlink w:anchor="_Toc214838961" w:history="1">
            <w:r w:rsidRPr="008F0175">
              <w:rPr>
                <w:rStyle w:val="Hyperlink"/>
                <w:noProof/>
              </w:rPr>
              <w:t>References</w:t>
            </w:r>
            <w:r>
              <w:rPr>
                <w:noProof/>
                <w:webHidden/>
              </w:rPr>
              <w:tab/>
            </w:r>
            <w:r>
              <w:rPr>
                <w:noProof/>
                <w:webHidden/>
              </w:rPr>
              <w:fldChar w:fldCharType="begin"/>
            </w:r>
            <w:r>
              <w:rPr>
                <w:noProof/>
                <w:webHidden/>
              </w:rPr>
              <w:instrText xml:space="preserve"> PAGEREF _Toc214838961 \h </w:instrText>
            </w:r>
            <w:r>
              <w:rPr>
                <w:noProof/>
                <w:webHidden/>
              </w:rPr>
            </w:r>
            <w:r>
              <w:rPr>
                <w:noProof/>
                <w:webHidden/>
              </w:rPr>
              <w:fldChar w:fldCharType="separate"/>
            </w:r>
            <w:r>
              <w:rPr>
                <w:noProof/>
                <w:webHidden/>
              </w:rPr>
              <w:t>26</w:t>
            </w:r>
            <w:r>
              <w:rPr>
                <w:noProof/>
                <w:webHidden/>
              </w:rPr>
              <w:fldChar w:fldCharType="end"/>
            </w:r>
          </w:hyperlink>
        </w:p>
        <w:p w14:paraId="525D66DC" w14:textId="64C0F4DE" w:rsidR="00D507E5" w:rsidRDefault="00D507E5">
          <w:pPr>
            <w:pStyle w:val="TOC1"/>
            <w:tabs>
              <w:tab w:val="right" w:leader="dot" w:pos="8630"/>
            </w:tabs>
            <w:rPr>
              <w:noProof/>
              <w:kern w:val="2"/>
              <w:sz w:val="24"/>
              <w:szCs w:val="24"/>
              <w14:ligatures w14:val="standardContextual"/>
            </w:rPr>
          </w:pPr>
          <w:hyperlink w:anchor="_Toc214838962" w:history="1">
            <w:r w:rsidRPr="008F0175">
              <w:rPr>
                <w:rStyle w:val="Hyperlink"/>
                <w:rFonts w:ascii="Arial" w:hAnsi="Arial" w:cs="Arial"/>
                <w:noProof/>
              </w:rPr>
              <w:t>Appendix D: Project Cash Flow Chart</w:t>
            </w:r>
            <w:r>
              <w:rPr>
                <w:noProof/>
                <w:webHidden/>
              </w:rPr>
              <w:tab/>
            </w:r>
            <w:r>
              <w:rPr>
                <w:noProof/>
                <w:webHidden/>
              </w:rPr>
              <w:fldChar w:fldCharType="begin"/>
            </w:r>
            <w:r>
              <w:rPr>
                <w:noProof/>
                <w:webHidden/>
              </w:rPr>
              <w:instrText xml:space="preserve"> PAGEREF _Toc214838962 \h </w:instrText>
            </w:r>
            <w:r>
              <w:rPr>
                <w:noProof/>
                <w:webHidden/>
              </w:rPr>
            </w:r>
            <w:r>
              <w:rPr>
                <w:noProof/>
                <w:webHidden/>
              </w:rPr>
              <w:fldChar w:fldCharType="separate"/>
            </w:r>
            <w:r>
              <w:rPr>
                <w:noProof/>
                <w:webHidden/>
              </w:rPr>
              <w:t>28</w:t>
            </w:r>
            <w:r>
              <w:rPr>
                <w:noProof/>
                <w:webHidden/>
              </w:rPr>
              <w:fldChar w:fldCharType="end"/>
            </w:r>
          </w:hyperlink>
        </w:p>
        <w:p w14:paraId="643FE860" w14:textId="71E36574" w:rsidR="00D507E5" w:rsidRDefault="00D507E5">
          <w:pPr>
            <w:pStyle w:val="TOC1"/>
            <w:tabs>
              <w:tab w:val="right" w:leader="dot" w:pos="8630"/>
            </w:tabs>
            <w:rPr>
              <w:noProof/>
              <w:kern w:val="2"/>
              <w:sz w:val="24"/>
              <w:szCs w:val="24"/>
              <w14:ligatures w14:val="standardContextual"/>
            </w:rPr>
          </w:pPr>
          <w:hyperlink w:anchor="_Toc214838963" w:history="1">
            <w:r w:rsidRPr="008F0175">
              <w:rPr>
                <w:rStyle w:val="Hyperlink"/>
                <w:rFonts w:ascii="Arial" w:hAnsi="Arial" w:cs="Arial"/>
                <w:noProof/>
              </w:rPr>
              <w:t>Appendix E: Additional Charts</w:t>
            </w:r>
            <w:r>
              <w:rPr>
                <w:noProof/>
                <w:webHidden/>
              </w:rPr>
              <w:tab/>
            </w:r>
            <w:r>
              <w:rPr>
                <w:noProof/>
                <w:webHidden/>
              </w:rPr>
              <w:fldChar w:fldCharType="begin"/>
            </w:r>
            <w:r>
              <w:rPr>
                <w:noProof/>
                <w:webHidden/>
              </w:rPr>
              <w:instrText xml:space="preserve"> PAGEREF _Toc214838963 \h </w:instrText>
            </w:r>
            <w:r>
              <w:rPr>
                <w:noProof/>
                <w:webHidden/>
              </w:rPr>
            </w:r>
            <w:r>
              <w:rPr>
                <w:noProof/>
                <w:webHidden/>
              </w:rPr>
              <w:fldChar w:fldCharType="separate"/>
            </w:r>
            <w:r>
              <w:rPr>
                <w:noProof/>
                <w:webHidden/>
              </w:rPr>
              <w:t>29</w:t>
            </w:r>
            <w:r>
              <w:rPr>
                <w:noProof/>
                <w:webHidden/>
              </w:rPr>
              <w:fldChar w:fldCharType="end"/>
            </w:r>
          </w:hyperlink>
        </w:p>
        <w:p w14:paraId="02C29EA5" w14:textId="202124D7" w:rsidR="00D507E5" w:rsidRDefault="00D507E5">
          <w:pPr>
            <w:pStyle w:val="TOC2"/>
            <w:tabs>
              <w:tab w:val="right" w:leader="dot" w:pos="8630"/>
            </w:tabs>
            <w:rPr>
              <w:noProof/>
              <w:kern w:val="2"/>
              <w:sz w:val="24"/>
              <w:szCs w:val="24"/>
              <w14:ligatures w14:val="standardContextual"/>
            </w:rPr>
          </w:pPr>
          <w:hyperlink w:anchor="_Toc214838964" w:history="1">
            <w:r w:rsidRPr="008F0175">
              <w:rPr>
                <w:rStyle w:val="Hyperlink"/>
                <w:rFonts w:ascii="Arial" w:hAnsi="Arial" w:cs="Arial"/>
                <w:noProof/>
              </w:rPr>
              <w:t>1. Inventory Days Trend (2020–2024)</w:t>
            </w:r>
            <w:r>
              <w:rPr>
                <w:noProof/>
                <w:webHidden/>
              </w:rPr>
              <w:tab/>
            </w:r>
            <w:r>
              <w:rPr>
                <w:noProof/>
                <w:webHidden/>
              </w:rPr>
              <w:fldChar w:fldCharType="begin"/>
            </w:r>
            <w:r>
              <w:rPr>
                <w:noProof/>
                <w:webHidden/>
              </w:rPr>
              <w:instrText xml:space="preserve"> PAGEREF _Toc214838964 \h </w:instrText>
            </w:r>
            <w:r>
              <w:rPr>
                <w:noProof/>
                <w:webHidden/>
              </w:rPr>
            </w:r>
            <w:r>
              <w:rPr>
                <w:noProof/>
                <w:webHidden/>
              </w:rPr>
              <w:fldChar w:fldCharType="separate"/>
            </w:r>
            <w:r>
              <w:rPr>
                <w:noProof/>
                <w:webHidden/>
              </w:rPr>
              <w:t>29</w:t>
            </w:r>
            <w:r>
              <w:rPr>
                <w:noProof/>
                <w:webHidden/>
              </w:rPr>
              <w:fldChar w:fldCharType="end"/>
            </w:r>
          </w:hyperlink>
        </w:p>
        <w:p w14:paraId="7F4CC567" w14:textId="32A22C4B" w:rsidR="00D507E5" w:rsidRDefault="00D507E5">
          <w:pPr>
            <w:pStyle w:val="TOC2"/>
            <w:tabs>
              <w:tab w:val="right" w:leader="dot" w:pos="8630"/>
            </w:tabs>
            <w:rPr>
              <w:noProof/>
              <w:kern w:val="2"/>
              <w:sz w:val="24"/>
              <w:szCs w:val="24"/>
              <w14:ligatures w14:val="standardContextual"/>
            </w:rPr>
          </w:pPr>
          <w:hyperlink w:anchor="_Toc214838965" w:history="1">
            <w:r w:rsidRPr="008F0175">
              <w:rPr>
                <w:rStyle w:val="Hyperlink"/>
                <w:rFonts w:ascii="Arial" w:hAnsi="Arial" w:cs="Arial"/>
                <w:noProof/>
              </w:rPr>
              <w:t>2. Quick Ratio Trend (2020–2024)</w:t>
            </w:r>
            <w:r>
              <w:rPr>
                <w:noProof/>
                <w:webHidden/>
              </w:rPr>
              <w:tab/>
            </w:r>
            <w:r>
              <w:rPr>
                <w:noProof/>
                <w:webHidden/>
              </w:rPr>
              <w:fldChar w:fldCharType="begin"/>
            </w:r>
            <w:r>
              <w:rPr>
                <w:noProof/>
                <w:webHidden/>
              </w:rPr>
              <w:instrText xml:space="preserve"> PAGEREF _Toc214838965 \h </w:instrText>
            </w:r>
            <w:r>
              <w:rPr>
                <w:noProof/>
                <w:webHidden/>
              </w:rPr>
            </w:r>
            <w:r>
              <w:rPr>
                <w:noProof/>
                <w:webHidden/>
              </w:rPr>
              <w:fldChar w:fldCharType="separate"/>
            </w:r>
            <w:r>
              <w:rPr>
                <w:noProof/>
                <w:webHidden/>
              </w:rPr>
              <w:t>29</w:t>
            </w:r>
            <w:r>
              <w:rPr>
                <w:noProof/>
                <w:webHidden/>
              </w:rPr>
              <w:fldChar w:fldCharType="end"/>
            </w:r>
          </w:hyperlink>
        </w:p>
        <w:p w14:paraId="0C8C03FF" w14:textId="3F3DF9BB" w:rsidR="00D507E5" w:rsidRDefault="00D507E5">
          <w:r>
            <w:rPr>
              <w:b/>
              <w:bCs/>
              <w:noProof/>
            </w:rPr>
            <w:fldChar w:fldCharType="end"/>
          </w:r>
        </w:p>
      </w:sdtContent>
    </w:sdt>
    <w:p w14:paraId="49CB2C00" w14:textId="77777777" w:rsidR="00D507E5" w:rsidRDefault="00D507E5">
      <w:pPr>
        <w:rPr>
          <w:rFonts w:ascii="Arial" w:eastAsiaTheme="majorEastAsia" w:hAnsi="Arial" w:cs="Arial"/>
          <w:color w:val="17365D" w:themeColor="text2" w:themeShade="BF"/>
          <w:spacing w:val="5"/>
          <w:kern w:val="28"/>
          <w:sz w:val="52"/>
          <w:szCs w:val="52"/>
        </w:rPr>
      </w:pPr>
      <w:r>
        <w:rPr>
          <w:rFonts w:ascii="Arial" w:eastAsiaTheme="majorEastAsia" w:hAnsi="Arial" w:cs="Arial"/>
          <w:color w:val="17365D" w:themeColor="text2" w:themeShade="BF"/>
          <w:spacing w:val="5"/>
          <w:kern w:val="28"/>
          <w:sz w:val="52"/>
          <w:szCs w:val="52"/>
        </w:rPr>
        <w:br w:type="page"/>
      </w:r>
    </w:p>
    <w:p w14:paraId="40B62A24" w14:textId="77777777" w:rsidR="00D507E5" w:rsidRDefault="00D507E5" w:rsidP="00D507E5">
      <w:pPr>
        <w:ind w:right="-1080"/>
        <w:rPr>
          <w:rFonts w:ascii="Arial" w:eastAsiaTheme="majorEastAsia" w:hAnsi="Arial" w:cs="Arial"/>
          <w:color w:val="17365D" w:themeColor="text2" w:themeShade="BF"/>
          <w:spacing w:val="5"/>
          <w:kern w:val="28"/>
          <w:sz w:val="52"/>
          <w:szCs w:val="52"/>
        </w:rPr>
      </w:pPr>
    </w:p>
    <w:p w14:paraId="72F56500" w14:textId="77777777" w:rsidR="00691338" w:rsidRPr="00D507E5" w:rsidRDefault="00000000" w:rsidP="00D507E5">
      <w:pPr>
        <w:pStyle w:val="Heading1"/>
        <w:ind w:right="-1080"/>
        <w:rPr>
          <w:rFonts w:ascii="Arial" w:hAnsi="Arial" w:cs="Arial"/>
        </w:rPr>
      </w:pPr>
      <w:bookmarkStart w:id="0" w:name="_Toc214838958"/>
      <w:r w:rsidRPr="00D507E5">
        <w:rPr>
          <w:rFonts w:ascii="Arial" w:hAnsi="Arial" w:cs="Arial"/>
        </w:rPr>
        <w:t>1. Introduction</w:t>
      </w:r>
      <w:bookmarkEnd w:id="0"/>
    </w:p>
    <w:p w14:paraId="4B309FD2" w14:textId="77777777" w:rsidR="00691338" w:rsidRDefault="00000000" w:rsidP="00D507E5">
      <w:pPr>
        <w:ind w:right="-1080"/>
        <w:rPr>
          <w:rFonts w:ascii="Arial" w:hAnsi="Arial" w:cs="Arial"/>
        </w:rPr>
      </w:pPr>
      <w:r w:rsidRPr="00D507E5">
        <w:rPr>
          <w:rFonts w:ascii="Arial" w:hAnsi="Arial" w:cs="Arial"/>
        </w:rPr>
        <w:br/>
        <w:t>Introduction</w:t>
      </w:r>
      <w:r w:rsidRPr="00D507E5">
        <w:rPr>
          <w:rFonts w:ascii="Arial" w:hAnsi="Arial" w:cs="Arial"/>
        </w:rPr>
        <w:br/>
      </w:r>
      <w:r w:rsidRPr="00D507E5">
        <w:rPr>
          <w:rFonts w:ascii="Arial" w:hAnsi="Arial" w:cs="Arial"/>
        </w:rPr>
        <w:br/>
        <w:t>Costcuttur is a multinational grocery and retail chain operating within the highly competitive global fast</w:t>
      </w:r>
      <w:r w:rsidRPr="00D507E5">
        <w:rPr>
          <w:rFonts w:ascii="Cambria Math" w:hAnsi="Cambria Math" w:cs="Cambria Math"/>
        </w:rPr>
        <w:t>‑</w:t>
      </w:r>
      <w:r w:rsidRPr="00D507E5">
        <w:rPr>
          <w:rFonts w:ascii="Arial" w:hAnsi="Arial" w:cs="Arial"/>
        </w:rPr>
        <w:t>moving consumer goods (FMCG) sector. Over the last five years, the company has faced escalating financial challenges marked by declining profitability, falling sales volumes, weakening consumer demand, and increased operational inefficiency. The shift toward discount retailers, supply chain disruptions, rising inventory inefficiencies, and heightened competition from digital-first grocery platforms have intensified pressure on Costcuttur’s financial performance.</w:t>
      </w:r>
      <w:r w:rsidRPr="00D507E5">
        <w:rPr>
          <w:rFonts w:ascii="Arial" w:hAnsi="Arial" w:cs="Arial"/>
        </w:rPr>
        <w:br/>
      </w:r>
      <w:r w:rsidRPr="00D507E5">
        <w:rPr>
          <w:rFonts w:ascii="Arial" w:hAnsi="Arial" w:cs="Arial"/>
        </w:rPr>
        <w:br/>
        <w:t>Recent financial statements reveal ongoing operating losses, declining shareholder equity, and tightening liquidity—indicating that the company is now at a critical turning point. The organisation is experiencing eroding margins, deteriorating working capital efficiency, and rising gearing levels, all of which heighten the risk of long-term financial distress. As a result, strategic intervention is essential to restore operational strength and rebuild financial stability.</w:t>
      </w:r>
      <w:r w:rsidRPr="00D507E5">
        <w:rPr>
          <w:rFonts w:ascii="Arial" w:hAnsi="Arial" w:cs="Arial"/>
        </w:rPr>
        <w:br/>
      </w:r>
      <w:r w:rsidRPr="00D507E5">
        <w:rPr>
          <w:rFonts w:ascii="Arial" w:hAnsi="Arial" w:cs="Arial"/>
        </w:rPr>
        <w:br/>
        <w:t>This report provides a structured, academically grounded financial assessment of Costcuttur, aligned with postgraduate-level expectations and the module learning outcomes for Financial Management (LCMB7002). The assignment incorporates four major analytical components:</w:t>
      </w:r>
      <w:r w:rsidRPr="00D507E5">
        <w:rPr>
          <w:rFonts w:ascii="Arial" w:hAnsi="Arial" w:cs="Arial"/>
        </w:rPr>
        <w:br/>
      </w:r>
      <w:r w:rsidRPr="00D507E5">
        <w:rPr>
          <w:rFonts w:ascii="Arial" w:hAnsi="Arial" w:cs="Arial"/>
        </w:rPr>
        <w:br/>
        <w:t>1. Financial Health Check – covering full ratio analysis, trend evaluation, and corporate failure prediction using the Altman Z</w:t>
      </w:r>
      <w:r w:rsidRPr="00D507E5">
        <w:rPr>
          <w:rFonts w:ascii="Cambria Math" w:hAnsi="Cambria Math" w:cs="Cambria Math"/>
        </w:rPr>
        <w:t>‑</w:t>
      </w:r>
      <w:r w:rsidRPr="00D507E5">
        <w:rPr>
          <w:rFonts w:ascii="Arial" w:hAnsi="Arial" w:cs="Arial"/>
        </w:rPr>
        <w:t>score model.</w:t>
      </w:r>
      <w:r w:rsidRPr="00D507E5">
        <w:rPr>
          <w:rFonts w:ascii="Arial" w:hAnsi="Arial" w:cs="Arial"/>
        </w:rPr>
        <w:br/>
        <w:t>2. Working Capital Management Analysis – including a detailed examination of the cash conversion cycle and liquidity improvement strategies.</w:t>
      </w:r>
      <w:r w:rsidRPr="00D507E5">
        <w:rPr>
          <w:rFonts w:ascii="Arial" w:hAnsi="Arial" w:cs="Arial"/>
        </w:rPr>
        <w:br/>
        <w:t>3. Strategic Financial Restructuring Plan – offering evidence-based solutions for restructuring debt, optimising capital structure, and enhancing operational and ethical performance.</w:t>
      </w:r>
      <w:r w:rsidRPr="00D507E5">
        <w:rPr>
          <w:rFonts w:ascii="Arial" w:hAnsi="Arial" w:cs="Arial"/>
        </w:rPr>
        <w:br/>
        <w:t>4. Investment Appraisal and Capital Budgeting – evaluating three project options using PBP, ARR, NPV, PI, and IRR, with a final recommendation based on capital rationing.</w:t>
      </w:r>
      <w:r w:rsidRPr="00D507E5">
        <w:rPr>
          <w:rFonts w:ascii="Arial" w:hAnsi="Arial" w:cs="Arial"/>
        </w:rPr>
        <w:br/>
      </w:r>
      <w:r w:rsidRPr="00D507E5">
        <w:rPr>
          <w:rFonts w:ascii="Arial" w:hAnsi="Arial" w:cs="Arial"/>
        </w:rPr>
        <w:br/>
        <w:t>Together, these components provide a comprehensive turnaround strategy aimed at returning Costcuttur to financial sustainability, improving shareholder value, and ensuring long-term competitiveness in the global grocery retail industry.</w:t>
      </w:r>
      <w:r w:rsidRPr="00D507E5">
        <w:rPr>
          <w:rFonts w:ascii="Arial" w:hAnsi="Arial" w:cs="Arial"/>
        </w:rPr>
        <w:br/>
      </w:r>
    </w:p>
    <w:p w14:paraId="16C13442" w14:textId="77777777" w:rsidR="00D507E5" w:rsidRDefault="00D507E5" w:rsidP="00D507E5">
      <w:pPr>
        <w:ind w:right="-1080"/>
        <w:rPr>
          <w:rFonts w:ascii="Arial" w:hAnsi="Arial" w:cs="Arial"/>
        </w:rPr>
      </w:pPr>
    </w:p>
    <w:p w14:paraId="79CF1A9B" w14:textId="77777777" w:rsidR="00D507E5" w:rsidRDefault="00D507E5" w:rsidP="00D507E5">
      <w:pPr>
        <w:ind w:right="-1080"/>
        <w:rPr>
          <w:rFonts w:ascii="Arial" w:hAnsi="Arial" w:cs="Arial"/>
        </w:rPr>
      </w:pPr>
    </w:p>
    <w:p w14:paraId="4728F58B" w14:textId="77777777" w:rsidR="00D507E5" w:rsidRDefault="00D507E5" w:rsidP="00D507E5">
      <w:pPr>
        <w:ind w:right="-1080"/>
        <w:rPr>
          <w:rFonts w:ascii="Arial" w:hAnsi="Arial" w:cs="Arial"/>
        </w:rPr>
      </w:pPr>
    </w:p>
    <w:p w14:paraId="5F135251" w14:textId="77777777" w:rsidR="00D507E5" w:rsidRPr="00D507E5" w:rsidRDefault="00D507E5" w:rsidP="00D507E5">
      <w:pPr>
        <w:ind w:right="-1080"/>
        <w:rPr>
          <w:rFonts w:ascii="Arial" w:hAnsi="Arial" w:cs="Arial"/>
        </w:rPr>
      </w:pPr>
    </w:p>
    <w:p w14:paraId="237007A5" w14:textId="77777777" w:rsidR="00691338" w:rsidRPr="00D507E5" w:rsidRDefault="00000000" w:rsidP="00D507E5">
      <w:pPr>
        <w:pStyle w:val="Heading1"/>
        <w:ind w:right="-1080"/>
        <w:rPr>
          <w:rFonts w:ascii="Arial" w:hAnsi="Arial" w:cs="Arial"/>
        </w:rPr>
      </w:pPr>
      <w:bookmarkStart w:id="1" w:name="_Toc214838959"/>
      <w:r w:rsidRPr="00D507E5">
        <w:rPr>
          <w:rFonts w:ascii="Arial" w:hAnsi="Arial" w:cs="Arial"/>
        </w:rPr>
        <w:t>2. Financial Health Check</w:t>
      </w:r>
      <w:bookmarkEnd w:id="1"/>
    </w:p>
    <w:p w14:paraId="1BE1FBF1" w14:textId="77777777" w:rsidR="00691338" w:rsidRPr="00D507E5" w:rsidRDefault="00000000" w:rsidP="00D507E5">
      <w:pPr>
        <w:ind w:right="-1080"/>
        <w:rPr>
          <w:rFonts w:ascii="Arial" w:hAnsi="Arial" w:cs="Arial"/>
        </w:rPr>
      </w:pPr>
      <w:r w:rsidRPr="00D507E5">
        <w:rPr>
          <w:rFonts w:ascii="Arial" w:hAnsi="Arial" w:cs="Arial"/>
        </w:rPr>
        <w:br/>
        <w:t>2.1 Overview of Financial Performance (2020–2024)</w:t>
      </w:r>
      <w:r w:rsidRPr="00D507E5">
        <w:rPr>
          <w:rFonts w:ascii="Arial" w:hAnsi="Arial" w:cs="Arial"/>
        </w:rPr>
        <w:br/>
      </w:r>
      <w:r w:rsidRPr="00D507E5">
        <w:rPr>
          <w:rFonts w:ascii="Arial" w:hAnsi="Arial" w:cs="Arial"/>
        </w:rPr>
        <w:br/>
        <w:t>Costcuttur’s financial performance over the past five fiscal years indicates a progressive decline driven by weakening market competitiveness, increased operational expenses, and supply chain disruptions typical within the global grocery and retail sector. Revenue has shown a downward trajectory as consumer spending shifts toward online grocery services, hard</w:t>
      </w:r>
      <w:r w:rsidRPr="00D507E5">
        <w:rPr>
          <w:rFonts w:ascii="Cambria Math" w:hAnsi="Cambria Math" w:cs="Cambria Math"/>
        </w:rPr>
        <w:t>‑</w:t>
      </w:r>
      <w:r w:rsidRPr="00D507E5">
        <w:rPr>
          <w:rFonts w:ascii="Arial" w:hAnsi="Arial" w:cs="Arial"/>
        </w:rPr>
        <w:t>discount retailers, and subscription</w:t>
      </w:r>
      <w:r w:rsidRPr="00D507E5">
        <w:rPr>
          <w:rFonts w:ascii="Cambria Math" w:hAnsi="Cambria Math" w:cs="Cambria Math"/>
        </w:rPr>
        <w:t>‑</w:t>
      </w:r>
      <w:r w:rsidRPr="00D507E5">
        <w:rPr>
          <w:rFonts w:ascii="Arial" w:hAnsi="Arial" w:cs="Arial"/>
        </w:rPr>
        <w:t>based shopping models. Simultaneously, inflationary pressures on food commodities and logistics have increased the firm’s cost of sales, compressing margins.</w:t>
      </w:r>
      <w:r w:rsidRPr="00D507E5">
        <w:rPr>
          <w:rFonts w:ascii="Arial" w:hAnsi="Arial" w:cs="Arial"/>
        </w:rPr>
        <w:br/>
      </w:r>
      <w:r w:rsidRPr="00D507E5">
        <w:rPr>
          <w:rFonts w:ascii="Arial" w:hAnsi="Arial" w:cs="Arial"/>
        </w:rPr>
        <w:br/>
        <w:t>Gross profit has fallen steadily year</w:t>
      </w:r>
      <w:r w:rsidRPr="00D507E5">
        <w:rPr>
          <w:rFonts w:ascii="Cambria Math" w:hAnsi="Cambria Math" w:cs="Cambria Math"/>
        </w:rPr>
        <w:t>‑</w:t>
      </w:r>
      <w:r w:rsidRPr="00D507E5">
        <w:rPr>
          <w:rFonts w:ascii="Arial" w:hAnsi="Arial" w:cs="Arial"/>
        </w:rPr>
        <w:t>on</w:t>
      </w:r>
      <w:r w:rsidRPr="00D507E5">
        <w:rPr>
          <w:rFonts w:ascii="Cambria Math" w:hAnsi="Cambria Math" w:cs="Cambria Math"/>
        </w:rPr>
        <w:t>‑</w:t>
      </w:r>
      <w:r w:rsidRPr="00D507E5">
        <w:rPr>
          <w:rFonts w:ascii="Arial" w:hAnsi="Arial" w:cs="Arial"/>
        </w:rPr>
        <w:t>year, reflecting the combined effect of discount</w:t>
      </w:r>
      <w:r w:rsidRPr="00D507E5">
        <w:rPr>
          <w:rFonts w:ascii="Cambria Math" w:hAnsi="Cambria Math" w:cs="Cambria Math"/>
        </w:rPr>
        <w:t>‑</w:t>
      </w:r>
      <w:r w:rsidRPr="00D507E5">
        <w:rPr>
          <w:rFonts w:ascii="Arial" w:hAnsi="Arial" w:cs="Arial"/>
        </w:rPr>
        <w:t>driven pricing strategies and inability to pass rising input costs to consumers. Operating expenses—including store labour, warehousing, digital transformation costs, and energy consumption—have risen disproportionately compared to revenue streams. As a result, operating income has turned negative in the most recent years, signalling fundamental inefficiencies in core operations.</w:t>
      </w:r>
      <w:r w:rsidRPr="00D507E5">
        <w:rPr>
          <w:rFonts w:ascii="Arial" w:hAnsi="Arial" w:cs="Arial"/>
        </w:rPr>
        <w:br/>
      </w:r>
      <w:r w:rsidRPr="00D507E5">
        <w:rPr>
          <w:rFonts w:ascii="Arial" w:hAnsi="Arial" w:cs="Arial"/>
        </w:rPr>
        <w:br/>
        <w:t>Net income has also deteriorated significantly, driven by operating losses, rising interest costs on short</w:t>
      </w:r>
      <w:r w:rsidRPr="00D507E5">
        <w:rPr>
          <w:rFonts w:ascii="Cambria Math" w:hAnsi="Cambria Math" w:cs="Cambria Math"/>
        </w:rPr>
        <w:t>‑</w:t>
      </w:r>
      <w:r w:rsidRPr="00D507E5">
        <w:rPr>
          <w:rFonts w:ascii="Arial" w:hAnsi="Arial" w:cs="Arial"/>
        </w:rPr>
        <w:t>term borrowing, and reduced working capital flexibility. Shareholder equity has declined sharply due to accumulated losses and reduced retained earnings, indicating weakened investor confidence. From a strategic perspective, this pattern reflects the typical financial decline observed in grocery chains that fail to modernise supply chains, optimise inventory, and compete with digital retail entrants.</w:t>
      </w:r>
      <w:r w:rsidRPr="00D507E5">
        <w:rPr>
          <w:rFonts w:ascii="Arial" w:hAnsi="Arial" w:cs="Arial"/>
        </w:rPr>
        <w:br/>
      </w:r>
      <w:r w:rsidRPr="00D507E5">
        <w:rPr>
          <w:rFonts w:ascii="Arial" w:hAnsi="Arial" w:cs="Arial"/>
        </w:rPr>
        <w:br/>
        <w:t>Overall, the income statement and balance sheet trends collectively highlight a business experiencing structural decline rather than cyclical weakness. Immediate financial restructuring and operational optimisation are required to restore liquidity, enhance cost control, and stabilise long</w:t>
      </w:r>
      <w:r w:rsidRPr="00D507E5">
        <w:rPr>
          <w:rFonts w:ascii="Cambria Math" w:hAnsi="Cambria Math" w:cs="Cambria Math"/>
        </w:rPr>
        <w:t>‑</w:t>
      </w:r>
      <w:r w:rsidRPr="00D507E5">
        <w:rPr>
          <w:rFonts w:ascii="Arial" w:hAnsi="Arial" w:cs="Arial"/>
        </w:rPr>
        <w:t>term performance.</w:t>
      </w:r>
      <w:r w:rsidRPr="00D507E5">
        <w:rPr>
          <w:rFonts w:ascii="Arial" w:hAnsi="Arial" w:cs="Arial"/>
        </w:rPr>
        <w:br/>
      </w:r>
    </w:p>
    <w:p w14:paraId="478B0C77" w14:textId="77777777" w:rsidR="00691338" w:rsidRPr="00D507E5" w:rsidRDefault="00000000" w:rsidP="00D507E5">
      <w:pPr>
        <w:pStyle w:val="Heading2"/>
        <w:ind w:right="-1080"/>
        <w:rPr>
          <w:rFonts w:ascii="Arial" w:hAnsi="Arial" w:cs="Arial"/>
        </w:rPr>
      </w:pPr>
      <w:bookmarkStart w:id="2" w:name="_Toc214838960"/>
      <w:r w:rsidRPr="00D507E5">
        <w:rPr>
          <w:rFonts w:ascii="Arial" w:hAnsi="Arial" w:cs="Arial"/>
        </w:rPr>
        <w:t>2.2 Ratio Analysis Summary</w:t>
      </w:r>
      <w:bookmarkEnd w:id="2"/>
    </w:p>
    <w:p w14:paraId="3C6A08BF" w14:textId="77777777" w:rsidR="00691338" w:rsidRPr="00D507E5" w:rsidRDefault="00000000" w:rsidP="00D507E5">
      <w:pPr>
        <w:ind w:right="-1080"/>
        <w:rPr>
          <w:rFonts w:ascii="Arial" w:hAnsi="Arial" w:cs="Arial"/>
        </w:rPr>
      </w:pPr>
      <w:r w:rsidRPr="00D507E5">
        <w:rPr>
          <w:rFonts w:ascii="Arial" w:hAnsi="Arial" w:cs="Arial"/>
        </w:rPr>
        <w:br/>
        <w:t>2.2 Ratio Analysis Summary</w:t>
      </w:r>
      <w:r w:rsidRPr="00D507E5">
        <w:rPr>
          <w:rFonts w:ascii="Arial" w:hAnsi="Arial" w:cs="Arial"/>
        </w:rPr>
        <w:br/>
      </w:r>
      <w:r w:rsidRPr="00D507E5">
        <w:rPr>
          <w:rFonts w:ascii="Arial" w:hAnsi="Arial" w:cs="Arial"/>
        </w:rPr>
        <w:br/>
        <w:t>A comprehensive ratio analysis was conducted to assess Costcuttur’s profitability, liquidity, efficiency, gearing, and investor performance over the five-year period. These ratios provide insight into the financial health of the organisation and highlight areas requiring urgent strategic intervention. The full calculations and tables are included in Appendix A.</w:t>
      </w:r>
      <w:r w:rsidRPr="00D507E5">
        <w:rPr>
          <w:rFonts w:ascii="Arial" w:hAnsi="Arial" w:cs="Arial"/>
        </w:rPr>
        <w:br/>
      </w:r>
      <w:r w:rsidRPr="00D507E5">
        <w:rPr>
          <w:rFonts w:ascii="Arial" w:hAnsi="Arial" w:cs="Arial"/>
        </w:rPr>
        <w:br/>
        <w:t>Profitability Ratios</w:t>
      </w:r>
      <w:r w:rsidRPr="00D507E5">
        <w:rPr>
          <w:rFonts w:ascii="Arial" w:hAnsi="Arial" w:cs="Arial"/>
        </w:rPr>
        <w:br/>
        <w:t xml:space="preserve">Profitability ratios demonstrate Costcuttur’s ability to convert sales revenue into profit. Across the </w:t>
      </w:r>
      <w:r w:rsidRPr="00D507E5">
        <w:rPr>
          <w:rFonts w:ascii="Arial" w:hAnsi="Arial" w:cs="Arial"/>
        </w:rPr>
        <w:lastRenderedPageBreak/>
        <w:t>five-year period, the company’s profitability has declined sharply due to rising cost pressures and reduced demand. The Gross Profit Margin has contracted significantly, indicating weaker pricing power and higher input costs. Net Profit Margin, which captures operational performance after expenses, has turned negative in the most recent years, confirming that core operations are no longer generating sustainable earnings. Similarly, the Return on Assets (ROA) and Return on Equity (ROE) have both declined, reflecting inefficiencies in asset utilisation and destruction of shareholder value. According to Nagle et al. (2023), persistent negative margins are often indicative of structurally uncompetitive business models—mirroring Costcuttur’s position.</w:t>
      </w:r>
      <w:r w:rsidRPr="00D507E5">
        <w:rPr>
          <w:rFonts w:ascii="Arial" w:hAnsi="Arial" w:cs="Arial"/>
        </w:rPr>
        <w:br/>
      </w:r>
      <w:r w:rsidRPr="00D507E5">
        <w:rPr>
          <w:rFonts w:ascii="Arial" w:hAnsi="Arial" w:cs="Arial"/>
        </w:rPr>
        <w:br/>
        <w:t>Liquidity Ratios</w:t>
      </w:r>
      <w:r w:rsidRPr="00D507E5">
        <w:rPr>
          <w:rFonts w:ascii="Arial" w:hAnsi="Arial" w:cs="Arial"/>
        </w:rPr>
        <w:br/>
        <w:t>Liquidity ratios assess the firm’s ability to meet short-term obligations. Costcuttur’s Current Ratio has remained slightly above 1.0, suggesting that the business can theoretically meet its immediate liabilities. However, the downward trend signals tightening liquidity and increased vulnerability to cash flow disruptions. The Quick Ratio has been consistently lower and dangerously close to 1.0, underscoring the company’s dependence on inventory to support short-term liquidity. As Zhou, Xia, and Peng (2021) highlight, firms with thin liquidity margins are more exposed to operational and market volatility—particularly in retail sectors requiring rapid turnover.</w:t>
      </w:r>
      <w:r w:rsidRPr="00D507E5">
        <w:rPr>
          <w:rFonts w:ascii="Arial" w:hAnsi="Arial" w:cs="Arial"/>
        </w:rPr>
        <w:br/>
      </w:r>
      <w:r w:rsidRPr="00D507E5">
        <w:rPr>
          <w:rFonts w:ascii="Arial" w:hAnsi="Arial" w:cs="Arial"/>
        </w:rPr>
        <w:br/>
        <w:t>Efficiency Ratios</w:t>
      </w:r>
      <w:r w:rsidRPr="00D507E5">
        <w:rPr>
          <w:rFonts w:ascii="Arial" w:hAnsi="Arial" w:cs="Arial"/>
        </w:rPr>
        <w:br/>
        <w:t>Efficiency ratios indicate how effectively Costcuttur manages its inventory, receivables, and payables. Inventory Days have increased dramatically over the years, suggesting overstocking, poor forecasting, and slower product movement—issues that have directly contributed to rising storage costs and inventory write-offs. Receivable Days remain relatively stable but elevated, pointing to slow customer payments and weakened credit management. Payable Days show inconsistency, indicating fluctuating reliance on supplier financing. Combined, these inefficiencies have significantly lengthened the Cash Conversion Cycle and reduced operating cash flows.</w:t>
      </w:r>
      <w:r w:rsidRPr="00D507E5">
        <w:rPr>
          <w:rFonts w:ascii="Arial" w:hAnsi="Arial" w:cs="Arial"/>
        </w:rPr>
        <w:br/>
      </w:r>
      <w:r w:rsidRPr="00D507E5">
        <w:rPr>
          <w:rFonts w:ascii="Arial" w:hAnsi="Arial" w:cs="Arial"/>
        </w:rPr>
        <w:br/>
        <w:t>Gearing Ratios</w:t>
      </w:r>
      <w:r w:rsidRPr="00D507E5">
        <w:rPr>
          <w:rFonts w:ascii="Arial" w:hAnsi="Arial" w:cs="Arial"/>
        </w:rPr>
        <w:br/>
        <w:t>Gearing ratios reveal the extent of Costcuttur’s reliance on debt financing. The Debt-to-Equity Ratio has increased steadily, indicating rising financial risk and greater dependence on external borrowing. This trend is concerning given the company’s declining profitability, as rising interest expenses further weaken financial performance. As Rammala and Toerien (2024) note, high leverage becomes particularly dangerous when earnings are volatile or negative—conditions that Costcuttur is currently experiencing.</w:t>
      </w:r>
      <w:r w:rsidRPr="00D507E5">
        <w:rPr>
          <w:rFonts w:ascii="Arial" w:hAnsi="Arial" w:cs="Arial"/>
        </w:rPr>
        <w:br/>
      </w:r>
      <w:r w:rsidRPr="00D507E5">
        <w:rPr>
          <w:rFonts w:ascii="Arial" w:hAnsi="Arial" w:cs="Arial"/>
        </w:rPr>
        <w:br/>
        <w:t>Investment Ratios</w:t>
      </w:r>
      <w:r w:rsidRPr="00D507E5">
        <w:rPr>
          <w:rFonts w:ascii="Arial" w:hAnsi="Arial" w:cs="Arial"/>
        </w:rPr>
        <w:br/>
        <w:t>Investment ratios, including Earnings Per Share (EPS), demonstrate the company’s attractiveness to investors. EPS has declined sharply into negative territory, reflecting significant losses and eroded shareholder confidence. The poor investment ratios highlight the urgent need for strategic restructuring to restore profitability and rebuild equity value.</w:t>
      </w:r>
      <w:r w:rsidRPr="00D507E5">
        <w:rPr>
          <w:rFonts w:ascii="Arial" w:hAnsi="Arial" w:cs="Arial"/>
        </w:rPr>
        <w:br/>
      </w:r>
      <w:r w:rsidRPr="00D507E5">
        <w:rPr>
          <w:rFonts w:ascii="Arial" w:hAnsi="Arial" w:cs="Arial"/>
        </w:rPr>
        <w:br/>
        <w:t>Overall, the ratio analysis paints a clear picture of an organisation facing deteriorating profitability, tightening liquidity, operational inefficiencies, and growing financial risk. These indicators collectively confirm the need for aggressive restructuring to stabilise performance and protect long-</w:t>
      </w:r>
      <w:r w:rsidRPr="00D507E5">
        <w:rPr>
          <w:rFonts w:ascii="Arial" w:hAnsi="Arial" w:cs="Arial"/>
        </w:rPr>
        <w:lastRenderedPageBreak/>
        <w:t>term viability.</w:t>
      </w:r>
      <w:r w:rsidRPr="00D507E5">
        <w:rPr>
          <w:rFonts w:ascii="Arial" w:hAnsi="Arial" w:cs="Arial"/>
        </w:rPr>
        <w:br/>
      </w:r>
    </w:p>
    <w:p w14:paraId="4ADE6738" w14:textId="77777777" w:rsidR="00691338" w:rsidRPr="00D507E5" w:rsidRDefault="00000000" w:rsidP="00D507E5">
      <w:pPr>
        <w:ind w:right="-1080"/>
        <w:rPr>
          <w:rFonts w:ascii="Arial" w:hAnsi="Arial" w:cs="Arial"/>
        </w:rPr>
      </w:pPr>
      <w:r w:rsidRPr="00D507E5">
        <w:rPr>
          <w:rFonts w:ascii="Arial" w:hAnsi="Arial" w:cs="Arial"/>
        </w:rPr>
        <w:br/>
        <w:t>2.2 Ratio Analysis Summary</w:t>
      </w:r>
      <w:r w:rsidRPr="00D507E5">
        <w:rPr>
          <w:rFonts w:ascii="Arial" w:hAnsi="Arial" w:cs="Arial"/>
        </w:rPr>
        <w:br/>
      </w:r>
      <w:r w:rsidRPr="00D507E5">
        <w:rPr>
          <w:rFonts w:ascii="Arial" w:hAnsi="Arial" w:cs="Arial"/>
        </w:rPr>
        <w:br/>
        <w:t>A comprehensive ratio analysis was conducted to evaluate Costcuttur’s financial performance across profitability, liquidity, efficiency, gearing, and investment indicators for the five-year period. These ratios provide essential insight into the organisation’s financial health and highlight key vulnerabilities requiring strategic intervention. Full calculations and data tables are provided in Appendix A.</w:t>
      </w:r>
      <w:r w:rsidRPr="00D507E5">
        <w:rPr>
          <w:rFonts w:ascii="Arial" w:hAnsi="Arial" w:cs="Arial"/>
        </w:rPr>
        <w:br/>
      </w:r>
      <w:r w:rsidRPr="00D507E5">
        <w:rPr>
          <w:rFonts w:ascii="Arial" w:hAnsi="Arial" w:cs="Arial"/>
        </w:rPr>
        <w:br/>
        <w:t>Profitability Ratios</w:t>
      </w:r>
      <w:r w:rsidRPr="00D507E5">
        <w:rPr>
          <w:rFonts w:ascii="Arial" w:hAnsi="Arial" w:cs="Arial"/>
        </w:rPr>
        <w:br/>
        <w:t>Profitability ratios measure the organisation’s ability to generate earnings relative to sales, assets, and equity. Across the five-year period, Costcuttur’s profitability has deteriorated substantially. Gross Profit Margin has trended downward, reflecting an inability to maintain pricing power amid rising wholesale costs and competitive discounting. Net Profit Margin turned negative in the most recent years, signalling that operations are no longer generating sufficient returns to cover operating expenses.</w:t>
      </w:r>
      <w:r w:rsidRPr="00D507E5">
        <w:rPr>
          <w:rFonts w:ascii="Arial" w:hAnsi="Arial" w:cs="Arial"/>
        </w:rPr>
        <w:br/>
      </w:r>
      <w:r w:rsidRPr="00D507E5">
        <w:rPr>
          <w:rFonts w:ascii="Arial" w:hAnsi="Arial" w:cs="Arial"/>
        </w:rPr>
        <w:br/>
        <w:t>Return on Assets (ROA) and Return on Equity (ROE) both exhibit a sharp decline. ROA shows inefficient utilisation of assets, while the negative ROE indicates destruction of shareholder value, consistent with Bozsik and Szemán’s (2023) findings that negative returns are symptomatic of unsustainable capital structures and declining operational performance.</w:t>
      </w:r>
      <w:r w:rsidRPr="00D507E5">
        <w:rPr>
          <w:rFonts w:ascii="Arial" w:hAnsi="Arial" w:cs="Arial"/>
        </w:rPr>
        <w:br/>
      </w:r>
      <w:r w:rsidRPr="00D507E5">
        <w:rPr>
          <w:rFonts w:ascii="Arial" w:hAnsi="Arial" w:cs="Arial"/>
        </w:rPr>
        <w:br/>
        <w:t>Liquidity Ratios</w:t>
      </w:r>
      <w:r w:rsidRPr="00D507E5">
        <w:rPr>
          <w:rFonts w:ascii="Arial" w:hAnsi="Arial" w:cs="Arial"/>
        </w:rPr>
        <w:br/>
        <w:t>Liquidity ratios assess the company’s capacity to meet short-term obligations. While the Current Ratio remains marginally above 1.0, it has shown a downward trend that reflects tightening liquidity. Costcuttur is increasingly dependent on inventory to support liquidity, as emphasised by the Quick Ratio, which has hovered close to 1.0 and remains vulnerable to fluctuations in inventory realisation. In line with the liquidity management principles highlighted by Zhou, Xia, and Peng (2021), such fragile liquidity positions heighten exposure to economic volatility and supply chain disruptions.</w:t>
      </w:r>
      <w:r w:rsidRPr="00D507E5">
        <w:rPr>
          <w:rFonts w:ascii="Arial" w:hAnsi="Arial" w:cs="Arial"/>
        </w:rPr>
        <w:br/>
      </w:r>
      <w:r w:rsidRPr="00D507E5">
        <w:rPr>
          <w:rFonts w:ascii="Arial" w:hAnsi="Arial" w:cs="Arial"/>
        </w:rPr>
        <w:br/>
        <w:t>Efficiency Ratios</w:t>
      </w:r>
      <w:r w:rsidRPr="00D507E5">
        <w:rPr>
          <w:rFonts w:ascii="Arial" w:hAnsi="Arial" w:cs="Arial"/>
        </w:rPr>
        <w:br/>
        <w:t>Efficiency ratios analyse how effectively Costcuttur manages working capital components. Inventory Days have increased substantially, indicating the accumulation of excess stock and poor demand forecasting. This inefficiency has resulted in increased holding costs, higher risks of inventory obsolescence, and reduced cash availability.</w:t>
      </w:r>
      <w:r w:rsidRPr="00D507E5">
        <w:rPr>
          <w:rFonts w:ascii="Arial" w:hAnsi="Arial" w:cs="Arial"/>
        </w:rPr>
        <w:br/>
      </w:r>
      <w:r w:rsidRPr="00D507E5">
        <w:rPr>
          <w:rFonts w:ascii="Arial" w:hAnsi="Arial" w:cs="Arial"/>
        </w:rPr>
        <w:br/>
        <w:t>Receivable Days show inconsistent performance, indicating variability in credit collection efficiency. Payable Days have also fluctuated, reflecting unstable supplier payment practices. Together, these inefficiencies have contributed to Costcuttur’s elongated Cash Conversion Cycle, demonstrating weakened operational effectiveness and reduced ability to generate cash from core activities.</w:t>
      </w:r>
      <w:r w:rsidRPr="00D507E5">
        <w:rPr>
          <w:rFonts w:ascii="Arial" w:hAnsi="Arial" w:cs="Arial"/>
        </w:rPr>
        <w:br/>
      </w:r>
      <w:r w:rsidRPr="00D507E5">
        <w:rPr>
          <w:rFonts w:ascii="Arial" w:hAnsi="Arial" w:cs="Arial"/>
        </w:rPr>
        <w:lastRenderedPageBreak/>
        <w:br/>
        <w:t>Gearing Ratios</w:t>
      </w:r>
      <w:r w:rsidRPr="00D507E5">
        <w:rPr>
          <w:rFonts w:ascii="Arial" w:hAnsi="Arial" w:cs="Arial"/>
        </w:rPr>
        <w:br/>
        <w:t>Gearing ratios evaluate financial leverage and long-term solvency. Costcuttur’s Debt-to-Equity Ratio has risen consistently across the five-year period, pointing to increasing dependence on external financing. This trend is risky given the decline in profitability, as higher debt servicing costs intensify financial pressure. As described by Rammala and Toerien (2024), excessive leverage in the presence of volatile earnings significantly increases the probability of financial distress.</w:t>
      </w:r>
      <w:r w:rsidRPr="00D507E5">
        <w:rPr>
          <w:rFonts w:ascii="Arial" w:hAnsi="Arial" w:cs="Arial"/>
        </w:rPr>
        <w:br/>
      </w:r>
      <w:r w:rsidRPr="00D507E5">
        <w:rPr>
          <w:rFonts w:ascii="Arial" w:hAnsi="Arial" w:cs="Arial"/>
        </w:rPr>
        <w:br/>
        <w:t>Investment Ratios</w:t>
      </w:r>
      <w:r w:rsidRPr="00D507E5">
        <w:rPr>
          <w:rFonts w:ascii="Arial" w:hAnsi="Arial" w:cs="Arial"/>
        </w:rPr>
        <w:br/>
        <w:t>Investment ratios, including Earnings Per Share (EPS), reveal the company’s investment attractiveness. EPS has sharply declined into negative territory, corresponding with persistent losses and deteriorating investor confidence. This performance underscores the urgent need for restructuring to restore profitability and rebuild shareholder value.</w:t>
      </w:r>
      <w:r w:rsidRPr="00D507E5">
        <w:rPr>
          <w:rFonts w:ascii="Arial" w:hAnsi="Arial" w:cs="Arial"/>
        </w:rPr>
        <w:br/>
      </w:r>
      <w:r w:rsidRPr="00D507E5">
        <w:rPr>
          <w:rFonts w:ascii="Arial" w:hAnsi="Arial" w:cs="Arial"/>
        </w:rPr>
        <w:br/>
        <w:t>Overall, the ratio analysis illustrates severe weaknesses across profitability, liquidity, efficiency, and solvency. These trends confirm that Costcuttur is experiencing systemic financial distress requiring comprehensive operational and financial restructuring.</w:t>
      </w:r>
      <w:r w:rsidRPr="00D507E5">
        <w:rPr>
          <w:rFonts w:ascii="Arial" w:hAnsi="Arial" w:cs="Arial"/>
        </w:rPr>
        <w:br/>
      </w:r>
    </w:p>
    <w:p w14:paraId="512AB565" w14:textId="77777777" w:rsidR="00691338" w:rsidRPr="00D507E5" w:rsidRDefault="00000000" w:rsidP="00D507E5">
      <w:pPr>
        <w:ind w:right="-1080"/>
        <w:rPr>
          <w:rFonts w:ascii="Arial" w:hAnsi="Arial" w:cs="Arial"/>
        </w:rPr>
      </w:pPr>
      <w:r w:rsidRPr="00D507E5">
        <w:rPr>
          <w:rFonts w:ascii="Arial" w:hAnsi="Arial" w:cs="Arial"/>
        </w:rPr>
        <w:br/>
        <w:t>2.3 Trend Analysis and Discussion</w:t>
      </w:r>
      <w:r w:rsidRPr="00D507E5">
        <w:rPr>
          <w:rFonts w:ascii="Arial" w:hAnsi="Arial" w:cs="Arial"/>
        </w:rPr>
        <w:br/>
      </w:r>
      <w:r w:rsidRPr="00D507E5">
        <w:rPr>
          <w:rFonts w:ascii="Arial" w:hAnsi="Arial" w:cs="Arial"/>
        </w:rPr>
        <w:br/>
        <w:t>The five-year financial trend analysis of Costcuttur reveals a consistent pattern of deterioration across all major financial dimensions—profitability, liquidity, efficiency, solvency, and investment performance. These trends reflect deeper structural challenges rather than temporary market fluctuations and are aligned with the characteristics of retail organisations facing significant competitive and operational pressures.</w:t>
      </w:r>
      <w:r w:rsidRPr="00D507E5">
        <w:rPr>
          <w:rFonts w:ascii="Arial" w:hAnsi="Arial" w:cs="Arial"/>
        </w:rPr>
        <w:br/>
      </w:r>
      <w:r w:rsidRPr="00D507E5">
        <w:rPr>
          <w:rFonts w:ascii="Arial" w:hAnsi="Arial" w:cs="Arial"/>
        </w:rPr>
        <w:br/>
        <w:t>Profitability Trends</w:t>
      </w:r>
      <w:r w:rsidRPr="00D507E5">
        <w:rPr>
          <w:rFonts w:ascii="Arial" w:hAnsi="Arial" w:cs="Arial"/>
        </w:rPr>
        <w:br/>
        <w:t>Costcuttur’s profitability has weakened significantly over the period, with declining Gross Profit Margins and persistent negative Net Profit Margins in recent years. This trend indicates rising cost pressures and ineffective cost control mechanisms. The competitive nature of the grocery retail sector, including the rise of discount retailers and online platforms, has eroded Costcuttur’s pricing power and reduced profitability. According to Ertan, Lewellen, and Thomas (2020), such margin compression is typically associated with companies that lack operational flexibility and fail to adapt to changing market dynamics.</w:t>
      </w:r>
      <w:r w:rsidRPr="00D507E5">
        <w:rPr>
          <w:rFonts w:ascii="Arial" w:hAnsi="Arial" w:cs="Arial"/>
        </w:rPr>
        <w:br/>
      </w:r>
      <w:r w:rsidRPr="00D507E5">
        <w:rPr>
          <w:rFonts w:ascii="Arial" w:hAnsi="Arial" w:cs="Arial"/>
        </w:rPr>
        <w:br/>
        <w:t>Similarly, declining Return on Assets (ROA) and Return on Equity (ROE) suggest deteriorating asset utilisation and destruction of shareholder value. These trends align with the preconditions for financial distress described in Ogachi et al. (2020), where sustained operating losses and reduced returns commonly indicate an organisation entering a decline phase.</w:t>
      </w:r>
      <w:r w:rsidRPr="00D507E5">
        <w:rPr>
          <w:rFonts w:ascii="Arial" w:hAnsi="Arial" w:cs="Arial"/>
        </w:rPr>
        <w:br/>
      </w:r>
      <w:r w:rsidRPr="00D507E5">
        <w:rPr>
          <w:rFonts w:ascii="Arial" w:hAnsi="Arial" w:cs="Arial"/>
        </w:rPr>
        <w:br/>
        <w:t>Liquidity Trends</w:t>
      </w:r>
      <w:r w:rsidRPr="00D507E5">
        <w:rPr>
          <w:rFonts w:ascii="Arial" w:hAnsi="Arial" w:cs="Arial"/>
        </w:rPr>
        <w:br/>
        <w:t xml:space="preserve">Liquidity indicators demonstrate a tightening cash position. Although the Current Ratio remains </w:t>
      </w:r>
      <w:r w:rsidRPr="00D507E5">
        <w:rPr>
          <w:rFonts w:ascii="Arial" w:hAnsi="Arial" w:cs="Arial"/>
        </w:rPr>
        <w:lastRenderedPageBreak/>
        <w:t>slightly above 1.0, the downward trend highlights growing liquidity risk. The Quick Ratio’s proximity to 1.0 indicates that Costcuttur relies heavily on inventory to support its short-term financial obligations. As Huang (2021) notes, firms in this position are vulnerable to disruptions in working capital and supply chain dynamics—consistent with Costcuttur’s recent struggles.</w:t>
      </w:r>
      <w:r w:rsidRPr="00D507E5">
        <w:rPr>
          <w:rFonts w:ascii="Arial" w:hAnsi="Arial" w:cs="Arial"/>
        </w:rPr>
        <w:br/>
      </w:r>
      <w:r w:rsidRPr="00D507E5">
        <w:rPr>
          <w:rFonts w:ascii="Arial" w:hAnsi="Arial" w:cs="Arial"/>
        </w:rPr>
        <w:br/>
        <w:t>Efficiency Trends</w:t>
      </w:r>
      <w:r w:rsidRPr="00D507E5">
        <w:rPr>
          <w:rFonts w:ascii="Arial" w:hAnsi="Arial" w:cs="Arial"/>
        </w:rPr>
        <w:br/>
        <w:t>Efficiency ratios reveal significant operational inefficiencies. Inventory Days have increased substantially, signalling issues in demand forecasting, stock optimisation, and supply chain coordination. Overstocking not only increases holding costs but also ties up substantial working capital—reducing the cash available to fund daily operations. The unstable trends in Receivable Days and Payable Days further reflect inconsistent credit management and an overreliance on supplier financing.</w:t>
      </w:r>
      <w:r w:rsidRPr="00D507E5">
        <w:rPr>
          <w:rFonts w:ascii="Arial" w:hAnsi="Arial" w:cs="Arial"/>
        </w:rPr>
        <w:br/>
      </w:r>
      <w:r w:rsidRPr="00D507E5">
        <w:rPr>
          <w:rFonts w:ascii="Arial" w:hAnsi="Arial" w:cs="Arial"/>
        </w:rPr>
        <w:br/>
        <w:t>These trends align with the theories of working capital inefficiency outlined by Lazaridis and Tryfonidis (2006), which suggest that prolonged inefficiencies in the Cash Conversion Cycle directly reduce profitability and liquidity. Costcuttur’s lengthened cycle indicates diminished operational effectiveness, contributing significantly to the organisation’s cash flow constraints.</w:t>
      </w:r>
      <w:r w:rsidRPr="00D507E5">
        <w:rPr>
          <w:rFonts w:ascii="Arial" w:hAnsi="Arial" w:cs="Arial"/>
        </w:rPr>
        <w:br/>
      </w:r>
      <w:r w:rsidRPr="00D507E5">
        <w:rPr>
          <w:rFonts w:ascii="Arial" w:hAnsi="Arial" w:cs="Arial"/>
        </w:rPr>
        <w:br/>
        <w:t>Gearing and Solvency Trends</w:t>
      </w:r>
      <w:r w:rsidRPr="00D507E5">
        <w:rPr>
          <w:rFonts w:ascii="Arial" w:hAnsi="Arial" w:cs="Arial"/>
        </w:rPr>
        <w:br/>
        <w:t>Rising leverage and increasing Debt-to-Equity ratios indicate worsening solvency. Costcuttur has consistently relied more heavily on external debt to finance operations, even as profitability has declined. This imbalance increases exposure to financial distress, as highlighted by Frank, Goyal, and Shen (2020), who assert that firms with rising leverage and falling earnings face significantly elevated default risk. The trend suggests an urgent need for capital structure optimisation.</w:t>
      </w:r>
      <w:r w:rsidRPr="00D507E5">
        <w:rPr>
          <w:rFonts w:ascii="Arial" w:hAnsi="Arial" w:cs="Arial"/>
        </w:rPr>
        <w:br/>
      </w:r>
      <w:r w:rsidRPr="00D507E5">
        <w:rPr>
          <w:rFonts w:ascii="Arial" w:hAnsi="Arial" w:cs="Arial"/>
        </w:rPr>
        <w:br/>
        <w:t>Investment Trends</w:t>
      </w:r>
      <w:r w:rsidRPr="00D507E5">
        <w:rPr>
          <w:rFonts w:ascii="Arial" w:hAnsi="Arial" w:cs="Arial"/>
        </w:rPr>
        <w:br/>
        <w:t>Investment ratios—including Earnings Per Share—demonstrate weakening investor confidence, with EPS turning negative as a result of cumulative losses. Declining shareholder equity further signals reduced market value and weakened financial resilience.</w:t>
      </w:r>
      <w:r w:rsidRPr="00D507E5">
        <w:rPr>
          <w:rFonts w:ascii="Arial" w:hAnsi="Arial" w:cs="Arial"/>
        </w:rPr>
        <w:br/>
      </w:r>
      <w:r w:rsidRPr="00D507E5">
        <w:rPr>
          <w:rFonts w:ascii="Arial" w:hAnsi="Arial" w:cs="Arial"/>
        </w:rPr>
        <w:br/>
        <w:t>Summary of Trends</w:t>
      </w:r>
      <w:r w:rsidRPr="00D507E5">
        <w:rPr>
          <w:rFonts w:ascii="Arial" w:hAnsi="Arial" w:cs="Arial"/>
        </w:rPr>
        <w:br/>
        <w:t>Overall, the financial trends indicate that Costcuttur is experiencing systemic decline driven by operational inefficiencies, cost pressures, tightening liquidity, and excessive leverage. While the firm maintains some strengths—such as a marginally stable liquidity base—these are overshadowed by long-term structural challenges. The trends clearly emphasise the need for a comprehensive turnaround strategy focused on improving working capital efficiency, restructuring debt, and restoring operational effectiveness.</w:t>
      </w:r>
      <w:r w:rsidRPr="00D507E5">
        <w:rPr>
          <w:rFonts w:ascii="Arial" w:hAnsi="Arial" w:cs="Arial"/>
        </w:rPr>
        <w:br/>
      </w:r>
      <w:r w:rsidRPr="00D507E5">
        <w:rPr>
          <w:rFonts w:ascii="Arial" w:hAnsi="Arial" w:cs="Arial"/>
        </w:rPr>
        <w:br/>
      </w:r>
    </w:p>
    <w:p w14:paraId="6E7DCCAA" w14:textId="77777777" w:rsidR="00691338" w:rsidRPr="00D507E5" w:rsidRDefault="00000000" w:rsidP="00D507E5">
      <w:pPr>
        <w:ind w:right="-1080"/>
        <w:rPr>
          <w:rFonts w:ascii="Arial" w:hAnsi="Arial" w:cs="Arial"/>
        </w:rPr>
      </w:pPr>
      <w:r w:rsidRPr="00D507E5">
        <w:rPr>
          <w:rFonts w:ascii="Arial" w:hAnsi="Arial" w:cs="Arial"/>
        </w:rPr>
        <w:br/>
        <w:t>2.4 Corporate Failure Prediction – Altman Z-Score</w:t>
      </w:r>
      <w:r w:rsidRPr="00D507E5">
        <w:rPr>
          <w:rFonts w:ascii="Arial" w:hAnsi="Arial" w:cs="Arial"/>
        </w:rPr>
        <w:br/>
      </w:r>
      <w:r w:rsidRPr="00D507E5">
        <w:rPr>
          <w:rFonts w:ascii="Arial" w:hAnsi="Arial" w:cs="Arial"/>
        </w:rPr>
        <w:br/>
        <w:t xml:space="preserve">To evaluate Costcuttur’s risk of financial distress, the Altman Z-Score model (1968) was applied </w:t>
      </w:r>
      <w:r w:rsidRPr="00D507E5">
        <w:rPr>
          <w:rFonts w:ascii="Arial" w:hAnsi="Arial" w:cs="Arial"/>
        </w:rPr>
        <w:lastRenderedPageBreak/>
        <w:t>using the most recent financial data (FY2024). The Altman Z-Score is a widely recognised predictive model used to assess the likelihood of corporate bankruptcy by combining key financial ratios into a single composite score.</w:t>
      </w:r>
      <w:r w:rsidRPr="00D507E5">
        <w:rPr>
          <w:rFonts w:ascii="Arial" w:hAnsi="Arial" w:cs="Arial"/>
        </w:rPr>
        <w:br/>
      </w:r>
      <w:r w:rsidRPr="00D507E5">
        <w:rPr>
          <w:rFonts w:ascii="Arial" w:hAnsi="Arial" w:cs="Arial"/>
        </w:rPr>
        <w:br/>
        <w:t>The Z-Score formula for publicly traded manufacturing and retail firms is:</w:t>
      </w:r>
      <w:r w:rsidRPr="00D507E5">
        <w:rPr>
          <w:rFonts w:ascii="Arial" w:hAnsi="Arial" w:cs="Arial"/>
        </w:rPr>
        <w:br/>
        <w:t>Z = 1.2(X1) + 1.4(X2) + 3.3(X3) + 0.6(X4) + 1.0(X5)</w:t>
      </w:r>
      <w:r w:rsidRPr="00D507E5">
        <w:rPr>
          <w:rFonts w:ascii="Arial" w:hAnsi="Arial" w:cs="Arial"/>
        </w:rPr>
        <w:br/>
      </w:r>
      <w:r w:rsidRPr="00D507E5">
        <w:rPr>
          <w:rFonts w:ascii="Arial" w:hAnsi="Arial" w:cs="Arial"/>
        </w:rPr>
        <w:br/>
        <w:t>Where:</w:t>
      </w:r>
      <w:r w:rsidRPr="00D507E5">
        <w:rPr>
          <w:rFonts w:ascii="Arial" w:hAnsi="Arial" w:cs="Arial"/>
        </w:rPr>
        <w:br/>
        <w:t xml:space="preserve">X1 = Working Capital / Total Assets  </w:t>
      </w:r>
      <w:r w:rsidRPr="00D507E5">
        <w:rPr>
          <w:rFonts w:ascii="Arial" w:hAnsi="Arial" w:cs="Arial"/>
        </w:rPr>
        <w:br/>
        <w:t xml:space="preserve">X2 = Retained Earnings / Total Assets  </w:t>
      </w:r>
      <w:r w:rsidRPr="00D507E5">
        <w:rPr>
          <w:rFonts w:ascii="Arial" w:hAnsi="Arial" w:cs="Arial"/>
        </w:rPr>
        <w:br/>
        <w:t xml:space="preserve">X3 = EBIT / Total Assets  </w:t>
      </w:r>
      <w:r w:rsidRPr="00D507E5">
        <w:rPr>
          <w:rFonts w:ascii="Arial" w:hAnsi="Arial" w:cs="Arial"/>
        </w:rPr>
        <w:br/>
        <w:t xml:space="preserve">X4 = Market Value of Equity / Total Liabilities  </w:t>
      </w:r>
      <w:r w:rsidRPr="00D507E5">
        <w:rPr>
          <w:rFonts w:ascii="Arial" w:hAnsi="Arial" w:cs="Arial"/>
        </w:rPr>
        <w:br/>
        <w:t xml:space="preserve">X5 = Sales / Total Assets  </w:t>
      </w:r>
      <w:r w:rsidRPr="00D507E5">
        <w:rPr>
          <w:rFonts w:ascii="Arial" w:hAnsi="Arial" w:cs="Arial"/>
        </w:rPr>
        <w:br/>
      </w:r>
      <w:r w:rsidRPr="00D507E5">
        <w:rPr>
          <w:rFonts w:ascii="Arial" w:hAnsi="Arial" w:cs="Arial"/>
        </w:rPr>
        <w:br/>
        <w:t>Applying Costcuttur’s 2024 data:</w:t>
      </w:r>
      <w:r w:rsidRPr="00D507E5">
        <w:rPr>
          <w:rFonts w:ascii="Arial" w:hAnsi="Arial" w:cs="Arial"/>
        </w:rPr>
        <w:br/>
      </w:r>
      <w:r w:rsidRPr="00D507E5">
        <w:rPr>
          <w:rFonts w:ascii="Arial" w:hAnsi="Arial" w:cs="Arial"/>
        </w:rPr>
        <w:br/>
        <w:t xml:space="preserve">Working Capital = Current Assets – Current Liabilities  </w:t>
      </w:r>
      <w:r w:rsidRPr="00D507E5">
        <w:rPr>
          <w:rFonts w:ascii="Arial" w:hAnsi="Arial" w:cs="Arial"/>
        </w:rPr>
        <w:br/>
        <w:t xml:space="preserve">X1 = Working Capital / Total Assets  </w:t>
      </w:r>
      <w:r w:rsidRPr="00D507E5">
        <w:rPr>
          <w:rFonts w:ascii="Arial" w:hAnsi="Arial" w:cs="Arial"/>
        </w:rPr>
        <w:br/>
        <w:t xml:space="preserve">X1 = (242,494 – 158,291) / 323,354 ≈ 0.26  </w:t>
      </w:r>
      <w:r w:rsidRPr="00D507E5">
        <w:rPr>
          <w:rFonts w:ascii="Arial" w:hAnsi="Arial" w:cs="Arial"/>
        </w:rPr>
        <w:br/>
      </w:r>
      <w:r w:rsidRPr="00D507E5">
        <w:rPr>
          <w:rFonts w:ascii="Arial" w:hAnsi="Arial" w:cs="Arial"/>
        </w:rPr>
        <w:br/>
        <w:t xml:space="preserve">X2 = Retained Earnings / Total Assets  </w:t>
      </w:r>
      <w:r w:rsidRPr="00D507E5">
        <w:rPr>
          <w:rFonts w:ascii="Arial" w:hAnsi="Arial" w:cs="Arial"/>
        </w:rPr>
        <w:br/>
        <w:t xml:space="preserve">X2 = 208,431 / 323,354 ≈ 0.64  </w:t>
      </w:r>
      <w:r w:rsidRPr="00D507E5">
        <w:rPr>
          <w:rFonts w:ascii="Arial" w:hAnsi="Arial" w:cs="Arial"/>
        </w:rPr>
        <w:br/>
      </w:r>
      <w:r w:rsidRPr="00D507E5">
        <w:rPr>
          <w:rFonts w:ascii="Arial" w:hAnsi="Arial" w:cs="Arial"/>
        </w:rPr>
        <w:br/>
        <w:t xml:space="preserve">X3 = EBIT / Total Assets  </w:t>
      </w:r>
      <w:r w:rsidRPr="00D507E5">
        <w:rPr>
          <w:rFonts w:ascii="Arial" w:hAnsi="Arial" w:cs="Arial"/>
        </w:rPr>
        <w:br/>
        <w:t xml:space="preserve">X3 = –15,297 / 323,354 ≈ –0.05  </w:t>
      </w:r>
      <w:r w:rsidRPr="00D507E5">
        <w:rPr>
          <w:rFonts w:ascii="Arial" w:hAnsi="Arial" w:cs="Arial"/>
        </w:rPr>
        <w:br/>
      </w:r>
      <w:r w:rsidRPr="00D507E5">
        <w:rPr>
          <w:rFonts w:ascii="Arial" w:hAnsi="Arial" w:cs="Arial"/>
        </w:rPr>
        <w:br/>
        <w:t xml:space="preserve">X4 = Market Value of Equity / Total Liabilities  </w:t>
      </w:r>
      <w:r w:rsidRPr="00D507E5">
        <w:rPr>
          <w:rFonts w:ascii="Arial" w:hAnsi="Arial" w:cs="Arial"/>
        </w:rPr>
        <w:br/>
        <w:t xml:space="preserve">Market Value of Equity approximated = Total Shareholders’ Equity  </w:t>
      </w:r>
      <w:r w:rsidRPr="00D507E5">
        <w:rPr>
          <w:rFonts w:ascii="Arial" w:hAnsi="Arial" w:cs="Arial"/>
        </w:rPr>
        <w:br/>
        <w:t xml:space="preserve">X4 = 153,105 / 170,249 ≈ 0.90  </w:t>
      </w:r>
      <w:r w:rsidRPr="00D507E5">
        <w:rPr>
          <w:rFonts w:ascii="Arial" w:hAnsi="Arial" w:cs="Arial"/>
        </w:rPr>
        <w:br/>
      </w:r>
      <w:r w:rsidRPr="00D507E5">
        <w:rPr>
          <w:rFonts w:ascii="Arial" w:hAnsi="Arial" w:cs="Arial"/>
        </w:rPr>
        <w:br/>
        <w:t xml:space="preserve">X5 = Sales / Total Assets  </w:t>
      </w:r>
      <w:r w:rsidRPr="00D507E5">
        <w:rPr>
          <w:rFonts w:ascii="Arial" w:hAnsi="Arial" w:cs="Arial"/>
        </w:rPr>
        <w:br/>
        <w:t xml:space="preserve">X5 = 394,879 / 323,354 ≈ 1.22  </w:t>
      </w:r>
      <w:r w:rsidRPr="00D507E5">
        <w:rPr>
          <w:rFonts w:ascii="Arial" w:hAnsi="Arial" w:cs="Arial"/>
        </w:rPr>
        <w:br/>
      </w:r>
      <w:r w:rsidRPr="00D507E5">
        <w:rPr>
          <w:rFonts w:ascii="Arial" w:hAnsi="Arial" w:cs="Arial"/>
        </w:rPr>
        <w:br/>
        <w:t>Substituting the values into the Altman formula:</w:t>
      </w:r>
      <w:r w:rsidRPr="00D507E5">
        <w:rPr>
          <w:rFonts w:ascii="Arial" w:hAnsi="Arial" w:cs="Arial"/>
        </w:rPr>
        <w:br/>
      </w:r>
      <w:r w:rsidRPr="00D507E5">
        <w:rPr>
          <w:rFonts w:ascii="Arial" w:hAnsi="Arial" w:cs="Arial"/>
        </w:rPr>
        <w:br/>
        <w:t xml:space="preserve">Z = 1.2(0.26) + 1.4(0.64) + 3.3(–0.05) + 0.6(0.90) + 1.0(1.22)  </w:t>
      </w:r>
      <w:r w:rsidRPr="00D507E5">
        <w:rPr>
          <w:rFonts w:ascii="Arial" w:hAnsi="Arial" w:cs="Arial"/>
        </w:rPr>
        <w:br/>
        <w:t xml:space="preserve">Z ≈ 0.31 + 0.90 – 0.17 + 0.54 + 1.22  </w:t>
      </w:r>
      <w:r w:rsidRPr="00D507E5">
        <w:rPr>
          <w:rFonts w:ascii="Arial" w:hAnsi="Arial" w:cs="Arial"/>
        </w:rPr>
        <w:br/>
        <w:t>Z ≈ 2.80</w:t>
      </w:r>
      <w:r w:rsidRPr="00D507E5">
        <w:rPr>
          <w:rFonts w:ascii="Arial" w:hAnsi="Arial" w:cs="Arial"/>
        </w:rPr>
        <w:br/>
      </w:r>
      <w:r w:rsidRPr="00D507E5">
        <w:rPr>
          <w:rFonts w:ascii="Arial" w:hAnsi="Arial" w:cs="Arial"/>
        </w:rPr>
        <w:br/>
        <w:t>Interpretation of the Z-Score:</w:t>
      </w:r>
      <w:r w:rsidRPr="00D507E5">
        <w:rPr>
          <w:rFonts w:ascii="Arial" w:hAnsi="Arial" w:cs="Arial"/>
        </w:rPr>
        <w:br/>
        <w:t xml:space="preserve">• Z &gt; 2.99 = Safe Zone  </w:t>
      </w:r>
      <w:r w:rsidRPr="00D507E5">
        <w:rPr>
          <w:rFonts w:ascii="Arial" w:hAnsi="Arial" w:cs="Arial"/>
        </w:rPr>
        <w:br/>
        <w:t xml:space="preserve">• 1.81 &lt; Z &lt; 2.99 = Grey Zone  </w:t>
      </w:r>
      <w:r w:rsidRPr="00D507E5">
        <w:rPr>
          <w:rFonts w:ascii="Arial" w:hAnsi="Arial" w:cs="Arial"/>
        </w:rPr>
        <w:br/>
        <w:t xml:space="preserve">• Z &lt; 1.81 = Distress Zone  </w:t>
      </w:r>
      <w:r w:rsidRPr="00D507E5">
        <w:rPr>
          <w:rFonts w:ascii="Arial" w:hAnsi="Arial" w:cs="Arial"/>
        </w:rPr>
        <w:br/>
      </w:r>
      <w:r w:rsidRPr="00D507E5">
        <w:rPr>
          <w:rFonts w:ascii="Arial" w:hAnsi="Arial" w:cs="Arial"/>
        </w:rPr>
        <w:br/>
      </w:r>
      <w:r w:rsidRPr="00D507E5">
        <w:rPr>
          <w:rFonts w:ascii="Arial" w:hAnsi="Arial" w:cs="Arial"/>
        </w:rPr>
        <w:lastRenderedPageBreak/>
        <w:t>Costcuttur’s score of 2.80 places the company in the **Grey Zone**, indicating a heightened risk of financial distress but not immediate insolvency. This suggests that while Costcuttur retains some financial stability—primarily due to its asset base and equity position—continued operating losses and weakening liquidity pose significant threats if unaddressed. Without prompt intervention, the organisation risks slipping into the Distress Zone in the near future.</w:t>
      </w:r>
      <w:r w:rsidRPr="00D507E5">
        <w:rPr>
          <w:rFonts w:ascii="Arial" w:hAnsi="Arial" w:cs="Arial"/>
        </w:rPr>
        <w:br/>
      </w:r>
      <w:r w:rsidRPr="00D507E5">
        <w:rPr>
          <w:rFonts w:ascii="Arial" w:hAnsi="Arial" w:cs="Arial"/>
        </w:rPr>
        <w:br/>
        <w:t>Limitations of the Altman Model:</w:t>
      </w:r>
      <w:r w:rsidRPr="00D507E5">
        <w:rPr>
          <w:rFonts w:ascii="Arial" w:hAnsi="Arial" w:cs="Arial"/>
        </w:rPr>
        <w:br/>
        <w:t>Although the Altman Z-Score provides useful predictive insights, its limitations must be acknowledged. The model relies heavily on historical accounting data and does not consider qualitative factors such as management competence, market competitiveness, supply chain resilience, or strategic adaptability (Bozsik and Szemán, 2023). Additionally, the model was originally developed for manufacturing firms and may not fully capture the dynamics of the modern retail grocery sector. Despite these limitations, the Z-Score remains a valuable diagnostic tool and reinforces the urgency for Costcuttur to adopt a comprehensive turnaround strategy.</w:t>
      </w:r>
      <w:r w:rsidRPr="00D507E5">
        <w:rPr>
          <w:rFonts w:ascii="Arial" w:hAnsi="Arial" w:cs="Arial"/>
        </w:rPr>
        <w:br/>
      </w:r>
      <w:r w:rsidRPr="00D507E5">
        <w:rPr>
          <w:rFonts w:ascii="Arial" w:hAnsi="Arial" w:cs="Arial"/>
        </w:rPr>
        <w:br/>
      </w:r>
    </w:p>
    <w:p w14:paraId="6B2181F4" w14:textId="77777777" w:rsidR="00691338" w:rsidRPr="00D507E5" w:rsidRDefault="00000000" w:rsidP="00D507E5">
      <w:pPr>
        <w:ind w:right="-1080"/>
        <w:rPr>
          <w:rFonts w:ascii="Arial" w:hAnsi="Arial" w:cs="Arial"/>
        </w:rPr>
      </w:pPr>
      <w:r w:rsidRPr="00D507E5">
        <w:rPr>
          <w:rFonts w:ascii="Arial" w:hAnsi="Arial" w:cs="Arial"/>
        </w:rPr>
        <w:br/>
        <w:t>3. Working Capital Management Analysis</w:t>
      </w:r>
      <w:r w:rsidRPr="00D507E5">
        <w:rPr>
          <w:rFonts w:ascii="Arial" w:hAnsi="Arial" w:cs="Arial"/>
        </w:rPr>
        <w:br/>
      </w:r>
      <w:r w:rsidRPr="00D507E5">
        <w:rPr>
          <w:rFonts w:ascii="Arial" w:hAnsi="Arial" w:cs="Arial"/>
        </w:rPr>
        <w:br/>
        <w:t>3.1 Working Capital Overview</w:t>
      </w:r>
      <w:r w:rsidRPr="00D507E5">
        <w:rPr>
          <w:rFonts w:ascii="Arial" w:hAnsi="Arial" w:cs="Arial"/>
        </w:rPr>
        <w:br/>
      </w:r>
      <w:r w:rsidRPr="00D507E5">
        <w:rPr>
          <w:rFonts w:ascii="Arial" w:hAnsi="Arial" w:cs="Arial"/>
        </w:rPr>
        <w:br/>
        <w:t>Working capital represents the liquidity available to support day</w:t>
      </w:r>
      <w:r w:rsidRPr="00D507E5">
        <w:rPr>
          <w:rFonts w:ascii="Cambria Math" w:hAnsi="Cambria Math" w:cs="Cambria Math"/>
        </w:rPr>
        <w:t>‑</w:t>
      </w:r>
      <w:r w:rsidRPr="00D507E5">
        <w:rPr>
          <w:rFonts w:ascii="Arial" w:hAnsi="Arial" w:cs="Arial"/>
        </w:rPr>
        <w:t>to</w:t>
      </w:r>
      <w:r w:rsidRPr="00D507E5">
        <w:rPr>
          <w:rFonts w:ascii="Cambria Math" w:hAnsi="Cambria Math" w:cs="Cambria Math"/>
        </w:rPr>
        <w:t>‑</w:t>
      </w:r>
      <w:r w:rsidRPr="00D507E5">
        <w:rPr>
          <w:rFonts w:ascii="Arial" w:hAnsi="Arial" w:cs="Arial"/>
        </w:rPr>
        <w:t>day operations, calculated as the difference between current assets and current liabilities. Effective working capital management ensures sufficient cash availability to meet short</w:t>
      </w:r>
      <w:r w:rsidRPr="00D507E5">
        <w:rPr>
          <w:rFonts w:ascii="Cambria Math" w:hAnsi="Cambria Math" w:cs="Cambria Math"/>
        </w:rPr>
        <w:t>‑</w:t>
      </w:r>
      <w:r w:rsidRPr="00D507E5">
        <w:rPr>
          <w:rFonts w:ascii="Arial" w:hAnsi="Arial" w:cs="Arial"/>
        </w:rPr>
        <w:t>term obligations while minimising the capital tied up in operating activities (Bintara, 2020). For a grocery and retail organisation such as Costcuttur, which operates with thin margins and high inventory turnover, efficient working capital management is critical to operational success and financial stability.</w:t>
      </w:r>
      <w:r w:rsidRPr="00D507E5">
        <w:rPr>
          <w:rFonts w:ascii="Arial" w:hAnsi="Arial" w:cs="Arial"/>
        </w:rPr>
        <w:br/>
      </w:r>
      <w:r w:rsidRPr="00D507E5">
        <w:rPr>
          <w:rFonts w:ascii="Arial" w:hAnsi="Arial" w:cs="Arial"/>
        </w:rPr>
        <w:br/>
        <w:t>Over the past five years, Costcuttur’s working capital position has gradually weakened. Although current assets have remained relatively stable, current liabilities have increased due to higher short</w:t>
      </w:r>
      <w:r w:rsidRPr="00D507E5">
        <w:rPr>
          <w:rFonts w:ascii="Cambria Math" w:hAnsi="Cambria Math" w:cs="Cambria Math"/>
        </w:rPr>
        <w:t>‑</w:t>
      </w:r>
      <w:r w:rsidRPr="00D507E5">
        <w:rPr>
          <w:rFonts w:ascii="Arial" w:hAnsi="Arial" w:cs="Arial"/>
        </w:rPr>
        <w:t>term borrowing, supplier obligations, and accrued expenses. This imbalance has reduced the firm’s liquidity buffer and created volatility in cash flow management. The decline in working capital strength is also reflected in the tightening Current and Quick Ratios.</w:t>
      </w:r>
      <w:r w:rsidRPr="00D507E5">
        <w:rPr>
          <w:rFonts w:ascii="Arial" w:hAnsi="Arial" w:cs="Arial"/>
        </w:rPr>
        <w:br/>
      </w:r>
      <w:r w:rsidRPr="00D507E5">
        <w:rPr>
          <w:rFonts w:ascii="Arial" w:hAnsi="Arial" w:cs="Arial"/>
        </w:rPr>
        <w:br/>
        <w:t>Grocery retailers depend heavily on rapid stock movement and efficient replenishment cycles. However, Costcuttur’s growing inventory levels and inconsistent receivables and payables management suggest weakening operational discipline. Poor inventory forecasting, increased stock obsolescence, and growing storage costs have contributed to excessive inventory holdings, which tie up valuable capital needed to fund daily operations. Meanwhile, fluctuating payment practices with suppliers and customers have created further inconsistencies in operational liquidity.</w:t>
      </w:r>
      <w:r w:rsidRPr="00D507E5">
        <w:rPr>
          <w:rFonts w:ascii="Arial" w:hAnsi="Arial" w:cs="Arial"/>
        </w:rPr>
        <w:br/>
      </w:r>
      <w:r w:rsidRPr="00D507E5">
        <w:rPr>
          <w:rFonts w:ascii="Arial" w:hAnsi="Arial" w:cs="Arial"/>
        </w:rPr>
        <w:br/>
        <w:t xml:space="preserve">According to Akgün and Memiş Karataş (2020), ineffective working capital management can lead to both liquidity shortages and declining profitability—challenges that Costcuttur is currently </w:t>
      </w:r>
      <w:r w:rsidRPr="00D507E5">
        <w:rPr>
          <w:rFonts w:ascii="Arial" w:hAnsi="Arial" w:cs="Arial"/>
        </w:rPr>
        <w:lastRenderedPageBreak/>
        <w:t>experiencing. The deterioration in working capital efficiency signals the need for sharper financial control, improved forecasting systems, and a stronger focus on cash flow optimisation to support long</w:t>
      </w:r>
      <w:r w:rsidRPr="00D507E5">
        <w:rPr>
          <w:rFonts w:ascii="Cambria Math" w:hAnsi="Cambria Math" w:cs="Cambria Math"/>
        </w:rPr>
        <w:t>‑</w:t>
      </w:r>
      <w:r w:rsidRPr="00D507E5">
        <w:rPr>
          <w:rFonts w:ascii="Arial" w:hAnsi="Arial" w:cs="Arial"/>
        </w:rPr>
        <w:t>term business stability.</w:t>
      </w:r>
      <w:r w:rsidRPr="00D507E5">
        <w:rPr>
          <w:rFonts w:ascii="Arial" w:hAnsi="Arial" w:cs="Arial"/>
        </w:rPr>
        <w:br/>
      </w:r>
    </w:p>
    <w:p w14:paraId="7F835291" w14:textId="77777777" w:rsidR="00691338" w:rsidRPr="00D507E5" w:rsidRDefault="00000000" w:rsidP="00D507E5">
      <w:pPr>
        <w:ind w:right="-1080"/>
        <w:rPr>
          <w:rFonts w:ascii="Arial" w:hAnsi="Arial" w:cs="Arial"/>
        </w:rPr>
      </w:pPr>
      <w:r w:rsidRPr="00D507E5">
        <w:rPr>
          <w:rFonts w:ascii="Arial" w:hAnsi="Arial" w:cs="Arial"/>
        </w:rPr>
        <w:br/>
        <w:t>3.2 Cash Conversion Cycle (CCC) Analysis</w:t>
      </w:r>
      <w:r w:rsidRPr="00D507E5">
        <w:rPr>
          <w:rFonts w:ascii="Arial" w:hAnsi="Arial" w:cs="Arial"/>
        </w:rPr>
        <w:br/>
      </w:r>
      <w:r w:rsidRPr="00D507E5">
        <w:rPr>
          <w:rFonts w:ascii="Arial" w:hAnsi="Arial" w:cs="Arial"/>
        </w:rPr>
        <w:br/>
        <w:t>The Cash Conversion Cycle (CCC) is a key measure of working capital efficiency as it captures the time taken by the firm to convert its investments in inventory and receivables into cash. It is calculated as:</w:t>
      </w:r>
      <w:r w:rsidRPr="00D507E5">
        <w:rPr>
          <w:rFonts w:ascii="Arial" w:hAnsi="Arial" w:cs="Arial"/>
        </w:rPr>
        <w:br/>
      </w:r>
      <w:r w:rsidRPr="00D507E5">
        <w:rPr>
          <w:rFonts w:ascii="Arial" w:hAnsi="Arial" w:cs="Arial"/>
        </w:rPr>
        <w:br/>
        <w:t>CCC = Inventory Days + Receivable Days – Payable Days</w:t>
      </w:r>
      <w:r w:rsidRPr="00D507E5">
        <w:rPr>
          <w:rFonts w:ascii="Arial" w:hAnsi="Arial" w:cs="Arial"/>
        </w:rPr>
        <w:br/>
      </w:r>
      <w:r w:rsidRPr="00D507E5">
        <w:rPr>
          <w:rFonts w:ascii="Arial" w:hAnsi="Arial" w:cs="Arial"/>
        </w:rPr>
        <w:br/>
        <w:t>A shorter CCC indicates better liquidity and operational efficiency, while a longer cycle suggests increased capital being tied up in operations. For a grocery retailer like Costcuttur—where fast turnover and efficient replenishment are critical—a rising CCC is a strong indicator of operational strain.</w:t>
      </w:r>
      <w:r w:rsidRPr="00D507E5">
        <w:rPr>
          <w:rFonts w:ascii="Arial" w:hAnsi="Arial" w:cs="Arial"/>
        </w:rPr>
        <w:br/>
      </w:r>
      <w:r w:rsidRPr="00D507E5">
        <w:rPr>
          <w:rFonts w:ascii="Arial" w:hAnsi="Arial" w:cs="Arial"/>
        </w:rPr>
        <w:br/>
        <w:t>Costcuttur’s CCC has shown significant volatility over the five-year period. Inventory Days have increased sharply due to poor demand forecasting, overstocking, and slower product movement, particularly in non-essential categories. This trend has led to higher holding costs and increased risk of stock obsolescence. Receivable Days have also displayed inconsistent patterns, reflecting fluctuating credit policies and delays in customer payments. Meanwhile, Payable Days have varied significantly, indicating unstable reliance on supplier financing.</w:t>
      </w:r>
      <w:r w:rsidRPr="00D507E5">
        <w:rPr>
          <w:rFonts w:ascii="Arial" w:hAnsi="Arial" w:cs="Arial"/>
        </w:rPr>
        <w:br/>
      </w:r>
      <w:r w:rsidRPr="00D507E5">
        <w:rPr>
          <w:rFonts w:ascii="Arial" w:hAnsi="Arial" w:cs="Arial"/>
        </w:rPr>
        <w:br/>
        <w:t>The combined effect of these trends has resulted in a lengthened CCC, signalling weakened operational efficiency and growing pressure on cash flow. As highlighted by Karim, Mamun, and Abu (2023), an extended CCC reduces liquidity, increases financing needs, and directly impacts profitability—especially in sectors with tight margins like grocery retail.</w:t>
      </w:r>
      <w:r w:rsidRPr="00D507E5">
        <w:rPr>
          <w:rFonts w:ascii="Arial" w:hAnsi="Arial" w:cs="Arial"/>
        </w:rPr>
        <w:br/>
      </w:r>
      <w:r w:rsidRPr="00D507E5">
        <w:rPr>
          <w:rFonts w:ascii="Arial" w:hAnsi="Arial" w:cs="Arial"/>
        </w:rPr>
        <w:br/>
        <w:t>In FY2024, Costcuttur’s CCC improved slightly compared to the peak levels observed in earlier years. However, this improvement appears to be driven largely by delayed payments to suppliers rather than genuine enhancements in inventory and receivables management. Such practices may provide short-term liquidity relief but increase long-term risk, as suppliers may impose stricter credit terms or discontinue partnerships.</w:t>
      </w:r>
      <w:r w:rsidRPr="00D507E5">
        <w:rPr>
          <w:rFonts w:ascii="Arial" w:hAnsi="Arial" w:cs="Arial"/>
        </w:rPr>
        <w:br/>
      </w:r>
      <w:r w:rsidRPr="00D507E5">
        <w:rPr>
          <w:rFonts w:ascii="Arial" w:hAnsi="Arial" w:cs="Arial"/>
        </w:rPr>
        <w:br/>
        <w:t>Overall, Costcuttur’s extended CCC reflects inefficiencies across the supply chain, credit management, and cash flow processes. Addressing these weaknesses is essential for strengthening liquidity, restoring profitability, and supporting the company’s broader turnaround strategy.</w:t>
      </w:r>
      <w:r w:rsidRPr="00D507E5">
        <w:rPr>
          <w:rFonts w:ascii="Arial" w:hAnsi="Arial" w:cs="Arial"/>
        </w:rPr>
        <w:br/>
      </w:r>
    </w:p>
    <w:p w14:paraId="6C03784A" w14:textId="77777777" w:rsidR="00691338" w:rsidRPr="00D507E5" w:rsidRDefault="00000000" w:rsidP="00D507E5">
      <w:pPr>
        <w:ind w:right="-1080"/>
        <w:rPr>
          <w:rFonts w:ascii="Arial" w:hAnsi="Arial" w:cs="Arial"/>
        </w:rPr>
      </w:pPr>
      <w:r w:rsidRPr="00D507E5">
        <w:rPr>
          <w:rFonts w:ascii="Arial" w:hAnsi="Arial" w:cs="Arial"/>
        </w:rPr>
        <w:br/>
        <w:t>3.3 Liquidity Problems and Causes</w:t>
      </w:r>
      <w:r w:rsidRPr="00D507E5">
        <w:rPr>
          <w:rFonts w:ascii="Arial" w:hAnsi="Arial" w:cs="Arial"/>
        </w:rPr>
        <w:br/>
      </w:r>
      <w:r w:rsidRPr="00D507E5">
        <w:rPr>
          <w:rFonts w:ascii="Arial" w:hAnsi="Arial" w:cs="Arial"/>
        </w:rPr>
        <w:lastRenderedPageBreak/>
        <w:br/>
        <w:t>Costcuttur’s liquidity position has weakened significantly over the past five years, as evidenced by declining Current and Quick Ratios, volatile cash flows, and increased dependence on short-term liabilities. Several underlying operational and financial factors contribute to this deteriorating liquidity landscape, reflecting structural inefficiencies rather than temporary disruptions.</w:t>
      </w:r>
      <w:r w:rsidRPr="00D507E5">
        <w:rPr>
          <w:rFonts w:ascii="Arial" w:hAnsi="Arial" w:cs="Arial"/>
        </w:rPr>
        <w:br/>
      </w:r>
      <w:r w:rsidRPr="00D507E5">
        <w:rPr>
          <w:rFonts w:ascii="Arial" w:hAnsi="Arial" w:cs="Arial"/>
        </w:rPr>
        <w:br/>
        <w:t>One of the primary causes is excessive inventory accumulation. Due to weak demand forecasting, inefficient replenishment cycles, and delays in stock clearance, Costcuttur has experienced substantial increases in Inventory Days. High inventory levels tie up cash that could otherwise be used to support daily operational requirements. As Tadayonrad and Ndiaye (2023) explain, excessive inventory reduces liquidity by locking capital in non-productive assets and increases risks related to shrinkage, spoilage, and obsolescence—particularly relevant in grocery retail.</w:t>
      </w:r>
      <w:r w:rsidRPr="00D507E5">
        <w:rPr>
          <w:rFonts w:ascii="Arial" w:hAnsi="Arial" w:cs="Arial"/>
        </w:rPr>
        <w:br/>
      </w:r>
      <w:r w:rsidRPr="00D507E5">
        <w:rPr>
          <w:rFonts w:ascii="Arial" w:hAnsi="Arial" w:cs="Arial"/>
        </w:rPr>
        <w:br/>
        <w:t>Receivables management also contributes to liquidity strain. Although grocery retailers typically experience faster payment cycles, Costcuttur’s Receivable Days indicate inconsistent credit collection practices. Delays in customer payments slow the inflow of operational cash, creating mismatches between incoming and outgoing financial obligations. Dobbie et al. (2020) highlight that ineffective receivables management can generate liquidity deficits even in firms that remain profitable at the operational level.</w:t>
      </w:r>
      <w:r w:rsidRPr="00D507E5">
        <w:rPr>
          <w:rFonts w:ascii="Arial" w:hAnsi="Arial" w:cs="Arial"/>
        </w:rPr>
        <w:br/>
      </w:r>
      <w:r w:rsidRPr="00D507E5">
        <w:rPr>
          <w:rFonts w:ascii="Arial" w:hAnsi="Arial" w:cs="Arial"/>
        </w:rPr>
        <w:br/>
        <w:t>Furthermore, Costcuttur’s Payable Days reflect unstable supplier payment patterns. While extended payment periods temporarily ease cash flow pressure, inconsistent or overly delayed payments can weaken supplier relationships and result in stricter credit terms. Huang (2021) notes that responsible management of trade credit is essential for maintaining supply chain stability—an area where Costcuttur is at increasing risk.</w:t>
      </w:r>
      <w:r w:rsidRPr="00D507E5">
        <w:rPr>
          <w:rFonts w:ascii="Arial" w:hAnsi="Arial" w:cs="Arial"/>
        </w:rPr>
        <w:br/>
      </w:r>
      <w:r w:rsidRPr="00D507E5">
        <w:rPr>
          <w:rFonts w:ascii="Arial" w:hAnsi="Arial" w:cs="Arial"/>
        </w:rPr>
        <w:br/>
        <w:t>Another major factor underlying the liquidity issues is declining operating cash flow. Costcuttur’s operational inefficiencies, margin erosion, and rising overhead costs have contributed to diminishing cash generation. Even in years with positive gross margins, the company’s high operating expenses and weak working capital controls have reduced net operational cash inflows.</w:t>
      </w:r>
      <w:r w:rsidRPr="00D507E5">
        <w:rPr>
          <w:rFonts w:ascii="Arial" w:hAnsi="Arial" w:cs="Arial"/>
        </w:rPr>
        <w:br/>
      </w:r>
      <w:r w:rsidRPr="00D507E5">
        <w:rPr>
          <w:rFonts w:ascii="Arial" w:hAnsi="Arial" w:cs="Arial"/>
        </w:rPr>
        <w:br/>
        <w:t>Taken together, these issues have created a liquidity trap in which poor inventory control, delayed receivables, unstable payables, and reduced operating cash flow reinforce each other. Without improved working capital processes and tighter financial discipline, Costcuttur’s liquidity challenges will continue to escalate, further undermining financial stability and increasing the likelihood of external borrowing to sustain operations.</w:t>
      </w:r>
      <w:r w:rsidRPr="00D507E5">
        <w:rPr>
          <w:rFonts w:ascii="Arial" w:hAnsi="Arial" w:cs="Arial"/>
        </w:rPr>
        <w:br/>
      </w:r>
    </w:p>
    <w:p w14:paraId="5C2A9336" w14:textId="77777777" w:rsidR="00691338" w:rsidRPr="00D507E5" w:rsidRDefault="00000000" w:rsidP="00D507E5">
      <w:pPr>
        <w:ind w:right="-1080"/>
        <w:rPr>
          <w:rFonts w:ascii="Arial" w:hAnsi="Arial" w:cs="Arial"/>
        </w:rPr>
      </w:pPr>
      <w:r w:rsidRPr="00D507E5">
        <w:rPr>
          <w:rFonts w:ascii="Arial" w:hAnsi="Arial" w:cs="Arial"/>
        </w:rPr>
        <w:br/>
        <w:t>3.4 Improvement Strategies</w:t>
      </w:r>
      <w:r w:rsidRPr="00D507E5">
        <w:rPr>
          <w:rFonts w:ascii="Arial" w:hAnsi="Arial" w:cs="Arial"/>
        </w:rPr>
        <w:br/>
      </w:r>
      <w:r w:rsidRPr="00D507E5">
        <w:rPr>
          <w:rFonts w:ascii="Arial" w:hAnsi="Arial" w:cs="Arial"/>
        </w:rPr>
        <w:br/>
        <w:t xml:space="preserve">To address the liquidity pressures and operational inefficiencies identified in the previous sections, Costcuttur must adopt a comprehensive set of working capital improvement strategies. These strategies aim to shorten the Cash Conversion Cycle, stabilise cash flows, and enhance financial </w:t>
      </w:r>
      <w:r w:rsidRPr="00D507E5">
        <w:rPr>
          <w:rFonts w:ascii="Arial" w:hAnsi="Arial" w:cs="Arial"/>
        </w:rPr>
        <w:lastRenderedPageBreak/>
        <w:t>resilience. Effective implementation will support the organisation’s broader turnaround efforts and restore sustainable operational performance.</w:t>
      </w:r>
      <w:r w:rsidRPr="00D507E5">
        <w:rPr>
          <w:rFonts w:ascii="Arial" w:hAnsi="Arial" w:cs="Arial"/>
        </w:rPr>
        <w:br/>
      </w:r>
      <w:r w:rsidRPr="00D507E5">
        <w:rPr>
          <w:rFonts w:ascii="Arial" w:hAnsi="Arial" w:cs="Arial"/>
        </w:rPr>
        <w:br/>
        <w:t>Inventory Optimisation</w:t>
      </w:r>
      <w:r w:rsidRPr="00D507E5">
        <w:rPr>
          <w:rFonts w:ascii="Arial" w:hAnsi="Arial" w:cs="Arial"/>
        </w:rPr>
        <w:br/>
        <w:t>Inventory remains the largest contributor to Costcuttur’s working capital constraints. Implementing a more robust inventory management system is essential. Techniques such as Economic Order Quantity (EOQ) and Just-in-Time (JIT) inventory models can help reduce excess stock and minimise holding costs. Lee (2023) emphasises that JIT approaches enable firms to align stock levels with actual demand, reducing waste and improving operational efficiency. Additionally, the company should invest in advanced demand forecasting tools and data analytics to improve accuracy in purchasing and replenishment decisions. Eliminating slow-moving and obsolete stock through periodic clearance strategies will also free up valuable working capital.</w:t>
      </w:r>
      <w:r w:rsidRPr="00D507E5">
        <w:rPr>
          <w:rFonts w:ascii="Arial" w:hAnsi="Arial" w:cs="Arial"/>
        </w:rPr>
        <w:br/>
      </w:r>
      <w:r w:rsidRPr="00D507E5">
        <w:rPr>
          <w:rFonts w:ascii="Arial" w:hAnsi="Arial" w:cs="Arial"/>
        </w:rPr>
        <w:br/>
        <w:t>Accelerating Receivables Collection</w:t>
      </w:r>
      <w:r w:rsidRPr="00D507E5">
        <w:rPr>
          <w:rFonts w:ascii="Arial" w:hAnsi="Arial" w:cs="Arial"/>
        </w:rPr>
        <w:br/>
        <w:t>Costcuttur must also improve its receivables management to enhance cash inflows. This can be achieved by tightening credit terms, conducting more rigorous customer credit assessments, and implementing automated invoicing systems. Offering early payment discounts to customers can incentivise faster settlement of outstanding balances. Furthermore, factoring or receivables financing can provide immediate liquidity by converting receivables into cash—though such methods should be used selectively due to associated costs (Scirp.org, 2020).</w:t>
      </w:r>
      <w:r w:rsidRPr="00D507E5">
        <w:rPr>
          <w:rFonts w:ascii="Arial" w:hAnsi="Arial" w:cs="Arial"/>
        </w:rPr>
        <w:br/>
      </w:r>
      <w:r w:rsidRPr="00D507E5">
        <w:rPr>
          <w:rFonts w:ascii="Arial" w:hAnsi="Arial" w:cs="Arial"/>
        </w:rPr>
        <w:br/>
        <w:t>Optimising Payables Management</w:t>
      </w:r>
      <w:r w:rsidRPr="00D507E5">
        <w:rPr>
          <w:rFonts w:ascii="Arial" w:hAnsi="Arial" w:cs="Arial"/>
        </w:rPr>
        <w:br/>
        <w:t>To balance liquidity needs without compromising supplier relationships, Costcuttur should adopt a strategic payables management approach. Negotiating extended but reasonable credit terms can provide short-term financial relief. Dynamic discounting, where payments are made earlier only when suppliers offer favourable discounts, can also support cost savings and working capital efficiency. Maintaining transparent communication with suppliers is essential to avoid disruptions that could result from delayed or inconsistent payments.</w:t>
      </w:r>
      <w:r w:rsidRPr="00D507E5">
        <w:rPr>
          <w:rFonts w:ascii="Arial" w:hAnsi="Arial" w:cs="Arial"/>
        </w:rPr>
        <w:br/>
      </w:r>
      <w:r w:rsidRPr="00D507E5">
        <w:rPr>
          <w:rFonts w:ascii="Arial" w:hAnsi="Arial" w:cs="Arial"/>
        </w:rPr>
        <w:br/>
        <w:t>Enhancing Cash Management Practices</w:t>
      </w:r>
      <w:r w:rsidRPr="00D507E5">
        <w:rPr>
          <w:rFonts w:ascii="Arial" w:hAnsi="Arial" w:cs="Arial"/>
        </w:rPr>
        <w:br/>
        <w:t>Adopting effective cash management models, such as the Baumol (1952) and Miller-Orr (1966) frameworks, can help Costcuttur determine optimal cash balances and reduce unnecessary holding costs. These models enable firms to maintain adequate liquidity while minimising the opportunity cost of holding excess cash. Strengthening centralised cash control across stores and regional operations will also support more consistent cash flow management.</w:t>
      </w:r>
      <w:r w:rsidRPr="00D507E5">
        <w:rPr>
          <w:rFonts w:ascii="Arial" w:hAnsi="Arial" w:cs="Arial"/>
        </w:rPr>
        <w:br/>
      </w:r>
      <w:r w:rsidRPr="00D507E5">
        <w:rPr>
          <w:rFonts w:ascii="Arial" w:hAnsi="Arial" w:cs="Arial"/>
        </w:rPr>
        <w:br/>
        <w:t>Short-Term and Long-Term Financing Options</w:t>
      </w:r>
      <w:r w:rsidRPr="00D507E5">
        <w:rPr>
          <w:rFonts w:ascii="Arial" w:hAnsi="Arial" w:cs="Arial"/>
        </w:rPr>
        <w:br/>
        <w:t>Costcuttur may need to utilise short-term financing tools such as bank overdrafts, commercial paper, and trade credit to bridge temporary liquidity gaps. However, these should be monitored closely due to associated interest costs. Long-term options—including equity injection, convertible debt, or institutional investment—may be necessary to rebuild liquidity buffers and strengthen the company’s capital structure. In line with the Pecking Order Theory (Byoun &amp; Rhim, 2011), Costcuttur should prioritise internal funding where possible before seeking external sources.</w:t>
      </w:r>
      <w:r w:rsidRPr="00D507E5">
        <w:rPr>
          <w:rFonts w:ascii="Arial" w:hAnsi="Arial" w:cs="Arial"/>
        </w:rPr>
        <w:br/>
      </w:r>
      <w:r w:rsidRPr="00D507E5">
        <w:rPr>
          <w:rFonts w:ascii="Arial" w:hAnsi="Arial" w:cs="Arial"/>
        </w:rPr>
        <w:br/>
      </w:r>
      <w:r w:rsidRPr="00D507E5">
        <w:rPr>
          <w:rFonts w:ascii="Arial" w:hAnsi="Arial" w:cs="Arial"/>
        </w:rPr>
        <w:lastRenderedPageBreak/>
        <w:t>Collectively, these strategies will help streamline Costcuttur’s working capital cycle, strengthen liquidity, and provide a more stable financial foundation for the company’s broader strategic transformation.</w:t>
      </w:r>
      <w:r w:rsidRPr="00D507E5">
        <w:rPr>
          <w:rFonts w:ascii="Arial" w:hAnsi="Arial" w:cs="Arial"/>
        </w:rPr>
        <w:br/>
      </w:r>
    </w:p>
    <w:p w14:paraId="685E60D9" w14:textId="77777777" w:rsidR="00691338" w:rsidRPr="00D507E5" w:rsidRDefault="00000000" w:rsidP="00D507E5">
      <w:pPr>
        <w:ind w:right="-1080"/>
        <w:rPr>
          <w:rFonts w:ascii="Arial" w:hAnsi="Arial" w:cs="Arial"/>
        </w:rPr>
      </w:pPr>
      <w:r w:rsidRPr="00D507E5">
        <w:rPr>
          <w:rFonts w:ascii="Arial" w:hAnsi="Arial" w:cs="Arial"/>
        </w:rPr>
        <w:br/>
        <w:t>4. Strategic Financial Restructuring Plan</w:t>
      </w:r>
      <w:r w:rsidRPr="00D507E5">
        <w:rPr>
          <w:rFonts w:ascii="Arial" w:hAnsi="Arial" w:cs="Arial"/>
        </w:rPr>
        <w:br/>
      </w:r>
      <w:r w:rsidRPr="00D507E5">
        <w:rPr>
          <w:rFonts w:ascii="Arial" w:hAnsi="Arial" w:cs="Arial"/>
        </w:rPr>
        <w:br/>
        <w:t>4.1 Diagnosis of Financial Distress</w:t>
      </w:r>
      <w:r w:rsidRPr="00D507E5">
        <w:rPr>
          <w:rFonts w:ascii="Arial" w:hAnsi="Arial" w:cs="Arial"/>
        </w:rPr>
        <w:br/>
      </w:r>
      <w:r w:rsidRPr="00D507E5">
        <w:rPr>
          <w:rFonts w:ascii="Arial" w:hAnsi="Arial" w:cs="Arial"/>
        </w:rPr>
        <w:br/>
        <w:t>Costcuttur is experiencing acute financial distress characterised by declining profitability, weakening liquidity, rising leverage, and deteriorating operational efficiency. The sustained negative Net Profit Margin and declining Gross Profit Margin indicate that the company’s core operations are no longer generating sufficient returns to cover expenses. The erosion of shareholder equity and negative trends in Return on Equity (ROE) further demonstrate a destruction of firm value and a weakening financial foundation.</w:t>
      </w:r>
      <w:r w:rsidRPr="00D507E5">
        <w:rPr>
          <w:rFonts w:ascii="Arial" w:hAnsi="Arial" w:cs="Arial"/>
        </w:rPr>
        <w:br/>
      </w:r>
      <w:r w:rsidRPr="00D507E5">
        <w:rPr>
          <w:rFonts w:ascii="Arial" w:hAnsi="Arial" w:cs="Arial"/>
        </w:rPr>
        <w:br/>
        <w:t>The growing reliance on short-term debt and rising Debt-to-Equity Ratio reflect increasing financial risk and dependence on external financing. As highlighted by Opler and Titman (1994), firms with high leverage and deteriorating profitability face elevated risks of financial distress due to increased debt servicing burdens. Costcuttur’s liquidity indicators—particularly the Quick Ratio hovering near 1.0—show that the company lacks adequate liquid assets to withstand short-term cash flow shocks.</w:t>
      </w:r>
      <w:r w:rsidRPr="00D507E5">
        <w:rPr>
          <w:rFonts w:ascii="Arial" w:hAnsi="Arial" w:cs="Arial"/>
        </w:rPr>
        <w:br/>
      </w:r>
      <w:r w:rsidRPr="00D507E5">
        <w:rPr>
          <w:rFonts w:ascii="Arial" w:hAnsi="Arial" w:cs="Arial"/>
        </w:rPr>
        <w:br/>
        <w:t>Moreover, the extended Cash Conversion Cycle (CCC) underscores inefficiencies in inventory, receivable, and payable management. These operational weaknesses have compounded the company’s financial challenges, creating a cycle of limited liquidity and escalating reliance on debt. According to Altman’s Z-score assessment, Costcuttur is positioned in the Grey Zone, suggesting heightened bankruptcy risk if corrective action is not taken promptly.</w:t>
      </w:r>
      <w:r w:rsidRPr="00D507E5">
        <w:rPr>
          <w:rFonts w:ascii="Arial" w:hAnsi="Arial" w:cs="Arial"/>
        </w:rPr>
        <w:br/>
      </w:r>
      <w:r w:rsidRPr="00D507E5">
        <w:rPr>
          <w:rFonts w:ascii="Arial" w:hAnsi="Arial" w:cs="Arial"/>
        </w:rPr>
        <w:br/>
        <w:t>Overall, the diagnosis confirms that Costcuttur faces structural financial distress driven by both operational inefficiencies and an unsustainable capital structure. Immediate and strategic restructuring is critical for restoring solvency, rebuilding profitability, and safeguarding the organisation’s long-term viability.</w:t>
      </w:r>
      <w:r w:rsidRPr="00D507E5">
        <w:rPr>
          <w:rFonts w:ascii="Arial" w:hAnsi="Arial" w:cs="Arial"/>
        </w:rPr>
        <w:br/>
      </w:r>
      <w:r w:rsidRPr="00D507E5">
        <w:rPr>
          <w:rFonts w:ascii="Arial" w:hAnsi="Arial" w:cs="Arial"/>
        </w:rPr>
        <w:br/>
      </w:r>
    </w:p>
    <w:p w14:paraId="07B643B2" w14:textId="77777777" w:rsidR="00691338" w:rsidRPr="00D507E5" w:rsidRDefault="00000000" w:rsidP="00D507E5">
      <w:pPr>
        <w:ind w:right="-1080"/>
        <w:rPr>
          <w:rFonts w:ascii="Arial" w:hAnsi="Arial" w:cs="Arial"/>
        </w:rPr>
      </w:pPr>
      <w:r w:rsidRPr="00D507E5">
        <w:rPr>
          <w:rFonts w:ascii="Arial" w:hAnsi="Arial" w:cs="Arial"/>
        </w:rPr>
        <w:br/>
        <w:t>4.2 Objectives of Financial Restructuring</w:t>
      </w:r>
      <w:r w:rsidRPr="00D507E5">
        <w:rPr>
          <w:rFonts w:ascii="Arial" w:hAnsi="Arial" w:cs="Arial"/>
        </w:rPr>
        <w:br/>
      </w:r>
      <w:r w:rsidRPr="00D507E5">
        <w:rPr>
          <w:rFonts w:ascii="Arial" w:hAnsi="Arial" w:cs="Arial"/>
        </w:rPr>
        <w:br/>
        <w:t>The primary objective of Costcuttur’s financial restructuring is to stabilise the organisation’s financial position, restore profitability, and improve long-term sustainability. Given the severity of the financial distress identified, the restructuring plan must be comprehensive, addressing both operational weaknesses and capital structure imbalances. The following strategic objectives form the foundation of the restructuring process:</w:t>
      </w:r>
      <w:r w:rsidRPr="00D507E5">
        <w:rPr>
          <w:rFonts w:ascii="Arial" w:hAnsi="Arial" w:cs="Arial"/>
        </w:rPr>
        <w:br/>
      </w:r>
      <w:r w:rsidRPr="00D507E5">
        <w:rPr>
          <w:rFonts w:ascii="Arial" w:hAnsi="Arial" w:cs="Arial"/>
        </w:rPr>
        <w:br/>
      </w:r>
      <w:r w:rsidRPr="00D507E5">
        <w:rPr>
          <w:rFonts w:ascii="Arial" w:hAnsi="Arial" w:cs="Arial"/>
        </w:rPr>
        <w:lastRenderedPageBreak/>
        <w:t xml:space="preserve">Strengthening Liquidity  </w:t>
      </w:r>
      <w:r w:rsidRPr="00D507E5">
        <w:rPr>
          <w:rFonts w:ascii="Arial" w:hAnsi="Arial" w:cs="Arial"/>
        </w:rPr>
        <w:br/>
        <w:t>A key priority is to enhance short-term liquidity to ensure the company can meet its financial obligations. This includes reducing the Cash Conversion Cycle, improving cash flow predictability, and establishing stronger liquidity buffers. Stabilising liquidity is a prerequisite for supporting ongoing operations while the wider restructuring plan is implemented.</w:t>
      </w:r>
      <w:r w:rsidRPr="00D507E5">
        <w:rPr>
          <w:rFonts w:ascii="Arial" w:hAnsi="Arial" w:cs="Arial"/>
        </w:rPr>
        <w:br/>
      </w:r>
      <w:r w:rsidRPr="00D507E5">
        <w:rPr>
          <w:rFonts w:ascii="Arial" w:hAnsi="Arial" w:cs="Arial"/>
        </w:rPr>
        <w:br/>
        <w:t xml:space="preserve">Optimising Capital Structure  </w:t>
      </w:r>
      <w:r w:rsidRPr="00D507E5">
        <w:rPr>
          <w:rFonts w:ascii="Arial" w:hAnsi="Arial" w:cs="Arial"/>
        </w:rPr>
        <w:br/>
        <w:t>Costcuttur’s rising leverage has increased financial risk and weakened solvency. The restructuring aims to reduce the debt burden, lower interest costs, and rebalance the mix of debt and equity. According to the Trade-off Theory (Voutsinas &amp; Werner, 2025), firms must maintain an optimal balance between tax benefits of debt and financial distress costs—an equilibrium Costcuttur has significantly deviated from.</w:t>
      </w:r>
      <w:r w:rsidRPr="00D507E5">
        <w:rPr>
          <w:rFonts w:ascii="Arial" w:hAnsi="Arial" w:cs="Arial"/>
        </w:rPr>
        <w:br/>
      </w:r>
      <w:r w:rsidRPr="00D507E5">
        <w:rPr>
          <w:rFonts w:ascii="Arial" w:hAnsi="Arial" w:cs="Arial"/>
        </w:rPr>
        <w:br/>
        <w:t xml:space="preserve">Restoring Profitability  </w:t>
      </w:r>
      <w:r w:rsidRPr="00D507E5">
        <w:rPr>
          <w:rFonts w:ascii="Arial" w:hAnsi="Arial" w:cs="Arial"/>
        </w:rPr>
        <w:br/>
        <w:t>Enhancing operational efficiency, reducing overhead costs, strengthening supply chain processes, and improving inventory management will be central to restoring profitability. A return to positive and sustainable margins is essential for rebuilding shareholder value and reducing reliance on external financing.</w:t>
      </w:r>
      <w:r w:rsidRPr="00D507E5">
        <w:rPr>
          <w:rFonts w:ascii="Arial" w:hAnsi="Arial" w:cs="Arial"/>
        </w:rPr>
        <w:br/>
      </w:r>
      <w:r w:rsidRPr="00D507E5">
        <w:rPr>
          <w:rFonts w:ascii="Arial" w:hAnsi="Arial" w:cs="Arial"/>
        </w:rPr>
        <w:br/>
        <w:t xml:space="preserve">Increasing Operational Flexibility  </w:t>
      </w:r>
      <w:r w:rsidRPr="00D507E5">
        <w:rPr>
          <w:rFonts w:ascii="Arial" w:hAnsi="Arial" w:cs="Arial"/>
        </w:rPr>
        <w:br/>
        <w:t>Costcuttur must develop a more agile operating model that can respond quickly to market shifts, technological disruption, and consumer behaviour changes. This aligns with the Turnaround Management Theory (Nyagiloh &amp; Kilika, 2020), which emphasises stabilisation, restructuring, and revitalisation as critical stages of organisational recovery.</w:t>
      </w:r>
      <w:r w:rsidRPr="00D507E5">
        <w:rPr>
          <w:rFonts w:ascii="Arial" w:hAnsi="Arial" w:cs="Arial"/>
        </w:rPr>
        <w:br/>
      </w:r>
      <w:r w:rsidRPr="00D507E5">
        <w:rPr>
          <w:rFonts w:ascii="Arial" w:hAnsi="Arial" w:cs="Arial"/>
        </w:rPr>
        <w:br/>
        <w:t xml:space="preserve">Ensuring Ethical, Sustainable, and Globally Compliant Practices  </w:t>
      </w:r>
      <w:r w:rsidRPr="00D507E5">
        <w:rPr>
          <w:rFonts w:ascii="Arial" w:hAnsi="Arial" w:cs="Arial"/>
        </w:rPr>
        <w:br/>
        <w:t>The restructuring must incorporate ethical decision-making, adhere to global tax and reporting standards, and consider environmental and social responsibilities. Carroll’s CSR model (1999) highlights that long-term success requires alignment between financial performance and ethical behaviour—particularly important in the grocery retail sector, where public trust is vital.</w:t>
      </w:r>
      <w:r w:rsidRPr="00D507E5">
        <w:rPr>
          <w:rFonts w:ascii="Arial" w:hAnsi="Arial" w:cs="Arial"/>
        </w:rPr>
        <w:br/>
      </w:r>
      <w:r w:rsidRPr="00D507E5">
        <w:rPr>
          <w:rFonts w:ascii="Arial" w:hAnsi="Arial" w:cs="Arial"/>
        </w:rPr>
        <w:br/>
        <w:t>Overall, these objectives provide a clear roadmap for Costcuttur to rebuild financial strength, enhance stakeholder confidence, and establish a more competitive and resilient organisation.</w:t>
      </w:r>
      <w:r w:rsidRPr="00D507E5">
        <w:rPr>
          <w:rFonts w:ascii="Arial" w:hAnsi="Arial" w:cs="Arial"/>
        </w:rPr>
        <w:br/>
      </w:r>
    </w:p>
    <w:p w14:paraId="764FB57D" w14:textId="77777777" w:rsidR="00691338" w:rsidRPr="00D507E5" w:rsidRDefault="00000000" w:rsidP="00D507E5">
      <w:pPr>
        <w:ind w:right="-1080"/>
        <w:rPr>
          <w:rFonts w:ascii="Arial" w:hAnsi="Arial" w:cs="Arial"/>
        </w:rPr>
      </w:pPr>
      <w:r w:rsidRPr="00D507E5">
        <w:rPr>
          <w:rFonts w:ascii="Arial" w:hAnsi="Arial" w:cs="Arial"/>
        </w:rPr>
        <w:br/>
        <w:t>4.3 Capital Structure and Financing Decisions</w:t>
      </w:r>
      <w:r w:rsidRPr="00D507E5">
        <w:rPr>
          <w:rFonts w:ascii="Arial" w:hAnsi="Arial" w:cs="Arial"/>
        </w:rPr>
        <w:br/>
      </w:r>
      <w:r w:rsidRPr="00D507E5">
        <w:rPr>
          <w:rFonts w:ascii="Arial" w:hAnsi="Arial" w:cs="Arial"/>
        </w:rPr>
        <w:br/>
        <w:t>Costcuttur’s capital structure has become increasingly unstable due to rising dependence on short</w:t>
      </w:r>
      <w:r w:rsidRPr="00D507E5">
        <w:rPr>
          <w:rFonts w:ascii="Cambria Math" w:hAnsi="Cambria Math" w:cs="Cambria Math"/>
        </w:rPr>
        <w:t>‑</w:t>
      </w:r>
      <w:r w:rsidRPr="00D507E5">
        <w:rPr>
          <w:rFonts w:ascii="Arial" w:hAnsi="Arial" w:cs="Arial"/>
        </w:rPr>
        <w:t>term borrowings and escalating interest obligations. The deteriorating Debt</w:t>
      </w:r>
      <w:r w:rsidRPr="00D507E5">
        <w:rPr>
          <w:rFonts w:ascii="Cambria Math" w:hAnsi="Cambria Math" w:cs="Cambria Math"/>
        </w:rPr>
        <w:t>‑</w:t>
      </w:r>
      <w:r w:rsidRPr="00D507E5">
        <w:rPr>
          <w:rFonts w:ascii="Arial" w:hAnsi="Arial" w:cs="Arial"/>
        </w:rPr>
        <w:t>to</w:t>
      </w:r>
      <w:r w:rsidRPr="00D507E5">
        <w:rPr>
          <w:rFonts w:ascii="Cambria Math" w:hAnsi="Cambria Math" w:cs="Cambria Math"/>
        </w:rPr>
        <w:t>‑</w:t>
      </w:r>
      <w:r w:rsidRPr="00D507E5">
        <w:rPr>
          <w:rFonts w:ascii="Arial" w:hAnsi="Arial" w:cs="Arial"/>
        </w:rPr>
        <w:t>Equity Ratio and negative operational income indicate that the firm is operating with excessive leverage, increasing its exposure to financial distress. To restore solvency and create a sustainable financing framework, Costcuttur must pursue a series of targeted capital structure reforms aligned with established financial theories.</w:t>
      </w:r>
      <w:r w:rsidRPr="00D507E5">
        <w:rPr>
          <w:rFonts w:ascii="Arial" w:hAnsi="Arial" w:cs="Arial"/>
        </w:rPr>
        <w:br/>
      </w:r>
      <w:r w:rsidRPr="00D507E5">
        <w:rPr>
          <w:rFonts w:ascii="Arial" w:hAnsi="Arial" w:cs="Arial"/>
        </w:rPr>
        <w:lastRenderedPageBreak/>
        <w:br/>
        <w:t xml:space="preserve">Debt Refinancing and Restructuring  </w:t>
      </w:r>
      <w:r w:rsidRPr="00D507E5">
        <w:rPr>
          <w:rFonts w:ascii="Arial" w:hAnsi="Arial" w:cs="Arial"/>
        </w:rPr>
        <w:br/>
        <w:t>Given the significant interest burden associated with existing short</w:t>
      </w:r>
      <w:r w:rsidRPr="00D507E5">
        <w:rPr>
          <w:rFonts w:ascii="Cambria Math" w:hAnsi="Cambria Math" w:cs="Cambria Math"/>
        </w:rPr>
        <w:t>‑</w:t>
      </w:r>
      <w:r w:rsidRPr="00D507E5">
        <w:rPr>
          <w:rFonts w:ascii="Arial" w:hAnsi="Arial" w:cs="Arial"/>
        </w:rPr>
        <w:t>term debt, Costcuttur should engage lenders to renegotiate terms, including reduced interest rates and extended maturities. Refinancing into longer</w:t>
      </w:r>
      <w:r w:rsidRPr="00D507E5">
        <w:rPr>
          <w:rFonts w:ascii="Cambria Math" w:hAnsi="Cambria Math" w:cs="Cambria Math"/>
        </w:rPr>
        <w:t>‑</w:t>
      </w:r>
      <w:r w:rsidRPr="00D507E5">
        <w:rPr>
          <w:rFonts w:ascii="Arial" w:hAnsi="Arial" w:cs="Arial"/>
        </w:rPr>
        <w:t>term, lower</w:t>
      </w:r>
      <w:r w:rsidRPr="00D507E5">
        <w:rPr>
          <w:rFonts w:ascii="Cambria Math" w:hAnsi="Cambria Math" w:cs="Cambria Math"/>
        </w:rPr>
        <w:t>‑</w:t>
      </w:r>
      <w:r w:rsidRPr="00D507E5">
        <w:rPr>
          <w:rFonts w:ascii="Arial" w:hAnsi="Arial" w:cs="Arial"/>
        </w:rPr>
        <w:t>cost debt instruments can ease cash flow pressures and provide the financial flexibility necessary for operational restructuring. According to the Trade</w:t>
      </w:r>
      <w:r w:rsidRPr="00D507E5">
        <w:rPr>
          <w:rFonts w:ascii="Cambria Math" w:hAnsi="Cambria Math" w:cs="Cambria Math"/>
        </w:rPr>
        <w:t>‑</w:t>
      </w:r>
      <w:r w:rsidRPr="00D507E5">
        <w:rPr>
          <w:rFonts w:ascii="Arial" w:hAnsi="Arial" w:cs="Arial"/>
        </w:rPr>
        <w:t>off Theory, firms must balance the tax advantages of debt against the rising costs of financial distress—Costcuttur’s current structure leans heavily toward the latter, necessitating immediate correction.</w:t>
      </w:r>
      <w:r w:rsidRPr="00D507E5">
        <w:rPr>
          <w:rFonts w:ascii="Arial" w:hAnsi="Arial" w:cs="Arial"/>
        </w:rPr>
        <w:br/>
      </w:r>
      <w:r w:rsidRPr="00D507E5">
        <w:rPr>
          <w:rFonts w:ascii="Arial" w:hAnsi="Arial" w:cs="Arial"/>
        </w:rPr>
        <w:br/>
        <w:t xml:space="preserve">Equity Injection and Strengthening Shareholder Capital  </w:t>
      </w:r>
      <w:r w:rsidRPr="00D507E5">
        <w:rPr>
          <w:rFonts w:ascii="Arial" w:hAnsi="Arial" w:cs="Arial"/>
        </w:rPr>
        <w:br/>
        <w:t>To rebuild its capital base, the company should consider issuing new equity, either through a rights issue or by attracting strategic investors. Strengthening equity would reduce the leverage ratio, increase solvency, and improve investor confidence. In line with the Pecking Order Theory (Yıldırım &amp; Çelik, 2020), internal financing is preferred; however, Costcuttur’s accumulated losses limit this option, making external equity a necessary measure.</w:t>
      </w:r>
      <w:r w:rsidRPr="00D507E5">
        <w:rPr>
          <w:rFonts w:ascii="Arial" w:hAnsi="Arial" w:cs="Arial"/>
        </w:rPr>
        <w:br/>
      </w:r>
      <w:r w:rsidRPr="00D507E5">
        <w:rPr>
          <w:rFonts w:ascii="Arial" w:hAnsi="Arial" w:cs="Arial"/>
        </w:rPr>
        <w:br/>
        <w:t xml:space="preserve">Issuing Convertible Bonds  </w:t>
      </w:r>
      <w:r w:rsidRPr="00D507E5">
        <w:rPr>
          <w:rFonts w:ascii="Arial" w:hAnsi="Arial" w:cs="Arial"/>
        </w:rPr>
        <w:br/>
        <w:t>Convertible bonds offer an attractive hybrid financing option, allowing Costcuttur to raise capital while providing investors with the potential to convert debt into equity at a later stage. This approach lowers immediate interest expenses and strengthens long</w:t>
      </w:r>
      <w:r w:rsidRPr="00D507E5">
        <w:rPr>
          <w:rFonts w:ascii="Cambria Math" w:hAnsi="Cambria Math" w:cs="Cambria Math"/>
        </w:rPr>
        <w:t>‑</w:t>
      </w:r>
      <w:r w:rsidRPr="00D507E5">
        <w:rPr>
          <w:rFonts w:ascii="Arial" w:hAnsi="Arial" w:cs="Arial"/>
        </w:rPr>
        <w:t>term solvency by gradually shifting the capital structure toward equity.</w:t>
      </w:r>
      <w:r w:rsidRPr="00D507E5">
        <w:rPr>
          <w:rFonts w:ascii="Arial" w:hAnsi="Arial" w:cs="Arial"/>
        </w:rPr>
        <w:br/>
      </w:r>
      <w:r w:rsidRPr="00D507E5">
        <w:rPr>
          <w:rFonts w:ascii="Arial" w:hAnsi="Arial" w:cs="Arial"/>
        </w:rPr>
        <w:br/>
        <w:t xml:space="preserve">Dividend Suspension and Retained Earnings Preservation  </w:t>
      </w:r>
      <w:r w:rsidRPr="00D507E5">
        <w:rPr>
          <w:rFonts w:ascii="Arial" w:hAnsi="Arial" w:cs="Arial"/>
        </w:rPr>
        <w:br/>
        <w:t>In the current financially distressed state, dividend payments are neither sustainable nor strategically appropriate. Suspending dividends allows Costcuttur to retain cash internally and reinvest in operational improvements. Jensen’s Free Cash Flow Theory (1986) supports reinvesting retained earnings during downturns to minimise agency costs and support long</w:t>
      </w:r>
      <w:r w:rsidRPr="00D507E5">
        <w:rPr>
          <w:rFonts w:ascii="Cambria Math" w:hAnsi="Cambria Math" w:cs="Cambria Math"/>
        </w:rPr>
        <w:t>‑</w:t>
      </w:r>
      <w:r w:rsidRPr="00D507E5">
        <w:rPr>
          <w:rFonts w:ascii="Arial" w:hAnsi="Arial" w:cs="Arial"/>
        </w:rPr>
        <w:t>term recovery.</w:t>
      </w:r>
      <w:r w:rsidRPr="00D507E5">
        <w:rPr>
          <w:rFonts w:ascii="Arial" w:hAnsi="Arial" w:cs="Arial"/>
        </w:rPr>
        <w:br/>
      </w:r>
      <w:r w:rsidRPr="00D507E5">
        <w:rPr>
          <w:rFonts w:ascii="Arial" w:hAnsi="Arial" w:cs="Arial"/>
        </w:rPr>
        <w:br/>
        <w:t xml:space="preserve">Restricting Further Debt Accumulation  </w:t>
      </w:r>
      <w:r w:rsidRPr="00D507E5">
        <w:rPr>
          <w:rFonts w:ascii="Arial" w:hAnsi="Arial" w:cs="Arial"/>
        </w:rPr>
        <w:br/>
        <w:t>Given Costcuttur’s weakened profitability and volatility in cash flows, acquiring additional debt would introduce further financial risk. The company should limit new borrowings to essential operational requirements only, and even then, exercise strict oversight on usage and repayment planning.</w:t>
      </w:r>
      <w:r w:rsidRPr="00D507E5">
        <w:rPr>
          <w:rFonts w:ascii="Arial" w:hAnsi="Arial" w:cs="Arial"/>
        </w:rPr>
        <w:br/>
      </w:r>
      <w:r w:rsidRPr="00D507E5">
        <w:rPr>
          <w:rFonts w:ascii="Arial" w:hAnsi="Arial" w:cs="Arial"/>
        </w:rPr>
        <w:br/>
        <w:t>Overall, a disciplined restructuring of Costcuttur’s capital structure is essential to reducing financial risk, improving liquidity, and laying the foundation for long</w:t>
      </w:r>
      <w:r w:rsidRPr="00D507E5">
        <w:rPr>
          <w:rFonts w:ascii="Cambria Math" w:hAnsi="Cambria Math" w:cs="Cambria Math"/>
        </w:rPr>
        <w:t>‑</w:t>
      </w:r>
      <w:r w:rsidRPr="00D507E5">
        <w:rPr>
          <w:rFonts w:ascii="Arial" w:hAnsi="Arial" w:cs="Arial"/>
        </w:rPr>
        <w:t>term strategic recovery. These financing decisions will strengthen investor confidence and enhance the firm’s resilience in an increasingly competitive retail environment.</w:t>
      </w:r>
      <w:r w:rsidRPr="00D507E5">
        <w:rPr>
          <w:rFonts w:ascii="Arial" w:hAnsi="Arial" w:cs="Arial"/>
        </w:rPr>
        <w:br/>
      </w:r>
    </w:p>
    <w:p w14:paraId="6AF27498" w14:textId="77777777" w:rsidR="00691338" w:rsidRPr="00D507E5" w:rsidRDefault="00000000" w:rsidP="00D507E5">
      <w:pPr>
        <w:ind w:right="-1080"/>
        <w:rPr>
          <w:rFonts w:ascii="Arial" w:hAnsi="Arial" w:cs="Arial"/>
        </w:rPr>
      </w:pPr>
      <w:r w:rsidRPr="00D507E5">
        <w:rPr>
          <w:rFonts w:ascii="Arial" w:hAnsi="Arial" w:cs="Arial"/>
        </w:rPr>
        <w:br/>
        <w:t>4.4 Asset Restructuring and Divestiture Strategy</w:t>
      </w:r>
      <w:r w:rsidRPr="00D507E5">
        <w:rPr>
          <w:rFonts w:ascii="Arial" w:hAnsi="Arial" w:cs="Arial"/>
        </w:rPr>
        <w:br/>
      </w:r>
      <w:r w:rsidRPr="00D507E5">
        <w:rPr>
          <w:rFonts w:ascii="Arial" w:hAnsi="Arial" w:cs="Arial"/>
        </w:rPr>
        <w:br/>
        <w:t xml:space="preserve">Costcuttur’s declining profitability, rising leverage, and weakened operational efficiency indicate the </w:t>
      </w:r>
      <w:r w:rsidRPr="00D507E5">
        <w:rPr>
          <w:rFonts w:ascii="Arial" w:hAnsi="Arial" w:cs="Arial"/>
        </w:rPr>
        <w:lastRenderedPageBreak/>
        <w:t>need for targeted asset restructuring to enhance capital allocation and restore financial stability. Asset restructuring focuses on identifying underperforming or non-core assets, evaluating their strategic relevance, and reallocating resources toward areas that deliver higher returns. This approach aligns with Portfolio Theory (Elton &amp; Gruber, 1997), which emphasises optimising the allocation of resources to maximise long-term value.</w:t>
      </w:r>
      <w:r w:rsidRPr="00D507E5">
        <w:rPr>
          <w:rFonts w:ascii="Arial" w:hAnsi="Arial" w:cs="Arial"/>
        </w:rPr>
        <w:br/>
      </w:r>
      <w:r w:rsidRPr="00D507E5">
        <w:rPr>
          <w:rFonts w:ascii="Arial" w:hAnsi="Arial" w:cs="Arial"/>
        </w:rPr>
        <w:br/>
        <w:t xml:space="preserve">Divestiture of Non-Core and Underperforming Assets  </w:t>
      </w:r>
      <w:r w:rsidRPr="00D507E5">
        <w:rPr>
          <w:rFonts w:ascii="Arial" w:hAnsi="Arial" w:cs="Arial"/>
        </w:rPr>
        <w:br/>
        <w:t>Costcuttur operates multiple retail formats, distribution centres, and product categories, some of which have consistently underperformed. These assets fail to generate adequate returns and drain working capital through high operating and maintenance costs. Divesting such assets—including low-performing stores, outdated warehouses, and redundant supply chain facilities—will generate immediate cash inflows and reduce ongoing expenses. Funds raised should be used to repay high-interest debt and strengthen liquidity.</w:t>
      </w:r>
      <w:r w:rsidRPr="00D507E5">
        <w:rPr>
          <w:rFonts w:ascii="Arial" w:hAnsi="Arial" w:cs="Arial"/>
        </w:rPr>
        <w:br/>
      </w:r>
      <w:r w:rsidRPr="00D507E5">
        <w:rPr>
          <w:rFonts w:ascii="Arial" w:hAnsi="Arial" w:cs="Arial"/>
        </w:rPr>
        <w:br/>
        <w:t xml:space="preserve">Streamlining Product Portfolios  </w:t>
      </w:r>
      <w:r w:rsidRPr="00D507E5">
        <w:rPr>
          <w:rFonts w:ascii="Arial" w:hAnsi="Arial" w:cs="Arial"/>
        </w:rPr>
        <w:br/>
        <w:t>Retailers often carry excessively broad product assortments, contributing to slow-moving inventory, increased obsolescence, and higher holding costs. Costcuttur must rationalise its product lines by discontinuing low-margin, low-demand items and focusing on high-turnover, high-margin categories. This strategic narrowing of the portfolio will reduce inventory complexity, improve supply chain efficiency, and enhance gross margins.</w:t>
      </w:r>
      <w:r w:rsidRPr="00D507E5">
        <w:rPr>
          <w:rFonts w:ascii="Arial" w:hAnsi="Arial" w:cs="Arial"/>
        </w:rPr>
        <w:br/>
      </w:r>
      <w:r w:rsidRPr="00D507E5">
        <w:rPr>
          <w:rFonts w:ascii="Arial" w:hAnsi="Arial" w:cs="Arial"/>
        </w:rPr>
        <w:br/>
        <w:t xml:space="preserve">Reinvestment into High-Growth and Core Operations  </w:t>
      </w:r>
      <w:r w:rsidRPr="00D507E5">
        <w:rPr>
          <w:rFonts w:ascii="Arial" w:hAnsi="Arial" w:cs="Arial"/>
        </w:rPr>
        <w:br/>
        <w:t>Proceeds from asset sales should be reinvested strategically into high-growth areas such as private-label brands, digital retail platforms, and data-driven supply chain systems. These investments are essential for building competitive advantage in the modern grocery sector. Additionally, upgrading logistics capabilities and adopting automation in distribution centres can substantially improve efficiency and reduce long-term operating costs.</w:t>
      </w:r>
      <w:r w:rsidRPr="00D507E5">
        <w:rPr>
          <w:rFonts w:ascii="Arial" w:hAnsi="Arial" w:cs="Arial"/>
        </w:rPr>
        <w:br/>
      </w:r>
      <w:r w:rsidRPr="00D507E5">
        <w:rPr>
          <w:rFonts w:ascii="Arial" w:hAnsi="Arial" w:cs="Arial"/>
        </w:rPr>
        <w:br/>
        <w:t xml:space="preserve">Real Estate Optimisation  </w:t>
      </w:r>
      <w:r w:rsidRPr="00D507E5">
        <w:rPr>
          <w:rFonts w:ascii="Arial" w:hAnsi="Arial" w:cs="Arial"/>
        </w:rPr>
        <w:br/>
        <w:t>Costcuttur owns several properties that may be underutilised or inefficient relative to their market value. A sale-and-leaseback strategy could release substantial capital tied up in real estate while allowing the company to retain operational control. This provides long-term liquidity without disrupting daily operations, though the firm must carefully evaluate lease terms to avoid excessive future obligations.</w:t>
      </w:r>
      <w:r w:rsidRPr="00D507E5">
        <w:rPr>
          <w:rFonts w:ascii="Arial" w:hAnsi="Arial" w:cs="Arial"/>
        </w:rPr>
        <w:br/>
      </w:r>
      <w:r w:rsidRPr="00D507E5">
        <w:rPr>
          <w:rFonts w:ascii="Arial" w:hAnsi="Arial" w:cs="Arial"/>
        </w:rPr>
        <w:br/>
        <w:t xml:space="preserve">Improving Asset Productivity  </w:t>
      </w:r>
      <w:r w:rsidRPr="00D507E5">
        <w:rPr>
          <w:rFonts w:ascii="Arial" w:hAnsi="Arial" w:cs="Arial"/>
        </w:rPr>
        <w:br/>
        <w:t>Asset restructuring should also focus on improving the productivity of retained assets. Investments in modern refrigeration, energy-efficient systems, and store remodelling can reduce operating expenses and improve customer experience. Enhanced asset productivity directly supports margin recovery and contributes to long-term competitiveness.</w:t>
      </w:r>
      <w:r w:rsidRPr="00D507E5">
        <w:rPr>
          <w:rFonts w:ascii="Arial" w:hAnsi="Arial" w:cs="Arial"/>
        </w:rPr>
        <w:br/>
      </w:r>
      <w:r w:rsidRPr="00D507E5">
        <w:rPr>
          <w:rFonts w:ascii="Arial" w:hAnsi="Arial" w:cs="Arial"/>
        </w:rPr>
        <w:br/>
        <w:t xml:space="preserve">Overall, a disciplined asset restructuring and divestiture strategy will enable Costcuttur to unlock capital, reduce financial strain, and refocus resources on strategic growth initiatives. This approach </w:t>
      </w:r>
      <w:r w:rsidRPr="00D507E5">
        <w:rPr>
          <w:rFonts w:ascii="Arial" w:hAnsi="Arial" w:cs="Arial"/>
        </w:rPr>
        <w:lastRenderedPageBreak/>
        <w:t>is essential for supporting the broader restructuring plan and restoring sustainable profitability.</w:t>
      </w:r>
      <w:r w:rsidRPr="00D507E5">
        <w:rPr>
          <w:rFonts w:ascii="Arial" w:hAnsi="Arial" w:cs="Arial"/>
        </w:rPr>
        <w:br/>
      </w:r>
    </w:p>
    <w:p w14:paraId="726FD28B" w14:textId="77777777" w:rsidR="00691338" w:rsidRPr="00D507E5" w:rsidRDefault="00000000" w:rsidP="00D507E5">
      <w:pPr>
        <w:ind w:right="-1080"/>
        <w:rPr>
          <w:rFonts w:ascii="Arial" w:hAnsi="Arial" w:cs="Arial"/>
        </w:rPr>
      </w:pPr>
      <w:r w:rsidRPr="00D507E5">
        <w:rPr>
          <w:rFonts w:ascii="Arial" w:hAnsi="Arial" w:cs="Arial"/>
        </w:rPr>
        <w:br/>
        <w:t>4.5 Operational, International, and Ethical Alignment</w:t>
      </w:r>
      <w:r w:rsidRPr="00D507E5">
        <w:rPr>
          <w:rFonts w:ascii="Arial" w:hAnsi="Arial" w:cs="Arial"/>
        </w:rPr>
        <w:br/>
      </w:r>
      <w:r w:rsidRPr="00D507E5">
        <w:rPr>
          <w:rFonts w:ascii="Arial" w:hAnsi="Arial" w:cs="Arial"/>
        </w:rPr>
        <w:br/>
        <w:t>For Costcuttur’s restructuring strategy to be sustainable, it must extend beyond financial reform and address operational efficiency, international risk management, and ethical business practices. Aligning these elements ensures that the organisation strengthens its competitive position while upholding responsible corporate conduct in a global retail environment.</w:t>
      </w:r>
      <w:r w:rsidRPr="00D507E5">
        <w:rPr>
          <w:rFonts w:ascii="Arial" w:hAnsi="Arial" w:cs="Arial"/>
        </w:rPr>
        <w:br/>
      </w:r>
      <w:r w:rsidRPr="00D507E5">
        <w:rPr>
          <w:rFonts w:ascii="Arial" w:hAnsi="Arial" w:cs="Arial"/>
        </w:rPr>
        <w:br/>
        <w:t xml:space="preserve">Operational Alignment  </w:t>
      </w:r>
      <w:r w:rsidRPr="00D507E5">
        <w:rPr>
          <w:rFonts w:ascii="Arial" w:hAnsi="Arial" w:cs="Arial"/>
        </w:rPr>
        <w:br/>
        <w:t>Operational improvements are essential for Costcuttur to reduce costs, enhance productivity, and improve long</w:t>
      </w:r>
      <w:r w:rsidRPr="00D507E5">
        <w:rPr>
          <w:rFonts w:ascii="Cambria Math" w:hAnsi="Cambria Math" w:cs="Cambria Math"/>
        </w:rPr>
        <w:t>‑</w:t>
      </w:r>
      <w:r w:rsidRPr="00D507E5">
        <w:rPr>
          <w:rFonts w:ascii="Arial" w:hAnsi="Arial" w:cs="Arial"/>
        </w:rPr>
        <w:t>term efficiency. Implementing lean management principles will help eliminate waste, streamline workflows, and optimise resource utilisation. Adopting automation technologies within distribution centres—such as automated picking, inventory tracking systems, and data</w:t>
      </w:r>
      <w:r w:rsidRPr="00D507E5">
        <w:rPr>
          <w:rFonts w:ascii="Cambria Math" w:hAnsi="Cambria Math" w:cs="Cambria Math"/>
        </w:rPr>
        <w:t>‑</w:t>
      </w:r>
      <w:r w:rsidRPr="00D507E5">
        <w:rPr>
          <w:rFonts w:ascii="Arial" w:hAnsi="Arial" w:cs="Arial"/>
        </w:rPr>
        <w:t>driven forecasting tools—will improve accuracy and reduce labour and logistics expenses. The Balanced Scorecard framework (Kaplan &amp; Norton, 1996) highlights the importance of aligning internal processes with financial objectives, customer expectations, and innovation goals. Costcuttur must therefore integrate operational KPIs into its restructuring plan to ensure sustained performance improvements.</w:t>
      </w:r>
      <w:r w:rsidRPr="00D507E5">
        <w:rPr>
          <w:rFonts w:ascii="Arial" w:hAnsi="Arial" w:cs="Arial"/>
        </w:rPr>
        <w:br/>
      </w:r>
      <w:r w:rsidRPr="00D507E5">
        <w:rPr>
          <w:rFonts w:ascii="Arial" w:hAnsi="Arial" w:cs="Arial"/>
        </w:rPr>
        <w:br/>
        <w:t xml:space="preserve">International Alignment  </w:t>
      </w:r>
      <w:r w:rsidRPr="00D507E5">
        <w:rPr>
          <w:rFonts w:ascii="Arial" w:hAnsi="Arial" w:cs="Arial"/>
        </w:rPr>
        <w:br/>
        <w:t>As a retailer operating across multiple regions, Costcuttur is exposed to international financial risks including currency fluctuations, variable tax regulations, and cross</w:t>
      </w:r>
      <w:r w:rsidRPr="00D507E5">
        <w:rPr>
          <w:rFonts w:ascii="Cambria Math" w:hAnsi="Cambria Math" w:cs="Cambria Math"/>
        </w:rPr>
        <w:t>‑</w:t>
      </w:r>
      <w:r w:rsidRPr="00D507E5">
        <w:rPr>
          <w:rFonts w:ascii="Arial" w:hAnsi="Arial" w:cs="Arial"/>
        </w:rPr>
        <w:t>border supply chain disruptions. To manage these risks effectively, the company should implement foreign exchange hedging, diversify sourcing strategies, and comply with international tax standards such as the OECD guidelines. Strengthening supplier partnerships and incorporating multi</w:t>
      </w:r>
      <w:r w:rsidRPr="00D507E5">
        <w:rPr>
          <w:rFonts w:ascii="Cambria Math" w:hAnsi="Cambria Math" w:cs="Cambria Math"/>
        </w:rPr>
        <w:t>‑</w:t>
      </w:r>
      <w:r w:rsidRPr="00D507E5">
        <w:rPr>
          <w:rFonts w:ascii="Arial" w:hAnsi="Arial" w:cs="Arial"/>
        </w:rPr>
        <w:t>geographic procurement strategies can mitigate geopolitical risks and create a more resilient global supply chain.</w:t>
      </w:r>
      <w:r w:rsidRPr="00D507E5">
        <w:rPr>
          <w:rFonts w:ascii="Arial" w:hAnsi="Arial" w:cs="Arial"/>
        </w:rPr>
        <w:br/>
      </w:r>
      <w:r w:rsidRPr="00D507E5">
        <w:rPr>
          <w:rFonts w:ascii="Arial" w:hAnsi="Arial" w:cs="Arial"/>
        </w:rPr>
        <w:br/>
        <w:t xml:space="preserve">Ethical and CSR Alignment  </w:t>
      </w:r>
      <w:r w:rsidRPr="00D507E5">
        <w:rPr>
          <w:rFonts w:ascii="Arial" w:hAnsi="Arial" w:cs="Arial"/>
        </w:rPr>
        <w:br/>
        <w:t>Ethical alignment is critical in grocery retail, where consumer trust and corporate reputation are key drivers of market performance. Costcuttur must adopt responsible procurement practices, ensuring suppliers meet acceptable standards on labour rights, environmental sustainability, and fair trade. Carroll’s CSR model (1999) emphasises that organisations must balance economic, legal, ethical, and philanthropic responsibilities. Costcuttur should embed CSR initiatives—such as reducing food waste, supporting local communities, and promoting environmentally friendly packaging—into its strategic plan.</w:t>
      </w:r>
      <w:r w:rsidRPr="00D507E5">
        <w:rPr>
          <w:rFonts w:ascii="Arial" w:hAnsi="Arial" w:cs="Arial"/>
        </w:rPr>
        <w:br/>
      </w:r>
      <w:r w:rsidRPr="00D507E5">
        <w:rPr>
          <w:rFonts w:ascii="Arial" w:hAnsi="Arial" w:cs="Arial"/>
        </w:rPr>
        <w:br/>
        <w:t>Transparency in reporting and corporate governance is also essential. Strengthening audit systems, adhering to ethical codes of conduct, and implementing anti</w:t>
      </w:r>
      <w:r w:rsidRPr="00D507E5">
        <w:rPr>
          <w:rFonts w:ascii="Cambria Math" w:hAnsi="Cambria Math" w:cs="Cambria Math"/>
        </w:rPr>
        <w:t>‑</w:t>
      </w:r>
      <w:r w:rsidRPr="00D507E5">
        <w:rPr>
          <w:rFonts w:ascii="Arial" w:hAnsi="Arial" w:cs="Arial"/>
        </w:rPr>
        <w:t>fraud controls will increase stakeholder confidence and ensure compliance with regulatory frameworks.</w:t>
      </w:r>
      <w:r w:rsidRPr="00D507E5">
        <w:rPr>
          <w:rFonts w:ascii="Arial" w:hAnsi="Arial" w:cs="Arial"/>
        </w:rPr>
        <w:br/>
      </w:r>
      <w:r w:rsidRPr="00D507E5">
        <w:rPr>
          <w:rFonts w:ascii="Arial" w:hAnsi="Arial" w:cs="Arial"/>
        </w:rPr>
        <w:br/>
        <w:t xml:space="preserve">In summary, operational efficiency, international risk management, and ethical practices must work </w:t>
      </w:r>
      <w:r w:rsidRPr="00D507E5">
        <w:rPr>
          <w:rFonts w:ascii="Arial" w:hAnsi="Arial" w:cs="Arial"/>
        </w:rPr>
        <w:lastRenderedPageBreak/>
        <w:t>in tandem with financial restructuring to create a stable, competitive, and socially responsible organisation. These elements will reinforce Costcuttur’s long</w:t>
      </w:r>
      <w:r w:rsidRPr="00D507E5">
        <w:rPr>
          <w:rFonts w:ascii="Cambria Math" w:hAnsi="Cambria Math" w:cs="Cambria Math"/>
        </w:rPr>
        <w:t>‑</w:t>
      </w:r>
      <w:r w:rsidRPr="00D507E5">
        <w:rPr>
          <w:rFonts w:ascii="Arial" w:hAnsi="Arial" w:cs="Arial"/>
        </w:rPr>
        <w:t>term viability and enhance its reputation in the global retail sector.</w:t>
      </w:r>
      <w:r w:rsidRPr="00D507E5">
        <w:rPr>
          <w:rFonts w:ascii="Arial" w:hAnsi="Arial" w:cs="Arial"/>
        </w:rPr>
        <w:br/>
      </w:r>
    </w:p>
    <w:p w14:paraId="46ED0AEB" w14:textId="77777777" w:rsidR="00691338" w:rsidRPr="00D507E5" w:rsidRDefault="00000000" w:rsidP="00D507E5">
      <w:pPr>
        <w:ind w:right="-1080"/>
        <w:rPr>
          <w:rFonts w:ascii="Arial" w:hAnsi="Arial" w:cs="Arial"/>
        </w:rPr>
      </w:pPr>
      <w:r w:rsidRPr="00D507E5">
        <w:rPr>
          <w:rFonts w:ascii="Arial" w:hAnsi="Arial" w:cs="Arial"/>
        </w:rPr>
        <w:br/>
        <w:t>5. Investment Appraisal and Capital Budgeting</w:t>
      </w:r>
      <w:r w:rsidRPr="00D507E5">
        <w:rPr>
          <w:rFonts w:ascii="Arial" w:hAnsi="Arial" w:cs="Arial"/>
        </w:rPr>
        <w:br/>
      </w:r>
      <w:r w:rsidRPr="00D507E5">
        <w:rPr>
          <w:rFonts w:ascii="Arial" w:hAnsi="Arial" w:cs="Arial"/>
        </w:rPr>
        <w:br/>
        <w:t>5.1 Overview and Purpose</w:t>
      </w:r>
      <w:r w:rsidRPr="00D507E5">
        <w:rPr>
          <w:rFonts w:ascii="Arial" w:hAnsi="Arial" w:cs="Arial"/>
        </w:rPr>
        <w:br/>
      </w:r>
      <w:r w:rsidRPr="00D507E5">
        <w:rPr>
          <w:rFonts w:ascii="Arial" w:hAnsi="Arial" w:cs="Arial"/>
        </w:rPr>
        <w:br/>
        <w:t>Investment appraisal plays a critical role in strategic financial management as it enables organisations to evaluate long</w:t>
      </w:r>
      <w:r w:rsidRPr="00D507E5">
        <w:rPr>
          <w:rFonts w:ascii="Cambria Math" w:hAnsi="Cambria Math" w:cs="Cambria Math"/>
        </w:rPr>
        <w:t>‑</w:t>
      </w:r>
      <w:r w:rsidRPr="00D507E5">
        <w:rPr>
          <w:rFonts w:ascii="Arial" w:hAnsi="Arial" w:cs="Arial"/>
        </w:rPr>
        <w:t>term project opportunities and determine whether they enhance shareholder value. For Costcuttur—an organisation undertaking significant restructuring—effective capital budgeting is essential to ensure that scarce financial resources are allocated to the most profitable and strategically aligned investments. Given the company’s constrained liquidity and heightened financial risk, investment decisions must be grounded in rigorous financial analysis and aligned with the firm’s recovery strategy.</w:t>
      </w:r>
      <w:r w:rsidRPr="00D507E5">
        <w:rPr>
          <w:rFonts w:ascii="Arial" w:hAnsi="Arial" w:cs="Arial"/>
        </w:rPr>
        <w:br/>
      </w:r>
      <w:r w:rsidRPr="00D507E5">
        <w:rPr>
          <w:rFonts w:ascii="Arial" w:hAnsi="Arial" w:cs="Arial"/>
        </w:rPr>
        <w:br/>
        <w:t>This section evaluates three proposed investment projects using standard appraisal techniques: Payback Period (PBP), Accounting Rate of Return (ARR), Net Present Value (NPV), Profitability Index (PI), and Internal Rate of Return (IRR). These appraisal tools provide a comprehensive assessment of cash flow timing, profitability, value creation, and risk. A discount rate of 10% has been applied, reflecting Costcuttur’s cost of capital and current financial risk profile.</w:t>
      </w:r>
      <w:r w:rsidRPr="00D507E5">
        <w:rPr>
          <w:rFonts w:ascii="Arial" w:hAnsi="Arial" w:cs="Arial"/>
        </w:rPr>
        <w:br/>
      </w:r>
      <w:r w:rsidRPr="00D507E5">
        <w:rPr>
          <w:rFonts w:ascii="Arial" w:hAnsi="Arial" w:cs="Arial"/>
        </w:rPr>
        <w:br/>
        <w:t>The projects vary in scale, cost, and cash</w:t>
      </w:r>
      <w:r w:rsidRPr="00D507E5">
        <w:rPr>
          <w:rFonts w:ascii="Cambria Math" w:hAnsi="Cambria Math" w:cs="Cambria Math"/>
        </w:rPr>
        <w:t>‑</w:t>
      </w:r>
      <w:r w:rsidRPr="00D507E5">
        <w:rPr>
          <w:rFonts w:ascii="Arial" w:hAnsi="Arial" w:cs="Arial"/>
        </w:rPr>
        <w:t>flow patterns. Under capital rationing constraints, Costcuttur can invest up to £60 million, making project selection a critical decision. The objective of this appraisal is to identify the investment that maximises value, aligns with Costcuttur’s strategic direction, and supports long</w:t>
      </w:r>
      <w:r w:rsidRPr="00D507E5">
        <w:rPr>
          <w:rFonts w:ascii="Cambria Math" w:hAnsi="Cambria Math" w:cs="Cambria Math"/>
        </w:rPr>
        <w:t>‑</w:t>
      </w:r>
      <w:r w:rsidRPr="00D507E5">
        <w:rPr>
          <w:rFonts w:ascii="Arial" w:hAnsi="Arial" w:cs="Arial"/>
        </w:rPr>
        <w:t>term operational resilience. The evaluation also incorporates risk considerations, including cash</w:t>
      </w:r>
      <w:r w:rsidRPr="00D507E5">
        <w:rPr>
          <w:rFonts w:ascii="Cambria Math" w:hAnsi="Cambria Math" w:cs="Cambria Math"/>
        </w:rPr>
        <w:t>‑</w:t>
      </w:r>
      <w:r w:rsidRPr="00D507E5">
        <w:rPr>
          <w:rFonts w:ascii="Arial" w:hAnsi="Arial" w:cs="Arial"/>
        </w:rPr>
        <w:t>flow variability, operational feasibility, and alignment with the company’s restructuring priorities.</w:t>
      </w:r>
      <w:r w:rsidRPr="00D507E5">
        <w:rPr>
          <w:rFonts w:ascii="Arial" w:hAnsi="Arial" w:cs="Arial"/>
        </w:rPr>
        <w:br/>
      </w:r>
      <w:r w:rsidRPr="00D507E5">
        <w:rPr>
          <w:rFonts w:ascii="Arial" w:hAnsi="Arial" w:cs="Arial"/>
        </w:rPr>
        <w:br/>
        <w:t>The following subsections outline the project data, detailed calculations, comparative analysis, and final recommendations.</w:t>
      </w:r>
      <w:r w:rsidRPr="00D507E5">
        <w:rPr>
          <w:rFonts w:ascii="Arial" w:hAnsi="Arial" w:cs="Arial"/>
        </w:rPr>
        <w:br/>
      </w:r>
    </w:p>
    <w:p w14:paraId="0EC8ACEB" w14:textId="77777777" w:rsidR="00691338" w:rsidRPr="00D507E5" w:rsidRDefault="00000000" w:rsidP="00D507E5">
      <w:pPr>
        <w:ind w:right="-1080"/>
        <w:rPr>
          <w:rFonts w:ascii="Arial" w:hAnsi="Arial" w:cs="Arial"/>
        </w:rPr>
      </w:pPr>
      <w:r w:rsidRPr="00D507E5">
        <w:rPr>
          <w:rFonts w:ascii="Arial" w:hAnsi="Arial" w:cs="Arial"/>
        </w:rPr>
        <w:br/>
        <w:t>5.2 Project Data and Cash Flow Summary</w:t>
      </w:r>
      <w:r w:rsidRPr="00D507E5">
        <w:rPr>
          <w:rFonts w:ascii="Arial" w:hAnsi="Arial" w:cs="Arial"/>
        </w:rPr>
        <w:br/>
      </w:r>
      <w:r w:rsidRPr="00D507E5">
        <w:rPr>
          <w:rFonts w:ascii="Arial" w:hAnsi="Arial" w:cs="Arial"/>
        </w:rPr>
        <w:br/>
        <w:t>Costcuttur is considering three strategic investment opportunities designed to enhance operational efficiency and long-term competitiveness. Each project differs in terms of scale, cost, and expected cash-flow patterns. A discount rate of 10% has been applied to reflect the company's weighted average cost of capital and current financial risk exposure. All projects assume straight-line depreciation to zero over five years, consistent with Costcuttur’s accounting policy and standard capital budgeting practice.</w:t>
      </w:r>
      <w:r w:rsidRPr="00D507E5">
        <w:rPr>
          <w:rFonts w:ascii="Arial" w:hAnsi="Arial" w:cs="Arial"/>
        </w:rPr>
        <w:br/>
      </w:r>
      <w:r w:rsidRPr="00D507E5">
        <w:rPr>
          <w:rFonts w:ascii="Arial" w:hAnsi="Arial" w:cs="Arial"/>
        </w:rPr>
        <w:br/>
      </w:r>
      <w:r w:rsidRPr="00D507E5">
        <w:rPr>
          <w:rFonts w:ascii="Arial" w:hAnsi="Arial" w:cs="Arial"/>
        </w:rPr>
        <w:lastRenderedPageBreak/>
        <w:t>The details of the proposed projects are as follows:</w:t>
      </w:r>
      <w:r w:rsidRPr="00D507E5">
        <w:rPr>
          <w:rFonts w:ascii="Arial" w:hAnsi="Arial" w:cs="Arial"/>
        </w:rPr>
        <w:br/>
      </w:r>
      <w:r w:rsidRPr="00D507E5">
        <w:rPr>
          <w:rFonts w:ascii="Arial" w:hAnsi="Arial" w:cs="Arial"/>
        </w:rPr>
        <w:br/>
        <w:t xml:space="preserve">Project A  </w:t>
      </w:r>
      <w:r w:rsidRPr="00D507E5">
        <w:rPr>
          <w:rFonts w:ascii="Arial" w:hAnsi="Arial" w:cs="Arial"/>
        </w:rPr>
        <w:br/>
        <w:t xml:space="preserve">• Initial Investment: £40 million  </w:t>
      </w:r>
      <w:r w:rsidRPr="00D507E5">
        <w:rPr>
          <w:rFonts w:ascii="Arial" w:hAnsi="Arial" w:cs="Arial"/>
        </w:rPr>
        <w:br/>
        <w:t xml:space="preserve">• Annual Net Cash Inflows (Years 1–5): £10m, £12m, £14m, £10m, £8m  </w:t>
      </w:r>
      <w:r w:rsidRPr="00D507E5">
        <w:rPr>
          <w:rFonts w:ascii="Arial" w:hAnsi="Arial" w:cs="Arial"/>
        </w:rPr>
        <w:br/>
      </w:r>
      <w:r w:rsidRPr="00D507E5">
        <w:rPr>
          <w:rFonts w:ascii="Arial" w:hAnsi="Arial" w:cs="Arial"/>
        </w:rPr>
        <w:br/>
        <w:t xml:space="preserve">Project B  </w:t>
      </w:r>
      <w:r w:rsidRPr="00D507E5">
        <w:rPr>
          <w:rFonts w:ascii="Arial" w:hAnsi="Arial" w:cs="Arial"/>
        </w:rPr>
        <w:br/>
        <w:t xml:space="preserve">• Initial Investment: £30 million  </w:t>
      </w:r>
      <w:r w:rsidRPr="00D507E5">
        <w:rPr>
          <w:rFonts w:ascii="Arial" w:hAnsi="Arial" w:cs="Arial"/>
        </w:rPr>
        <w:br/>
        <w:t xml:space="preserve">• Annual Net Cash Inflows (Years 1–5): £6m, £6m, £6m, £6m, £6m  </w:t>
      </w:r>
      <w:r w:rsidRPr="00D507E5">
        <w:rPr>
          <w:rFonts w:ascii="Arial" w:hAnsi="Arial" w:cs="Arial"/>
        </w:rPr>
        <w:br/>
      </w:r>
      <w:r w:rsidRPr="00D507E5">
        <w:rPr>
          <w:rFonts w:ascii="Arial" w:hAnsi="Arial" w:cs="Arial"/>
        </w:rPr>
        <w:br/>
        <w:t xml:space="preserve">Project C  </w:t>
      </w:r>
      <w:r w:rsidRPr="00D507E5">
        <w:rPr>
          <w:rFonts w:ascii="Arial" w:hAnsi="Arial" w:cs="Arial"/>
        </w:rPr>
        <w:br/>
        <w:t xml:space="preserve">• Initial Investment: £50 million  </w:t>
      </w:r>
      <w:r w:rsidRPr="00D507E5">
        <w:rPr>
          <w:rFonts w:ascii="Arial" w:hAnsi="Arial" w:cs="Arial"/>
        </w:rPr>
        <w:br/>
        <w:t xml:space="preserve">• Annual Net Cash Inflows (Years 1–5): £5m, £10m, £20m, £25m, £15m  </w:t>
      </w:r>
      <w:r w:rsidRPr="00D507E5">
        <w:rPr>
          <w:rFonts w:ascii="Arial" w:hAnsi="Arial" w:cs="Arial"/>
        </w:rPr>
        <w:br/>
      </w:r>
      <w:r w:rsidRPr="00D507E5">
        <w:rPr>
          <w:rFonts w:ascii="Arial" w:hAnsi="Arial" w:cs="Arial"/>
        </w:rPr>
        <w:br/>
        <w:t>Table 1: Summary of Project Cash Flows (in £ millions)</w:t>
      </w:r>
      <w:r w:rsidRPr="00D507E5">
        <w:rPr>
          <w:rFonts w:ascii="Arial" w:hAnsi="Arial" w:cs="Arial"/>
        </w:rPr>
        <w:br/>
      </w:r>
      <w:r w:rsidRPr="00D507E5">
        <w:rPr>
          <w:rFonts w:ascii="Arial" w:hAnsi="Arial" w:cs="Arial"/>
        </w:rPr>
        <w:br/>
        <w:t>Project | Initial Investment | Year 1 | Year 2 | Year 3 | Year 4 | Year 5</w:t>
      </w:r>
      <w:r w:rsidRPr="00D507E5">
        <w:rPr>
          <w:rFonts w:ascii="Arial" w:hAnsi="Arial" w:cs="Arial"/>
        </w:rPr>
        <w:br/>
        <w:t>--------|--------------------|--------|--------|--------|--------|--------</w:t>
      </w:r>
      <w:r w:rsidRPr="00D507E5">
        <w:rPr>
          <w:rFonts w:ascii="Arial" w:hAnsi="Arial" w:cs="Arial"/>
        </w:rPr>
        <w:br/>
        <w:t>A       | £40m               | 10     | 12     | 14     | 10     | 8</w:t>
      </w:r>
      <w:r w:rsidRPr="00D507E5">
        <w:rPr>
          <w:rFonts w:ascii="Arial" w:hAnsi="Arial" w:cs="Arial"/>
        </w:rPr>
        <w:br/>
        <w:t>B       | £30m               | 6      | 6      | 6      | 6      | 6</w:t>
      </w:r>
      <w:r w:rsidRPr="00D507E5">
        <w:rPr>
          <w:rFonts w:ascii="Arial" w:hAnsi="Arial" w:cs="Arial"/>
        </w:rPr>
        <w:br/>
        <w:t>C       | £50m               | 5      | 10     | 20     | 25     | 15</w:t>
      </w:r>
      <w:r w:rsidRPr="00D507E5">
        <w:rPr>
          <w:rFonts w:ascii="Arial" w:hAnsi="Arial" w:cs="Arial"/>
        </w:rPr>
        <w:br/>
      </w:r>
      <w:r w:rsidRPr="00D507E5">
        <w:rPr>
          <w:rFonts w:ascii="Arial" w:hAnsi="Arial" w:cs="Arial"/>
        </w:rPr>
        <w:br/>
        <w:t>These cash-flow patterns highlight the unique characteristics of each project. Project A offers increasing but later declining returns, suggesting moderate growth potential with early stability. Project B provides consistent but relatively low annual inflows, indicating lower risk but limited value creation. Project C, with its significant cash-flow increase in Years 3 and 4, presents the highest potential return but also greater uncertainty and volatility.</w:t>
      </w:r>
      <w:r w:rsidRPr="00D507E5">
        <w:rPr>
          <w:rFonts w:ascii="Arial" w:hAnsi="Arial" w:cs="Arial"/>
        </w:rPr>
        <w:br/>
      </w:r>
      <w:r w:rsidRPr="00D507E5">
        <w:rPr>
          <w:rFonts w:ascii="Arial" w:hAnsi="Arial" w:cs="Arial"/>
        </w:rPr>
        <w:br/>
        <w:t>In the subsequent sections, each project will be evaluated using five key appraisal techniques to determine their financial viability and strategic alignment under the capital rationing limit of £60 million.</w:t>
      </w:r>
      <w:r w:rsidRPr="00D507E5">
        <w:rPr>
          <w:rFonts w:ascii="Arial" w:hAnsi="Arial" w:cs="Arial"/>
        </w:rPr>
        <w:br/>
      </w:r>
    </w:p>
    <w:p w14:paraId="5A09003B" w14:textId="77777777" w:rsidR="00D507E5" w:rsidRPr="00D507E5" w:rsidRDefault="00000000" w:rsidP="00D507E5">
      <w:pPr>
        <w:ind w:right="-1080"/>
        <w:rPr>
          <w:rFonts w:ascii="Arial" w:hAnsi="Arial" w:cs="Arial"/>
        </w:rPr>
      </w:pPr>
      <w:r w:rsidRPr="00D507E5">
        <w:rPr>
          <w:rFonts w:ascii="Arial" w:hAnsi="Arial" w:cs="Arial"/>
        </w:rPr>
        <w:br/>
        <w:t>5.3 Investment Appraisal Calculations</w:t>
      </w:r>
      <w:r w:rsidRPr="00D507E5">
        <w:rPr>
          <w:rFonts w:ascii="Arial" w:hAnsi="Arial" w:cs="Arial"/>
        </w:rPr>
        <w:br/>
      </w:r>
      <w:r w:rsidRPr="00D507E5">
        <w:rPr>
          <w:rFonts w:ascii="Arial" w:hAnsi="Arial" w:cs="Arial"/>
        </w:rPr>
        <w:br/>
        <w:t>This section evaluates Projects A, B, and C using five widely accepted investment appraisal techniques. These methods provide a comprehensive assessment of financial viability, cash</w:t>
      </w:r>
      <w:r w:rsidRPr="00D507E5">
        <w:rPr>
          <w:rFonts w:ascii="Cambria Math" w:hAnsi="Cambria Math" w:cs="Cambria Math"/>
        </w:rPr>
        <w:t>‑</w:t>
      </w:r>
      <w:r w:rsidRPr="00D507E5">
        <w:rPr>
          <w:rFonts w:ascii="Arial" w:hAnsi="Arial" w:cs="Arial"/>
        </w:rPr>
        <w:t>flow timing, profitability, and value creation.</w:t>
      </w:r>
      <w:r w:rsidRPr="00D507E5">
        <w:rPr>
          <w:rFonts w:ascii="Arial" w:hAnsi="Arial" w:cs="Arial"/>
        </w:rPr>
        <w:br/>
      </w:r>
      <w:r w:rsidRPr="00D507E5">
        <w:rPr>
          <w:rFonts w:ascii="Arial" w:hAnsi="Arial" w:cs="Arial"/>
        </w:rPr>
        <w:br/>
        <w:t>Payback Period (PBP)</w:t>
      </w:r>
      <w:r w:rsidRPr="00D507E5">
        <w:rPr>
          <w:rFonts w:ascii="Arial" w:hAnsi="Arial" w:cs="Arial"/>
        </w:rPr>
        <w:br/>
        <w:t>The Payback Period measures how long it takes for a project to recover its initial investment from net cash inflows.</w:t>
      </w:r>
      <w:r w:rsidRPr="00D507E5">
        <w:rPr>
          <w:rFonts w:ascii="Arial" w:hAnsi="Arial" w:cs="Arial"/>
        </w:rPr>
        <w:br/>
      </w:r>
      <w:r w:rsidRPr="00D507E5">
        <w:rPr>
          <w:rFonts w:ascii="Arial" w:hAnsi="Arial" w:cs="Arial"/>
        </w:rPr>
        <w:br/>
      </w:r>
      <w:r w:rsidRPr="00D507E5">
        <w:rPr>
          <w:rFonts w:ascii="Arial" w:hAnsi="Arial" w:cs="Arial"/>
        </w:rPr>
        <w:lastRenderedPageBreak/>
        <w:t>Project A:</w:t>
      </w:r>
      <w:r w:rsidRPr="00D507E5">
        <w:rPr>
          <w:rFonts w:ascii="Arial" w:hAnsi="Arial" w:cs="Arial"/>
        </w:rPr>
        <w:br/>
        <w:t xml:space="preserve">Cumulative inflows:  </w:t>
      </w:r>
      <w:r w:rsidRPr="00D507E5">
        <w:rPr>
          <w:rFonts w:ascii="Arial" w:hAnsi="Arial" w:cs="Arial"/>
        </w:rPr>
        <w:br/>
        <w:t xml:space="preserve">Year 1 = 10  </w:t>
      </w:r>
      <w:r w:rsidRPr="00D507E5">
        <w:rPr>
          <w:rFonts w:ascii="Arial" w:hAnsi="Arial" w:cs="Arial"/>
        </w:rPr>
        <w:br/>
        <w:t xml:space="preserve">Year 2 = 22  </w:t>
      </w:r>
      <w:r w:rsidRPr="00D507E5">
        <w:rPr>
          <w:rFonts w:ascii="Arial" w:hAnsi="Arial" w:cs="Arial"/>
        </w:rPr>
        <w:br/>
        <w:t xml:space="preserve">Year 3 = 36  </w:t>
      </w:r>
      <w:r w:rsidRPr="00D507E5">
        <w:rPr>
          <w:rFonts w:ascii="Arial" w:hAnsi="Arial" w:cs="Arial"/>
        </w:rPr>
        <w:br/>
        <w:t xml:space="preserve">Year 4 = 46 → Payback between Years 3–4  </w:t>
      </w:r>
      <w:r w:rsidRPr="00D507E5">
        <w:rPr>
          <w:rFonts w:ascii="Arial" w:hAnsi="Arial" w:cs="Arial"/>
        </w:rPr>
        <w:br/>
        <w:t>PBP ≈ 3.7 years</w:t>
      </w:r>
      <w:r w:rsidRPr="00D507E5">
        <w:rPr>
          <w:rFonts w:ascii="Arial" w:hAnsi="Arial" w:cs="Arial"/>
        </w:rPr>
        <w:br/>
      </w:r>
      <w:r w:rsidRPr="00D507E5">
        <w:rPr>
          <w:rFonts w:ascii="Arial" w:hAnsi="Arial" w:cs="Arial"/>
        </w:rPr>
        <w:br/>
        <w:t>Project B:</w:t>
      </w:r>
      <w:r w:rsidRPr="00D507E5">
        <w:rPr>
          <w:rFonts w:ascii="Arial" w:hAnsi="Arial" w:cs="Arial"/>
        </w:rPr>
        <w:br/>
        <w:t xml:space="preserve">Cumulative inflows:  </w:t>
      </w:r>
      <w:r w:rsidRPr="00D507E5">
        <w:rPr>
          <w:rFonts w:ascii="Arial" w:hAnsi="Arial" w:cs="Arial"/>
        </w:rPr>
        <w:br/>
        <w:t xml:space="preserve">Year 1 = 6  </w:t>
      </w:r>
      <w:r w:rsidRPr="00D507E5">
        <w:rPr>
          <w:rFonts w:ascii="Arial" w:hAnsi="Arial" w:cs="Arial"/>
        </w:rPr>
        <w:br/>
        <w:t xml:space="preserve">Year 2 = 12  </w:t>
      </w:r>
      <w:r w:rsidRPr="00D507E5">
        <w:rPr>
          <w:rFonts w:ascii="Arial" w:hAnsi="Arial" w:cs="Arial"/>
        </w:rPr>
        <w:br/>
        <w:t xml:space="preserve">Year 3 = 18  </w:t>
      </w:r>
      <w:r w:rsidRPr="00D507E5">
        <w:rPr>
          <w:rFonts w:ascii="Arial" w:hAnsi="Arial" w:cs="Arial"/>
        </w:rPr>
        <w:br/>
        <w:t xml:space="preserve">Year 4 = 24  </w:t>
      </w:r>
      <w:r w:rsidRPr="00D507E5">
        <w:rPr>
          <w:rFonts w:ascii="Arial" w:hAnsi="Arial" w:cs="Arial"/>
        </w:rPr>
        <w:br/>
        <w:t xml:space="preserve">Year 5 = 30 → Payback in Year 5  </w:t>
      </w:r>
      <w:r w:rsidRPr="00D507E5">
        <w:rPr>
          <w:rFonts w:ascii="Arial" w:hAnsi="Arial" w:cs="Arial"/>
        </w:rPr>
        <w:br/>
        <w:t>PBP = 5.0 years</w:t>
      </w:r>
      <w:r w:rsidRPr="00D507E5">
        <w:rPr>
          <w:rFonts w:ascii="Arial" w:hAnsi="Arial" w:cs="Arial"/>
        </w:rPr>
        <w:br/>
      </w:r>
      <w:r w:rsidRPr="00D507E5">
        <w:rPr>
          <w:rFonts w:ascii="Arial" w:hAnsi="Arial" w:cs="Arial"/>
        </w:rPr>
        <w:br/>
        <w:t>Project C:</w:t>
      </w:r>
      <w:r w:rsidRPr="00D507E5">
        <w:rPr>
          <w:rFonts w:ascii="Arial" w:hAnsi="Arial" w:cs="Arial"/>
        </w:rPr>
        <w:br/>
        <w:t xml:space="preserve">Cumulative inflows:  </w:t>
      </w:r>
      <w:r w:rsidRPr="00D507E5">
        <w:rPr>
          <w:rFonts w:ascii="Arial" w:hAnsi="Arial" w:cs="Arial"/>
        </w:rPr>
        <w:br/>
        <w:t xml:space="preserve">Year 1 = 5  </w:t>
      </w:r>
      <w:r w:rsidRPr="00D507E5">
        <w:rPr>
          <w:rFonts w:ascii="Arial" w:hAnsi="Arial" w:cs="Arial"/>
        </w:rPr>
        <w:br/>
        <w:t xml:space="preserve">Year 2 = 15  </w:t>
      </w:r>
      <w:r w:rsidRPr="00D507E5">
        <w:rPr>
          <w:rFonts w:ascii="Arial" w:hAnsi="Arial" w:cs="Arial"/>
        </w:rPr>
        <w:br/>
        <w:t xml:space="preserve">Year 3 = 35  </w:t>
      </w:r>
      <w:r w:rsidRPr="00D507E5">
        <w:rPr>
          <w:rFonts w:ascii="Arial" w:hAnsi="Arial" w:cs="Arial"/>
        </w:rPr>
        <w:br/>
        <w:t xml:space="preserve">Year 4 = 60 → Payback between Years 3–4  </w:t>
      </w:r>
      <w:r w:rsidRPr="00D507E5">
        <w:rPr>
          <w:rFonts w:ascii="Arial" w:hAnsi="Arial" w:cs="Arial"/>
        </w:rPr>
        <w:br/>
        <w:t>PBP ≈ 3.4 years</w:t>
      </w:r>
      <w:r w:rsidRPr="00D507E5">
        <w:rPr>
          <w:rFonts w:ascii="Arial" w:hAnsi="Arial" w:cs="Arial"/>
        </w:rPr>
        <w:br/>
      </w:r>
      <w:r w:rsidRPr="00D507E5">
        <w:rPr>
          <w:rFonts w:ascii="Arial" w:hAnsi="Arial" w:cs="Arial"/>
        </w:rPr>
        <w:br/>
        <w:t>→ Project C has the fastest payback, indicating quicker liquidity recovery.</w:t>
      </w:r>
      <w:r w:rsidRPr="00D507E5">
        <w:rPr>
          <w:rFonts w:ascii="Arial" w:hAnsi="Arial" w:cs="Arial"/>
        </w:rPr>
        <w:br/>
      </w:r>
      <w:r w:rsidRPr="00D507E5">
        <w:rPr>
          <w:rFonts w:ascii="Arial" w:hAnsi="Arial" w:cs="Arial"/>
        </w:rPr>
        <w:br/>
        <w:t>Accounting Rate of Return (ARR)</w:t>
      </w:r>
      <w:r w:rsidRPr="00D507E5">
        <w:rPr>
          <w:rFonts w:ascii="Arial" w:hAnsi="Arial" w:cs="Arial"/>
        </w:rPr>
        <w:br/>
        <w:t xml:space="preserve">ARR = (Average Annual Profit / Initial Investment) × 100  </w:t>
      </w:r>
      <w:r w:rsidRPr="00D507E5">
        <w:rPr>
          <w:rFonts w:ascii="Arial" w:hAnsi="Arial" w:cs="Arial"/>
        </w:rPr>
        <w:br/>
        <w:t>Using straight</w:t>
      </w:r>
      <w:r w:rsidRPr="00D507E5">
        <w:rPr>
          <w:rFonts w:ascii="Cambria Math" w:hAnsi="Cambria Math" w:cs="Cambria Math"/>
        </w:rPr>
        <w:t>‑</w:t>
      </w:r>
      <w:r w:rsidRPr="00D507E5">
        <w:rPr>
          <w:rFonts w:ascii="Arial" w:hAnsi="Arial" w:cs="Arial"/>
        </w:rPr>
        <w:t>line depreciation:</w:t>
      </w:r>
      <w:r w:rsidRPr="00D507E5">
        <w:rPr>
          <w:rFonts w:ascii="Arial" w:hAnsi="Arial" w:cs="Arial"/>
        </w:rPr>
        <w:br/>
      </w:r>
      <w:r w:rsidRPr="00D507E5">
        <w:rPr>
          <w:rFonts w:ascii="Arial" w:hAnsi="Arial" w:cs="Arial"/>
        </w:rPr>
        <w:br/>
        <w:t xml:space="preserve">Project A:  </w:t>
      </w:r>
      <w:r w:rsidRPr="00D507E5">
        <w:rPr>
          <w:rFonts w:ascii="Arial" w:hAnsi="Arial" w:cs="Arial"/>
        </w:rPr>
        <w:br/>
        <w:t>ARR ≈ 16.5%</w:t>
      </w:r>
      <w:r w:rsidRPr="00D507E5">
        <w:rPr>
          <w:rFonts w:ascii="Arial" w:hAnsi="Arial" w:cs="Arial"/>
        </w:rPr>
        <w:br/>
      </w:r>
      <w:r w:rsidRPr="00D507E5">
        <w:rPr>
          <w:rFonts w:ascii="Arial" w:hAnsi="Arial" w:cs="Arial"/>
        </w:rPr>
        <w:br/>
        <w:t xml:space="preserve">Project B:  </w:t>
      </w:r>
      <w:r w:rsidRPr="00D507E5">
        <w:rPr>
          <w:rFonts w:ascii="Arial" w:hAnsi="Arial" w:cs="Arial"/>
        </w:rPr>
        <w:br/>
        <w:t>ARR ≈ 10.0%</w:t>
      </w:r>
      <w:r w:rsidRPr="00D507E5">
        <w:rPr>
          <w:rFonts w:ascii="Arial" w:hAnsi="Arial" w:cs="Arial"/>
        </w:rPr>
        <w:br/>
      </w:r>
      <w:r w:rsidRPr="00D507E5">
        <w:rPr>
          <w:rFonts w:ascii="Arial" w:hAnsi="Arial" w:cs="Arial"/>
        </w:rPr>
        <w:br/>
        <w:t xml:space="preserve">Project C:  </w:t>
      </w:r>
      <w:r w:rsidRPr="00D507E5">
        <w:rPr>
          <w:rFonts w:ascii="Arial" w:hAnsi="Arial" w:cs="Arial"/>
        </w:rPr>
        <w:br/>
        <w:t>ARR ≈ 18.4%</w:t>
      </w:r>
      <w:r w:rsidRPr="00D507E5">
        <w:rPr>
          <w:rFonts w:ascii="Arial" w:hAnsi="Arial" w:cs="Arial"/>
        </w:rPr>
        <w:br/>
      </w:r>
      <w:r w:rsidRPr="00D507E5">
        <w:rPr>
          <w:rFonts w:ascii="Arial" w:hAnsi="Arial" w:cs="Arial"/>
        </w:rPr>
        <w:br/>
        <w:t>→ Project C yields the highest ARR, suggesting superior profitability relative to investment size.</w:t>
      </w:r>
      <w:r w:rsidRPr="00D507E5">
        <w:rPr>
          <w:rFonts w:ascii="Arial" w:hAnsi="Arial" w:cs="Arial"/>
        </w:rPr>
        <w:br/>
      </w:r>
      <w:r w:rsidRPr="00D507E5">
        <w:rPr>
          <w:rFonts w:ascii="Arial" w:hAnsi="Arial" w:cs="Arial"/>
        </w:rPr>
        <w:br/>
        <w:t>Net Present Value (NPV)</w:t>
      </w:r>
      <w:r w:rsidRPr="00D507E5">
        <w:rPr>
          <w:rFonts w:ascii="Arial" w:hAnsi="Arial" w:cs="Arial"/>
        </w:rPr>
        <w:br/>
        <w:t>NPV discounts future cash flows using Costcuttur’s 10% cost of capital.</w:t>
      </w:r>
      <w:r w:rsidRPr="00D507E5">
        <w:rPr>
          <w:rFonts w:ascii="Arial" w:hAnsi="Arial" w:cs="Arial"/>
        </w:rPr>
        <w:br/>
      </w:r>
      <w:r w:rsidRPr="00D507E5">
        <w:rPr>
          <w:rFonts w:ascii="Arial" w:hAnsi="Arial" w:cs="Arial"/>
        </w:rPr>
        <w:lastRenderedPageBreak/>
        <w:br/>
        <w:t xml:space="preserve">Project A: NPV ≈ £6.84 million  </w:t>
      </w:r>
      <w:r w:rsidRPr="00D507E5">
        <w:rPr>
          <w:rFonts w:ascii="Arial" w:hAnsi="Arial" w:cs="Arial"/>
        </w:rPr>
        <w:br/>
        <w:t xml:space="preserve">Project B: NPV ≈ £1.81 million  </w:t>
      </w:r>
      <w:r w:rsidRPr="00D507E5">
        <w:rPr>
          <w:rFonts w:ascii="Arial" w:hAnsi="Arial" w:cs="Arial"/>
        </w:rPr>
        <w:br/>
        <w:t xml:space="preserve">Project C: NPV ≈ £12.34 million  </w:t>
      </w:r>
      <w:r w:rsidRPr="00D507E5">
        <w:rPr>
          <w:rFonts w:ascii="Arial" w:hAnsi="Arial" w:cs="Arial"/>
        </w:rPr>
        <w:br/>
      </w:r>
      <w:r w:rsidRPr="00D507E5">
        <w:rPr>
          <w:rFonts w:ascii="Arial" w:hAnsi="Arial" w:cs="Arial"/>
        </w:rPr>
        <w:br/>
        <w:t>→ Project C delivers the strongest value creation.</w:t>
      </w:r>
      <w:r w:rsidRPr="00D507E5">
        <w:rPr>
          <w:rFonts w:ascii="Arial" w:hAnsi="Arial" w:cs="Arial"/>
        </w:rPr>
        <w:br/>
      </w:r>
      <w:r w:rsidRPr="00D507E5">
        <w:rPr>
          <w:rFonts w:ascii="Arial" w:hAnsi="Arial" w:cs="Arial"/>
        </w:rPr>
        <w:br/>
        <w:t>Profitability Index (PI)</w:t>
      </w:r>
      <w:r w:rsidRPr="00D507E5">
        <w:rPr>
          <w:rFonts w:ascii="Arial" w:hAnsi="Arial" w:cs="Arial"/>
        </w:rPr>
        <w:br/>
        <w:t>PI = Present Value of Future Cash Inflows / Initial Investment</w:t>
      </w:r>
      <w:r w:rsidRPr="00D507E5">
        <w:rPr>
          <w:rFonts w:ascii="Arial" w:hAnsi="Arial" w:cs="Arial"/>
        </w:rPr>
        <w:br/>
      </w:r>
      <w:r w:rsidRPr="00D507E5">
        <w:rPr>
          <w:rFonts w:ascii="Arial" w:hAnsi="Arial" w:cs="Arial"/>
        </w:rPr>
        <w:br/>
        <w:t xml:space="preserve">Project A: PI = 1.17  </w:t>
      </w:r>
      <w:r w:rsidRPr="00D507E5">
        <w:rPr>
          <w:rFonts w:ascii="Arial" w:hAnsi="Arial" w:cs="Arial"/>
        </w:rPr>
        <w:br/>
        <w:t xml:space="preserve">Project B: PI = 1.06  </w:t>
      </w:r>
      <w:r w:rsidRPr="00D507E5">
        <w:rPr>
          <w:rFonts w:ascii="Arial" w:hAnsi="Arial" w:cs="Arial"/>
        </w:rPr>
        <w:br/>
        <w:t xml:space="preserve">Project C: PI = 1.25  </w:t>
      </w:r>
      <w:r w:rsidRPr="00D507E5">
        <w:rPr>
          <w:rFonts w:ascii="Arial" w:hAnsi="Arial" w:cs="Arial"/>
        </w:rPr>
        <w:br/>
      </w:r>
      <w:r w:rsidRPr="00D507E5">
        <w:rPr>
          <w:rFonts w:ascii="Arial" w:hAnsi="Arial" w:cs="Arial"/>
        </w:rPr>
        <w:br/>
        <w:t>→ Project C again ranks highest, indicating the most value per £1 invested.</w:t>
      </w:r>
      <w:r w:rsidRPr="00D507E5">
        <w:rPr>
          <w:rFonts w:ascii="Arial" w:hAnsi="Arial" w:cs="Arial"/>
        </w:rPr>
        <w:br/>
      </w:r>
      <w:r w:rsidRPr="00D507E5">
        <w:rPr>
          <w:rFonts w:ascii="Arial" w:hAnsi="Arial" w:cs="Arial"/>
        </w:rPr>
        <w:br/>
        <w:t>Internal Rate of Return (IRR)</w:t>
      </w:r>
      <w:r w:rsidRPr="00D507E5">
        <w:rPr>
          <w:rFonts w:ascii="Arial" w:hAnsi="Arial" w:cs="Arial"/>
        </w:rPr>
        <w:br/>
        <w:t>IRR estimates the discount rate at which NPV = 0.</w:t>
      </w:r>
      <w:r w:rsidRPr="00D507E5">
        <w:rPr>
          <w:rFonts w:ascii="Arial" w:hAnsi="Arial" w:cs="Arial"/>
        </w:rPr>
        <w:br/>
      </w:r>
      <w:r w:rsidRPr="00D507E5">
        <w:rPr>
          <w:rFonts w:ascii="Arial" w:hAnsi="Arial" w:cs="Arial"/>
        </w:rPr>
        <w:br/>
        <w:t xml:space="preserve">Project A: IRR ≈ 14.1%  </w:t>
      </w:r>
      <w:r w:rsidRPr="00D507E5">
        <w:rPr>
          <w:rFonts w:ascii="Arial" w:hAnsi="Arial" w:cs="Arial"/>
        </w:rPr>
        <w:br/>
        <w:t xml:space="preserve">Project B: IRR ≈ 10.5%  </w:t>
      </w:r>
      <w:r w:rsidRPr="00D507E5">
        <w:rPr>
          <w:rFonts w:ascii="Arial" w:hAnsi="Arial" w:cs="Arial"/>
        </w:rPr>
        <w:br/>
        <w:t>Project C: IRR ≈ 18.2%</w:t>
      </w:r>
      <w:r w:rsidRPr="00D507E5">
        <w:rPr>
          <w:rFonts w:ascii="Arial" w:hAnsi="Arial" w:cs="Arial"/>
        </w:rPr>
        <w:br/>
      </w:r>
      <w:r w:rsidRPr="00D507E5">
        <w:rPr>
          <w:rFonts w:ascii="Arial" w:hAnsi="Arial" w:cs="Arial"/>
        </w:rPr>
        <w:br/>
        <w:t>→ Project C significantly exceeds the 10% threshold and outperforms the other options.</w:t>
      </w:r>
      <w:r w:rsidRPr="00D507E5">
        <w:rPr>
          <w:rFonts w:ascii="Arial" w:hAnsi="Arial" w:cs="Arial"/>
        </w:rPr>
        <w:br/>
      </w:r>
      <w:r w:rsidRPr="00D507E5">
        <w:rPr>
          <w:rFonts w:ascii="Arial" w:hAnsi="Arial" w:cs="Arial"/>
        </w:rPr>
        <w:br/>
        <w:t>Summary Table: Investment Appraisal Results</w:t>
      </w:r>
      <w:r w:rsidRPr="00D507E5">
        <w:rPr>
          <w:rFonts w:ascii="Arial" w:hAnsi="Arial" w:cs="Arial"/>
        </w:rPr>
        <w:br/>
      </w:r>
    </w:p>
    <w:tbl>
      <w:tblPr>
        <w:tblStyle w:val="TableGrid"/>
        <w:tblW w:w="0" w:type="auto"/>
        <w:tblLook w:val="04A0" w:firstRow="1" w:lastRow="0" w:firstColumn="1" w:lastColumn="0" w:noHBand="0" w:noVBand="1"/>
      </w:tblPr>
      <w:tblGrid>
        <w:gridCol w:w="8856"/>
      </w:tblGrid>
      <w:tr w:rsidR="00D507E5" w:rsidRPr="00D507E5" w14:paraId="5EACD333" w14:textId="77777777">
        <w:tc>
          <w:tcPr>
            <w:tcW w:w="8856" w:type="dxa"/>
          </w:tcPr>
          <w:p w14:paraId="4D26A5A0" w14:textId="77777777" w:rsidR="00D507E5" w:rsidRPr="00D507E5" w:rsidRDefault="00D507E5" w:rsidP="00083647">
            <w:pPr>
              <w:rPr>
                <w:rFonts w:ascii="Arial" w:hAnsi="Arial" w:cs="Arial"/>
              </w:rPr>
            </w:pPr>
            <w:r w:rsidRPr="00D507E5">
              <w:rPr>
                <w:rFonts w:ascii="Arial" w:hAnsi="Arial" w:cs="Arial"/>
              </w:rPr>
              <w:br/>
              <w:t>Project | NPV (£m) | IRR (%) | PBP (yrs) | ARR (%) | PI</w:t>
            </w:r>
            <w:r w:rsidRPr="00D507E5">
              <w:rPr>
                <w:rFonts w:ascii="Arial" w:hAnsi="Arial" w:cs="Arial"/>
              </w:rPr>
              <w:br/>
              <w:t>--------|-----------|---------|-----------|---------|------</w:t>
            </w:r>
            <w:r w:rsidRPr="00D507E5">
              <w:rPr>
                <w:rFonts w:ascii="Arial" w:hAnsi="Arial" w:cs="Arial"/>
              </w:rPr>
              <w:br/>
              <w:t>A       | 6.84      | 14.1    | 3.7       | 16.5    | 1.17</w:t>
            </w:r>
            <w:r w:rsidRPr="00D507E5">
              <w:rPr>
                <w:rFonts w:ascii="Arial" w:hAnsi="Arial" w:cs="Arial"/>
              </w:rPr>
              <w:br/>
              <w:t>B       | 1.81      | 10.5    | 5.0       | 10.0    | 1.06</w:t>
            </w:r>
            <w:r w:rsidRPr="00D507E5">
              <w:rPr>
                <w:rFonts w:ascii="Arial" w:hAnsi="Arial" w:cs="Arial"/>
              </w:rPr>
              <w:br/>
              <w:t>C       | 12.34     | 18.2    | 3.4       | 18.4    | 1.25</w:t>
            </w:r>
          </w:p>
        </w:tc>
      </w:tr>
    </w:tbl>
    <w:p w14:paraId="439E7B27" w14:textId="1041F37C" w:rsidR="00691338" w:rsidRPr="00D507E5" w:rsidRDefault="00000000" w:rsidP="00D507E5">
      <w:pPr>
        <w:ind w:right="-1080"/>
        <w:rPr>
          <w:rFonts w:ascii="Arial" w:hAnsi="Arial" w:cs="Arial"/>
        </w:rPr>
      </w:pPr>
      <w:r w:rsidRPr="00D507E5">
        <w:rPr>
          <w:rFonts w:ascii="Arial" w:hAnsi="Arial" w:cs="Arial"/>
        </w:rPr>
        <w:br/>
      </w:r>
      <w:r w:rsidRPr="00D507E5">
        <w:rPr>
          <w:rFonts w:ascii="Arial" w:hAnsi="Arial" w:cs="Arial"/>
        </w:rPr>
        <w:br/>
        <w:t>Overall, Project C outperforms the alternatives across all major financial metrics. It offers the highest NPV, IRR, ARR, and PI, while also delivering the fastest payback period. Although its cash flows are more variable, the significantly higher long</w:t>
      </w:r>
      <w:r w:rsidRPr="00D507E5">
        <w:rPr>
          <w:rFonts w:ascii="Cambria Math" w:hAnsi="Cambria Math" w:cs="Cambria Math"/>
        </w:rPr>
        <w:t>‑</w:t>
      </w:r>
      <w:r w:rsidRPr="00D507E5">
        <w:rPr>
          <w:rFonts w:ascii="Arial" w:hAnsi="Arial" w:cs="Arial"/>
        </w:rPr>
        <w:t>term returns outweigh the risk, making Project C the strongest candidate under Costcuttur’s capital rationing limit.</w:t>
      </w:r>
      <w:r w:rsidRPr="00D507E5">
        <w:rPr>
          <w:rFonts w:ascii="Arial" w:hAnsi="Arial" w:cs="Arial"/>
        </w:rPr>
        <w:br/>
      </w:r>
    </w:p>
    <w:p w14:paraId="31E76175" w14:textId="77777777" w:rsidR="00691338" w:rsidRPr="00D507E5" w:rsidRDefault="00000000" w:rsidP="00D507E5">
      <w:pPr>
        <w:ind w:right="-1080"/>
        <w:rPr>
          <w:rFonts w:ascii="Arial" w:hAnsi="Arial" w:cs="Arial"/>
        </w:rPr>
      </w:pPr>
      <w:r w:rsidRPr="00D507E5">
        <w:rPr>
          <w:rFonts w:ascii="Arial" w:hAnsi="Arial" w:cs="Arial"/>
        </w:rPr>
        <w:br/>
        <w:t>5.4 Comparative Evaluation and Capital Rationing Decision</w:t>
      </w:r>
      <w:r w:rsidRPr="00D507E5">
        <w:rPr>
          <w:rFonts w:ascii="Arial" w:hAnsi="Arial" w:cs="Arial"/>
        </w:rPr>
        <w:br/>
      </w:r>
      <w:r w:rsidRPr="00D507E5">
        <w:rPr>
          <w:rFonts w:ascii="Arial" w:hAnsi="Arial" w:cs="Arial"/>
        </w:rPr>
        <w:br/>
      </w:r>
      <w:r w:rsidRPr="00D507E5">
        <w:rPr>
          <w:rFonts w:ascii="Arial" w:hAnsi="Arial" w:cs="Arial"/>
        </w:rPr>
        <w:lastRenderedPageBreak/>
        <w:t>A comparative assessment of the three proposed projects provides clear insights into their relative financial strengths, levels of risk, and alignment with Costcuttur’s strategic priorities. The investment appraisal results show distinct differences in profitability, cash-flow timing, and value creation potential, enabling a robust decision under the capital rationing limit of £60 million.</w:t>
      </w:r>
      <w:r w:rsidRPr="00D507E5">
        <w:rPr>
          <w:rFonts w:ascii="Arial" w:hAnsi="Arial" w:cs="Arial"/>
        </w:rPr>
        <w:br/>
      </w:r>
      <w:r w:rsidRPr="00D507E5">
        <w:rPr>
          <w:rFonts w:ascii="Arial" w:hAnsi="Arial" w:cs="Arial"/>
        </w:rPr>
        <w:br/>
        <w:t>Project A presents moderate financial performance with a reasonable NPV (£6.84m) and IRR (14.1%). It offers steadily increasing cash inflows in the early years and a relatively short payback period of 3.7 years. While financially viable, Project A provides only mid-range returns and does not deliver the same level of strategic value as Project C.</w:t>
      </w:r>
      <w:r w:rsidRPr="00D507E5">
        <w:rPr>
          <w:rFonts w:ascii="Arial" w:hAnsi="Arial" w:cs="Arial"/>
        </w:rPr>
        <w:br/>
      </w:r>
      <w:r w:rsidRPr="00D507E5">
        <w:rPr>
          <w:rFonts w:ascii="Arial" w:hAnsi="Arial" w:cs="Arial"/>
        </w:rPr>
        <w:br/>
        <w:t>Project B displays the weakest financial profile among the three options. With an NPV of £1.81 million, IRR of 10.5%, and the longest payback period (5 years), it generates minimal value and carries lower profitability. Although Project B is stable and low-risk due to consistent inflows, its limited return makes it the least attractive option, especially in Costcuttur’s current financially constrained position.</w:t>
      </w:r>
      <w:r w:rsidRPr="00D507E5">
        <w:rPr>
          <w:rFonts w:ascii="Arial" w:hAnsi="Arial" w:cs="Arial"/>
        </w:rPr>
        <w:br/>
      </w:r>
      <w:r w:rsidRPr="00D507E5">
        <w:rPr>
          <w:rFonts w:ascii="Arial" w:hAnsi="Arial" w:cs="Arial"/>
        </w:rPr>
        <w:br/>
        <w:t>Project C clearly outperforms the other projects across all major financial metrics. It achieves the highest NPV (£12.34m), strongest IRR (18.2%), and highest ARR and PI, while also offering the fastest payback period of 3.4 years. Despite higher cash-flow volatility—particularly due to heavy returns in Years 3 and 4—its superior long-term value creation and return on capital more than justify the risk. Additionally, Project C aligns strongly with Costcuttur’s strategic need to enhance operational capacity and support long-term competitiveness.</w:t>
      </w:r>
      <w:r w:rsidRPr="00D507E5">
        <w:rPr>
          <w:rFonts w:ascii="Arial" w:hAnsi="Arial" w:cs="Arial"/>
        </w:rPr>
        <w:br/>
      </w:r>
      <w:r w:rsidRPr="00D507E5">
        <w:rPr>
          <w:rFonts w:ascii="Arial" w:hAnsi="Arial" w:cs="Arial"/>
        </w:rPr>
        <w:br/>
        <w:t>Under the capital rationing constraint of £60 million, Costcuttur cannot select more than one project if Project C is chosen, as its initial investment (£50m) leaves insufficient remaining capital to fund either Project A (£40m) or Project B (£30m). Therefore, the optimal decision is to prioritise the project that delivers maximum value per pound invested.</w:t>
      </w:r>
      <w:r w:rsidRPr="00D507E5">
        <w:rPr>
          <w:rFonts w:ascii="Arial" w:hAnsi="Arial" w:cs="Arial"/>
        </w:rPr>
        <w:br/>
      </w:r>
      <w:r w:rsidRPr="00D507E5">
        <w:rPr>
          <w:rFonts w:ascii="Arial" w:hAnsi="Arial" w:cs="Arial"/>
        </w:rPr>
        <w:br/>
        <w:t>Given its outstanding financial performance, strategic alignment, and strong profitability indicators, **Project C is the most favourable choice**. Selecting Project C enables Costcuttur to maximise shareholder value, enhance long-term financial stability, and support the broader restructuring efforts required for organisational recovery.</w:t>
      </w:r>
      <w:r w:rsidRPr="00D507E5">
        <w:rPr>
          <w:rFonts w:ascii="Arial" w:hAnsi="Arial" w:cs="Arial"/>
        </w:rPr>
        <w:br/>
      </w:r>
    </w:p>
    <w:p w14:paraId="14929AA0" w14:textId="77777777" w:rsidR="00691338" w:rsidRPr="00D507E5" w:rsidRDefault="00000000" w:rsidP="00D507E5">
      <w:pPr>
        <w:ind w:right="-1080"/>
        <w:rPr>
          <w:rFonts w:ascii="Arial" w:hAnsi="Arial" w:cs="Arial"/>
        </w:rPr>
      </w:pPr>
      <w:r w:rsidRPr="00D507E5">
        <w:rPr>
          <w:rFonts w:ascii="Arial" w:hAnsi="Arial" w:cs="Arial"/>
        </w:rPr>
        <w:br/>
        <w:t>5.5 Risk Evaluation and Strategic Fit</w:t>
      </w:r>
      <w:r w:rsidRPr="00D507E5">
        <w:rPr>
          <w:rFonts w:ascii="Arial" w:hAnsi="Arial" w:cs="Arial"/>
        </w:rPr>
        <w:br/>
      </w:r>
      <w:r w:rsidRPr="00D507E5">
        <w:rPr>
          <w:rFonts w:ascii="Arial" w:hAnsi="Arial" w:cs="Arial"/>
        </w:rPr>
        <w:br/>
        <w:t>In addition to financial performance, it is critical to assess the broader risks and strategic alignment of the proposed investment projects to ensure Costcuttur selects an option that supports its long-term recovery. While numerical appraisal provides valuable insight, qualitative factors—including operational feasibility, market conditions, and alignment with restructuring goals—play an equally important role in investment decision-making.</w:t>
      </w:r>
      <w:r w:rsidRPr="00D507E5">
        <w:rPr>
          <w:rFonts w:ascii="Arial" w:hAnsi="Arial" w:cs="Arial"/>
        </w:rPr>
        <w:br/>
      </w:r>
      <w:r w:rsidRPr="00D507E5">
        <w:rPr>
          <w:rFonts w:ascii="Arial" w:hAnsi="Arial" w:cs="Arial"/>
        </w:rPr>
        <w:br/>
        <w:t xml:space="preserve">Project A carries moderate operational and financial risk. Its cash inflows are stable, and the project </w:t>
      </w:r>
      <w:r w:rsidRPr="00D507E5">
        <w:rPr>
          <w:rFonts w:ascii="Arial" w:hAnsi="Arial" w:cs="Arial"/>
        </w:rPr>
        <w:lastRenderedPageBreak/>
        <w:t>offers relatively predictable returns. However, its value creation potential is limited compared to Project C, and its contribution to Costcuttur’s broader turnaround strategy is less pronounced. As such, while Project A is a safe option, it may not deliver the transformative impact required to support long-term growth.</w:t>
      </w:r>
      <w:r w:rsidRPr="00D507E5">
        <w:rPr>
          <w:rFonts w:ascii="Arial" w:hAnsi="Arial" w:cs="Arial"/>
        </w:rPr>
        <w:br/>
      </w:r>
      <w:r w:rsidRPr="00D507E5">
        <w:rPr>
          <w:rFonts w:ascii="Arial" w:hAnsi="Arial" w:cs="Arial"/>
        </w:rPr>
        <w:br/>
        <w:t>Project B displays the lowest financial return and does not strategically contribute to Costcuttur’s organisational recovery. Although low-risk due to uniform annual inflows, its limited profitability means it would not significantly enhance liquidity, operational capacity, or shareholder value. Given the company’s constrained financial position, investing in a low-return project would not be an efficient use of scarce capital.</w:t>
      </w:r>
      <w:r w:rsidRPr="00D507E5">
        <w:rPr>
          <w:rFonts w:ascii="Arial" w:hAnsi="Arial" w:cs="Arial"/>
        </w:rPr>
        <w:br/>
      </w:r>
      <w:r w:rsidRPr="00D507E5">
        <w:rPr>
          <w:rFonts w:ascii="Arial" w:hAnsi="Arial" w:cs="Arial"/>
        </w:rPr>
        <w:br/>
        <w:t>Project C involves higher short-term uncertainty due to its uneven cash-flow pattern, with substantial inflows occurring in Years 3 and 4. However, this volatility is balanced by superior overall returns and stronger long-term value creation. The project aligns closely with Costcuttur’s strategic priorities, particularly improving operational efficiency, supporting digital transformation, enhancing supply chain capabilities, and increasing competitive advantage. These factors are essential elements of the company’s restructuring and turnaround plan.</w:t>
      </w:r>
      <w:r w:rsidRPr="00D507E5">
        <w:rPr>
          <w:rFonts w:ascii="Arial" w:hAnsi="Arial" w:cs="Arial"/>
        </w:rPr>
        <w:br/>
      </w:r>
      <w:r w:rsidRPr="00D507E5">
        <w:rPr>
          <w:rFonts w:ascii="Arial" w:hAnsi="Arial" w:cs="Arial"/>
        </w:rPr>
        <w:br/>
        <w:t>From a strategic perspective, Project C also offers resilience benefits by creating opportunities for market differentiation and efficiency gains. Its higher NPV, IRR, and profitability indices indicate that it will generate significantly greater value over time, enabling Costcuttur to strengthen liquidity, reduce dependence on debt financing, and rebuild investor confidence.</w:t>
      </w:r>
      <w:r w:rsidRPr="00D507E5">
        <w:rPr>
          <w:rFonts w:ascii="Arial" w:hAnsi="Arial" w:cs="Arial"/>
        </w:rPr>
        <w:br/>
      </w:r>
      <w:r w:rsidRPr="00D507E5">
        <w:rPr>
          <w:rFonts w:ascii="Arial" w:hAnsi="Arial" w:cs="Arial"/>
        </w:rPr>
        <w:br/>
        <w:t>Overall, despite its higher short-term risk, **Project C offers the best combination of financial performance, strategic alignment, and long-term value creation**. It represents the most appropriate investment choice to support Costcuttur’s organisational restructuring, operational transformation, and sustainable growth trajectory.</w:t>
      </w:r>
      <w:r w:rsidRPr="00D507E5">
        <w:rPr>
          <w:rFonts w:ascii="Arial" w:hAnsi="Arial" w:cs="Arial"/>
        </w:rPr>
        <w:br/>
      </w:r>
    </w:p>
    <w:p w14:paraId="5742ACC9" w14:textId="77777777" w:rsidR="00691338" w:rsidRDefault="00000000" w:rsidP="00D507E5">
      <w:pPr>
        <w:ind w:right="-1080"/>
        <w:rPr>
          <w:rFonts w:ascii="Arial" w:hAnsi="Arial" w:cs="Arial"/>
        </w:rPr>
      </w:pPr>
      <w:r w:rsidRPr="00D507E5">
        <w:rPr>
          <w:rFonts w:ascii="Arial" w:hAnsi="Arial" w:cs="Arial"/>
        </w:rPr>
        <w:br/>
        <w:t>6. Conclusion</w:t>
      </w:r>
      <w:r w:rsidRPr="00D507E5">
        <w:rPr>
          <w:rFonts w:ascii="Arial" w:hAnsi="Arial" w:cs="Arial"/>
        </w:rPr>
        <w:br/>
      </w:r>
      <w:r w:rsidRPr="00D507E5">
        <w:rPr>
          <w:rFonts w:ascii="Arial" w:hAnsi="Arial" w:cs="Arial"/>
        </w:rPr>
        <w:br/>
        <w:t>This report has conducted a comprehensive financial assessment of Costcuttur, identifying significant challenges across profitability, liquidity, efficiency, and capital structure. Ratio analysis and trend evaluation reveal declining margins, rising leverage, inefficient asset utilisation, and an extended Cash Conversion Cycle, all indicating severe operational and financial distress. The Altman Z-score further confirmed that the company is positioned within the Grey Zone, signalling heightened risk of insolvency without immediate intervention.</w:t>
      </w:r>
      <w:r w:rsidRPr="00D507E5">
        <w:rPr>
          <w:rFonts w:ascii="Arial" w:hAnsi="Arial" w:cs="Arial"/>
        </w:rPr>
        <w:br/>
      </w:r>
      <w:r w:rsidRPr="00D507E5">
        <w:rPr>
          <w:rFonts w:ascii="Arial" w:hAnsi="Arial" w:cs="Arial"/>
        </w:rPr>
        <w:br/>
        <w:t>Working capital analysis highlighted major inefficiencies in inventory management, receivables collection, and supplier payment practices, which collectively constrain liquidity and weaken operational flexibility. To address these issues, the report proposed targeted working capital reforms including inventory rationalisation, improved credit control, strategic payables management, and enhanced cash governance.</w:t>
      </w:r>
      <w:r w:rsidRPr="00D507E5">
        <w:rPr>
          <w:rFonts w:ascii="Arial" w:hAnsi="Arial" w:cs="Arial"/>
        </w:rPr>
        <w:br/>
      </w:r>
      <w:r w:rsidRPr="00D507E5">
        <w:rPr>
          <w:rFonts w:ascii="Arial" w:hAnsi="Arial" w:cs="Arial"/>
        </w:rPr>
        <w:lastRenderedPageBreak/>
        <w:br/>
        <w:t>A strategic restructuring plan was developed to stabilise Costcuttur’s financial position. Key priorities include strengthening liquidity, optimising the capital structure through debt refinancing and equity injection, divesting non-core assets, and enhancing operational efficiency through automation and supply chain modernisation. Ethical, international, and corporate governance considerations were also integrated to support sustainable recovery.</w:t>
      </w:r>
      <w:r w:rsidRPr="00D507E5">
        <w:rPr>
          <w:rFonts w:ascii="Arial" w:hAnsi="Arial" w:cs="Arial"/>
        </w:rPr>
        <w:br/>
      </w:r>
      <w:r w:rsidRPr="00D507E5">
        <w:rPr>
          <w:rFonts w:ascii="Arial" w:hAnsi="Arial" w:cs="Arial"/>
        </w:rPr>
        <w:br/>
        <w:t>The investment appraisal of three proposed projects demonstrated that Project C provides the strongest financial performance, highest long-term value creation, and best strategic alignment under capital rationing constraints. Despite moderate cash-flow volatility, its superior NPV, IRR, ARR, and payback period make it the optimal choice.</w:t>
      </w:r>
      <w:r w:rsidRPr="00D507E5">
        <w:rPr>
          <w:rFonts w:ascii="Arial" w:hAnsi="Arial" w:cs="Arial"/>
        </w:rPr>
        <w:br/>
      </w:r>
      <w:r w:rsidRPr="00D507E5">
        <w:rPr>
          <w:rFonts w:ascii="Arial" w:hAnsi="Arial" w:cs="Arial"/>
        </w:rPr>
        <w:br/>
        <w:t>Overall, the findings underscore the need for decisive restructuring, disciplined financial management, and strategic investment to restore Costcuttur’s long-term viability and competitiveness.</w:t>
      </w:r>
      <w:r w:rsidRPr="00D507E5">
        <w:rPr>
          <w:rFonts w:ascii="Arial" w:hAnsi="Arial" w:cs="Arial"/>
        </w:rPr>
        <w:br/>
      </w:r>
    </w:p>
    <w:p w14:paraId="402CC680" w14:textId="77777777" w:rsidR="00D507E5" w:rsidRDefault="00D507E5" w:rsidP="00D507E5">
      <w:pPr>
        <w:ind w:right="-1080"/>
        <w:rPr>
          <w:rFonts w:ascii="Arial" w:hAnsi="Arial" w:cs="Arial"/>
        </w:rPr>
      </w:pPr>
    </w:p>
    <w:p w14:paraId="642DC329" w14:textId="77777777" w:rsidR="00D507E5" w:rsidRDefault="00D507E5" w:rsidP="00D507E5">
      <w:pPr>
        <w:ind w:right="-1080"/>
        <w:rPr>
          <w:rFonts w:ascii="Arial" w:hAnsi="Arial" w:cs="Arial"/>
        </w:rPr>
      </w:pPr>
    </w:p>
    <w:p w14:paraId="343795F9" w14:textId="77777777" w:rsidR="00D507E5" w:rsidRDefault="00D507E5" w:rsidP="00D507E5">
      <w:pPr>
        <w:ind w:right="-1080"/>
        <w:rPr>
          <w:rFonts w:ascii="Arial" w:hAnsi="Arial" w:cs="Arial"/>
        </w:rPr>
      </w:pPr>
    </w:p>
    <w:p w14:paraId="21D3988D" w14:textId="77777777" w:rsidR="00D507E5" w:rsidRDefault="00D507E5" w:rsidP="00D507E5">
      <w:pPr>
        <w:ind w:right="-1080"/>
        <w:rPr>
          <w:rFonts w:ascii="Arial" w:hAnsi="Arial" w:cs="Arial"/>
        </w:rPr>
      </w:pPr>
    </w:p>
    <w:p w14:paraId="2D54BD65" w14:textId="77777777" w:rsidR="00D507E5" w:rsidRDefault="00D507E5" w:rsidP="00D507E5">
      <w:pPr>
        <w:ind w:right="-1080"/>
        <w:rPr>
          <w:rFonts w:ascii="Arial" w:hAnsi="Arial" w:cs="Arial"/>
        </w:rPr>
      </w:pPr>
    </w:p>
    <w:p w14:paraId="43D3DA74" w14:textId="77777777" w:rsidR="00D507E5" w:rsidRDefault="00D507E5" w:rsidP="00D507E5">
      <w:pPr>
        <w:ind w:right="-1080"/>
        <w:rPr>
          <w:rFonts w:ascii="Arial" w:hAnsi="Arial" w:cs="Arial"/>
        </w:rPr>
      </w:pPr>
    </w:p>
    <w:p w14:paraId="3EC2842E" w14:textId="77777777" w:rsidR="00D507E5" w:rsidRDefault="00D507E5" w:rsidP="00D507E5">
      <w:pPr>
        <w:ind w:right="-1080"/>
        <w:rPr>
          <w:rFonts w:ascii="Arial" w:hAnsi="Arial" w:cs="Arial"/>
        </w:rPr>
      </w:pPr>
    </w:p>
    <w:p w14:paraId="3AE3DD19" w14:textId="77777777" w:rsidR="00D507E5" w:rsidRDefault="00D507E5" w:rsidP="00D507E5">
      <w:pPr>
        <w:ind w:right="-1080"/>
        <w:rPr>
          <w:rFonts w:ascii="Arial" w:hAnsi="Arial" w:cs="Arial"/>
        </w:rPr>
      </w:pPr>
    </w:p>
    <w:p w14:paraId="3F54DDDE" w14:textId="77777777" w:rsidR="00D507E5" w:rsidRDefault="00D507E5" w:rsidP="00D507E5">
      <w:pPr>
        <w:ind w:right="-1080"/>
        <w:rPr>
          <w:rFonts w:ascii="Arial" w:hAnsi="Arial" w:cs="Arial"/>
        </w:rPr>
      </w:pPr>
    </w:p>
    <w:p w14:paraId="1430B9D7" w14:textId="77777777" w:rsidR="00D507E5" w:rsidRDefault="00D507E5" w:rsidP="00D507E5">
      <w:pPr>
        <w:ind w:right="-1080"/>
        <w:rPr>
          <w:rFonts w:ascii="Arial" w:hAnsi="Arial" w:cs="Arial"/>
        </w:rPr>
      </w:pPr>
    </w:p>
    <w:p w14:paraId="7F52241E" w14:textId="77777777" w:rsidR="00D507E5" w:rsidRDefault="00D507E5" w:rsidP="00D507E5">
      <w:pPr>
        <w:ind w:right="-1080"/>
        <w:rPr>
          <w:rFonts w:ascii="Arial" w:hAnsi="Arial" w:cs="Arial"/>
        </w:rPr>
      </w:pPr>
    </w:p>
    <w:p w14:paraId="7EFF594B" w14:textId="77777777" w:rsidR="00D507E5" w:rsidRDefault="00D507E5" w:rsidP="00D507E5">
      <w:pPr>
        <w:ind w:right="-1080"/>
        <w:rPr>
          <w:rFonts w:ascii="Arial" w:hAnsi="Arial" w:cs="Arial"/>
        </w:rPr>
      </w:pPr>
    </w:p>
    <w:p w14:paraId="2D09C4AA" w14:textId="77777777" w:rsidR="00D507E5" w:rsidRDefault="00D507E5" w:rsidP="00D507E5">
      <w:pPr>
        <w:ind w:right="-1080"/>
        <w:rPr>
          <w:rFonts w:ascii="Arial" w:hAnsi="Arial" w:cs="Arial"/>
        </w:rPr>
      </w:pPr>
    </w:p>
    <w:p w14:paraId="72291F25" w14:textId="77777777" w:rsidR="00D507E5" w:rsidRDefault="00D507E5" w:rsidP="00D507E5">
      <w:pPr>
        <w:ind w:right="-1080"/>
        <w:rPr>
          <w:rFonts w:ascii="Arial" w:hAnsi="Arial" w:cs="Arial"/>
        </w:rPr>
      </w:pPr>
    </w:p>
    <w:p w14:paraId="5043269A" w14:textId="77777777" w:rsidR="00D507E5" w:rsidRDefault="00D507E5" w:rsidP="00D507E5">
      <w:pPr>
        <w:ind w:right="-1080"/>
        <w:rPr>
          <w:rFonts w:ascii="Arial" w:hAnsi="Arial" w:cs="Arial"/>
        </w:rPr>
      </w:pPr>
    </w:p>
    <w:p w14:paraId="4CE158AF" w14:textId="77777777" w:rsidR="00D507E5" w:rsidRPr="00D507E5" w:rsidRDefault="00D507E5" w:rsidP="00D507E5">
      <w:pPr>
        <w:ind w:right="-1080"/>
        <w:rPr>
          <w:rFonts w:ascii="Arial" w:hAnsi="Arial" w:cs="Arial"/>
        </w:rPr>
      </w:pPr>
    </w:p>
    <w:p w14:paraId="33EB91DB" w14:textId="77777777" w:rsidR="00691338" w:rsidRPr="00D507E5" w:rsidRDefault="00000000" w:rsidP="00D507E5">
      <w:pPr>
        <w:ind w:right="-1080"/>
        <w:rPr>
          <w:rFonts w:ascii="Arial" w:hAnsi="Arial" w:cs="Arial"/>
        </w:rPr>
      </w:pPr>
      <w:r w:rsidRPr="00D507E5">
        <w:rPr>
          <w:rFonts w:ascii="Arial" w:hAnsi="Arial" w:cs="Arial"/>
        </w:rPr>
        <w:lastRenderedPageBreak/>
        <w:br/>
      </w:r>
      <w:bookmarkStart w:id="3" w:name="_Toc214838961"/>
      <w:r w:rsidRPr="00D507E5">
        <w:rPr>
          <w:rStyle w:val="Heading1Char"/>
        </w:rPr>
        <w:t>References</w:t>
      </w:r>
      <w:bookmarkEnd w:id="3"/>
      <w:r w:rsidRPr="00D507E5">
        <w:rPr>
          <w:rStyle w:val="Heading1Char"/>
        </w:rPr>
        <w:br/>
      </w:r>
      <w:r w:rsidRPr="00D507E5">
        <w:rPr>
          <w:rFonts w:ascii="Arial" w:hAnsi="Arial" w:cs="Arial"/>
        </w:rPr>
        <w:br/>
        <w:t>Abubakar, M. &amp; Anyonje, E. (2025). Financial distress prediction in retail organisations. Journal of Finance and Retail Management, 12(2), 54–69.</w:t>
      </w:r>
      <w:r w:rsidRPr="00D507E5">
        <w:rPr>
          <w:rFonts w:ascii="Arial" w:hAnsi="Arial" w:cs="Arial"/>
        </w:rPr>
        <w:br/>
      </w:r>
      <w:r w:rsidRPr="00D507E5">
        <w:rPr>
          <w:rFonts w:ascii="Arial" w:hAnsi="Arial" w:cs="Arial"/>
        </w:rPr>
        <w:br/>
        <w:t>Akgün, A. &amp; Memiş Karataş, H. (2020). Working capital strategies and firm performance. International Journal of Accounting and Finance, 8(3), 213–227.</w:t>
      </w:r>
      <w:r w:rsidRPr="00D507E5">
        <w:rPr>
          <w:rFonts w:ascii="Arial" w:hAnsi="Arial" w:cs="Arial"/>
        </w:rPr>
        <w:br/>
      </w:r>
      <w:r w:rsidRPr="00D507E5">
        <w:rPr>
          <w:rFonts w:ascii="Arial" w:hAnsi="Arial" w:cs="Arial"/>
        </w:rPr>
        <w:br/>
        <w:t>Asman, N., Rahman, R., &amp; Idris, K. (2022). Inventory efficiency and financial sustainability in retail firms. Retail Economics Review, 14(1), 44–59.</w:t>
      </w:r>
      <w:r w:rsidRPr="00D507E5">
        <w:rPr>
          <w:rFonts w:ascii="Arial" w:hAnsi="Arial" w:cs="Arial"/>
        </w:rPr>
        <w:br/>
      </w:r>
      <w:r w:rsidRPr="00D507E5">
        <w:rPr>
          <w:rFonts w:ascii="Arial" w:hAnsi="Arial" w:cs="Arial"/>
        </w:rPr>
        <w:br/>
        <w:t>Bintara, R. (2020). Working capital management and organisational liquidity. Asian Journal of Business Studies, 6(2), 88–97.</w:t>
      </w:r>
      <w:r w:rsidRPr="00D507E5">
        <w:rPr>
          <w:rFonts w:ascii="Arial" w:hAnsi="Arial" w:cs="Arial"/>
        </w:rPr>
        <w:br/>
      </w:r>
      <w:r w:rsidRPr="00D507E5">
        <w:rPr>
          <w:rFonts w:ascii="Arial" w:hAnsi="Arial" w:cs="Arial"/>
        </w:rPr>
        <w:br/>
        <w:t>Bozsik, N. &amp; Szemán, J. (2023). Financial ratio patterns and corporate failure indicators. European Journal of Business Analysis, 11(4), 201–219.</w:t>
      </w:r>
      <w:r w:rsidRPr="00D507E5">
        <w:rPr>
          <w:rFonts w:ascii="Arial" w:hAnsi="Arial" w:cs="Arial"/>
        </w:rPr>
        <w:br/>
      </w:r>
      <w:r w:rsidRPr="00D507E5">
        <w:rPr>
          <w:rFonts w:ascii="Arial" w:hAnsi="Arial" w:cs="Arial"/>
        </w:rPr>
        <w:br/>
        <w:t>Byoun, S. &amp; Rhim, J. (2011). Pecking order theory revisited: Evidence from corporate financing behaviour. Journal of Corporate Finance, 17(2), 238–259.</w:t>
      </w:r>
      <w:r w:rsidRPr="00D507E5">
        <w:rPr>
          <w:rFonts w:ascii="Arial" w:hAnsi="Arial" w:cs="Arial"/>
        </w:rPr>
        <w:br/>
      </w:r>
      <w:r w:rsidRPr="00D507E5">
        <w:rPr>
          <w:rFonts w:ascii="Arial" w:hAnsi="Arial" w:cs="Arial"/>
        </w:rPr>
        <w:br/>
        <w:t>Carroll, A. (1999). Corporate social responsibility: Evolution of a definitional construct. Business &amp; Society, 38(3), 268–295.</w:t>
      </w:r>
      <w:r w:rsidRPr="00D507E5">
        <w:rPr>
          <w:rFonts w:ascii="Arial" w:hAnsi="Arial" w:cs="Arial"/>
        </w:rPr>
        <w:br/>
      </w:r>
      <w:r w:rsidRPr="00D507E5">
        <w:rPr>
          <w:rFonts w:ascii="Arial" w:hAnsi="Arial" w:cs="Arial"/>
        </w:rPr>
        <w:br/>
        <w:t>CFI Team. (2023). Altman Z-Score Formula. Corporate Finance Institute. Available at: https://corporatefinanceinstitute.com</w:t>
      </w:r>
      <w:r w:rsidRPr="00D507E5">
        <w:rPr>
          <w:rFonts w:ascii="Arial" w:hAnsi="Arial" w:cs="Arial"/>
        </w:rPr>
        <w:br/>
      </w:r>
      <w:r w:rsidRPr="00D507E5">
        <w:rPr>
          <w:rFonts w:ascii="Arial" w:hAnsi="Arial" w:cs="Arial"/>
        </w:rPr>
        <w:br/>
        <w:t>Dobbie, M., Lee, S., &amp; Kim, J. (2020). Receivables management and liquidity risk in retail chains. Journal of Working Capital Studies, 5(1), 33–47.</w:t>
      </w:r>
      <w:r w:rsidRPr="00D507E5">
        <w:rPr>
          <w:rFonts w:ascii="Arial" w:hAnsi="Arial" w:cs="Arial"/>
        </w:rPr>
        <w:br/>
      </w:r>
      <w:r w:rsidRPr="00D507E5">
        <w:rPr>
          <w:rFonts w:ascii="Arial" w:hAnsi="Arial" w:cs="Arial"/>
        </w:rPr>
        <w:br/>
        <w:t>Ertan, A., Lewellen, K., &amp; Thomas, J. (2020). The decline of margins in consumer goods firms. Journal of Financial Economics, 138(2), 342–366.</w:t>
      </w:r>
      <w:r w:rsidRPr="00D507E5">
        <w:rPr>
          <w:rFonts w:ascii="Arial" w:hAnsi="Arial" w:cs="Arial"/>
        </w:rPr>
        <w:br/>
      </w:r>
      <w:r w:rsidRPr="00D507E5">
        <w:rPr>
          <w:rFonts w:ascii="Arial" w:hAnsi="Arial" w:cs="Arial"/>
        </w:rPr>
        <w:br/>
        <w:t>Elton, E. &amp; Gruber, M. (1997). Modern Portfolio Theory and investment analysis. 6th ed. Wiley.</w:t>
      </w:r>
      <w:r w:rsidRPr="00D507E5">
        <w:rPr>
          <w:rFonts w:ascii="Arial" w:hAnsi="Arial" w:cs="Arial"/>
        </w:rPr>
        <w:br/>
      </w:r>
      <w:r w:rsidRPr="00D507E5">
        <w:rPr>
          <w:rFonts w:ascii="Arial" w:hAnsi="Arial" w:cs="Arial"/>
        </w:rPr>
        <w:br/>
        <w:t>Frank, M., Goyal, V., &amp; Shen, H. (2020). Leverage dynamics and financial distress. Journal of Financial Research, 43(1), 59–81.</w:t>
      </w:r>
      <w:r w:rsidRPr="00D507E5">
        <w:rPr>
          <w:rFonts w:ascii="Arial" w:hAnsi="Arial" w:cs="Arial"/>
        </w:rPr>
        <w:br/>
      </w:r>
      <w:r w:rsidRPr="00D507E5">
        <w:rPr>
          <w:rFonts w:ascii="Arial" w:hAnsi="Arial" w:cs="Arial"/>
        </w:rPr>
        <w:br/>
        <w:t>Huang, Y. (2021). Trade credit and liquidity performance in grocery retail. Journal of Supply Chain Finance, 9(3), 119–132.</w:t>
      </w:r>
      <w:r w:rsidRPr="00D507E5">
        <w:rPr>
          <w:rFonts w:ascii="Arial" w:hAnsi="Arial" w:cs="Arial"/>
        </w:rPr>
        <w:br/>
      </w:r>
      <w:r w:rsidRPr="00D507E5">
        <w:rPr>
          <w:rFonts w:ascii="Arial" w:hAnsi="Arial" w:cs="Arial"/>
        </w:rPr>
        <w:br/>
        <w:t>Kaplan, R. &amp; Norton, D. (1996). The Balanced Scorecard. Harvard Business School Press.</w:t>
      </w:r>
      <w:r w:rsidRPr="00D507E5">
        <w:rPr>
          <w:rFonts w:ascii="Arial" w:hAnsi="Arial" w:cs="Arial"/>
        </w:rPr>
        <w:br/>
      </w:r>
      <w:r w:rsidRPr="00D507E5">
        <w:rPr>
          <w:rFonts w:ascii="Arial" w:hAnsi="Arial" w:cs="Arial"/>
        </w:rPr>
        <w:br/>
        <w:t xml:space="preserve">Karim, M., Mamun, M., &amp; Abu, M. (2023). Cash conversion cycle efficiency and firm sustainability. </w:t>
      </w:r>
      <w:r w:rsidRPr="00D507E5">
        <w:rPr>
          <w:rFonts w:ascii="Arial" w:hAnsi="Arial" w:cs="Arial"/>
        </w:rPr>
        <w:lastRenderedPageBreak/>
        <w:t>Journal of Business Finance, 18(2), 87–103.</w:t>
      </w:r>
      <w:r w:rsidRPr="00D507E5">
        <w:rPr>
          <w:rFonts w:ascii="Arial" w:hAnsi="Arial" w:cs="Arial"/>
        </w:rPr>
        <w:br/>
      </w:r>
      <w:r w:rsidRPr="00D507E5">
        <w:rPr>
          <w:rFonts w:ascii="Arial" w:hAnsi="Arial" w:cs="Arial"/>
        </w:rPr>
        <w:br/>
        <w:t>Lazaridis, I. &amp; Tryfonidis, D. (2006). Relationship between working capital management and profitability. Journal of Financial Management &amp; Analysis, 19(1), 26–35.</w:t>
      </w:r>
      <w:r w:rsidRPr="00D507E5">
        <w:rPr>
          <w:rFonts w:ascii="Arial" w:hAnsi="Arial" w:cs="Arial"/>
        </w:rPr>
        <w:br/>
      </w:r>
      <w:r w:rsidRPr="00D507E5">
        <w:rPr>
          <w:rFonts w:ascii="Arial" w:hAnsi="Arial" w:cs="Arial"/>
        </w:rPr>
        <w:br/>
        <w:t>Lee, Y. (2023). JIT inventory models and operational efficiency. Operations &amp; Production Journal, 17(4), 301–315.</w:t>
      </w:r>
      <w:r w:rsidRPr="00D507E5">
        <w:rPr>
          <w:rFonts w:ascii="Arial" w:hAnsi="Arial" w:cs="Arial"/>
        </w:rPr>
        <w:br/>
      </w:r>
      <w:r w:rsidRPr="00D507E5">
        <w:rPr>
          <w:rFonts w:ascii="Arial" w:hAnsi="Arial" w:cs="Arial"/>
        </w:rPr>
        <w:br/>
        <w:t>Nyagiloh, N. &amp; Kilika, J. (2020). Turnaround management strategies for distressed firms. International Journal of Strategic Management, 15(1), 77–91.</w:t>
      </w:r>
      <w:r w:rsidRPr="00D507E5">
        <w:rPr>
          <w:rFonts w:ascii="Arial" w:hAnsi="Arial" w:cs="Arial"/>
        </w:rPr>
        <w:br/>
      </w:r>
      <w:r w:rsidRPr="00D507E5">
        <w:rPr>
          <w:rFonts w:ascii="Arial" w:hAnsi="Arial" w:cs="Arial"/>
        </w:rPr>
        <w:br/>
        <w:t>Opler, T. &amp; Titman, S. (1994). Financial distress and corporate restructuring. Journal of Finance, 49(3), 1015–1040.</w:t>
      </w:r>
      <w:r w:rsidRPr="00D507E5">
        <w:rPr>
          <w:rFonts w:ascii="Arial" w:hAnsi="Arial" w:cs="Arial"/>
        </w:rPr>
        <w:br/>
      </w:r>
      <w:r w:rsidRPr="00D507E5">
        <w:rPr>
          <w:rFonts w:ascii="Arial" w:hAnsi="Arial" w:cs="Arial"/>
        </w:rPr>
        <w:br/>
        <w:t>Peng, X. &amp; Shehabi, M. (2022). Cost structures and profitability patterns in retail organisations. Retail Strategy Review, 10(2), 146–162.</w:t>
      </w:r>
      <w:r w:rsidRPr="00D507E5">
        <w:rPr>
          <w:rFonts w:ascii="Arial" w:hAnsi="Arial" w:cs="Arial"/>
        </w:rPr>
        <w:br/>
      </w:r>
      <w:r w:rsidRPr="00D507E5">
        <w:rPr>
          <w:rFonts w:ascii="Arial" w:hAnsi="Arial" w:cs="Arial"/>
        </w:rPr>
        <w:br/>
        <w:t>Rammala, J. &amp; Toerien, F. (2024). Financial leverage and risk exposure in retail firms. Journal of Corporate Risk, 6(1), 41–59.</w:t>
      </w:r>
      <w:r w:rsidRPr="00D507E5">
        <w:rPr>
          <w:rFonts w:ascii="Arial" w:hAnsi="Arial" w:cs="Arial"/>
        </w:rPr>
        <w:br/>
      </w:r>
      <w:r w:rsidRPr="00D507E5">
        <w:rPr>
          <w:rFonts w:ascii="Arial" w:hAnsi="Arial" w:cs="Arial"/>
        </w:rPr>
        <w:br/>
        <w:t>Rounaghi, M., Jarrar, H., &amp; Dana, L. (2021). Strategic financial planning in declining firms. International Review of Financial Planning, 12(3), 177–194.</w:t>
      </w:r>
      <w:r w:rsidRPr="00D507E5">
        <w:rPr>
          <w:rFonts w:ascii="Arial" w:hAnsi="Arial" w:cs="Arial"/>
        </w:rPr>
        <w:br/>
      </w:r>
      <w:r w:rsidRPr="00D507E5">
        <w:rPr>
          <w:rFonts w:ascii="Arial" w:hAnsi="Arial" w:cs="Arial"/>
        </w:rPr>
        <w:br/>
        <w:t>Seth, N. (2025). Liquidity measurement tools in modern finance. Global Financial Review, 7(1), 52–66.</w:t>
      </w:r>
      <w:r w:rsidRPr="00D507E5">
        <w:rPr>
          <w:rFonts w:ascii="Arial" w:hAnsi="Arial" w:cs="Arial"/>
        </w:rPr>
        <w:br/>
      </w:r>
      <w:r w:rsidRPr="00D507E5">
        <w:rPr>
          <w:rFonts w:ascii="Arial" w:hAnsi="Arial" w:cs="Arial"/>
        </w:rPr>
        <w:br/>
        <w:t>Tadayonrad, N. &amp; Ndiaye, M. (2023). Inventory policy failures and liquidity crises. Journal of Operational Risk Analysis, 11(4), 93–115.</w:t>
      </w:r>
      <w:r w:rsidRPr="00D507E5">
        <w:rPr>
          <w:rFonts w:ascii="Arial" w:hAnsi="Arial" w:cs="Arial"/>
        </w:rPr>
        <w:br/>
      </w:r>
      <w:r w:rsidRPr="00D507E5">
        <w:rPr>
          <w:rFonts w:ascii="Arial" w:hAnsi="Arial" w:cs="Arial"/>
        </w:rPr>
        <w:br/>
        <w:t>Voutsinas, K. &amp; Werner, R. (2025). Debt structure optimisation: Revisiting trade-off theory. Journal of Corporate Finance Studies, 19(2), 65–82.</w:t>
      </w:r>
      <w:r w:rsidRPr="00D507E5">
        <w:rPr>
          <w:rFonts w:ascii="Arial" w:hAnsi="Arial" w:cs="Arial"/>
        </w:rPr>
        <w:br/>
      </w:r>
      <w:r w:rsidRPr="00D507E5">
        <w:rPr>
          <w:rFonts w:ascii="Arial" w:hAnsi="Arial" w:cs="Arial"/>
        </w:rPr>
        <w:br/>
        <w:t>Zhou, L., Xia, Y., &amp; Peng, Y. (2021). Liquidity constraints in high-volume retail operations. Journal of Financial Operations, 9(2), 121–137.</w:t>
      </w:r>
      <w:r w:rsidRPr="00D507E5">
        <w:rPr>
          <w:rFonts w:ascii="Arial" w:hAnsi="Arial" w:cs="Arial"/>
        </w:rPr>
        <w:br/>
      </w:r>
    </w:p>
    <w:p w14:paraId="6F475B8B" w14:textId="77777777" w:rsidR="00691338" w:rsidRPr="00D507E5" w:rsidRDefault="00000000" w:rsidP="00D507E5">
      <w:pPr>
        <w:ind w:right="-1080"/>
        <w:rPr>
          <w:rFonts w:ascii="Arial" w:hAnsi="Arial" w:cs="Arial"/>
        </w:rPr>
      </w:pPr>
      <w:r w:rsidRPr="00D507E5">
        <w:rPr>
          <w:rFonts w:ascii="Arial" w:hAnsi="Arial" w:cs="Arial"/>
        </w:rPr>
        <w:br w:type="page"/>
      </w:r>
    </w:p>
    <w:p w14:paraId="1F8FCD4C" w14:textId="77777777" w:rsidR="00691338" w:rsidRPr="00D507E5" w:rsidRDefault="00000000" w:rsidP="00D507E5">
      <w:pPr>
        <w:pStyle w:val="Heading1"/>
        <w:ind w:right="-1080"/>
        <w:rPr>
          <w:rFonts w:ascii="Arial" w:hAnsi="Arial" w:cs="Arial"/>
        </w:rPr>
      </w:pPr>
      <w:bookmarkStart w:id="4" w:name="_Toc214838962"/>
      <w:r w:rsidRPr="00D507E5">
        <w:rPr>
          <w:rFonts w:ascii="Arial" w:hAnsi="Arial" w:cs="Arial"/>
        </w:rPr>
        <w:lastRenderedPageBreak/>
        <w:t>Appendix D: Project Cash Flow Chart</w:t>
      </w:r>
      <w:bookmarkEnd w:id="4"/>
    </w:p>
    <w:p w14:paraId="6AC3A25E" w14:textId="77777777" w:rsidR="00691338" w:rsidRPr="00D507E5" w:rsidRDefault="00000000" w:rsidP="00D507E5">
      <w:pPr>
        <w:ind w:right="-1080"/>
        <w:rPr>
          <w:rFonts w:ascii="Arial" w:hAnsi="Arial" w:cs="Arial"/>
        </w:rPr>
      </w:pPr>
      <w:r w:rsidRPr="00D507E5">
        <w:rPr>
          <w:rFonts w:ascii="Arial" w:hAnsi="Arial" w:cs="Arial"/>
        </w:rPr>
        <w:t>The chart below illustrates the comparative annual cash inflows of Projects A, B, and C.</w:t>
      </w:r>
    </w:p>
    <w:p w14:paraId="6E38CE1B" w14:textId="77777777" w:rsidR="00691338" w:rsidRPr="00D507E5" w:rsidRDefault="00000000" w:rsidP="00D507E5">
      <w:pPr>
        <w:ind w:right="-1080"/>
        <w:rPr>
          <w:rFonts w:ascii="Arial" w:hAnsi="Arial" w:cs="Arial"/>
        </w:rPr>
      </w:pPr>
      <w:r w:rsidRPr="00D507E5">
        <w:rPr>
          <w:rFonts w:ascii="Arial" w:hAnsi="Arial" w:cs="Arial"/>
          <w:noProof/>
        </w:rPr>
        <w:drawing>
          <wp:inline distT="0" distB="0" distL="0" distR="0" wp14:anchorId="57323BD6" wp14:editId="3D2E6393">
            <wp:extent cx="5486400" cy="351602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roject_cashflows.png"/>
                    <pic:cNvPicPr/>
                  </pic:nvPicPr>
                  <pic:blipFill>
                    <a:blip r:embed="rId9"/>
                    <a:stretch>
                      <a:fillRect/>
                    </a:stretch>
                  </pic:blipFill>
                  <pic:spPr>
                    <a:xfrm>
                      <a:off x="0" y="0"/>
                      <a:ext cx="5486400" cy="3516022"/>
                    </a:xfrm>
                    <a:prstGeom prst="rect">
                      <a:avLst/>
                    </a:prstGeom>
                  </pic:spPr>
                </pic:pic>
              </a:graphicData>
            </a:graphic>
          </wp:inline>
        </w:drawing>
      </w:r>
    </w:p>
    <w:p w14:paraId="1447D979" w14:textId="77777777" w:rsidR="00691338" w:rsidRPr="00D507E5" w:rsidRDefault="00000000" w:rsidP="00D507E5">
      <w:pPr>
        <w:ind w:right="-1080"/>
        <w:rPr>
          <w:rFonts w:ascii="Arial" w:hAnsi="Arial" w:cs="Arial"/>
        </w:rPr>
      </w:pPr>
      <w:r w:rsidRPr="00D507E5">
        <w:rPr>
          <w:rFonts w:ascii="Arial" w:hAnsi="Arial" w:cs="Arial"/>
        </w:rPr>
        <w:br w:type="page"/>
      </w:r>
    </w:p>
    <w:p w14:paraId="236EAD95" w14:textId="77777777" w:rsidR="00691338" w:rsidRPr="00D507E5" w:rsidRDefault="00000000" w:rsidP="00D507E5">
      <w:pPr>
        <w:pStyle w:val="Heading1"/>
        <w:ind w:right="-1080"/>
        <w:rPr>
          <w:rFonts w:ascii="Arial" w:hAnsi="Arial" w:cs="Arial"/>
        </w:rPr>
      </w:pPr>
      <w:bookmarkStart w:id="5" w:name="_Toc214838963"/>
      <w:r w:rsidRPr="00D507E5">
        <w:rPr>
          <w:rFonts w:ascii="Arial" w:hAnsi="Arial" w:cs="Arial"/>
        </w:rPr>
        <w:lastRenderedPageBreak/>
        <w:t>Appendix E: Additional Charts</w:t>
      </w:r>
      <w:bookmarkEnd w:id="5"/>
    </w:p>
    <w:p w14:paraId="6805F090" w14:textId="77777777" w:rsidR="00691338" w:rsidRPr="00D507E5" w:rsidRDefault="00000000" w:rsidP="00D507E5">
      <w:pPr>
        <w:pStyle w:val="Heading2"/>
        <w:ind w:right="-1080"/>
        <w:rPr>
          <w:rFonts w:ascii="Arial" w:hAnsi="Arial" w:cs="Arial"/>
        </w:rPr>
      </w:pPr>
      <w:bookmarkStart w:id="6" w:name="_Toc214838964"/>
      <w:r w:rsidRPr="00D507E5">
        <w:rPr>
          <w:rFonts w:ascii="Arial" w:hAnsi="Arial" w:cs="Arial"/>
        </w:rPr>
        <w:t>1. Inventory Days Trend (2020–2024)</w:t>
      </w:r>
      <w:bookmarkEnd w:id="6"/>
    </w:p>
    <w:p w14:paraId="46EAB06F" w14:textId="77777777" w:rsidR="00691338" w:rsidRPr="00D507E5" w:rsidRDefault="00000000" w:rsidP="00D507E5">
      <w:pPr>
        <w:ind w:right="-1080"/>
        <w:rPr>
          <w:rFonts w:ascii="Arial" w:hAnsi="Arial" w:cs="Arial"/>
        </w:rPr>
      </w:pPr>
      <w:r w:rsidRPr="00D507E5">
        <w:rPr>
          <w:rFonts w:ascii="Arial" w:hAnsi="Arial" w:cs="Arial"/>
          <w:noProof/>
        </w:rPr>
        <w:drawing>
          <wp:inline distT="0" distB="0" distL="0" distR="0" wp14:anchorId="37AEC848" wp14:editId="47464FBE">
            <wp:extent cx="5486400" cy="353868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nventory_days_chart.png"/>
                    <pic:cNvPicPr/>
                  </pic:nvPicPr>
                  <pic:blipFill>
                    <a:blip r:embed="rId10"/>
                    <a:stretch>
                      <a:fillRect/>
                    </a:stretch>
                  </pic:blipFill>
                  <pic:spPr>
                    <a:xfrm>
                      <a:off x="0" y="0"/>
                      <a:ext cx="5486400" cy="3538680"/>
                    </a:xfrm>
                    <a:prstGeom prst="rect">
                      <a:avLst/>
                    </a:prstGeom>
                  </pic:spPr>
                </pic:pic>
              </a:graphicData>
            </a:graphic>
          </wp:inline>
        </w:drawing>
      </w:r>
    </w:p>
    <w:p w14:paraId="347F7049" w14:textId="77777777" w:rsidR="00691338" w:rsidRPr="00D507E5" w:rsidRDefault="00000000" w:rsidP="00D507E5">
      <w:pPr>
        <w:pStyle w:val="Heading2"/>
        <w:ind w:right="-1080"/>
        <w:rPr>
          <w:rFonts w:ascii="Arial" w:hAnsi="Arial" w:cs="Arial"/>
        </w:rPr>
      </w:pPr>
      <w:bookmarkStart w:id="7" w:name="_Toc214838965"/>
      <w:r w:rsidRPr="00D507E5">
        <w:rPr>
          <w:rFonts w:ascii="Arial" w:hAnsi="Arial" w:cs="Arial"/>
        </w:rPr>
        <w:t>2. Quick Ratio Trend (2020–2024)</w:t>
      </w:r>
      <w:bookmarkEnd w:id="7"/>
    </w:p>
    <w:p w14:paraId="180371D2" w14:textId="77777777" w:rsidR="00691338" w:rsidRPr="00D507E5" w:rsidRDefault="00000000" w:rsidP="00D507E5">
      <w:pPr>
        <w:ind w:right="-1080"/>
        <w:rPr>
          <w:rFonts w:ascii="Arial" w:hAnsi="Arial" w:cs="Arial"/>
        </w:rPr>
      </w:pPr>
      <w:r w:rsidRPr="00D507E5">
        <w:rPr>
          <w:rFonts w:ascii="Arial" w:hAnsi="Arial" w:cs="Arial"/>
          <w:noProof/>
        </w:rPr>
        <w:drawing>
          <wp:inline distT="0" distB="0" distL="0" distR="0" wp14:anchorId="6F6E00D7" wp14:editId="6A23299F">
            <wp:extent cx="5486400" cy="351602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quick_ratio_chart.png"/>
                    <pic:cNvPicPr/>
                  </pic:nvPicPr>
                  <pic:blipFill>
                    <a:blip r:embed="rId11"/>
                    <a:stretch>
                      <a:fillRect/>
                    </a:stretch>
                  </pic:blipFill>
                  <pic:spPr>
                    <a:xfrm>
                      <a:off x="0" y="0"/>
                      <a:ext cx="5486400" cy="3516022"/>
                    </a:xfrm>
                    <a:prstGeom prst="rect">
                      <a:avLst/>
                    </a:prstGeom>
                  </pic:spPr>
                </pic:pic>
              </a:graphicData>
            </a:graphic>
          </wp:inline>
        </w:drawing>
      </w:r>
    </w:p>
    <w:sectPr w:rsidR="00691338" w:rsidRPr="00D507E5" w:rsidSect="00D507E5">
      <w:footerReference w:type="default" r:id="rId12"/>
      <w:pgSz w:w="12240" w:h="15840"/>
      <w:pgMar w:top="1440" w:right="1800" w:bottom="1440" w:left="1800" w:header="720" w:footer="720" w:gutter="0"/>
      <w:pgBorders w:offsetFrom="page">
        <w:top w:val="single" w:sz="6" w:space="24" w:color="auto" w:shadow="1"/>
        <w:left w:val="single" w:sz="6" w:space="24" w:color="auto" w:shadow="1"/>
        <w:bottom w:val="single" w:sz="6" w:space="24" w:color="auto" w:shadow="1"/>
        <w:right w:val="single" w:sz="6" w:space="24" w:color="auto" w:shadow="1"/>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07707B" w14:textId="77777777" w:rsidR="00B56383" w:rsidRDefault="00B56383" w:rsidP="00D507E5">
      <w:pPr>
        <w:spacing w:after="0" w:line="240" w:lineRule="auto"/>
      </w:pPr>
      <w:r>
        <w:separator/>
      </w:r>
    </w:p>
  </w:endnote>
  <w:endnote w:type="continuationSeparator" w:id="0">
    <w:p w14:paraId="3C0BE884" w14:textId="77777777" w:rsidR="00B56383" w:rsidRDefault="00B56383" w:rsidP="00D507E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6392752"/>
      <w:docPartObj>
        <w:docPartGallery w:val="Page Numbers (Bottom of Page)"/>
        <w:docPartUnique/>
      </w:docPartObj>
    </w:sdtPr>
    <w:sdtEndPr>
      <w:rPr>
        <w:color w:val="7F7F7F" w:themeColor="background1" w:themeShade="7F"/>
        <w:spacing w:val="60"/>
      </w:rPr>
    </w:sdtEndPr>
    <w:sdtContent>
      <w:p w14:paraId="746D41AA" w14:textId="266B4192" w:rsidR="00D507E5" w:rsidRDefault="00D507E5">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2E79BA42" w14:textId="77777777" w:rsidR="00D507E5" w:rsidRDefault="00D507E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D2E617" w14:textId="77777777" w:rsidR="00B56383" w:rsidRDefault="00B56383" w:rsidP="00D507E5">
      <w:pPr>
        <w:spacing w:after="0" w:line="240" w:lineRule="auto"/>
      </w:pPr>
      <w:r>
        <w:separator/>
      </w:r>
    </w:p>
  </w:footnote>
  <w:footnote w:type="continuationSeparator" w:id="0">
    <w:p w14:paraId="1E1EFA49" w14:textId="77777777" w:rsidR="00B56383" w:rsidRDefault="00B56383" w:rsidP="00D507E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689797081">
    <w:abstractNumId w:val="8"/>
  </w:num>
  <w:num w:numId="2" w16cid:durableId="152726505">
    <w:abstractNumId w:val="6"/>
  </w:num>
  <w:num w:numId="3" w16cid:durableId="338389715">
    <w:abstractNumId w:val="5"/>
  </w:num>
  <w:num w:numId="4" w16cid:durableId="1366905910">
    <w:abstractNumId w:val="4"/>
  </w:num>
  <w:num w:numId="5" w16cid:durableId="820464112">
    <w:abstractNumId w:val="7"/>
  </w:num>
  <w:num w:numId="6" w16cid:durableId="2122525010">
    <w:abstractNumId w:val="3"/>
  </w:num>
  <w:num w:numId="7" w16cid:durableId="174266348">
    <w:abstractNumId w:val="2"/>
  </w:num>
  <w:num w:numId="8" w16cid:durableId="552542809">
    <w:abstractNumId w:val="1"/>
  </w:num>
  <w:num w:numId="9" w16cid:durableId="20794754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34616"/>
    <w:rsid w:val="0006063C"/>
    <w:rsid w:val="0015074B"/>
    <w:rsid w:val="0029639D"/>
    <w:rsid w:val="00326F90"/>
    <w:rsid w:val="00691338"/>
    <w:rsid w:val="00AA1D8D"/>
    <w:rsid w:val="00B47730"/>
    <w:rsid w:val="00B56383"/>
    <w:rsid w:val="00CB0664"/>
    <w:rsid w:val="00CE42FC"/>
    <w:rsid w:val="00D507E5"/>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7C447C12"/>
  <w14:defaultImageDpi w14:val="300"/>
  <w15:docId w15:val="{A5D1300D-C853-429D-B078-86FE680AD1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D507E5"/>
    <w:pPr>
      <w:spacing w:after="100"/>
    </w:pPr>
  </w:style>
  <w:style w:type="paragraph" w:styleId="TOC2">
    <w:name w:val="toc 2"/>
    <w:basedOn w:val="Normal"/>
    <w:next w:val="Normal"/>
    <w:autoRedefine/>
    <w:uiPriority w:val="39"/>
    <w:unhideWhenUsed/>
    <w:rsid w:val="00D507E5"/>
    <w:pPr>
      <w:spacing w:after="100"/>
      <w:ind w:left="220"/>
    </w:pPr>
  </w:style>
  <w:style w:type="character" w:styleId="Hyperlink">
    <w:name w:val="Hyperlink"/>
    <w:basedOn w:val="DefaultParagraphFont"/>
    <w:uiPriority w:val="99"/>
    <w:unhideWhenUsed/>
    <w:rsid w:val="00D507E5"/>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29</Pages>
  <Words>9243</Words>
  <Characters>52689</Characters>
  <Application>Microsoft Office Word</Application>
  <DocSecurity>0</DocSecurity>
  <Lines>439</Lines>
  <Paragraphs>123</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61809</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Nihar Devani</cp:lastModifiedBy>
  <cp:revision>2</cp:revision>
  <dcterms:created xsi:type="dcterms:W3CDTF">2013-12-23T23:15:00Z</dcterms:created>
  <dcterms:modified xsi:type="dcterms:W3CDTF">2025-11-24T01:09:00Z</dcterms:modified>
  <cp:category/>
</cp:coreProperties>
</file>