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C65511" w:rsidP="4369956E" w:rsidRDefault="50C65511" w14:paraId="7BDCC695" w14:textId="0F4F2D4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17C447BF">
        <w:drawing>
          <wp:inline wp14:editId="2E70A3A9" wp14:anchorId="245FA43E">
            <wp:extent cx="5943600" cy="2647950"/>
            <wp:effectExtent l="0" t="0" r="0" b="0"/>
            <wp:docPr id="20448174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817467" name="Picture 2044817467"/>
                    <pic:cNvPicPr/>
                  </pic:nvPicPr>
                  <pic:blipFill>
                    <a:blip xmlns:r="http://schemas.openxmlformats.org/officeDocument/2006/relationships" r:embed="rId1762004302">
                      <a:extLst>
                        <a:ext uri="{28A0092B-C50C-407E-A947-70E740481C1C}">
                          <a14:useLocalDpi xmlns:a14="http://schemas.microsoft.com/office/drawing/2010/main"/>
                        </a:ext>
                      </a:extLst>
                    </a:blip>
                    <a:stretch>
                      <a:fillRect/>
                    </a:stretch>
                  </pic:blipFill>
                  <pic:spPr>
                    <a:xfrm>
                      <a:off x="0" y="0"/>
                      <a:ext cx="5943600" cy="2647950"/>
                    </a:xfrm>
                    <a:prstGeom prst="rect">
                      <a:avLst/>
                    </a:prstGeom>
                  </pic:spPr>
                </pic:pic>
              </a:graphicData>
            </a:graphic>
          </wp:inline>
        </w:drawing>
      </w:r>
      <w:r w:rsidRPr="4369956E" w:rsidR="306B0C3F">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50C65511" w:rsidP="407E75B8" w:rsidRDefault="50C65511" w14:paraId="76725049" w14:textId="2B7DA0E7">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369956E" w:rsidRDefault="50C65511" w14:paraId="43558156" w14:textId="0C138706">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4369956E" w:rsidR="28C7B860">
        <w:rPr>
          <w:rFonts w:ascii="Arial" w:hAnsi="Arial" w:eastAsia="Arial" w:cs="Arial"/>
          <w:b w:val="1"/>
          <w:bCs w:val="1"/>
          <w:noProof w:val="0"/>
          <w:sz w:val="28"/>
          <w:szCs w:val="28"/>
          <w:lang w:val="en-US"/>
        </w:rPr>
        <w:t>“Addressing Pharmacist-Related Dispensing Errors in Low and Middle Income Countries (LMICs): A Systematic Review of Quality Improvement Strategies”</w:t>
      </w:r>
      <w:r w:rsidRPr="4369956E" w:rsidR="502F8D06">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4369956E" w:rsidR="502F8D06">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50C65511" w:rsidP="407E75B8" w:rsidRDefault="50C65511" w14:paraId="18EE1B17" w14:textId="17870424">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407E75B8" w:rsidRDefault="50C65511" w14:paraId="1E109DB6" w14:textId="48F5224F">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407E75B8" w:rsidRDefault="50C65511" w14:paraId="3A971B67" w14:textId="354F921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407E75B8" w:rsidRDefault="50C65511" w14:paraId="2B1FDC82" w14:textId="2377D69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407E75B8" w:rsidRDefault="50C65511" w14:paraId="6E365E54" w14:textId="722CBB74">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4369956E" w:rsidP="4369956E" w:rsidRDefault="4369956E" w14:paraId="2B108D28" w14:textId="24DC2C11">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407E75B8" w:rsidRDefault="50C65511" w14:paraId="1A700A50" w14:textId="7FBB4BE2">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407E75B8" w:rsidR="0D59627F">
        <w:rPr>
          <w:rFonts w:ascii="Arial" w:hAnsi="Arial" w:eastAsia="Arial" w:cs="Arial"/>
          <w:b w:val="1"/>
          <w:bCs w:val="1"/>
          <w:i w:val="0"/>
          <w:iCs w:val="0"/>
          <w:caps w:val="0"/>
          <w:smallCaps w:val="0"/>
          <w:noProof w:val="0"/>
          <w:color w:val="000000" w:themeColor="text1" w:themeTint="FF" w:themeShade="FF"/>
          <w:sz w:val="28"/>
          <w:szCs w:val="28"/>
          <w:lang w:val="en-US"/>
        </w:rPr>
        <w:t>DECLARATION</w:t>
      </w:r>
    </w:p>
    <w:p w:rsidR="50C65511" w:rsidP="78172F2F" w:rsidRDefault="50C65511" w14:paraId="0B5F0CC4" w14:textId="51C31973">
      <w:pPr>
        <w:pStyle w:val="Normal"/>
        <w:spacing w:before="240" w:beforeAutospacing="off" w:after="240" w:afterAutospacing="off"/>
        <w:jc w:val="both"/>
      </w:pPr>
      <w:r w:rsidRPr="407E75B8" w:rsidR="0D59627F">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50C65511" w:rsidP="78172F2F" w:rsidRDefault="50C65511" w14:paraId="1C56829F" w14:textId="4E7157E7">
      <w:pPr>
        <w:pStyle w:val="Normal"/>
        <w:spacing w:before="240" w:beforeAutospacing="off" w:after="240" w:afterAutospacing="off"/>
        <w:jc w:val="both"/>
      </w:pPr>
      <w:r w:rsidRPr="407E75B8" w:rsidR="0D59627F">
        <w:rPr>
          <w:rFonts w:ascii="Arial" w:hAnsi="Arial" w:eastAsia="Arial" w:cs="Arial"/>
          <w:b w:val="1"/>
          <w:bCs w:val="1"/>
          <w:i w:val="0"/>
          <w:iCs w:val="0"/>
          <w:caps w:val="0"/>
          <w:smallCaps w:val="0"/>
          <w:noProof w:val="0"/>
          <w:color w:val="000000" w:themeColor="text1" w:themeTint="FF" w:themeShade="FF"/>
          <w:sz w:val="28"/>
          <w:szCs w:val="28"/>
          <w:lang w:val="en-US"/>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50C65511" w:rsidP="407E75B8" w:rsidRDefault="50C65511" w14:paraId="4D86E5A7" w14:textId="5D4BC7BD">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407E75B8" w:rsidR="0D59627F">
        <w:rPr>
          <w:rFonts w:ascii="Arial" w:hAnsi="Arial" w:eastAsia="Arial" w:cs="Arial"/>
          <w:b w:val="1"/>
          <w:bCs w:val="1"/>
          <w:i w:val="0"/>
          <w:iCs w:val="0"/>
          <w:caps w:val="0"/>
          <w:smallCaps w:val="0"/>
          <w:noProof w:val="0"/>
          <w:color w:val="000000" w:themeColor="text1" w:themeTint="FF" w:themeShade="FF"/>
          <w:sz w:val="28"/>
          <w:szCs w:val="28"/>
          <w:lang w:val="en-US"/>
        </w:rPr>
        <w:t xml:space="preserve">Signature: Vaishnavi </w:t>
      </w:r>
      <w:r w:rsidRPr="407E75B8" w:rsidR="0D59627F">
        <w:rPr>
          <w:rFonts w:ascii="Arial" w:hAnsi="Arial" w:eastAsia="Arial" w:cs="Arial"/>
          <w:b w:val="1"/>
          <w:bCs w:val="1"/>
          <w:i w:val="0"/>
          <w:iCs w:val="0"/>
          <w:caps w:val="0"/>
          <w:smallCaps w:val="0"/>
          <w:noProof w:val="0"/>
          <w:color w:val="000000" w:themeColor="text1" w:themeTint="FF" w:themeShade="FF"/>
          <w:sz w:val="28"/>
          <w:szCs w:val="28"/>
          <w:lang w:val="en-US"/>
        </w:rPr>
        <w:t>Nawale</w:t>
      </w:r>
    </w:p>
    <w:p w:rsidR="50C65511" w:rsidP="4369956E" w:rsidRDefault="50C65511" w14:paraId="5662E482" w14:textId="2A370CFA">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4369956E" w:rsidR="19FC86FC">
        <w:rPr>
          <w:rFonts w:ascii="Arial" w:hAnsi="Arial" w:eastAsia="Arial" w:cs="Arial"/>
          <w:b w:val="1"/>
          <w:bCs w:val="1"/>
          <w:i w:val="0"/>
          <w:iCs w:val="0"/>
          <w:caps w:val="0"/>
          <w:smallCaps w:val="0"/>
          <w:noProof w:val="0"/>
          <w:color w:val="000000" w:themeColor="text1" w:themeTint="FF" w:themeShade="FF"/>
          <w:sz w:val="28"/>
          <w:szCs w:val="28"/>
          <w:lang w:val="en-US"/>
        </w:rPr>
        <w:t xml:space="preserve">Student ID: </w:t>
      </w:r>
      <w:r w:rsidRPr="4369956E" w:rsidR="70F0FD31">
        <w:rPr>
          <w:rFonts w:ascii="Arial" w:hAnsi="Arial" w:eastAsia="Arial" w:cs="Arial"/>
          <w:b w:val="1"/>
          <w:bCs w:val="1"/>
          <w:i w:val="0"/>
          <w:iCs w:val="0"/>
          <w:caps w:val="0"/>
          <w:smallCaps w:val="0"/>
          <w:noProof w:val="0"/>
          <w:color w:val="000000" w:themeColor="text1" w:themeTint="FF" w:themeShade="FF"/>
          <w:sz w:val="28"/>
          <w:szCs w:val="28"/>
          <w:lang w:val="en-US"/>
        </w:rPr>
        <w:t xml:space="preserve">2422839 </w:t>
      </w:r>
      <w:r w:rsidRPr="4369956E" w:rsidR="19FC86FC">
        <w:rPr>
          <w:rFonts w:ascii="Arial" w:hAnsi="Arial" w:eastAsia="Arial" w:cs="Arial"/>
          <w:b w:val="1"/>
          <w:bCs w:val="1"/>
          <w:i w:val="0"/>
          <w:iCs w:val="0"/>
          <w:caps w:val="0"/>
          <w:smallCaps w:val="0"/>
          <w:noProof w:val="0"/>
          <w:color w:val="000000" w:themeColor="text1" w:themeTint="FF" w:themeShade="FF"/>
          <w:sz w:val="28"/>
          <w:szCs w:val="28"/>
          <w:lang w:val="en-US"/>
        </w:rPr>
        <w:t xml:space="preserve">Date: </w:t>
      </w:r>
      <w:r w:rsidRPr="4369956E" w:rsidR="39BBE91A">
        <w:rPr>
          <w:rFonts w:ascii="Arial" w:hAnsi="Arial" w:eastAsia="Arial" w:cs="Arial"/>
          <w:b w:val="1"/>
          <w:bCs w:val="1"/>
          <w:i w:val="0"/>
          <w:iCs w:val="0"/>
          <w:caps w:val="0"/>
          <w:smallCaps w:val="0"/>
          <w:noProof w:val="0"/>
          <w:color w:val="000000" w:themeColor="text1" w:themeTint="FF" w:themeShade="FF"/>
          <w:sz w:val="28"/>
          <w:szCs w:val="28"/>
          <w:lang w:val="en-US"/>
        </w:rPr>
        <w:t>07/01/2026</w:t>
      </w:r>
    </w:p>
    <w:p w:rsidR="4369956E" w:rsidP="4369956E" w:rsidRDefault="4369956E" w14:paraId="080B9298" w14:textId="5E2B1BF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07E75B8" w:rsidRDefault="50C65511" w14:paraId="220ECB53" w14:textId="38267CD9">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07E75B8" w:rsidR="131E1E60">
        <w:rPr>
          <w:rFonts w:ascii="Arial" w:hAnsi="Arial" w:eastAsia="Arial" w:cs="Arial"/>
          <w:b w:val="1"/>
          <w:bCs w:val="1"/>
          <w:i w:val="0"/>
          <w:iCs w:val="0"/>
          <w:caps w:val="0"/>
          <w:smallCaps w:val="0"/>
          <w:noProof w:val="0"/>
          <w:color w:val="000000" w:themeColor="text1" w:themeTint="FF" w:themeShade="FF"/>
          <w:sz w:val="24"/>
          <w:szCs w:val="24"/>
          <w:lang w:val="en-US"/>
        </w:rPr>
        <w:t xml:space="preserve">ACKNOWLEDGEMENTS </w:t>
      </w:r>
    </w:p>
    <w:p w:rsidR="50C65511" w:rsidP="4369956E" w:rsidRDefault="50C65511" w14:paraId="07B28644" w14:textId="69E0D33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I would like to express my deepest gratitude to my supervisor, Dr. Fahad Khan, for his invaluable guidance, constructive feedback, and constant encouragement throughout the development of this dissertation.</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 xml:space="preserve">His </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expertise</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 xml:space="preserve"> in quality improvement and patient safety has shaped the direction of this work, and I am </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truly grateful</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opportunity to learn under his supervision.</w:t>
      </w:r>
      <w:r w:rsidRPr="4369956E" w:rsidR="34A49724">
        <w:rPr>
          <w:rFonts w:ascii="Arial" w:hAnsi="Arial" w:eastAsia="Arial" w:cs="Arial"/>
          <w:b w:val="0"/>
          <w:bCs w:val="0"/>
          <w:i w:val="0"/>
          <w:iCs w:val="0"/>
          <w:caps w:val="0"/>
          <w:smallCaps w:val="0"/>
          <w:noProof w:val="0"/>
          <w:color w:val="000000" w:themeColor="text1" w:themeTint="FF" w:themeShade="FF"/>
          <w:sz w:val="24"/>
          <w:szCs w:val="24"/>
          <w:lang w:val="en-US"/>
        </w:rPr>
        <w:t xml:space="preserve"> This achievement would not have been possible without his continued support, patience, and motivation.</w:t>
      </w:r>
    </w:p>
    <w:p w:rsidR="50C65511" w:rsidP="407E75B8" w:rsidRDefault="50C65511" w14:paraId="6C7F0C91" w14:textId="1D873C4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 xml:space="preserve">My sincere thanks also go to my </w:t>
      </w: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 xml:space="preserve"> Manager, Raheela Sheikh, whose insightful discussions, approachable leadership, and encouragement </w:t>
      </w: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greatly supported</w:t>
      </w: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 xml:space="preserve"> me during the more challenging phases of this academic journey. Her guidance has been instrumental in helping me stay focused and motivated.</w:t>
      </w:r>
    </w:p>
    <w:p w:rsidR="50C65511" w:rsidP="407E75B8" w:rsidRDefault="50C65511" w14:paraId="70722B97" w14:textId="3D4952D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I am profoundly thankful to my family, whose unwavering love and belief in me have carried me through this journey. To my parents, thank you for your constant prayers, support, and sacrifices. To my siblings, your encouragement has been a continuous source of inspiration. My heartfelt appreciation also goes to my friends, especially Shreyas and Yash, for their emotional support, academic discussions, and motivation throughout the writing of this dissertation.</w:t>
      </w:r>
    </w:p>
    <w:p w:rsidR="50C65511" w:rsidP="407E75B8" w:rsidRDefault="50C65511" w14:paraId="1CB7EA51" w14:textId="33AD674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131E1E60">
        <w:rPr>
          <w:rFonts w:ascii="Arial" w:hAnsi="Arial" w:eastAsia="Arial" w:cs="Arial"/>
          <w:b w:val="0"/>
          <w:bCs w:val="0"/>
          <w:i w:val="0"/>
          <w:iCs w:val="0"/>
          <w:caps w:val="0"/>
          <w:smallCaps w:val="0"/>
          <w:noProof w:val="0"/>
          <w:color w:val="000000" w:themeColor="text1" w:themeTint="FF" w:themeShade="FF"/>
          <w:sz w:val="24"/>
          <w:szCs w:val="24"/>
          <w:lang w:val="en-US"/>
        </w:rPr>
        <w:t>Finally, I dedicate this work to my personal growth and resilience. Despite challenges along the way, this journey has strengthened my determination and reinforced my passion for contributing to safer healthcare practices. Thank you to everyone who has played a role in helping me reach this important milestone.</w:t>
      </w:r>
    </w:p>
    <w:p w:rsidR="50C65511" w:rsidP="407E75B8" w:rsidRDefault="50C65511" w14:paraId="3B895441" w14:textId="1103EBAC">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07E75B8" w:rsidRDefault="50C65511" w14:paraId="041E77CB" w14:textId="0C99568C">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07E75B8" w:rsidR="3440164A">
        <w:rPr>
          <w:rFonts w:ascii="Arial" w:hAnsi="Arial" w:eastAsia="Arial" w:cs="Arial"/>
          <w:b w:val="1"/>
          <w:bCs w:val="1"/>
          <w:i w:val="0"/>
          <w:iCs w:val="0"/>
          <w:caps w:val="0"/>
          <w:smallCaps w:val="0"/>
          <w:noProof w:val="0"/>
          <w:color w:val="000000" w:themeColor="text1" w:themeTint="FF" w:themeShade="FF"/>
          <w:sz w:val="24"/>
          <w:szCs w:val="24"/>
          <w:lang w:val="en-US"/>
        </w:rPr>
        <w:t xml:space="preserve">ABSTRACT </w:t>
      </w:r>
    </w:p>
    <w:p w:rsidR="50C65511" w:rsidP="407E75B8" w:rsidRDefault="50C65511" w14:paraId="586BA083" w14:textId="6B835DA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Background:</w:t>
      </w:r>
    </w:p>
    <w:p w:rsidR="50C65511" w:rsidP="407E75B8" w:rsidRDefault="50C65511" w14:paraId="7BD42E6D" w14:textId="2C36BCE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dispensing errors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remain</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a significant yet under-</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challenge in Low- and Middle-Income Countries (LMICs). These errors compromise patient safety and are influenced by clinical,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cultural, and socioeconomic factors. This dissertation examines the barriers contributing to pharmacist-related dispensing errors and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identifies</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quality improvement (QI) strategies that can enhance medication safety in LMIC pharmacy settings.</w:t>
      </w:r>
    </w:p>
    <w:p w:rsidR="50C65511" w:rsidP="407E75B8" w:rsidRDefault="50C65511" w14:paraId="7D411211" w14:textId="6462B9FD">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Methods:</w:t>
      </w:r>
    </w:p>
    <w:p w:rsidR="50C65511" w:rsidP="407E75B8" w:rsidRDefault="50C65511" w14:paraId="05C952D0" w14:textId="559F6F4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literature review was conducted using ProQuest, PubMed, EBSCO, and Google Scholar. Search terms related to dispensing errors, pharmacists, LMICs, and quality improvement were applied. After screening titles, abstracts, and full texts using PRISMA guidelines, 12 qualitative studies were selected for inclusion. Thematic analysis was used to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recurring patterns, themes, and subthemes across the studies.</w:t>
      </w:r>
    </w:p>
    <w:p w:rsidR="50C65511" w:rsidP="407E75B8" w:rsidRDefault="50C65511" w14:paraId="263A7119" w14:textId="498C0EB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Results:</w:t>
      </w:r>
    </w:p>
    <w:p w:rsidR="50C65511" w:rsidP="407E75B8" w:rsidRDefault="50C65511" w14:paraId="3D98AF34" w14:textId="3D199AC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The review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four key themes influencing dispensing errors:</w:t>
      </w:r>
    </w:p>
    <w:p w:rsidR="50C65511" w:rsidP="407E75B8" w:rsidRDefault="50C65511" w14:paraId="00E073F2" w14:textId="3243AFE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Knowledge</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gaps and training deficiencies, including insufficient pharmacological knowledge and lack of structured CPD.</w:t>
      </w:r>
    </w:p>
    <w:p w:rsidR="50C65511" w:rsidP="407E75B8" w:rsidRDefault="50C65511" w14:paraId="5FBCF7DA" w14:textId="7404B3E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2. Systemic and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barriers, such as high workload, unclear prescriptions, weak SOPs, and limited supervision.</w:t>
      </w:r>
    </w:p>
    <w:p w:rsidR="50C65511" w:rsidP="407E75B8" w:rsidRDefault="50C65511" w14:paraId="52322510" w14:textId="667D739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3. Ethical and sociocultural influences, including patient pressure, fear of blame, avoidance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and moral dilemmas.</w:t>
      </w:r>
    </w:p>
    <w:p w:rsidR="50C65511" w:rsidP="407E75B8" w:rsidRDefault="50C65511" w14:paraId="2A104308" w14:textId="7BAF1F2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4. Quality improvement and technology opportunities, highlighting the potential for digital tools,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standardised</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protocols, and mandatory training to improve safety.</w:t>
      </w:r>
    </w:p>
    <w:p w:rsidR="50C65511" w:rsidP="407E75B8" w:rsidRDefault="50C65511" w14:paraId="57E18EDB" w14:textId="63F14FD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These themes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that dispensing errors arise from interconnected factors embedded within healthcare systems, professional cultures, and community contexts.</w:t>
      </w:r>
    </w:p>
    <w:p w:rsidR="50C65511" w:rsidP="4369956E" w:rsidRDefault="50C65511" w14:paraId="47282717" w14:textId="44985783">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369956E" w:rsidR="052B39B4">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50C65511" w:rsidP="407E75B8" w:rsidRDefault="50C65511" w14:paraId="63A1EA99" w14:textId="784CA91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The findings highlight the urgent need to strengthen pharmacist training, improve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structures, and promote a non-punitive safety culture in LMICs. Implementing structured QI approaches</w:t>
      </w:r>
      <w:r w:rsidRPr="407E75B8" w:rsidR="469C4E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such as PDSA cycles, technology integration, error-reporting systems, and interprofessional collaboration</w:t>
      </w:r>
      <w:r w:rsidRPr="407E75B8" w:rsidR="5C93D9E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07E75B8" w:rsidR="3440164A">
        <w:rPr>
          <w:rFonts w:ascii="Arial" w:hAnsi="Arial" w:eastAsia="Arial" w:cs="Arial"/>
          <w:b w:val="0"/>
          <w:bCs w:val="0"/>
          <w:i w:val="0"/>
          <w:iCs w:val="0"/>
          <w:caps w:val="0"/>
          <w:smallCaps w:val="0"/>
          <w:noProof w:val="0"/>
          <w:color w:val="000000" w:themeColor="text1" w:themeTint="FF" w:themeShade="FF"/>
          <w:sz w:val="24"/>
          <w:szCs w:val="24"/>
          <w:lang w:val="en-US"/>
        </w:rPr>
        <w:t>can significantly reduce dispensing errors. This study calls for coordinated action from healthcare leaders, policymakers, and pharmacy educators to enhance medication safety and support pharmacists in delivering safe and effective care.</w:t>
      </w:r>
    </w:p>
    <w:p w:rsidR="50C65511" w:rsidP="407E75B8" w:rsidRDefault="50C65511" w14:paraId="32E8287A" w14:textId="047335F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4369956E" w:rsidRDefault="50C65511" w14:paraId="39196CA7" w14:textId="595B3469">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07E75B8" w:rsidRDefault="50C65511" w14:paraId="0F6DC042" w14:textId="185640BA">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369956E" w:rsidP="4369956E" w:rsidRDefault="4369956E" w14:paraId="71C0D82C" w14:textId="6638F69A">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369956E" w:rsidP="4369956E" w:rsidRDefault="4369956E" w14:paraId="0C672B53" w14:textId="68F681CC">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07E75B8" w:rsidRDefault="50C65511" w14:paraId="3E134552" w14:textId="5266C024">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07E75B8" w:rsidR="799E8AFF">
        <w:rPr>
          <w:rFonts w:ascii="Arial" w:hAnsi="Arial" w:eastAsia="Arial" w:cs="Arial"/>
          <w:b w:val="1"/>
          <w:bCs w:val="1"/>
          <w:i w:val="0"/>
          <w:iCs w:val="0"/>
          <w:caps w:val="0"/>
          <w:smallCaps w:val="0"/>
          <w:noProof w:val="0"/>
          <w:color w:val="000000" w:themeColor="text1" w:themeTint="FF" w:themeShade="FF"/>
          <w:sz w:val="24"/>
          <w:szCs w:val="24"/>
          <w:lang w:val="en-US"/>
        </w:rPr>
        <w:t>Content of table</w:t>
      </w:r>
    </w:p>
    <w:sdt>
      <w:sdtPr>
        <w:id w:val="319716049"/>
        <w:docPartObj>
          <w:docPartGallery w:val="Table of Contents"/>
          <w:docPartUnique/>
        </w:docPartObj>
      </w:sdtPr>
      <w:sdtContent>
        <w:p w:rsidR="50C65511" w:rsidP="407E75B8" w:rsidRDefault="50C65511" w14:paraId="341395AA" w14:textId="0ACE6B91">
          <w:pPr>
            <w:pStyle w:val="TOC1"/>
            <w:tabs>
              <w:tab w:val="right" w:leader="dot" w:pos="9360"/>
            </w:tabs>
            <w:bidi w:val="0"/>
            <w:spacing w:before="240" w:beforeAutospacing="off" w:after="240" w:afterAutospacing="off"/>
            <w:rPr>
              <w:rStyle w:val="Hyperlink"/>
            </w:rPr>
          </w:pPr>
          <w:r>
            <w:fldChar w:fldCharType="begin"/>
          </w:r>
          <w:r>
            <w:instrText xml:space="preserve">TOC \o "1-9" \z \u \h</w:instrText>
          </w:r>
          <w:r>
            <w:fldChar w:fldCharType="separate"/>
          </w:r>
          <w:hyperlink w:anchor="_Toc334020690">
            <w:r w:rsidRPr="668EA0FB" w:rsidR="668EA0FB">
              <w:rPr>
                <w:rStyle w:val="Hyperlink"/>
              </w:rPr>
              <w:t>CHAPTER 1: INTRODUCTION</w:t>
            </w:r>
            <w:r>
              <w:tab/>
            </w:r>
            <w:r>
              <w:fldChar w:fldCharType="begin"/>
            </w:r>
            <w:r>
              <w:instrText xml:space="preserve">PAGEREF _Toc334020690 \h</w:instrText>
            </w:r>
            <w:r>
              <w:fldChar w:fldCharType="separate"/>
            </w:r>
            <w:r w:rsidRPr="668EA0FB" w:rsidR="668EA0FB">
              <w:rPr>
                <w:rStyle w:val="Hyperlink"/>
              </w:rPr>
              <w:t>4</w:t>
            </w:r>
            <w:r>
              <w:fldChar w:fldCharType="end"/>
            </w:r>
          </w:hyperlink>
        </w:p>
        <w:p w:rsidR="50C65511" w:rsidP="407E75B8" w:rsidRDefault="50C65511" w14:paraId="53695F53" w14:textId="6BEC24FC">
          <w:pPr>
            <w:pStyle w:val="TOC2"/>
            <w:tabs>
              <w:tab w:val="right" w:leader="dot" w:pos="9360"/>
            </w:tabs>
            <w:bidi w:val="0"/>
            <w:spacing w:before="240" w:beforeAutospacing="off" w:after="240" w:afterAutospacing="off"/>
            <w:rPr>
              <w:rStyle w:val="Hyperlink"/>
            </w:rPr>
          </w:pPr>
          <w:hyperlink w:anchor="_Toc1589931325">
            <w:r w:rsidRPr="668EA0FB" w:rsidR="668EA0FB">
              <w:rPr>
                <w:rStyle w:val="Hyperlink"/>
              </w:rPr>
              <w:t>1.1 Introduction</w:t>
            </w:r>
            <w:r>
              <w:tab/>
            </w:r>
            <w:r>
              <w:fldChar w:fldCharType="begin"/>
            </w:r>
            <w:r>
              <w:instrText xml:space="preserve">PAGEREF _Toc1589931325 \h</w:instrText>
            </w:r>
            <w:r>
              <w:fldChar w:fldCharType="separate"/>
            </w:r>
            <w:r w:rsidRPr="668EA0FB" w:rsidR="668EA0FB">
              <w:rPr>
                <w:rStyle w:val="Hyperlink"/>
              </w:rPr>
              <w:t>5</w:t>
            </w:r>
            <w:r>
              <w:fldChar w:fldCharType="end"/>
            </w:r>
          </w:hyperlink>
        </w:p>
        <w:p w:rsidR="50C65511" w:rsidP="668EA0FB" w:rsidRDefault="50C65511" w14:paraId="165C5640" w14:textId="7B9EF620">
          <w:pPr>
            <w:pStyle w:val="TOC2"/>
            <w:tabs>
              <w:tab w:val="right" w:leader="dot" w:pos="9360"/>
            </w:tabs>
            <w:bidi w:val="0"/>
            <w:spacing w:before="240" w:beforeAutospacing="off" w:after="240" w:afterAutospacing="off"/>
            <w:rPr>
              <w:rStyle w:val="Hyperlink"/>
            </w:rPr>
          </w:pPr>
          <w:hyperlink w:anchor="_Toc2147256460">
            <w:r w:rsidRPr="668EA0FB" w:rsidR="668EA0FB">
              <w:rPr>
                <w:rStyle w:val="Hyperlink"/>
              </w:rPr>
              <w:t>1.2 Background and Context</w:t>
            </w:r>
            <w:r>
              <w:tab/>
            </w:r>
            <w:r>
              <w:fldChar w:fldCharType="begin"/>
            </w:r>
            <w:r>
              <w:instrText xml:space="preserve">PAGEREF _Toc2147256460 \h</w:instrText>
            </w:r>
            <w:r>
              <w:fldChar w:fldCharType="separate"/>
            </w:r>
            <w:r w:rsidRPr="668EA0FB" w:rsidR="668EA0FB">
              <w:rPr>
                <w:rStyle w:val="Hyperlink"/>
              </w:rPr>
              <w:t>6</w:t>
            </w:r>
            <w:r>
              <w:fldChar w:fldCharType="end"/>
            </w:r>
          </w:hyperlink>
        </w:p>
        <w:p w:rsidR="50C65511" w:rsidP="668EA0FB" w:rsidRDefault="50C65511" w14:paraId="6F713BAD" w14:textId="33BFFD09">
          <w:pPr>
            <w:pStyle w:val="TOC2"/>
            <w:tabs>
              <w:tab w:val="right" w:leader="dot" w:pos="9360"/>
            </w:tabs>
            <w:bidi w:val="0"/>
            <w:spacing w:before="240" w:beforeAutospacing="off" w:after="240" w:afterAutospacing="off"/>
            <w:rPr>
              <w:rStyle w:val="Hyperlink"/>
            </w:rPr>
          </w:pPr>
          <w:hyperlink w:anchor="_Toc1276865638">
            <w:r w:rsidRPr="668EA0FB" w:rsidR="668EA0FB">
              <w:rPr>
                <w:rStyle w:val="Hyperlink"/>
              </w:rPr>
              <w:t>1.3 Why Focus on LMICs</w:t>
            </w:r>
            <w:r>
              <w:tab/>
            </w:r>
            <w:r>
              <w:fldChar w:fldCharType="begin"/>
            </w:r>
            <w:r>
              <w:instrText xml:space="preserve">PAGEREF _Toc1276865638 \h</w:instrText>
            </w:r>
            <w:r>
              <w:fldChar w:fldCharType="separate"/>
            </w:r>
            <w:r w:rsidRPr="668EA0FB" w:rsidR="668EA0FB">
              <w:rPr>
                <w:rStyle w:val="Hyperlink"/>
              </w:rPr>
              <w:t>7</w:t>
            </w:r>
            <w:r>
              <w:fldChar w:fldCharType="end"/>
            </w:r>
          </w:hyperlink>
        </w:p>
        <w:p w:rsidR="50C65511" w:rsidP="668EA0FB" w:rsidRDefault="50C65511" w14:paraId="70502900" w14:textId="4A3CB13D">
          <w:pPr>
            <w:pStyle w:val="TOC2"/>
            <w:tabs>
              <w:tab w:val="right" w:leader="dot" w:pos="9360"/>
            </w:tabs>
            <w:bidi w:val="0"/>
            <w:spacing w:before="240" w:beforeAutospacing="off" w:after="240" w:afterAutospacing="off"/>
            <w:rPr>
              <w:rStyle w:val="Hyperlink"/>
            </w:rPr>
          </w:pPr>
          <w:hyperlink w:anchor="_Toc1732374991">
            <w:r w:rsidRPr="668EA0FB" w:rsidR="668EA0FB">
              <w:rPr>
                <w:rStyle w:val="Hyperlink"/>
              </w:rPr>
              <w:t>1.4 Problem Statement</w:t>
            </w:r>
            <w:r>
              <w:tab/>
            </w:r>
            <w:r>
              <w:fldChar w:fldCharType="begin"/>
            </w:r>
            <w:r>
              <w:instrText xml:space="preserve">PAGEREF _Toc1732374991 \h</w:instrText>
            </w:r>
            <w:r>
              <w:fldChar w:fldCharType="separate"/>
            </w:r>
            <w:r w:rsidRPr="668EA0FB" w:rsidR="668EA0FB">
              <w:rPr>
                <w:rStyle w:val="Hyperlink"/>
              </w:rPr>
              <w:t>8</w:t>
            </w:r>
            <w:r>
              <w:fldChar w:fldCharType="end"/>
            </w:r>
          </w:hyperlink>
        </w:p>
        <w:p w:rsidR="50C65511" w:rsidP="668EA0FB" w:rsidRDefault="50C65511" w14:paraId="35637F82" w14:textId="2121BA0D">
          <w:pPr>
            <w:pStyle w:val="TOC2"/>
            <w:tabs>
              <w:tab w:val="right" w:leader="dot" w:pos="9360"/>
            </w:tabs>
            <w:bidi w:val="0"/>
            <w:spacing w:before="240" w:beforeAutospacing="off" w:after="240" w:afterAutospacing="off"/>
            <w:rPr>
              <w:rStyle w:val="Hyperlink"/>
            </w:rPr>
          </w:pPr>
          <w:hyperlink w:anchor="_Toc1753178224">
            <w:r w:rsidRPr="668EA0FB" w:rsidR="668EA0FB">
              <w:rPr>
                <w:rStyle w:val="Hyperlink"/>
              </w:rPr>
              <w:t>1.5 Aim of the Study</w:t>
            </w:r>
            <w:r>
              <w:tab/>
            </w:r>
            <w:r>
              <w:fldChar w:fldCharType="begin"/>
            </w:r>
            <w:r>
              <w:instrText xml:space="preserve">PAGEREF _Toc1753178224 \h</w:instrText>
            </w:r>
            <w:r>
              <w:fldChar w:fldCharType="separate"/>
            </w:r>
            <w:r w:rsidRPr="668EA0FB" w:rsidR="668EA0FB">
              <w:rPr>
                <w:rStyle w:val="Hyperlink"/>
              </w:rPr>
              <w:t>9</w:t>
            </w:r>
            <w:r>
              <w:fldChar w:fldCharType="end"/>
            </w:r>
          </w:hyperlink>
        </w:p>
        <w:p w:rsidR="50C65511" w:rsidP="668EA0FB" w:rsidRDefault="50C65511" w14:paraId="773632E1" w14:textId="1847065B">
          <w:pPr>
            <w:pStyle w:val="TOC2"/>
            <w:tabs>
              <w:tab w:val="right" w:leader="dot" w:pos="9360"/>
            </w:tabs>
            <w:bidi w:val="0"/>
            <w:spacing w:before="240" w:beforeAutospacing="off" w:after="240" w:afterAutospacing="off"/>
            <w:rPr>
              <w:rStyle w:val="Hyperlink"/>
            </w:rPr>
          </w:pPr>
          <w:hyperlink w:anchor="_Toc148085434">
            <w:r w:rsidRPr="668EA0FB" w:rsidR="668EA0FB">
              <w:rPr>
                <w:rStyle w:val="Hyperlink"/>
              </w:rPr>
              <w:t>1.6 Research Objectives</w:t>
            </w:r>
            <w:r>
              <w:tab/>
            </w:r>
            <w:r>
              <w:fldChar w:fldCharType="begin"/>
            </w:r>
            <w:r>
              <w:instrText xml:space="preserve">PAGEREF _Toc148085434 \h</w:instrText>
            </w:r>
            <w:r>
              <w:fldChar w:fldCharType="separate"/>
            </w:r>
            <w:r w:rsidRPr="668EA0FB" w:rsidR="668EA0FB">
              <w:rPr>
                <w:rStyle w:val="Hyperlink"/>
              </w:rPr>
              <w:t>9</w:t>
            </w:r>
            <w:r>
              <w:fldChar w:fldCharType="end"/>
            </w:r>
          </w:hyperlink>
        </w:p>
        <w:p w:rsidR="50C65511" w:rsidP="668EA0FB" w:rsidRDefault="50C65511" w14:paraId="2F336E72" w14:textId="76B7D784">
          <w:pPr>
            <w:pStyle w:val="TOC2"/>
            <w:tabs>
              <w:tab w:val="right" w:leader="dot" w:pos="9360"/>
            </w:tabs>
            <w:bidi w:val="0"/>
            <w:spacing w:before="240" w:beforeAutospacing="off" w:after="240" w:afterAutospacing="off"/>
            <w:rPr>
              <w:rStyle w:val="Hyperlink"/>
            </w:rPr>
          </w:pPr>
          <w:hyperlink w:anchor="_Toc1470081822">
            <w:r w:rsidRPr="668EA0FB" w:rsidR="668EA0FB">
              <w:rPr>
                <w:rStyle w:val="Hyperlink"/>
              </w:rPr>
              <w:t>1.7 Research Questions</w:t>
            </w:r>
            <w:r>
              <w:tab/>
            </w:r>
            <w:r>
              <w:fldChar w:fldCharType="begin"/>
            </w:r>
            <w:r>
              <w:instrText xml:space="preserve">PAGEREF _Toc1470081822 \h</w:instrText>
            </w:r>
            <w:r>
              <w:fldChar w:fldCharType="separate"/>
            </w:r>
            <w:r w:rsidRPr="668EA0FB" w:rsidR="668EA0FB">
              <w:rPr>
                <w:rStyle w:val="Hyperlink"/>
              </w:rPr>
              <w:t>10</w:t>
            </w:r>
            <w:r>
              <w:fldChar w:fldCharType="end"/>
            </w:r>
          </w:hyperlink>
        </w:p>
        <w:p w:rsidR="50C65511" w:rsidP="668EA0FB" w:rsidRDefault="50C65511" w14:paraId="7FF5D177" w14:textId="180AECD2">
          <w:pPr>
            <w:pStyle w:val="TOC2"/>
            <w:tabs>
              <w:tab w:val="right" w:leader="dot" w:pos="9360"/>
            </w:tabs>
            <w:bidi w:val="0"/>
            <w:spacing w:before="240" w:beforeAutospacing="off" w:after="240" w:afterAutospacing="off"/>
            <w:rPr>
              <w:rStyle w:val="Hyperlink"/>
            </w:rPr>
          </w:pPr>
          <w:hyperlink w:anchor="_Toc1685672274">
            <w:r w:rsidRPr="668EA0FB" w:rsidR="668EA0FB">
              <w:rPr>
                <w:rStyle w:val="Hyperlink"/>
              </w:rPr>
              <w:t>1.8 Significance of the Study</w:t>
            </w:r>
            <w:r>
              <w:tab/>
            </w:r>
            <w:r>
              <w:fldChar w:fldCharType="begin"/>
            </w:r>
            <w:r>
              <w:instrText xml:space="preserve">PAGEREF _Toc1685672274 \h</w:instrText>
            </w:r>
            <w:r>
              <w:fldChar w:fldCharType="separate"/>
            </w:r>
            <w:r w:rsidRPr="668EA0FB" w:rsidR="668EA0FB">
              <w:rPr>
                <w:rStyle w:val="Hyperlink"/>
              </w:rPr>
              <w:t>10</w:t>
            </w:r>
            <w:r>
              <w:fldChar w:fldCharType="end"/>
            </w:r>
          </w:hyperlink>
        </w:p>
        <w:p w:rsidR="50C65511" w:rsidP="668EA0FB" w:rsidRDefault="50C65511" w14:paraId="69D6FA3C" w14:textId="7D680400">
          <w:pPr>
            <w:pStyle w:val="TOC2"/>
            <w:tabs>
              <w:tab w:val="right" w:leader="dot" w:pos="9360"/>
            </w:tabs>
            <w:bidi w:val="0"/>
            <w:spacing w:before="240" w:beforeAutospacing="off" w:after="240" w:afterAutospacing="off"/>
            <w:rPr>
              <w:rStyle w:val="Hyperlink"/>
            </w:rPr>
          </w:pPr>
          <w:hyperlink w:anchor="_Toc1646268579">
            <w:r w:rsidRPr="668EA0FB" w:rsidR="668EA0FB">
              <w:rPr>
                <w:rStyle w:val="Hyperlink"/>
              </w:rPr>
              <w:t>1.9 Chapter Summary</w:t>
            </w:r>
            <w:r>
              <w:tab/>
            </w:r>
            <w:r>
              <w:fldChar w:fldCharType="begin"/>
            </w:r>
            <w:r>
              <w:instrText xml:space="preserve">PAGEREF _Toc1646268579 \h</w:instrText>
            </w:r>
            <w:r>
              <w:fldChar w:fldCharType="separate"/>
            </w:r>
            <w:r w:rsidRPr="668EA0FB" w:rsidR="668EA0FB">
              <w:rPr>
                <w:rStyle w:val="Hyperlink"/>
              </w:rPr>
              <w:t>11</w:t>
            </w:r>
            <w:r>
              <w:fldChar w:fldCharType="end"/>
            </w:r>
          </w:hyperlink>
        </w:p>
        <w:p w:rsidR="50C65511" w:rsidP="668EA0FB" w:rsidRDefault="50C65511" w14:paraId="6E3C18F5" w14:textId="6F47BB77">
          <w:pPr>
            <w:pStyle w:val="TOC1"/>
            <w:tabs>
              <w:tab w:val="right" w:leader="dot" w:pos="9360"/>
            </w:tabs>
            <w:bidi w:val="0"/>
            <w:spacing w:before="240" w:beforeAutospacing="off" w:after="240" w:afterAutospacing="off"/>
            <w:rPr>
              <w:rStyle w:val="Hyperlink"/>
            </w:rPr>
          </w:pPr>
          <w:hyperlink w:anchor="_Toc1911871197">
            <w:r w:rsidRPr="668EA0FB" w:rsidR="668EA0FB">
              <w:rPr>
                <w:rStyle w:val="Hyperlink"/>
              </w:rPr>
              <w:t>Chapter 2: Literature Review</w:t>
            </w:r>
            <w:r>
              <w:tab/>
            </w:r>
            <w:r>
              <w:fldChar w:fldCharType="begin"/>
            </w:r>
            <w:r>
              <w:instrText xml:space="preserve">PAGEREF _Toc1911871197 \h</w:instrText>
            </w:r>
            <w:r>
              <w:fldChar w:fldCharType="separate"/>
            </w:r>
            <w:r w:rsidRPr="668EA0FB" w:rsidR="668EA0FB">
              <w:rPr>
                <w:rStyle w:val="Hyperlink"/>
              </w:rPr>
              <w:t>12</w:t>
            </w:r>
            <w:r>
              <w:fldChar w:fldCharType="end"/>
            </w:r>
          </w:hyperlink>
        </w:p>
        <w:p w:rsidR="50C65511" w:rsidP="668EA0FB" w:rsidRDefault="50C65511" w14:paraId="193A620B" w14:textId="3FCEFC4E">
          <w:pPr>
            <w:pStyle w:val="TOC2"/>
            <w:tabs>
              <w:tab w:val="right" w:leader="dot" w:pos="9360"/>
            </w:tabs>
            <w:bidi w:val="0"/>
            <w:spacing w:before="240" w:beforeAutospacing="off" w:after="240" w:afterAutospacing="off"/>
            <w:rPr>
              <w:rStyle w:val="Hyperlink"/>
            </w:rPr>
          </w:pPr>
          <w:hyperlink w:anchor="_Toc725659954">
            <w:r w:rsidRPr="668EA0FB" w:rsidR="668EA0FB">
              <w:rPr>
                <w:rStyle w:val="Hyperlink"/>
              </w:rPr>
              <w:t>2.1 Introduction</w:t>
            </w:r>
            <w:r>
              <w:tab/>
            </w:r>
            <w:r>
              <w:fldChar w:fldCharType="begin"/>
            </w:r>
            <w:r>
              <w:instrText xml:space="preserve">PAGEREF _Toc725659954 \h</w:instrText>
            </w:r>
            <w:r>
              <w:fldChar w:fldCharType="separate"/>
            </w:r>
            <w:r w:rsidRPr="668EA0FB" w:rsidR="668EA0FB">
              <w:rPr>
                <w:rStyle w:val="Hyperlink"/>
              </w:rPr>
              <w:t>12</w:t>
            </w:r>
            <w:r>
              <w:fldChar w:fldCharType="end"/>
            </w:r>
          </w:hyperlink>
        </w:p>
        <w:p w:rsidR="50C65511" w:rsidP="668EA0FB" w:rsidRDefault="50C65511" w14:paraId="5A180CDD" w14:textId="3F0E520F">
          <w:pPr>
            <w:pStyle w:val="TOC2"/>
            <w:tabs>
              <w:tab w:val="right" w:leader="dot" w:pos="9360"/>
            </w:tabs>
            <w:bidi w:val="0"/>
            <w:spacing w:before="240" w:beforeAutospacing="off" w:after="240" w:afterAutospacing="off"/>
            <w:rPr>
              <w:rStyle w:val="Hyperlink"/>
            </w:rPr>
          </w:pPr>
          <w:hyperlink w:anchor="_Toc361550106">
            <w:r w:rsidRPr="668EA0FB" w:rsidR="668EA0FB">
              <w:rPr>
                <w:rStyle w:val="Hyperlink"/>
              </w:rPr>
              <w:t>2.2 Global burden of medication errors and patient safety priorities</w:t>
            </w:r>
            <w:r>
              <w:tab/>
            </w:r>
            <w:r>
              <w:fldChar w:fldCharType="begin"/>
            </w:r>
            <w:r>
              <w:instrText xml:space="preserve">PAGEREF _Toc361550106 \h</w:instrText>
            </w:r>
            <w:r>
              <w:fldChar w:fldCharType="separate"/>
            </w:r>
            <w:r w:rsidRPr="668EA0FB" w:rsidR="668EA0FB">
              <w:rPr>
                <w:rStyle w:val="Hyperlink"/>
              </w:rPr>
              <w:t>12</w:t>
            </w:r>
            <w:r>
              <w:fldChar w:fldCharType="end"/>
            </w:r>
          </w:hyperlink>
        </w:p>
        <w:p w:rsidR="50C65511" w:rsidP="668EA0FB" w:rsidRDefault="50C65511" w14:paraId="46121DAE" w14:textId="305730BB">
          <w:pPr>
            <w:pStyle w:val="TOC2"/>
            <w:tabs>
              <w:tab w:val="right" w:leader="dot" w:pos="9360"/>
            </w:tabs>
            <w:bidi w:val="0"/>
            <w:spacing w:before="240" w:beforeAutospacing="off" w:after="240" w:afterAutospacing="off"/>
            <w:rPr>
              <w:rStyle w:val="Hyperlink"/>
            </w:rPr>
          </w:pPr>
          <w:hyperlink w:anchor="_Toc1922174149">
            <w:r w:rsidRPr="668EA0FB" w:rsidR="668EA0FB">
              <w:rPr>
                <w:rStyle w:val="Hyperlink"/>
              </w:rPr>
              <w:t>2.3 Definition, types, and prevalence of dispensing errors</w:t>
            </w:r>
            <w:r>
              <w:tab/>
            </w:r>
            <w:r>
              <w:fldChar w:fldCharType="begin"/>
            </w:r>
            <w:r>
              <w:instrText xml:space="preserve">PAGEREF _Toc1922174149 \h</w:instrText>
            </w:r>
            <w:r>
              <w:fldChar w:fldCharType="separate"/>
            </w:r>
            <w:r w:rsidRPr="668EA0FB" w:rsidR="668EA0FB">
              <w:rPr>
                <w:rStyle w:val="Hyperlink"/>
              </w:rPr>
              <w:t>13</w:t>
            </w:r>
            <w:r>
              <w:fldChar w:fldCharType="end"/>
            </w:r>
          </w:hyperlink>
        </w:p>
        <w:p w:rsidR="50C65511" w:rsidP="668EA0FB" w:rsidRDefault="50C65511" w14:paraId="20AD3B58" w14:textId="03F6BB76">
          <w:pPr>
            <w:pStyle w:val="TOC2"/>
            <w:tabs>
              <w:tab w:val="right" w:leader="dot" w:pos="9360"/>
            </w:tabs>
            <w:bidi w:val="0"/>
            <w:spacing w:before="240" w:beforeAutospacing="off" w:after="240" w:afterAutospacing="off"/>
            <w:rPr>
              <w:rStyle w:val="Hyperlink"/>
            </w:rPr>
          </w:pPr>
          <w:hyperlink w:anchor="_Toc1612398566">
            <w:r w:rsidRPr="668EA0FB" w:rsidR="668EA0FB">
              <w:rPr>
                <w:rStyle w:val="Hyperlink"/>
              </w:rPr>
              <w:t>2.4 LMIC pharmacy contexts and system-related vulnerabilities</w:t>
            </w:r>
            <w:r>
              <w:tab/>
            </w:r>
            <w:r>
              <w:fldChar w:fldCharType="begin"/>
            </w:r>
            <w:r>
              <w:instrText xml:space="preserve">PAGEREF _Toc1612398566 \h</w:instrText>
            </w:r>
            <w:r>
              <w:fldChar w:fldCharType="separate"/>
            </w:r>
            <w:r w:rsidRPr="668EA0FB" w:rsidR="668EA0FB">
              <w:rPr>
                <w:rStyle w:val="Hyperlink"/>
              </w:rPr>
              <w:t>13</w:t>
            </w:r>
            <w:r>
              <w:fldChar w:fldCharType="end"/>
            </w:r>
          </w:hyperlink>
        </w:p>
        <w:p w:rsidR="50C65511" w:rsidP="668EA0FB" w:rsidRDefault="50C65511" w14:paraId="238194FC" w14:textId="7B9A204D">
          <w:pPr>
            <w:pStyle w:val="TOC2"/>
            <w:tabs>
              <w:tab w:val="right" w:leader="dot" w:pos="9360"/>
            </w:tabs>
            <w:bidi w:val="0"/>
            <w:spacing w:before="240" w:beforeAutospacing="off" w:after="240" w:afterAutospacing="off"/>
            <w:rPr>
              <w:rStyle w:val="Hyperlink"/>
            </w:rPr>
          </w:pPr>
          <w:hyperlink w:anchor="_Toc2026322620">
            <w:r w:rsidRPr="668EA0FB" w:rsidR="668EA0FB">
              <w:rPr>
                <w:rStyle w:val="Hyperlink"/>
              </w:rPr>
              <w:t>2.5 Human factors and organisational contributors to dispensing errors</w:t>
            </w:r>
            <w:r>
              <w:tab/>
            </w:r>
            <w:r>
              <w:fldChar w:fldCharType="begin"/>
            </w:r>
            <w:r>
              <w:instrText xml:space="preserve">PAGEREF _Toc2026322620 \h</w:instrText>
            </w:r>
            <w:r>
              <w:fldChar w:fldCharType="separate"/>
            </w:r>
            <w:r w:rsidRPr="668EA0FB" w:rsidR="668EA0FB">
              <w:rPr>
                <w:rStyle w:val="Hyperlink"/>
              </w:rPr>
              <w:t>14</w:t>
            </w:r>
            <w:r>
              <w:fldChar w:fldCharType="end"/>
            </w:r>
          </w:hyperlink>
        </w:p>
        <w:p w:rsidR="50C65511" w:rsidP="668EA0FB" w:rsidRDefault="50C65511" w14:paraId="2CAD3D3C" w14:textId="7E818A77">
          <w:pPr>
            <w:pStyle w:val="TOC2"/>
            <w:tabs>
              <w:tab w:val="right" w:leader="dot" w:pos="9360"/>
            </w:tabs>
            <w:bidi w:val="0"/>
            <w:spacing w:before="240" w:beforeAutospacing="off" w:after="240" w:afterAutospacing="off"/>
            <w:rPr>
              <w:rStyle w:val="Hyperlink"/>
            </w:rPr>
          </w:pPr>
          <w:hyperlink w:anchor="_Toc439129957">
            <w:r w:rsidRPr="668EA0FB" w:rsidR="668EA0FB">
              <w:rPr>
                <w:rStyle w:val="Hyperlink"/>
              </w:rPr>
              <w:t>2.6 Sociocultural and ethical influences on dispensing practice</w:t>
            </w:r>
            <w:r>
              <w:tab/>
            </w:r>
            <w:r>
              <w:fldChar w:fldCharType="begin"/>
            </w:r>
            <w:r>
              <w:instrText xml:space="preserve">PAGEREF _Toc439129957 \h</w:instrText>
            </w:r>
            <w:r>
              <w:fldChar w:fldCharType="separate"/>
            </w:r>
            <w:r w:rsidRPr="668EA0FB" w:rsidR="668EA0FB">
              <w:rPr>
                <w:rStyle w:val="Hyperlink"/>
              </w:rPr>
              <w:t>15</w:t>
            </w:r>
            <w:r>
              <w:fldChar w:fldCharType="end"/>
            </w:r>
          </w:hyperlink>
        </w:p>
        <w:p w:rsidR="50C65511" w:rsidP="668EA0FB" w:rsidRDefault="50C65511" w14:paraId="0BA579F7" w14:textId="64CA2411">
          <w:pPr>
            <w:pStyle w:val="TOC2"/>
            <w:tabs>
              <w:tab w:val="right" w:leader="dot" w:pos="9360"/>
            </w:tabs>
            <w:bidi w:val="0"/>
            <w:spacing w:before="240" w:beforeAutospacing="off" w:after="240" w:afterAutospacing="off"/>
            <w:rPr>
              <w:rStyle w:val="Hyperlink"/>
            </w:rPr>
          </w:pPr>
          <w:hyperlink w:anchor="_Toc1719643645">
            <w:r w:rsidRPr="668EA0FB" w:rsidR="668EA0FB">
              <w:rPr>
                <w:rStyle w:val="Hyperlink"/>
              </w:rPr>
              <w:t>2.7 Dispensing errors, antimicrobial stewardship, and AMR</w:t>
            </w:r>
            <w:r>
              <w:tab/>
            </w:r>
            <w:r>
              <w:fldChar w:fldCharType="begin"/>
            </w:r>
            <w:r>
              <w:instrText xml:space="preserve">PAGEREF _Toc1719643645 \h</w:instrText>
            </w:r>
            <w:r>
              <w:fldChar w:fldCharType="separate"/>
            </w:r>
            <w:r w:rsidRPr="668EA0FB" w:rsidR="668EA0FB">
              <w:rPr>
                <w:rStyle w:val="Hyperlink"/>
              </w:rPr>
              <w:t>15</w:t>
            </w:r>
            <w:r>
              <w:fldChar w:fldCharType="end"/>
            </w:r>
          </w:hyperlink>
        </w:p>
        <w:p w:rsidR="50C65511" w:rsidP="668EA0FB" w:rsidRDefault="50C65511" w14:paraId="2ECEAFFA" w14:textId="456960E0">
          <w:pPr>
            <w:pStyle w:val="TOC2"/>
            <w:tabs>
              <w:tab w:val="right" w:leader="dot" w:pos="9360"/>
            </w:tabs>
            <w:bidi w:val="0"/>
            <w:spacing w:before="240" w:beforeAutospacing="off" w:after="240" w:afterAutospacing="off"/>
            <w:rPr>
              <w:rStyle w:val="Hyperlink"/>
            </w:rPr>
          </w:pPr>
          <w:hyperlink w:anchor="_Toc1587553178">
            <w:r w:rsidRPr="668EA0FB" w:rsidR="668EA0FB">
              <w:rPr>
                <w:rStyle w:val="Hyperlink"/>
              </w:rPr>
              <w:t>2.8 Quality improvement approaches in pharmacy practice</w:t>
            </w:r>
            <w:r>
              <w:tab/>
            </w:r>
            <w:r>
              <w:fldChar w:fldCharType="begin"/>
            </w:r>
            <w:r>
              <w:instrText xml:space="preserve">PAGEREF _Toc1587553178 \h</w:instrText>
            </w:r>
            <w:r>
              <w:fldChar w:fldCharType="separate"/>
            </w:r>
            <w:r w:rsidRPr="668EA0FB" w:rsidR="668EA0FB">
              <w:rPr>
                <w:rStyle w:val="Hyperlink"/>
              </w:rPr>
              <w:t>15</w:t>
            </w:r>
            <w:r>
              <w:fldChar w:fldCharType="end"/>
            </w:r>
          </w:hyperlink>
        </w:p>
        <w:p w:rsidR="50C65511" w:rsidP="407E75B8" w:rsidRDefault="50C65511" w14:paraId="55AC8E85" w14:textId="71B675D6">
          <w:pPr>
            <w:pStyle w:val="TOC2"/>
            <w:tabs>
              <w:tab w:val="right" w:leader="dot" w:pos="9360"/>
            </w:tabs>
            <w:bidi w:val="0"/>
            <w:spacing w:before="240" w:beforeAutospacing="off" w:after="240" w:afterAutospacing="off"/>
            <w:rPr>
              <w:rStyle w:val="Hyperlink"/>
            </w:rPr>
          </w:pPr>
          <w:hyperlink w:anchor="_Toc881561900">
            <w:r w:rsidRPr="668EA0FB" w:rsidR="668EA0FB">
              <w:rPr>
                <w:rStyle w:val="Hyperlink"/>
              </w:rPr>
              <w:t>2.9 Gaps in existing literature and rationale for the current study</w:t>
            </w:r>
            <w:r>
              <w:tab/>
            </w:r>
            <w:r>
              <w:fldChar w:fldCharType="begin"/>
            </w:r>
            <w:r>
              <w:instrText xml:space="preserve">PAGEREF _Toc881561900 \h</w:instrText>
            </w:r>
            <w:r>
              <w:fldChar w:fldCharType="separate"/>
            </w:r>
            <w:r w:rsidRPr="668EA0FB" w:rsidR="668EA0FB">
              <w:rPr>
                <w:rStyle w:val="Hyperlink"/>
              </w:rPr>
              <w:t>16</w:t>
            </w:r>
            <w:r>
              <w:fldChar w:fldCharType="end"/>
            </w:r>
          </w:hyperlink>
        </w:p>
        <w:p w:rsidR="50C65511" w:rsidP="668EA0FB" w:rsidRDefault="50C65511" w14:paraId="0ECE3A5F" w14:textId="595CD172">
          <w:pPr>
            <w:pStyle w:val="TOC2"/>
            <w:tabs>
              <w:tab w:val="right" w:leader="dot" w:pos="9360"/>
            </w:tabs>
            <w:bidi w:val="0"/>
            <w:spacing w:before="240" w:beforeAutospacing="off" w:after="240" w:afterAutospacing="off"/>
            <w:rPr>
              <w:rStyle w:val="Hyperlink"/>
            </w:rPr>
          </w:pPr>
          <w:hyperlink w:anchor="_Toc1258689226">
            <w:r w:rsidRPr="668EA0FB" w:rsidR="668EA0FB">
              <w:rPr>
                <w:rStyle w:val="Hyperlink"/>
              </w:rPr>
              <w:t>2.10 Summary</w:t>
            </w:r>
            <w:r>
              <w:tab/>
            </w:r>
            <w:r>
              <w:fldChar w:fldCharType="begin"/>
            </w:r>
            <w:r>
              <w:instrText xml:space="preserve">PAGEREF _Toc1258689226 \h</w:instrText>
            </w:r>
            <w:r>
              <w:fldChar w:fldCharType="separate"/>
            </w:r>
            <w:r w:rsidRPr="668EA0FB" w:rsidR="668EA0FB">
              <w:rPr>
                <w:rStyle w:val="Hyperlink"/>
              </w:rPr>
              <w:t>16</w:t>
            </w:r>
            <w:r>
              <w:fldChar w:fldCharType="end"/>
            </w:r>
          </w:hyperlink>
        </w:p>
        <w:p w:rsidR="50C65511" w:rsidP="668EA0FB" w:rsidRDefault="50C65511" w14:paraId="577271EC" w14:textId="40EEA151">
          <w:pPr>
            <w:pStyle w:val="TOC1"/>
            <w:tabs>
              <w:tab w:val="right" w:leader="dot" w:pos="9360"/>
            </w:tabs>
            <w:bidi w:val="0"/>
            <w:spacing w:before="240" w:beforeAutospacing="off" w:after="240" w:afterAutospacing="off"/>
            <w:rPr>
              <w:rStyle w:val="Hyperlink"/>
            </w:rPr>
          </w:pPr>
          <w:hyperlink w:anchor="_Toc1295632301">
            <w:r w:rsidRPr="668EA0FB" w:rsidR="668EA0FB">
              <w:rPr>
                <w:rStyle w:val="Hyperlink"/>
              </w:rPr>
              <w:t>Chapter 3: Methodology</w:t>
            </w:r>
            <w:r>
              <w:tab/>
            </w:r>
            <w:r>
              <w:fldChar w:fldCharType="begin"/>
            </w:r>
            <w:r>
              <w:instrText xml:space="preserve">PAGEREF _Toc1295632301 \h</w:instrText>
            </w:r>
            <w:r>
              <w:fldChar w:fldCharType="separate"/>
            </w:r>
            <w:r w:rsidRPr="668EA0FB" w:rsidR="668EA0FB">
              <w:rPr>
                <w:rStyle w:val="Hyperlink"/>
              </w:rPr>
              <w:t>17</w:t>
            </w:r>
            <w:r>
              <w:fldChar w:fldCharType="end"/>
            </w:r>
          </w:hyperlink>
        </w:p>
        <w:p w:rsidR="50C65511" w:rsidP="668EA0FB" w:rsidRDefault="50C65511" w14:paraId="24D3D505" w14:textId="7AEFAD8E">
          <w:pPr>
            <w:pStyle w:val="TOC2"/>
            <w:tabs>
              <w:tab w:val="right" w:leader="dot" w:pos="9360"/>
            </w:tabs>
            <w:bidi w:val="0"/>
            <w:spacing w:before="240" w:beforeAutospacing="off" w:after="240" w:afterAutospacing="off"/>
            <w:rPr>
              <w:rStyle w:val="Hyperlink"/>
            </w:rPr>
          </w:pPr>
          <w:hyperlink w:anchor="_Toc2131471645">
            <w:r w:rsidRPr="668EA0FB" w:rsidR="668EA0FB">
              <w:rPr>
                <w:rStyle w:val="Hyperlink"/>
              </w:rPr>
              <w:t>3.1 Introduction</w:t>
            </w:r>
            <w:r>
              <w:tab/>
            </w:r>
            <w:r>
              <w:fldChar w:fldCharType="begin"/>
            </w:r>
            <w:r>
              <w:instrText xml:space="preserve">PAGEREF _Toc2131471645 \h</w:instrText>
            </w:r>
            <w:r>
              <w:fldChar w:fldCharType="separate"/>
            </w:r>
            <w:r w:rsidRPr="668EA0FB" w:rsidR="668EA0FB">
              <w:rPr>
                <w:rStyle w:val="Hyperlink"/>
              </w:rPr>
              <w:t>17</w:t>
            </w:r>
            <w:r>
              <w:fldChar w:fldCharType="end"/>
            </w:r>
          </w:hyperlink>
        </w:p>
        <w:p w:rsidR="50C65511" w:rsidP="668EA0FB" w:rsidRDefault="50C65511" w14:paraId="7E54B903" w14:textId="4389EC2E">
          <w:pPr>
            <w:pStyle w:val="TOC2"/>
            <w:tabs>
              <w:tab w:val="right" w:leader="dot" w:pos="9360"/>
            </w:tabs>
            <w:bidi w:val="0"/>
            <w:spacing w:before="240" w:beforeAutospacing="off" w:after="240" w:afterAutospacing="off"/>
            <w:rPr>
              <w:rStyle w:val="Hyperlink"/>
            </w:rPr>
          </w:pPr>
          <w:hyperlink w:anchor="_Toc556824408">
            <w:r w:rsidRPr="668EA0FB" w:rsidR="668EA0FB">
              <w:rPr>
                <w:rStyle w:val="Hyperlink"/>
              </w:rPr>
              <w:t>3.2 Systematic Literature Review (SLR)</w:t>
            </w:r>
            <w:r>
              <w:tab/>
            </w:r>
            <w:r>
              <w:fldChar w:fldCharType="begin"/>
            </w:r>
            <w:r>
              <w:instrText xml:space="preserve">PAGEREF _Toc556824408 \h</w:instrText>
            </w:r>
            <w:r>
              <w:fldChar w:fldCharType="separate"/>
            </w:r>
            <w:r w:rsidRPr="668EA0FB" w:rsidR="668EA0FB">
              <w:rPr>
                <w:rStyle w:val="Hyperlink"/>
              </w:rPr>
              <w:t>17</w:t>
            </w:r>
            <w:r>
              <w:fldChar w:fldCharType="end"/>
            </w:r>
          </w:hyperlink>
        </w:p>
        <w:p w:rsidR="50C65511" w:rsidP="668EA0FB" w:rsidRDefault="50C65511" w14:paraId="3F70D481" w14:textId="61B18CEE">
          <w:pPr>
            <w:pStyle w:val="TOC2"/>
            <w:tabs>
              <w:tab w:val="right" w:leader="dot" w:pos="9360"/>
            </w:tabs>
            <w:bidi w:val="0"/>
            <w:spacing w:before="240" w:beforeAutospacing="off" w:after="240" w:afterAutospacing="off"/>
            <w:rPr>
              <w:rStyle w:val="Hyperlink"/>
            </w:rPr>
          </w:pPr>
          <w:hyperlink w:anchor="_Toc1134623409">
            <w:r w:rsidRPr="668EA0FB" w:rsidR="668EA0FB">
              <w:rPr>
                <w:rStyle w:val="Hyperlink"/>
              </w:rPr>
              <w:t>3.3 Search Strategy and Databases</w:t>
            </w:r>
            <w:r>
              <w:tab/>
            </w:r>
            <w:r>
              <w:fldChar w:fldCharType="begin"/>
            </w:r>
            <w:r>
              <w:instrText xml:space="preserve">PAGEREF _Toc1134623409 \h</w:instrText>
            </w:r>
            <w:r>
              <w:fldChar w:fldCharType="separate"/>
            </w:r>
            <w:r w:rsidRPr="668EA0FB" w:rsidR="668EA0FB">
              <w:rPr>
                <w:rStyle w:val="Hyperlink"/>
              </w:rPr>
              <w:t>18</w:t>
            </w:r>
            <w:r>
              <w:fldChar w:fldCharType="end"/>
            </w:r>
          </w:hyperlink>
        </w:p>
        <w:p w:rsidR="50C65511" w:rsidP="668EA0FB" w:rsidRDefault="50C65511" w14:paraId="16330C60" w14:textId="4D707EBE">
          <w:pPr>
            <w:pStyle w:val="TOC2"/>
            <w:tabs>
              <w:tab w:val="right" w:leader="dot" w:pos="9360"/>
            </w:tabs>
            <w:bidi w:val="0"/>
            <w:spacing w:before="240" w:beforeAutospacing="off" w:after="240" w:afterAutospacing="off"/>
            <w:rPr>
              <w:rStyle w:val="Hyperlink"/>
            </w:rPr>
          </w:pPr>
          <w:hyperlink w:anchor="_Toc1674683450">
            <w:r w:rsidRPr="668EA0FB" w:rsidR="668EA0FB">
              <w:rPr>
                <w:rStyle w:val="Hyperlink"/>
              </w:rPr>
              <w:t>3.3.1 PICO Framework</w:t>
            </w:r>
            <w:r>
              <w:tab/>
            </w:r>
            <w:r>
              <w:fldChar w:fldCharType="begin"/>
            </w:r>
            <w:r>
              <w:instrText xml:space="preserve">PAGEREF _Toc1674683450 \h</w:instrText>
            </w:r>
            <w:r>
              <w:fldChar w:fldCharType="separate"/>
            </w:r>
            <w:r w:rsidRPr="668EA0FB" w:rsidR="668EA0FB">
              <w:rPr>
                <w:rStyle w:val="Hyperlink"/>
              </w:rPr>
              <w:t>18</w:t>
            </w:r>
            <w:r>
              <w:fldChar w:fldCharType="end"/>
            </w:r>
          </w:hyperlink>
        </w:p>
        <w:p w:rsidR="50C65511" w:rsidP="668EA0FB" w:rsidRDefault="50C65511" w14:paraId="52ADD81E" w14:textId="17A5C6E9">
          <w:pPr>
            <w:pStyle w:val="TOC2"/>
            <w:tabs>
              <w:tab w:val="right" w:leader="dot" w:pos="9360"/>
            </w:tabs>
            <w:bidi w:val="0"/>
            <w:spacing w:before="240" w:beforeAutospacing="off" w:after="240" w:afterAutospacing="off"/>
            <w:rPr>
              <w:rStyle w:val="Hyperlink"/>
            </w:rPr>
          </w:pPr>
          <w:hyperlink w:anchor="_Toc4759410">
            <w:r w:rsidRPr="668EA0FB" w:rsidR="668EA0FB">
              <w:rPr>
                <w:rStyle w:val="Hyperlink"/>
              </w:rPr>
              <w:t>3.3.2 Databases Searched</w:t>
            </w:r>
            <w:r>
              <w:tab/>
            </w:r>
            <w:r>
              <w:fldChar w:fldCharType="begin"/>
            </w:r>
            <w:r>
              <w:instrText xml:space="preserve">PAGEREF _Toc4759410 \h</w:instrText>
            </w:r>
            <w:r>
              <w:fldChar w:fldCharType="separate"/>
            </w:r>
            <w:r w:rsidRPr="668EA0FB" w:rsidR="668EA0FB">
              <w:rPr>
                <w:rStyle w:val="Hyperlink"/>
              </w:rPr>
              <w:t>19</w:t>
            </w:r>
            <w:r>
              <w:fldChar w:fldCharType="end"/>
            </w:r>
          </w:hyperlink>
        </w:p>
        <w:p w:rsidR="50C65511" w:rsidP="668EA0FB" w:rsidRDefault="50C65511" w14:paraId="7CB8A569" w14:textId="76B0A40D">
          <w:pPr>
            <w:pStyle w:val="TOC2"/>
            <w:tabs>
              <w:tab w:val="right" w:leader="dot" w:pos="9360"/>
            </w:tabs>
            <w:bidi w:val="0"/>
            <w:spacing w:before="240" w:beforeAutospacing="off" w:after="240" w:afterAutospacing="off"/>
            <w:rPr>
              <w:rStyle w:val="Hyperlink"/>
            </w:rPr>
          </w:pPr>
          <w:hyperlink w:anchor="_Toc1914464062">
            <w:r w:rsidRPr="668EA0FB" w:rsidR="668EA0FB">
              <w:rPr>
                <w:rStyle w:val="Hyperlink"/>
              </w:rPr>
              <w:t>3.3.3 Search limits and screening process</w:t>
            </w:r>
            <w:r>
              <w:tab/>
            </w:r>
            <w:r>
              <w:fldChar w:fldCharType="begin"/>
            </w:r>
            <w:r>
              <w:instrText xml:space="preserve">PAGEREF _Toc1914464062 \h</w:instrText>
            </w:r>
            <w:r>
              <w:fldChar w:fldCharType="separate"/>
            </w:r>
            <w:r w:rsidRPr="668EA0FB" w:rsidR="668EA0FB">
              <w:rPr>
                <w:rStyle w:val="Hyperlink"/>
              </w:rPr>
              <w:t>19</w:t>
            </w:r>
            <w:r>
              <w:fldChar w:fldCharType="end"/>
            </w:r>
          </w:hyperlink>
        </w:p>
        <w:p w:rsidR="50C65511" w:rsidP="668EA0FB" w:rsidRDefault="50C65511" w14:paraId="7FF2B647" w14:textId="6CBBB7F5">
          <w:pPr>
            <w:pStyle w:val="TOC2"/>
            <w:tabs>
              <w:tab w:val="right" w:leader="dot" w:pos="9360"/>
            </w:tabs>
            <w:bidi w:val="0"/>
            <w:spacing w:before="240" w:beforeAutospacing="off" w:after="240" w:afterAutospacing="off"/>
            <w:rPr>
              <w:rStyle w:val="Hyperlink"/>
            </w:rPr>
          </w:pPr>
          <w:hyperlink w:anchor="_Toc940565425">
            <w:r w:rsidRPr="668EA0FB" w:rsidR="668EA0FB">
              <w:rPr>
                <w:rStyle w:val="Hyperlink"/>
              </w:rPr>
              <w:t>3.4 Study Selection Outcome</w:t>
            </w:r>
            <w:r>
              <w:tab/>
            </w:r>
            <w:r>
              <w:fldChar w:fldCharType="begin"/>
            </w:r>
            <w:r>
              <w:instrText xml:space="preserve">PAGEREF _Toc940565425 \h</w:instrText>
            </w:r>
            <w:r>
              <w:fldChar w:fldCharType="separate"/>
            </w:r>
            <w:r w:rsidRPr="668EA0FB" w:rsidR="668EA0FB">
              <w:rPr>
                <w:rStyle w:val="Hyperlink"/>
              </w:rPr>
              <w:t>20</w:t>
            </w:r>
            <w:r>
              <w:fldChar w:fldCharType="end"/>
            </w:r>
          </w:hyperlink>
        </w:p>
        <w:p w:rsidR="50C65511" w:rsidP="407E75B8" w:rsidRDefault="50C65511" w14:paraId="110D1AD2" w14:textId="5048F698">
          <w:pPr>
            <w:pStyle w:val="TOC2"/>
            <w:tabs>
              <w:tab w:val="right" w:leader="dot" w:pos="9360"/>
            </w:tabs>
            <w:bidi w:val="0"/>
            <w:spacing w:before="240" w:beforeAutospacing="off" w:after="240" w:afterAutospacing="off"/>
            <w:rPr>
              <w:rStyle w:val="Hyperlink"/>
            </w:rPr>
          </w:pPr>
          <w:hyperlink w:anchor="_Toc942612941">
            <w:r w:rsidRPr="668EA0FB" w:rsidR="668EA0FB">
              <w:rPr>
                <w:rStyle w:val="Hyperlink"/>
              </w:rPr>
              <w:t>3.5Inclusion and Exclusion Criteria</w:t>
            </w:r>
            <w:r>
              <w:tab/>
            </w:r>
            <w:r>
              <w:fldChar w:fldCharType="begin"/>
            </w:r>
            <w:r>
              <w:instrText xml:space="preserve">PAGEREF _Toc942612941 \h</w:instrText>
            </w:r>
            <w:r>
              <w:fldChar w:fldCharType="separate"/>
            </w:r>
            <w:r w:rsidRPr="668EA0FB" w:rsidR="668EA0FB">
              <w:rPr>
                <w:rStyle w:val="Hyperlink"/>
              </w:rPr>
              <w:t>20</w:t>
            </w:r>
            <w:r>
              <w:fldChar w:fldCharType="end"/>
            </w:r>
          </w:hyperlink>
        </w:p>
        <w:p w:rsidR="50C65511" w:rsidP="668EA0FB" w:rsidRDefault="50C65511" w14:paraId="7F0E65D1" w14:textId="1F9E169E">
          <w:pPr>
            <w:pStyle w:val="TOC2"/>
            <w:tabs>
              <w:tab w:val="right" w:leader="dot" w:pos="9360"/>
            </w:tabs>
            <w:bidi w:val="0"/>
            <w:spacing w:before="240" w:beforeAutospacing="off" w:after="240" w:afterAutospacing="off"/>
            <w:rPr>
              <w:rStyle w:val="Hyperlink"/>
            </w:rPr>
          </w:pPr>
          <w:hyperlink w:anchor="_Toc486718726">
            <w:r w:rsidRPr="668EA0FB" w:rsidR="668EA0FB">
              <w:rPr>
                <w:rStyle w:val="Hyperlink"/>
              </w:rPr>
              <w:t>3.6 Quality Assessment (CASP Tool)</w:t>
            </w:r>
            <w:r>
              <w:tab/>
            </w:r>
            <w:r>
              <w:fldChar w:fldCharType="begin"/>
            </w:r>
            <w:r>
              <w:instrText xml:space="preserve">PAGEREF _Toc486718726 \h</w:instrText>
            </w:r>
            <w:r>
              <w:fldChar w:fldCharType="separate"/>
            </w:r>
            <w:r w:rsidRPr="668EA0FB" w:rsidR="668EA0FB">
              <w:rPr>
                <w:rStyle w:val="Hyperlink"/>
              </w:rPr>
              <w:t>21</w:t>
            </w:r>
            <w:r>
              <w:fldChar w:fldCharType="end"/>
            </w:r>
          </w:hyperlink>
        </w:p>
        <w:p w:rsidR="50C65511" w:rsidP="668EA0FB" w:rsidRDefault="50C65511" w14:paraId="16057ADB" w14:textId="2B8FEA4B">
          <w:pPr>
            <w:pStyle w:val="TOC2"/>
            <w:tabs>
              <w:tab w:val="right" w:leader="dot" w:pos="9360"/>
            </w:tabs>
            <w:bidi w:val="0"/>
            <w:spacing w:before="240" w:beforeAutospacing="off" w:after="240" w:afterAutospacing="off"/>
            <w:rPr>
              <w:rStyle w:val="Hyperlink"/>
            </w:rPr>
          </w:pPr>
          <w:hyperlink w:anchor="_Toc840763270">
            <w:r w:rsidRPr="668EA0FB" w:rsidR="668EA0FB">
              <w:rPr>
                <w:rStyle w:val="Hyperlink"/>
              </w:rPr>
              <w:t>3.7 Ethical Considerations</w:t>
            </w:r>
            <w:r>
              <w:tab/>
            </w:r>
            <w:r>
              <w:fldChar w:fldCharType="begin"/>
            </w:r>
            <w:r>
              <w:instrText xml:space="preserve">PAGEREF _Toc840763270 \h</w:instrText>
            </w:r>
            <w:r>
              <w:fldChar w:fldCharType="separate"/>
            </w:r>
            <w:r w:rsidRPr="668EA0FB" w:rsidR="668EA0FB">
              <w:rPr>
                <w:rStyle w:val="Hyperlink"/>
              </w:rPr>
              <w:t>22</w:t>
            </w:r>
            <w:r>
              <w:fldChar w:fldCharType="end"/>
            </w:r>
          </w:hyperlink>
        </w:p>
        <w:p w:rsidR="50C65511" w:rsidP="668EA0FB" w:rsidRDefault="50C65511" w14:paraId="5FAE06E5" w14:textId="14E07AF0">
          <w:pPr>
            <w:pStyle w:val="TOC2"/>
            <w:tabs>
              <w:tab w:val="right" w:leader="dot" w:pos="9360"/>
            </w:tabs>
            <w:bidi w:val="0"/>
            <w:spacing w:before="240" w:beforeAutospacing="off" w:after="240" w:afterAutospacing="off"/>
            <w:rPr>
              <w:rStyle w:val="Hyperlink"/>
            </w:rPr>
          </w:pPr>
          <w:hyperlink w:anchor="_Toc482341913">
            <w:r w:rsidRPr="668EA0FB" w:rsidR="668EA0FB">
              <w:rPr>
                <w:rStyle w:val="Hyperlink"/>
              </w:rPr>
              <w:t>3.8 Chapter Summary</w:t>
            </w:r>
            <w:r>
              <w:tab/>
            </w:r>
            <w:r>
              <w:fldChar w:fldCharType="begin"/>
            </w:r>
            <w:r>
              <w:instrText xml:space="preserve">PAGEREF _Toc482341913 \h</w:instrText>
            </w:r>
            <w:r>
              <w:fldChar w:fldCharType="separate"/>
            </w:r>
            <w:r w:rsidRPr="668EA0FB" w:rsidR="668EA0FB">
              <w:rPr>
                <w:rStyle w:val="Hyperlink"/>
              </w:rPr>
              <w:t>22</w:t>
            </w:r>
            <w:r>
              <w:fldChar w:fldCharType="end"/>
            </w:r>
          </w:hyperlink>
        </w:p>
        <w:p w:rsidR="50C65511" w:rsidP="668EA0FB" w:rsidRDefault="50C65511" w14:paraId="07EE23B4" w14:textId="52E3F4A0">
          <w:pPr>
            <w:pStyle w:val="TOC1"/>
            <w:tabs>
              <w:tab w:val="right" w:leader="dot" w:pos="9360"/>
            </w:tabs>
            <w:bidi w:val="0"/>
            <w:spacing w:before="240" w:beforeAutospacing="off" w:after="240" w:afterAutospacing="off"/>
            <w:rPr>
              <w:rStyle w:val="Hyperlink"/>
            </w:rPr>
          </w:pPr>
          <w:hyperlink w:anchor="_Toc1474389244">
            <w:r w:rsidRPr="668EA0FB" w:rsidR="668EA0FB">
              <w:rPr>
                <w:rStyle w:val="Hyperlink"/>
              </w:rPr>
              <w:t>Chapter 4: Data Extraction and Evaluation</w:t>
            </w:r>
            <w:r>
              <w:tab/>
            </w:r>
            <w:r>
              <w:fldChar w:fldCharType="begin"/>
            </w:r>
            <w:r>
              <w:instrText xml:space="preserve">PAGEREF _Toc1474389244 \h</w:instrText>
            </w:r>
            <w:r>
              <w:fldChar w:fldCharType="separate"/>
            </w:r>
            <w:r w:rsidRPr="668EA0FB" w:rsidR="668EA0FB">
              <w:rPr>
                <w:rStyle w:val="Hyperlink"/>
              </w:rPr>
              <w:t>23</w:t>
            </w:r>
            <w:r>
              <w:fldChar w:fldCharType="end"/>
            </w:r>
          </w:hyperlink>
        </w:p>
        <w:p w:rsidR="50C65511" w:rsidP="668EA0FB" w:rsidRDefault="50C65511" w14:paraId="1675CE7D" w14:textId="6AB8DD42">
          <w:pPr>
            <w:pStyle w:val="TOC2"/>
            <w:tabs>
              <w:tab w:val="right" w:leader="dot" w:pos="9360"/>
            </w:tabs>
            <w:bidi w:val="0"/>
            <w:spacing w:before="240" w:beforeAutospacing="off" w:after="240" w:afterAutospacing="off"/>
            <w:rPr>
              <w:rStyle w:val="Hyperlink"/>
            </w:rPr>
          </w:pPr>
          <w:hyperlink w:anchor="_Toc1640810201">
            <w:r w:rsidRPr="668EA0FB" w:rsidR="668EA0FB">
              <w:rPr>
                <w:rStyle w:val="Hyperlink"/>
              </w:rPr>
              <w:t>4.2 Data Extraction</w:t>
            </w:r>
            <w:r>
              <w:tab/>
            </w:r>
            <w:r>
              <w:fldChar w:fldCharType="begin"/>
            </w:r>
            <w:r>
              <w:instrText xml:space="preserve">PAGEREF _Toc1640810201 \h</w:instrText>
            </w:r>
            <w:r>
              <w:fldChar w:fldCharType="separate"/>
            </w:r>
            <w:r w:rsidRPr="668EA0FB" w:rsidR="668EA0FB">
              <w:rPr>
                <w:rStyle w:val="Hyperlink"/>
              </w:rPr>
              <w:t>23</w:t>
            </w:r>
            <w:r>
              <w:fldChar w:fldCharType="end"/>
            </w:r>
          </w:hyperlink>
        </w:p>
        <w:p w:rsidR="50C65511" w:rsidP="407E75B8" w:rsidRDefault="50C65511" w14:paraId="75FE0936" w14:textId="7BEF56B8">
          <w:pPr>
            <w:pStyle w:val="TOC3"/>
            <w:tabs>
              <w:tab w:val="right" w:leader="dot" w:pos="9360"/>
            </w:tabs>
            <w:bidi w:val="0"/>
            <w:spacing w:before="240" w:beforeAutospacing="off" w:after="240" w:afterAutospacing="off"/>
            <w:rPr>
              <w:rStyle w:val="Hyperlink"/>
            </w:rPr>
          </w:pPr>
          <w:hyperlink w:anchor="_Toc1200925952">
            <w:r w:rsidRPr="668EA0FB" w:rsidR="668EA0FB">
              <w:rPr>
                <w:rStyle w:val="Hyperlink"/>
              </w:rPr>
              <w:t>4.4 Critical Appraisal Tool</w:t>
            </w:r>
            <w:r>
              <w:tab/>
            </w:r>
            <w:r>
              <w:fldChar w:fldCharType="begin"/>
            </w:r>
            <w:r>
              <w:instrText xml:space="preserve">PAGEREF _Toc1200925952 \h</w:instrText>
            </w:r>
            <w:r>
              <w:fldChar w:fldCharType="separate"/>
            </w:r>
            <w:r w:rsidRPr="668EA0FB" w:rsidR="668EA0FB">
              <w:rPr>
                <w:rStyle w:val="Hyperlink"/>
              </w:rPr>
              <w:t>25</w:t>
            </w:r>
            <w:r>
              <w:fldChar w:fldCharType="end"/>
            </w:r>
          </w:hyperlink>
        </w:p>
        <w:p w:rsidR="50C65511" w:rsidP="407E75B8" w:rsidRDefault="50C65511" w14:paraId="3229E6F5" w14:textId="79E6C1E6">
          <w:pPr>
            <w:pStyle w:val="TOC3"/>
            <w:tabs>
              <w:tab w:val="right" w:leader="dot" w:pos="9360"/>
            </w:tabs>
            <w:bidi w:val="0"/>
            <w:spacing w:before="240" w:beforeAutospacing="off" w:after="240" w:afterAutospacing="off"/>
            <w:rPr>
              <w:rStyle w:val="Hyperlink"/>
            </w:rPr>
          </w:pPr>
          <w:hyperlink w:anchor="_Toc63550167">
            <w:r w:rsidRPr="668EA0FB" w:rsidR="668EA0FB">
              <w:rPr>
                <w:rStyle w:val="Hyperlink"/>
              </w:rPr>
              <w:t>4.5 Evaluation of the Studies using the CASP Tool</w:t>
            </w:r>
            <w:r>
              <w:tab/>
            </w:r>
            <w:r>
              <w:fldChar w:fldCharType="begin"/>
            </w:r>
            <w:r>
              <w:instrText xml:space="preserve">PAGEREF _Toc63550167 \h</w:instrText>
            </w:r>
            <w:r>
              <w:fldChar w:fldCharType="separate"/>
            </w:r>
            <w:r w:rsidRPr="668EA0FB" w:rsidR="668EA0FB">
              <w:rPr>
                <w:rStyle w:val="Hyperlink"/>
              </w:rPr>
              <w:t>26</w:t>
            </w:r>
            <w:r>
              <w:fldChar w:fldCharType="end"/>
            </w:r>
          </w:hyperlink>
        </w:p>
        <w:p w:rsidR="50C65511" w:rsidP="668EA0FB" w:rsidRDefault="50C65511" w14:paraId="5BDA0F55" w14:textId="48740D37">
          <w:pPr>
            <w:pStyle w:val="TOC2"/>
            <w:tabs>
              <w:tab w:val="right" w:leader="dot" w:pos="9360"/>
            </w:tabs>
            <w:bidi w:val="0"/>
            <w:spacing w:before="240" w:beforeAutospacing="off" w:after="240" w:afterAutospacing="off"/>
            <w:rPr>
              <w:rStyle w:val="Hyperlink"/>
            </w:rPr>
          </w:pPr>
          <w:hyperlink w:anchor="_Toc1849604002">
            <w:r w:rsidRPr="668EA0FB" w:rsidR="668EA0FB">
              <w:rPr>
                <w:rStyle w:val="Hyperlink"/>
              </w:rPr>
              <w:t>4.5 Critical Appraisal of Included Qualitative Studies Using CASP</w:t>
            </w:r>
            <w:r>
              <w:tab/>
            </w:r>
            <w:r>
              <w:fldChar w:fldCharType="begin"/>
            </w:r>
            <w:r>
              <w:instrText xml:space="preserve">PAGEREF _Toc1849604002 \h</w:instrText>
            </w:r>
            <w:r>
              <w:fldChar w:fldCharType="separate"/>
            </w:r>
            <w:r w:rsidRPr="668EA0FB" w:rsidR="668EA0FB">
              <w:rPr>
                <w:rStyle w:val="Hyperlink"/>
              </w:rPr>
              <w:t>26</w:t>
            </w:r>
            <w:r>
              <w:fldChar w:fldCharType="end"/>
            </w:r>
          </w:hyperlink>
        </w:p>
        <w:p w:rsidR="50C65511" w:rsidP="407E75B8" w:rsidRDefault="50C65511" w14:paraId="4945FF82" w14:textId="79C0E2E9">
          <w:pPr>
            <w:pStyle w:val="TOC3"/>
            <w:tabs>
              <w:tab w:val="right" w:leader="dot" w:pos="9360"/>
            </w:tabs>
            <w:bidi w:val="0"/>
            <w:spacing w:before="240" w:beforeAutospacing="off" w:after="240" w:afterAutospacing="off"/>
            <w:rPr>
              <w:rStyle w:val="Hyperlink"/>
            </w:rPr>
          </w:pPr>
          <w:hyperlink w:anchor="_Toc199814220">
            <w:r w:rsidRPr="668EA0FB" w:rsidR="668EA0FB">
              <w:rPr>
                <w:rStyle w:val="Hyperlink"/>
              </w:rPr>
              <w:t>4.5.1 Article 1: Musoke D, et al. (Uganda)</w:t>
            </w:r>
            <w:r>
              <w:tab/>
            </w:r>
            <w:r>
              <w:fldChar w:fldCharType="begin"/>
            </w:r>
            <w:r>
              <w:instrText xml:space="preserve">PAGEREF _Toc199814220 \h</w:instrText>
            </w:r>
            <w:r>
              <w:fldChar w:fldCharType="separate"/>
            </w:r>
            <w:r w:rsidRPr="668EA0FB" w:rsidR="668EA0FB">
              <w:rPr>
                <w:rStyle w:val="Hyperlink"/>
              </w:rPr>
              <w:t>26</w:t>
            </w:r>
            <w:r>
              <w:fldChar w:fldCharType="end"/>
            </w:r>
          </w:hyperlink>
        </w:p>
        <w:p w:rsidR="50C65511" w:rsidP="407E75B8" w:rsidRDefault="50C65511" w14:paraId="2AE32254" w14:textId="1C846639">
          <w:pPr>
            <w:pStyle w:val="TOC3"/>
            <w:tabs>
              <w:tab w:val="right" w:leader="dot" w:pos="9360"/>
            </w:tabs>
            <w:bidi w:val="0"/>
            <w:spacing w:before="240" w:beforeAutospacing="off" w:after="240" w:afterAutospacing="off"/>
            <w:rPr>
              <w:rStyle w:val="Hyperlink"/>
            </w:rPr>
          </w:pPr>
          <w:hyperlink w:anchor="_Toc172514120">
            <w:r w:rsidRPr="668EA0FB" w:rsidR="668EA0FB">
              <w:rPr>
                <w:rStyle w:val="Hyperlink"/>
              </w:rPr>
              <w:t>4.5.2 Article 2: Saleem Z, et al. (Pakistan)</w:t>
            </w:r>
            <w:r>
              <w:tab/>
            </w:r>
            <w:r>
              <w:fldChar w:fldCharType="begin"/>
            </w:r>
            <w:r>
              <w:instrText xml:space="preserve">PAGEREF _Toc172514120 \h</w:instrText>
            </w:r>
            <w:r>
              <w:fldChar w:fldCharType="separate"/>
            </w:r>
            <w:r w:rsidRPr="668EA0FB" w:rsidR="668EA0FB">
              <w:rPr>
                <w:rStyle w:val="Hyperlink"/>
              </w:rPr>
              <w:t>27</w:t>
            </w:r>
            <w:r>
              <w:fldChar w:fldCharType="end"/>
            </w:r>
          </w:hyperlink>
        </w:p>
        <w:p w:rsidR="50C65511" w:rsidP="407E75B8" w:rsidRDefault="50C65511" w14:paraId="656B0C98" w14:textId="717E267B">
          <w:pPr>
            <w:pStyle w:val="TOC3"/>
            <w:tabs>
              <w:tab w:val="right" w:leader="dot" w:pos="9360"/>
            </w:tabs>
            <w:bidi w:val="0"/>
            <w:spacing w:before="240" w:beforeAutospacing="off" w:after="240" w:afterAutospacing="off"/>
            <w:rPr>
              <w:rStyle w:val="Hyperlink"/>
            </w:rPr>
          </w:pPr>
          <w:hyperlink w:anchor="_Toc2019250590">
            <w:r w:rsidRPr="668EA0FB" w:rsidR="668EA0FB">
              <w:rPr>
                <w:rStyle w:val="Hyperlink"/>
              </w:rPr>
              <w:t>4.5.3 Article 3: Mbugua S.M., et al. (Kenya)</w:t>
            </w:r>
            <w:r>
              <w:tab/>
            </w:r>
            <w:r>
              <w:fldChar w:fldCharType="begin"/>
            </w:r>
            <w:r>
              <w:instrText xml:space="preserve">PAGEREF _Toc2019250590 \h</w:instrText>
            </w:r>
            <w:r>
              <w:fldChar w:fldCharType="separate"/>
            </w:r>
            <w:r w:rsidRPr="668EA0FB" w:rsidR="668EA0FB">
              <w:rPr>
                <w:rStyle w:val="Hyperlink"/>
              </w:rPr>
              <w:t>27</w:t>
            </w:r>
            <w:r>
              <w:fldChar w:fldCharType="end"/>
            </w:r>
          </w:hyperlink>
        </w:p>
        <w:p w:rsidR="50C65511" w:rsidP="407E75B8" w:rsidRDefault="50C65511" w14:paraId="2006B917" w14:textId="7D2D4954">
          <w:pPr>
            <w:pStyle w:val="TOC3"/>
            <w:tabs>
              <w:tab w:val="right" w:leader="dot" w:pos="9360"/>
            </w:tabs>
            <w:bidi w:val="0"/>
            <w:spacing w:before="240" w:beforeAutospacing="off" w:after="240" w:afterAutospacing="off"/>
            <w:rPr>
              <w:rStyle w:val="Hyperlink"/>
            </w:rPr>
          </w:pPr>
          <w:hyperlink w:anchor="_Toc1153556908">
            <w:r w:rsidRPr="668EA0FB" w:rsidR="668EA0FB">
              <w:rPr>
                <w:rStyle w:val="Hyperlink"/>
              </w:rPr>
              <w:t>4.5.4 Article 4: Mekonnen A.B., et al. (Ethiopia)</w:t>
            </w:r>
            <w:r>
              <w:tab/>
            </w:r>
            <w:r>
              <w:fldChar w:fldCharType="begin"/>
            </w:r>
            <w:r>
              <w:instrText xml:space="preserve">PAGEREF _Toc1153556908 \h</w:instrText>
            </w:r>
            <w:r>
              <w:fldChar w:fldCharType="separate"/>
            </w:r>
            <w:r w:rsidRPr="668EA0FB" w:rsidR="668EA0FB">
              <w:rPr>
                <w:rStyle w:val="Hyperlink"/>
              </w:rPr>
              <w:t>28</w:t>
            </w:r>
            <w:r>
              <w:fldChar w:fldCharType="end"/>
            </w:r>
          </w:hyperlink>
        </w:p>
        <w:p w:rsidR="50C65511" w:rsidP="407E75B8" w:rsidRDefault="50C65511" w14:paraId="4E595656" w14:textId="05219242">
          <w:pPr>
            <w:pStyle w:val="TOC3"/>
            <w:tabs>
              <w:tab w:val="right" w:leader="dot" w:pos="9360"/>
            </w:tabs>
            <w:bidi w:val="0"/>
            <w:spacing w:before="240" w:beforeAutospacing="off" w:after="240" w:afterAutospacing="off"/>
            <w:rPr>
              <w:rStyle w:val="Hyperlink"/>
            </w:rPr>
          </w:pPr>
          <w:hyperlink w:anchor="_Toc1925390044">
            <w:r w:rsidRPr="668EA0FB" w:rsidR="668EA0FB">
              <w:rPr>
                <w:rStyle w:val="Hyperlink"/>
              </w:rPr>
              <w:t>4.5.5 Article 5: Saleem N.H., et al. (Pakistan)</w:t>
            </w:r>
            <w:r>
              <w:tab/>
            </w:r>
            <w:r>
              <w:fldChar w:fldCharType="begin"/>
            </w:r>
            <w:r>
              <w:instrText xml:space="preserve">PAGEREF _Toc1925390044 \h</w:instrText>
            </w:r>
            <w:r>
              <w:fldChar w:fldCharType="separate"/>
            </w:r>
            <w:r w:rsidRPr="668EA0FB" w:rsidR="668EA0FB">
              <w:rPr>
                <w:rStyle w:val="Hyperlink"/>
              </w:rPr>
              <w:t>28</w:t>
            </w:r>
            <w:r>
              <w:fldChar w:fldCharType="end"/>
            </w:r>
          </w:hyperlink>
        </w:p>
        <w:p w:rsidR="50C65511" w:rsidP="407E75B8" w:rsidRDefault="50C65511" w14:paraId="7378D7EB" w14:textId="7259359F">
          <w:pPr>
            <w:pStyle w:val="TOC3"/>
            <w:tabs>
              <w:tab w:val="right" w:leader="dot" w:pos="9360"/>
            </w:tabs>
            <w:bidi w:val="0"/>
            <w:spacing w:before="240" w:beforeAutospacing="off" w:after="240" w:afterAutospacing="off"/>
            <w:rPr>
              <w:rStyle w:val="Hyperlink"/>
            </w:rPr>
          </w:pPr>
          <w:hyperlink w:anchor="_Toc1879129920">
            <w:r w:rsidRPr="668EA0FB" w:rsidR="668EA0FB">
              <w:rPr>
                <w:rStyle w:val="Hyperlink"/>
              </w:rPr>
              <w:t>4.5.6 Article 6: Atif M., et al. (Pakistan)</w:t>
            </w:r>
            <w:r>
              <w:tab/>
            </w:r>
            <w:r>
              <w:fldChar w:fldCharType="begin"/>
            </w:r>
            <w:r>
              <w:instrText xml:space="preserve">PAGEREF _Toc1879129920 \h</w:instrText>
            </w:r>
            <w:r>
              <w:fldChar w:fldCharType="separate"/>
            </w:r>
            <w:r w:rsidRPr="668EA0FB" w:rsidR="668EA0FB">
              <w:rPr>
                <w:rStyle w:val="Hyperlink"/>
              </w:rPr>
              <w:t>29</w:t>
            </w:r>
            <w:r>
              <w:fldChar w:fldCharType="end"/>
            </w:r>
          </w:hyperlink>
        </w:p>
        <w:p w:rsidR="50C65511" w:rsidP="407E75B8" w:rsidRDefault="50C65511" w14:paraId="1E35F47A" w14:textId="34A50F5E">
          <w:pPr>
            <w:pStyle w:val="TOC3"/>
            <w:tabs>
              <w:tab w:val="right" w:leader="dot" w:pos="9360"/>
            </w:tabs>
            <w:bidi w:val="0"/>
            <w:spacing w:before="240" w:beforeAutospacing="off" w:after="240" w:afterAutospacing="off"/>
            <w:rPr>
              <w:rStyle w:val="Hyperlink"/>
            </w:rPr>
          </w:pPr>
          <w:hyperlink w:anchor="_Toc112080304">
            <w:r w:rsidRPr="668EA0FB" w:rsidR="668EA0FB">
              <w:rPr>
                <w:rStyle w:val="Hyperlink"/>
              </w:rPr>
              <w:t>4.5.7 Article 7: Roche S.D., et al. (Kenya)</w:t>
            </w:r>
            <w:r>
              <w:tab/>
            </w:r>
            <w:r>
              <w:fldChar w:fldCharType="begin"/>
            </w:r>
            <w:r>
              <w:instrText xml:space="preserve">PAGEREF _Toc112080304 \h</w:instrText>
            </w:r>
            <w:r>
              <w:fldChar w:fldCharType="separate"/>
            </w:r>
            <w:r w:rsidRPr="668EA0FB" w:rsidR="668EA0FB">
              <w:rPr>
                <w:rStyle w:val="Hyperlink"/>
              </w:rPr>
              <w:t>29</w:t>
            </w:r>
            <w:r>
              <w:fldChar w:fldCharType="end"/>
            </w:r>
          </w:hyperlink>
        </w:p>
        <w:p w:rsidR="50C65511" w:rsidP="668EA0FB" w:rsidRDefault="50C65511" w14:paraId="349B2187" w14:textId="2FC32F4B">
          <w:pPr>
            <w:pStyle w:val="TOC3"/>
            <w:tabs>
              <w:tab w:val="right" w:leader="dot" w:pos="9360"/>
            </w:tabs>
            <w:bidi w:val="0"/>
            <w:spacing w:before="240" w:beforeAutospacing="off" w:after="240" w:afterAutospacing="off"/>
            <w:rPr>
              <w:rStyle w:val="Hyperlink"/>
            </w:rPr>
          </w:pPr>
          <w:hyperlink w:anchor="_Toc676756265">
            <w:r w:rsidRPr="668EA0FB" w:rsidR="668EA0FB">
              <w:rPr>
                <w:rStyle w:val="Hyperlink"/>
              </w:rPr>
              <w:t>4.5.8 Article 8: Crafford L., et al. (South Africa)</w:t>
            </w:r>
            <w:r>
              <w:tab/>
            </w:r>
            <w:r>
              <w:fldChar w:fldCharType="begin"/>
            </w:r>
            <w:r>
              <w:instrText xml:space="preserve">PAGEREF _Toc676756265 \h</w:instrText>
            </w:r>
            <w:r>
              <w:fldChar w:fldCharType="separate"/>
            </w:r>
            <w:r w:rsidRPr="668EA0FB" w:rsidR="668EA0FB">
              <w:rPr>
                <w:rStyle w:val="Hyperlink"/>
              </w:rPr>
              <w:t>30</w:t>
            </w:r>
            <w:r>
              <w:fldChar w:fldCharType="end"/>
            </w:r>
          </w:hyperlink>
        </w:p>
        <w:p w:rsidR="50C65511" w:rsidP="668EA0FB" w:rsidRDefault="50C65511" w14:paraId="2CC4D93C" w14:textId="627E44BC">
          <w:pPr>
            <w:pStyle w:val="TOC3"/>
            <w:tabs>
              <w:tab w:val="right" w:leader="dot" w:pos="9360"/>
            </w:tabs>
            <w:bidi w:val="0"/>
            <w:spacing w:before="240" w:beforeAutospacing="off" w:after="240" w:afterAutospacing="off"/>
            <w:rPr>
              <w:rStyle w:val="Hyperlink"/>
            </w:rPr>
          </w:pPr>
          <w:hyperlink w:anchor="_Toc839708539">
            <w:r w:rsidRPr="668EA0FB" w:rsidR="668EA0FB">
              <w:rPr>
                <w:rStyle w:val="Hyperlink"/>
              </w:rPr>
              <w:t>4.5.9 Article 9: Gelayee D.A., et al. (Ethiopia)</w:t>
            </w:r>
            <w:r>
              <w:tab/>
            </w:r>
            <w:r>
              <w:fldChar w:fldCharType="begin"/>
            </w:r>
            <w:r>
              <w:instrText xml:space="preserve">PAGEREF _Toc839708539 \h</w:instrText>
            </w:r>
            <w:r>
              <w:fldChar w:fldCharType="separate"/>
            </w:r>
            <w:r w:rsidRPr="668EA0FB" w:rsidR="668EA0FB">
              <w:rPr>
                <w:rStyle w:val="Hyperlink"/>
              </w:rPr>
              <w:t>30</w:t>
            </w:r>
            <w:r>
              <w:fldChar w:fldCharType="end"/>
            </w:r>
          </w:hyperlink>
        </w:p>
        <w:p w:rsidR="50C65511" w:rsidP="407E75B8" w:rsidRDefault="50C65511" w14:paraId="7A6B09B9" w14:textId="6A14E1D2">
          <w:pPr>
            <w:pStyle w:val="TOC3"/>
            <w:tabs>
              <w:tab w:val="right" w:leader="dot" w:pos="9360"/>
            </w:tabs>
            <w:bidi w:val="0"/>
            <w:spacing w:before="240" w:beforeAutospacing="off" w:after="240" w:afterAutospacing="off"/>
            <w:rPr>
              <w:rStyle w:val="Hyperlink"/>
            </w:rPr>
          </w:pPr>
          <w:hyperlink w:anchor="_Toc1840311676">
            <w:r w:rsidRPr="668EA0FB" w:rsidR="668EA0FB">
              <w:rPr>
                <w:rStyle w:val="Hyperlink"/>
              </w:rPr>
              <w:t>4.5.10 Article 10: Kentab B.Y., et al. (Global)</w:t>
            </w:r>
            <w:r>
              <w:tab/>
            </w:r>
            <w:r>
              <w:fldChar w:fldCharType="begin"/>
            </w:r>
            <w:r>
              <w:instrText xml:space="preserve">PAGEREF _Toc1840311676 \h</w:instrText>
            </w:r>
            <w:r>
              <w:fldChar w:fldCharType="separate"/>
            </w:r>
            <w:r w:rsidRPr="668EA0FB" w:rsidR="668EA0FB">
              <w:rPr>
                <w:rStyle w:val="Hyperlink"/>
              </w:rPr>
              <w:t>30</w:t>
            </w:r>
            <w:r>
              <w:fldChar w:fldCharType="end"/>
            </w:r>
          </w:hyperlink>
        </w:p>
        <w:p w:rsidR="50C65511" w:rsidP="407E75B8" w:rsidRDefault="50C65511" w14:paraId="193294A8" w14:textId="3E06D34C">
          <w:pPr>
            <w:pStyle w:val="TOC3"/>
            <w:tabs>
              <w:tab w:val="right" w:leader="dot" w:pos="9360"/>
            </w:tabs>
            <w:bidi w:val="0"/>
            <w:spacing w:before="240" w:beforeAutospacing="off" w:after="240" w:afterAutospacing="off"/>
            <w:rPr>
              <w:rStyle w:val="Hyperlink"/>
            </w:rPr>
          </w:pPr>
          <w:hyperlink w:anchor="_Toc2012673798">
            <w:r w:rsidRPr="668EA0FB" w:rsidR="668EA0FB">
              <w:rPr>
                <w:rStyle w:val="Hyperlink"/>
              </w:rPr>
              <w:t>4.5.11 Article 11: Atif M., et al. (South Asia)</w:t>
            </w:r>
            <w:r>
              <w:tab/>
            </w:r>
            <w:r>
              <w:fldChar w:fldCharType="begin"/>
            </w:r>
            <w:r>
              <w:instrText xml:space="preserve">PAGEREF _Toc2012673798 \h</w:instrText>
            </w:r>
            <w:r>
              <w:fldChar w:fldCharType="separate"/>
            </w:r>
            <w:r w:rsidRPr="668EA0FB" w:rsidR="668EA0FB">
              <w:rPr>
                <w:rStyle w:val="Hyperlink"/>
              </w:rPr>
              <w:t>31</w:t>
            </w:r>
            <w:r>
              <w:fldChar w:fldCharType="end"/>
            </w:r>
          </w:hyperlink>
        </w:p>
        <w:p w:rsidR="50C65511" w:rsidP="407E75B8" w:rsidRDefault="50C65511" w14:paraId="4779E6FB" w14:textId="5A313D5E">
          <w:pPr>
            <w:pStyle w:val="TOC3"/>
            <w:tabs>
              <w:tab w:val="right" w:leader="dot" w:pos="9360"/>
            </w:tabs>
            <w:bidi w:val="0"/>
            <w:spacing w:before="240" w:beforeAutospacing="off" w:after="240" w:afterAutospacing="off"/>
            <w:rPr>
              <w:rStyle w:val="Hyperlink"/>
            </w:rPr>
          </w:pPr>
          <w:hyperlink w:anchor="_Toc579304991">
            <w:r w:rsidRPr="668EA0FB" w:rsidR="668EA0FB">
              <w:rPr>
                <w:rStyle w:val="Hyperlink"/>
              </w:rPr>
              <w:t>4.5.12 Article 12: Kamba P.F., et al. (Uganda)</w:t>
            </w:r>
            <w:r>
              <w:tab/>
            </w:r>
            <w:r>
              <w:fldChar w:fldCharType="begin"/>
            </w:r>
            <w:r>
              <w:instrText xml:space="preserve">PAGEREF _Toc579304991 \h</w:instrText>
            </w:r>
            <w:r>
              <w:fldChar w:fldCharType="separate"/>
            </w:r>
            <w:r w:rsidRPr="668EA0FB" w:rsidR="668EA0FB">
              <w:rPr>
                <w:rStyle w:val="Hyperlink"/>
              </w:rPr>
              <w:t>31</w:t>
            </w:r>
            <w:r>
              <w:fldChar w:fldCharType="end"/>
            </w:r>
          </w:hyperlink>
        </w:p>
        <w:p w:rsidR="50C65511" w:rsidP="668EA0FB" w:rsidRDefault="50C65511" w14:paraId="608CEB5A" w14:textId="606F94F3">
          <w:pPr>
            <w:pStyle w:val="TOC3"/>
            <w:tabs>
              <w:tab w:val="right" w:leader="dot" w:pos="9360"/>
            </w:tabs>
            <w:bidi w:val="0"/>
            <w:spacing w:before="240" w:beforeAutospacing="off" w:after="240" w:afterAutospacing="off"/>
            <w:rPr>
              <w:rStyle w:val="Hyperlink"/>
            </w:rPr>
          </w:pPr>
          <w:hyperlink w:anchor="_Toc173046521">
            <w:r w:rsidRPr="668EA0FB" w:rsidR="668EA0FB">
              <w:rPr>
                <w:rStyle w:val="Hyperlink"/>
              </w:rPr>
              <w:t>4.6 Chapter Summary</w:t>
            </w:r>
            <w:r>
              <w:tab/>
            </w:r>
            <w:r>
              <w:fldChar w:fldCharType="begin"/>
            </w:r>
            <w:r>
              <w:instrText xml:space="preserve">PAGEREF _Toc173046521 \h</w:instrText>
            </w:r>
            <w:r>
              <w:fldChar w:fldCharType="separate"/>
            </w:r>
            <w:r w:rsidRPr="668EA0FB" w:rsidR="668EA0FB">
              <w:rPr>
                <w:rStyle w:val="Hyperlink"/>
              </w:rPr>
              <w:t>31</w:t>
            </w:r>
            <w:r>
              <w:fldChar w:fldCharType="end"/>
            </w:r>
          </w:hyperlink>
        </w:p>
        <w:p w:rsidR="50C65511" w:rsidP="668EA0FB" w:rsidRDefault="50C65511" w14:paraId="456C77C4" w14:textId="03B32DE6">
          <w:pPr>
            <w:pStyle w:val="TOC1"/>
            <w:tabs>
              <w:tab w:val="right" w:leader="dot" w:pos="9360"/>
            </w:tabs>
            <w:bidi w:val="0"/>
            <w:spacing w:before="240" w:beforeAutospacing="off" w:after="240" w:afterAutospacing="off"/>
            <w:rPr>
              <w:rStyle w:val="Hyperlink"/>
            </w:rPr>
          </w:pPr>
          <w:hyperlink w:anchor="_Toc1826482306">
            <w:r w:rsidRPr="668EA0FB" w:rsidR="668EA0FB">
              <w:rPr>
                <w:rStyle w:val="Hyperlink"/>
              </w:rPr>
              <w:t>CHAPTER 5:</w:t>
            </w:r>
            <w:r>
              <w:tab/>
            </w:r>
            <w:r>
              <w:fldChar w:fldCharType="begin"/>
            </w:r>
            <w:r>
              <w:instrText xml:space="preserve">PAGEREF _Toc1826482306 \h</w:instrText>
            </w:r>
            <w:r>
              <w:fldChar w:fldCharType="separate"/>
            </w:r>
            <w:r w:rsidRPr="668EA0FB" w:rsidR="668EA0FB">
              <w:rPr>
                <w:rStyle w:val="Hyperlink"/>
              </w:rPr>
              <w:t>32</w:t>
            </w:r>
            <w:r>
              <w:fldChar w:fldCharType="end"/>
            </w:r>
          </w:hyperlink>
        </w:p>
        <w:p w:rsidR="50C65511" w:rsidP="668EA0FB" w:rsidRDefault="50C65511" w14:paraId="1A19D589" w14:textId="59CC4E22">
          <w:pPr>
            <w:pStyle w:val="TOC2"/>
            <w:tabs>
              <w:tab w:val="right" w:leader="dot" w:pos="9360"/>
            </w:tabs>
            <w:bidi w:val="0"/>
            <w:spacing w:before="240" w:beforeAutospacing="off" w:after="240" w:afterAutospacing="off"/>
            <w:rPr>
              <w:rStyle w:val="Hyperlink"/>
            </w:rPr>
          </w:pPr>
          <w:hyperlink w:anchor="_Toc343549227">
            <w:r w:rsidRPr="668EA0FB" w:rsidR="668EA0FB">
              <w:rPr>
                <w:rStyle w:val="Hyperlink"/>
              </w:rPr>
              <w:t>5.1 Introduction</w:t>
            </w:r>
            <w:r>
              <w:tab/>
            </w:r>
            <w:r>
              <w:fldChar w:fldCharType="begin"/>
            </w:r>
            <w:r>
              <w:instrText xml:space="preserve">PAGEREF _Toc343549227 \h</w:instrText>
            </w:r>
            <w:r>
              <w:fldChar w:fldCharType="separate"/>
            </w:r>
            <w:r w:rsidRPr="668EA0FB" w:rsidR="668EA0FB">
              <w:rPr>
                <w:rStyle w:val="Hyperlink"/>
              </w:rPr>
              <w:t>32</w:t>
            </w:r>
            <w:r>
              <w:fldChar w:fldCharType="end"/>
            </w:r>
          </w:hyperlink>
        </w:p>
        <w:p w:rsidR="50C65511" w:rsidP="668EA0FB" w:rsidRDefault="50C65511" w14:paraId="2ECC34AC" w14:textId="2D203D89">
          <w:pPr>
            <w:pStyle w:val="TOC2"/>
            <w:tabs>
              <w:tab w:val="right" w:leader="dot" w:pos="9360"/>
            </w:tabs>
            <w:bidi w:val="0"/>
            <w:spacing w:before="240" w:beforeAutospacing="off" w:after="240" w:afterAutospacing="off"/>
            <w:rPr>
              <w:rStyle w:val="Hyperlink"/>
            </w:rPr>
          </w:pPr>
          <w:hyperlink w:anchor="_Toc42389750">
            <w:r w:rsidRPr="668EA0FB" w:rsidR="668EA0FB">
              <w:rPr>
                <w:rStyle w:val="Hyperlink"/>
              </w:rPr>
              <w:t>5.3 Characteristics of the Identified Studies</w:t>
            </w:r>
            <w:r>
              <w:tab/>
            </w:r>
            <w:r>
              <w:fldChar w:fldCharType="begin"/>
            </w:r>
            <w:r>
              <w:instrText xml:space="preserve">PAGEREF _Toc42389750 \h</w:instrText>
            </w:r>
            <w:r>
              <w:fldChar w:fldCharType="separate"/>
            </w:r>
            <w:r w:rsidRPr="668EA0FB" w:rsidR="668EA0FB">
              <w:rPr>
                <w:rStyle w:val="Hyperlink"/>
              </w:rPr>
              <w:t>33</w:t>
            </w:r>
            <w:r>
              <w:fldChar w:fldCharType="end"/>
            </w:r>
          </w:hyperlink>
        </w:p>
        <w:p w:rsidR="50C65511" w:rsidP="407E75B8" w:rsidRDefault="50C65511" w14:paraId="37215702" w14:textId="541BCDFC">
          <w:pPr>
            <w:pStyle w:val="TOC3"/>
            <w:tabs>
              <w:tab w:val="right" w:leader="dot" w:pos="9360"/>
            </w:tabs>
            <w:bidi w:val="0"/>
            <w:spacing w:before="240" w:beforeAutospacing="off" w:after="240" w:afterAutospacing="off"/>
            <w:rPr>
              <w:rStyle w:val="Hyperlink"/>
            </w:rPr>
          </w:pPr>
          <w:hyperlink w:anchor="_Toc904925274">
            <w:r w:rsidRPr="668EA0FB" w:rsidR="668EA0FB">
              <w:rPr>
                <w:rStyle w:val="Hyperlink"/>
              </w:rPr>
              <w:t>5.4 Thematic Analysis (Expanded Version)</w:t>
            </w:r>
            <w:r>
              <w:tab/>
            </w:r>
            <w:r>
              <w:fldChar w:fldCharType="begin"/>
            </w:r>
            <w:r>
              <w:instrText xml:space="preserve">PAGEREF _Toc904925274 \h</w:instrText>
            </w:r>
            <w:r>
              <w:fldChar w:fldCharType="separate"/>
            </w:r>
            <w:r w:rsidRPr="668EA0FB" w:rsidR="668EA0FB">
              <w:rPr>
                <w:rStyle w:val="Hyperlink"/>
              </w:rPr>
              <w:t>33</w:t>
            </w:r>
            <w:r>
              <w:fldChar w:fldCharType="end"/>
            </w:r>
          </w:hyperlink>
        </w:p>
        <w:p w:rsidR="50C65511" w:rsidP="668EA0FB" w:rsidRDefault="50C65511" w14:paraId="0FDAF1EE" w14:textId="15D38A01">
          <w:pPr>
            <w:pStyle w:val="TOC2"/>
            <w:tabs>
              <w:tab w:val="right" w:leader="dot" w:pos="9360"/>
            </w:tabs>
            <w:bidi w:val="0"/>
            <w:spacing w:before="240" w:beforeAutospacing="off" w:after="240" w:afterAutospacing="off"/>
            <w:rPr>
              <w:rStyle w:val="Hyperlink"/>
            </w:rPr>
          </w:pPr>
          <w:hyperlink w:anchor="_Toc1601825682">
            <w:r w:rsidRPr="668EA0FB" w:rsidR="668EA0FB">
              <w:rPr>
                <w:rStyle w:val="Hyperlink"/>
              </w:rPr>
              <w:t>5.4.1 Theme 1: Knowledge Gaps and Training Deficiencies Among Pharmacists Affect Medication Safety</w:t>
            </w:r>
            <w:r>
              <w:tab/>
            </w:r>
            <w:r>
              <w:fldChar w:fldCharType="begin"/>
            </w:r>
            <w:r>
              <w:instrText xml:space="preserve">PAGEREF _Toc1601825682 \h</w:instrText>
            </w:r>
            <w:r>
              <w:fldChar w:fldCharType="separate"/>
            </w:r>
            <w:r w:rsidRPr="668EA0FB" w:rsidR="668EA0FB">
              <w:rPr>
                <w:rStyle w:val="Hyperlink"/>
              </w:rPr>
              <w:t>36</w:t>
            </w:r>
            <w:r>
              <w:fldChar w:fldCharType="end"/>
            </w:r>
          </w:hyperlink>
        </w:p>
        <w:p w:rsidR="50C65511" w:rsidP="668EA0FB" w:rsidRDefault="50C65511" w14:paraId="2BE87344" w14:textId="0D763833">
          <w:pPr>
            <w:pStyle w:val="TOC2"/>
            <w:tabs>
              <w:tab w:val="right" w:leader="dot" w:pos="9360"/>
            </w:tabs>
            <w:bidi w:val="0"/>
            <w:spacing w:before="240" w:beforeAutospacing="off" w:after="240" w:afterAutospacing="off"/>
            <w:rPr>
              <w:rStyle w:val="Hyperlink"/>
            </w:rPr>
          </w:pPr>
          <w:hyperlink w:anchor="_Toc801519169">
            <w:r w:rsidRPr="668EA0FB" w:rsidR="668EA0FB">
              <w:rPr>
                <w:rStyle w:val="Hyperlink"/>
              </w:rPr>
              <w:t>5.4.2 Theme 2: Systemic and Organisational Barriers Impede Safe Dispensing Practices</w:t>
            </w:r>
            <w:r>
              <w:tab/>
            </w:r>
            <w:r>
              <w:fldChar w:fldCharType="begin"/>
            </w:r>
            <w:r>
              <w:instrText xml:space="preserve">PAGEREF _Toc801519169 \h</w:instrText>
            </w:r>
            <w:r>
              <w:fldChar w:fldCharType="separate"/>
            </w:r>
            <w:r w:rsidRPr="668EA0FB" w:rsidR="668EA0FB">
              <w:rPr>
                <w:rStyle w:val="Hyperlink"/>
              </w:rPr>
              <w:t>37</w:t>
            </w:r>
            <w:r>
              <w:fldChar w:fldCharType="end"/>
            </w:r>
          </w:hyperlink>
        </w:p>
        <w:p w:rsidR="50C65511" w:rsidP="668EA0FB" w:rsidRDefault="50C65511" w14:paraId="57ED79F9" w14:textId="6BB6E547">
          <w:pPr>
            <w:pStyle w:val="TOC2"/>
            <w:tabs>
              <w:tab w:val="right" w:leader="dot" w:pos="9360"/>
            </w:tabs>
            <w:bidi w:val="0"/>
            <w:spacing w:before="240" w:beforeAutospacing="off" w:after="240" w:afterAutospacing="off"/>
            <w:rPr>
              <w:rStyle w:val="Hyperlink"/>
            </w:rPr>
          </w:pPr>
          <w:hyperlink w:anchor="_Toc1308758747">
            <w:r w:rsidRPr="668EA0FB" w:rsidR="668EA0FB">
              <w:rPr>
                <w:rStyle w:val="Hyperlink"/>
              </w:rPr>
              <w:t>5.4.3 Theme 3: Ethical Challenges and Socio-Cultural Influences Shape Pharmacists’ Attitudes Toward Error Reporting</w:t>
            </w:r>
            <w:r>
              <w:tab/>
            </w:r>
            <w:r>
              <w:fldChar w:fldCharType="begin"/>
            </w:r>
            <w:r>
              <w:instrText xml:space="preserve">PAGEREF _Toc1308758747 \h</w:instrText>
            </w:r>
            <w:r>
              <w:fldChar w:fldCharType="separate"/>
            </w:r>
            <w:r w:rsidRPr="668EA0FB" w:rsidR="668EA0FB">
              <w:rPr>
                <w:rStyle w:val="Hyperlink"/>
              </w:rPr>
              <w:t>38</w:t>
            </w:r>
            <w:r>
              <w:fldChar w:fldCharType="end"/>
            </w:r>
          </w:hyperlink>
        </w:p>
        <w:p w:rsidR="50C65511" w:rsidP="668EA0FB" w:rsidRDefault="50C65511" w14:paraId="29415DEC" w14:textId="70A20B10">
          <w:pPr>
            <w:pStyle w:val="TOC2"/>
            <w:tabs>
              <w:tab w:val="right" w:leader="dot" w:pos="9360"/>
            </w:tabs>
            <w:bidi w:val="0"/>
            <w:spacing w:before="240" w:beforeAutospacing="off" w:after="240" w:afterAutospacing="off"/>
            <w:rPr>
              <w:rStyle w:val="Hyperlink"/>
            </w:rPr>
          </w:pPr>
          <w:hyperlink w:anchor="_Toc784717496">
            <w:r w:rsidRPr="668EA0FB" w:rsidR="668EA0FB">
              <w:rPr>
                <w:rStyle w:val="Hyperlink"/>
              </w:rPr>
              <w:t>5.4.4 Theme 4: Quality Improvement Initiatives and Technology Adoption Enhance Medication Safety in Pharmacy Settings</w:t>
            </w:r>
            <w:r>
              <w:tab/>
            </w:r>
            <w:r>
              <w:fldChar w:fldCharType="begin"/>
            </w:r>
            <w:r>
              <w:instrText xml:space="preserve">PAGEREF _Toc784717496 \h</w:instrText>
            </w:r>
            <w:r>
              <w:fldChar w:fldCharType="separate"/>
            </w:r>
            <w:r w:rsidRPr="668EA0FB" w:rsidR="668EA0FB">
              <w:rPr>
                <w:rStyle w:val="Hyperlink"/>
              </w:rPr>
              <w:t>39</w:t>
            </w:r>
            <w:r>
              <w:fldChar w:fldCharType="end"/>
            </w:r>
          </w:hyperlink>
        </w:p>
        <w:p w:rsidR="50C65511" w:rsidP="668EA0FB" w:rsidRDefault="50C65511" w14:paraId="5A30BC01" w14:textId="77A57264">
          <w:pPr>
            <w:pStyle w:val="TOC2"/>
            <w:tabs>
              <w:tab w:val="right" w:leader="dot" w:pos="9360"/>
            </w:tabs>
            <w:bidi w:val="0"/>
            <w:spacing w:before="240" w:beforeAutospacing="off" w:after="240" w:afterAutospacing="off"/>
            <w:rPr>
              <w:rStyle w:val="Hyperlink"/>
            </w:rPr>
          </w:pPr>
          <w:hyperlink w:anchor="_Toc395078576">
            <w:r w:rsidRPr="668EA0FB" w:rsidR="668EA0FB">
              <w:rPr>
                <w:rStyle w:val="Hyperlink"/>
              </w:rPr>
              <w:t>5.5 Chapter Summary (Expanded)</w:t>
            </w:r>
            <w:r>
              <w:tab/>
            </w:r>
            <w:r>
              <w:fldChar w:fldCharType="begin"/>
            </w:r>
            <w:r>
              <w:instrText xml:space="preserve">PAGEREF _Toc395078576 \h</w:instrText>
            </w:r>
            <w:r>
              <w:fldChar w:fldCharType="separate"/>
            </w:r>
            <w:r w:rsidRPr="668EA0FB" w:rsidR="668EA0FB">
              <w:rPr>
                <w:rStyle w:val="Hyperlink"/>
              </w:rPr>
              <w:t>40</w:t>
            </w:r>
            <w:r>
              <w:fldChar w:fldCharType="end"/>
            </w:r>
          </w:hyperlink>
        </w:p>
        <w:p w:rsidR="50C65511" w:rsidP="668EA0FB" w:rsidRDefault="50C65511" w14:paraId="4A01B7B7" w14:textId="34561802">
          <w:pPr>
            <w:pStyle w:val="TOC1"/>
            <w:tabs>
              <w:tab w:val="right" w:leader="dot" w:pos="9360"/>
            </w:tabs>
            <w:bidi w:val="0"/>
            <w:spacing w:before="240" w:beforeAutospacing="off" w:after="240" w:afterAutospacing="off"/>
            <w:rPr>
              <w:rStyle w:val="Hyperlink"/>
            </w:rPr>
          </w:pPr>
          <w:hyperlink w:anchor="_Toc251427376">
            <w:r w:rsidRPr="668EA0FB" w:rsidR="668EA0FB">
              <w:rPr>
                <w:rStyle w:val="Hyperlink"/>
              </w:rPr>
              <w:t>CHAPTER 6: DISCUSSION</w:t>
            </w:r>
            <w:r>
              <w:tab/>
            </w:r>
            <w:r>
              <w:fldChar w:fldCharType="begin"/>
            </w:r>
            <w:r>
              <w:instrText xml:space="preserve">PAGEREF _Toc251427376 \h</w:instrText>
            </w:r>
            <w:r>
              <w:fldChar w:fldCharType="separate"/>
            </w:r>
            <w:r w:rsidRPr="668EA0FB" w:rsidR="668EA0FB">
              <w:rPr>
                <w:rStyle w:val="Hyperlink"/>
              </w:rPr>
              <w:t>40</w:t>
            </w:r>
            <w:r>
              <w:fldChar w:fldCharType="end"/>
            </w:r>
          </w:hyperlink>
        </w:p>
        <w:p w:rsidR="50C65511" w:rsidP="668EA0FB" w:rsidRDefault="50C65511" w14:paraId="099D33DE" w14:textId="15DA9258">
          <w:pPr>
            <w:pStyle w:val="TOC2"/>
            <w:tabs>
              <w:tab w:val="right" w:leader="dot" w:pos="9360"/>
            </w:tabs>
            <w:bidi w:val="0"/>
            <w:spacing w:before="240" w:beforeAutospacing="off" w:after="240" w:afterAutospacing="off"/>
            <w:rPr>
              <w:rStyle w:val="Hyperlink"/>
            </w:rPr>
          </w:pPr>
          <w:hyperlink w:anchor="_Toc694581113">
            <w:r w:rsidRPr="668EA0FB" w:rsidR="668EA0FB">
              <w:rPr>
                <w:rStyle w:val="Hyperlink"/>
              </w:rPr>
              <w:t>6.1 Introduction</w:t>
            </w:r>
            <w:r>
              <w:tab/>
            </w:r>
            <w:r>
              <w:fldChar w:fldCharType="begin"/>
            </w:r>
            <w:r>
              <w:instrText xml:space="preserve">PAGEREF _Toc694581113 \h</w:instrText>
            </w:r>
            <w:r>
              <w:fldChar w:fldCharType="separate"/>
            </w:r>
            <w:r w:rsidRPr="668EA0FB" w:rsidR="668EA0FB">
              <w:rPr>
                <w:rStyle w:val="Hyperlink"/>
              </w:rPr>
              <w:t>40</w:t>
            </w:r>
            <w:r>
              <w:fldChar w:fldCharType="end"/>
            </w:r>
          </w:hyperlink>
        </w:p>
        <w:p w:rsidR="50C65511" w:rsidP="668EA0FB" w:rsidRDefault="50C65511" w14:paraId="518E86B1" w14:textId="40F3B4C3">
          <w:pPr>
            <w:pStyle w:val="TOC2"/>
            <w:tabs>
              <w:tab w:val="right" w:leader="dot" w:pos="9360"/>
            </w:tabs>
            <w:bidi w:val="0"/>
            <w:spacing w:before="240" w:beforeAutospacing="off" w:after="240" w:afterAutospacing="off"/>
            <w:rPr>
              <w:rStyle w:val="Hyperlink"/>
            </w:rPr>
          </w:pPr>
          <w:hyperlink w:anchor="_Toc1406188213">
            <w:r w:rsidRPr="668EA0FB" w:rsidR="668EA0FB">
              <w:rPr>
                <w:rStyle w:val="Hyperlink"/>
              </w:rPr>
              <w:t>6.2 Systemic and Organisational Barriers (Theme 2 Alignment)</w:t>
            </w:r>
            <w:r>
              <w:tab/>
            </w:r>
            <w:r>
              <w:fldChar w:fldCharType="begin"/>
            </w:r>
            <w:r>
              <w:instrText xml:space="preserve">PAGEREF _Toc1406188213 \h</w:instrText>
            </w:r>
            <w:r>
              <w:fldChar w:fldCharType="separate"/>
            </w:r>
            <w:r w:rsidRPr="668EA0FB" w:rsidR="668EA0FB">
              <w:rPr>
                <w:rStyle w:val="Hyperlink"/>
              </w:rPr>
              <w:t>41</w:t>
            </w:r>
            <w:r>
              <w:fldChar w:fldCharType="end"/>
            </w:r>
          </w:hyperlink>
        </w:p>
        <w:p w:rsidR="50C65511" w:rsidP="407E75B8" w:rsidRDefault="50C65511" w14:paraId="6D3BFCBB" w14:textId="7465E9EA">
          <w:pPr>
            <w:pStyle w:val="TOC2"/>
            <w:tabs>
              <w:tab w:val="right" w:leader="dot" w:pos="9360"/>
            </w:tabs>
            <w:bidi w:val="0"/>
            <w:spacing w:before="240" w:beforeAutospacing="off" w:after="240" w:afterAutospacing="off"/>
            <w:rPr>
              <w:rStyle w:val="Hyperlink"/>
            </w:rPr>
          </w:pPr>
          <w:hyperlink w:anchor="_Toc1241293388">
            <w:r w:rsidRPr="668EA0FB" w:rsidR="668EA0FB">
              <w:rPr>
                <w:rStyle w:val="Hyperlink"/>
              </w:rPr>
              <w:t>6.3 Impact on Patient Outcomes</w:t>
            </w:r>
            <w:r>
              <w:tab/>
            </w:r>
            <w:r>
              <w:fldChar w:fldCharType="begin"/>
            </w:r>
            <w:r>
              <w:instrText xml:space="preserve">PAGEREF _Toc1241293388 \h</w:instrText>
            </w:r>
            <w:r>
              <w:fldChar w:fldCharType="separate"/>
            </w:r>
            <w:r w:rsidRPr="668EA0FB" w:rsidR="668EA0FB">
              <w:rPr>
                <w:rStyle w:val="Hyperlink"/>
              </w:rPr>
              <w:t>42</w:t>
            </w:r>
            <w:r>
              <w:fldChar w:fldCharType="end"/>
            </w:r>
          </w:hyperlink>
        </w:p>
        <w:p w:rsidR="50C65511" w:rsidP="668EA0FB" w:rsidRDefault="50C65511" w14:paraId="49145206" w14:textId="12B754B8">
          <w:pPr>
            <w:pStyle w:val="TOC2"/>
            <w:tabs>
              <w:tab w:val="right" w:leader="dot" w:pos="9360"/>
            </w:tabs>
            <w:bidi w:val="0"/>
            <w:spacing w:before="240" w:beforeAutospacing="off" w:after="240" w:afterAutospacing="off"/>
            <w:rPr>
              <w:rStyle w:val="Hyperlink"/>
            </w:rPr>
          </w:pPr>
          <w:hyperlink w:anchor="_Toc757242856">
            <w:r w:rsidRPr="668EA0FB" w:rsidR="668EA0FB">
              <w:rPr>
                <w:rStyle w:val="Hyperlink"/>
              </w:rPr>
              <w:t>6.4 Cultural and Ethical Standards (Theme 3 Alignment)</w:t>
            </w:r>
            <w:r>
              <w:tab/>
            </w:r>
            <w:r>
              <w:fldChar w:fldCharType="begin"/>
            </w:r>
            <w:r>
              <w:instrText xml:space="preserve">PAGEREF _Toc757242856 \h</w:instrText>
            </w:r>
            <w:r>
              <w:fldChar w:fldCharType="separate"/>
            </w:r>
            <w:r w:rsidRPr="668EA0FB" w:rsidR="668EA0FB">
              <w:rPr>
                <w:rStyle w:val="Hyperlink"/>
              </w:rPr>
              <w:t>43</w:t>
            </w:r>
            <w:r>
              <w:fldChar w:fldCharType="end"/>
            </w:r>
          </w:hyperlink>
        </w:p>
        <w:p w:rsidR="50C65511" w:rsidP="668EA0FB" w:rsidRDefault="50C65511" w14:paraId="323A6BFD" w14:textId="25875606">
          <w:pPr>
            <w:pStyle w:val="TOC2"/>
            <w:tabs>
              <w:tab w:val="right" w:leader="dot" w:pos="9360"/>
            </w:tabs>
            <w:bidi w:val="0"/>
            <w:spacing w:before="240" w:beforeAutospacing="off" w:after="240" w:afterAutospacing="off"/>
            <w:rPr>
              <w:rStyle w:val="Hyperlink"/>
            </w:rPr>
          </w:pPr>
          <w:hyperlink w:anchor="_Toc1367855884">
            <w:r w:rsidRPr="668EA0FB" w:rsidR="668EA0FB">
              <w:rPr>
                <w:rStyle w:val="Hyperlink"/>
              </w:rPr>
              <w:t>6.5 Avoidance Behaviours and Family Roles (Theme 3 Extension)</w:t>
            </w:r>
            <w:r>
              <w:tab/>
            </w:r>
            <w:r>
              <w:fldChar w:fldCharType="begin"/>
            </w:r>
            <w:r>
              <w:instrText xml:space="preserve">PAGEREF _Toc1367855884 \h</w:instrText>
            </w:r>
            <w:r>
              <w:fldChar w:fldCharType="separate"/>
            </w:r>
            <w:r w:rsidRPr="668EA0FB" w:rsidR="668EA0FB">
              <w:rPr>
                <w:rStyle w:val="Hyperlink"/>
              </w:rPr>
              <w:t>44</w:t>
            </w:r>
            <w:r>
              <w:fldChar w:fldCharType="end"/>
            </w:r>
          </w:hyperlink>
        </w:p>
        <w:p w:rsidR="50C65511" w:rsidP="668EA0FB" w:rsidRDefault="50C65511" w14:paraId="4CE09ED6" w14:textId="032CA678">
          <w:pPr>
            <w:pStyle w:val="TOC2"/>
            <w:tabs>
              <w:tab w:val="right" w:leader="dot" w:pos="9360"/>
            </w:tabs>
            <w:bidi w:val="0"/>
            <w:spacing w:before="240" w:beforeAutospacing="off" w:after="240" w:afterAutospacing="off"/>
            <w:rPr>
              <w:rStyle w:val="Hyperlink"/>
            </w:rPr>
          </w:pPr>
          <w:hyperlink w:anchor="_Toc413241892">
            <w:r w:rsidRPr="668EA0FB" w:rsidR="668EA0FB">
              <w:rPr>
                <w:rStyle w:val="Hyperlink"/>
              </w:rPr>
              <w:t>6.6 Impact of Language Barriers (Theme 2 and 3 Alignment)</w:t>
            </w:r>
            <w:r>
              <w:tab/>
            </w:r>
            <w:r>
              <w:fldChar w:fldCharType="begin"/>
            </w:r>
            <w:r>
              <w:instrText xml:space="preserve">PAGEREF _Toc413241892 \h</w:instrText>
            </w:r>
            <w:r>
              <w:fldChar w:fldCharType="separate"/>
            </w:r>
            <w:r w:rsidRPr="668EA0FB" w:rsidR="668EA0FB">
              <w:rPr>
                <w:rStyle w:val="Hyperlink"/>
              </w:rPr>
              <w:t>44</w:t>
            </w:r>
            <w:r>
              <w:fldChar w:fldCharType="end"/>
            </w:r>
          </w:hyperlink>
        </w:p>
        <w:p w:rsidR="50C65511" w:rsidP="668EA0FB" w:rsidRDefault="50C65511" w14:paraId="14CECB9D" w14:textId="3ECAEDDB">
          <w:pPr>
            <w:pStyle w:val="TOC2"/>
            <w:tabs>
              <w:tab w:val="right" w:leader="dot" w:pos="9360"/>
            </w:tabs>
            <w:bidi w:val="0"/>
            <w:spacing w:before="240" w:beforeAutospacing="off" w:after="240" w:afterAutospacing="off"/>
            <w:rPr>
              <w:rStyle w:val="Hyperlink"/>
            </w:rPr>
          </w:pPr>
          <w:hyperlink w:anchor="_Toc2141614408">
            <w:r w:rsidRPr="668EA0FB" w:rsidR="668EA0FB">
              <w:rPr>
                <w:rStyle w:val="Hyperlink"/>
              </w:rPr>
              <w:t>6.7 Socioeconomic Disadvantages (Theme 4 Context)</w:t>
            </w:r>
            <w:r>
              <w:tab/>
            </w:r>
            <w:r>
              <w:fldChar w:fldCharType="begin"/>
            </w:r>
            <w:r>
              <w:instrText xml:space="preserve">PAGEREF _Toc2141614408 \h</w:instrText>
            </w:r>
            <w:r>
              <w:fldChar w:fldCharType="separate"/>
            </w:r>
            <w:r w:rsidRPr="668EA0FB" w:rsidR="668EA0FB">
              <w:rPr>
                <w:rStyle w:val="Hyperlink"/>
              </w:rPr>
              <w:t>45</w:t>
            </w:r>
            <w:r>
              <w:fldChar w:fldCharType="end"/>
            </w:r>
          </w:hyperlink>
        </w:p>
        <w:p w:rsidR="50C65511" w:rsidP="407E75B8" w:rsidRDefault="50C65511" w14:paraId="7444B87A" w14:textId="39E8EFD3">
          <w:pPr>
            <w:pStyle w:val="TOC2"/>
            <w:tabs>
              <w:tab w:val="right" w:leader="dot" w:pos="9360"/>
            </w:tabs>
            <w:bidi w:val="0"/>
            <w:spacing w:before="240" w:beforeAutospacing="off" w:after="240" w:afterAutospacing="off"/>
            <w:rPr>
              <w:rStyle w:val="Hyperlink"/>
            </w:rPr>
          </w:pPr>
          <w:hyperlink w:anchor="_Toc977731974">
            <w:r w:rsidRPr="668EA0FB" w:rsidR="668EA0FB">
              <w:rPr>
                <w:rStyle w:val="Hyperlink"/>
              </w:rPr>
              <w:t>6.8 Recommendations for Improvement</w:t>
            </w:r>
            <w:r>
              <w:tab/>
            </w:r>
            <w:r>
              <w:fldChar w:fldCharType="begin"/>
            </w:r>
            <w:r>
              <w:instrText xml:space="preserve">PAGEREF _Toc977731974 \h</w:instrText>
            </w:r>
            <w:r>
              <w:fldChar w:fldCharType="separate"/>
            </w:r>
            <w:r w:rsidRPr="668EA0FB" w:rsidR="668EA0FB">
              <w:rPr>
                <w:rStyle w:val="Hyperlink"/>
              </w:rPr>
              <w:t>45</w:t>
            </w:r>
            <w:r>
              <w:fldChar w:fldCharType="end"/>
            </w:r>
          </w:hyperlink>
        </w:p>
        <w:p w:rsidR="668EA0FB" w:rsidP="668EA0FB" w:rsidRDefault="668EA0FB" w14:paraId="50D65B05" w14:textId="0DEDAB3F">
          <w:pPr>
            <w:pStyle w:val="TOC2"/>
            <w:tabs>
              <w:tab w:val="right" w:leader="dot" w:pos="9360"/>
            </w:tabs>
            <w:bidi w:val="0"/>
            <w:rPr>
              <w:rStyle w:val="Hyperlink"/>
            </w:rPr>
          </w:pPr>
          <w:hyperlink w:anchor="_Toc829119985">
            <w:r w:rsidRPr="668EA0FB" w:rsidR="668EA0FB">
              <w:rPr>
                <w:rStyle w:val="Hyperlink"/>
              </w:rPr>
              <w:t>6.9 Implications for Policy and Practice</w:t>
            </w:r>
            <w:r>
              <w:tab/>
            </w:r>
            <w:r>
              <w:fldChar w:fldCharType="begin"/>
            </w:r>
            <w:r>
              <w:instrText xml:space="preserve">PAGEREF _Toc829119985 \h</w:instrText>
            </w:r>
            <w:r>
              <w:fldChar w:fldCharType="separate"/>
            </w:r>
            <w:r w:rsidRPr="668EA0FB" w:rsidR="668EA0FB">
              <w:rPr>
                <w:rStyle w:val="Hyperlink"/>
              </w:rPr>
              <w:t>46</w:t>
            </w:r>
            <w:r>
              <w:fldChar w:fldCharType="end"/>
            </w:r>
          </w:hyperlink>
        </w:p>
        <w:p w:rsidR="668EA0FB" w:rsidP="668EA0FB" w:rsidRDefault="668EA0FB" w14:paraId="0F3A9189" w14:textId="487C2D14">
          <w:pPr>
            <w:pStyle w:val="TOC2"/>
            <w:tabs>
              <w:tab w:val="right" w:leader="dot" w:pos="9360"/>
            </w:tabs>
            <w:bidi w:val="0"/>
            <w:rPr>
              <w:rStyle w:val="Hyperlink"/>
            </w:rPr>
          </w:pPr>
          <w:hyperlink w:anchor="_Toc476924354">
            <w:r w:rsidRPr="668EA0FB" w:rsidR="668EA0FB">
              <w:rPr>
                <w:rStyle w:val="Hyperlink"/>
              </w:rPr>
              <w:t>6.10 Strengths and Limitations</w:t>
            </w:r>
            <w:r>
              <w:tab/>
            </w:r>
            <w:r>
              <w:fldChar w:fldCharType="begin"/>
            </w:r>
            <w:r>
              <w:instrText xml:space="preserve">PAGEREF _Toc476924354 \h</w:instrText>
            </w:r>
            <w:r>
              <w:fldChar w:fldCharType="separate"/>
            </w:r>
            <w:r w:rsidRPr="668EA0FB" w:rsidR="668EA0FB">
              <w:rPr>
                <w:rStyle w:val="Hyperlink"/>
              </w:rPr>
              <w:t>46</w:t>
            </w:r>
            <w:r>
              <w:fldChar w:fldCharType="end"/>
            </w:r>
          </w:hyperlink>
        </w:p>
        <w:p w:rsidR="668EA0FB" w:rsidP="668EA0FB" w:rsidRDefault="668EA0FB" w14:paraId="33F623C2" w14:textId="77D84794">
          <w:pPr>
            <w:pStyle w:val="TOC2"/>
            <w:tabs>
              <w:tab w:val="right" w:leader="dot" w:pos="9360"/>
            </w:tabs>
            <w:bidi w:val="0"/>
            <w:rPr>
              <w:rStyle w:val="Hyperlink"/>
            </w:rPr>
          </w:pPr>
          <w:hyperlink w:anchor="_Toc474623536">
            <w:r w:rsidRPr="668EA0FB" w:rsidR="668EA0FB">
              <w:rPr>
                <w:rStyle w:val="Hyperlink"/>
              </w:rPr>
              <w:t>6.11 Summary</w:t>
            </w:r>
            <w:r>
              <w:tab/>
            </w:r>
            <w:r>
              <w:fldChar w:fldCharType="begin"/>
            </w:r>
            <w:r>
              <w:instrText xml:space="preserve">PAGEREF _Toc474623536 \h</w:instrText>
            </w:r>
            <w:r>
              <w:fldChar w:fldCharType="separate"/>
            </w:r>
            <w:r w:rsidRPr="668EA0FB" w:rsidR="668EA0FB">
              <w:rPr>
                <w:rStyle w:val="Hyperlink"/>
              </w:rPr>
              <w:t>47</w:t>
            </w:r>
            <w:r>
              <w:fldChar w:fldCharType="end"/>
            </w:r>
          </w:hyperlink>
        </w:p>
        <w:p w:rsidR="668EA0FB" w:rsidP="668EA0FB" w:rsidRDefault="668EA0FB" w14:paraId="77E8D890" w14:textId="13595B94">
          <w:pPr>
            <w:pStyle w:val="TOC1"/>
            <w:tabs>
              <w:tab w:val="right" w:leader="dot" w:pos="9360"/>
            </w:tabs>
            <w:bidi w:val="0"/>
            <w:rPr>
              <w:rStyle w:val="Hyperlink"/>
            </w:rPr>
          </w:pPr>
          <w:hyperlink w:anchor="_Toc1194094043">
            <w:r w:rsidRPr="668EA0FB" w:rsidR="668EA0FB">
              <w:rPr>
                <w:rStyle w:val="Hyperlink"/>
              </w:rPr>
              <w:t>CHAPTER 7: CONCLUSION AND RECOMMENDATIONS</w:t>
            </w:r>
            <w:r>
              <w:tab/>
            </w:r>
            <w:r>
              <w:fldChar w:fldCharType="begin"/>
            </w:r>
            <w:r>
              <w:instrText xml:space="preserve">PAGEREF _Toc1194094043 \h</w:instrText>
            </w:r>
            <w:r>
              <w:fldChar w:fldCharType="separate"/>
            </w:r>
            <w:r w:rsidRPr="668EA0FB" w:rsidR="668EA0FB">
              <w:rPr>
                <w:rStyle w:val="Hyperlink"/>
              </w:rPr>
              <w:t>47</w:t>
            </w:r>
            <w:r>
              <w:fldChar w:fldCharType="end"/>
            </w:r>
          </w:hyperlink>
        </w:p>
        <w:p w:rsidR="668EA0FB" w:rsidP="668EA0FB" w:rsidRDefault="668EA0FB" w14:paraId="4CA0C2B6" w14:textId="70A455DE">
          <w:pPr>
            <w:pStyle w:val="TOC2"/>
            <w:tabs>
              <w:tab w:val="right" w:leader="dot" w:pos="9360"/>
            </w:tabs>
            <w:bidi w:val="0"/>
            <w:rPr>
              <w:rStyle w:val="Hyperlink"/>
            </w:rPr>
          </w:pPr>
          <w:hyperlink w:anchor="_Toc906460404">
            <w:r w:rsidRPr="668EA0FB" w:rsidR="668EA0FB">
              <w:rPr>
                <w:rStyle w:val="Hyperlink"/>
              </w:rPr>
              <w:t>7.1 Introduction</w:t>
            </w:r>
            <w:r>
              <w:tab/>
            </w:r>
            <w:r>
              <w:fldChar w:fldCharType="begin"/>
            </w:r>
            <w:r>
              <w:instrText xml:space="preserve">PAGEREF _Toc906460404 \h</w:instrText>
            </w:r>
            <w:r>
              <w:fldChar w:fldCharType="separate"/>
            </w:r>
            <w:r w:rsidRPr="668EA0FB" w:rsidR="668EA0FB">
              <w:rPr>
                <w:rStyle w:val="Hyperlink"/>
              </w:rPr>
              <w:t>47</w:t>
            </w:r>
            <w:r>
              <w:fldChar w:fldCharType="end"/>
            </w:r>
          </w:hyperlink>
        </w:p>
        <w:p w:rsidR="668EA0FB" w:rsidP="668EA0FB" w:rsidRDefault="668EA0FB" w14:paraId="3E0402DB" w14:textId="450E2FB9">
          <w:pPr>
            <w:pStyle w:val="TOC2"/>
            <w:tabs>
              <w:tab w:val="right" w:leader="dot" w:pos="9360"/>
            </w:tabs>
            <w:bidi w:val="0"/>
            <w:rPr>
              <w:rStyle w:val="Hyperlink"/>
            </w:rPr>
          </w:pPr>
          <w:hyperlink w:anchor="_Toc1324398123">
            <w:r w:rsidRPr="668EA0FB" w:rsidR="668EA0FB">
              <w:rPr>
                <w:rStyle w:val="Hyperlink"/>
              </w:rPr>
              <w:t>7.2 Overall Conclusion</w:t>
            </w:r>
            <w:r>
              <w:tab/>
            </w:r>
            <w:r>
              <w:fldChar w:fldCharType="begin"/>
            </w:r>
            <w:r>
              <w:instrText xml:space="preserve">PAGEREF _Toc1324398123 \h</w:instrText>
            </w:r>
            <w:r>
              <w:fldChar w:fldCharType="separate"/>
            </w:r>
            <w:r w:rsidRPr="668EA0FB" w:rsidR="668EA0FB">
              <w:rPr>
                <w:rStyle w:val="Hyperlink"/>
              </w:rPr>
              <w:t>48</w:t>
            </w:r>
            <w:r>
              <w:fldChar w:fldCharType="end"/>
            </w:r>
          </w:hyperlink>
        </w:p>
        <w:p w:rsidR="668EA0FB" w:rsidP="668EA0FB" w:rsidRDefault="668EA0FB" w14:paraId="79D9B475" w14:textId="47BC4D87">
          <w:pPr>
            <w:pStyle w:val="TOC2"/>
            <w:tabs>
              <w:tab w:val="right" w:leader="dot" w:pos="9360"/>
            </w:tabs>
            <w:bidi w:val="0"/>
            <w:rPr>
              <w:rStyle w:val="Hyperlink"/>
            </w:rPr>
          </w:pPr>
          <w:hyperlink w:anchor="_Toc1355316683">
            <w:r w:rsidRPr="668EA0FB" w:rsidR="668EA0FB">
              <w:rPr>
                <w:rStyle w:val="Hyperlink"/>
              </w:rPr>
              <w:t>7.3 Summary Table of Themes, Issues, and Actions</w:t>
            </w:r>
            <w:r>
              <w:tab/>
            </w:r>
            <w:r>
              <w:fldChar w:fldCharType="begin"/>
            </w:r>
            <w:r>
              <w:instrText xml:space="preserve">PAGEREF _Toc1355316683 \h</w:instrText>
            </w:r>
            <w:r>
              <w:fldChar w:fldCharType="separate"/>
            </w:r>
            <w:r w:rsidRPr="668EA0FB" w:rsidR="668EA0FB">
              <w:rPr>
                <w:rStyle w:val="Hyperlink"/>
              </w:rPr>
              <w:t>48</w:t>
            </w:r>
            <w:r>
              <w:fldChar w:fldCharType="end"/>
            </w:r>
          </w:hyperlink>
        </w:p>
        <w:p w:rsidR="668EA0FB" w:rsidP="668EA0FB" w:rsidRDefault="668EA0FB" w14:paraId="703E67F1" w14:textId="35C29473">
          <w:pPr>
            <w:pStyle w:val="TOC3"/>
            <w:tabs>
              <w:tab w:val="right" w:leader="dot" w:pos="9360"/>
            </w:tabs>
            <w:bidi w:val="0"/>
            <w:rPr>
              <w:rStyle w:val="Hyperlink"/>
            </w:rPr>
          </w:pPr>
          <w:hyperlink w:anchor="_Toc394578084">
            <w:r w:rsidRPr="668EA0FB" w:rsidR="668EA0FB">
              <w:rPr>
                <w:rStyle w:val="Hyperlink"/>
              </w:rPr>
              <w:t>Table 7.3.1: Summary of Themes, Key Issues, and Recommended Improvement Actions</w:t>
            </w:r>
            <w:r>
              <w:tab/>
            </w:r>
            <w:r>
              <w:fldChar w:fldCharType="begin"/>
            </w:r>
            <w:r>
              <w:instrText xml:space="preserve">PAGEREF _Toc394578084 \h</w:instrText>
            </w:r>
            <w:r>
              <w:fldChar w:fldCharType="separate"/>
            </w:r>
            <w:r w:rsidRPr="668EA0FB" w:rsidR="668EA0FB">
              <w:rPr>
                <w:rStyle w:val="Hyperlink"/>
              </w:rPr>
              <w:t>49</w:t>
            </w:r>
            <w:r>
              <w:fldChar w:fldCharType="end"/>
            </w:r>
          </w:hyperlink>
        </w:p>
        <w:p w:rsidR="668EA0FB" w:rsidP="668EA0FB" w:rsidRDefault="668EA0FB" w14:paraId="24728686" w14:textId="109BA854">
          <w:pPr>
            <w:pStyle w:val="TOC2"/>
            <w:tabs>
              <w:tab w:val="right" w:leader="dot" w:pos="9360"/>
            </w:tabs>
            <w:bidi w:val="0"/>
            <w:rPr>
              <w:rStyle w:val="Hyperlink"/>
            </w:rPr>
          </w:pPr>
          <w:hyperlink w:anchor="_Toc762195888">
            <w:r w:rsidRPr="668EA0FB" w:rsidR="668EA0FB">
              <w:rPr>
                <w:rStyle w:val="Hyperlink"/>
              </w:rPr>
              <w:t>7.4 Recommendations for Practice, Policy, and System Strengthening</w:t>
            </w:r>
            <w:r>
              <w:tab/>
            </w:r>
            <w:r>
              <w:fldChar w:fldCharType="begin"/>
            </w:r>
            <w:r>
              <w:instrText xml:space="preserve">PAGEREF _Toc762195888 \h</w:instrText>
            </w:r>
            <w:r>
              <w:fldChar w:fldCharType="separate"/>
            </w:r>
            <w:r w:rsidRPr="668EA0FB" w:rsidR="668EA0FB">
              <w:rPr>
                <w:rStyle w:val="Hyperlink"/>
              </w:rPr>
              <w:t>50</w:t>
            </w:r>
            <w:r>
              <w:fldChar w:fldCharType="end"/>
            </w:r>
          </w:hyperlink>
        </w:p>
        <w:p w:rsidR="668EA0FB" w:rsidP="668EA0FB" w:rsidRDefault="668EA0FB" w14:paraId="1F9EAAD4" w14:textId="577B7D22">
          <w:pPr>
            <w:pStyle w:val="TOC2"/>
            <w:tabs>
              <w:tab w:val="right" w:leader="dot" w:pos="9360"/>
            </w:tabs>
            <w:bidi w:val="0"/>
            <w:rPr>
              <w:rStyle w:val="Hyperlink"/>
            </w:rPr>
          </w:pPr>
          <w:hyperlink w:anchor="_Toc815585582">
            <w:r w:rsidRPr="668EA0FB" w:rsidR="668EA0FB">
              <w:rPr>
                <w:rStyle w:val="Hyperlink"/>
              </w:rPr>
              <w:t>7.5 Implications for Policy and Practice</w:t>
            </w:r>
            <w:r>
              <w:tab/>
            </w:r>
            <w:r>
              <w:fldChar w:fldCharType="begin"/>
            </w:r>
            <w:r>
              <w:instrText xml:space="preserve">PAGEREF _Toc815585582 \h</w:instrText>
            </w:r>
            <w:r>
              <w:fldChar w:fldCharType="separate"/>
            </w:r>
            <w:r w:rsidRPr="668EA0FB" w:rsidR="668EA0FB">
              <w:rPr>
                <w:rStyle w:val="Hyperlink"/>
              </w:rPr>
              <w:t>50</w:t>
            </w:r>
            <w:r>
              <w:fldChar w:fldCharType="end"/>
            </w:r>
          </w:hyperlink>
        </w:p>
        <w:p w:rsidR="668EA0FB" w:rsidP="668EA0FB" w:rsidRDefault="668EA0FB" w14:paraId="7E411307" w14:textId="75EAE70F">
          <w:pPr>
            <w:pStyle w:val="TOC2"/>
            <w:tabs>
              <w:tab w:val="right" w:leader="dot" w:pos="9360"/>
            </w:tabs>
            <w:bidi w:val="0"/>
            <w:rPr>
              <w:rStyle w:val="Hyperlink"/>
            </w:rPr>
          </w:pPr>
          <w:hyperlink w:anchor="_Toc1995922572">
            <w:r w:rsidRPr="668EA0FB" w:rsidR="668EA0FB">
              <w:rPr>
                <w:rStyle w:val="Hyperlink"/>
              </w:rPr>
              <w:t>7.7 Final Summary</w:t>
            </w:r>
            <w:r>
              <w:tab/>
            </w:r>
            <w:r>
              <w:fldChar w:fldCharType="begin"/>
            </w:r>
            <w:r>
              <w:instrText xml:space="preserve">PAGEREF _Toc1995922572 \h</w:instrText>
            </w:r>
            <w:r>
              <w:fldChar w:fldCharType="separate"/>
            </w:r>
            <w:r w:rsidRPr="668EA0FB" w:rsidR="668EA0FB">
              <w:rPr>
                <w:rStyle w:val="Hyperlink"/>
              </w:rPr>
              <w:t>52</w:t>
            </w:r>
            <w:r>
              <w:fldChar w:fldCharType="end"/>
            </w:r>
          </w:hyperlink>
        </w:p>
        <w:p w:rsidR="668EA0FB" w:rsidP="668EA0FB" w:rsidRDefault="668EA0FB" w14:paraId="7AFDD115" w14:textId="320502A2">
          <w:pPr>
            <w:pStyle w:val="TOC3"/>
            <w:tabs>
              <w:tab w:val="right" w:leader="dot" w:pos="9360"/>
            </w:tabs>
            <w:bidi w:val="0"/>
            <w:rPr>
              <w:rStyle w:val="Hyperlink"/>
            </w:rPr>
          </w:pPr>
          <w:hyperlink w:anchor="_Toc1684118331">
            <w:r w:rsidRPr="668EA0FB" w:rsidR="668EA0FB">
              <w:rPr>
                <w:rStyle w:val="Hyperlink"/>
              </w:rPr>
              <w:t>Appendix 1</w:t>
            </w:r>
            <w:r>
              <w:tab/>
            </w:r>
            <w:r>
              <w:fldChar w:fldCharType="begin"/>
            </w:r>
            <w:r>
              <w:instrText xml:space="preserve">PAGEREF _Toc1684118331 \h</w:instrText>
            </w:r>
            <w:r>
              <w:fldChar w:fldCharType="separate"/>
            </w:r>
            <w:r w:rsidRPr="668EA0FB" w:rsidR="668EA0FB">
              <w:rPr>
                <w:rStyle w:val="Hyperlink"/>
              </w:rPr>
              <w:t>52</w:t>
            </w:r>
            <w:r>
              <w:fldChar w:fldCharType="end"/>
            </w:r>
          </w:hyperlink>
        </w:p>
        <w:p w:rsidR="668EA0FB" w:rsidP="668EA0FB" w:rsidRDefault="668EA0FB" w14:paraId="0E38AFE2" w14:textId="3FAF8925">
          <w:pPr>
            <w:pStyle w:val="TOC3"/>
            <w:tabs>
              <w:tab w:val="right" w:leader="dot" w:pos="9360"/>
            </w:tabs>
            <w:bidi w:val="0"/>
            <w:rPr>
              <w:rStyle w:val="Hyperlink"/>
            </w:rPr>
          </w:pPr>
          <w:hyperlink w:anchor="_Toc1642808271">
            <w:r w:rsidRPr="668EA0FB" w:rsidR="668EA0FB">
              <w:rPr>
                <w:rStyle w:val="Hyperlink"/>
              </w:rPr>
              <w:t>APPENDIX 2</w:t>
            </w:r>
            <w:r>
              <w:tab/>
            </w:r>
            <w:r>
              <w:fldChar w:fldCharType="begin"/>
            </w:r>
            <w:r>
              <w:instrText xml:space="preserve">PAGEREF _Toc1642808271 \h</w:instrText>
            </w:r>
            <w:r>
              <w:fldChar w:fldCharType="separate"/>
            </w:r>
            <w:r w:rsidRPr="668EA0FB" w:rsidR="668EA0FB">
              <w:rPr>
                <w:rStyle w:val="Hyperlink"/>
              </w:rPr>
              <w:t>53</w:t>
            </w:r>
            <w:r>
              <w:fldChar w:fldCharType="end"/>
            </w:r>
          </w:hyperlink>
          <w:r>
            <w:fldChar w:fldCharType="end"/>
          </w:r>
        </w:p>
      </w:sdtContent>
    </w:sdt>
    <w:p w:rsidR="50C65511" w:rsidP="407E75B8" w:rsidRDefault="50C65511" w14:paraId="3E7D2465" w14:textId="5F728AE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407E75B8" w:rsidRDefault="50C65511" w14:paraId="3691353B" w14:textId="5A70FFF9">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668EA0FB" w:rsidRDefault="50C65511" w14:paraId="1501F9BF" w14:textId="0312974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“Addressing Pharmacist-Related Dispensing Errors in</w:t>
      </w:r>
      <w:r w:rsidRPr="668EA0FB" w:rsidR="2C0CDB39">
        <w:rPr>
          <w:rFonts w:ascii="Arial" w:hAnsi="Arial" w:eastAsia="Arial" w:cs="Arial"/>
          <w:b w:val="1"/>
          <w:bCs w:val="1"/>
          <w:i w:val="0"/>
          <w:iCs w:val="0"/>
          <w:caps w:val="0"/>
          <w:smallCaps w:val="0"/>
          <w:noProof w:val="0"/>
          <w:color w:val="000000" w:themeColor="text1" w:themeTint="FF" w:themeShade="FF"/>
          <w:sz w:val="32"/>
          <w:szCs w:val="32"/>
          <w:lang w:val="en-US"/>
        </w:rPr>
        <w:t xml:space="preserve"> Low </w:t>
      </w:r>
      <w:r w:rsidRPr="668EA0FB" w:rsidR="2C0CDB39">
        <w:rPr>
          <w:rFonts w:ascii="Arial" w:hAnsi="Arial" w:eastAsia="Arial" w:cs="Arial"/>
          <w:b w:val="1"/>
          <w:bCs w:val="1"/>
          <w:i w:val="0"/>
          <w:iCs w:val="0"/>
          <w:caps w:val="0"/>
          <w:smallCaps w:val="0"/>
          <w:noProof w:val="0"/>
          <w:color w:val="000000" w:themeColor="text1" w:themeTint="FF" w:themeShade="FF"/>
          <w:sz w:val="32"/>
          <w:szCs w:val="32"/>
          <w:lang w:val="en-US"/>
        </w:rPr>
        <w:t>Middle Income</w:t>
      </w:r>
      <w:r w:rsidRPr="668EA0FB" w:rsidR="2C0CDB39">
        <w:rPr>
          <w:rFonts w:ascii="Arial" w:hAnsi="Arial" w:eastAsia="Arial" w:cs="Arial"/>
          <w:b w:val="1"/>
          <w:bCs w:val="1"/>
          <w:i w:val="0"/>
          <w:iCs w:val="0"/>
          <w:caps w:val="0"/>
          <w:smallCaps w:val="0"/>
          <w:noProof w:val="0"/>
          <w:color w:val="000000" w:themeColor="text1" w:themeTint="FF" w:themeShade="FF"/>
          <w:sz w:val="32"/>
          <w:szCs w:val="32"/>
          <w:lang w:val="en-US"/>
        </w:rPr>
        <w:t xml:space="preserve"> </w:t>
      </w:r>
      <w:r w:rsidRPr="668EA0FB" w:rsidR="2C0CDB39">
        <w:rPr>
          <w:rFonts w:ascii="Arial" w:hAnsi="Arial" w:eastAsia="Arial" w:cs="Arial"/>
          <w:b w:val="1"/>
          <w:bCs w:val="1"/>
          <w:i w:val="0"/>
          <w:iCs w:val="0"/>
          <w:caps w:val="0"/>
          <w:smallCaps w:val="0"/>
          <w:noProof w:val="0"/>
          <w:color w:val="000000" w:themeColor="text1" w:themeTint="FF" w:themeShade="FF"/>
          <w:sz w:val="32"/>
          <w:szCs w:val="32"/>
          <w:lang w:val="en-US"/>
        </w:rPr>
        <w:t>Country's</w:t>
      </w:r>
      <w:r w:rsidRPr="668EA0FB" w:rsidR="2C0CDB39">
        <w:rPr>
          <w:rFonts w:ascii="Arial" w:hAnsi="Arial" w:eastAsia="Arial" w:cs="Arial"/>
          <w:b w:val="1"/>
          <w:bCs w:val="1"/>
          <w:i w:val="0"/>
          <w:iCs w:val="0"/>
          <w:caps w:val="0"/>
          <w:smallCaps w:val="0"/>
          <w:noProof w:val="0"/>
          <w:color w:val="000000" w:themeColor="text1" w:themeTint="FF" w:themeShade="FF"/>
          <w:sz w:val="32"/>
          <w:szCs w:val="32"/>
          <w:lang w:val="en-US"/>
        </w:rPr>
        <w:t xml:space="preserve"> </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 xml:space="preserve"> </w:t>
      </w:r>
      <w:r w:rsidRPr="668EA0FB" w:rsidR="53679707">
        <w:rPr>
          <w:rFonts w:ascii="Arial" w:hAnsi="Arial" w:eastAsia="Arial" w:cs="Arial"/>
          <w:b w:val="1"/>
          <w:bCs w:val="1"/>
          <w:i w:val="0"/>
          <w:iCs w:val="0"/>
          <w:caps w:val="0"/>
          <w:smallCaps w:val="0"/>
          <w:noProof w:val="0"/>
          <w:color w:val="000000" w:themeColor="text1" w:themeTint="FF" w:themeShade="FF"/>
          <w:sz w:val="32"/>
          <w:szCs w:val="32"/>
          <w:lang w:val="en-US"/>
        </w:rPr>
        <w:t>(</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LMICs</w:t>
      </w:r>
      <w:r w:rsidRPr="668EA0FB" w:rsidR="0C9C0B1B">
        <w:rPr>
          <w:rFonts w:ascii="Arial" w:hAnsi="Arial" w:eastAsia="Arial" w:cs="Arial"/>
          <w:b w:val="1"/>
          <w:bCs w:val="1"/>
          <w:i w:val="0"/>
          <w:iCs w:val="0"/>
          <w:caps w:val="0"/>
          <w:smallCaps w:val="0"/>
          <w:noProof w:val="0"/>
          <w:color w:val="000000" w:themeColor="text1" w:themeTint="FF" w:themeShade="FF"/>
          <w:sz w:val="32"/>
          <w:szCs w:val="32"/>
          <w:lang w:val="en-US"/>
        </w:rPr>
        <w:t>)</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 xml:space="preserve">: </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 xml:space="preserve">A  </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Systematic</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 xml:space="preserve"> Review of  </w:t>
      </w:r>
      <w:r w:rsidRPr="668EA0FB" w:rsidR="22250002">
        <w:rPr>
          <w:rFonts w:ascii="Arial" w:hAnsi="Arial" w:eastAsia="Arial" w:cs="Arial"/>
          <w:b w:val="1"/>
          <w:bCs w:val="1"/>
          <w:i w:val="0"/>
          <w:iCs w:val="0"/>
          <w:caps w:val="0"/>
          <w:smallCaps w:val="0"/>
          <w:noProof w:val="0"/>
          <w:color w:val="000000" w:themeColor="text1" w:themeTint="FF" w:themeShade="FF"/>
          <w:sz w:val="32"/>
          <w:szCs w:val="32"/>
          <w:lang w:val="en-US"/>
        </w:rPr>
        <w:t xml:space="preserve"> Quality Improvement Strategies.”</w:t>
      </w:r>
      <w:r w:rsidRPr="668EA0FB" w:rsidR="22250002">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668EA0FB" w:rsidR="22250002">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732F608B" w:rsidP="668EA0FB" w:rsidRDefault="732F608B" w14:paraId="6073E022" w14:textId="1B70469E">
      <w:pPr>
        <w:pStyle w:val="Heading1"/>
        <w:rPr>
          <w:rFonts w:ascii="Arial" w:hAnsi="Arial" w:eastAsia="Arial" w:cs="Arial"/>
          <w:b w:val="1"/>
          <w:bCs w:val="1"/>
          <w:noProof w:val="0"/>
          <w:sz w:val="48"/>
          <w:szCs w:val="48"/>
          <w:lang w:val="en-US"/>
        </w:rPr>
      </w:pPr>
      <w:bookmarkStart w:name="_Toc334020690" w:id="1401451253"/>
      <w:r w:rsidRPr="668EA0FB" w:rsidR="732F608B">
        <w:rPr>
          <w:b w:val="1"/>
          <w:bCs w:val="1"/>
          <w:noProof w:val="0"/>
          <w:lang w:val="en-US"/>
        </w:rPr>
        <w:t>CHAPTER 1: INTRODUCTION</w:t>
      </w:r>
      <w:bookmarkEnd w:id="1401451253"/>
    </w:p>
    <w:p w:rsidR="732F608B" w:rsidP="668EA0FB" w:rsidRDefault="732F608B" w14:paraId="37DE34A5" w14:textId="01EEFAF2">
      <w:pPr>
        <w:pStyle w:val="Heading2"/>
        <w:spacing w:before="299" w:beforeAutospacing="off" w:after="299" w:afterAutospacing="off"/>
        <w:jc w:val="both"/>
        <w:rPr>
          <w:rFonts w:ascii="Arial" w:hAnsi="Arial" w:eastAsia="Arial" w:cs="Arial"/>
          <w:b w:val="0"/>
          <w:bCs w:val="0"/>
          <w:noProof w:val="0"/>
          <w:sz w:val="36"/>
          <w:szCs w:val="36"/>
          <w:lang w:val="en-US"/>
        </w:rPr>
      </w:pPr>
      <w:bookmarkStart w:name="_Toc1589931325" w:id="1730411477"/>
      <w:r w:rsidRPr="668EA0FB" w:rsidR="732F608B">
        <w:rPr>
          <w:rFonts w:ascii="Arial" w:hAnsi="Arial" w:eastAsia="Arial" w:cs="Arial"/>
          <w:b w:val="0"/>
          <w:bCs w:val="0"/>
          <w:noProof w:val="0"/>
          <w:sz w:val="36"/>
          <w:szCs w:val="36"/>
          <w:lang w:val="en-US"/>
        </w:rPr>
        <w:t>1.1 Introduction</w:t>
      </w:r>
      <w:bookmarkEnd w:id="1730411477"/>
    </w:p>
    <w:p w:rsidR="732F608B" w:rsidP="4369956E" w:rsidRDefault="732F608B" w14:paraId="1FF40E58" w14:textId="3667709B">
      <w:pPr>
        <w:spacing w:before="240" w:beforeAutospacing="off" w:after="240" w:afterAutospacing="off"/>
        <w:jc w:val="both"/>
      </w:pPr>
      <w:r w:rsidRPr="4369956E" w:rsidR="732F608B">
        <w:rPr>
          <w:rFonts w:ascii="Arial" w:hAnsi="Arial" w:eastAsia="Arial" w:cs="Arial"/>
          <w:noProof w:val="0"/>
          <w:sz w:val="28"/>
          <w:szCs w:val="28"/>
          <w:lang w:val="en-US"/>
        </w:rPr>
        <w:t>Medication safety is a core component of patient safety, and dispensing represents one of the final and most critical checkpoints in the medication-use process. Dispensing errors occur when the wrong medicine, strength, dose, quantity, label, instructions, or patient is supplied, or when clinically important checks and counselling are missed. Such errors are rarely caused by a single mistake; instead, they arise through interactions between system weaknesses and human factors such as fatigue, high workload, interruptions, and inadequate training (WHO, n.d.). When these vulnerabilities align across stages of care—prescribing, transcribing, dispensing, administration, and monitoring—avoidable harm becomes more likely (WHO, 2017).</w:t>
      </w:r>
    </w:p>
    <w:p w:rsidR="732F608B" w:rsidP="4369956E" w:rsidRDefault="732F608B" w14:paraId="7594B41C" w14:textId="37E8285D">
      <w:pPr>
        <w:spacing w:before="240" w:beforeAutospacing="off" w:after="240" w:afterAutospacing="off"/>
        <w:jc w:val="both"/>
      </w:pPr>
      <w:r w:rsidRPr="4369956E" w:rsidR="732F608B">
        <w:rPr>
          <w:rFonts w:ascii="Arial" w:hAnsi="Arial" w:eastAsia="Arial" w:cs="Arial"/>
          <w:noProof w:val="0"/>
          <w:sz w:val="28"/>
          <w:szCs w:val="28"/>
          <w:lang w:val="en-US"/>
        </w:rPr>
        <w:t xml:space="preserve">The World Health Organization (WHO) has highlighted medication-related harm as a global priority through the Third Global Patient Safety Challenge: </w:t>
      </w:r>
      <w:r w:rsidRPr="4369956E" w:rsidR="732F608B">
        <w:rPr>
          <w:rFonts w:ascii="Arial" w:hAnsi="Arial" w:eastAsia="Arial" w:cs="Arial"/>
          <w:i w:val="1"/>
          <w:iCs w:val="1"/>
          <w:noProof w:val="0"/>
          <w:sz w:val="28"/>
          <w:szCs w:val="28"/>
          <w:lang w:val="en-US"/>
        </w:rPr>
        <w:t>Medication Without Harm</w:t>
      </w:r>
      <w:r w:rsidRPr="4369956E" w:rsidR="732F608B">
        <w:rPr>
          <w:rFonts w:ascii="Arial" w:hAnsi="Arial" w:eastAsia="Arial" w:cs="Arial"/>
          <w:noProof w:val="0"/>
          <w:sz w:val="28"/>
          <w:szCs w:val="28"/>
          <w:lang w:val="en-US"/>
        </w:rPr>
        <w:t>, which aimed to reduce severe, avoidable medication-related harm through coordinated system improvement (WHO, 2017). The initiative emphasises that improving medication safety requires strengthening processes, standardising practice, enhancing workforce competence, and creating cultures that support learning from errors rather than blaming individuals (WHO, 2017; WHO, n.d.). In this context, pharmacy teams have a significant role because dispensing is a high-frequency activity, often occurring under time pressure, and errors can directly translate into patient harm if not detected before the medicine reaches the patient.</w:t>
      </w:r>
    </w:p>
    <w:p w:rsidR="732F608B" w:rsidP="4369956E" w:rsidRDefault="732F608B" w14:paraId="5EB50804" w14:textId="461FD81D">
      <w:pPr>
        <w:spacing w:before="240" w:beforeAutospacing="off" w:after="240" w:afterAutospacing="off"/>
        <w:jc w:val="both"/>
      </w:pPr>
      <w:r w:rsidRPr="4369956E" w:rsidR="732F608B">
        <w:rPr>
          <w:rFonts w:ascii="Arial" w:hAnsi="Arial" w:eastAsia="Arial" w:cs="Arial"/>
          <w:noProof w:val="0"/>
          <w:sz w:val="28"/>
          <w:szCs w:val="28"/>
          <w:lang w:val="en-US"/>
        </w:rPr>
        <w:t xml:space="preserve">The challenge of safe dispensing is especially complex in </w:t>
      </w:r>
      <w:r w:rsidRPr="4369956E" w:rsidR="732F608B">
        <w:rPr>
          <w:rFonts w:ascii="Arial" w:hAnsi="Arial" w:eastAsia="Arial" w:cs="Arial"/>
          <w:b w:val="1"/>
          <w:bCs w:val="1"/>
          <w:noProof w:val="0"/>
          <w:sz w:val="28"/>
          <w:szCs w:val="28"/>
          <w:lang w:val="en-US"/>
        </w:rPr>
        <w:t>low- and middle-income countries (LMICs)</w:t>
      </w:r>
      <w:r w:rsidRPr="4369956E" w:rsidR="732F608B">
        <w:rPr>
          <w:rFonts w:ascii="Arial" w:hAnsi="Arial" w:eastAsia="Arial" w:cs="Arial"/>
          <w:noProof w:val="0"/>
          <w:sz w:val="28"/>
          <w:szCs w:val="28"/>
          <w:lang w:val="en-US"/>
        </w:rPr>
        <w:t>. In many LMIC settings, pharmacies function as first-contact healthcare access points, where community members seek advice and medicines for acute symptoms without consulting prescribers. At the same time, pharmacy services often operate within constrained health systems that may have limited staffing, weak regulatory oversight, inconsistent use of standard operating procedures (SOPs), and underdeveloped reporting and learning mechanisms. These circumstances can increase the likelihood of inappropriate dispensing, incomplete counselling, and reduced opportunities to detect prescribing issues before harm occurs (WHO, n.d.).</w:t>
      </w:r>
    </w:p>
    <w:p w:rsidR="732F608B" w:rsidP="4369956E" w:rsidRDefault="732F608B" w14:paraId="2CD2AAB9" w14:textId="01832A35">
      <w:pPr>
        <w:spacing w:before="240" w:beforeAutospacing="off" w:after="240" w:afterAutospacing="off"/>
        <w:jc w:val="both"/>
      </w:pPr>
      <w:r w:rsidRPr="4369956E" w:rsidR="732F608B">
        <w:rPr>
          <w:rFonts w:ascii="Arial" w:hAnsi="Arial" w:eastAsia="Arial" w:cs="Arial"/>
          <w:noProof w:val="0"/>
          <w:sz w:val="28"/>
          <w:szCs w:val="28"/>
          <w:lang w:val="en-US"/>
        </w:rPr>
        <w:t>Dispensing practices also intersect with urgent global priorities such as antimicrobial resistance (AMR). AMR is widely recognised as a major public health threat, and the misuse or overuse of antimicrobials is a key driver of resistance development (WHO, 2023). In settings where antibiotics are obtained without prescription or dispensed in inappropriate quantities, strengths, or durations, patients may experience treatment failure and contribute to wider resistance patterns. Therefore, strengthening dispensing safety is not only a patient-level issue but also a health system and population-level priority.</w:t>
      </w:r>
    </w:p>
    <w:p w:rsidR="732F608B" w:rsidP="4369956E" w:rsidRDefault="732F608B" w14:paraId="4B4D81C2" w14:textId="14FAABBE">
      <w:pPr>
        <w:spacing w:before="240" w:beforeAutospacing="off" w:after="240" w:afterAutospacing="off"/>
        <w:jc w:val="both"/>
      </w:pPr>
      <w:r w:rsidRPr="4369956E" w:rsidR="732F608B">
        <w:rPr>
          <w:rFonts w:ascii="Arial" w:hAnsi="Arial" w:eastAsia="Arial" w:cs="Arial"/>
          <w:noProof w:val="0"/>
          <w:sz w:val="28"/>
          <w:szCs w:val="28"/>
          <w:lang w:val="en-US"/>
        </w:rPr>
        <w:t>Against this background, this dissertation undertakes a systematic review of qualitative evidence to understand pharmacist-related dispensing errors and to identify quality improvement (QI) strategies that may improve medication safety in LMIC pharmacy settings.</w:t>
      </w:r>
    </w:p>
    <w:p w:rsidR="4369956E" w:rsidP="4369956E" w:rsidRDefault="4369956E" w14:paraId="3D59AD5A" w14:textId="1DCA0369">
      <w:pPr>
        <w:jc w:val="both"/>
      </w:pPr>
    </w:p>
    <w:p w:rsidR="732F608B" w:rsidP="668EA0FB" w:rsidRDefault="732F608B" w14:paraId="0B724500" w14:textId="54B82058">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2147256460" w:id="14050353"/>
      <w:r w:rsidRPr="668EA0FB" w:rsidR="732F608B">
        <w:rPr>
          <w:rFonts w:ascii="Arial" w:hAnsi="Arial" w:eastAsia="Arial" w:cs="Arial"/>
          <w:b w:val="1"/>
          <w:bCs w:val="1"/>
          <w:noProof w:val="0"/>
          <w:sz w:val="36"/>
          <w:szCs w:val="36"/>
          <w:lang w:val="en-US"/>
        </w:rPr>
        <w:t>1.2 Background and Context</w:t>
      </w:r>
      <w:bookmarkEnd w:id="14050353"/>
    </w:p>
    <w:p w:rsidR="732F608B" w:rsidP="4369956E" w:rsidRDefault="732F608B" w14:paraId="4AF759C1" w14:textId="088C4B20">
      <w:pPr>
        <w:spacing w:before="240" w:beforeAutospacing="off" w:after="240" w:afterAutospacing="off"/>
        <w:jc w:val="both"/>
      </w:pPr>
      <w:r w:rsidRPr="4369956E" w:rsidR="732F608B">
        <w:rPr>
          <w:rFonts w:ascii="Arial" w:hAnsi="Arial" w:eastAsia="Arial" w:cs="Arial"/>
          <w:noProof w:val="0"/>
          <w:sz w:val="28"/>
          <w:szCs w:val="28"/>
          <w:lang w:val="en-US"/>
        </w:rPr>
        <w:t>A medication error can be defined as a preventable event that may cause or lead to inappropriate medication use or patient harm while the medicine is in the control of a healthcare professional, patient, or consumer (WHO, 2022). Dispensing errors are a subset of medication errors and can occur due to misinterpretation of prescriptions, confusion between similar names or packaging, inadequate clinical verification, incomplete labelling, or insufficient counselling. These risks are amplified when pharmacy workflows are not standardised, when staffing is inadequate, or when pharmacists are expected to manage very high client volumes with limited time for clinical checks (WHO, n.d.).</w:t>
      </w:r>
    </w:p>
    <w:p w:rsidR="732F608B" w:rsidP="4369956E" w:rsidRDefault="732F608B" w14:paraId="4C41734B" w14:textId="6BEEA42B">
      <w:pPr>
        <w:spacing w:before="240" w:beforeAutospacing="off" w:after="240" w:afterAutospacing="off"/>
        <w:jc w:val="both"/>
      </w:pPr>
      <w:r w:rsidRPr="4369956E" w:rsidR="732F608B">
        <w:rPr>
          <w:rFonts w:ascii="Arial" w:hAnsi="Arial" w:eastAsia="Arial" w:cs="Arial"/>
          <w:noProof w:val="0"/>
          <w:sz w:val="28"/>
          <w:szCs w:val="28"/>
          <w:lang w:val="en-US"/>
        </w:rPr>
        <w:t>The relevance of these issues becomes more pronounced in LMICs because of structural and contextual pressures. In many countries, pharmacies operate across highly variable regulatory environments. Some settings experience limited enforcement of prescription-only medicine rules, inadequate inspection systems, shortages of qualified pharmacy professionals, and reliance on non-pharmacist staff to dispense medicines. In addition, pharmacies may be influenced by commercial pressures, patient expectations for “quick relief,” and social norms that encourage self-medication and demand for antibiotics. When combined, these pressures can shift dispensing away from a safety-first process toward a speed- and demand-driven service model.</w:t>
      </w:r>
    </w:p>
    <w:p w:rsidR="732F608B" w:rsidP="4369956E" w:rsidRDefault="732F608B" w14:paraId="7431ECA2" w14:textId="2B8ECFC3">
      <w:pPr>
        <w:spacing w:before="240" w:beforeAutospacing="off" w:after="240" w:afterAutospacing="off"/>
        <w:jc w:val="both"/>
      </w:pPr>
      <w:r w:rsidRPr="4369956E" w:rsidR="732F608B">
        <w:rPr>
          <w:rFonts w:ascii="Arial" w:hAnsi="Arial" w:eastAsia="Arial" w:cs="Arial"/>
          <w:noProof w:val="0"/>
          <w:sz w:val="28"/>
          <w:szCs w:val="28"/>
          <w:lang w:val="en-US"/>
        </w:rPr>
        <w:t>This dissertation focuses on LMICs as defined by the World Bank income classification system, which groups economies based on Gross National Income (GNI) per capita and updates these thresholds annually (World Bank, 2024). The LMIC focus is important because medication safety strategies developed in high-income settings often depend on infrastructure that may not be consistently available in resource-constrained environments, such as e-prescribing, barcode verification, automated dispensing, and robust incident reporting systems. While these technologies can reduce risk, the feasibility, sustainability, and equity of implementation can differ considerably across LMIC contexts.</w:t>
      </w:r>
    </w:p>
    <w:p w:rsidR="732F608B" w:rsidP="4369956E" w:rsidRDefault="732F608B" w14:paraId="35E91980" w14:textId="476842D1">
      <w:pPr>
        <w:spacing w:before="240" w:beforeAutospacing="off" w:after="240" w:afterAutospacing="off"/>
        <w:jc w:val="both"/>
      </w:pPr>
      <w:r w:rsidRPr="6ACBE163" w:rsidR="732F608B">
        <w:rPr>
          <w:rFonts w:ascii="Arial" w:hAnsi="Arial" w:eastAsia="Arial" w:cs="Arial"/>
          <w:noProof w:val="0"/>
          <w:sz w:val="28"/>
          <w:szCs w:val="28"/>
          <w:lang w:val="en-US"/>
        </w:rPr>
        <w:t xml:space="preserve">Furthermore, the relevance of QI approaches is heightened because LMIC pharmacy settings </w:t>
      </w:r>
      <w:r w:rsidRPr="6ACBE163" w:rsidR="732F608B">
        <w:rPr>
          <w:rFonts w:ascii="Arial" w:hAnsi="Arial" w:eastAsia="Arial" w:cs="Arial"/>
          <w:noProof w:val="0"/>
          <w:sz w:val="28"/>
          <w:szCs w:val="28"/>
          <w:lang w:val="en-US"/>
        </w:rPr>
        <w:t>frequently</w:t>
      </w:r>
      <w:r w:rsidRPr="6ACBE163" w:rsidR="732F608B">
        <w:rPr>
          <w:rFonts w:ascii="Arial" w:hAnsi="Arial" w:eastAsia="Arial" w:cs="Arial"/>
          <w:noProof w:val="0"/>
          <w:sz w:val="28"/>
          <w:szCs w:val="28"/>
          <w:lang w:val="en-US"/>
        </w:rPr>
        <w:t xml:space="preserve"> require interventions that are practical, low-cost, adaptable, and </w:t>
      </w:r>
      <w:r w:rsidRPr="6ACBE163" w:rsidR="732F608B">
        <w:rPr>
          <w:rFonts w:ascii="Arial" w:hAnsi="Arial" w:eastAsia="Arial" w:cs="Arial"/>
          <w:noProof w:val="0"/>
          <w:sz w:val="28"/>
          <w:szCs w:val="28"/>
          <w:lang w:val="en-US"/>
        </w:rPr>
        <w:t>workforce</w:t>
      </w:r>
      <w:r w:rsidRPr="6ACBE163" w:rsidR="5AA3D9EC">
        <w:rPr>
          <w:rFonts w:ascii="Arial" w:hAnsi="Arial" w:eastAsia="Arial" w:cs="Arial"/>
          <w:noProof w:val="0"/>
          <w:sz w:val="28"/>
          <w:szCs w:val="28"/>
          <w:lang w:val="en-US"/>
        </w:rPr>
        <w:t xml:space="preserve"> </w:t>
      </w:r>
      <w:r w:rsidRPr="6ACBE163" w:rsidR="732F608B">
        <w:rPr>
          <w:rFonts w:ascii="Arial" w:hAnsi="Arial" w:eastAsia="Arial" w:cs="Arial"/>
          <w:noProof w:val="0"/>
          <w:sz w:val="28"/>
          <w:szCs w:val="28"/>
          <w:lang w:val="en-US"/>
        </w:rPr>
        <w:t>supportive</w:t>
      </w:r>
      <w:r w:rsidRPr="6ACBE163" w:rsidR="732F608B">
        <w:rPr>
          <w:rFonts w:ascii="Arial" w:hAnsi="Arial" w:eastAsia="Arial" w:cs="Arial"/>
          <w:noProof w:val="0"/>
          <w:sz w:val="28"/>
          <w:szCs w:val="28"/>
          <w:lang w:val="en-US"/>
        </w:rPr>
        <w:t xml:space="preserve">. QI methods (for example, cycles of testing and refinement, local audit and feedback, and </w:t>
      </w:r>
      <w:r w:rsidRPr="6ACBE163" w:rsidR="732F608B">
        <w:rPr>
          <w:rFonts w:ascii="Arial" w:hAnsi="Arial" w:eastAsia="Arial" w:cs="Arial"/>
          <w:noProof w:val="0"/>
          <w:sz w:val="28"/>
          <w:szCs w:val="28"/>
          <w:lang w:val="en-US"/>
        </w:rPr>
        <w:t>standardisation</w:t>
      </w:r>
      <w:r w:rsidRPr="6ACBE163" w:rsidR="732F608B">
        <w:rPr>
          <w:rFonts w:ascii="Arial" w:hAnsi="Arial" w:eastAsia="Arial" w:cs="Arial"/>
          <w:noProof w:val="0"/>
          <w:sz w:val="28"/>
          <w:szCs w:val="28"/>
          <w:lang w:val="en-US"/>
        </w:rPr>
        <w:t xml:space="preserve"> through SOPs and checklists) can enable gradual improvement even where advanced technologies are not </w:t>
      </w:r>
      <w:r w:rsidRPr="6ACBE163" w:rsidR="732F608B">
        <w:rPr>
          <w:rFonts w:ascii="Arial" w:hAnsi="Arial" w:eastAsia="Arial" w:cs="Arial"/>
          <w:noProof w:val="0"/>
          <w:sz w:val="28"/>
          <w:szCs w:val="28"/>
          <w:lang w:val="en-US"/>
        </w:rPr>
        <w:t>immediately</w:t>
      </w:r>
      <w:r w:rsidRPr="6ACBE163" w:rsidR="732F608B">
        <w:rPr>
          <w:rFonts w:ascii="Arial" w:hAnsi="Arial" w:eastAsia="Arial" w:cs="Arial"/>
          <w:noProof w:val="0"/>
          <w:sz w:val="28"/>
          <w:szCs w:val="28"/>
          <w:lang w:val="en-US"/>
        </w:rPr>
        <w:t xml:space="preserve"> scalable. The WHO medication safety approach reinforces that system redesign and sustained improvement depend on leadership support, staff capacity building, and </w:t>
      </w:r>
      <w:r w:rsidRPr="6ACBE163" w:rsidR="732F608B">
        <w:rPr>
          <w:rFonts w:ascii="Arial" w:hAnsi="Arial" w:eastAsia="Arial" w:cs="Arial"/>
          <w:noProof w:val="0"/>
          <w:sz w:val="28"/>
          <w:szCs w:val="28"/>
          <w:lang w:val="en-US"/>
        </w:rPr>
        <w:t>organisational</w:t>
      </w:r>
      <w:r w:rsidRPr="6ACBE163" w:rsidR="732F608B">
        <w:rPr>
          <w:rFonts w:ascii="Arial" w:hAnsi="Arial" w:eastAsia="Arial" w:cs="Arial"/>
          <w:noProof w:val="0"/>
          <w:sz w:val="28"/>
          <w:szCs w:val="28"/>
          <w:lang w:val="en-US"/>
        </w:rPr>
        <w:t xml:space="preserve"> learning cultures (WHO, 2017; WHO, n.d.).</w:t>
      </w:r>
    </w:p>
    <w:p w:rsidR="4369956E" w:rsidP="4369956E" w:rsidRDefault="4369956E" w14:paraId="0D13F31A" w14:textId="1F5C7323">
      <w:pPr>
        <w:jc w:val="both"/>
      </w:pPr>
    </w:p>
    <w:p w:rsidR="732F608B" w:rsidP="668EA0FB" w:rsidRDefault="732F608B" w14:paraId="4FDE1D05" w14:textId="0EAA9295">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276865638" w:id="1285230337"/>
      <w:r w:rsidRPr="668EA0FB" w:rsidR="732F608B">
        <w:rPr>
          <w:rFonts w:ascii="Arial" w:hAnsi="Arial" w:eastAsia="Arial" w:cs="Arial"/>
          <w:b w:val="1"/>
          <w:bCs w:val="1"/>
          <w:noProof w:val="0"/>
          <w:sz w:val="36"/>
          <w:szCs w:val="36"/>
          <w:lang w:val="en-US"/>
        </w:rPr>
        <w:t>1.3 Why Focus on LMICs</w:t>
      </w:r>
      <w:bookmarkEnd w:id="1285230337"/>
    </w:p>
    <w:p w:rsidR="732F608B" w:rsidP="4369956E" w:rsidRDefault="732F608B" w14:paraId="2FEA3A58" w14:textId="2E0331EB">
      <w:pPr>
        <w:spacing w:before="240" w:beforeAutospacing="off" w:after="240" w:afterAutospacing="off"/>
        <w:jc w:val="both"/>
      </w:pPr>
      <w:r w:rsidRPr="4369956E" w:rsidR="732F608B">
        <w:rPr>
          <w:rFonts w:ascii="Arial" w:hAnsi="Arial" w:eastAsia="Arial" w:cs="Arial"/>
          <w:noProof w:val="0"/>
          <w:sz w:val="28"/>
          <w:szCs w:val="28"/>
          <w:lang w:val="en-US"/>
        </w:rPr>
        <w:t>This dissertation specifically examines pharmacist-related dispensing errors in LMICs rather than high-income countries for several interconnected reasons.</w:t>
      </w:r>
    </w:p>
    <w:p w:rsidR="732F608B" w:rsidP="4369956E" w:rsidRDefault="732F608B" w14:paraId="498465A5" w14:textId="73483D66">
      <w:pPr>
        <w:spacing w:before="240" w:beforeAutospacing="off" w:after="240" w:afterAutospacing="off"/>
        <w:jc w:val="both"/>
      </w:pPr>
      <w:r w:rsidRPr="4369956E" w:rsidR="732F608B">
        <w:rPr>
          <w:rFonts w:ascii="Arial" w:hAnsi="Arial" w:eastAsia="Arial" w:cs="Arial"/>
          <w:noProof w:val="0"/>
          <w:sz w:val="28"/>
          <w:szCs w:val="28"/>
          <w:lang w:val="en-US"/>
        </w:rPr>
        <w:t>First, LMICs often face a greater concentration of system constraints—limited workforce capacity, variable regulation, resource shortages, and uneven access to continuing professional development—that may elevate dispensing risks and reduce opportunities for detection and recovery from error (WHO, n.d.). Second, pharmacy services in LMICs frequently play an expanded access role in communities where formal healthcare is less reachable, meaning dispensing decisions may occur in contexts of high patient demand and limited prescriber input. This increases the importance of pharmacists’ judgement, counselling, and safety checks at the point of supply.</w:t>
      </w:r>
    </w:p>
    <w:p w:rsidR="732F608B" w:rsidP="4369956E" w:rsidRDefault="732F608B" w14:paraId="5A159B0A" w14:textId="334A379C">
      <w:pPr>
        <w:spacing w:before="240" w:beforeAutospacing="off" w:after="240" w:afterAutospacing="off"/>
        <w:jc w:val="both"/>
      </w:pPr>
      <w:r w:rsidRPr="4369956E" w:rsidR="732F608B">
        <w:rPr>
          <w:rFonts w:ascii="Arial" w:hAnsi="Arial" w:eastAsia="Arial" w:cs="Arial"/>
          <w:noProof w:val="0"/>
          <w:sz w:val="28"/>
          <w:szCs w:val="28"/>
          <w:lang w:val="en-US"/>
        </w:rPr>
        <w:t>Third, the global AMR burden is shaped by antimicrobial use practices worldwide, and inappropriate dispensing practices can contribute to antimicrobial misuse. WHO identifies misuse and overuse of antimicrobials as major drivers of resistant pathogens (WHO, 2023). Strengthening safe and appropriate dispensing in LMICs is therefore aligned with both medication safety and AMR containment priorities.</w:t>
      </w:r>
    </w:p>
    <w:p w:rsidR="732F608B" w:rsidP="4369956E" w:rsidRDefault="732F608B" w14:paraId="14BAACE7" w14:textId="687718A7">
      <w:pPr>
        <w:spacing w:before="240" w:beforeAutospacing="off" w:after="240" w:afterAutospacing="off"/>
        <w:jc w:val="both"/>
      </w:pPr>
      <w:r w:rsidRPr="4369956E" w:rsidR="732F608B">
        <w:rPr>
          <w:rFonts w:ascii="Arial" w:hAnsi="Arial" w:eastAsia="Arial" w:cs="Arial"/>
          <w:noProof w:val="0"/>
          <w:sz w:val="28"/>
          <w:szCs w:val="28"/>
          <w:lang w:val="en-US"/>
        </w:rPr>
        <w:t>Finally, there remains a need to synthesise qualitative evidence from LMIC pharmacy settings because lived experiences, sociocultural factors, professional hierarchies, and local organisational realities can strongly influence safety behaviours and intervention success. A qualitative synthesis can capture mechanisms and contextual explanations (the “why” and “how”) that are crucial for designing feasible QI strategies, particularly in diverse LMIC environments.</w:t>
      </w:r>
    </w:p>
    <w:p w:rsidR="4369956E" w:rsidP="4369956E" w:rsidRDefault="4369956E" w14:paraId="1A126F9C" w14:textId="76556808">
      <w:pPr>
        <w:jc w:val="both"/>
      </w:pPr>
    </w:p>
    <w:p w:rsidR="732F608B" w:rsidP="668EA0FB" w:rsidRDefault="732F608B" w14:paraId="3EABE210" w14:textId="25BCC7E3">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732374991" w:id="926713914"/>
      <w:r w:rsidRPr="668EA0FB" w:rsidR="732F608B">
        <w:rPr>
          <w:rFonts w:ascii="Arial" w:hAnsi="Arial" w:eastAsia="Arial" w:cs="Arial"/>
          <w:b w:val="1"/>
          <w:bCs w:val="1"/>
          <w:noProof w:val="0"/>
          <w:sz w:val="36"/>
          <w:szCs w:val="36"/>
          <w:lang w:val="en-US"/>
        </w:rPr>
        <w:t>1.4 Problem Statement</w:t>
      </w:r>
      <w:bookmarkEnd w:id="926713914"/>
    </w:p>
    <w:p w:rsidR="732F608B" w:rsidP="4369956E" w:rsidRDefault="732F608B" w14:paraId="4D6108E8" w14:textId="1CF674E4">
      <w:pPr>
        <w:spacing w:before="240" w:beforeAutospacing="off" w:after="240" w:afterAutospacing="off"/>
        <w:jc w:val="both"/>
      </w:pPr>
      <w:r w:rsidRPr="4369956E" w:rsidR="732F608B">
        <w:rPr>
          <w:rFonts w:ascii="Arial" w:hAnsi="Arial" w:eastAsia="Arial" w:cs="Arial"/>
          <w:noProof w:val="0"/>
          <w:sz w:val="28"/>
          <w:szCs w:val="28"/>
          <w:lang w:val="en-US"/>
        </w:rPr>
        <w:t>Despite the recognised importance of medication safety, dispensing errors remain an under-recognised and under-addressed challenge in many LMIC pharmacy contexts. While individual qualitative studies describe factors such as workload pressure, unclear prescriptions, limited training, and fear of blame, this evidence is often fragmented across countries and settings. Without systematic synthesis, it becomes difficult for policymakers, educators, and pharmacy leaders to identify the most consistent drivers of error or the most feasible and context-appropriate QI strategies to reduce harm.</w:t>
      </w:r>
    </w:p>
    <w:p w:rsidR="732F608B" w:rsidP="4369956E" w:rsidRDefault="732F608B" w14:paraId="191777F9" w14:textId="456CDD24">
      <w:pPr>
        <w:spacing w:before="240" w:beforeAutospacing="off" w:after="240" w:afterAutospacing="off"/>
        <w:jc w:val="both"/>
      </w:pPr>
      <w:r w:rsidRPr="4369956E" w:rsidR="732F608B">
        <w:rPr>
          <w:rFonts w:ascii="Arial" w:hAnsi="Arial" w:eastAsia="Arial" w:cs="Arial"/>
          <w:noProof w:val="0"/>
          <w:sz w:val="28"/>
          <w:szCs w:val="28"/>
          <w:lang w:val="en-US"/>
        </w:rPr>
        <w:t>In addition, interventions proven effective in high-income settings may not directly translate to LMIC environments due to differences in infrastructure, staffing, governance, and healthcare access. Therefore, there is a need to consolidate qualitative evidence that explains how dispensing errors occur within LMIC systems and which improvement strategies are most realistic, acceptable, and sustainable.</w:t>
      </w:r>
    </w:p>
    <w:p w:rsidR="4369956E" w:rsidP="4369956E" w:rsidRDefault="4369956E" w14:paraId="5A43907C" w14:textId="1E8BCB04">
      <w:pPr>
        <w:jc w:val="both"/>
      </w:pPr>
    </w:p>
    <w:p w:rsidR="732F608B" w:rsidP="668EA0FB" w:rsidRDefault="732F608B" w14:paraId="7E850F30" w14:textId="6784F1AF">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753178224" w:id="1014777287"/>
      <w:r w:rsidRPr="668EA0FB" w:rsidR="732F608B">
        <w:rPr>
          <w:rFonts w:ascii="Arial" w:hAnsi="Arial" w:eastAsia="Arial" w:cs="Arial"/>
          <w:b w:val="1"/>
          <w:bCs w:val="1"/>
          <w:noProof w:val="0"/>
          <w:sz w:val="36"/>
          <w:szCs w:val="36"/>
          <w:lang w:val="en-US"/>
        </w:rPr>
        <w:t>1.5 Aim of the Study</w:t>
      </w:r>
      <w:bookmarkEnd w:id="1014777287"/>
    </w:p>
    <w:p w:rsidR="732F608B" w:rsidP="4369956E" w:rsidRDefault="732F608B" w14:paraId="2ABA3854" w14:textId="3A301372">
      <w:pPr>
        <w:spacing w:before="240" w:beforeAutospacing="off" w:after="240" w:afterAutospacing="off"/>
        <w:jc w:val="both"/>
      </w:pPr>
      <w:r w:rsidRPr="4369956E" w:rsidR="732F608B">
        <w:rPr>
          <w:rFonts w:ascii="Arial" w:hAnsi="Arial" w:eastAsia="Arial" w:cs="Arial"/>
          <w:noProof w:val="0"/>
          <w:sz w:val="28"/>
          <w:szCs w:val="28"/>
          <w:lang w:val="en-US"/>
        </w:rPr>
        <w:t xml:space="preserve">The aim of this dissertation is to synthesise qualitative evidence on pharmacist-related dispensing errors in </w:t>
      </w:r>
      <w:r w:rsidRPr="4369956E" w:rsidR="732F608B">
        <w:rPr>
          <w:rFonts w:ascii="Arial" w:hAnsi="Arial" w:eastAsia="Arial" w:cs="Arial"/>
          <w:b w:val="1"/>
          <w:bCs w:val="1"/>
          <w:noProof w:val="0"/>
          <w:sz w:val="28"/>
          <w:szCs w:val="28"/>
          <w:lang w:val="en-US"/>
        </w:rPr>
        <w:t>low- and middle-income countries (LMICs)</w:t>
      </w:r>
      <w:r w:rsidRPr="4369956E" w:rsidR="732F608B">
        <w:rPr>
          <w:rFonts w:ascii="Arial" w:hAnsi="Arial" w:eastAsia="Arial" w:cs="Arial"/>
          <w:noProof w:val="0"/>
          <w:sz w:val="28"/>
          <w:szCs w:val="28"/>
          <w:lang w:val="en-US"/>
        </w:rPr>
        <w:t xml:space="preserve"> and to critically evaluate quality improvement (QI) strategies that can strengthen medication safety in pharmacy settings.</w:t>
      </w:r>
    </w:p>
    <w:p w:rsidR="4369956E" w:rsidP="4369956E" w:rsidRDefault="4369956E" w14:paraId="0F30948B" w14:textId="18E0165C">
      <w:pPr>
        <w:jc w:val="both"/>
      </w:pPr>
    </w:p>
    <w:p w:rsidR="732F608B" w:rsidP="668EA0FB" w:rsidRDefault="732F608B" w14:paraId="340DD2EF" w14:textId="61F4DF8B">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48085434" w:id="1371458506"/>
      <w:r w:rsidRPr="668EA0FB" w:rsidR="732F608B">
        <w:rPr>
          <w:rFonts w:ascii="Arial" w:hAnsi="Arial" w:eastAsia="Arial" w:cs="Arial"/>
          <w:b w:val="1"/>
          <w:bCs w:val="1"/>
          <w:noProof w:val="0"/>
          <w:sz w:val="36"/>
          <w:szCs w:val="36"/>
          <w:lang w:val="en-US"/>
        </w:rPr>
        <w:t>1.6 Research Objectives</w:t>
      </w:r>
      <w:bookmarkEnd w:id="1371458506"/>
    </w:p>
    <w:p w:rsidR="732F608B" w:rsidP="4369956E" w:rsidRDefault="732F608B" w14:paraId="71D9D100" w14:textId="06B9EA34">
      <w:pPr>
        <w:pStyle w:val="ListParagraph"/>
        <w:numPr>
          <w:ilvl w:val="0"/>
          <w:numId w:val="13"/>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To explore pharmacists’ and dispensers’ experiences, perceptions, and challenges related to dispensing errors within LMIC pharmacy settings.</w:t>
      </w:r>
    </w:p>
    <w:p w:rsidR="732F608B" w:rsidP="4369956E" w:rsidRDefault="732F608B" w14:paraId="397A6777" w14:textId="7FD0A985">
      <w:pPr>
        <w:pStyle w:val="ListParagraph"/>
        <w:numPr>
          <w:ilvl w:val="0"/>
          <w:numId w:val="13"/>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To identify individual, organisational, and system-level factors that contribute to pharmacist-related dispensing errors in LMICs.</w:t>
      </w:r>
    </w:p>
    <w:p w:rsidR="732F608B" w:rsidP="4369956E" w:rsidRDefault="732F608B" w14:paraId="31B0E0FA" w14:textId="5213DE73">
      <w:pPr>
        <w:pStyle w:val="ListParagraph"/>
        <w:numPr>
          <w:ilvl w:val="0"/>
          <w:numId w:val="13"/>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To examine reported quality improvement strategies (including training, standardisation, reporting mechanisms, and technology-enabled approaches) relevant to reducing dispensing errors in LMIC contexts.</w:t>
      </w:r>
    </w:p>
    <w:p w:rsidR="732F608B" w:rsidP="4369956E" w:rsidRDefault="732F608B" w14:paraId="43A1DD99" w14:textId="587F37F3">
      <w:pPr>
        <w:pStyle w:val="ListParagraph"/>
        <w:numPr>
          <w:ilvl w:val="0"/>
          <w:numId w:val="13"/>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To develop evidence-informed, context-sensitive recommendations that support safer dispensing practice and strengthen pharmacy service quality in LMICs.</w:t>
      </w:r>
    </w:p>
    <w:p w:rsidR="4369956E" w:rsidP="4369956E" w:rsidRDefault="4369956E" w14:paraId="30F641E8" w14:textId="3E7FC8AE">
      <w:pPr>
        <w:jc w:val="both"/>
      </w:pPr>
    </w:p>
    <w:p w:rsidR="732F608B" w:rsidP="668EA0FB" w:rsidRDefault="732F608B" w14:paraId="57728036" w14:textId="2D68839C">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470081822" w:id="449796666"/>
      <w:r w:rsidRPr="668EA0FB" w:rsidR="732F608B">
        <w:rPr>
          <w:rFonts w:ascii="Arial" w:hAnsi="Arial" w:eastAsia="Arial" w:cs="Arial"/>
          <w:b w:val="1"/>
          <w:bCs w:val="1"/>
          <w:noProof w:val="0"/>
          <w:sz w:val="36"/>
          <w:szCs w:val="36"/>
          <w:lang w:val="en-US"/>
        </w:rPr>
        <w:t>1.7 Research Questions</w:t>
      </w:r>
      <w:bookmarkEnd w:id="449796666"/>
    </w:p>
    <w:p w:rsidR="732F608B" w:rsidP="4369956E" w:rsidRDefault="732F608B" w14:paraId="6C91A852" w14:textId="134D13C1">
      <w:pPr>
        <w:pStyle w:val="ListParagraph"/>
        <w:numPr>
          <w:ilvl w:val="0"/>
          <w:numId w:val="14"/>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What individual, organisational, and system factors contribute to pharmacist-related dispensing errors in LMIC pharmacy settings?</w:t>
      </w:r>
    </w:p>
    <w:p w:rsidR="732F608B" w:rsidP="4369956E" w:rsidRDefault="732F608B" w14:paraId="560E29A1" w14:textId="2127AE77">
      <w:pPr>
        <w:pStyle w:val="ListParagraph"/>
        <w:numPr>
          <w:ilvl w:val="0"/>
          <w:numId w:val="14"/>
        </w:numPr>
        <w:spacing w:before="240" w:beforeAutospacing="off" w:after="240" w:afterAutospacing="off"/>
        <w:jc w:val="both"/>
        <w:rPr>
          <w:rFonts w:ascii="Arial" w:hAnsi="Arial" w:eastAsia="Arial" w:cs="Arial"/>
          <w:noProof w:val="0"/>
          <w:sz w:val="28"/>
          <w:szCs w:val="28"/>
          <w:lang w:val="en-US"/>
        </w:rPr>
      </w:pPr>
      <w:r w:rsidRPr="6ACBE163" w:rsidR="732F608B">
        <w:rPr>
          <w:rFonts w:ascii="Arial" w:hAnsi="Arial" w:eastAsia="Arial" w:cs="Arial"/>
          <w:noProof w:val="0"/>
          <w:sz w:val="28"/>
          <w:szCs w:val="28"/>
          <w:lang w:val="en-US"/>
        </w:rPr>
        <w:t>How do contextual influences</w:t>
      </w:r>
      <w:r w:rsidRPr="6ACBE163" w:rsidR="40115D1B">
        <w:rPr>
          <w:rFonts w:ascii="Arial" w:hAnsi="Arial" w:eastAsia="Arial" w:cs="Arial"/>
          <w:noProof w:val="0"/>
          <w:sz w:val="28"/>
          <w:szCs w:val="28"/>
          <w:lang w:val="en-US"/>
        </w:rPr>
        <w:t xml:space="preserve"> </w:t>
      </w:r>
      <w:r w:rsidRPr="6ACBE163" w:rsidR="732F608B">
        <w:rPr>
          <w:rFonts w:ascii="Arial" w:hAnsi="Arial" w:eastAsia="Arial" w:cs="Arial"/>
          <w:noProof w:val="0"/>
          <w:sz w:val="28"/>
          <w:szCs w:val="28"/>
          <w:lang w:val="en-US"/>
        </w:rPr>
        <w:t>such as workload, training access, regulatory environments, professional culture, and patient expectations</w:t>
      </w:r>
      <w:r w:rsidRPr="6ACBE163" w:rsidR="133BE439">
        <w:rPr>
          <w:rFonts w:ascii="Arial" w:hAnsi="Arial" w:eastAsia="Arial" w:cs="Arial"/>
          <w:noProof w:val="0"/>
          <w:sz w:val="28"/>
          <w:szCs w:val="28"/>
          <w:lang w:val="en-US"/>
        </w:rPr>
        <w:t xml:space="preserve"> </w:t>
      </w:r>
      <w:r w:rsidRPr="6ACBE163" w:rsidR="732F608B">
        <w:rPr>
          <w:rFonts w:ascii="Arial" w:hAnsi="Arial" w:eastAsia="Arial" w:cs="Arial"/>
          <w:noProof w:val="0"/>
          <w:sz w:val="28"/>
          <w:szCs w:val="28"/>
          <w:lang w:val="en-US"/>
        </w:rPr>
        <w:t xml:space="preserve">shape dispensing safety </w:t>
      </w:r>
      <w:r w:rsidRPr="6ACBE163" w:rsidR="732F608B">
        <w:rPr>
          <w:rFonts w:ascii="Arial" w:hAnsi="Arial" w:eastAsia="Arial" w:cs="Arial"/>
          <w:noProof w:val="0"/>
          <w:sz w:val="28"/>
          <w:szCs w:val="28"/>
          <w:lang w:val="en-US"/>
        </w:rPr>
        <w:t>behaviours</w:t>
      </w:r>
      <w:r w:rsidRPr="6ACBE163" w:rsidR="732F608B">
        <w:rPr>
          <w:rFonts w:ascii="Arial" w:hAnsi="Arial" w:eastAsia="Arial" w:cs="Arial"/>
          <w:noProof w:val="0"/>
          <w:sz w:val="28"/>
          <w:szCs w:val="28"/>
          <w:lang w:val="en-US"/>
        </w:rPr>
        <w:t xml:space="preserve"> in LMICs?</w:t>
      </w:r>
    </w:p>
    <w:p w:rsidR="732F608B" w:rsidP="4369956E" w:rsidRDefault="732F608B" w14:paraId="367B7349" w14:textId="3AE331E3">
      <w:pPr>
        <w:pStyle w:val="ListParagraph"/>
        <w:numPr>
          <w:ilvl w:val="0"/>
          <w:numId w:val="14"/>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What quality improvement strategies are reported as feasible or beneficial for reducing pharmacist-related dispensing errors in LMIC settings?</w:t>
      </w:r>
    </w:p>
    <w:p w:rsidR="732F608B" w:rsidP="4369956E" w:rsidRDefault="732F608B" w14:paraId="4EC1A782" w14:textId="655ADD2D">
      <w:pPr>
        <w:pStyle w:val="ListParagraph"/>
        <w:numPr>
          <w:ilvl w:val="0"/>
          <w:numId w:val="14"/>
        </w:numPr>
        <w:spacing w:before="240" w:beforeAutospacing="off" w:after="240" w:afterAutospacing="off"/>
        <w:jc w:val="both"/>
        <w:rPr>
          <w:rFonts w:ascii="Arial" w:hAnsi="Arial" w:eastAsia="Arial" w:cs="Arial"/>
          <w:noProof w:val="0"/>
          <w:sz w:val="28"/>
          <w:szCs w:val="28"/>
          <w:lang w:val="en-US"/>
        </w:rPr>
      </w:pPr>
      <w:r w:rsidRPr="4369956E" w:rsidR="732F608B">
        <w:rPr>
          <w:rFonts w:ascii="Arial" w:hAnsi="Arial" w:eastAsia="Arial" w:cs="Arial"/>
          <w:noProof w:val="0"/>
          <w:sz w:val="28"/>
          <w:szCs w:val="28"/>
          <w:lang w:val="en-US"/>
        </w:rPr>
        <w:t>How can qualitative evidence inform practical recommendations for strengthening medication safety and service improvement in LMIC pharmacy practice?</w:t>
      </w:r>
    </w:p>
    <w:p w:rsidR="4369956E" w:rsidP="4369956E" w:rsidRDefault="4369956E" w14:paraId="2B048D7C" w14:textId="03580EFE">
      <w:pPr>
        <w:jc w:val="both"/>
      </w:pPr>
    </w:p>
    <w:p w:rsidR="732F608B" w:rsidP="668EA0FB" w:rsidRDefault="732F608B" w14:paraId="210C5046" w14:textId="67013DD7">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685672274" w:id="1473170259"/>
      <w:r w:rsidRPr="668EA0FB" w:rsidR="732F608B">
        <w:rPr>
          <w:rFonts w:ascii="Arial" w:hAnsi="Arial" w:eastAsia="Arial" w:cs="Arial"/>
          <w:b w:val="1"/>
          <w:bCs w:val="1"/>
          <w:noProof w:val="0"/>
          <w:sz w:val="36"/>
          <w:szCs w:val="36"/>
          <w:lang w:val="en-US"/>
        </w:rPr>
        <w:t>1.8 Significance of the Study</w:t>
      </w:r>
      <w:bookmarkEnd w:id="1473170259"/>
    </w:p>
    <w:p w:rsidR="732F608B" w:rsidP="4369956E" w:rsidRDefault="732F608B" w14:paraId="48985E09" w14:textId="7EE48CB5">
      <w:pPr>
        <w:spacing w:before="240" w:beforeAutospacing="off" w:after="240" w:afterAutospacing="off"/>
        <w:jc w:val="both"/>
      </w:pPr>
      <w:r w:rsidRPr="4369956E" w:rsidR="732F608B">
        <w:rPr>
          <w:rFonts w:ascii="Arial" w:hAnsi="Arial" w:eastAsia="Arial" w:cs="Arial"/>
          <w:noProof w:val="0"/>
          <w:sz w:val="28"/>
          <w:szCs w:val="28"/>
          <w:lang w:val="en-US"/>
        </w:rPr>
        <w:t>This dissertation contributes to patient safety and pharmacy practice literature by providing a structured synthesis of qualitative evidence focused on LMIC pharmacy environments. By drawing together insights across multiple settings, the study supports a deeper understanding of why dispensing errors persist and how improvement strategies can be tailored to resource constraints. This is aligned with the WHO position that medication errors occur due to weak systems and human factors and that improvement requires coordinated system strengthening rather than individual blame (WHO, n.d.; WHO, 2017).</w:t>
      </w:r>
    </w:p>
    <w:p w:rsidR="732F608B" w:rsidP="4369956E" w:rsidRDefault="732F608B" w14:paraId="1336E971" w14:textId="26C99406">
      <w:pPr>
        <w:spacing w:before="240" w:beforeAutospacing="off" w:after="240" w:afterAutospacing="off"/>
        <w:jc w:val="both"/>
      </w:pPr>
      <w:r w:rsidRPr="4369956E" w:rsidR="732F608B">
        <w:rPr>
          <w:rFonts w:ascii="Arial" w:hAnsi="Arial" w:eastAsia="Arial" w:cs="Arial"/>
          <w:noProof w:val="0"/>
          <w:sz w:val="28"/>
          <w:szCs w:val="28"/>
          <w:lang w:val="en-US"/>
        </w:rPr>
        <w:t>The findings are significant for several stakeholders. For policymakers and regulators, the synthesis may help identify system priorities such as clearer standards, strengthened oversight, and scalable reporting and learning mechanisms. For pharmacy educators and professional bodies, the review can highlight competency gaps and reinforce the importance of structured continuing professional development. For pharmacy leaders and managers, the findings can inform workflow redesign, staffing considerations, SOP implementation, and culture change approaches that support learning and safety.</w:t>
      </w:r>
    </w:p>
    <w:p w:rsidR="732F608B" w:rsidP="4369956E" w:rsidRDefault="732F608B" w14:paraId="6A52875A" w14:textId="6204CFEF">
      <w:pPr>
        <w:spacing w:before="240" w:beforeAutospacing="off" w:after="240" w:afterAutospacing="off"/>
        <w:jc w:val="both"/>
      </w:pPr>
      <w:r w:rsidRPr="4369956E" w:rsidR="732F608B">
        <w:rPr>
          <w:rFonts w:ascii="Arial" w:hAnsi="Arial" w:eastAsia="Arial" w:cs="Arial"/>
          <w:noProof w:val="0"/>
          <w:sz w:val="28"/>
          <w:szCs w:val="28"/>
          <w:lang w:val="en-US"/>
        </w:rPr>
        <w:t>Additionally, improving dispensing safety supports broader public health goals, including responsible antimicrobial use. WHO identifies AMR as a major threat and emphasises that misuse and overuse of antimicrobials are key drivers of resistance (WHO, 2023). Therefore, improving dispensing practice may have both direct benefits for patient outcomes and wider benefits for health system resilience and population health.</w:t>
      </w:r>
    </w:p>
    <w:p w:rsidR="4369956E" w:rsidP="4369956E" w:rsidRDefault="4369956E" w14:paraId="10759520" w14:textId="7B0DA413">
      <w:pPr>
        <w:jc w:val="both"/>
      </w:pPr>
    </w:p>
    <w:p w:rsidR="732F608B" w:rsidP="668EA0FB" w:rsidRDefault="732F608B" w14:paraId="36A00E0B" w14:textId="1E6A341C">
      <w:pPr>
        <w:pStyle w:val="Heading2"/>
        <w:spacing w:before="299" w:beforeAutospacing="off" w:after="299" w:afterAutospacing="off"/>
        <w:jc w:val="both"/>
        <w:rPr>
          <w:rFonts w:ascii="Arial" w:hAnsi="Arial" w:eastAsia="Arial" w:cs="Arial"/>
          <w:b w:val="1"/>
          <w:bCs w:val="1"/>
          <w:noProof w:val="0"/>
          <w:sz w:val="36"/>
          <w:szCs w:val="36"/>
          <w:lang w:val="en-US"/>
        </w:rPr>
      </w:pPr>
      <w:bookmarkStart w:name="_Toc1646268579" w:id="2104477841"/>
      <w:r w:rsidRPr="668EA0FB" w:rsidR="732F608B">
        <w:rPr>
          <w:rFonts w:ascii="Arial" w:hAnsi="Arial" w:eastAsia="Arial" w:cs="Arial"/>
          <w:b w:val="1"/>
          <w:bCs w:val="1"/>
          <w:noProof w:val="0"/>
          <w:sz w:val="36"/>
          <w:szCs w:val="36"/>
          <w:lang w:val="en-US"/>
        </w:rPr>
        <w:t>1.9 Chapter Summary</w:t>
      </w:r>
      <w:bookmarkEnd w:id="2104477841"/>
    </w:p>
    <w:p w:rsidR="732F608B" w:rsidP="4369956E" w:rsidRDefault="732F608B" w14:paraId="5AA773F5" w14:textId="41A7F7C7">
      <w:pPr>
        <w:spacing w:before="240" w:beforeAutospacing="off" w:after="240" w:afterAutospacing="off"/>
        <w:jc w:val="both"/>
      </w:pPr>
      <w:r w:rsidRPr="4369956E" w:rsidR="732F608B">
        <w:rPr>
          <w:rFonts w:ascii="Arial" w:hAnsi="Arial" w:eastAsia="Arial" w:cs="Arial"/>
          <w:noProof w:val="0"/>
          <w:sz w:val="28"/>
          <w:szCs w:val="28"/>
          <w:lang w:val="en-US"/>
        </w:rPr>
        <w:t>This chapter introduced the focus of the dissertation, establishing medication safety and dispensing errors as critical patient safety concerns and explaining why LMIC pharmacy contexts require specific attention. It clarified the rationale for selecting LMIC settings using World Bank income classifications and highlighted how resource constraints and system variability may influence dispensing safety (World Bank, 2024). The chapter also presented the problem statement, aim, research objectives, and research questions, and outlined the academic and practical significance of synthesising qualitative evidence to support context-appropriate quality improvement strategies. The next chapter critically reviews relevant literature on dispensing errors, LMIC pharmacy practice, and quality improvement approaches to medication safety.</w:t>
      </w:r>
    </w:p>
    <w:p w:rsidR="4369956E" w:rsidP="4369956E" w:rsidRDefault="4369956E" w14:paraId="0BA28656" w14:textId="210F54C8">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375BB368" w:rsidP="668EA0FB" w:rsidRDefault="375BB368" w14:paraId="6154A7A0" w14:textId="48DFFF33">
      <w:pPr>
        <w:pStyle w:val="Heading1"/>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911871197" w:id="2092608447"/>
      <w:r w:rsidRPr="668EA0FB" w:rsidR="00765DF5">
        <w:rPr>
          <w:b w:val="0"/>
          <w:bCs w:val="0"/>
          <w:noProof w:val="0"/>
          <w:lang w:val="en-US"/>
        </w:rPr>
        <w:t>Chapter 2: Literature Review</w:t>
      </w:r>
      <w:bookmarkEnd w:id="2092608447"/>
    </w:p>
    <w:p w:rsidR="375BB368" w:rsidP="668EA0FB" w:rsidRDefault="375BB368" w14:paraId="59056740" w14:textId="4E25C13F">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725659954" w:id="846104523"/>
      <w:r w:rsidRPr="668EA0FB" w:rsidR="0FE2650C">
        <w:rPr>
          <w:b w:val="0"/>
          <w:bCs w:val="0"/>
          <w:noProof w:val="0"/>
          <w:lang w:val="en-US"/>
        </w:rPr>
        <w:t>2.1 Introduction</w:t>
      </w:r>
      <w:bookmarkEnd w:id="846104523"/>
    </w:p>
    <w:p w:rsidR="375BB368" w:rsidP="4369956E" w:rsidRDefault="375BB368" w14:paraId="6E713C87" w14:textId="3570351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A literature review aims to critically examine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existing knowledge relevant to the research topic rather than restrict discussion to a single methodological approach.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Accordingly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this chapter integrates qualitative evidence, quantitative findings, global statistics, and policy guidance related to medication safety and pharmacist-related dispensing errors. Dispensing errors are reviewed within the broader context of patient safety, healthcare systems, and quality improvement, with particular attention to the realities of low- and middle-income countries (LMICs).</w:t>
      </w:r>
    </w:p>
    <w:p w:rsidR="375BB368" w:rsidP="4369956E" w:rsidRDefault="375BB368" w14:paraId="425B9A3D" w14:textId="30BF5BD1">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Previous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studies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indicate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that medication safety challenges are multifactorial, involving human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systems, regulatory environments, and sociocultural influences (Reason, 2000; WHO, 2017). Therefore, a comprehensive review of literature across different study designs is necessary to understand the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magnitude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of dispensing errors, their contributory factors, and the effectiveness of improvement strategies. This chapter provides the conceptual and empirical foundation for the current systematic review by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summarising</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what is already known,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inconsistencies, and highlighting key gaps in existing research.</w:t>
      </w:r>
    </w:p>
    <w:p w:rsidR="375BB368" w:rsidP="668EA0FB" w:rsidRDefault="375BB368" w14:paraId="40E4FD51" w14:textId="3B1131CC">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361550106" w:id="92433221"/>
      <w:r w:rsidRPr="668EA0FB" w:rsidR="0FE2650C">
        <w:rPr>
          <w:b w:val="0"/>
          <w:bCs w:val="0"/>
          <w:noProof w:val="0"/>
          <w:lang w:val="en-US"/>
        </w:rPr>
        <w:t>2.2 Global burden of medication errors and patient safety priorities</w:t>
      </w:r>
      <w:bookmarkEnd w:id="92433221"/>
    </w:p>
    <w:p w:rsidR="375BB368" w:rsidP="4369956E" w:rsidRDefault="375BB368" w14:paraId="6CC01318" w14:textId="32D19D1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errors are widely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as a major cause of preventable patient harm worldwide. The World Health Organization has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medication-related harm as one of the most common and avoidable threats to patient safety, occurring across all healthcare settings and levels of care (WHO, 2017; WHO, 2022). Globally, medication errors are estimated to cost health systems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approximately US$42 billion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each year,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representing</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a substantial economic and public health burden (WHO, 2017).</w:t>
      </w:r>
    </w:p>
    <w:p w:rsidR="375BB368" w:rsidP="4369956E" w:rsidRDefault="375BB368" w14:paraId="2AC8164F" w14:textId="15B9A18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errors may occur at any stage of the medication-use process, including prescribing, transcribing, dispensing, administration, and monitoring. However, errors that reach the patient often reflect multiple system failures rather than isolated individual mistakes (Reason, 2000; Dean et al., 2002). This systems-based understanding underpins modern patient safety theory and is central to the WHO’s Medication Without Harm initiative, which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strengthening processes, workforce competence,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(WHO, 2017).</w:t>
      </w:r>
    </w:p>
    <w:p w:rsidR="375BB368" w:rsidP="4369956E" w:rsidRDefault="375BB368" w14:paraId="235A10E2" w14:textId="5C924E3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Evidence from high-income countries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that medication errors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remain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common even in advanced healthcare systems. In England, Elliott et al. (2018) estimated that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approximately 237</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million medication errors occur annually within the National Health Service, with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 significant proportion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occurring during prescribing and dispensing. These findings highlight that medication safety challenges are not confined to resource-poor settings and that system complexity itself can create vulnerability to error (Elliott et al., 2018;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For LMICs, where safety infrastructure may be less developed, these challenges may be further intensified.</w:t>
      </w:r>
    </w:p>
    <w:p w:rsidR="375BB368" w:rsidP="668EA0FB" w:rsidRDefault="375BB368" w14:paraId="5CAE3A3C" w14:textId="5089DFF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922174149" w:id="1639647277"/>
      <w:r w:rsidRPr="668EA0FB" w:rsidR="0FE2650C">
        <w:rPr>
          <w:rStyle w:val="Heading2Char"/>
          <w:b w:val="0"/>
          <w:bCs w:val="0"/>
          <w:noProof w:val="0"/>
          <w:lang w:val="en-US"/>
        </w:rPr>
        <w:t>2.3 Definition, types, and prevalence of dispensing errors</w:t>
      </w:r>
      <w:bookmarkEnd w:id="1639647277"/>
    </w:p>
    <w:p w:rsidR="375BB368" w:rsidP="4369956E" w:rsidRDefault="375BB368" w14:paraId="1D8854A2" w14:textId="605DE66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are defined as discrepancies between a valid prescription and the medicine supplied to the patient, including incorrect drug selection, wrong strength or dose, labelling inaccuracies, incorrect quantity, and omission of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appropriate counselling</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(WHO, 2022; James et al., 2009). These errors may result from technical failures, cognitive overload, or system weaknesses such as inadequate checking procedures and interruptions during workflow.</w:t>
      </w:r>
    </w:p>
    <w:p w:rsidR="375BB368" w:rsidP="4369956E" w:rsidRDefault="375BB368" w14:paraId="08263FF4" w14:textId="583C0018">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Quantitative research has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attempted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to estimate the prevalence of dispensing errors, although reported rates vary considerably. A recent systematic review and meta-analysis reported a pooled global prevalence of approximately 1.6%, noting substantial heterogeneity due to differences in study design, definitions, and detection methods (Um et al., 2024). Earlier reviews similarly reported wide ranges, with dispensing error rates varying across community and hospital pharmacy settings (James et al., 2009; Campbell et al., 2018).</w:t>
      </w:r>
    </w:p>
    <w:p w:rsidR="375BB368" w:rsidP="4369956E" w:rsidRDefault="375BB368" w14:paraId="1428A286" w14:textId="4F14FDE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The variability in prevalence estimates does not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indicate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inconsistency in the problem but rather reflects methodological differences. Observational studies and simulated client methods tend to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higher error rates compared to self-reporting approaches, which may underestimate errors due to fear of blame or reputational harm (Ashcroft et al., 2015; Campbell et al., 2018). This issue is particularly relevant in LMIC contexts, where formal reporting systems may be weak or absent.</w:t>
      </w:r>
    </w:p>
    <w:p w:rsidR="375BB368" w:rsidP="4369956E" w:rsidRDefault="375BB368" w14:paraId="6F5C2243" w14:textId="3E2311B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to frequency, the type of dispensing error is clinically significant. Studies consistently report wrong strength, incorrect labelling,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selection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errors—often involving look-alike or sound-alike medicines—as common categories (James et al., 2009; Ashcroft et al., 2015). These errors are especially concerning because they can result in serious patient harm if not detected prior to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medicine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use.</w:t>
      </w:r>
    </w:p>
    <w:p w:rsidR="375BB368" w:rsidP="668EA0FB" w:rsidRDefault="375BB368" w14:paraId="603A8998" w14:textId="696BD930">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612398566" w:id="1187165839"/>
      <w:r w:rsidRPr="668EA0FB" w:rsidR="0FE2650C">
        <w:rPr>
          <w:b w:val="0"/>
          <w:bCs w:val="0"/>
          <w:noProof w:val="0"/>
          <w:lang w:val="en-US"/>
        </w:rPr>
        <w:t>2.4 LMIC pharmacy contexts and system-related vulnerabilities</w:t>
      </w:r>
      <w:bookmarkEnd w:id="1187165839"/>
    </w:p>
    <w:p w:rsidR="375BB368" w:rsidP="4369956E" w:rsidRDefault="375BB368" w14:paraId="681B0E5F" w14:textId="5FCF526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LMICs face distinct healthcare system challenges that may increase vulnerability to dispensing errors. These include workforce shortages, limited access to continuing professional development, inconsistent enforcement of pharmacy regulations, and inadequate implementation of standard operating procedures (WHO, 2017; Bigdeli et al., 2019). In many LMIC settings, pharmacies serve as the first point of contact for healthcare, particularly where access to physicians is limited, thereby increasing dispensing workload and responsibility (Bigdeli et al., 2019).</w:t>
      </w:r>
    </w:p>
    <w:p w:rsidR="375BB368" w:rsidP="4369956E" w:rsidRDefault="375BB368" w14:paraId="66A810C8" w14:textId="6E0C0EA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Resource constraints also influence workflow design and staffing patterns. High patient volumes, multitasking, and interruptions are common features of pharmacy practice in LMICs and have been associated with increased error risk in multiple studies (Westbrook et al., 2010;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When safety checks depend primarily on individual vigilance rather than structured systems, the likelihood of slips and lapses increases (Reason, 2000).</w:t>
      </w:r>
    </w:p>
    <w:p w:rsidR="375BB368" w:rsidP="4369956E" w:rsidRDefault="375BB368" w14:paraId="3206FF40" w14:textId="0FA0E09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Regulatory variability further complicates safe dispensing practice. In some LMICs, prescription-only regulations may be inconsistently enforced, leading to widespread non-prescription supply of medicines, including antibiotics (WHO, 2023). This regulatory environment places pharmacists in ethically complex situations where patient demand, commercial pressures, and professional responsibility may conflict (Bigdeli et al., 2019).</w:t>
      </w:r>
    </w:p>
    <w:p w:rsidR="375BB368" w:rsidP="668EA0FB" w:rsidRDefault="375BB368" w14:paraId="66394552" w14:textId="261EF4C4">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2026322620" w:id="1354809053"/>
      <w:r w:rsidRPr="668EA0FB" w:rsidR="0FE2650C">
        <w:rPr>
          <w:b w:val="0"/>
          <w:bCs w:val="0"/>
          <w:noProof w:val="0"/>
          <w:lang w:val="en-US"/>
        </w:rPr>
        <w:t xml:space="preserve">2.5 Human factors and </w:t>
      </w:r>
      <w:r w:rsidRPr="668EA0FB" w:rsidR="0FE2650C">
        <w:rPr>
          <w:b w:val="0"/>
          <w:bCs w:val="0"/>
          <w:noProof w:val="0"/>
          <w:lang w:val="en-US"/>
        </w:rPr>
        <w:t>organisational</w:t>
      </w:r>
      <w:r w:rsidRPr="668EA0FB" w:rsidR="0FE2650C">
        <w:rPr>
          <w:b w:val="0"/>
          <w:bCs w:val="0"/>
          <w:noProof w:val="0"/>
          <w:lang w:val="en-US"/>
        </w:rPr>
        <w:t xml:space="preserve"> contributors to dispensing errors</w:t>
      </w:r>
      <w:bookmarkEnd w:id="1354809053"/>
    </w:p>
    <w:p w:rsidR="375BB368" w:rsidP="4369956E" w:rsidRDefault="375BB368" w14:paraId="60673F07" w14:textId="6C333ADB">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are strongly influenced by human factors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conditions. Human factors theory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recognises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that errors occur when system demands exceed human cognitive capacity, particularly in environments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characterised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by fatigue, interruptions, and time pressure (Reason, 2000;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Carayon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2014).</w:t>
      </w:r>
    </w:p>
    <w:p w:rsidR="375BB368" w:rsidP="4369956E" w:rsidRDefault="375BB368" w14:paraId="1A1D79AD" w14:textId="694505A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Workload is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a frequently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cited contributor. High dispensing volume and inadequate staffing reduce time available for clinical verification and patient counselling, increasing reliance on memory and routine rather than deliberate checking (Westbrook et al., 2010;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Communication failures also contribute to error, particularly when prescriptions are incomplete, unclear, or handwritten, forcing pharmacists to interpret ambiguous information (Dean et al., 2002).</w:t>
      </w:r>
    </w:p>
    <w:p w:rsidR="375BB368" w:rsidP="4369956E" w:rsidRDefault="375BB368" w14:paraId="60B108D5" w14:textId="2F05EFA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Standardisation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plays a crucial role in mitigating these risks. The absence of SOPs, double-check systems, and defined escalation pathways means that safety is dependent on individual experience rather than consistent processes (WHO, 2017).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is further undermined when error reporting is discouraged by punitive cultures, preventing identification of systemic weaknesses (Reason, 2000; WHO, 2017).</w:t>
      </w:r>
    </w:p>
    <w:p w:rsidR="375BB368" w:rsidP="668EA0FB" w:rsidRDefault="375BB368" w14:paraId="033091CF" w14:textId="5002E4C3">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439129957" w:id="48940689"/>
      <w:r w:rsidRPr="668EA0FB" w:rsidR="0FE2650C">
        <w:rPr>
          <w:b w:val="0"/>
          <w:bCs w:val="0"/>
          <w:noProof w:val="0"/>
          <w:lang w:val="en-US"/>
        </w:rPr>
        <w:t>2.6 Sociocultural and ethical influences on dispensing practice</w:t>
      </w:r>
      <w:bookmarkEnd w:id="48940689"/>
    </w:p>
    <w:p w:rsidR="375BB368" w:rsidP="4369956E" w:rsidRDefault="375BB368" w14:paraId="5B681249" w14:textId="5C932D7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Sociocultural factors shape how pharmacists interact with patients, prescribers,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In hierarchical healthcare systems, pharmacists may feel unable to challenge prescribers or question unclear prescriptions, reducing opportunities to intercept errors (Dean et al., 2002; Bigdeli et al., 2019). Fear of blame, job insecurity, and reputational damage can also discourage error reporting, particularly in private pharmacy settings (WHO, 2017).</w:t>
      </w:r>
    </w:p>
    <w:p w:rsidR="375BB368" w:rsidP="4369956E" w:rsidRDefault="375BB368" w14:paraId="53CE35CC" w14:textId="7E87476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Ethical dilemmas arise when pharmacists must balance patient needs with limited resources. Situations involving medicine shortages, affordability constraints, or pressure to dispense partial courses may increase the risk of unsafe practices (Bigdeli et al., 2019). These challenges highlight the importance of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and ethical support frameworks in promoting safe dispensing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w:t>
      </w:r>
    </w:p>
    <w:p w:rsidR="375BB368" w:rsidP="668EA0FB" w:rsidRDefault="375BB368" w14:paraId="70F17CDA" w14:textId="6E59F1DF">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719643645" w:id="1949612321"/>
      <w:r w:rsidRPr="668EA0FB" w:rsidR="0FE2650C">
        <w:rPr>
          <w:b w:val="0"/>
          <w:bCs w:val="0"/>
          <w:noProof w:val="0"/>
          <w:lang w:val="en-US"/>
        </w:rPr>
        <w:t>2.7 Dispensing errors, antimicrobial stewardship, and AMR</w:t>
      </w:r>
      <w:bookmarkEnd w:id="1949612321"/>
    </w:p>
    <w:p w:rsidR="375BB368" w:rsidP="4369956E" w:rsidRDefault="375BB368" w14:paraId="15A3F11D" w14:textId="4D234F9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practice is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closely linked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to antimicrobial stewardship and the global challenge of antimicrobial resistance. The WHO identifies misuse and overuse of antimicrobials as the primary drivers of resistance, with inappropriate dispensing contributing significantly to this problem (WHO, 2023). In 2019, bacterial antimicrobial resistance was estimated to be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directly responsible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for 1.27 million deaths globally, underscoring the urgency of improving antimicrobial use (WHO, 2023).</w:t>
      </w:r>
    </w:p>
    <w:p w:rsidR="375BB368" w:rsidP="4369956E" w:rsidRDefault="375BB368" w14:paraId="2A629394" w14:textId="09A9420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In LMICs, antibiotics are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dispensed without prescriptions or supplied in inappropriate quantities due to patient demand, limited regulatory oversight, and commercial pressures (Bigdeli et al., 2019). These practices increase the risk of resistance development, treatment failure, and downstream healthcare costs. Strengthening dispensing safety and counselling therefore supports both patient safety and public health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w:t>
      </w:r>
    </w:p>
    <w:p w:rsidR="375BB368" w:rsidP="668EA0FB" w:rsidRDefault="375BB368" w14:paraId="62583DC5" w14:textId="28BA663F">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587553178" w:id="2143923370"/>
      <w:r w:rsidRPr="668EA0FB" w:rsidR="0FE2650C">
        <w:rPr>
          <w:b w:val="0"/>
          <w:bCs w:val="0"/>
          <w:noProof w:val="0"/>
          <w:lang w:val="en-US"/>
        </w:rPr>
        <w:t>2.8 Quality improvement approaches in pharmacy practice</w:t>
      </w:r>
      <w:bookmarkEnd w:id="2143923370"/>
    </w:p>
    <w:p w:rsidR="375BB368" w:rsidP="4369956E" w:rsidRDefault="375BB368" w14:paraId="539A052C" w14:textId="75B73EC1">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Quality improvement approaches aim to enhance care reliability through structured, continuous system change rather than isolated training interventions. The WHO medication safety framework promotes system redesign, workforce development, and non-punitive learning cultures as core components of improvement (WHO, 2017).</w:t>
      </w:r>
    </w:p>
    <w:p w:rsidR="375BB368" w:rsidP="4369956E" w:rsidRDefault="375BB368" w14:paraId="60B39339" w14:textId="26351D2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Common QI strategies relevant to dispensing include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standardised</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protocols, safety checklists, audit and feedback, and structured continuing professional development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Carayon</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2014; WHO, 2017). Where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feasible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digital technologies such as electronic prescribing and barcode verification can reduce transcription and selection errors, although implementation in LMICs must consider cost, infrastructure, and sustainability (WHO, 2017; Bigdeli et al., 2019).</w:t>
      </w:r>
    </w:p>
    <w:p w:rsidR="375BB368" w:rsidP="4369956E" w:rsidRDefault="375BB368" w14:paraId="71005E17" w14:textId="0B5DB4E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Importantly, evidence suggests that QI interventions are most effective when they address both technical processes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reinforcing the need for context-sensitive strategies in LMIC pharmacy settings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w:t>
      </w:r>
    </w:p>
    <w:p w:rsidR="375BB368" w:rsidP="668EA0FB" w:rsidRDefault="375BB368" w14:paraId="4F53A277" w14:textId="2A096CC5">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881561900" w:id="459926689"/>
      <w:r w:rsidRPr="668EA0FB" w:rsidR="0FE2650C">
        <w:rPr>
          <w:b w:val="0"/>
          <w:bCs w:val="0"/>
          <w:noProof w:val="0"/>
          <w:lang w:val="en-US"/>
        </w:rPr>
        <w:t>2.9 Gaps in existing literature and rationale for the current study</w:t>
      </w:r>
      <w:bookmarkEnd w:id="459926689"/>
    </w:p>
    <w:p w:rsidR="375BB368" w:rsidP="4369956E" w:rsidRDefault="375BB368" w14:paraId="730AD29F" w14:textId="1849761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Despite extensive research on medication safety, there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remains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limited synthesis of evidence focused specifically on pharmacist-related dispensing errors in LMIC contexts. Quantitative studies provide estimates of prevalence, while qualitative studies offer insight into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behavioural</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contextual factors, but these bodies of evidence are often examined separately (Campbell et al., 2018; Um et al., 2024).</w:t>
      </w:r>
    </w:p>
    <w:p w:rsidR="375BB368" w:rsidP="4369956E" w:rsidRDefault="375BB368" w14:paraId="62B7D69D" w14:textId="00C8CA6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Furthermore, many improvement strategies are evaluated in high-income settings, raising questions about transferability to LMICs with different regulatory, cultural, and resource constraints. This gap highlights the need for systematic synthesis that integrates diverse evidence to inform realistic, context-appropriate quality improvement strategies.</w:t>
      </w:r>
    </w:p>
    <w:p w:rsidR="375BB368" w:rsidP="668EA0FB" w:rsidRDefault="375BB368" w14:paraId="0A107452" w14:textId="2F835D2B">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258689226" w:id="1346849536"/>
      <w:r w:rsidRPr="668EA0FB" w:rsidR="0FE2650C">
        <w:rPr>
          <w:b w:val="0"/>
          <w:bCs w:val="0"/>
          <w:noProof w:val="0"/>
          <w:lang w:val="en-US"/>
        </w:rPr>
        <w:t>2.10 Summary</w:t>
      </w:r>
      <w:bookmarkEnd w:id="1346849536"/>
    </w:p>
    <w:p w:rsidR="375BB368" w:rsidP="4369956E" w:rsidRDefault="375BB368" w14:paraId="5747F117" w14:textId="1DA6177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This chapter reviewed a wide range of literature related to medication safety and dispensing errors, incorporating global statistics, quantitative prevalence data, qualitative insights, and policy guidance. The evidence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that dispensing errors are a significant and preventable cause of patient harm worldwide, with system weaknesses, human factors, and sociocultural influences playing central roles (WHO, 2017; Reason, 2000). LMIC pharmacy settings face particular challenges due to resource constraints, regulatory variability, and expanded access roles.</w:t>
      </w:r>
    </w:p>
    <w:p w:rsidR="375BB368" w:rsidP="4369956E" w:rsidRDefault="375BB368" w14:paraId="25658C4D" w14:textId="1086403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The literature also highlights strong links between dispensing practice and antimicrobial resistance, reinforcing the public health importance of improving pharmacy systems (WHO, 2023). Overall, the review supports the need for system-focused quality improvement approaches tailored to LMIC contexts. The following chapter outlines the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methodology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used to systematically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appraise, and </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4369956E" w:rsidR="0FE2650C">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 relevant to these challenges.</w:t>
      </w:r>
    </w:p>
    <w:p w:rsidR="375BB368" w:rsidP="4369956E" w:rsidRDefault="375BB368" w14:paraId="1EB162EC" w14:textId="3203729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4148CF3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75BB368" w:rsidP="668EA0FB" w:rsidRDefault="375BB368" w14:paraId="665B3445" w14:textId="4049BB34">
      <w:pPr>
        <w:pStyle w:val="Heading1"/>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295632301" w:id="1016099908"/>
      <w:r w:rsidRPr="668EA0FB" w:rsidR="143E4684">
        <w:rPr>
          <w:noProof w:val="0"/>
          <w:lang w:val="en-US"/>
        </w:rPr>
        <w:t>Chapter 3: Methodology</w:t>
      </w:r>
      <w:bookmarkEnd w:id="1016099908"/>
    </w:p>
    <w:p w:rsidR="375BB368" w:rsidP="722FFED0" w:rsidRDefault="375BB368" w14:paraId="1049A4B3" w14:textId="05F1405E">
      <w:pPr>
        <w:pStyle w:val="Normal"/>
        <w:spacing w:before="240" w:beforeAutospacing="off" w:after="240" w:afterAutospacing="off"/>
        <w:jc w:val="both"/>
      </w:pP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75BB368" w:rsidP="407E75B8" w:rsidRDefault="375BB368" w14:paraId="3C823E11" w14:textId="7F8AF2AD">
      <w:pPr>
        <w:pStyle w:val="Heading2"/>
        <w:jc w:val="both"/>
        <w:rPr>
          <w:noProof w:val="0"/>
          <w:lang w:val="en-US"/>
        </w:rPr>
      </w:pPr>
      <w:bookmarkStart w:name="_Toc2131471645" w:id="1971347052"/>
      <w:r w:rsidRPr="668EA0FB" w:rsidR="143E4684">
        <w:rPr>
          <w:noProof w:val="0"/>
          <w:lang w:val="en-US"/>
        </w:rPr>
        <w:t>3.1 Introduction</w:t>
      </w:r>
      <w:bookmarkEnd w:id="1971347052"/>
    </w:p>
    <w:p w:rsidR="375BB368" w:rsidP="4369956E" w:rsidRDefault="375BB368" w14:paraId="26B452C6" w14:textId="512545F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369956E" w:rsidR="62B731C3">
        <w:rPr>
          <w:rFonts w:ascii="Arial" w:hAnsi="Arial" w:eastAsia="Arial" w:cs="Arial"/>
          <w:b w:val="0"/>
          <w:bCs w:val="0"/>
          <w:i w:val="0"/>
          <w:iCs w:val="0"/>
          <w:caps w:val="0"/>
          <w:smallCaps w:val="0"/>
          <w:noProof w:val="0"/>
          <w:color w:val="000000" w:themeColor="text1" w:themeTint="FF" w:themeShade="FF"/>
          <w:sz w:val="24"/>
          <w:szCs w:val="24"/>
          <w:lang w:val="en-US"/>
        </w:rPr>
        <w:t>This chapter presents the methodological framework adopted to systematically examine pharmacist-related dispensing errors in low- and middle-income countries (LMICs) and to evaluate quality improvement (QI) strategies aimed at enhancing medication safety. Given the complex, context-dependent, and human-</w:t>
      </w:r>
      <w:r w:rsidRPr="4369956E" w:rsidR="62B731C3">
        <w:rPr>
          <w:rFonts w:ascii="Arial" w:hAnsi="Arial" w:eastAsia="Arial" w:cs="Arial"/>
          <w:b w:val="0"/>
          <w:bCs w:val="0"/>
          <w:i w:val="0"/>
          <w:iCs w:val="0"/>
          <w:caps w:val="0"/>
          <w:smallCaps w:val="0"/>
          <w:noProof w:val="0"/>
          <w:color w:val="000000" w:themeColor="text1" w:themeTint="FF" w:themeShade="FF"/>
          <w:sz w:val="24"/>
          <w:szCs w:val="24"/>
          <w:lang w:val="en-US"/>
        </w:rPr>
        <w:t>centred</w:t>
      </w:r>
      <w:r w:rsidRPr="4369956E" w:rsidR="62B731C3">
        <w:rPr>
          <w:rFonts w:ascii="Arial" w:hAnsi="Arial" w:eastAsia="Arial" w:cs="Arial"/>
          <w:b w:val="0"/>
          <w:bCs w:val="0"/>
          <w:i w:val="0"/>
          <w:iCs w:val="0"/>
          <w:caps w:val="0"/>
          <w:smallCaps w:val="0"/>
          <w:noProof w:val="0"/>
          <w:color w:val="000000" w:themeColor="text1" w:themeTint="FF" w:themeShade="FF"/>
          <w:sz w:val="24"/>
          <w:szCs w:val="24"/>
          <w:lang w:val="en-US"/>
        </w:rPr>
        <w:t xml:space="preserve"> nature of dispensing errors, a rigorous and transparent research design was essential to ensure credibility, reproducibility, and relevance.</w:t>
      </w:r>
    </w:p>
    <w:p w:rsidR="6BF26150" w:rsidP="5B971295" w:rsidRDefault="6BF26150" w14:paraId="64993722" w14:textId="4B8FF69A">
      <w:pPr>
        <w:pStyle w:val="Normal"/>
        <w:spacing w:before="240" w:beforeAutospacing="off" w:after="240" w:afterAutospacing="off"/>
        <w:jc w:val="both"/>
      </w:pPr>
      <w:r w:rsidRPr="5B971295" w:rsidR="6BF26150">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in LMICs are shaped by interacting factors such as workforce constraints, </w:t>
      </w:r>
      <w:r w:rsidRPr="5B971295" w:rsidR="6BF26150">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5B971295" w:rsidR="6BF26150">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regulatory variability, and sociocultural pressures (Musoke et al., 2023; Saleem et al., 2021). These factors are not easily captured through numerical indicators alone. Therefore, this study employed a systematic literature review (SLR) of qualitative primary research, enabling in-depth exploration of pharmacists’ experiences, </w:t>
      </w:r>
      <w:r w:rsidRPr="5B971295" w:rsidR="6BF26150">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5B971295" w:rsidR="6BF26150">
        <w:rPr>
          <w:rFonts w:ascii="Arial" w:hAnsi="Arial" w:eastAsia="Arial" w:cs="Arial"/>
          <w:b w:val="0"/>
          <w:bCs w:val="0"/>
          <w:i w:val="0"/>
          <w:iCs w:val="0"/>
          <w:caps w:val="0"/>
          <w:smallCaps w:val="0"/>
          <w:noProof w:val="0"/>
          <w:color w:val="000000" w:themeColor="text1" w:themeTint="FF" w:themeShade="FF"/>
          <w:sz w:val="24"/>
          <w:szCs w:val="24"/>
          <w:lang w:val="en-US"/>
        </w:rPr>
        <w:t>, and contextual challenges. The chapter details the study design, search strategy, eligibility criteria, quality appraisal approach, and ethical considerations underpinning the review.</w:t>
      </w:r>
    </w:p>
    <w:p w:rsidR="375BB368" w:rsidP="4369956E" w:rsidRDefault="375BB368" w14:paraId="35B02B72" w14:textId="545FC07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5BB368" w:rsidP="4369956E" w:rsidRDefault="375BB368" w14:paraId="5FD6B146" w14:textId="2073D1CE">
      <w:pPr>
        <w:pStyle w:val="Heading2"/>
      </w:pPr>
      <w:bookmarkStart w:name="_Toc556824408" w:id="989515997"/>
      <w:r w:rsidRPr="668EA0FB" w:rsidR="494764CF">
        <w:rPr>
          <w:noProof w:val="0"/>
          <w:lang w:val="en-US"/>
        </w:rPr>
        <w:t>3.2 Systematic Literature Review (SLR)</w:t>
      </w:r>
      <w:bookmarkEnd w:id="989515997"/>
      <w:r w:rsidRPr="668EA0FB" w:rsidR="494764CF">
        <w:rPr>
          <w:noProof w:val="0"/>
          <w:lang w:val="en-US"/>
        </w:rPr>
        <w:t xml:space="preserve"> </w:t>
      </w:r>
    </w:p>
    <w:p w:rsidR="375BB368" w:rsidP="722FFED0" w:rsidRDefault="375BB368" w14:paraId="3E3D3E93" w14:textId="5D458704">
      <w:pPr>
        <w:pStyle w:val="Normal"/>
        <w:spacing w:before="240" w:beforeAutospacing="off" w:after="240" w:afterAutospacing="off"/>
        <w:jc w:val="both"/>
      </w:pP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review design was selected for this study due to its rigor, transparency, and ability to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 across multiple qualitative studies while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minimising</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bias (Moher et al., 2019). By focusing exclusively on qualitative research, this review captures pharmacists’ experiences,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and contextual challenges influencing dispensing errors—insights often overlooked by quantitative surveys (Mbugua et al., 2020; Mekonnen et al., 2015). The methodological approach enables critical analysis of systemic and human factors contributing to dispensing errors and evaluates the effectiveness of quality improvement interventions in LMICs (Roche et al., 2021; Crafford et al., 2024).</w:t>
      </w:r>
    </w:p>
    <w:p w:rsidR="375BB368" w:rsidP="722FFED0" w:rsidRDefault="375BB368" w14:paraId="164B37E9" w14:textId="40C8805C">
      <w:pPr>
        <w:pStyle w:val="Normal"/>
        <w:spacing w:before="240" w:beforeAutospacing="off" w:after="240" w:afterAutospacing="off"/>
        <w:jc w:val="both"/>
      </w:pP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literature review (SLR) was conducted to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evaluate, and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qualitative primary research examining pharmacist-related dispensing errors and quality improvement strategies in LMICs. The review adhered to the PRISMA 2020 guidelines to ensure transparency, reproducibility, and methodological credibility in study identification, screening, and selection (Page et al., 2021). PRISMA was chosen over ENTREQ and MOOSE frameworks because it provides a more structured reporting process suitable for healthcare-related systematic reviews,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facilitating</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clear documentation of study selection and bias </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minimisation</w:t>
      </w:r>
      <w:r w:rsidRPr="4369956E" w:rsidR="2D983186">
        <w:rPr>
          <w:rFonts w:ascii="Arial" w:hAnsi="Arial" w:eastAsia="Arial" w:cs="Arial"/>
          <w:b w:val="0"/>
          <w:bCs w:val="0"/>
          <w:i w:val="0"/>
          <w:iCs w:val="0"/>
          <w:caps w:val="0"/>
          <w:smallCaps w:val="0"/>
          <w:noProof w:val="0"/>
          <w:color w:val="000000" w:themeColor="text1" w:themeTint="FF" w:themeShade="FF"/>
          <w:sz w:val="24"/>
          <w:szCs w:val="24"/>
          <w:lang w:val="en-US"/>
        </w:rPr>
        <w:t xml:space="preserve"> (Haddaway et al., 2020).</w:t>
      </w:r>
    </w:p>
    <w:p w:rsidR="375BB368" w:rsidP="722FFED0" w:rsidRDefault="375BB368" w14:paraId="670E3940" w14:textId="14259EAD">
      <w:pPr>
        <w:pStyle w:val="Normal"/>
        <w:spacing w:before="240" w:beforeAutospacing="off" w:after="240" w:afterAutospacing="off"/>
        <w:jc w:val="both"/>
      </w:pP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 xml:space="preserve">Focusing solely on qualitative studies allowed exploration of pharmacists’ perspectives, </w:t>
      </w: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contextual challenges influencing dispensing practices, offering deeper insights than purely quantitative research (Atif et al., 2019; </w:t>
      </w: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Gelayee</w:t>
      </w:r>
      <w:r w:rsidRPr="722FFED0" w:rsidR="375BB368">
        <w:rPr>
          <w:rFonts w:ascii="Arial" w:hAnsi="Arial" w:eastAsia="Arial" w:cs="Arial"/>
          <w:b w:val="0"/>
          <w:bCs w:val="0"/>
          <w:i w:val="0"/>
          <w:iCs w:val="0"/>
          <w:caps w:val="0"/>
          <w:smallCaps w:val="0"/>
          <w:noProof w:val="0"/>
          <w:color w:val="000000" w:themeColor="text1" w:themeTint="FF" w:themeShade="FF"/>
          <w:sz w:val="24"/>
          <w:szCs w:val="24"/>
          <w:lang w:val="en-US"/>
        </w:rPr>
        <w:t>, 2017). Limiting the review to LMICs ensured that findings reflected specific regulatory, cultural, and systemic realities, enhancing applicability for quality improvement initiatives in resource-constrained settings (Musoke et al., 2023; Saleem et al., 2021).</w:t>
      </w:r>
    </w:p>
    <w:p w:rsidR="5A759E79" w:rsidP="4369956E" w:rsidRDefault="5A759E79" w14:paraId="7D5F1150" w14:textId="654932C2">
      <w:pPr>
        <w:pStyle w:val="Heading2"/>
        <w:rPr>
          <w:noProof w:val="0"/>
          <w:lang w:val="en-US"/>
        </w:rPr>
      </w:pPr>
      <w:bookmarkStart w:name="_Toc1134623409" w:id="1030659720"/>
      <w:r w:rsidRPr="668EA0FB" w:rsidR="7D1F4A3C">
        <w:rPr>
          <w:noProof w:val="0"/>
          <w:lang w:val="en-US"/>
        </w:rPr>
        <w:t>3.3 Search Strategy and Databases</w:t>
      </w:r>
      <w:bookmarkEnd w:id="1030659720"/>
    </w:p>
    <w:p w:rsidR="011F0E51" w:rsidP="4369956E" w:rsidRDefault="011F0E51" w14:paraId="02139F3F" w14:textId="21F10B74">
      <w:pPr>
        <w:pStyle w:val="Normal"/>
        <w:rPr>
          <w:noProof w:val="0"/>
          <w:lang w:val="en-US"/>
        </w:rPr>
      </w:pPr>
      <w:r w:rsidRPr="4369956E" w:rsidR="011F0E51">
        <w:rPr>
          <w:noProof w:val="0"/>
          <w:lang w:val="en-US"/>
        </w:rPr>
        <w:t>A broad and sensitive search strategy was adopted to capture diverse evidence related to pharmacist-related dispensing errors and quality improvement in LMICs. Medication safety research is dispersed across pharmacy, public health, nursing, and health systems literature; therefore, reliance on a single database could result in incomplete retrieval (Booth et al., 2016).</w:t>
      </w:r>
    </w:p>
    <w:p w:rsidR="011F0E51" w:rsidP="4369956E" w:rsidRDefault="011F0E51" w14:paraId="386038F5" w14:textId="6AF94DA6">
      <w:pPr>
        <w:pStyle w:val="Normal"/>
      </w:pPr>
      <w:r w:rsidRPr="5B971295" w:rsidR="2235923C">
        <w:rPr>
          <w:noProof w:val="0"/>
          <w:lang w:val="en-US"/>
        </w:rPr>
        <w:t xml:space="preserve">Search terms were developed iteratively and </w:t>
      </w:r>
      <w:r w:rsidRPr="5B971295" w:rsidR="3DF42FE2">
        <w:rPr>
          <w:noProof w:val="0"/>
          <w:lang w:val="en-US"/>
        </w:rPr>
        <w:t>combined with</w:t>
      </w:r>
      <w:r w:rsidRPr="5B971295" w:rsidR="2235923C">
        <w:rPr>
          <w:noProof w:val="0"/>
          <w:lang w:val="en-US"/>
        </w:rPr>
        <w:t xml:space="preserve"> keywords related to dispensing errors, pharmacists, medication safety, quality improvement, and LMICs. Synonyms and alternative spellings were incorporated to </w:t>
      </w:r>
      <w:r w:rsidRPr="5B971295" w:rsidR="2235923C">
        <w:rPr>
          <w:noProof w:val="0"/>
          <w:lang w:val="en-US"/>
        </w:rPr>
        <w:t>maximise</w:t>
      </w:r>
      <w:r w:rsidRPr="5B971295" w:rsidR="2235923C">
        <w:rPr>
          <w:noProof w:val="0"/>
          <w:lang w:val="en-US"/>
        </w:rPr>
        <w:t xml:space="preserve"> sensitivity. This inclusive approach was essential given the variability in terminology used across countries and disciplines (Haddaway et al., 2020).</w:t>
      </w:r>
    </w:p>
    <w:p w:rsidR="5A759E79" w:rsidP="4369956E" w:rsidRDefault="5A759E79" w14:paraId="385FCF8B" w14:textId="3CE9D4DD">
      <w:pPr>
        <w:pStyle w:val="Heading2"/>
        <w:rPr>
          <w:noProof w:val="0"/>
          <w:lang w:val="en-US"/>
        </w:rPr>
      </w:pPr>
      <w:bookmarkStart w:name="_Toc1674683450" w:id="1528359691"/>
      <w:r w:rsidRPr="668EA0FB" w:rsidR="7D1F4A3C">
        <w:rPr>
          <w:noProof w:val="0"/>
          <w:lang w:val="en-US"/>
        </w:rPr>
        <w:t>3.3.1 PICO Framework</w:t>
      </w:r>
      <w:bookmarkEnd w:id="1528359691"/>
    </w:p>
    <w:p w:rsidR="5A759E79" w:rsidP="722FFED0" w:rsidRDefault="5A759E79" w14:paraId="07DA3035" w14:textId="02DC185A">
      <w:pPr>
        <w:spacing w:before="240" w:beforeAutospacing="off" w:after="240" w:afterAutospacing="off"/>
        <w:jc w:val="both"/>
      </w:pPr>
      <w:r w:rsidRPr="722FFED0" w:rsidR="5A759E79">
        <w:rPr>
          <w:rFonts w:ascii="Arial" w:hAnsi="Arial" w:eastAsia="Arial" w:cs="Arial"/>
          <w:noProof w:val="0"/>
          <w:sz w:val="24"/>
          <w:szCs w:val="24"/>
          <w:lang w:val="en-US"/>
        </w:rPr>
        <w:t>To structure the search and enhance methodological rigor, the PICO framework was applied:</w:t>
      </w:r>
    </w:p>
    <w:tbl>
      <w:tblPr>
        <w:tblStyle w:val="TableGrid"/>
        <w:tblW w:w="0" w:type="auto"/>
        <w:tblLayout w:type="fixed"/>
        <w:tblLook w:val="06A0" w:firstRow="1" w:lastRow="0" w:firstColumn="1" w:lastColumn="0" w:noHBand="1" w:noVBand="1"/>
      </w:tblPr>
      <w:tblGrid>
        <w:gridCol w:w="4680"/>
        <w:gridCol w:w="4680"/>
      </w:tblGrid>
      <w:tr w:rsidR="722FFED0" w:rsidTr="5B971295" w14:paraId="09147457">
        <w:trPr>
          <w:trHeight w:val="300"/>
        </w:trPr>
        <w:tc>
          <w:tcPr>
            <w:tcW w:w="4680" w:type="dxa"/>
            <w:tcMar/>
          </w:tcPr>
          <w:p w:rsidR="32DCCFA1" w:rsidP="407E75B8" w:rsidRDefault="32DCCFA1" w14:paraId="0D546D87" w14:textId="23E227F7">
            <w:pPr>
              <w:pStyle w:val="Normal"/>
              <w:jc w:val="both"/>
            </w:pPr>
            <w:r w:rsidRPr="407E75B8" w:rsidR="21D37E1C">
              <w:rPr>
                <w:rFonts w:ascii="Arial" w:hAnsi="Arial" w:eastAsia="Arial" w:cs="Arial"/>
                <w:noProof w:val="0"/>
                <w:sz w:val="24"/>
                <w:szCs w:val="24"/>
                <w:lang w:val="en-US"/>
              </w:rPr>
              <w:t>Population (P)</w:t>
            </w:r>
          </w:p>
        </w:tc>
        <w:tc>
          <w:tcPr>
            <w:tcW w:w="4680" w:type="dxa"/>
            <w:tcMar/>
          </w:tcPr>
          <w:p w:rsidR="32DCCFA1" w:rsidP="407E75B8" w:rsidRDefault="32DCCFA1" w14:paraId="14B7BEA5" w14:textId="6EEBEC1E">
            <w:pPr>
              <w:pStyle w:val="Normal"/>
              <w:jc w:val="both"/>
            </w:pPr>
            <w:r w:rsidRPr="407E75B8" w:rsidR="21D37E1C">
              <w:rPr>
                <w:rFonts w:ascii="Arial" w:hAnsi="Arial" w:eastAsia="Arial" w:cs="Arial"/>
                <w:noProof w:val="0"/>
                <w:sz w:val="24"/>
                <w:szCs w:val="24"/>
                <w:lang w:val="en-US"/>
              </w:rPr>
              <w:t>Pharmacists and dispensers working in LMIC healthcare or community pharmacy settings.</w:t>
            </w:r>
          </w:p>
        </w:tc>
      </w:tr>
      <w:tr w:rsidR="722FFED0" w:rsidTr="5B971295" w14:paraId="3A36670C">
        <w:trPr>
          <w:trHeight w:val="300"/>
        </w:trPr>
        <w:tc>
          <w:tcPr>
            <w:tcW w:w="4680" w:type="dxa"/>
            <w:tcMar/>
          </w:tcPr>
          <w:p w:rsidR="32DCCFA1" w:rsidP="407E75B8" w:rsidRDefault="32DCCFA1" w14:paraId="554C7AFC" w14:textId="64DFC160">
            <w:pPr>
              <w:pStyle w:val="Normal"/>
              <w:jc w:val="both"/>
            </w:pPr>
            <w:r w:rsidRPr="407E75B8" w:rsidR="21D37E1C">
              <w:rPr>
                <w:rFonts w:ascii="Arial" w:hAnsi="Arial" w:eastAsia="Arial" w:cs="Arial"/>
                <w:noProof w:val="0"/>
                <w:sz w:val="24"/>
                <w:szCs w:val="24"/>
                <w:lang w:val="en-US"/>
              </w:rPr>
              <w:t>Intervention (I)</w:t>
            </w:r>
          </w:p>
        </w:tc>
        <w:tc>
          <w:tcPr>
            <w:tcW w:w="4680" w:type="dxa"/>
            <w:tcMar/>
          </w:tcPr>
          <w:p w:rsidR="32DCCFA1" w:rsidP="407E75B8" w:rsidRDefault="32DCCFA1" w14:paraId="3FDC2A10" w14:textId="7AD7B696">
            <w:pPr>
              <w:pStyle w:val="Normal"/>
              <w:jc w:val="both"/>
            </w:pPr>
            <w:r w:rsidRPr="407E75B8" w:rsidR="21D37E1C">
              <w:rPr>
                <w:rFonts w:ascii="Arial" w:hAnsi="Arial" w:eastAsia="Arial" w:cs="Arial"/>
                <w:noProof w:val="0"/>
                <w:sz w:val="24"/>
                <w:szCs w:val="24"/>
                <w:lang w:val="en-US"/>
              </w:rPr>
              <w:t>Quality improvement strategies targeting dispensing errors</w:t>
            </w:r>
          </w:p>
        </w:tc>
      </w:tr>
      <w:tr w:rsidR="722FFED0" w:rsidTr="5B971295" w14:paraId="14B80750">
        <w:trPr>
          <w:trHeight w:val="300"/>
        </w:trPr>
        <w:tc>
          <w:tcPr>
            <w:tcW w:w="4680" w:type="dxa"/>
            <w:tcMar/>
          </w:tcPr>
          <w:p w:rsidR="32DCCFA1" w:rsidP="407E75B8" w:rsidRDefault="32DCCFA1" w14:paraId="67E62D1B" w14:textId="5D84DCF5">
            <w:pPr>
              <w:pStyle w:val="Normal"/>
              <w:jc w:val="both"/>
            </w:pPr>
            <w:r w:rsidRPr="407E75B8" w:rsidR="21D37E1C">
              <w:rPr>
                <w:rFonts w:ascii="Arial" w:hAnsi="Arial" w:eastAsia="Arial" w:cs="Arial"/>
                <w:noProof w:val="0"/>
                <w:sz w:val="24"/>
                <w:szCs w:val="24"/>
                <w:lang w:val="en-US"/>
              </w:rPr>
              <w:t>Comparison (C</w:t>
            </w:r>
          </w:p>
        </w:tc>
        <w:tc>
          <w:tcPr>
            <w:tcW w:w="4680" w:type="dxa"/>
            <w:tcMar/>
          </w:tcPr>
          <w:p w:rsidR="32DCCFA1" w:rsidP="407E75B8" w:rsidRDefault="32DCCFA1" w14:paraId="21866DF4" w14:textId="50309DF0">
            <w:pPr>
              <w:pStyle w:val="Normal"/>
              <w:jc w:val="both"/>
            </w:pPr>
            <w:r w:rsidRPr="5B971295" w:rsidR="6918A341">
              <w:rPr>
                <w:rFonts w:ascii="Arial" w:hAnsi="Arial" w:eastAsia="Arial" w:cs="Arial"/>
                <w:noProof w:val="0"/>
                <w:sz w:val="24"/>
                <w:szCs w:val="24"/>
                <w:lang w:val="en-US"/>
              </w:rPr>
              <w:t>Standard practice or pre-intervention conditions without structured quality improvement interventions.</w:t>
            </w:r>
          </w:p>
        </w:tc>
      </w:tr>
      <w:tr w:rsidR="722FFED0" w:rsidTr="5B971295" w14:paraId="5AD6B7E8">
        <w:trPr>
          <w:trHeight w:val="300"/>
        </w:trPr>
        <w:tc>
          <w:tcPr>
            <w:tcW w:w="4680" w:type="dxa"/>
            <w:tcMar/>
          </w:tcPr>
          <w:p w:rsidR="32DCCFA1" w:rsidP="407E75B8" w:rsidRDefault="32DCCFA1" w14:paraId="6CEF5455" w14:textId="07E32052">
            <w:pPr>
              <w:pStyle w:val="Normal"/>
              <w:jc w:val="both"/>
            </w:pPr>
            <w:r w:rsidRPr="407E75B8" w:rsidR="21D37E1C">
              <w:rPr>
                <w:rFonts w:ascii="Arial" w:hAnsi="Arial" w:eastAsia="Arial" w:cs="Arial"/>
                <w:noProof w:val="0"/>
                <w:sz w:val="24"/>
                <w:szCs w:val="24"/>
                <w:lang w:val="en-US"/>
              </w:rPr>
              <w:t>Outcome (O)</w:t>
            </w:r>
          </w:p>
        </w:tc>
        <w:tc>
          <w:tcPr>
            <w:tcW w:w="4680" w:type="dxa"/>
            <w:tcMar/>
          </w:tcPr>
          <w:p w:rsidR="32DCCFA1" w:rsidP="722FFED0" w:rsidRDefault="32DCCFA1" w14:paraId="49D5596C" w14:textId="58ADDBD3">
            <w:pPr>
              <w:spacing w:before="240" w:beforeAutospacing="off" w:after="240" w:afterAutospacing="off"/>
              <w:jc w:val="both"/>
            </w:pPr>
            <w:r w:rsidRPr="722FFED0" w:rsidR="32DCCFA1">
              <w:rPr>
                <w:rFonts w:ascii="Arial" w:hAnsi="Arial" w:eastAsia="Arial" w:cs="Arial"/>
                <w:noProof w:val="0"/>
                <w:sz w:val="24"/>
                <w:szCs w:val="24"/>
                <w:lang w:val="en-US"/>
              </w:rPr>
              <w:t>Reduction in dispensing errors, improved patient safety, increased reporting, enhanced pharmacist knowledge and skills</w:t>
            </w:r>
          </w:p>
          <w:p w:rsidR="722FFED0" w:rsidP="407E75B8" w:rsidRDefault="722FFED0" w14:paraId="0A64268F" w14:textId="18C792B9">
            <w:pPr>
              <w:pStyle w:val="Normal"/>
              <w:jc w:val="both"/>
              <w:rPr>
                <w:rFonts w:ascii="Arial" w:hAnsi="Arial" w:eastAsia="Arial" w:cs="Arial"/>
                <w:noProof w:val="0"/>
                <w:sz w:val="24"/>
                <w:szCs w:val="24"/>
                <w:lang w:val="en-US"/>
              </w:rPr>
            </w:pPr>
          </w:p>
        </w:tc>
      </w:tr>
    </w:tbl>
    <w:p w:rsidR="5A759E79" w:rsidP="722FFED0" w:rsidRDefault="5A759E79" w14:paraId="526C3370" w14:textId="00F66F96">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US"/>
        </w:rPr>
      </w:pPr>
      <w:r w:rsidRPr="722FFED0" w:rsidR="5A759E79">
        <w:rPr>
          <w:rFonts w:ascii="Arial" w:hAnsi="Arial" w:eastAsia="Arial" w:cs="Arial"/>
          <w:noProof w:val="0"/>
          <w:sz w:val="24"/>
          <w:szCs w:val="24"/>
          <w:lang w:val="en-US"/>
        </w:rPr>
        <w:t>Although qualitative reviews sometimes use PEO or PIO frameworks, PICO was selected to allow the inclusion of comparative elements, ensuring evaluation of the effects of quality improvement interventions on dispensing outcomes (Schardt et al., 2019). This approach strengthened the relevance and coherence of the review for clinical and policy recommendations.</w:t>
      </w:r>
    </w:p>
    <w:p w:rsidR="66B4F37A" w:rsidP="4369956E" w:rsidRDefault="66B4F37A" w14:paraId="73A886B0" w14:textId="31E2DFF8">
      <w:pPr>
        <w:pStyle w:val="Heading2"/>
        <w:rPr>
          <w:noProof w:val="0"/>
          <w:lang w:val="en-US"/>
        </w:rPr>
      </w:pPr>
      <w:bookmarkStart w:name="_Toc4759410" w:id="1829866604"/>
      <w:r w:rsidRPr="668EA0FB" w:rsidR="3D4698DC">
        <w:rPr>
          <w:noProof w:val="0"/>
          <w:lang w:val="en-US"/>
        </w:rPr>
        <w:t>3.3.2 Databases Searched</w:t>
      </w:r>
      <w:bookmarkEnd w:id="1829866604"/>
    </w:p>
    <w:p w:rsidR="18783137" w:rsidP="4369956E" w:rsidRDefault="18783137" w14:paraId="2A56BA03" w14:textId="4DCEF44A">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4369956E" w:rsidR="18783137">
        <w:rPr>
          <w:rFonts w:ascii="Arial" w:hAnsi="Arial" w:eastAsia="Arial" w:cs="Arial"/>
          <w:noProof w:val="0"/>
          <w:sz w:val="24"/>
          <w:szCs w:val="24"/>
          <w:lang w:val="en-US"/>
        </w:rPr>
        <w:t>The following databases were searched to ensure comprehensive coverage:</w:t>
      </w:r>
    </w:p>
    <w:p w:rsidR="18783137" w:rsidP="4369956E" w:rsidRDefault="18783137" w14:paraId="5EBDB586" w14:textId="46F448FD">
      <w:pPr>
        <w:pStyle w:val="ListParagraph"/>
        <w:numPr>
          <w:ilvl w:val="0"/>
          <w:numId w:val="8"/>
        </w:numPr>
        <w:bidi w:val="0"/>
        <w:spacing w:before="240" w:beforeAutospacing="off" w:after="240" w:afterAutospacing="off"/>
        <w:jc w:val="both"/>
        <w:rPr/>
      </w:pPr>
      <w:r w:rsidRPr="4369956E" w:rsidR="18783137">
        <w:rPr>
          <w:rFonts w:ascii="Arial" w:hAnsi="Arial" w:eastAsia="Arial" w:cs="Arial"/>
          <w:noProof w:val="0"/>
          <w:sz w:val="24"/>
          <w:szCs w:val="24"/>
          <w:lang w:val="en-US"/>
        </w:rPr>
        <w:t>PubMed/MEDLINE – selected for biomedical, pharmaceutical, and medication safety research</w:t>
      </w:r>
    </w:p>
    <w:p w:rsidR="18783137" w:rsidP="4369956E" w:rsidRDefault="18783137" w14:paraId="18457F9D" w14:textId="0AA1EFDE">
      <w:pPr>
        <w:pStyle w:val="ListParagraph"/>
        <w:numPr>
          <w:ilvl w:val="0"/>
          <w:numId w:val="8"/>
        </w:numPr>
        <w:bidi w:val="0"/>
        <w:spacing w:before="240" w:beforeAutospacing="off" w:after="240" w:afterAutospacing="off"/>
        <w:jc w:val="both"/>
        <w:rPr/>
      </w:pPr>
      <w:r w:rsidRPr="4369956E" w:rsidR="18783137">
        <w:rPr>
          <w:rFonts w:ascii="Arial" w:hAnsi="Arial" w:eastAsia="Arial" w:cs="Arial"/>
          <w:noProof w:val="0"/>
          <w:sz w:val="24"/>
          <w:szCs w:val="24"/>
          <w:lang w:val="en-US"/>
        </w:rPr>
        <w:t>CINAHL – included to capture professional practice and allied health literature</w:t>
      </w:r>
    </w:p>
    <w:p w:rsidR="18783137" w:rsidP="4369956E" w:rsidRDefault="18783137" w14:paraId="39EE5456" w14:textId="16B404AC">
      <w:pPr>
        <w:pStyle w:val="ListParagraph"/>
        <w:numPr>
          <w:ilvl w:val="0"/>
          <w:numId w:val="8"/>
        </w:numPr>
        <w:bidi w:val="0"/>
        <w:spacing w:before="240" w:beforeAutospacing="off" w:after="240" w:afterAutospacing="off"/>
        <w:jc w:val="both"/>
        <w:rPr/>
      </w:pPr>
      <w:r w:rsidRPr="4369956E" w:rsidR="18783137">
        <w:rPr>
          <w:rFonts w:ascii="Arial" w:hAnsi="Arial" w:eastAsia="Arial" w:cs="Arial"/>
          <w:noProof w:val="0"/>
          <w:sz w:val="24"/>
          <w:szCs w:val="24"/>
          <w:lang w:val="en-US"/>
        </w:rPr>
        <w:t>Scopus – used for interdisciplinary health systems and quality improvement studies</w:t>
      </w:r>
    </w:p>
    <w:p w:rsidR="18783137" w:rsidP="4369956E" w:rsidRDefault="18783137" w14:paraId="2AEE5AEB" w14:textId="3B0B1434">
      <w:pPr>
        <w:pStyle w:val="ListParagraph"/>
        <w:numPr>
          <w:ilvl w:val="0"/>
          <w:numId w:val="8"/>
        </w:numPr>
        <w:bidi w:val="0"/>
        <w:spacing w:before="240" w:beforeAutospacing="off" w:after="240" w:afterAutospacing="off"/>
        <w:jc w:val="both"/>
        <w:rPr/>
      </w:pPr>
      <w:r w:rsidRPr="4369956E" w:rsidR="18783137">
        <w:rPr>
          <w:rFonts w:ascii="Arial" w:hAnsi="Arial" w:eastAsia="Arial" w:cs="Arial"/>
          <w:noProof w:val="0"/>
          <w:sz w:val="24"/>
          <w:szCs w:val="24"/>
          <w:lang w:val="en-US"/>
        </w:rPr>
        <w:t>Web of Science – selected for high-quality international peer-reviewed research</w:t>
      </w:r>
    </w:p>
    <w:p w:rsidR="18783137" w:rsidP="4369956E" w:rsidRDefault="18783137" w14:paraId="4965A2A7" w14:textId="3297B4D5">
      <w:pPr>
        <w:pStyle w:val="ListParagraph"/>
        <w:numPr>
          <w:ilvl w:val="0"/>
          <w:numId w:val="8"/>
        </w:numPr>
        <w:bidi w:val="0"/>
        <w:spacing w:before="240" w:beforeAutospacing="off" w:after="240" w:afterAutospacing="off"/>
        <w:jc w:val="both"/>
        <w:rPr/>
      </w:pPr>
      <w:r w:rsidRPr="4369956E" w:rsidR="18783137">
        <w:rPr>
          <w:rFonts w:ascii="Arial" w:hAnsi="Arial" w:eastAsia="Arial" w:cs="Arial"/>
          <w:noProof w:val="0"/>
          <w:sz w:val="24"/>
          <w:szCs w:val="24"/>
          <w:lang w:val="en-US"/>
        </w:rPr>
        <w:t xml:space="preserve">Google Scholar – included to </w:t>
      </w:r>
      <w:r w:rsidRPr="4369956E" w:rsidR="18783137">
        <w:rPr>
          <w:rFonts w:ascii="Arial" w:hAnsi="Arial" w:eastAsia="Arial" w:cs="Arial"/>
          <w:noProof w:val="0"/>
          <w:sz w:val="24"/>
          <w:szCs w:val="24"/>
          <w:lang w:val="en-US"/>
        </w:rPr>
        <w:t>identify</w:t>
      </w:r>
      <w:r w:rsidRPr="4369956E" w:rsidR="18783137">
        <w:rPr>
          <w:rFonts w:ascii="Arial" w:hAnsi="Arial" w:eastAsia="Arial" w:cs="Arial"/>
          <w:noProof w:val="0"/>
          <w:sz w:val="24"/>
          <w:szCs w:val="24"/>
          <w:lang w:val="en-US"/>
        </w:rPr>
        <w:t xml:space="preserve"> LMIC-specific studies, dissertations, and grey literature often under-represented in indexed databases</w:t>
      </w:r>
    </w:p>
    <w:p w:rsidR="18783137" w:rsidP="4369956E" w:rsidRDefault="18783137" w14:paraId="2445C833" w14:textId="5B180984">
      <w:pPr>
        <w:pStyle w:val="ListParagraph"/>
        <w:bidi w:val="0"/>
        <w:spacing w:before="240" w:beforeAutospacing="off" w:after="240" w:afterAutospacing="off"/>
        <w:ind w:left="720"/>
        <w:jc w:val="both"/>
      </w:pPr>
      <w:r w:rsidRPr="4369956E" w:rsidR="18783137">
        <w:rPr>
          <w:rFonts w:ascii="Arial" w:hAnsi="Arial" w:eastAsia="Arial" w:cs="Arial"/>
          <w:noProof w:val="0"/>
          <w:sz w:val="24"/>
          <w:szCs w:val="24"/>
          <w:lang w:val="en-US"/>
        </w:rPr>
        <w:t>The inclusion of Google Scholar was particularly important because research from LMICs is frequently published in regional journals or institutional repositories that are not consistently indexed elsewhere (Haddaway et al., 2020).</w:t>
      </w:r>
    </w:p>
    <w:p w:rsidR="18783137" w:rsidP="668EA0FB" w:rsidRDefault="18783137" w14:paraId="6D863DE2" w14:textId="2EA5E7BF">
      <w:pPr>
        <w:pStyle w:val="Heading2"/>
        <w:bidi w:val="0"/>
        <w:rPr>
          <w:noProof w:val="0"/>
          <w:lang w:val="en-US"/>
        </w:rPr>
      </w:pPr>
      <w:bookmarkStart w:name="_Toc1914464062" w:id="306679067"/>
      <w:r w:rsidRPr="668EA0FB" w:rsidR="32537BD3">
        <w:rPr>
          <w:noProof w:val="0"/>
          <w:lang w:val="en-US"/>
        </w:rPr>
        <w:t>3.3.</w:t>
      </w:r>
      <w:r w:rsidRPr="668EA0FB" w:rsidR="63D93C05">
        <w:rPr>
          <w:noProof w:val="0"/>
          <w:lang w:val="en-US"/>
        </w:rPr>
        <w:t>3</w:t>
      </w:r>
      <w:r w:rsidRPr="668EA0FB" w:rsidR="32537BD3">
        <w:rPr>
          <w:noProof w:val="0"/>
          <w:lang w:val="en-US"/>
        </w:rPr>
        <w:t xml:space="preserve"> Search limits and screening process</w:t>
      </w:r>
      <w:bookmarkEnd w:id="306679067"/>
    </w:p>
    <w:p w:rsidR="18783137" w:rsidP="4369956E" w:rsidRDefault="18783137" w14:paraId="7E5B8061" w14:textId="561189E4">
      <w:pPr>
        <w:pStyle w:val="ListParagraph"/>
        <w:bidi w:val="0"/>
        <w:spacing w:before="240" w:beforeAutospacing="off" w:after="240" w:afterAutospacing="off"/>
        <w:ind w:left="720"/>
        <w:jc w:val="both"/>
      </w:pPr>
      <w:r w:rsidRPr="5B971295" w:rsidR="32537BD3">
        <w:rPr>
          <w:rFonts w:ascii="Arial" w:hAnsi="Arial" w:eastAsia="Arial" w:cs="Arial"/>
          <w:noProof w:val="0"/>
          <w:sz w:val="24"/>
          <w:szCs w:val="24"/>
          <w:lang w:val="en-US"/>
        </w:rPr>
        <w:t>Searches were limited to</w:t>
      </w:r>
      <w:r w:rsidRPr="5B971295" w:rsidR="22E2F271">
        <w:rPr>
          <w:noProof w:val="0"/>
          <w:lang w:val="en-US"/>
        </w:rPr>
        <w:t xml:space="preserve"> </w:t>
      </w:r>
      <w:r w:rsidRPr="5B971295" w:rsidR="22E2F271">
        <w:rPr>
          <w:rFonts w:ascii="Arial" w:hAnsi="Arial" w:eastAsia="Arial" w:cs="Arial"/>
          <w:noProof w:val="0"/>
          <w:lang w:val="en-US"/>
        </w:rPr>
        <w:t xml:space="preserve">English-language publications from 2015 to 2025 to reflect </w:t>
      </w:r>
      <w:r w:rsidRPr="5B971295" w:rsidR="32537BD3">
        <w:rPr>
          <w:rFonts w:ascii="Arial" w:hAnsi="Arial" w:eastAsia="Arial" w:cs="Arial"/>
          <w:noProof w:val="0"/>
          <w:sz w:val="24"/>
          <w:szCs w:val="24"/>
          <w:lang w:val="en-US"/>
        </w:rPr>
        <w:t>contemporary pharmacy practice and quality improvement initiatives. While this may exclude some regional studies, language restriction was necessary due to feasibility constraints and is common in systematic reviews (Booth et al., 2016).</w:t>
      </w:r>
    </w:p>
    <w:p w:rsidR="18783137" w:rsidP="4369956E" w:rsidRDefault="18783137" w14:paraId="601041B9" w14:textId="60156278">
      <w:pPr>
        <w:pStyle w:val="ListParagraph"/>
        <w:bidi w:val="0"/>
        <w:spacing w:before="240" w:beforeAutospacing="off" w:after="240" w:afterAutospacing="off"/>
        <w:ind w:left="720"/>
        <w:jc w:val="both"/>
      </w:pPr>
      <w:r w:rsidRPr="4369956E" w:rsidR="18783137">
        <w:rPr>
          <w:rFonts w:ascii="Arial" w:hAnsi="Arial" w:eastAsia="Arial" w:cs="Arial"/>
          <w:noProof w:val="0"/>
          <w:sz w:val="24"/>
          <w:szCs w:val="24"/>
          <w:lang w:val="en-US"/>
        </w:rPr>
        <w:t>All retrieved records were exported to reference management software, where duplicates were removed. Titles and abstracts were screened against inclusion criteria, followed by full-text assessment. The selection process was documented using a PRISMA flow diagram, ensuring transparency and reproducibility.</w:t>
      </w:r>
    </w:p>
    <w:p w:rsidR="4369956E" w:rsidP="4369956E" w:rsidRDefault="4369956E" w14:paraId="50DCCDB8" w14:textId="0F7BDB3D">
      <w:pPr>
        <w:pStyle w:val="ListParagraph"/>
        <w:bidi w:val="0"/>
        <w:spacing w:before="240" w:beforeAutospacing="off" w:after="240" w:afterAutospacing="off"/>
        <w:ind w:left="720"/>
        <w:jc w:val="both"/>
        <w:rPr>
          <w:rFonts w:ascii="Arial" w:hAnsi="Arial" w:eastAsia="Arial" w:cs="Arial"/>
          <w:noProof w:val="0"/>
          <w:sz w:val="24"/>
          <w:szCs w:val="24"/>
          <w:lang w:val="en-US"/>
        </w:rPr>
      </w:pPr>
    </w:p>
    <w:p w:rsidR="2AA5DDC9" w:rsidP="722FFED0" w:rsidRDefault="2AA5DDC9" w14:paraId="407C0C2B" w14:textId="7AF79C03">
      <w:pPr>
        <w:pStyle w:val="ListParagraph"/>
        <w:numPr>
          <w:ilvl w:val="0"/>
          <w:numId w:val="4"/>
        </w:numPr>
        <w:bidi w:val="0"/>
        <w:spacing w:before="240" w:beforeAutospacing="off" w:after="240" w:afterAutospacing="off"/>
        <w:jc w:val="both"/>
        <w:rPr>
          <w:rFonts w:ascii="Arial" w:hAnsi="Arial" w:eastAsia="Arial" w:cs="Arial"/>
          <w:noProof w:val="0"/>
          <w:sz w:val="24"/>
          <w:szCs w:val="24"/>
          <w:lang w:val="en-US"/>
        </w:rPr>
      </w:pPr>
      <w:r w:rsidRPr="4369956E" w:rsidR="0DFC7799">
        <w:rPr>
          <w:rFonts w:ascii="Arial" w:hAnsi="Arial" w:eastAsia="Arial" w:cs="Arial"/>
          <w:noProof w:val="0"/>
          <w:sz w:val="24"/>
          <w:szCs w:val="24"/>
          <w:lang w:val="en-US"/>
        </w:rPr>
        <w:t>PRISMA FLOW CHART</w:t>
      </w:r>
      <w:r w:rsidRPr="4369956E" w:rsidR="79501B89">
        <w:rPr>
          <w:rFonts w:ascii="Arial" w:hAnsi="Arial" w:eastAsia="Arial" w:cs="Arial"/>
          <w:noProof w:val="0"/>
          <w:sz w:val="24"/>
          <w:szCs w:val="24"/>
          <w:lang w:val="en-US"/>
        </w:rPr>
        <w:t xml:space="preserve">      </w:t>
      </w:r>
    </w:p>
    <w:p w:rsidR="2AA5DDC9" w:rsidP="722FFED0" w:rsidRDefault="2AA5DDC9" w14:paraId="4FF84A2C" w14:textId="3B268953">
      <w:pPr>
        <w:pStyle w:val="ListParagraph"/>
        <w:numPr>
          <w:ilvl w:val="0"/>
          <w:numId w:val="4"/>
        </w:numPr>
        <w:bidi w:val="0"/>
        <w:spacing w:before="240" w:beforeAutospacing="off" w:after="240" w:afterAutospacing="off"/>
        <w:jc w:val="both"/>
        <w:rPr>
          <w:rFonts w:ascii="Arial" w:hAnsi="Arial" w:eastAsia="Arial" w:cs="Arial"/>
          <w:noProof w:val="0"/>
          <w:sz w:val="24"/>
          <w:szCs w:val="24"/>
          <w:lang w:val="en-US"/>
        </w:rPr>
      </w:pPr>
      <w:r w:rsidRPr="5B971295" w:rsidR="1CB4DD61">
        <w:rPr>
          <w:rFonts w:ascii="Arial" w:hAnsi="Arial" w:eastAsia="Arial" w:cs="Arial"/>
          <w:noProof w:val="0"/>
          <w:sz w:val="24"/>
          <w:szCs w:val="24"/>
          <w:lang w:val="en-US"/>
        </w:rPr>
        <w:t>[table 2]</w:t>
      </w:r>
    </w:p>
    <w:p w:rsidR="5B971295" w:rsidP="5B971295" w:rsidRDefault="5B971295" w14:paraId="2663C036" w14:textId="61DA8B13">
      <w:pPr>
        <w:pStyle w:val="ListParagraph"/>
        <w:bidi w:val="0"/>
        <w:spacing w:before="240" w:beforeAutospacing="off" w:after="240" w:afterAutospacing="off"/>
        <w:ind w:left="1080"/>
        <w:jc w:val="both"/>
        <w:rPr>
          <w:rFonts w:ascii="Arial" w:hAnsi="Arial" w:eastAsia="Arial" w:cs="Arial"/>
          <w:noProof w:val="0"/>
          <w:sz w:val="24"/>
          <w:szCs w:val="24"/>
          <w:lang w:val="en-US"/>
        </w:rPr>
      </w:pPr>
    </w:p>
    <w:p w:rsidR="5B971295" w:rsidP="5B971295" w:rsidRDefault="5B971295" w14:paraId="1D613186" w14:textId="405FDF93">
      <w:pPr>
        <w:pStyle w:val="Normal"/>
        <w:bidi w:val="0"/>
        <w:spacing w:before="240" w:beforeAutospacing="off" w:after="240" w:afterAutospacing="off"/>
        <w:ind w:left="1080"/>
        <w:jc w:val="both"/>
        <w:rPr>
          <w:rFonts w:ascii="Arial" w:hAnsi="Arial" w:eastAsia="Arial" w:cs="Arial"/>
          <w:noProof w:val="0"/>
          <w:sz w:val="24"/>
          <w:szCs w:val="24"/>
          <w:lang w:val="en-US"/>
        </w:rPr>
      </w:pPr>
    </w:p>
    <w:p w:rsidR="2DF4C6A8" w:rsidP="5B971295" w:rsidRDefault="2DF4C6A8" w14:paraId="3344482D" w14:textId="53CE6331">
      <w:pPr>
        <w:pStyle w:val="Heading2"/>
        <w:bidi w:val="0"/>
        <w:rPr>
          <w:rFonts w:ascii="Arial" w:hAnsi="Arial" w:eastAsia="Arial" w:cs="Arial"/>
          <w:b w:val="1"/>
          <w:bCs w:val="1"/>
          <w:noProof w:val="0"/>
          <w:sz w:val="32"/>
          <w:szCs w:val="32"/>
          <w:lang w:val="en-US"/>
        </w:rPr>
      </w:pPr>
      <w:bookmarkStart w:name="_Toc940565425" w:id="1719768985"/>
      <w:r w:rsidRPr="668EA0FB" w:rsidR="2DF4C6A8">
        <w:rPr>
          <w:rFonts w:ascii="Arial" w:hAnsi="Arial" w:eastAsia="Arial" w:cs="Arial"/>
          <w:noProof w:val="0"/>
          <w:lang w:val="en-US"/>
        </w:rPr>
        <w:t>3.4 Study Selection Outcome</w:t>
      </w:r>
      <w:bookmarkEnd w:id="1719768985"/>
    </w:p>
    <w:p w:rsidR="5B971295" w:rsidP="5B971295" w:rsidRDefault="5B971295" w14:paraId="0B2DA9C3" w14:textId="00400364">
      <w:pPr>
        <w:pStyle w:val="ListParagraph"/>
        <w:bidi w:val="0"/>
        <w:spacing w:before="240" w:beforeAutospacing="off" w:after="240" w:afterAutospacing="off"/>
        <w:ind w:left="720"/>
        <w:jc w:val="both"/>
      </w:pPr>
    </w:p>
    <w:p w:rsidR="0541A709" w:rsidP="722FFED0" w:rsidRDefault="0541A709" w14:paraId="197BA847" w14:textId="493BE22B">
      <w:pPr>
        <w:pStyle w:val="ListParagraph"/>
        <w:bidi w:val="0"/>
        <w:spacing w:before="240" w:beforeAutospacing="off" w:after="240" w:afterAutospacing="off"/>
        <w:ind w:left="720"/>
        <w:jc w:val="both"/>
      </w:pPr>
      <w:r w:rsidR="68E3C224">
        <w:drawing>
          <wp:inline wp14:editId="75F10806" wp14:anchorId="17DEB6B1">
            <wp:extent cx="4838787" cy="4467304"/>
            <wp:effectExtent l="0" t="0" r="0" b="0"/>
            <wp:docPr id="337037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037666" name="Picture 337037666"/>
                    <pic:cNvPicPr/>
                  </pic:nvPicPr>
                  <pic:blipFill>
                    <a:blip xmlns:r="http://schemas.openxmlformats.org/officeDocument/2006/relationships" r:embed="rId338477953">
                      <a:extLst>
                        <a:ext uri="{28A0092B-C50C-407E-A947-70E740481C1C}">
                          <a14:useLocalDpi xmlns:a14="http://schemas.microsoft.com/office/drawing/2010/main"/>
                        </a:ext>
                      </a:extLst>
                    </a:blip>
                    <a:srcRect l="18676" t="4326" r="20330" b="26442"/>
                    <a:stretch>
                      <a:fillRect/>
                    </a:stretch>
                  </pic:blipFill>
                  <pic:spPr>
                    <a:xfrm rot="0">
                      <a:off x="0" y="0"/>
                      <a:ext cx="4838787" cy="4467304"/>
                    </a:xfrm>
                    <a:prstGeom prst="rect">
                      <a:avLst/>
                    </a:prstGeom>
                  </pic:spPr>
                </pic:pic>
              </a:graphicData>
            </a:graphic>
          </wp:inline>
        </w:drawing>
      </w:r>
    </w:p>
    <w:p w:rsidR="15908AAD" w:rsidP="722FFED0" w:rsidRDefault="15908AAD" w14:paraId="575FF18A" w14:textId="2E0053D6">
      <w:pPr>
        <w:pStyle w:val="ListParagraph"/>
        <w:bidi w:val="0"/>
        <w:spacing w:before="240" w:beforeAutospacing="off" w:after="240" w:afterAutospacing="off"/>
        <w:ind w:left="720"/>
        <w:jc w:val="both"/>
      </w:pPr>
      <w:r w:rsidRPr="5B971295" w:rsidR="3CDE784C">
        <w:rPr>
          <w:rFonts w:ascii="Arial" w:hAnsi="Arial" w:eastAsia="Arial" w:cs="Arial"/>
          <w:noProof w:val="0"/>
          <w:sz w:val="24"/>
          <w:szCs w:val="24"/>
          <w:lang w:val="en-US"/>
        </w:rPr>
        <w:t xml:space="preserve"> </w:t>
      </w:r>
    </w:p>
    <w:p w:rsidR="73D10ED1" w:rsidP="5B971295" w:rsidRDefault="73D10ED1" w14:paraId="229C3EB4" w14:textId="79809F5D">
      <w:pPr>
        <w:pStyle w:val="ListParagraph"/>
        <w:bidi w:val="0"/>
        <w:spacing w:before="240" w:beforeAutospacing="off" w:after="240" w:afterAutospacing="off"/>
        <w:ind w:left="720"/>
        <w:jc w:val="both"/>
        <w:rPr>
          <w:rFonts w:ascii="Arial" w:hAnsi="Arial" w:eastAsia="Arial" w:cs="Arial"/>
          <w:noProof w:val="0"/>
          <w:lang w:val="en-US"/>
        </w:rPr>
      </w:pPr>
      <w:r w:rsidRPr="5B971295" w:rsidR="73D10ED1">
        <w:rPr>
          <w:rFonts w:ascii="Arial" w:hAnsi="Arial" w:eastAsia="Arial" w:cs="Arial"/>
          <w:noProof w:val="0"/>
          <w:lang w:val="en-US"/>
        </w:rPr>
        <w:t xml:space="preserve">From </w:t>
      </w:r>
      <w:r w:rsidRPr="5B971295" w:rsidR="73D10ED1">
        <w:rPr>
          <w:rFonts w:ascii="Arial" w:hAnsi="Arial" w:eastAsia="Arial" w:cs="Arial"/>
          <w:noProof w:val="0"/>
          <w:lang w:val="en-US"/>
        </w:rPr>
        <w:t>an initial</w:t>
      </w:r>
      <w:r w:rsidRPr="5B971295" w:rsidR="73D10ED1">
        <w:rPr>
          <w:rFonts w:ascii="Arial" w:hAnsi="Arial" w:eastAsia="Arial" w:cs="Arial"/>
          <w:noProof w:val="0"/>
          <w:lang w:val="en-US"/>
        </w:rPr>
        <w:t xml:space="preserve"> yield of </w:t>
      </w:r>
      <w:r w:rsidRPr="5B971295" w:rsidR="73D10ED1">
        <w:rPr>
          <w:rFonts w:ascii="Arial" w:hAnsi="Arial" w:eastAsia="Arial" w:cs="Arial"/>
          <w:b w:val="0"/>
          <w:bCs w:val="0"/>
          <w:noProof w:val="0"/>
          <w:lang w:val="en-US"/>
        </w:rPr>
        <w:t>512 records</w:t>
      </w:r>
      <w:r w:rsidRPr="5B971295" w:rsidR="73D10ED1">
        <w:rPr>
          <w:rFonts w:ascii="Arial" w:hAnsi="Arial" w:eastAsia="Arial" w:cs="Arial"/>
          <w:b w:val="0"/>
          <w:bCs w:val="0"/>
          <w:noProof w:val="0"/>
          <w:lang w:val="en-US"/>
        </w:rPr>
        <w:t xml:space="preserve">, </w:t>
      </w:r>
      <w:r w:rsidRPr="5B971295" w:rsidR="73D10ED1">
        <w:rPr>
          <w:rFonts w:ascii="Arial" w:hAnsi="Arial" w:eastAsia="Arial" w:cs="Arial"/>
          <w:b w:val="0"/>
          <w:bCs w:val="0"/>
          <w:noProof w:val="0"/>
          <w:lang w:val="en-US"/>
        </w:rPr>
        <w:t>430 records</w:t>
      </w:r>
      <w:r w:rsidRPr="5B971295" w:rsidR="73D10ED1">
        <w:rPr>
          <w:rFonts w:ascii="Arial" w:hAnsi="Arial" w:eastAsia="Arial" w:cs="Arial"/>
          <w:b w:val="0"/>
          <w:bCs w:val="0"/>
          <w:noProof w:val="0"/>
          <w:lang w:val="en-US"/>
        </w:rPr>
        <w:t xml:space="preserve"> remained after duplicate removal. Following title, abstract, and full-text screening, </w:t>
      </w:r>
      <w:r w:rsidRPr="5B971295" w:rsidR="73D10ED1">
        <w:rPr>
          <w:rFonts w:ascii="Arial" w:hAnsi="Arial" w:eastAsia="Arial" w:cs="Arial"/>
          <w:b w:val="0"/>
          <w:bCs w:val="0"/>
          <w:noProof w:val="0"/>
          <w:lang w:val="en-US"/>
        </w:rPr>
        <w:t>12 primary qualitative studies</w:t>
      </w:r>
      <w:r w:rsidRPr="5B971295" w:rsidR="73D10ED1">
        <w:rPr>
          <w:rFonts w:ascii="Arial" w:hAnsi="Arial" w:eastAsia="Arial" w:cs="Arial"/>
          <w:b w:val="0"/>
          <w:bCs w:val="0"/>
          <w:noProof w:val="0"/>
          <w:lang w:val="en-US"/>
        </w:rPr>
        <w:t xml:space="preserve"> met the inclusion criteria and were included</w:t>
      </w:r>
      <w:r w:rsidRPr="5B971295" w:rsidR="73D10ED1">
        <w:rPr>
          <w:rFonts w:ascii="Arial" w:hAnsi="Arial" w:eastAsia="Arial" w:cs="Arial"/>
          <w:noProof w:val="0"/>
          <w:lang w:val="en-US"/>
        </w:rPr>
        <w:t xml:space="preserve"> in the final synthesis (Musoke et al., 2023; Saleem et al., 2021; Mbugua et al., 2020; Mekonnen et al., 2015; Atif et al., 2019; Roche et al., 2021; Crafford et al., 2024; </w:t>
      </w:r>
      <w:r w:rsidRPr="5B971295" w:rsidR="73D10ED1">
        <w:rPr>
          <w:rFonts w:ascii="Arial" w:hAnsi="Arial" w:eastAsia="Arial" w:cs="Arial"/>
          <w:noProof w:val="0"/>
          <w:lang w:val="en-US"/>
        </w:rPr>
        <w:t>Gelayee</w:t>
      </w:r>
      <w:r w:rsidRPr="5B971295" w:rsidR="73D10ED1">
        <w:rPr>
          <w:rFonts w:ascii="Arial" w:hAnsi="Arial" w:eastAsia="Arial" w:cs="Arial"/>
          <w:noProof w:val="0"/>
          <w:lang w:val="en-US"/>
        </w:rPr>
        <w:t xml:space="preserve">, 2017; </w:t>
      </w:r>
      <w:r w:rsidRPr="5B971295" w:rsidR="73D10ED1">
        <w:rPr>
          <w:rFonts w:ascii="Arial" w:hAnsi="Arial" w:eastAsia="Arial" w:cs="Arial"/>
          <w:noProof w:val="0"/>
          <w:lang w:val="en-US"/>
        </w:rPr>
        <w:t>Kentab</w:t>
      </w:r>
      <w:r w:rsidRPr="5B971295" w:rsidR="73D10ED1">
        <w:rPr>
          <w:rFonts w:ascii="Arial" w:hAnsi="Arial" w:eastAsia="Arial" w:cs="Arial"/>
          <w:noProof w:val="0"/>
          <w:lang w:val="en-US"/>
        </w:rPr>
        <w:t xml:space="preserve"> et al., 2024; Kamba et al., 2020; Tegegn, 2020; Adhikari et al., 2021).</w:t>
      </w:r>
    </w:p>
    <w:p w:rsidR="7B38CA83" w:rsidP="4369956E" w:rsidRDefault="7B38CA83" w14:paraId="1723B87C" w14:textId="69C28513">
      <w:pPr>
        <w:pStyle w:val="Heading2"/>
        <w:rPr>
          <w:rFonts w:ascii="Arial" w:hAnsi="Arial" w:eastAsia="Arial" w:cs="Arial"/>
          <w:noProof w:val="0"/>
          <w:sz w:val="24"/>
          <w:szCs w:val="24"/>
          <w:lang w:val="en-US"/>
        </w:rPr>
      </w:pPr>
      <w:bookmarkStart w:name="_Toc942612941" w:id="667879667"/>
      <w:r w:rsidRPr="668EA0FB" w:rsidR="4B8A720D">
        <w:rPr>
          <w:noProof w:val="0"/>
          <w:lang w:val="en-US"/>
        </w:rPr>
        <w:t>3.</w:t>
      </w:r>
      <w:r w:rsidRPr="668EA0FB" w:rsidR="4C130825">
        <w:rPr>
          <w:noProof w:val="0"/>
          <w:lang w:val="en-US"/>
        </w:rPr>
        <w:t>5</w:t>
      </w:r>
      <w:r w:rsidRPr="668EA0FB" w:rsidR="4B8A720D">
        <w:rPr>
          <w:noProof w:val="0"/>
          <w:lang w:val="en-US"/>
        </w:rPr>
        <w:t>Inclusion and Exclusion Criteria</w:t>
      </w:r>
      <w:bookmarkEnd w:id="667879667"/>
    </w:p>
    <w:p w:rsidR="5B971295" w:rsidP="5B971295" w:rsidRDefault="5B971295" w14:paraId="785212C4" w14:textId="05E8FDA9">
      <w:pPr>
        <w:pStyle w:val="Normal"/>
        <w:rPr>
          <w:noProof w:val="0"/>
          <w:lang w:val="en-US"/>
        </w:rPr>
      </w:pPr>
    </w:p>
    <w:tbl>
      <w:tblPr>
        <w:tblStyle w:val="TableGrid"/>
        <w:bidiVisual w:val="0"/>
        <w:tblW w:w="0" w:type="auto"/>
        <w:tblLayout w:type="fixed"/>
        <w:tblLook w:val="06A0" w:firstRow="1" w:lastRow="0" w:firstColumn="1" w:lastColumn="0" w:noHBand="1" w:noVBand="1"/>
      </w:tblPr>
      <w:tblGrid>
        <w:gridCol w:w="4680"/>
        <w:gridCol w:w="4680"/>
      </w:tblGrid>
      <w:tr w:rsidR="6ACBE163" w:rsidTr="6ACBE163" w14:paraId="5463F910">
        <w:trPr>
          <w:trHeight w:val="300"/>
        </w:trPr>
        <w:tc>
          <w:tcPr>
            <w:tcW w:w="4680" w:type="dxa"/>
            <w:tcBorders>
              <w:left w:val="single" w:color="000000" w:themeColor="text1" w:sz="12"/>
            </w:tcBorders>
            <w:tcMar/>
          </w:tcPr>
          <w:p w:rsidR="515AE018" w:rsidP="6ACBE163" w:rsidRDefault="515AE018" w14:paraId="3363A65A" w14:textId="41AACC12">
            <w:pPr>
              <w:pStyle w:val="ListParagraph"/>
              <w:bidi w:val="0"/>
              <w:jc w:val="both"/>
              <w:rPr>
                <w:rFonts w:ascii="Arial" w:hAnsi="Arial" w:eastAsia="Arial" w:cs="Arial"/>
                <w:b w:val="1"/>
                <w:bCs w:val="1"/>
                <w:noProof w:val="0"/>
                <w:sz w:val="24"/>
                <w:szCs w:val="24"/>
                <w:lang w:val="en-US"/>
              </w:rPr>
            </w:pPr>
            <w:r w:rsidRPr="6ACBE163" w:rsidR="515AE018">
              <w:rPr>
                <w:rFonts w:ascii="Arial" w:hAnsi="Arial" w:eastAsia="Arial" w:cs="Arial"/>
                <w:b w:val="1"/>
                <w:bCs w:val="1"/>
                <w:noProof w:val="0"/>
                <w:sz w:val="24"/>
                <w:szCs w:val="24"/>
                <w:lang w:val="en-US"/>
              </w:rPr>
              <w:t xml:space="preserve">INCLUSION CRITERIA </w:t>
            </w:r>
          </w:p>
        </w:tc>
        <w:tc>
          <w:tcPr>
            <w:tcW w:w="4680" w:type="dxa"/>
            <w:tcMar/>
          </w:tcPr>
          <w:p w:rsidR="515AE018" w:rsidP="6ACBE163" w:rsidRDefault="515AE018" w14:paraId="48B0E72F" w14:textId="7AAA27BD">
            <w:pPr>
              <w:pStyle w:val="ListParagraph"/>
              <w:bidi w:val="0"/>
              <w:jc w:val="both"/>
              <w:rPr>
                <w:rFonts w:ascii="Arial" w:hAnsi="Arial" w:eastAsia="Arial" w:cs="Arial"/>
                <w:b w:val="1"/>
                <w:bCs w:val="1"/>
                <w:noProof w:val="0"/>
                <w:sz w:val="24"/>
                <w:szCs w:val="24"/>
                <w:lang w:val="en-US"/>
              </w:rPr>
            </w:pPr>
            <w:r w:rsidRPr="6ACBE163" w:rsidR="515AE018">
              <w:rPr>
                <w:rFonts w:ascii="Arial" w:hAnsi="Arial" w:eastAsia="Arial" w:cs="Arial"/>
                <w:b w:val="1"/>
                <w:bCs w:val="1"/>
                <w:noProof w:val="0"/>
                <w:sz w:val="24"/>
                <w:szCs w:val="24"/>
                <w:lang w:val="en-US"/>
              </w:rPr>
              <w:t>EXCLUSION CRITERIA</w:t>
            </w:r>
          </w:p>
        </w:tc>
      </w:tr>
      <w:tr w:rsidR="722FFED0" w:rsidTr="6ACBE163" w14:paraId="1247CEE8">
        <w:trPr>
          <w:trHeight w:val="300"/>
        </w:trPr>
        <w:tc>
          <w:tcPr>
            <w:tcW w:w="4680" w:type="dxa"/>
            <w:tcBorders>
              <w:left w:val="single" w:color="000000" w:themeColor="text1" w:sz="12"/>
            </w:tcBorders>
            <w:tcMar/>
          </w:tcPr>
          <w:p w:rsidR="037DF393" w:rsidP="407E75B8" w:rsidRDefault="037DF393" w14:paraId="7D8F09B6" w14:textId="2065160E">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Studies conducted in LMIC healthcare or community pharmacy settings</w:t>
            </w:r>
          </w:p>
        </w:tc>
        <w:tc>
          <w:tcPr>
            <w:tcW w:w="4680" w:type="dxa"/>
            <w:tcMar/>
          </w:tcPr>
          <w:p w:rsidR="4836EBAA" w:rsidP="407E75B8" w:rsidRDefault="4836EBAA" w14:paraId="2A5EBC68" w14:textId="3D6F7156">
            <w:pPr>
              <w:pStyle w:val="ListParagraph"/>
              <w:bidi w:val="0"/>
              <w:jc w:val="both"/>
              <w:rPr>
                <w:rFonts w:ascii="Arial" w:hAnsi="Arial" w:eastAsia="Arial" w:cs="Arial"/>
                <w:noProof w:val="0"/>
                <w:sz w:val="24"/>
                <w:szCs w:val="24"/>
                <w:lang w:val="en-US"/>
              </w:rPr>
            </w:pPr>
            <w:r w:rsidRPr="407E75B8" w:rsidR="485E373B">
              <w:rPr>
                <w:rFonts w:ascii="Arial" w:hAnsi="Arial" w:eastAsia="Arial" w:cs="Arial"/>
                <w:noProof w:val="0"/>
                <w:sz w:val="24"/>
                <w:szCs w:val="24"/>
                <w:lang w:val="en-US"/>
              </w:rPr>
              <w:t>Editorials, commentaries, conference abstracts, reviews</w:t>
            </w:r>
          </w:p>
        </w:tc>
      </w:tr>
      <w:tr w:rsidR="722FFED0" w:rsidTr="6ACBE163" w14:paraId="4860AE04">
        <w:trPr>
          <w:trHeight w:val="300"/>
        </w:trPr>
        <w:tc>
          <w:tcPr>
            <w:tcW w:w="4680" w:type="dxa"/>
            <w:tcMar/>
          </w:tcPr>
          <w:p w:rsidR="037DF393" w:rsidP="407E75B8" w:rsidRDefault="037DF393" w14:paraId="38397459" w14:textId="774E3A29">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Focus on pharmacist- or dispenser-related medication dispensing errors</w:t>
            </w:r>
          </w:p>
        </w:tc>
        <w:tc>
          <w:tcPr>
            <w:tcW w:w="4680" w:type="dxa"/>
            <w:tcMar/>
          </w:tcPr>
          <w:p w:rsidR="478E8E46" w:rsidP="407E75B8" w:rsidRDefault="478E8E46" w14:paraId="72319135" w14:textId="023B1226">
            <w:pPr>
              <w:pStyle w:val="ListParagraph"/>
              <w:bidi w:val="0"/>
              <w:jc w:val="both"/>
              <w:rPr>
                <w:rFonts w:ascii="Arial" w:hAnsi="Arial" w:eastAsia="Arial" w:cs="Arial"/>
                <w:noProof w:val="0"/>
                <w:sz w:val="24"/>
                <w:szCs w:val="24"/>
                <w:lang w:val="en-US"/>
              </w:rPr>
            </w:pPr>
            <w:r w:rsidRPr="407E75B8" w:rsidR="406B6E0D">
              <w:rPr>
                <w:rFonts w:ascii="Arial" w:hAnsi="Arial" w:eastAsia="Arial" w:cs="Arial"/>
                <w:noProof w:val="0"/>
                <w:sz w:val="24"/>
                <w:szCs w:val="24"/>
                <w:lang w:val="en-US"/>
              </w:rPr>
              <w:t>Studies conducted in high-income countries</w:t>
            </w:r>
          </w:p>
        </w:tc>
      </w:tr>
      <w:tr w:rsidR="722FFED0" w:rsidTr="6ACBE163" w14:paraId="5762A21A">
        <w:trPr>
          <w:trHeight w:val="300"/>
        </w:trPr>
        <w:tc>
          <w:tcPr>
            <w:tcW w:w="4680" w:type="dxa"/>
            <w:tcMar/>
          </w:tcPr>
          <w:p w:rsidR="037DF393" w:rsidP="407E75B8" w:rsidRDefault="037DF393" w14:paraId="442B2E1C" w14:textId="3A0C4EE0">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Primary qualitative research (interviews, focus groups)</w:t>
            </w:r>
          </w:p>
        </w:tc>
        <w:tc>
          <w:tcPr>
            <w:tcW w:w="4680" w:type="dxa"/>
            <w:tcMar/>
          </w:tcPr>
          <w:p w:rsidR="5B409AF8" w:rsidP="407E75B8" w:rsidRDefault="5B409AF8" w14:paraId="7ADB9511" w14:textId="64FA4985">
            <w:pPr>
              <w:pStyle w:val="ListParagraph"/>
              <w:bidi w:val="0"/>
              <w:jc w:val="both"/>
              <w:rPr>
                <w:rFonts w:ascii="Arial" w:hAnsi="Arial" w:eastAsia="Arial" w:cs="Arial"/>
                <w:noProof w:val="0"/>
                <w:sz w:val="24"/>
                <w:szCs w:val="24"/>
                <w:lang w:val="en-US"/>
              </w:rPr>
            </w:pPr>
            <w:r w:rsidRPr="407E75B8" w:rsidR="300B594D">
              <w:rPr>
                <w:rFonts w:ascii="Arial" w:hAnsi="Arial" w:eastAsia="Arial" w:cs="Arial"/>
                <w:noProof w:val="0"/>
                <w:sz w:val="24"/>
                <w:szCs w:val="24"/>
                <w:lang w:val="en-US"/>
              </w:rPr>
              <w:t>Studies focusing solely on prescribing errors or nursing errors</w:t>
            </w:r>
          </w:p>
          <w:p w:rsidR="722FFED0" w:rsidP="407E75B8" w:rsidRDefault="722FFED0" w14:paraId="79F5009F" w14:textId="0298D6C1">
            <w:pPr>
              <w:pStyle w:val="ListParagraph"/>
              <w:bidi w:val="0"/>
              <w:jc w:val="both"/>
              <w:rPr>
                <w:rFonts w:ascii="Arial" w:hAnsi="Arial" w:eastAsia="Arial" w:cs="Arial"/>
                <w:noProof w:val="0"/>
                <w:sz w:val="24"/>
                <w:szCs w:val="24"/>
                <w:lang w:val="en-US"/>
              </w:rPr>
            </w:pPr>
          </w:p>
        </w:tc>
      </w:tr>
      <w:tr w:rsidR="722FFED0" w:rsidTr="6ACBE163" w14:paraId="40DF95C0">
        <w:trPr>
          <w:trHeight w:val="300"/>
        </w:trPr>
        <w:tc>
          <w:tcPr>
            <w:tcW w:w="4680" w:type="dxa"/>
            <w:tcMar/>
          </w:tcPr>
          <w:p w:rsidR="037DF393" w:rsidP="407E75B8" w:rsidRDefault="037DF393" w14:paraId="4CFFEB47" w14:textId="227ABB9C">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Publications from 2015-2025</w:t>
            </w:r>
          </w:p>
          <w:p w:rsidR="722FFED0" w:rsidP="407E75B8" w:rsidRDefault="722FFED0" w14:paraId="3369661E" w14:textId="369BA05E">
            <w:pPr>
              <w:pStyle w:val="ListParagraph"/>
              <w:bidi w:val="0"/>
              <w:jc w:val="both"/>
              <w:rPr>
                <w:rFonts w:ascii="Arial" w:hAnsi="Arial" w:eastAsia="Arial" w:cs="Arial"/>
                <w:noProof w:val="0"/>
                <w:sz w:val="24"/>
                <w:szCs w:val="24"/>
                <w:lang w:val="en-US"/>
              </w:rPr>
            </w:pPr>
          </w:p>
        </w:tc>
        <w:tc>
          <w:tcPr>
            <w:tcW w:w="4680" w:type="dxa"/>
            <w:tcMar/>
          </w:tcPr>
          <w:p w:rsidR="7261C393" w:rsidP="407E75B8" w:rsidRDefault="7261C393" w14:paraId="2EC9327D" w14:textId="70A2B5AA">
            <w:pPr>
              <w:pStyle w:val="ListParagraph"/>
              <w:bidi w:val="0"/>
              <w:jc w:val="both"/>
              <w:rPr>
                <w:rFonts w:ascii="Arial" w:hAnsi="Arial" w:eastAsia="Arial" w:cs="Arial"/>
                <w:noProof w:val="0"/>
                <w:sz w:val="24"/>
                <w:szCs w:val="24"/>
                <w:lang w:val="en-US"/>
              </w:rPr>
            </w:pPr>
            <w:r w:rsidRPr="407E75B8" w:rsidR="4CB801F1">
              <w:rPr>
                <w:rFonts w:ascii="Arial" w:hAnsi="Arial" w:eastAsia="Arial" w:cs="Arial"/>
                <w:noProof w:val="0"/>
                <w:sz w:val="24"/>
                <w:szCs w:val="24"/>
                <w:lang w:val="en-US"/>
              </w:rPr>
              <w:t>Quantitative-only studies, surveys, or secondary analyses</w:t>
            </w:r>
          </w:p>
          <w:p w:rsidR="722FFED0" w:rsidP="407E75B8" w:rsidRDefault="722FFED0" w14:paraId="20A50DD5" w14:textId="1AD9325E">
            <w:pPr>
              <w:pStyle w:val="ListParagraph"/>
              <w:bidi w:val="0"/>
              <w:jc w:val="both"/>
              <w:rPr>
                <w:rFonts w:ascii="Arial" w:hAnsi="Arial" w:eastAsia="Arial" w:cs="Arial"/>
                <w:noProof w:val="0"/>
                <w:sz w:val="24"/>
                <w:szCs w:val="24"/>
                <w:lang w:val="en-US"/>
              </w:rPr>
            </w:pPr>
          </w:p>
        </w:tc>
      </w:tr>
      <w:tr w:rsidR="722FFED0" w:rsidTr="6ACBE163" w14:paraId="6C14ADF7">
        <w:trPr>
          <w:trHeight w:val="300"/>
        </w:trPr>
        <w:tc>
          <w:tcPr>
            <w:tcW w:w="4680" w:type="dxa"/>
            <w:tcMar/>
          </w:tcPr>
          <w:p w:rsidR="037DF393" w:rsidP="407E75B8" w:rsidRDefault="037DF393" w14:paraId="0EF8FD88" w14:textId="723A4B83">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English-language publications</w:t>
            </w:r>
          </w:p>
          <w:p w:rsidR="722FFED0" w:rsidP="407E75B8" w:rsidRDefault="722FFED0" w14:paraId="0050B228" w14:textId="276AA367">
            <w:pPr>
              <w:pStyle w:val="ListParagraph"/>
              <w:bidi w:val="0"/>
              <w:jc w:val="both"/>
              <w:rPr>
                <w:rFonts w:ascii="Arial" w:hAnsi="Arial" w:eastAsia="Arial" w:cs="Arial"/>
                <w:noProof w:val="0"/>
                <w:sz w:val="24"/>
                <w:szCs w:val="24"/>
                <w:lang w:val="en-US"/>
              </w:rPr>
            </w:pPr>
          </w:p>
        </w:tc>
        <w:tc>
          <w:tcPr>
            <w:tcW w:w="4680" w:type="dxa"/>
            <w:tcMar/>
          </w:tcPr>
          <w:p w:rsidR="4E3828A2" w:rsidP="407E75B8" w:rsidRDefault="4E3828A2" w14:paraId="7D5A45BB" w14:textId="0FD3506F">
            <w:pPr>
              <w:pStyle w:val="ListParagraph"/>
              <w:bidi w:val="0"/>
              <w:jc w:val="both"/>
              <w:rPr>
                <w:rFonts w:ascii="Arial" w:hAnsi="Arial" w:eastAsia="Arial" w:cs="Arial"/>
                <w:noProof w:val="0"/>
                <w:sz w:val="24"/>
                <w:szCs w:val="24"/>
                <w:lang w:val="en-US"/>
              </w:rPr>
            </w:pPr>
            <w:r w:rsidRPr="407E75B8" w:rsidR="192BEDD5">
              <w:rPr>
                <w:rFonts w:ascii="Arial" w:hAnsi="Arial" w:eastAsia="Arial" w:cs="Arial"/>
                <w:noProof w:val="0"/>
                <w:sz w:val="24"/>
                <w:szCs w:val="24"/>
                <w:lang w:val="en-US"/>
              </w:rPr>
              <w:t>Publications before 2015</w:t>
            </w:r>
          </w:p>
        </w:tc>
      </w:tr>
      <w:tr w:rsidR="722FFED0" w:rsidTr="6ACBE163" w14:paraId="7367D1BF">
        <w:trPr>
          <w:trHeight w:val="300"/>
        </w:trPr>
        <w:tc>
          <w:tcPr>
            <w:tcW w:w="4680" w:type="dxa"/>
            <w:tcMar/>
          </w:tcPr>
          <w:p w:rsidR="037DF393" w:rsidP="407E75B8" w:rsidRDefault="037DF393" w14:paraId="766CBA16" w14:textId="4FCA9536">
            <w:pPr>
              <w:pStyle w:val="ListParagraph"/>
              <w:bidi w:val="0"/>
              <w:jc w:val="both"/>
              <w:rPr>
                <w:rFonts w:ascii="Arial" w:hAnsi="Arial" w:eastAsia="Arial" w:cs="Arial"/>
                <w:noProof w:val="0"/>
                <w:sz w:val="24"/>
                <w:szCs w:val="24"/>
                <w:lang w:val="en-US"/>
              </w:rPr>
            </w:pPr>
            <w:r w:rsidRPr="407E75B8" w:rsidR="470C3271">
              <w:rPr>
                <w:rFonts w:ascii="Arial" w:hAnsi="Arial" w:eastAsia="Arial" w:cs="Arial"/>
                <w:noProof w:val="0"/>
                <w:sz w:val="24"/>
                <w:szCs w:val="24"/>
                <w:lang w:val="en-US"/>
              </w:rPr>
              <w:t>Studies reporting quality improvement interventions</w:t>
            </w:r>
          </w:p>
        </w:tc>
        <w:tc>
          <w:tcPr>
            <w:tcW w:w="4680" w:type="dxa"/>
            <w:tcMar/>
          </w:tcPr>
          <w:p w:rsidR="21C0E970" w:rsidP="407E75B8" w:rsidRDefault="21C0E970" w14:paraId="39049789" w14:textId="7590A258">
            <w:pPr>
              <w:pStyle w:val="ListParagraph"/>
              <w:bidi w:val="0"/>
              <w:jc w:val="both"/>
              <w:rPr>
                <w:rFonts w:ascii="Arial" w:hAnsi="Arial" w:eastAsia="Arial" w:cs="Arial"/>
                <w:noProof w:val="0"/>
                <w:sz w:val="24"/>
                <w:szCs w:val="24"/>
                <w:lang w:val="en-US"/>
              </w:rPr>
            </w:pPr>
            <w:r w:rsidRPr="407E75B8" w:rsidR="524ADBC3">
              <w:rPr>
                <w:rFonts w:ascii="Arial" w:hAnsi="Arial" w:eastAsia="Arial" w:cs="Arial"/>
                <w:noProof w:val="0"/>
                <w:sz w:val="24"/>
                <w:szCs w:val="24"/>
                <w:lang w:val="en-US"/>
              </w:rPr>
              <w:t>Non-English publications</w:t>
            </w:r>
          </w:p>
          <w:p w:rsidR="722FFED0" w:rsidP="407E75B8" w:rsidRDefault="722FFED0" w14:paraId="40665E97" w14:textId="5AC288C9">
            <w:pPr>
              <w:pStyle w:val="ListParagraph"/>
              <w:bidi w:val="0"/>
              <w:jc w:val="both"/>
              <w:rPr>
                <w:rFonts w:ascii="Arial" w:hAnsi="Arial" w:eastAsia="Arial" w:cs="Arial"/>
                <w:noProof w:val="0"/>
                <w:sz w:val="24"/>
                <w:szCs w:val="24"/>
                <w:lang w:val="en-US"/>
              </w:rPr>
            </w:pPr>
          </w:p>
        </w:tc>
      </w:tr>
    </w:tbl>
    <w:p w:rsidR="722FFED0" w:rsidP="722FFED0" w:rsidRDefault="722FFED0" w14:paraId="3DB69959" w14:textId="5DCC5127">
      <w:pPr>
        <w:pStyle w:val="ListParagraph"/>
        <w:suppressLineNumbers w:val="0"/>
        <w:bidi w:val="0"/>
        <w:spacing w:before="240" w:beforeAutospacing="off" w:after="240" w:afterAutospacing="off" w:line="279" w:lineRule="auto"/>
        <w:ind w:left="720" w:right="0"/>
        <w:jc w:val="both"/>
        <w:rPr>
          <w:rFonts w:ascii="Arial" w:hAnsi="Arial" w:eastAsia="Arial" w:cs="Arial"/>
          <w:noProof w:val="0"/>
          <w:sz w:val="24"/>
          <w:szCs w:val="24"/>
          <w:lang w:val="en-US"/>
        </w:rPr>
      </w:pPr>
    </w:p>
    <w:p w:rsidR="19C5569C" w:rsidP="4369956E" w:rsidRDefault="19C5569C" w14:paraId="7492FC3F" w14:textId="576C6A32">
      <w:pPr>
        <w:pStyle w:val="Heading2"/>
        <w:rPr>
          <w:noProof w:val="0"/>
          <w:lang w:val="en-US"/>
        </w:rPr>
      </w:pPr>
      <w:bookmarkStart w:name="_Toc486718726" w:id="1845366958"/>
      <w:r w:rsidRPr="668EA0FB" w:rsidR="290E5F20">
        <w:rPr>
          <w:noProof w:val="0"/>
          <w:lang w:val="en-US"/>
        </w:rPr>
        <w:t>3.</w:t>
      </w:r>
      <w:r w:rsidRPr="668EA0FB" w:rsidR="6D006E8B">
        <w:rPr>
          <w:noProof w:val="0"/>
          <w:lang w:val="en-US"/>
        </w:rPr>
        <w:t xml:space="preserve">6 </w:t>
      </w:r>
      <w:r w:rsidRPr="668EA0FB" w:rsidR="290E5F20">
        <w:rPr>
          <w:noProof w:val="0"/>
          <w:lang w:val="en-US"/>
        </w:rPr>
        <w:t>Quality Assessment (CASP Tool)</w:t>
      </w:r>
      <w:bookmarkEnd w:id="1845366958"/>
    </w:p>
    <w:p w:rsidR="19C5569C" w:rsidP="722FFED0" w:rsidRDefault="19C5569C" w14:paraId="4772EFEC" w14:textId="06A24395">
      <w:pPr>
        <w:bidi w:val="0"/>
        <w:spacing w:before="240" w:beforeAutospacing="off" w:after="240" w:afterAutospacing="off"/>
        <w:jc w:val="both"/>
      </w:pPr>
      <w:r w:rsidRPr="722FFED0" w:rsidR="19C5569C">
        <w:rPr>
          <w:rFonts w:ascii="Arial" w:hAnsi="Arial" w:eastAsia="Arial" w:cs="Arial"/>
          <w:noProof w:val="0"/>
          <w:sz w:val="24"/>
          <w:szCs w:val="24"/>
          <w:lang w:val="en-US"/>
        </w:rPr>
        <w:t>The Critical Appraisal Skills Programme (CASP) qualitative checklist was used to evaluate the methodological rigor of included studies. CASP assesses clarity of aims, appropriateness of methodology, data collection and analysis, ethical considerations, researcher reflexivity, and relevance of findings (Singh et al., 2021).</w:t>
      </w:r>
    </w:p>
    <w:p w:rsidR="19C5569C" w:rsidP="722FFED0" w:rsidRDefault="19C5569C" w14:paraId="1A53009F" w14:textId="2BA60E70">
      <w:pPr>
        <w:bidi w:val="0"/>
        <w:spacing w:before="240" w:beforeAutospacing="off" w:after="240" w:afterAutospacing="off"/>
        <w:jc w:val="both"/>
      </w:pPr>
      <w:r w:rsidRPr="5B971295" w:rsidR="51332E21">
        <w:rPr>
          <w:rFonts w:ascii="Arial" w:hAnsi="Arial" w:eastAsia="Arial" w:cs="Arial"/>
          <w:noProof w:val="0"/>
          <w:sz w:val="24"/>
          <w:szCs w:val="24"/>
          <w:lang w:val="en-US"/>
        </w:rPr>
        <w:t xml:space="preserve">CASP was preferred over JBI or MMAT because it is specifically tailored for qualitative studies, </w:t>
      </w:r>
      <w:r w:rsidRPr="5B971295" w:rsidR="51332E21">
        <w:rPr>
          <w:rFonts w:ascii="Arial" w:hAnsi="Arial" w:eastAsia="Arial" w:cs="Arial"/>
          <w:noProof w:val="0"/>
          <w:sz w:val="24"/>
          <w:szCs w:val="24"/>
          <w:lang w:val="en-US"/>
        </w:rPr>
        <w:t>emphasising</w:t>
      </w:r>
      <w:r w:rsidRPr="5B971295" w:rsidR="51332E21">
        <w:rPr>
          <w:rFonts w:ascii="Arial" w:hAnsi="Arial" w:eastAsia="Arial" w:cs="Arial"/>
          <w:noProof w:val="0"/>
          <w:sz w:val="24"/>
          <w:szCs w:val="24"/>
          <w:lang w:val="en-US"/>
        </w:rPr>
        <w:t xml:space="preserve"> interpretive depth and context, which are crucial for understanding dispensing errors and intervention effectiveness in LMIC settings (Buccheri &amp; Sharifi, 2017). All </w:t>
      </w:r>
      <w:r w:rsidRPr="5B971295" w:rsidR="6457A397">
        <w:rPr>
          <w:rFonts w:ascii="Arial" w:hAnsi="Arial" w:eastAsia="Arial" w:cs="Arial"/>
          <w:noProof w:val="0"/>
          <w:sz w:val="24"/>
          <w:szCs w:val="24"/>
          <w:lang w:val="en-US"/>
        </w:rPr>
        <w:t>12</w:t>
      </w:r>
      <w:r w:rsidRPr="5B971295" w:rsidR="51332E21">
        <w:rPr>
          <w:rFonts w:ascii="Arial" w:hAnsi="Arial" w:eastAsia="Arial" w:cs="Arial"/>
          <w:noProof w:val="0"/>
          <w:sz w:val="24"/>
          <w:szCs w:val="24"/>
          <w:lang w:val="en-US"/>
        </w:rPr>
        <w:t xml:space="preserve"> studies were critically appraised: 11 were rated high quality, and 4 moderate </w:t>
      </w:r>
      <w:r w:rsidRPr="5B971295" w:rsidR="51332E21">
        <w:rPr>
          <w:rFonts w:ascii="Arial" w:hAnsi="Arial" w:eastAsia="Arial" w:cs="Arial"/>
          <w:noProof w:val="0"/>
          <w:sz w:val="24"/>
          <w:szCs w:val="24"/>
          <w:lang w:val="en-US"/>
        </w:rPr>
        <w:t>quality</w:t>
      </w:r>
      <w:r w:rsidRPr="5B971295" w:rsidR="51332E21">
        <w:rPr>
          <w:rFonts w:ascii="Arial" w:hAnsi="Arial" w:eastAsia="Arial" w:cs="Arial"/>
          <w:noProof w:val="0"/>
          <w:sz w:val="24"/>
          <w:szCs w:val="24"/>
          <w:lang w:val="en-US"/>
        </w:rPr>
        <w:t>. Appraisal results informed interpretation of findings and identification of recurring themes such as inadequate training, systemic workflow challenges, and the effectiveness of structured interventions (Roche et al., 2021; Crafford et al., 2024).</w:t>
      </w:r>
      <w:r w:rsidRPr="5B971295" w:rsidR="6B0D25FA">
        <w:rPr>
          <w:rFonts w:ascii="Arial" w:hAnsi="Arial" w:eastAsia="Arial" w:cs="Arial"/>
          <w:noProof w:val="0"/>
          <w:sz w:val="24"/>
          <w:szCs w:val="24"/>
          <w:lang w:val="en-US"/>
        </w:rPr>
        <w:t xml:space="preserve"> </w:t>
      </w:r>
    </w:p>
    <w:p w:rsidR="645303FE" w:rsidP="4369956E" w:rsidRDefault="645303FE" w14:paraId="30E6F57F" w14:textId="74E25988">
      <w:pPr>
        <w:bidi w:val="0"/>
        <w:spacing w:before="240" w:beforeAutospacing="off" w:after="240" w:afterAutospacing="off"/>
        <w:jc w:val="both"/>
        <w:rPr>
          <w:rFonts w:ascii="Arial" w:hAnsi="Arial" w:eastAsia="Arial" w:cs="Arial"/>
          <w:b w:val="1"/>
          <w:bCs w:val="1"/>
          <w:noProof w:val="0"/>
          <w:sz w:val="24"/>
          <w:szCs w:val="24"/>
          <w:lang w:val="en-US"/>
        </w:rPr>
      </w:pPr>
      <w:r w:rsidRPr="4369956E" w:rsidR="645303FE">
        <w:rPr>
          <w:rFonts w:ascii="Arial" w:hAnsi="Arial" w:eastAsia="Arial" w:cs="Arial"/>
          <w:b w:val="1"/>
          <w:bCs w:val="1"/>
          <w:noProof w:val="0"/>
          <w:sz w:val="24"/>
          <w:szCs w:val="24"/>
          <w:lang w:val="en-US"/>
        </w:rPr>
        <w:t>Comparison of Qualitative Appraisal Tools and Rationale for CASP Selection</w:t>
      </w:r>
    </w:p>
    <w:tbl>
      <w:tblPr>
        <w:tblStyle w:val="TableGrid"/>
        <w:bidiVisual w:val="0"/>
        <w:tblW w:w="0" w:type="auto"/>
        <w:tblLook w:val="06A0" w:firstRow="1" w:lastRow="0" w:firstColumn="1" w:lastColumn="0" w:noHBand="1" w:noVBand="1"/>
      </w:tblPr>
      <w:tblGrid>
        <w:gridCol w:w="1872"/>
        <w:gridCol w:w="1872"/>
        <w:gridCol w:w="1872"/>
        <w:gridCol w:w="1872"/>
        <w:gridCol w:w="1872"/>
      </w:tblGrid>
      <w:tr w:rsidR="4369956E" w:rsidTr="4369956E" w14:paraId="1D4318CF">
        <w:trPr>
          <w:trHeight w:val="300"/>
        </w:trPr>
        <w:tc>
          <w:tcPr>
            <w:tcW w:w="1872" w:type="dxa"/>
            <w:tcMar/>
          </w:tcPr>
          <w:p w:rsidR="4258168E" w:rsidP="4369956E" w:rsidRDefault="4258168E" w14:paraId="04328CC2" w14:textId="11D42DBC">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Appraisal Tool</w:t>
            </w:r>
          </w:p>
          <w:p w:rsidR="4369956E" w:rsidP="4369956E" w:rsidRDefault="4369956E" w14:paraId="7BC221DE" w14:textId="52B4277F">
            <w:pPr>
              <w:pStyle w:val="Normal"/>
              <w:bidi w:val="0"/>
              <w:rPr>
                <w:rFonts w:ascii="Arial" w:hAnsi="Arial" w:eastAsia="Arial" w:cs="Arial"/>
                <w:b w:val="1"/>
                <w:bCs w:val="1"/>
                <w:noProof w:val="0"/>
                <w:sz w:val="24"/>
                <w:szCs w:val="24"/>
                <w:lang w:val="en-US"/>
              </w:rPr>
            </w:pPr>
          </w:p>
        </w:tc>
        <w:tc>
          <w:tcPr>
            <w:tcW w:w="1872" w:type="dxa"/>
            <w:tcMar/>
          </w:tcPr>
          <w:p w:rsidR="4258168E" w:rsidP="4369956E" w:rsidRDefault="4258168E" w14:paraId="75ED89FA" w14:textId="3C186174">
            <w:pPr>
              <w:pStyle w:val="Normal"/>
            </w:pPr>
            <w:r w:rsidRPr="4369956E" w:rsidR="4258168E">
              <w:rPr>
                <w:rFonts w:ascii="Arial" w:hAnsi="Arial" w:eastAsia="Arial" w:cs="Arial"/>
                <w:b w:val="1"/>
                <w:bCs w:val="1"/>
                <w:noProof w:val="0"/>
                <w:sz w:val="24"/>
                <w:szCs w:val="24"/>
                <w:lang w:val="en-US"/>
              </w:rPr>
              <w:t>Study Types</w:t>
            </w:r>
          </w:p>
          <w:p w:rsidR="4369956E" w:rsidP="4369956E" w:rsidRDefault="4369956E" w14:paraId="609D6D86" w14:textId="3005E839">
            <w:pPr>
              <w:pStyle w:val="Normal"/>
              <w:bidi w:val="0"/>
              <w:rPr>
                <w:rFonts w:ascii="Arial" w:hAnsi="Arial" w:eastAsia="Arial" w:cs="Arial"/>
                <w:b w:val="1"/>
                <w:bCs w:val="1"/>
                <w:noProof w:val="0"/>
                <w:sz w:val="24"/>
                <w:szCs w:val="24"/>
                <w:lang w:val="en-US"/>
              </w:rPr>
            </w:pPr>
          </w:p>
        </w:tc>
        <w:tc>
          <w:tcPr>
            <w:tcW w:w="1872" w:type="dxa"/>
            <w:tcMar/>
          </w:tcPr>
          <w:p w:rsidR="4258168E" w:rsidP="4369956E" w:rsidRDefault="4258168E" w14:paraId="4FA6AC75" w14:textId="10774B4D">
            <w:pPr>
              <w:pStyle w:val="Normal"/>
            </w:pPr>
            <w:r w:rsidRPr="4369956E" w:rsidR="4258168E">
              <w:rPr>
                <w:rFonts w:ascii="Arial" w:hAnsi="Arial" w:eastAsia="Arial" w:cs="Arial"/>
                <w:b w:val="1"/>
                <w:bCs w:val="1"/>
                <w:noProof w:val="0"/>
                <w:sz w:val="24"/>
                <w:szCs w:val="24"/>
                <w:lang w:val="en-US"/>
              </w:rPr>
              <w:t>Strengths</w:t>
            </w:r>
          </w:p>
        </w:tc>
        <w:tc>
          <w:tcPr>
            <w:tcW w:w="1872" w:type="dxa"/>
            <w:tcMar/>
          </w:tcPr>
          <w:p w:rsidR="4258168E" w:rsidP="4369956E" w:rsidRDefault="4258168E" w14:paraId="7F0C15C7" w14:textId="0C80DA9D">
            <w:pPr>
              <w:pStyle w:val="Normal"/>
            </w:pPr>
            <w:r w:rsidRPr="4369956E" w:rsidR="4258168E">
              <w:rPr>
                <w:rFonts w:ascii="Arial" w:hAnsi="Arial" w:eastAsia="Arial" w:cs="Arial"/>
                <w:b w:val="1"/>
                <w:bCs w:val="1"/>
                <w:noProof w:val="0"/>
                <w:sz w:val="24"/>
                <w:szCs w:val="24"/>
                <w:lang w:val="en-US"/>
              </w:rPr>
              <w:t>Limitations</w:t>
            </w:r>
          </w:p>
          <w:p w:rsidR="4369956E" w:rsidP="4369956E" w:rsidRDefault="4369956E" w14:paraId="29A5AA10" w14:textId="1CA8BC13">
            <w:pPr>
              <w:pStyle w:val="Normal"/>
              <w:bidi w:val="0"/>
              <w:rPr>
                <w:rFonts w:ascii="Arial" w:hAnsi="Arial" w:eastAsia="Arial" w:cs="Arial"/>
                <w:b w:val="1"/>
                <w:bCs w:val="1"/>
                <w:noProof w:val="0"/>
                <w:sz w:val="24"/>
                <w:szCs w:val="24"/>
                <w:lang w:val="en-US"/>
              </w:rPr>
            </w:pPr>
          </w:p>
        </w:tc>
        <w:tc>
          <w:tcPr>
            <w:tcW w:w="1872" w:type="dxa"/>
            <w:tcMar/>
          </w:tcPr>
          <w:p w:rsidR="4258168E" w:rsidP="4369956E" w:rsidRDefault="4258168E" w14:paraId="796AC43E" w14:textId="3CDE3D8F">
            <w:pPr>
              <w:pStyle w:val="Normal"/>
            </w:pPr>
            <w:r w:rsidRPr="4369956E" w:rsidR="4258168E">
              <w:rPr>
                <w:rFonts w:ascii="Arial" w:hAnsi="Arial" w:eastAsia="Arial" w:cs="Arial"/>
                <w:b w:val="1"/>
                <w:bCs w:val="1"/>
                <w:noProof w:val="0"/>
                <w:sz w:val="24"/>
                <w:szCs w:val="24"/>
                <w:lang w:val="en-US"/>
              </w:rPr>
              <w:t>Rationale</w:t>
            </w:r>
          </w:p>
        </w:tc>
      </w:tr>
      <w:tr w:rsidR="4369956E" w:rsidTr="4369956E" w14:paraId="26821AD8">
        <w:trPr>
          <w:trHeight w:val="300"/>
        </w:trPr>
        <w:tc>
          <w:tcPr>
            <w:tcW w:w="1872" w:type="dxa"/>
            <w:tcMar/>
          </w:tcPr>
          <w:p w:rsidR="4258168E" w:rsidP="4369956E" w:rsidRDefault="4258168E" w14:paraId="3DA995DB" w14:textId="0FB18036">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CASP</w:t>
            </w:r>
          </w:p>
        </w:tc>
        <w:tc>
          <w:tcPr>
            <w:tcW w:w="1872" w:type="dxa"/>
            <w:tcMar/>
          </w:tcPr>
          <w:p w:rsidR="4258168E" w:rsidP="4369956E" w:rsidRDefault="4258168E" w14:paraId="6B68C15F" w14:textId="1500F3B2">
            <w:pPr>
              <w:pStyle w:val="Normal"/>
              <w:bidi w:val="0"/>
              <w:rPr>
                <w:rFonts w:ascii="Arial" w:hAnsi="Arial" w:eastAsia="Arial" w:cs="Arial"/>
                <w:b w:val="0"/>
                <w:bCs w:val="0"/>
                <w:noProof w:val="0"/>
                <w:sz w:val="24"/>
                <w:szCs w:val="24"/>
                <w:lang w:val="en-US"/>
              </w:rPr>
            </w:pPr>
            <w:r w:rsidRPr="4369956E" w:rsidR="4258168E">
              <w:rPr>
                <w:rFonts w:ascii="Arial" w:hAnsi="Arial" w:eastAsia="Arial" w:cs="Arial"/>
                <w:b w:val="0"/>
                <w:bCs w:val="0"/>
                <w:noProof w:val="0"/>
                <w:sz w:val="24"/>
                <w:szCs w:val="24"/>
                <w:lang w:val="en-US"/>
              </w:rPr>
              <w:t>Qualitative</w:t>
            </w:r>
          </w:p>
        </w:tc>
        <w:tc>
          <w:tcPr>
            <w:tcW w:w="1872" w:type="dxa"/>
            <w:tcMar/>
          </w:tcPr>
          <w:p w:rsidR="3788F3BF" w:rsidP="4369956E" w:rsidRDefault="3788F3BF" w14:paraId="60CFF96C" w14:textId="2F1FB58A">
            <w:pPr>
              <w:pStyle w:val="Normal"/>
              <w:bidi w:val="0"/>
              <w:rPr>
                <w:rFonts w:ascii="Arial" w:hAnsi="Arial" w:eastAsia="Arial" w:cs="Arial"/>
                <w:b w:val="0"/>
                <w:bCs w:val="0"/>
                <w:noProof w:val="0"/>
                <w:sz w:val="24"/>
                <w:szCs w:val="24"/>
                <w:lang w:val="en-US"/>
              </w:rPr>
            </w:pPr>
            <w:r w:rsidRPr="4369956E" w:rsidR="3788F3BF">
              <w:rPr>
                <w:rFonts w:ascii="Arial" w:hAnsi="Arial" w:eastAsia="Arial" w:cs="Arial"/>
                <w:b w:val="0"/>
                <w:bCs w:val="0"/>
                <w:noProof w:val="0"/>
                <w:sz w:val="24"/>
                <w:szCs w:val="24"/>
                <w:lang w:val="en-US"/>
              </w:rPr>
              <w:t>Emphasises</w:t>
            </w:r>
            <w:r w:rsidRPr="4369956E" w:rsidR="3788F3BF">
              <w:rPr>
                <w:rFonts w:ascii="Arial" w:hAnsi="Arial" w:eastAsia="Arial" w:cs="Arial"/>
                <w:b w:val="0"/>
                <w:bCs w:val="0"/>
                <w:noProof w:val="0"/>
                <w:sz w:val="24"/>
                <w:szCs w:val="24"/>
                <w:lang w:val="en-US"/>
              </w:rPr>
              <w:t xml:space="preserve"> </w:t>
            </w:r>
            <w:r w:rsidRPr="4369956E" w:rsidR="3788F3BF">
              <w:rPr>
                <w:rFonts w:ascii="Arial" w:hAnsi="Arial" w:eastAsia="Arial" w:cs="Arial"/>
                <w:b w:val="0"/>
                <w:bCs w:val="0"/>
                <w:noProof w:val="0"/>
                <w:sz w:val="24"/>
                <w:szCs w:val="24"/>
                <w:lang w:val="en-US"/>
              </w:rPr>
              <w:t>rigour</w:t>
            </w:r>
            <w:r w:rsidRPr="4369956E" w:rsidR="3788F3BF">
              <w:rPr>
                <w:rFonts w:ascii="Arial" w:hAnsi="Arial" w:eastAsia="Arial" w:cs="Arial"/>
                <w:b w:val="0"/>
                <w:bCs w:val="0"/>
                <w:noProof w:val="0"/>
                <w:sz w:val="24"/>
                <w:szCs w:val="24"/>
                <w:lang w:val="en-US"/>
              </w:rPr>
              <w:t>, reflexivity, ethics, and context</w:t>
            </w:r>
          </w:p>
        </w:tc>
        <w:tc>
          <w:tcPr>
            <w:tcW w:w="1872" w:type="dxa"/>
            <w:tcMar/>
          </w:tcPr>
          <w:p w:rsidR="3788F3BF" w:rsidP="4369956E" w:rsidRDefault="3788F3BF" w14:paraId="5EC448AB" w14:textId="4DAC318D">
            <w:pPr>
              <w:pStyle w:val="Normal"/>
              <w:bidi w:val="0"/>
              <w:rPr>
                <w:rFonts w:ascii="Arial" w:hAnsi="Arial" w:eastAsia="Arial" w:cs="Arial"/>
                <w:b w:val="0"/>
                <w:bCs w:val="0"/>
                <w:noProof w:val="0"/>
                <w:sz w:val="24"/>
                <w:szCs w:val="24"/>
                <w:lang w:val="en-US"/>
              </w:rPr>
            </w:pPr>
            <w:r w:rsidRPr="4369956E" w:rsidR="3788F3BF">
              <w:rPr>
                <w:rFonts w:ascii="Arial" w:hAnsi="Arial" w:eastAsia="Arial" w:cs="Arial"/>
                <w:b w:val="0"/>
                <w:bCs w:val="0"/>
                <w:noProof w:val="0"/>
                <w:sz w:val="24"/>
                <w:szCs w:val="24"/>
                <w:lang w:val="en-US"/>
              </w:rPr>
              <w:t>Less statistical focus</w:t>
            </w:r>
          </w:p>
        </w:tc>
        <w:tc>
          <w:tcPr>
            <w:tcW w:w="1872" w:type="dxa"/>
            <w:tcMar/>
          </w:tcPr>
          <w:p w:rsidR="3788F3BF" w:rsidP="4369956E" w:rsidRDefault="3788F3BF" w14:paraId="29AB212F" w14:textId="098C5A9F">
            <w:pPr>
              <w:pStyle w:val="Normal"/>
              <w:bidi w:val="0"/>
              <w:rPr>
                <w:rFonts w:ascii="Arial" w:hAnsi="Arial" w:eastAsia="Arial" w:cs="Arial"/>
                <w:b w:val="0"/>
                <w:bCs w:val="0"/>
                <w:noProof w:val="0"/>
                <w:sz w:val="24"/>
                <w:szCs w:val="24"/>
                <w:lang w:val="en-US"/>
              </w:rPr>
            </w:pPr>
            <w:r w:rsidRPr="4369956E" w:rsidR="3788F3BF">
              <w:rPr>
                <w:rFonts w:ascii="Arial" w:hAnsi="Arial" w:eastAsia="Arial" w:cs="Arial"/>
                <w:b w:val="0"/>
                <w:bCs w:val="0"/>
                <w:noProof w:val="0"/>
                <w:sz w:val="24"/>
                <w:szCs w:val="24"/>
                <w:lang w:val="en-US"/>
              </w:rPr>
              <w:t>Selected – best suited for qualitative synthesis</w:t>
            </w:r>
          </w:p>
        </w:tc>
      </w:tr>
      <w:tr w:rsidR="4369956E" w:rsidTr="4369956E" w14:paraId="59E852C4">
        <w:trPr>
          <w:trHeight w:val="300"/>
        </w:trPr>
        <w:tc>
          <w:tcPr>
            <w:tcW w:w="1872" w:type="dxa"/>
            <w:tcMar/>
          </w:tcPr>
          <w:p w:rsidR="4258168E" w:rsidP="4369956E" w:rsidRDefault="4258168E" w14:paraId="25D3E2A6" w14:textId="4C4E32C1">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JBI</w:t>
            </w:r>
          </w:p>
        </w:tc>
        <w:tc>
          <w:tcPr>
            <w:tcW w:w="1872" w:type="dxa"/>
            <w:tcMar/>
          </w:tcPr>
          <w:p w:rsidR="4258168E" w:rsidP="4369956E" w:rsidRDefault="4258168E" w14:paraId="2F13A947" w14:textId="203F53AE">
            <w:pPr>
              <w:pStyle w:val="Normal"/>
              <w:bidi w:val="0"/>
              <w:rPr>
                <w:rFonts w:ascii="Arial" w:hAnsi="Arial" w:eastAsia="Arial" w:cs="Arial"/>
                <w:b w:val="0"/>
                <w:bCs w:val="0"/>
                <w:noProof w:val="0"/>
                <w:sz w:val="24"/>
                <w:szCs w:val="24"/>
                <w:lang w:val="en-US"/>
              </w:rPr>
            </w:pPr>
            <w:r w:rsidRPr="4369956E" w:rsidR="4258168E">
              <w:rPr>
                <w:rFonts w:ascii="Arial" w:hAnsi="Arial" w:eastAsia="Arial" w:cs="Arial"/>
                <w:b w:val="0"/>
                <w:bCs w:val="0"/>
                <w:noProof w:val="0"/>
                <w:sz w:val="24"/>
                <w:szCs w:val="24"/>
                <w:lang w:val="en-US"/>
              </w:rPr>
              <w:t xml:space="preserve">Qualitative &amp; mixed </w:t>
            </w:r>
          </w:p>
        </w:tc>
        <w:tc>
          <w:tcPr>
            <w:tcW w:w="1872" w:type="dxa"/>
            <w:tcMar/>
          </w:tcPr>
          <w:p w:rsidR="4A6F1FE0" w:rsidP="4369956E" w:rsidRDefault="4A6F1FE0" w14:paraId="616B05D7" w14:textId="091E59FD">
            <w:pPr>
              <w:pStyle w:val="Normal"/>
              <w:bidi w:val="0"/>
              <w:rPr>
                <w:rFonts w:ascii="Arial" w:hAnsi="Arial" w:eastAsia="Arial" w:cs="Arial"/>
                <w:b w:val="0"/>
                <w:bCs w:val="0"/>
                <w:noProof w:val="0"/>
                <w:sz w:val="24"/>
                <w:szCs w:val="24"/>
                <w:lang w:val="en-US"/>
              </w:rPr>
            </w:pPr>
            <w:r w:rsidRPr="4369956E" w:rsidR="4A6F1FE0">
              <w:rPr>
                <w:rFonts w:ascii="Arial" w:hAnsi="Arial" w:eastAsia="Arial" w:cs="Arial"/>
                <w:b w:val="0"/>
                <w:bCs w:val="0"/>
                <w:noProof w:val="0"/>
                <w:sz w:val="24"/>
                <w:szCs w:val="24"/>
                <w:lang w:val="en-US"/>
              </w:rPr>
              <w:t>Structured and comprehensive</w:t>
            </w:r>
          </w:p>
        </w:tc>
        <w:tc>
          <w:tcPr>
            <w:tcW w:w="1872" w:type="dxa"/>
            <w:tcMar/>
          </w:tcPr>
          <w:p w:rsidR="4BF5A5B5" w:rsidP="4369956E" w:rsidRDefault="4BF5A5B5" w14:paraId="2959C1CE" w14:textId="223A0C10">
            <w:pPr>
              <w:pStyle w:val="Normal"/>
              <w:bidi w:val="0"/>
              <w:rPr>
                <w:rFonts w:ascii="Arial" w:hAnsi="Arial" w:eastAsia="Arial" w:cs="Arial"/>
                <w:b w:val="0"/>
                <w:bCs w:val="0"/>
                <w:noProof w:val="0"/>
                <w:sz w:val="24"/>
                <w:szCs w:val="24"/>
                <w:lang w:val="en-US"/>
              </w:rPr>
            </w:pPr>
            <w:r w:rsidRPr="4369956E" w:rsidR="4BF5A5B5">
              <w:rPr>
                <w:rFonts w:ascii="Arial" w:hAnsi="Arial" w:eastAsia="Arial" w:cs="Arial"/>
                <w:b w:val="0"/>
                <w:bCs w:val="0"/>
                <w:noProof w:val="0"/>
                <w:sz w:val="24"/>
                <w:szCs w:val="24"/>
                <w:lang w:val="en-US"/>
              </w:rPr>
              <w:t>More checklist-driven, less interpretive</w:t>
            </w:r>
          </w:p>
        </w:tc>
        <w:tc>
          <w:tcPr>
            <w:tcW w:w="1872" w:type="dxa"/>
            <w:tcMar/>
          </w:tcPr>
          <w:p w:rsidR="4BF5A5B5" w:rsidP="4369956E" w:rsidRDefault="4BF5A5B5" w14:paraId="05E2BB9C" w14:textId="00D24771">
            <w:pPr>
              <w:pStyle w:val="Normal"/>
              <w:bidi w:val="0"/>
              <w:rPr>
                <w:rFonts w:ascii="Arial" w:hAnsi="Arial" w:eastAsia="Arial" w:cs="Arial"/>
                <w:b w:val="0"/>
                <w:bCs w:val="0"/>
                <w:noProof w:val="0"/>
                <w:sz w:val="24"/>
                <w:szCs w:val="24"/>
                <w:lang w:val="en-US"/>
              </w:rPr>
            </w:pPr>
            <w:r w:rsidRPr="4369956E" w:rsidR="4BF5A5B5">
              <w:rPr>
                <w:rFonts w:ascii="Arial" w:hAnsi="Arial" w:eastAsia="Arial" w:cs="Arial"/>
                <w:b w:val="0"/>
                <w:bCs w:val="0"/>
                <w:noProof w:val="0"/>
                <w:sz w:val="24"/>
                <w:szCs w:val="24"/>
                <w:lang w:val="en-US"/>
              </w:rPr>
              <w:t>Not selected</w:t>
            </w:r>
          </w:p>
        </w:tc>
      </w:tr>
      <w:tr w:rsidR="4369956E" w:rsidTr="4369956E" w14:paraId="4F874562">
        <w:trPr>
          <w:trHeight w:val="300"/>
        </w:trPr>
        <w:tc>
          <w:tcPr>
            <w:tcW w:w="1872" w:type="dxa"/>
            <w:tcMar/>
          </w:tcPr>
          <w:p w:rsidR="4258168E" w:rsidP="4369956E" w:rsidRDefault="4258168E" w14:paraId="412188DB" w14:textId="2C48EC49">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MMAT</w:t>
            </w:r>
          </w:p>
        </w:tc>
        <w:tc>
          <w:tcPr>
            <w:tcW w:w="1872" w:type="dxa"/>
            <w:tcMar/>
          </w:tcPr>
          <w:p w:rsidR="4258168E" w:rsidP="4369956E" w:rsidRDefault="4258168E" w14:paraId="5AAFD33D" w14:textId="44030322">
            <w:pPr>
              <w:pStyle w:val="Normal"/>
              <w:bidi w:val="0"/>
              <w:rPr>
                <w:rFonts w:ascii="Arial" w:hAnsi="Arial" w:eastAsia="Arial" w:cs="Arial"/>
                <w:b w:val="0"/>
                <w:bCs w:val="0"/>
                <w:noProof w:val="0"/>
                <w:sz w:val="24"/>
                <w:szCs w:val="24"/>
                <w:lang w:val="en-US"/>
              </w:rPr>
            </w:pPr>
            <w:r w:rsidRPr="4369956E" w:rsidR="4258168E">
              <w:rPr>
                <w:rFonts w:ascii="Arial" w:hAnsi="Arial" w:eastAsia="Arial" w:cs="Arial"/>
                <w:b w:val="0"/>
                <w:bCs w:val="0"/>
                <w:noProof w:val="0"/>
                <w:sz w:val="24"/>
                <w:szCs w:val="24"/>
                <w:lang w:val="en-US"/>
              </w:rPr>
              <w:t>Mixed methods</w:t>
            </w:r>
          </w:p>
        </w:tc>
        <w:tc>
          <w:tcPr>
            <w:tcW w:w="1872" w:type="dxa"/>
            <w:tcMar/>
          </w:tcPr>
          <w:p w:rsidR="5AEBA52F" w:rsidP="4369956E" w:rsidRDefault="5AEBA52F" w14:paraId="112B6716" w14:textId="00034E32">
            <w:pPr>
              <w:pStyle w:val="Normal"/>
              <w:bidi w:val="0"/>
              <w:rPr>
                <w:rFonts w:ascii="Arial" w:hAnsi="Arial" w:eastAsia="Arial" w:cs="Arial"/>
                <w:b w:val="0"/>
                <w:bCs w:val="0"/>
                <w:noProof w:val="0"/>
                <w:sz w:val="24"/>
                <w:szCs w:val="24"/>
                <w:lang w:val="en-US"/>
              </w:rPr>
            </w:pPr>
            <w:r w:rsidRPr="4369956E" w:rsidR="5AEBA52F">
              <w:rPr>
                <w:rFonts w:ascii="Arial" w:hAnsi="Arial" w:eastAsia="Arial" w:cs="Arial"/>
                <w:b w:val="0"/>
                <w:bCs w:val="0"/>
                <w:noProof w:val="0"/>
                <w:sz w:val="24"/>
                <w:szCs w:val="24"/>
                <w:lang w:val="en-US"/>
              </w:rPr>
              <w:t>Allows cross-design appraisal</w:t>
            </w:r>
          </w:p>
        </w:tc>
        <w:tc>
          <w:tcPr>
            <w:tcW w:w="1872" w:type="dxa"/>
            <w:tcMar/>
          </w:tcPr>
          <w:p w:rsidR="5AEBA52F" w:rsidP="4369956E" w:rsidRDefault="5AEBA52F" w14:paraId="005E8FCD" w14:textId="4A447F66">
            <w:pPr>
              <w:pStyle w:val="Normal"/>
              <w:bidi w:val="0"/>
              <w:rPr>
                <w:rFonts w:ascii="Arial" w:hAnsi="Arial" w:eastAsia="Arial" w:cs="Arial"/>
                <w:b w:val="0"/>
                <w:bCs w:val="0"/>
                <w:noProof w:val="0"/>
                <w:sz w:val="24"/>
                <w:szCs w:val="24"/>
                <w:lang w:val="en-US"/>
              </w:rPr>
            </w:pPr>
            <w:r w:rsidRPr="4369956E" w:rsidR="5AEBA52F">
              <w:rPr>
                <w:rFonts w:ascii="Arial" w:hAnsi="Arial" w:eastAsia="Arial" w:cs="Arial"/>
                <w:b w:val="0"/>
                <w:bCs w:val="0"/>
                <w:noProof w:val="0"/>
                <w:sz w:val="24"/>
                <w:szCs w:val="24"/>
                <w:lang w:val="en-US"/>
              </w:rPr>
              <w:t>Limited qualitative depth</w:t>
            </w:r>
          </w:p>
          <w:p w:rsidR="4369956E" w:rsidP="4369956E" w:rsidRDefault="4369956E" w14:paraId="2874B5C8" w14:textId="154CFB9B">
            <w:pPr>
              <w:pStyle w:val="Normal"/>
              <w:bidi w:val="0"/>
              <w:rPr>
                <w:rFonts w:ascii="Arial" w:hAnsi="Arial" w:eastAsia="Arial" w:cs="Arial"/>
                <w:b w:val="0"/>
                <w:bCs w:val="0"/>
                <w:noProof w:val="0"/>
                <w:sz w:val="24"/>
                <w:szCs w:val="24"/>
                <w:lang w:val="en-US"/>
              </w:rPr>
            </w:pPr>
          </w:p>
        </w:tc>
        <w:tc>
          <w:tcPr>
            <w:tcW w:w="1872" w:type="dxa"/>
            <w:tcMar/>
          </w:tcPr>
          <w:p w:rsidR="5AEBA52F" w:rsidP="4369956E" w:rsidRDefault="5AEBA52F" w14:paraId="3125F011" w14:textId="4ECE5747">
            <w:pPr>
              <w:pStyle w:val="Normal"/>
              <w:bidi w:val="0"/>
              <w:rPr>
                <w:rFonts w:ascii="Arial" w:hAnsi="Arial" w:eastAsia="Arial" w:cs="Arial"/>
                <w:b w:val="0"/>
                <w:bCs w:val="0"/>
                <w:noProof w:val="0"/>
                <w:sz w:val="24"/>
                <w:szCs w:val="24"/>
                <w:lang w:val="en-US"/>
              </w:rPr>
            </w:pPr>
            <w:r w:rsidRPr="4369956E" w:rsidR="5AEBA52F">
              <w:rPr>
                <w:rFonts w:ascii="Arial" w:hAnsi="Arial" w:eastAsia="Arial" w:cs="Arial"/>
                <w:b w:val="0"/>
                <w:bCs w:val="0"/>
                <w:noProof w:val="0"/>
                <w:sz w:val="24"/>
                <w:szCs w:val="24"/>
                <w:lang w:val="en-US"/>
              </w:rPr>
              <w:t>Not selected</w:t>
            </w:r>
          </w:p>
        </w:tc>
      </w:tr>
      <w:tr w:rsidR="4369956E" w:rsidTr="4369956E" w14:paraId="4EDCEBB1">
        <w:trPr>
          <w:trHeight w:val="300"/>
        </w:trPr>
        <w:tc>
          <w:tcPr>
            <w:tcW w:w="1872" w:type="dxa"/>
            <w:tcMar/>
          </w:tcPr>
          <w:p w:rsidR="4258168E" w:rsidP="4369956E" w:rsidRDefault="4258168E" w14:paraId="797631C0" w14:textId="705E6313">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AMSTAR-2</w:t>
            </w:r>
          </w:p>
        </w:tc>
        <w:tc>
          <w:tcPr>
            <w:tcW w:w="1872" w:type="dxa"/>
            <w:tcMar/>
          </w:tcPr>
          <w:p w:rsidR="4258168E" w:rsidP="4369956E" w:rsidRDefault="4258168E" w14:paraId="2F6A1CCF" w14:textId="2719B16C">
            <w:pPr>
              <w:pStyle w:val="Normal"/>
              <w:bidi w:val="0"/>
              <w:rPr>
                <w:rFonts w:ascii="Arial" w:hAnsi="Arial" w:eastAsia="Arial" w:cs="Arial"/>
                <w:b w:val="0"/>
                <w:bCs w:val="0"/>
                <w:noProof w:val="0"/>
                <w:sz w:val="24"/>
                <w:szCs w:val="24"/>
                <w:lang w:val="en-US"/>
              </w:rPr>
            </w:pPr>
            <w:r w:rsidRPr="4369956E" w:rsidR="4258168E">
              <w:rPr>
                <w:rFonts w:ascii="Arial" w:hAnsi="Arial" w:eastAsia="Arial" w:cs="Arial"/>
                <w:b w:val="0"/>
                <w:bCs w:val="0"/>
                <w:noProof w:val="0"/>
                <w:sz w:val="24"/>
                <w:szCs w:val="24"/>
                <w:lang w:val="en-US"/>
              </w:rPr>
              <w:t xml:space="preserve">Systematic </w:t>
            </w:r>
            <w:r w:rsidRPr="4369956E" w:rsidR="4258168E">
              <w:rPr>
                <w:rFonts w:ascii="Arial" w:hAnsi="Arial" w:eastAsia="Arial" w:cs="Arial"/>
                <w:b w:val="0"/>
                <w:bCs w:val="0"/>
                <w:noProof w:val="0"/>
                <w:sz w:val="24"/>
                <w:szCs w:val="24"/>
                <w:lang w:val="en-US"/>
              </w:rPr>
              <w:t>revi</w:t>
            </w:r>
            <w:r w:rsidRPr="4369956E" w:rsidR="4258168E">
              <w:rPr>
                <w:rFonts w:ascii="Arial" w:hAnsi="Arial" w:eastAsia="Arial" w:cs="Arial"/>
                <w:b w:val="0"/>
                <w:bCs w:val="0"/>
                <w:noProof w:val="0"/>
                <w:sz w:val="24"/>
                <w:szCs w:val="24"/>
                <w:lang w:val="en-US"/>
              </w:rPr>
              <w:t>ews</w:t>
            </w:r>
          </w:p>
        </w:tc>
        <w:tc>
          <w:tcPr>
            <w:tcW w:w="1872" w:type="dxa"/>
            <w:tcMar/>
          </w:tcPr>
          <w:p w:rsidR="5A86FC4B" w:rsidP="4369956E" w:rsidRDefault="5A86FC4B" w14:paraId="4BF9C28B" w14:textId="3A2C50DD">
            <w:pPr>
              <w:pStyle w:val="Normal"/>
              <w:bidi w:val="0"/>
              <w:rPr>
                <w:rFonts w:ascii="Arial" w:hAnsi="Arial" w:eastAsia="Arial" w:cs="Arial"/>
                <w:b w:val="0"/>
                <w:bCs w:val="0"/>
                <w:noProof w:val="0"/>
                <w:sz w:val="24"/>
                <w:szCs w:val="24"/>
                <w:lang w:val="en-US"/>
              </w:rPr>
            </w:pPr>
            <w:r w:rsidRPr="4369956E" w:rsidR="5A86FC4B">
              <w:rPr>
                <w:rFonts w:ascii="Arial" w:hAnsi="Arial" w:eastAsia="Arial" w:cs="Arial"/>
                <w:b w:val="0"/>
                <w:bCs w:val="0"/>
                <w:noProof w:val="0"/>
                <w:sz w:val="24"/>
                <w:szCs w:val="24"/>
                <w:lang w:val="en-US"/>
              </w:rPr>
              <w:t>Strong for review-level appraisal</w:t>
            </w:r>
          </w:p>
          <w:p w:rsidR="4369956E" w:rsidP="4369956E" w:rsidRDefault="4369956E" w14:paraId="2EF1C6F2" w14:textId="5833DE43">
            <w:pPr>
              <w:pStyle w:val="Normal"/>
              <w:bidi w:val="0"/>
              <w:rPr>
                <w:rFonts w:ascii="Arial" w:hAnsi="Arial" w:eastAsia="Arial" w:cs="Arial"/>
                <w:b w:val="0"/>
                <w:bCs w:val="0"/>
                <w:noProof w:val="0"/>
                <w:sz w:val="24"/>
                <w:szCs w:val="24"/>
                <w:lang w:val="en-US"/>
              </w:rPr>
            </w:pPr>
          </w:p>
        </w:tc>
        <w:tc>
          <w:tcPr>
            <w:tcW w:w="1872" w:type="dxa"/>
            <w:tcMar/>
          </w:tcPr>
          <w:p w:rsidR="5A86FC4B" w:rsidP="4369956E" w:rsidRDefault="5A86FC4B" w14:paraId="352B537A" w14:textId="69A874E6">
            <w:pPr>
              <w:pStyle w:val="Normal"/>
              <w:bidi w:val="0"/>
              <w:rPr>
                <w:rFonts w:ascii="Arial" w:hAnsi="Arial" w:eastAsia="Arial" w:cs="Arial"/>
                <w:b w:val="0"/>
                <w:bCs w:val="0"/>
                <w:noProof w:val="0"/>
                <w:sz w:val="24"/>
                <w:szCs w:val="24"/>
                <w:lang w:val="en-US"/>
              </w:rPr>
            </w:pPr>
            <w:r w:rsidRPr="4369956E" w:rsidR="5A86FC4B">
              <w:rPr>
                <w:rFonts w:ascii="Arial" w:hAnsi="Arial" w:eastAsia="Arial" w:cs="Arial"/>
                <w:b w:val="0"/>
                <w:bCs w:val="0"/>
                <w:noProof w:val="0"/>
                <w:sz w:val="24"/>
                <w:szCs w:val="24"/>
                <w:lang w:val="en-US"/>
              </w:rPr>
              <w:t>Not for primary studies</w:t>
            </w:r>
          </w:p>
          <w:p w:rsidR="4369956E" w:rsidP="4369956E" w:rsidRDefault="4369956E" w14:paraId="44F9858B" w14:textId="7A584C5F">
            <w:pPr>
              <w:pStyle w:val="Normal"/>
              <w:bidi w:val="0"/>
              <w:rPr>
                <w:rFonts w:ascii="Arial" w:hAnsi="Arial" w:eastAsia="Arial" w:cs="Arial"/>
                <w:b w:val="0"/>
                <w:bCs w:val="0"/>
                <w:noProof w:val="0"/>
                <w:sz w:val="24"/>
                <w:szCs w:val="24"/>
                <w:lang w:val="en-US"/>
              </w:rPr>
            </w:pPr>
          </w:p>
        </w:tc>
        <w:tc>
          <w:tcPr>
            <w:tcW w:w="1872" w:type="dxa"/>
            <w:tcMar/>
          </w:tcPr>
          <w:p w:rsidR="5A86FC4B" w:rsidP="4369956E" w:rsidRDefault="5A86FC4B" w14:paraId="026542D1" w14:textId="7AB80F3E">
            <w:pPr>
              <w:pStyle w:val="Normal"/>
              <w:bidi w:val="0"/>
              <w:rPr>
                <w:rFonts w:ascii="Arial" w:hAnsi="Arial" w:eastAsia="Arial" w:cs="Arial"/>
                <w:b w:val="0"/>
                <w:bCs w:val="0"/>
                <w:noProof w:val="0"/>
                <w:sz w:val="24"/>
                <w:szCs w:val="24"/>
                <w:lang w:val="en-US"/>
              </w:rPr>
            </w:pPr>
            <w:r w:rsidRPr="4369956E" w:rsidR="5A86FC4B">
              <w:rPr>
                <w:rFonts w:ascii="Arial" w:hAnsi="Arial" w:eastAsia="Arial" w:cs="Arial"/>
                <w:b w:val="0"/>
                <w:bCs w:val="0"/>
                <w:noProof w:val="0"/>
                <w:sz w:val="24"/>
                <w:szCs w:val="24"/>
                <w:lang w:val="en-US"/>
              </w:rPr>
              <w:t>Excluded</w:t>
            </w:r>
          </w:p>
        </w:tc>
      </w:tr>
      <w:tr w:rsidR="4369956E" w:rsidTr="4369956E" w14:paraId="2192ED42">
        <w:trPr>
          <w:trHeight w:val="300"/>
        </w:trPr>
        <w:tc>
          <w:tcPr>
            <w:tcW w:w="1872" w:type="dxa"/>
            <w:tcMar/>
          </w:tcPr>
          <w:p w:rsidR="4258168E" w:rsidP="4369956E" w:rsidRDefault="4258168E" w14:paraId="19A4C2BF" w14:textId="1BF08948">
            <w:pPr>
              <w:pStyle w:val="Normal"/>
              <w:bidi w:val="0"/>
              <w:rPr>
                <w:rFonts w:ascii="Arial" w:hAnsi="Arial" w:eastAsia="Arial" w:cs="Arial"/>
                <w:b w:val="1"/>
                <w:bCs w:val="1"/>
                <w:noProof w:val="0"/>
                <w:sz w:val="24"/>
                <w:szCs w:val="24"/>
                <w:lang w:val="en-US"/>
              </w:rPr>
            </w:pPr>
            <w:r w:rsidRPr="4369956E" w:rsidR="4258168E">
              <w:rPr>
                <w:rFonts w:ascii="Arial" w:hAnsi="Arial" w:eastAsia="Arial" w:cs="Arial"/>
                <w:b w:val="1"/>
                <w:bCs w:val="1"/>
                <w:noProof w:val="0"/>
                <w:sz w:val="24"/>
                <w:szCs w:val="24"/>
                <w:lang w:val="en-US"/>
              </w:rPr>
              <w:t>ROBINS-I</w:t>
            </w:r>
          </w:p>
        </w:tc>
        <w:tc>
          <w:tcPr>
            <w:tcW w:w="1872" w:type="dxa"/>
            <w:tcMar/>
          </w:tcPr>
          <w:p w:rsidR="4258168E" w:rsidP="4369956E" w:rsidRDefault="4258168E" w14:paraId="7EBC85CA" w14:textId="2C408CA3">
            <w:pPr>
              <w:pStyle w:val="Normal"/>
              <w:bidi w:val="0"/>
              <w:rPr>
                <w:rFonts w:ascii="Arial" w:hAnsi="Arial" w:eastAsia="Arial" w:cs="Arial"/>
                <w:b w:val="0"/>
                <w:bCs w:val="0"/>
                <w:noProof w:val="0"/>
                <w:sz w:val="24"/>
                <w:szCs w:val="24"/>
                <w:lang w:val="en-US"/>
              </w:rPr>
            </w:pPr>
            <w:r w:rsidRPr="4369956E" w:rsidR="4258168E">
              <w:rPr>
                <w:rFonts w:ascii="Arial" w:hAnsi="Arial" w:eastAsia="Arial" w:cs="Arial"/>
                <w:b w:val="0"/>
                <w:bCs w:val="0"/>
                <w:noProof w:val="0"/>
                <w:sz w:val="24"/>
                <w:szCs w:val="24"/>
                <w:lang w:val="en-US"/>
              </w:rPr>
              <w:t>Quantitative</w:t>
            </w:r>
          </w:p>
        </w:tc>
        <w:tc>
          <w:tcPr>
            <w:tcW w:w="1872" w:type="dxa"/>
            <w:tcMar/>
          </w:tcPr>
          <w:p w:rsidR="5010DA30" w:rsidP="4369956E" w:rsidRDefault="5010DA30" w14:paraId="285B3F6E" w14:textId="0D82CC51">
            <w:pPr>
              <w:pStyle w:val="Normal"/>
              <w:bidi w:val="0"/>
              <w:rPr>
                <w:rFonts w:ascii="Arial" w:hAnsi="Arial" w:eastAsia="Arial" w:cs="Arial"/>
                <w:b w:val="0"/>
                <w:bCs w:val="0"/>
                <w:noProof w:val="0"/>
                <w:sz w:val="24"/>
                <w:szCs w:val="24"/>
                <w:lang w:val="en-US"/>
              </w:rPr>
            </w:pPr>
            <w:r w:rsidRPr="4369956E" w:rsidR="5010DA30">
              <w:rPr>
                <w:rFonts w:ascii="Arial" w:hAnsi="Arial" w:eastAsia="Arial" w:cs="Arial"/>
                <w:b w:val="0"/>
                <w:bCs w:val="0"/>
                <w:noProof w:val="0"/>
                <w:sz w:val="24"/>
                <w:szCs w:val="24"/>
                <w:lang w:val="en-US"/>
              </w:rPr>
              <w:t>Bias-focused</w:t>
            </w:r>
          </w:p>
          <w:p w:rsidR="4369956E" w:rsidP="4369956E" w:rsidRDefault="4369956E" w14:paraId="5FE4B372" w14:textId="6829F3C6">
            <w:pPr>
              <w:pStyle w:val="Normal"/>
              <w:bidi w:val="0"/>
              <w:rPr>
                <w:rFonts w:ascii="Arial" w:hAnsi="Arial" w:eastAsia="Arial" w:cs="Arial"/>
                <w:b w:val="0"/>
                <w:bCs w:val="0"/>
                <w:noProof w:val="0"/>
                <w:sz w:val="24"/>
                <w:szCs w:val="24"/>
                <w:lang w:val="en-US"/>
              </w:rPr>
            </w:pPr>
          </w:p>
        </w:tc>
        <w:tc>
          <w:tcPr>
            <w:tcW w:w="1872" w:type="dxa"/>
            <w:tcMar/>
          </w:tcPr>
          <w:p w:rsidR="5010DA30" w:rsidP="4369956E" w:rsidRDefault="5010DA30" w14:paraId="0234B5E8" w14:textId="278F8CBC">
            <w:pPr>
              <w:pStyle w:val="Normal"/>
              <w:bidi w:val="0"/>
              <w:rPr>
                <w:rFonts w:ascii="Arial" w:hAnsi="Arial" w:eastAsia="Arial" w:cs="Arial"/>
                <w:b w:val="0"/>
                <w:bCs w:val="0"/>
                <w:noProof w:val="0"/>
                <w:sz w:val="24"/>
                <w:szCs w:val="24"/>
                <w:lang w:val="en-US"/>
              </w:rPr>
            </w:pPr>
            <w:r w:rsidRPr="4369956E" w:rsidR="5010DA30">
              <w:rPr>
                <w:rFonts w:ascii="Arial" w:hAnsi="Arial" w:eastAsia="Arial" w:cs="Arial"/>
                <w:b w:val="0"/>
                <w:bCs w:val="0"/>
                <w:noProof w:val="0"/>
                <w:sz w:val="24"/>
                <w:szCs w:val="24"/>
                <w:lang w:val="en-US"/>
              </w:rPr>
              <w:t>Complex and unsuitable</w:t>
            </w:r>
          </w:p>
          <w:p w:rsidR="4369956E" w:rsidP="4369956E" w:rsidRDefault="4369956E" w14:paraId="6109BF80" w14:textId="244B5539">
            <w:pPr>
              <w:pStyle w:val="Normal"/>
              <w:bidi w:val="0"/>
              <w:rPr>
                <w:rFonts w:ascii="Arial" w:hAnsi="Arial" w:eastAsia="Arial" w:cs="Arial"/>
                <w:b w:val="0"/>
                <w:bCs w:val="0"/>
                <w:noProof w:val="0"/>
                <w:sz w:val="24"/>
                <w:szCs w:val="24"/>
                <w:lang w:val="en-US"/>
              </w:rPr>
            </w:pPr>
          </w:p>
        </w:tc>
        <w:tc>
          <w:tcPr>
            <w:tcW w:w="1872" w:type="dxa"/>
            <w:tcMar/>
          </w:tcPr>
          <w:p w:rsidR="5010DA30" w:rsidP="4369956E" w:rsidRDefault="5010DA30" w14:paraId="705A3D9D" w14:textId="48EE0ED5">
            <w:pPr>
              <w:pStyle w:val="Normal"/>
              <w:bidi w:val="0"/>
              <w:rPr>
                <w:rFonts w:ascii="Arial" w:hAnsi="Arial" w:eastAsia="Arial" w:cs="Arial"/>
                <w:b w:val="0"/>
                <w:bCs w:val="0"/>
                <w:noProof w:val="0"/>
                <w:sz w:val="24"/>
                <w:szCs w:val="24"/>
                <w:lang w:val="en-US"/>
              </w:rPr>
            </w:pPr>
            <w:r w:rsidRPr="4369956E" w:rsidR="5010DA30">
              <w:rPr>
                <w:rFonts w:ascii="Arial" w:hAnsi="Arial" w:eastAsia="Arial" w:cs="Arial"/>
                <w:b w:val="0"/>
                <w:bCs w:val="0"/>
                <w:noProof w:val="0"/>
                <w:sz w:val="24"/>
                <w:szCs w:val="24"/>
                <w:lang w:val="en-US"/>
              </w:rPr>
              <w:t>Excluded</w:t>
            </w:r>
          </w:p>
        </w:tc>
      </w:tr>
    </w:tbl>
    <w:p w:rsidR="722FFED0" w:rsidP="722FFED0" w:rsidRDefault="722FFED0" w14:paraId="77D821F7" w14:textId="00B0043C">
      <w:pPr>
        <w:bidi w:val="0"/>
        <w:jc w:val="both"/>
      </w:pPr>
    </w:p>
    <w:p w:rsidR="19C5569C" w:rsidP="4369956E" w:rsidRDefault="19C5569C" w14:paraId="284807DB" w14:textId="0F1CBD80">
      <w:pPr>
        <w:pStyle w:val="Heading2"/>
        <w:rPr>
          <w:noProof w:val="0"/>
          <w:lang w:val="en-US"/>
        </w:rPr>
      </w:pPr>
      <w:bookmarkStart w:name="_Toc840763270" w:id="585082875"/>
      <w:r w:rsidRPr="668EA0FB" w:rsidR="290E5F20">
        <w:rPr>
          <w:noProof w:val="0"/>
          <w:lang w:val="en-US"/>
        </w:rPr>
        <w:t>3.</w:t>
      </w:r>
      <w:r w:rsidRPr="668EA0FB" w:rsidR="3FF6788B">
        <w:rPr>
          <w:noProof w:val="0"/>
          <w:lang w:val="en-US"/>
        </w:rPr>
        <w:t xml:space="preserve">7 </w:t>
      </w:r>
      <w:r w:rsidRPr="668EA0FB" w:rsidR="290E5F20">
        <w:rPr>
          <w:noProof w:val="0"/>
          <w:lang w:val="en-US"/>
        </w:rPr>
        <w:t>Ethical Considerations</w:t>
      </w:r>
      <w:bookmarkEnd w:id="585082875"/>
    </w:p>
    <w:p w:rsidR="19C5569C" w:rsidP="722FFED0" w:rsidRDefault="19C5569C" w14:paraId="0092B0F1" w14:textId="488A9062">
      <w:pPr>
        <w:bidi w:val="0"/>
        <w:spacing w:before="240" w:beforeAutospacing="off" w:after="240" w:afterAutospacing="off"/>
        <w:jc w:val="both"/>
      </w:pPr>
      <w:r w:rsidRPr="722FFED0" w:rsidR="19C5569C">
        <w:rPr>
          <w:rFonts w:ascii="Arial" w:hAnsi="Arial" w:eastAsia="Arial" w:cs="Arial"/>
          <w:noProof w:val="0"/>
          <w:sz w:val="24"/>
          <w:szCs w:val="24"/>
          <w:lang w:val="en-US"/>
        </w:rPr>
        <w:t>This review synthesised secondary data from published studies; therefore, formal ethical approval was not required. Ethical principles were maintained by:</w:t>
      </w:r>
    </w:p>
    <w:p w:rsidR="19C5569C" w:rsidP="722FFED0" w:rsidRDefault="19C5569C" w14:paraId="6EED3623" w14:textId="3F1D7399">
      <w:pPr>
        <w:bidi w:val="0"/>
        <w:spacing w:before="240" w:beforeAutospacing="off" w:after="240" w:afterAutospacing="off"/>
        <w:jc w:val="both"/>
      </w:pPr>
      <w:r w:rsidRPr="722FFED0" w:rsidR="19C5569C">
        <w:rPr>
          <w:rFonts w:ascii="Arial" w:hAnsi="Arial" w:eastAsia="Arial" w:cs="Arial"/>
          <w:noProof w:val="0"/>
          <w:sz w:val="24"/>
          <w:szCs w:val="24"/>
          <w:lang w:val="en-US"/>
        </w:rPr>
        <w:t>Accurately representing study findings without misinterpretation</w:t>
      </w:r>
    </w:p>
    <w:p w:rsidR="19C5569C" w:rsidP="722FFED0" w:rsidRDefault="19C5569C" w14:paraId="1D173FB3" w14:textId="2A999117">
      <w:pPr>
        <w:bidi w:val="0"/>
        <w:spacing w:before="240" w:beforeAutospacing="off" w:after="240" w:afterAutospacing="off"/>
        <w:jc w:val="both"/>
      </w:pPr>
      <w:r w:rsidRPr="722FFED0" w:rsidR="19C5569C">
        <w:rPr>
          <w:rFonts w:ascii="Arial" w:hAnsi="Arial" w:eastAsia="Arial" w:cs="Arial"/>
          <w:noProof w:val="0"/>
          <w:sz w:val="24"/>
          <w:szCs w:val="24"/>
          <w:lang w:val="en-US"/>
        </w:rPr>
        <w:t>Providing full attribution to original authors</w:t>
      </w:r>
    </w:p>
    <w:p w:rsidR="07DECA0B" w:rsidP="4369956E" w:rsidRDefault="07DECA0B" w14:paraId="7BC9A401" w14:textId="168991AC">
      <w:pPr>
        <w:spacing w:before="240" w:beforeAutospacing="off" w:after="240" w:afterAutospacing="off"/>
        <w:jc w:val="both"/>
      </w:pPr>
      <w:r w:rsidRPr="4369956E" w:rsidR="07DECA0B">
        <w:rPr>
          <w:rFonts w:ascii="Arial" w:hAnsi="Arial" w:eastAsia="Arial" w:cs="Arial"/>
          <w:noProof w:val="0"/>
          <w:sz w:val="24"/>
          <w:szCs w:val="24"/>
          <w:lang w:val="en-US"/>
        </w:rPr>
        <w:t>Respecting the integrity of participants’ perspectives reported in the studies</w:t>
      </w:r>
    </w:p>
    <w:p w:rsidR="19C5569C" w:rsidP="722FFED0" w:rsidRDefault="19C5569C" w14:paraId="289F4450" w14:textId="3360B114">
      <w:pPr>
        <w:bidi w:val="0"/>
        <w:spacing w:before="240" w:beforeAutospacing="off" w:after="240" w:afterAutospacing="off"/>
        <w:jc w:val="both"/>
      </w:pPr>
      <w:r w:rsidRPr="722FFED0" w:rsidR="19C5569C">
        <w:rPr>
          <w:rFonts w:ascii="Arial" w:hAnsi="Arial" w:eastAsia="Arial" w:cs="Arial"/>
          <w:noProof w:val="0"/>
          <w:sz w:val="24"/>
          <w:szCs w:val="24"/>
          <w:lang w:val="en-US"/>
        </w:rPr>
        <w:t>Furthermore, appraisal of methodological rigor ensured recognition of primary research ethics, such as informed consent and participant confidentiality (Musoke et al., 2023; Gelayee, 2017).</w:t>
      </w:r>
    </w:p>
    <w:p w:rsidR="722FFED0" w:rsidP="722FFED0" w:rsidRDefault="722FFED0" w14:paraId="4D2378DB" w14:textId="6DC4C91D">
      <w:pPr>
        <w:bidi w:val="0"/>
        <w:jc w:val="both"/>
      </w:pPr>
    </w:p>
    <w:p w:rsidR="19C5569C" w:rsidP="4369956E" w:rsidRDefault="19C5569C" w14:paraId="37A2DADC" w14:textId="62D2398F">
      <w:pPr>
        <w:pStyle w:val="Heading2"/>
        <w:rPr>
          <w:rStyle w:val="Heading3Char"/>
          <w:noProof w:val="0"/>
          <w:lang w:val="en-US"/>
        </w:rPr>
      </w:pPr>
      <w:bookmarkStart w:name="_Toc482341913" w:id="895108119"/>
      <w:r w:rsidRPr="668EA0FB" w:rsidR="290E5F20">
        <w:rPr>
          <w:noProof w:val="0"/>
          <w:lang w:val="en-US"/>
        </w:rPr>
        <w:t>3.</w:t>
      </w:r>
      <w:r w:rsidRPr="668EA0FB" w:rsidR="5B42FA2C">
        <w:rPr>
          <w:noProof w:val="0"/>
          <w:lang w:val="en-US"/>
        </w:rPr>
        <w:t xml:space="preserve">8 </w:t>
      </w:r>
      <w:r w:rsidRPr="668EA0FB" w:rsidR="290E5F20">
        <w:rPr>
          <w:noProof w:val="0"/>
          <w:lang w:val="en-US"/>
        </w:rPr>
        <w:t>Chapter Summary</w:t>
      </w:r>
      <w:bookmarkEnd w:id="895108119"/>
    </w:p>
    <w:p w:rsidR="19C5569C" w:rsidP="722FFED0" w:rsidRDefault="19C5569C" w14:paraId="7D71A9EC" w14:textId="1C5AF504">
      <w:pPr>
        <w:bidi w:val="0"/>
        <w:spacing w:before="240" w:beforeAutospacing="off" w:after="240" w:afterAutospacing="off"/>
        <w:jc w:val="both"/>
      </w:pPr>
      <w:r w:rsidRPr="5B971295" w:rsidR="3F04003C">
        <w:rPr>
          <w:rFonts w:ascii="Arial" w:hAnsi="Arial" w:eastAsia="Arial" w:cs="Arial"/>
          <w:noProof w:val="0"/>
          <w:sz w:val="24"/>
          <w:szCs w:val="24"/>
          <w:lang w:val="en-US"/>
        </w:rPr>
        <w:t>This chapter has outlined the methodological framework for reviewing pharmacist-related dispensing errors in LMICs. Following PRISMA 2020 guidelines and structured by the PICO framework, a systematic search, screening, and appraisal process was conducted. A total of 1</w:t>
      </w:r>
      <w:r w:rsidRPr="5B971295" w:rsidR="53C65AEF">
        <w:rPr>
          <w:rFonts w:ascii="Arial" w:hAnsi="Arial" w:eastAsia="Arial" w:cs="Arial"/>
          <w:noProof w:val="0"/>
          <w:sz w:val="24"/>
          <w:szCs w:val="24"/>
          <w:lang w:val="en-US"/>
        </w:rPr>
        <w:t>2</w:t>
      </w:r>
      <w:r w:rsidRPr="5B971295" w:rsidR="3F04003C">
        <w:rPr>
          <w:rFonts w:ascii="Arial" w:hAnsi="Arial" w:eastAsia="Arial" w:cs="Arial"/>
          <w:noProof w:val="0"/>
          <w:sz w:val="24"/>
          <w:szCs w:val="24"/>
          <w:lang w:val="en-US"/>
        </w:rPr>
        <w:t xml:space="preserve"> primary qualitative </w:t>
      </w:r>
      <w:r w:rsidRPr="5B971295" w:rsidR="3F04003C">
        <w:rPr>
          <w:rFonts w:ascii="Arial" w:hAnsi="Arial" w:eastAsia="Arial" w:cs="Arial"/>
          <w:noProof w:val="0"/>
          <w:sz w:val="24"/>
          <w:szCs w:val="24"/>
          <w:lang w:val="en-US"/>
        </w:rPr>
        <w:t>studies</w:t>
      </w:r>
      <w:r w:rsidRPr="5B971295" w:rsidR="3F04003C">
        <w:rPr>
          <w:rFonts w:ascii="Arial" w:hAnsi="Arial" w:eastAsia="Arial" w:cs="Arial"/>
          <w:noProof w:val="0"/>
          <w:sz w:val="24"/>
          <w:szCs w:val="24"/>
          <w:lang w:val="en-US"/>
        </w:rPr>
        <w:t xml:space="preserve"> (2015–2025) were included, exploring pharmacists’ </w:t>
      </w:r>
      <w:r w:rsidRPr="5B971295" w:rsidR="3F04003C">
        <w:rPr>
          <w:rFonts w:ascii="Arial" w:hAnsi="Arial" w:eastAsia="Arial" w:cs="Arial"/>
          <w:noProof w:val="0"/>
          <w:sz w:val="24"/>
          <w:szCs w:val="24"/>
          <w:lang w:val="en-US"/>
        </w:rPr>
        <w:t>perceptions</w:t>
      </w:r>
      <w:r w:rsidRPr="5B971295" w:rsidR="3F04003C">
        <w:rPr>
          <w:rFonts w:ascii="Arial" w:hAnsi="Arial" w:eastAsia="Arial" w:cs="Arial"/>
          <w:noProof w:val="0"/>
          <w:sz w:val="24"/>
          <w:szCs w:val="24"/>
          <w:lang w:val="en-US"/>
        </w:rPr>
        <w:t>, systemic barriers, and interventions.</w:t>
      </w:r>
    </w:p>
    <w:p w:rsidR="19C5569C" w:rsidP="722FFED0" w:rsidRDefault="19C5569C" w14:paraId="5A1C15BB" w14:textId="3EC13C5C">
      <w:pPr>
        <w:bidi w:val="0"/>
        <w:spacing w:before="240" w:beforeAutospacing="off" w:after="240" w:afterAutospacing="off"/>
        <w:jc w:val="both"/>
      </w:pPr>
      <w:r w:rsidRPr="722FFED0" w:rsidR="19C5569C">
        <w:rPr>
          <w:rFonts w:ascii="Arial" w:hAnsi="Arial" w:eastAsia="Arial" w:cs="Arial"/>
          <w:noProof w:val="0"/>
          <w:sz w:val="24"/>
          <w:szCs w:val="24"/>
          <w:lang w:val="en-US"/>
        </w:rPr>
        <w:t xml:space="preserve">Using the CASP tool, the review ensured high methodological quality, supporting the validity of evidence-based conclusions. This rigorous approach provides a foundation for </w:t>
      </w:r>
      <w:r w:rsidRPr="722FFED0" w:rsidR="19C5569C">
        <w:rPr>
          <w:rFonts w:ascii="Arial" w:hAnsi="Arial" w:eastAsia="Arial" w:cs="Arial"/>
          <w:noProof w:val="0"/>
          <w:sz w:val="24"/>
          <w:szCs w:val="24"/>
          <w:lang w:val="en-US"/>
        </w:rPr>
        <w:t>analysing</w:t>
      </w:r>
      <w:r w:rsidRPr="722FFED0" w:rsidR="19C5569C">
        <w:rPr>
          <w:rFonts w:ascii="Arial" w:hAnsi="Arial" w:eastAsia="Arial" w:cs="Arial"/>
          <w:noProof w:val="0"/>
          <w:sz w:val="24"/>
          <w:szCs w:val="24"/>
          <w:lang w:val="en-US"/>
        </w:rPr>
        <w:t xml:space="preserve"> dispensing errors and </w:t>
      </w:r>
      <w:r w:rsidRPr="722FFED0" w:rsidR="19C5569C">
        <w:rPr>
          <w:rFonts w:ascii="Arial" w:hAnsi="Arial" w:eastAsia="Arial" w:cs="Arial"/>
          <w:noProof w:val="0"/>
          <w:sz w:val="24"/>
          <w:szCs w:val="24"/>
          <w:lang w:val="en-US"/>
        </w:rPr>
        <w:t>identifying</w:t>
      </w:r>
      <w:r w:rsidRPr="722FFED0" w:rsidR="19C5569C">
        <w:rPr>
          <w:rFonts w:ascii="Arial" w:hAnsi="Arial" w:eastAsia="Arial" w:cs="Arial"/>
          <w:noProof w:val="0"/>
          <w:sz w:val="24"/>
          <w:szCs w:val="24"/>
          <w:lang w:val="en-US"/>
        </w:rPr>
        <w:t xml:space="preserve"> quality improvement strategies tailored to LMIC pharmacy settings.</w:t>
      </w:r>
    </w:p>
    <w:p w:rsidR="60CA6FC1" w:rsidP="407E75B8" w:rsidRDefault="60CA6FC1" w14:paraId="09FD3EBC" w14:textId="15B9EDFF">
      <w:pPr>
        <w:pStyle w:val="Heading1"/>
        <w:jc w:val="both"/>
        <w:rPr>
          <w:rFonts w:ascii="Arial" w:hAnsi="Arial" w:eastAsia="Arial" w:cs="Arial"/>
          <w:noProof w:val="0"/>
          <w:sz w:val="24"/>
          <w:szCs w:val="24"/>
          <w:lang w:val="en-US"/>
        </w:rPr>
      </w:pPr>
      <w:bookmarkStart w:name="_Toc1474389244" w:id="1520491888"/>
      <w:r w:rsidRPr="668EA0FB" w:rsidR="06B98C24">
        <w:rPr>
          <w:noProof w:val="0"/>
          <w:lang w:val="en-US"/>
        </w:rPr>
        <w:t>Chapter 4: Data Extraction and Evaluation</w:t>
      </w:r>
      <w:bookmarkEnd w:id="1520491888"/>
    </w:p>
    <w:p w:rsidR="60CA6FC1" w:rsidP="722FFED0" w:rsidRDefault="60CA6FC1" w14:paraId="204677E8" w14:textId="5F418C06">
      <w:pPr>
        <w:pStyle w:val="Normal"/>
        <w:bidi w:val="0"/>
        <w:spacing w:before="240" w:beforeAutospacing="off" w:after="240" w:afterAutospacing="off"/>
        <w:jc w:val="both"/>
      </w:pPr>
      <w:r w:rsidRPr="407E75B8" w:rsidR="06B98C24">
        <w:rPr>
          <w:rFonts w:ascii="Arial" w:hAnsi="Arial" w:eastAsia="Arial" w:cs="Arial"/>
          <w:noProof w:val="0"/>
          <w:sz w:val="24"/>
          <w:szCs w:val="24"/>
          <w:lang w:val="en-US"/>
        </w:rPr>
        <w:t xml:space="preserve"> </w:t>
      </w:r>
      <w:r w:rsidRPr="407E75B8" w:rsidR="06B98C24">
        <w:rPr>
          <w:rStyle w:val="Heading2Char"/>
          <w:noProof w:val="0"/>
          <w:lang w:val="en-US"/>
        </w:rPr>
        <w:t>4.1 Introduction to the Chapter</w:t>
      </w:r>
    </w:p>
    <w:p w:rsidR="60CA6FC1" w:rsidP="722FFED0" w:rsidRDefault="60CA6FC1" w14:paraId="0745CB83" w14:textId="4A5802E1">
      <w:pPr>
        <w:pStyle w:val="Normal"/>
        <w:bidi w:val="0"/>
        <w:spacing w:before="240" w:beforeAutospacing="off" w:after="240" w:afterAutospacing="off"/>
        <w:jc w:val="both"/>
      </w:pPr>
      <w:r w:rsidRPr="5B971295" w:rsidR="050EF032">
        <w:rPr>
          <w:rFonts w:ascii="Arial" w:hAnsi="Arial" w:eastAsia="Arial" w:cs="Arial"/>
          <w:noProof w:val="0"/>
          <w:sz w:val="24"/>
          <w:szCs w:val="24"/>
          <w:lang w:val="en-US"/>
        </w:rPr>
        <w:t>This chapter presents the data extracted from the 12 primary qualitative studies included in the systematic review on pharmacist-related dispensing errors in</w:t>
      </w:r>
      <w:r w:rsidRPr="5B971295" w:rsidR="74176933">
        <w:rPr>
          <w:rFonts w:ascii="Arial" w:hAnsi="Arial" w:eastAsia="Arial" w:cs="Arial"/>
          <w:b w:val="1"/>
          <w:bCs w:val="1"/>
          <w:noProof w:val="0"/>
          <w:sz w:val="24"/>
          <w:szCs w:val="24"/>
          <w:lang w:val="en-US"/>
        </w:rPr>
        <w:t xml:space="preserve"> </w:t>
      </w:r>
      <w:r w:rsidRPr="5B971295" w:rsidR="74176933">
        <w:rPr>
          <w:rFonts w:ascii="Arial" w:hAnsi="Arial" w:eastAsia="Arial" w:cs="Arial"/>
          <w:b w:val="0"/>
          <w:bCs w:val="0"/>
          <w:noProof w:val="0"/>
          <w:sz w:val="24"/>
          <w:szCs w:val="24"/>
          <w:lang w:val="en-US"/>
        </w:rPr>
        <w:t>low and middle-income countries (LMICs).</w:t>
      </w:r>
      <w:r w:rsidRPr="5B971295" w:rsidR="050EF032">
        <w:rPr>
          <w:rFonts w:ascii="Arial" w:hAnsi="Arial" w:eastAsia="Arial" w:cs="Arial"/>
          <w:b w:val="0"/>
          <w:bCs w:val="0"/>
          <w:noProof w:val="0"/>
          <w:sz w:val="24"/>
          <w:szCs w:val="24"/>
          <w:lang w:val="en-US"/>
        </w:rPr>
        <w:t xml:space="preserve"> The aim is to </w:t>
      </w:r>
      <w:r w:rsidRPr="5B971295" w:rsidR="050EF032">
        <w:rPr>
          <w:rFonts w:ascii="Arial" w:hAnsi="Arial" w:eastAsia="Arial" w:cs="Arial"/>
          <w:b w:val="0"/>
          <w:bCs w:val="0"/>
          <w:noProof w:val="0"/>
          <w:sz w:val="24"/>
          <w:szCs w:val="24"/>
          <w:lang w:val="en-US"/>
        </w:rPr>
        <w:t>synthesi</w:t>
      </w:r>
      <w:r w:rsidRPr="5B971295" w:rsidR="1F4AE04E">
        <w:rPr>
          <w:rFonts w:ascii="Arial" w:hAnsi="Arial" w:eastAsia="Arial" w:cs="Arial"/>
          <w:b w:val="0"/>
          <w:bCs w:val="0"/>
          <w:noProof w:val="0"/>
          <w:sz w:val="24"/>
          <w:szCs w:val="24"/>
          <w:lang w:val="en-US"/>
        </w:rPr>
        <w:t>s</w:t>
      </w:r>
      <w:r w:rsidRPr="5B971295" w:rsidR="050EF032">
        <w:rPr>
          <w:rFonts w:ascii="Arial" w:hAnsi="Arial" w:eastAsia="Arial" w:cs="Arial"/>
          <w:b w:val="0"/>
          <w:bCs w:val="0"/>
          <w:noProof w:val="0"/>
          <w:sz w:val="24"/>
          <w:szCs w:val="24"/>
          <w:lang w:val="en-US"/>
        </w:rPr>
        <w:t>e</w:t>
      </w:r>
      <w:r w:rsidRPr="5B971295" w:rsidR="050EF032">
        <w:rPr>
          <w:rFonts w:ascii="Arial" w:hAnsi="Arial" w:eastAsia="Arial" w:cs="Arial"/>
          <w:b w:val="0"/>
          <w:bCs w:val="0"/>
          <w:noProof w:val="0"/>
          <w:sz w:val="24"/>
          <w:szCs w:val="24"/>
          <w:lang w:val="en-US"/>
        </w:rPr>
        <w:t xml:space="preserve"> evidence on human, </w:t>
      </w:r>
      <w:r w:rsidRPr="5B971295" w:rsidR="050EF032">
        <w:rPr>
          <w:rFonts w:ascii="Arial" w:hAnsi="Arial" w:eastAsia="Arial" w:cs="Arial"/>
          <w:b w:val="0"/>
          <w:bCs w:val="0"/>
          <w:noProof w:val="0"/>
          <w:sz w:val="24"/>
          <w:szCs w:val="24"/>
          <w:lang w:val="en-US"/>
        </w:rPr>
        <w:t>organi</w:t>
      </w:r>
      <w:r w:rsidRPr="5B971295" w:rsidR="64EC3309">
        <w:rPr>
          <w:rFonts w:ascii="Arial" w:hAnsi="Arial" w:eastAsia="Arial" w:cs="Arial"/>
          <w:b w:val="0"/>
          <w:bCs w:val="0"/>
          <w:noProof w:val="0"/>
          <w:sz w:val="24"/>
          <w:szCs w:val="24"/>
          <w:lang w:val="en-US"/>
        </w:rPr>
        <w:t>s</w:t>
      </w:r>
      <w:r w:rsidRPr="5B971295" w:rsidR="050EF032">
        <w:rPr>
          <w:rFonts w:ascii="Arial" w:hAnsi="Arial" w:eastAsia="Arial" w:cs="Arial"/>
          <w:b w:val="0"/>
          <w:bCs w:val="0"/>
          <w:noProof w:val="0"/>
          <w:sz w:val="24"/>
          <w:szCs w:val="24"/>
          <w:lang w:val="en-US"/>
        </w:rPr>
        <w:t>ational</w:t>
      </w:r>
      <w:r w:rsidRPr="5B971295" w:rsidR="050EF032">
        <w:rPr>
          <w:rFonts w:ascii="Arial" w:hAnsi="Arial" w:eastAsia="Arial" w:cs="Arial"/>
          <w:b w:val="0"/>
          <w:bCs w:val="0"/>
          <w:noProof w:val="0"/>
          <w:sz w:val="24"/>
          <w:szCs w:val="24"/>
          <w:lang w:val="en-US"/>
        </w:rPr>
        <w:t>, and systemic factors contributing to dispensing errors and evaluate quality improvement strategies applied. An evidence table (Appendix A) summari</w:t>
      </w:r>
      <w:r w:rsidRPr="5B971295" w:rsidR="261BA0E5">
        <w:rPr>
          <w:rFonts w:ascii="Arial" w:hAnsi="Arial" w:eastAsia="Arial" w:cs="Arial"/>
          <w:b w:val="0"/>
          <w:bCs w:val="0"/>
          <w:noProof w:val="0"/>
          <w:sz w:val="24"/>
          <w:szCs w:val="24"/>
          <w:lang w:val="en-US"/>
        </w:rPr>
        <w:t>s</w:t>
      </w:r>
      <w:r w:rsidRPr="5B971295" w:rsidR="050EF032">
        <w:rPr>
          <w:rFonts w:ascii="Arial" w:hAnsi="Arial" w:eastAsia="Arial" w:cs="Arial"/>
          <w:b w:val="0"/>
          <w:bCs w:val="0"/>
          <w:noProof w:val="0"/>
          <w:sz w:val="24"/>
          <w:szCs w:val="24"/>
          <w:lang w:val="en-US"/>
        </w:rPr>
        <w:t>es study characteristics, methods, participants, interventions, and outcomes, while a summary table highlights key themes and implications for pharmacy practice.</w:t>
      </w:r>
    </w:p>
    <w:p w:rsidR="60CA6FC1" w:rsidP="5B971295" w:rsidRDefault="60CA6FC1" w14:paraId="14655F62" w14:textId="57EF0C64">
      <w:pPr>
        <w:pStyle w:val="Normal"/>
        <w:bidi w:val="0"/>
        <w:spacing w:before="240" w:beforeAutospacing="off" w:after="240" w:afterAutospacing="off"/>
        <w:jc w:val="both"/>
        <w:rPr>
          <w:rFonts w:ascii="Arial" w:hAnsi="Arial" w:eastAsia="Arial" w:cs="Arial"/>
          <w:b w:val="0"/>
          <w:bCs w:val="0"/>
          <w:noProof w:val="0"/>
          <w:sz w:val="24"/>
          <w:szCs w:val="24"/>
          <w:lang w:val="en-US"/>
        </w:rPr>
      </w:pPr>
      <w:r w:rsidRPr="5B971295" w:rsidR="3CA0636D">
        <w:rPr>
          <w:rFonts w:ascii="Arial" w:hAnsi="Arial" w:eastAsia="Arial" w:cs="Arial"/>
          <w:noProof w:val="0"/>
          <w:sz w:val="24"/>
          <w:szCs w:val="24"/>
          <w:lang w:val="en-US"/>
        </w:rPr>
        <w:t>Critical appraisal using the</w:t>
      </w:r>
      <w:r w:rsidRPr="5B971295" w:rsidR="5680151E">
        <w:rPr>
          <w:rFonts w:ascii="Arial" w:hAnsi="Arial" w:eastAsia="Arial" w:cs="Arial"/>
          <w:noProof w:val="0"/>
          <w:sz w:val="24"/>
          <w:szCs w:val="24"/>
          <w:lang w:val="en-US"/>
        </w:rPr>
        <w:t xml:space="preserve"> Critical Appraisal Skills </w:t>
      </w:r>
      <w:r w:rsidRPr="5B971295" w:rsidR="5680151E">
        <w:rPr>
          <w:rFonts w:ascii="Arial" w:hAnsi="Arial" w:eastAsia="Arial" w:cs="Arial"/>
          <w:noProof w:val="0"/>
          <w:sz w:val="24"/>
          <w:szCs w:val="24"/>
          <w:lang w:val="en-US"/>
        </w:rPr>
        <w:t>Programme</w:t>
      </w:r>
      <w:r w:rsidRPr="5B971295" w:rsidR="560F8D9E">
        <w:rPr>
          <w:rFonts w:ascii="Arial" w:hAnsi="Arial" w:eastAsia="Arial" w:cs="Arial"/>
          <w:noProof w:val="0"/>
          <w:sz w:val="24"/>
          <w:szCs w:val="24"/>
          <w:lang w:val="en-US"/>
        </w:rPr>
        <w:t xml:space="preserve"> (</w:t>
      </w:r>
      <w:r w:rsidRPr="5B971295" w:rsidR="3CA0636D">
        <w:rPr>
          <w:rFonts w:ascii="Arial" w:hAnsi="Arial" w:eastAsia="Arial" w:cs="Arial"/>
          <w:noProof w:val="0"/>
          <w:sz w:val="24"/>
          <w:szCs w:val="24"/>
          <w:lang w:val="en-US"/>
        </w:rPr>
        <w:t>CASP</w:t>
      </w:r>
      <w:r w:rsidRPr="5B971295" w:rsidR="774ECE54">
        <w:rPr>
          <w:rFonts w:ascii="Arial" w:hAnsi="Arial" w:eastAsia="Arial" w:cs="Arial"/>
          <w:noProof w:val="0"/>
          <w:sz w:val="24"/>
          <w:szCs w:val="24"/>
          <w:lang w:val="en-US"/>
        </w:rPr>
        <w:t xml:space="preserve">) </w:t>
      </w:r>
      <w:r w:rsidRPr="5B971295" w:rsidR="3CA0636D">
        <w:rPr>
          <w:rFonts w:ascii="Arial" w:hAnsi="Arial" w:eastAsia="Arial" w:cs="Arial"/>
          <w:noProof w:val="0"/>
          <w:sz w:val="24"/>
          <w:szCs w:val="24"/>
          <w:lang w:val="en-US"/>
        </w:rPr>
        <w:t xml:space="preserve">qualitative checklist is employed to assess the methodological rigor of the included studies and ensure the validity, reliability, and trustworthiness of the evidence. This chapter also </w:t>
      </w:r>
      <w:r w:rsidRPr="5B971295" w:rsidR="3CA0636D">
        <w:rPr>
          <w:rFonts w:ascii="Arial" w:hAnsi="Arial" w:eastAsia="Arial" w:cs="Arial"/>
          <w:noProof w:val="0"/>
          <w:sz w:val="24"/>
          <w:szCs w:val="24"/>
          <w:lang w:val="en-US"/>
        </w:rPr>
        <w:t>identifies</w:t>
      </w:r>
      <w:r w:rsidRPr="5B971295" w:rsidR="3CA0636D">
        <w:rPr>
          <w:rFonts w:ascii="Arial" w:hAnsi="Arial" w:eastAsia="Arial" w:cs="Arial"/>
          <w:noProof w:val="0"/>
          <w:sz w:val="24"/>
          <w:szCs w:val="24"/>
          <w:lang w:val="en-US"/>
        </w:rPr>
        <w:t xml:space="preserve"> recurring barriers, facilitators, and strategies that </w:t>
      </w:r>
      <w:r w:rsidRPr="5B971295" w:rsidR="3CA0636D">
        <w:rPr>
          <w:rFonts w:ascii="Arial" w:hAnsi="Arial" w:eastAsia="Arial" w:cs="Arial"/>
          <w:noProof w:val="0"/>
          <w:sz w:val="24"/>
          <w:szCs w:val="24"/>
          <w:lang w:val="en-US"/>
        </w:rPr>
        <w:t>impact</w:t>
      </w:r>
      <w:r w:rsidRPr="5B971295" w:rsidR="3CA0636D">
        <w:rPr>
          <w:rFonts w:ascii="Arial" w:hAnsi="Arial" w:eastAsia="Arial" w:cs="Arial"/>
          <w:noProof w:val="0"/>
          <w:sz w:val="24"/>
          <w:szCs w:val="24"/>
          <w:lang w:val="en-US"/>
        </w:rPr>
        <w:t xml:space="preserve"> medication safety in </w:t>
      </w:r>
      <w:r w:rsidRPr="5B971295" w:rsidR="52E140AB">
        <w:rPr>
          <w:rFonts w:ascii="Arial" w:hAnsi="Arial" w:eastAsia="Arial" w:cs="Arial"/>
          <w:b w:val="0"/>
          <w:bCs w:val="0"/>
          <w:noProof w:val="0"/>
          <w:sz w:val="24"/>
          <w:szCs w:val="24"/>
          <w:lang w:val="en-US"/>
        </w:rPr>
        <w:t>LMIC settings</w:t>
      </w:r>
      <w:r w:rsidRPr="5B971295" w:rsidR="52E140AB">
        <w:rPr>
          <w:rFonts w:ascii="Arial" w:hAnsi="Arial" w:eastAsia="Arial" w:cs="Arial"/>
          <w:b w:val="0"/>
          <w:bCs w:val="0"/>
          <w:noProof w:val="0"/>
          <w:sz w:val="24"/>
          <w:szCs w:val="24"/>
          <w:lang w:val="en-US"/>
        </w:rPr>
        <w:t>.</w:t>
      </w:r>
    </w:p>
    <w:p w:rsidR="0A1694EB" w:rsidP="4369956E" w:rsidRDefault="0A1694EB" w14:paraId="3AD9A773" w14:textId="2833C4B4">
      <w:pPr>
        <w:bidi w:val="0"/>
        <w:spacing w:before="240" w:beforeAutospacing="off" w:after="240" w:afterAutospacing="off"/>
        <w:jc w:val="both"/>
      </w:pPr>
      <w:bookmarkStart w:name="_Toc1640810201" w:id="642574906"/>
      <w:r w:rsidRPr="668EA0FB" w:rsidR="50810E47">
        <w:rPr>
          <w:rStyle w:val="Heading2Char"/>
          <w:noProof w:val="0"/>
          <w:lang w:val="en-US"/>
        </w:rPr>
        <w:t>4.2 Data Extraction</w:t>
      </w:r>
      <w:bookmarkEnd w:id="642574906"/>
      <w:r w:rsidRPr="668EA0FB" w:rsidR="50810E47">
        <w:rPr>
          <w:rFonts w:ascii="Arial" w:hAnsi="Arial" w:eastAsia="Arial" w:cs="Arial"/>
          <w:noProof w:val="0"/>
          <w:sz w:val="24"/>
          <w:szCs w:val="24"/>
          <w:lang w:val="en-US"/>
        </w:rPr>
        <w:t xml:space="preserve"> </w:t>
      </w:r>
    </w:p>
    <w:p w:rsidR="0A1694EB" w:rsidP="4369956E" w:rsidRDefault="0A1694EB" w14:paraId="2242EE05" w14:textId="7842A876">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Data extraction was conducted systematically for all included studies to ensure consistency, transparency, and comparability across the evidence base. A structured data extraction framework was developed prior to analysis and applied uniformly to each study. The following characteristics were captured for every included article:</w:t>
      </w:r>
    </w:p>
    <w:p w:rsidR="0A1694EB" w:rsidP="4369956E" w:rsidRDefault="0A1694EB" w14:paraId="00B44294" w14:textId="5D9B7C9F">
      <w:pPr>
        <w:bidi w:val="0"/>
        <w:spacing w:before="240" w:beforeAutospacing="off" w:after="240" w:afterAutospacing="off"/>
        <w:jc w:val="both"/>
        <w:rPr>
          <w:rFonts w:ascii="Arial" w:hAnsi="Arial" w:eastAsia="Arial" w:cs="Arial"/>
          <w:noProof w:val="0"/>
          <w:sz w:val="24"/>
          <w:szCs w:val="24"/>
          <w:lang w:val="en-US"/>
        </w:rPr>
      </w:pPr>
    </w:p>
    <w:p w:rsidR="0A1694EB" w:rsidP="4369956E" w:rsidRDefault="0A1694EB" w14:paraId="40F2B1AA" w14:textId="31D1433B">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Author(s) and year of publicatio</w:t>
      </w:r>
      <w:r w:rsidRPr="4369956E" w:rsidR="3C1D18AF">
        <w:rPr>
          <w:rFonts w:ascii="Arial" w:hAnsi="Arial" w:eastAsia="Arial" w:cs="Arial"/>
          <w:noProof w:val="0"/>
          <w:sz w:val="24"/>
          <w:szCs w:val="24"/>
          <w:lang w:val="en-US"/>
        </w:rPr>
        <w:t>n</w:t>
      </w:r>
    </w:p>
    <w:p w:rsidR="0A1694EB" w:rsidP="4369956E" w:rsidRDefault="0A1694EB" w14:paraId="7CF46431" w14:textId="73FAD33E">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Country and pharmacy setting (community, hospital, or mixed)</w:t>
      </w:r>
      <w:r w:rsidRPr="4369956E" w:rsidR="486063FA">
        <w:rPr>
          <w:rFonts w:ascii="Arial" w:hAnsi="Arial" w:eastAsia="Arial" w:cs="Arial"/>
          <w:noProof w:val="0"/>
          <w:sz w:val="24"/>
          <w:szCs w:val="24"/>
          <w:lang w:val="en-US"/>
        </w:rPr>
        <w:t xml:space="preserve"> </w:t>
      </w:r>
    </w:p>
    <w:p w:rsidR="0A1694EB" w:rsidP="4369956E" w:rsidRDefault="0A1694EB" w14:paraId="4ED02F99" w14:textId="34B04C3E">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Study </w:t>
      </w:r>
      <w:r w:rsidRPr="4369956E" w:rsidR="50810E47">
        <w:rPr>
          <w:rFonts w:ascii="Arial" w:hAnsi="Arial" w:eastAsia="Arial" w:cs="Arial"/>
          <w:noProof w:val="0"/>
          <w:sz w:val="24"/>
          <w:szCs w:val="24"/>
          <w:lang w:val="en-US"/>
        </w:rPr>
        <w:t>aim</w:t>
      </w:r>
      <w:r w:rsidRPr="4369956E" w:rsidR="50810E47">
        <w:rPr>
          <w:rFonts w:ascii="Arial" w:hAnsi="Arial" w:eastAsia="Arial" w:cs="Arial"/>
          <w:noProof w:val="0"/>
          <w:sz w:val="24"/>
          <w:szCs w:val="24"/>
          <w:lang w:val="en-US"/>
        </w:rPr>
        <w:t xml:space="preserve"> and research objectives</w:t>
      </w:r>
    </w:p>
    <w:p w:rsidR="0A1694EB" w:rsidP="4369956E" w:rsidRDefault="0A1694EB" w14:paraId="18CE3B9C" w14:textId="1DBE3AD6">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Participant characteristics (pharmacists, dispensers, patients, or other healthcare staff) </w:t>
      </w:r>
    </w:p>
    <w:p w:rsidR="0A1694EB" w:rsidP="4369956E" w:rsidRDefault="0A1694EB" w14:paraId="396DF51B" w14:textId="6F8582BA">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Qualitative </w:t>
      </w:r>
      <w:r w:rsidRPr="4369956E" w:rsidR="50810E47">
        <w:rPr>
          <w:rFonts w:ascii="Arial" w:hAnsi="Arial" w:eastAsia="Arial" w:cs="Arial"/>
          <w:noProof w:val="0"/>
          <w:sz w:val="24"/>
          <w:szCs w:val="24"/>
          <w:lang w:val="en-US"/>
        </w:rPr>
        <w:t>methodology</w:t>
      </w:r>
      <w:r w:rsidRPr="4369956E" w:rsidR="50810E47">
        <w:rPr>
          <w:rFonts w:ascii="Arial" w:hAnsi="Arial" w:eastAsia="Arial" w:cs="Arial"/>
          <w:noProof w:val="0"/>
          <w:sz w:val="24"/>
          <w:szCs w:val="24"/>
          <w:lang w:val="en-US"/>
        </w:rPr>
        <w:t xml:space="preserve"> (</w:t>
      </w:r>
      <w:r w:rsidRPr="4369956E" w:rsidR="50810E47">
        <w:rPr>
          <w:rFonts w:ascii="Arial" w:hAnsi="Arial" w:eastAsia="Arial" w:cs="Arial"/>
          <w:noProof w:val="0"/>
          <w:sz w:val="24"/>
          <w:szCs w:val="24"/>
          <w:lang w:val="en-US"/>
        </w:rPr>
        <w:t>e.g.</w:t>
      </w:r>
      <w:r w:rsidRPr="4369956E" w:rsidR="50810E47">
        <w:rPr>
          <w:rFonts w:ascii="Arial" w:hAnsi="Arial" w:eastAsia="Arial" w:cs="Arial"/>
          <w:noProof w:val="0"/>
          <w:sz w:val="24"/>
          <w:szCs w:val="24"/>
          <w:lang w:val="en-US"/>
        </w:rPr>
        <w:t xml:space="preserve"> interviews, focus groups, observations, or mixed qualitative approaches) </w:t>
      </w:r>
    </w:p>
    <w:p w:rsidR="0A1694EB" w:rsidP="4369956E" w:rsidRDefault="0A1694EB" w14:paraId="737BF436" w14:textId="209862EC">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Quality improvement interventions or safety initiatives (where reported)</w:t>
      </w:r>
    </w:p>
    <w:p w:rsidR="0A1694EB" w:rsidP="4369956E" w:rsidRDefault="0A1694EB" w14:paraId="23782116" w14:textId="3B055E3A">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5B971295" w:rsidR="5D7CAC7B">
        <w:rPr>
          <w:rFonts w:ascii="Arial" w:hAnsi="Arial" w:eastAsia="Arial" w:cs="Arial"/>
          <w:noProof w:val="0"/>
          <w:sz w:val="24"/>
          <w:szCs w:val="24"/>
          <w:lang w:val="en-US"/>
        </w:rPr>
        <w:t xml:space="preserve"> Key findings and emergent themes related to dispensing errors and medication safety </w:t>
      </w:r>
    </w:p>
    <w:p w:rsidR="0A1694EB" w:rsidP="4369956E" w:rsidRDefault="0A1694EB" w14:paraId="46FE6B12" w14:textId="64EDF5AA">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This structured approach enabled systematic engagement with each study and reduced the risk of selective reporting or interpretive bias (Haddaway et al., 2020). By extracting comparable categories across studies, it was possible to </w:t>
      </w:r>
      <w:r w:rsidRPr="4369956E" w:rsidR="50810E47">
        <w:rPr>
          <w:rFonts w:ascii="Arial" w:hAnsi="Arial" w:eastAsia="Arial" w:cs="Arial"/>
          <w:noProof w:val="0"/>
          <w:sz w:val="24"/>
          <w:szCs w:val="24"/>
          <w:lang w:val="en-US"/>
        </w:rPr>
        <w:t>identify</w:t>
      </w:r>
      <w:r w:rsidRPr="4369956E" w:rsidR="50810E47">
        <w:rPr>
          <w:rFonts w:ascii="Arial" w:hAnsi="Arial" w:eastAsia="Arial" w:cs="Arial"/>
          <w:noProof w:val="0"/>
          <w:sz w:val="24"/>
          <w:szCs w:val="24"/>
          <w:lang w:val="en-US"/>
        </w:rPr>
        <w:t xml:space="preserve"> recurring patterns related to workforce challenges, regulatory gaps, patient pressure, communication barriers, and </w:t>
      </w:r>
      <w:r w:rsidRPr="4369956E" w:rsidR="50810E47">
        <w:rPr>
          <w:rFonts w:ascii="Arial" w:hAnsi="Arial" w:eastAsia="Arial" w:cs="Arial"/>
          <w:noProof w:val="0"/>
          <w:sz w:val="24"/>
          <w:szCs w:val="24"/>
          <w:lang w:val="en-US"/>
        </w:rPr>
        <w:t>organisational</w:t>
      </w:r>
      <w:r w:rsidRPr="4369956E" w:rsidR="50810E47">
        <w:rPr>
          <w:rFonts w:ascii="Arial" w:hAnsi="Arial" w:eastAsia="Arial" w:cs="Arial"/>
          <w:noProof w:val="0"/>
          <w:sz w:val="24"/>
          <w:szCs w:val="24"/>
          <w:lang w:val="en-US"/>
        </w:rPr>
        <w:t xml:space="preserve"> culture influencing dispensing safety in LMIC pharmacy settings (WHO, 2017; Bigdeli et al., 2019).</w:t>
      </w:r>
    </w:p>
    <w:p w:rsidR="0A1694EB" w:rsidP="4369956E" w:rsidRDefault="0A1694EB" w14:paraId="1B7A37D1" w14:textId="30B5FCE8">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 Data extraction also </w:t>
      </w:r>
      <w:r w:rsidRPr="4369956E" w:rsidR="50810E47">
        <w:rPr>
          <w:rFonts w:ascii="Arial" w:hAnsi="Arial" w:eastAsia="Arial" w:cs="Arial"/>
          <w:noProof w:val="0"/>
          <w:sz w:val="24"/>
          <w:szCs w:val="24"/>
          <w:lang w:val="en-US"/>
        </w:rPr>
        <w:t>facilitated</w:t>
      </w:r>
      <w:r w:rsidRPr="4369956E" w:rsidR="50810E47">
        <w:rPr>
          <w:rFonts w:ascii="Arial" w:hAnsi="Arial" w:eastAsia="Arial" w:cs="Arial"/>
          <w:noProof w:val="0"/>
          <w:sz w:val="24"/>
          <w:szCs w:val="24"/>
          <w:lang w:val="en-US"/>
        </w:rPr>
        <w:t xml:space="preserve"> identification of quality improvement strategies reported within the literature, including training initiatives, regulatory enforcement mechanisms, workflow </w:t>
      </w:r>
      <w:r w:rsidRPr="4369956E" w:rsidR="50810E47">
        <w:rPr>
          <w:rFonts w:ascii="Arial" w:hAnsi="Arial" w:eastAsia="Arial" w:cs="Arial"/>
          <w:noProof w:val="0"/>
          <w:sz w:val="24"/>
          <w:szCs w:val="24"/>
          <w:lang w:val="en-US"/>
        </w:rPr>
        <w:t>standardisation</w:t>
      </w:r>
      <w:r w:rsidRPr="4369956E" w:rsidR="50810E47">
        <w:rPr>
          <w:rFonts w:ascii="Arial" w:hAnsi="Arial" w:eastAsia="Arial" w:cs="Arial"/>
          <w:noProof w:val="0"/>
          <w:sz w:val="24"/>
          <w:szCs w:val="24"/>
          <w:lang w:val="en-US"/>
        </w:rPr>
        <w:t>, and patient education approaches. Capturing these elements allowed the review to move beyond problem identification towards understanding potential solutions relevant to LMIC contexts.</w:t>
      </w:r>
    </w:p>
    <w:p w:rsidR="0A1694EB" w:rsidP="4369956E" w:rsidRDefault="0A1694EB" w14:paraId="3088B0B2" w14:textId="3EB7D7EA">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 </w:t>
      </w:r>
      <w:r w:rsidRPr="4369956E" w:rsidR="50810E47">
        <w:rPr>
          <w:rFonts w:ascii="Arial" w:hAnsi="Arial" w:eastAsia="Arial" w:cs="Arial"/>
          <w:noProof w:val="0"/>
          <w:sz w:val="24"/>
          <w:szCs w:val="24"/>
          <w:lang w:val="en-US"/>
        </w:rPr>
        <w:t>Standardising</w:t>
      </w:r>
      <w:r w:rsidRPr="4369956E" w:rsidR="50810E47">
        <w:rPr>
          <w:rFonts w:ascii="Arial" w:hAnsi="Arial" w:eastAsia="Arial" w:cs="Arial"/>
          <w:noProof w:val="0"/>
          <w:sz w:val="24"/>
          <w:szCs w:val="24"/>
          <w:lang w:val="en-US"/>
        </w:rPr>
        <w:t xml:space="preserve"> the extraction process enhanced the interpretability of findings across diverse geographical and </w:t>
      </w:r>
      <w:r w:rsidRPr="4369956E" w:rsidR="50810E47">
        <w:rPr>
          <w:rFonts w:ascii="Arial" w:hAnsi="Arial" w:eastAsia="Arial" w:cs="Arial"/>
          <w:noProof w:val="0"/>
          <w:sz w:val="24"/>
          <w:szCs w:val="24"/>
          <w:lang w:val="en-US"/>
        </w:rPr>
        <w:t>organisational</w:t>
      </w:r>
      <w:r w:rsidRPr="4369956E" w:rsidR="50810E47">
        <w:rPr>
          <w:rFonts w:ascii="Arial" w:hAnsi="Arial" w:eastAsia="Arial" w:cs="Arial"/>
          <w:noProof w:val="0"/>
          <w:sz w:val="24"/>
          <w:szCs w:val="24"/>
          <w:lang w:val="en-US"/>
        </w:rPr>
        <w:t xml:space="preserve"> settings and supported meaningful synthesis during thematic analysis (Schmidt, 2021). To maintain transparency and auditability, a detailed data extraction table </w:t>
      </w:r>
      <w:r w:rsidRPr="4369956E" w:rsidR="50810E47">
        <w:rPr>
          <w:rFonts w:ascii="Arial" w:hAnsi="Arial" w:eastAsia="Arial" w:cs="Arial"/>
          <w:noProof w:val="0"/>
          <w:sz w:val="24"/>
          <w:szCs w:val="24"/>
          <w:lang w:val="en-US"/>
        </w:rPr>
        <w:t>summarising</w:t>
      </w:r>
      <w:r w:rsidRPr="4369956E" w:rsidR="50810E47">
        <w:rPr>
          <w:rFonts w:ascii="Arial" w:hAnsi="Arial" w:eastAsia="Arial" w:cs="Arial"/>
          <w:noProof w:val="0"/>
          <w:sz w:val="24"/>
          <w:szCs w:val="24"/>
          <w:lang w:val="en-US"/>
        </w:rPr>
        <w:t xml:space="preserve"> the characteristics of all included studies is provided in Appendix A.</w:t>
      </w:r>
    </w:p>
    <w:p w:rsidR="0A1694EB" w:rsidP="4369956E" w:rsidRDefault="0A1694EB" w14:paraId="7152F5DF" w14:textId="357831FA">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 4.3 Critical Appraisal and Paper Quality Assessment</w:t>
      </w:r>
    </w:p>
    <w:p w:rsidR="0A1694EB" w:rsidP="4369956E" w:rsidRDefault="0A1694EB" w14:paraId="6B477176" w14:textId="608C66A0">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Critical appraisal is a core </w:t>
      </w:r>
      <w:r w:rsidRPr="4369956E" w:rsidR="50810E47">
        <w:rPr>
          <w:rFonts w:ascii="Arial" w:hAnsi="Arial" w:eastAsia="Arial" w:cs="Arial"/>
          <w:noProof w:val="0"/>
          <w:sz w:val="24"/>
          <w:szCs w:val="24"/>
          <w:lang w:val="en-US"/>
        </w:rPr>
        <w:t>component</w:t>
      </w:r>
      <w:r w:rsidRPr="4369956E" w:rsidR="50810E47">
        <w:rPr>
          <w:rFonts w:ascii="Arial" w:hAnsi="Arial" w:eastAsia="Arial" w:cs="Arial"/>
          <w:noProof w:val="0"/>
          <w:sz w:val="24"/>
          <w:szCs w:val="24"/>
          <w:lang w:val="en-US"/>
        </w:rPr>
        <w:t xml:space="preserve"> of systematic reviews, as it enables assessment of the methodological quality, credibility, and relevance of included studies prior to synthesis (Tod, Booth, and Smith, 2022). In qualitative </w:t>
      </w:r>
      <w:r w:rsidRPr="4369956E" w:rsidR="50810E47">
        <w:rPr>
          <w:rFonts w:ascii="Arial" w:hAnsi="Arial" w:eastAsia="Arial" w:cs="Arial"/>
          <w:noProof w:val="0"/>
          <w:sz w:val="24"/>
          <w:szCs w:val="24"/>
          <w:lang w:val="en-US"/>
        </w:rPr>
        <w:t>evidence</w:t>
      </w:r>
      <w:r w:rsidRPr="4369956E" w:rsidR="50810E47">
        <w:rPr>
          <w:rFonts w:ascii="Arial" w:hAnsi="Arial" w:eastAsia="Arial" w:cs="Arial"/>
          <w:noProof w:val="0"/>
          <w:sz w:val="24"/>
          <w:szCs w:val="24"/>
          <w:lang w:val="en-US"/>
        </w:rPr>
        <w:t xml:space="preserve"> synthesis, appraisal is particularly important because study quality can influence the trustworthiness of interpretations drawn from subjective experiences and contextual data (Polit and Beck, 2020). </w:t>
      </w:r>
    </w:p>
    <w:p w:rsidR="0A1694EB" w:rsidP="4369956E" w:rsidRDefault="0A1694EB" w14:paraId="6AB8FC1D" w14:textId="7C87B608">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For this review, the Critical Appraisal Skills </w:t>
      </w:r>
      <w:r w:rsidRPr="4369956E" w:rsidR="50810E47">
        <w:rPr>
          <w:rFonts w:ascii="Arial" w:hAnsi="Arial" w:eastAsia="Arial" w:cs="Arial"/>
          <w:noProof w:val="0"/>
          <w:sz w:val="24"/>
          <w:szCs w:val="24"/>
          <w:lang w:val="en-US"/>
        </w:rPr>
        <w:t>Programme</w:t>
      </w:r>
      <w:r w:rsidRPr="4369956E" w:rsidR="50810E47">
        <w:rPr>
          <w:rFonts w:ascii="Arial" w:hAnsi="Arial" w:eastAsia="Arial" w:cs="Arial"/>
          <w:noProof w:val="0"/>
          <w:sz w:val="24"/>
          <w:szCs w:val="24"/>
          <w:lang w:val="en-US"/>
        </w:rPr>
        <w:t xml:space="preserve"> (CASP) qualitative checklist was selected as the primary appraisal tool. CASP is specifically designed for qualitative research and provides a structured yet flexible framework for evaluating key methodological domains, including clarity of research aims, appropriateness of qualitative </w:t>
      </w:r>
      <w:r w:rsidRPr="4369956E" w:rsidR="50810E47">
        <w:rPr>
          <w:rFonts w:ascii="Arial" w:hAnsi="Arial" w:eastAsia="Arial" w:cs="Arial"/>
          <w:noProof w:val="0"/>
          <w:sz w:val="24"/>
          <w:szCs w:val="24"/>
          <w:lang w:val="en-US"/>
        </w:rPr>
        <w:t>methodology</w:t>
      </w:r>
      <w:r w:rsidRPr="4369956E" w:rsidR="50810E47">
        <w:rPr>
          <w:rFonts w:ascii="Arial" w:hAnsi="Arial" w:eastAsia="Arial" w:cs="Arial"/>
          <w:noProof w:val="0"/>
          <w:sz w:val="24"/>
          <w:szCs w:val="24"/>
          <w:lang w:val="en-US"/>
        </w:rPr>
        <w:t xml:space="preserve"> and design, </w:t>
      </w:r>
      <w:r w:rsidRPr="4369956E" w:rsidR="50810E47">
        <w:rPr>
          <w:rFonts w:ascii="Arial" w:hAnsi="Arial" w:eastAsia="Arial" w:cs="Arial"/>
          <w:noProof w:val="0"/>
          <w:sz w:val="24"/>
          <w:szCs w:val="24"/>
          <w:lang w:val="en-US"/>
        </w:rPr>
        <w:t>rigour</w:t>
      </w:r>
      <w:r w:rsidRPr="4369956E" w:rsidR="50810E47">
        <w:rPr>
          <w:rFonts w:ascii="Arial" w:hAnsi="Arial" w:eastAsia="Arial" w:cs="Arial"/>
          <w:noProof w:val="0"/>
          <w:sz w:val="24"/>
          <w:szCs w:val="24"/>
          <w:lang w:val="en-US"/>
        </w:rPr>
        <w:t xml:space="preserve"> of data collection and analysis, ethical considerations, reflexivity of researchers, and the credibility and relevance of findings (CASP, 2018). </w:t>
      </w:r>
    </w:p>
    <w:p w:rsidR="0A1694EB" w:rsidP="4369956E" w:rsidRDefault="0A1694EB" w14:paraId="3002B508" w14:textId="3D96BEDE">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Each included study was assessed against the ten CASP checklist criteria. Rather than excluding studies solely </w:t>
      </w:r>
      <w:r w:rsidRPr="4369956E" w:rsidR="50810E47">
        <w:rPr>
          <w:rFonts w:ascii="Arial" w:hAnsi="Arial" w:eastAsia="Arial" w:cs="Arial"/>
          <w:noProof w:val="0"/>
          <w:sz w:val="24"/>
          <w:szCs w:val="24"/>
          <w:lang w:val="en-US"/>
        </w:rPr>
        <w:t>on the basis of</w:t>
      </w:r>
      <w:r w:rsidRPr="4369956E" w:rsidR="50810E47">
        <w:rPr>
          <w:rFonts w:ascii="Arial" w:hAnsi="Arial" w:eastAsia="Arial" w:cs="Arial"/>
          <w:noProof w:val="0"/>
          <w:sz w:val="24"/>
          <w:szCs w:val="24"/>
          <w:lang w:val="en-US"/>
        </w:rPr>
        <w:t xml:space="preserve"> appraisal scores, studies were </w:t>
      </w:r>
      <w:r w:rsidRPr="4369956E" w:rsidR="50810E47">
        <w:rPr>
          <w:rFonts w:ascii="Arial" w:hAnsi="Arial" w:eastAsia="Arial" w:cs="Arial"/>
          <w:noProof w:val="0"/>
          <w:sz w:val="24"/>
          <w:szCs w:val="24"/>
          <w:lang w:val="en-US"/>
        </w:rPr>
        <w:t>categorised</w:t>
      </w:r>
      <w:r w:rsidRPr="4369956E" w:rsidR="50810E47">
        <w:rPr>
          <w:rFonts w:ascii="Arial" w:hAnsi="Arial" w:eastAsia="Arial" w:cs="Arial"/>
          <w:noProof w:val="0"/>
          <w:sz w:val="24"/>
          <w:szCs w:val="24"/>
          <w:lang w:val="en-US"/>
        </w:rPr>
        <w:t xml:space="preserve"> as high, moderate, or low quality to inform interpretation of findings. High-quality studies typically </w:t>
      </w:r>
      <w:r w:rsidRPr="4369956E" w:rsidR="50810E47">
        <w:rPr>
          <w:rFonts w:ascii="Arial" w:hAnsi="Arial" w:eastAsia="Arial" w:cs="Arial"/>
          <w:noProof w:val="0"/>
          <w:sz w:val="24"/>
          <w:szCs w:val="24"/>
          <w:lang w:val="en-US"/>
        </w:rPr>
        <w:t>demonstrated</w:t>
      </w:r>
      <w:r w:rsidRPr="4369956E" w:rsidR="50810E47">
        <w:rPr>
          <w:rFonts w:ascii="Arial" w:hAnsi="Arial" w:eastAsia="Arial" w:cs="Arial"/>
          <w:noProof w:val="0"/>
          <w:sz w:val="24"/>
          <w:szCs w:val="24"/>
          <w:lang w:val="en-US"/>
        </w:rPr>
        <w:t xml:space="preserve"> clearly articulated aims, coherent qualitative designs, transparent thematic analysis, and robust ethical reporting. Moderate-quality studies often showed strong alignment between aims and methods but provided limited reflexive discussion or insufficient detail on analytical processes. Low-quality studies, where present, were </w:t>
      </w:r>
      <w:r w:rsidRPr="4369956E" w:rsidR="50810E47">
        <w:rPr>
          <w:rFonts w:ascii="Arial" w:hAnsi="Arial" w:eastAsia="Arial" w:cs="Arial"/>
          <w:noProof w:val="0"/>
          <w:sz w:val="24"/>
          <w:szCs w:val="24"/>
          <w:lang w:val="en-US"/>
        </w:rPr>
        <w:t>characterised</w:t>
      </w:r>
      <w:r w:rsidRPr="4369956E" w:rsidR="50810E47">
        <w:rPr>
          <w:rFonts w:ascii="Arial" w:hAnsi="Arial" w:eastAsia="Arial" w:cs="Arial"/>
          <w:noProof w:val="0"/>
          <w:sz w:val="24"/>
          <w:szCs w:val="24"/>
          <w:lang w:val="en-US"/>
        </w:rPr>
        <w:t xml:space="preserve"> by unclear </w:t>
      </w:r>
      <w:r w:rsidRPr="4369956E" w:rsidR="50810E47">
        <w:rPr>
          <w:rFonts w:ascii="Arial" w:hAnsi="Arial" w:eastAsia="Arial" w:cs="Arial"/>
          <w:noProof w:val="0"/>
          <w:sz w:val="24"/>
          <w:szCs w:val="24"/>
          <w:lang w:val="en-US"/>
        </w:rPr>
        <w:t>methodology</w:t>
      </w:r>
      <w:r w:rsidRPr="4369956E" w:rsidR="50810E47">
        <w:rPr>
          <w:rFonts w:ascii="Arial" w:hAnsi="Arial" w:eastAsia="Arial" w:cs="Arial"/>
          <w:noProof w:val="0"/>
          <w:sz w:val="24"/>
          <w:szCs w:val="24"/>
          <w:lang w:val="en-US"/>
        </w:rPr>
        <w:t xml:space="preserve"> or limited transparency; however, their findings were still considered cautiously within the broader synthesis. </w:t>
      </w:r>
    </w:p>
    <w:p w:rsidR="0A1694EB" w:rsidP="4369956E" w:rsidRDefault="0A1694EB" w14:paraId="446D86BD" w14:textId="247BB263">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CASP was selected over alternative appraisal tools such as the Joanna Briggs Institute (JBI) checklist or the Mixed Methods Appraisal Tool (MMAT) because of its strong emphasis on interpretive depth, contextual understanding, and reflexivity—elements that are particularly important when examining dispensing errors within complex LMIC pharmacy environments (Buccheri and Sharifi, 2017). Unlike MMAT, which offers limited qualitative depth, CASP allows for nuanced judgement of methodological strengths and weaknesses, supporting richer synthesis of experiential evidence (Quigley et al., 2019).</w:t>
      </w:r>
    </w:p>
    <w:p w:rsidR="0A1694EB" w:rsidP="4369956E" w:rsidRDefault="0A1694EB" w14:paraId="4E482C7D" w14:textId="5717761B">
      <w:pPr>
        <w:bidi w:val="0"/>
        <w:spacing w:before="240" w:beforeAutospacing="off" w:after="240" w:afterAutospacing="off"/>
        <w:jc w:val="both"/>
        <w:rPr>
          <w:rFonts w:ascii="Arial" w:hAnsi="Arial" w:eastAsia="Arial" w:cs="Arial"/>
          <w:noProof w:val="0"/>
          <w:sz w:val="24"/>
          <w:szCs w:val="24"/>
          <w:lang w:val="en-US"/>
        </w:rPr>
      </w:pPr>
      <w:r w:rsidRPr="4369956E" w:rsidR="50810E47">
        <w:rPr>
          <w:rFonts w:ascii="Arial" w:hAnsi="Arial" w:eastAsia="Arial" w:cs="Arial"/>
          <w:noProof w:val="0"/>
          <w:sz w:val="24"/>
          <w:szCs w:val="24"/>
          <w:lang w:val="en-US"/>
        </w:rPr>
        <w:t xml:space="preserve">Overall, the use of CASP strengthened the methodological </w:t>
      </w:r>
      <w:r w:rsidRPr="4369956E" w:rsidR="50810E47">
        <w:rPr>
          <w:rFonts w:ascii="Arial" w:hAnsi="Arial" w:eastAsia="Arial" w:cs="Arial"/>
          <w:noProof w:val="0"/>
          <w:sz w:val="24"/>
          <w:szCs w:val="24"/>
          <w:lang w:val="en-US"/>
        </w:rPr>
        <w:t>rigour</w:t>
      </w:r>
      <w:r w:rsidRPr="4369956E" w:rsidR="50810E47">
        <w:rPr>
          <w:rFonts w:ascii="Arial" w:hAnsi="Arial" w:eastAsia="Arial" w:cs="Arial"/>
          <w:noProof w:val="0"/>
          <w:sz w:val="24"/>
          <w:szCs w:val="24"/>
          <w:lang w:val="en-US"/>
        </w:rPr>
        <w:t xml:space="preserve"> of this review by ensuring that findings were interpreted </w:t>
      </w:r>
      <w:r w:rsidRPr="4369956E" w:rsidR="50810E47">
        <w:rPr>
          <w:rFonts w:ascii="Arial" w:hAnsi="Arial" w:eastAsia="Arial" w:cs="Arial"/>
          <w:noProof w:val="0"/>
          <w:sz w:val="24"/>
          <w:szCs w:val="24"/>
          <w:lang w:val="en-US"/>
        </w:rPr>
        <w:t>in light of</w:t>
      </w:r>
      <w:r w:rsidRPr="4369956E" w:rsidR="50810E47">
        <w:rPr>
          <w:rFonts w:ascii="Arial" w:hAnsi="Arial" w:eastAsia="Arial" w:cs="Arial"/>
          <w:noProof w:val="0"/>
          <w:sz w:val="24"/>
          <w:szCs w:val="24"/>
          <w:lang w:val="en-US"/>
        </w:rPr>
        <w:t xml:space="preserve"> study quality, ethical integrity, and contextual relevance. This appraisal process provides a robust foundation for the thematic analysis presented in the following chapter.</w:t>
      </w:r>
    </w:p>
    <w:p w:rsidR="0A1694EB" w:rsidP="4369956E" w:rsidRDefault="0A1694EB" w14:paraId="47290CAE" w14:textId="601D3E78">
      <w:pPr>
        <w:pStyle w:val="Heading3"/>
        <w:bidi w:val="0"/>
        <w:spacing w:before="240" w:beforeAutospacing="off" w:after="240" w:afterAutospacing="off"/>
        <w:jc w:val="both"/>
        <w:rPr>
          <w:noProof w:val="0"/>
          <w:lang w:val="en-US"/>
        </w:rPr>
      </w:pPr>
      <w:bookmarkStart w:name="_Toc1200925952" w:id="792100254"/>
      <w:r w:rsidRPr="668EA0FB" w:rsidR="4CF7C63F">
        <w:rPr>
          <w:noProof w:val="0"/>
          <w:lang w:val="en-US"/>
        </w:rPr>
        <w:t>4.4 Critical Appraisal Tool</w:t>
      </w:r>
      <w:bookmarkEnd w:id="792100254"/>
    </w:p>
    <w:p w:rsidR="0A1694EB" w:rsidP="722FFED0" w:rsidRDefault="0A1694EB" w14:paraId="5443BFF5" w14:textId="5CA25095">
      <w:pPr>
        <w:bidi w:val="0"/>
        <w:spacing w:before="240" w:beforeAutospacing="off" w:after="240" w:afterAutospacing="off"/>
        <w:jc w:val="both"/>
      </w:pPr>
      <w:r w:rsidRPr="722FFED0" w:rsidR="0A1694EB">
        <w:rPr>
          <w:rFonts w:ascii="Arial" w:hAnsi="Arial" w:eastAsia="Arial" w:cs="Arial"/>
          <w:noProof w:val="0"/>
          <w:sz w:val="24"/>
          <w:szCs w:val="24"/>
          <w:lang w:val="en-US"/>
        </w:rPr>
        <w:t>A critical appraisal tool is a structured framework designed to systematically assess the quality, reliability, and relevance of research evidence (Schmidt, 2021). For pharmacy studies, such tools are essential to evaluate methodological rigor, clarity of research aims, appropriateness of data collection, and robustness of analysis (Crowe &amp; Sheppard, 2011). Various appraisal tools exist depending on study design, including ROBINS-I, Cochrane Risk of Bias Tool, GRADE, and AMSTAR 2, each tailored for quantitative, qualitative, or mixed-methods research (Tod et al., 2022).</w:t>
      </w:r>
    </w:p>
    <w:p w:rsidR="0A1694EB" w:rsidP="722FFED0" w:rsidRDefault="0A1694EB" w14:paraId="5B1F04CB" w14:textId="12983F78">
      <w:pPr>
        <w:bidi w:val="0"/>
        <w:spacing w:before="240" w:beforeAutospacing="off" w:after="240" w:afterAutospacing="off"/>
        <w:jc w:val="both"/>
      </w:pPr>
      <w:r w:rsidRPr="722FFED0" w:rsidR="0A1694EB">
        <w:rPr>
          <w:rFonts w:ascii="Arial" w:hAnsi="Arial" w:eastAsia="Arial" w:cs="Arial"/>
          <w:noProof w:val="0"/>
          <w:sz w:val="24"/>
          <w:szCs w:val="24"/>
          <w:lang w:val="en-US"/>
        </w:rPr>
        <w:t>For qualitative pharmacy research, selecting the appropriate tool ensures that studies are trustworthy and practically relevant, identifies potential biases, and assesses whether conclusions can be translated into interventions for patient safety and dispensing quality (Long et al., 2020; Maeda et al., 2023). The CASP (Critical Appraisal Skills Programme) qualitative checklist was chosen for this review due to its specific focus on qualitative research. It evaluates clarity of research aims, appropriateness of qualitative design, transparency in data collection and analysis, credibility of findings, and ethical considerations (Buccheri &amp; Sharifi, 2017). Although CASP is comprehensive, a potential limitation is that it may overemphasize methodological detail at the expense of practical applicability (Young &amp; Solomon, 2009). Nevertheless, it remains a widely recognized and structured framework for evaluating qualitative evidence in healthcare research.</w:t>
      </w:r>
    </w:p>
    <w:p w:rsidR="722FFED0" w:rsidP="722FFED0" w:rsidRDefault="722FFED0" w14:paraId="600769E4" w14:textId="01BB65E7">
      <w:pPr>
        <w:bidi w:val="0"/>
        <w:jc w:val="both"/>
      </w:pPr>
    </w:p>
    <w:p w:rsidR="0A1694EB" w:rsidP="407E75B8" w:rsidRDefault="0A1694EB" w14:paraId="6D6B1827" w14:textId="2B71A006">
      <w:pPr>
        <w:pStyle w:val="Heading3"/>
        <w:jc w:val="both"/>
        <w:rPr>
          <w:noProof w:val="0"/>
          <w:lang w:val="en-US"/>
        </w:rPr>
      </w:pPr>
      <w:bookmarkStart w:name="_Toc63550167" w:id="1022000672"/>
      <w:r w:rsidRPr="668EA0FB" w:rsidR="496E655B">
        <w:rPr>
          <w:noProof w:val="0"/>
          <w:lang w:val="en-US"/>
        </w:rPr>
        <w:t>4.5 Evaluation of the Studies using the CASP Tool</w:t>
      </w:r>
      <w:bookmarkEnd w:id="1022000672"/>
    </w:p>
    <w:p w:rsidR="0A1694EB" w:rsidP="722FFED0" w:rsidRDefault="0A1694EB" w14:paraId="5EC6ECB4" w14:textId="63E6BA13">
      <w:pPr>
        <w:bidi w:val="0"/>
        <w:spacing w:before="240" w:beforeAutospacing="off" w:after="240" w:afterAutospacing="off"/>
        <w:jc w:val="both"/>
      </w:pPr>
      <w:r w:rsidRPr="722FFED0" w:rsidR="0A1694EB">
        <w:rPr>
          <w:rFonts w:ascii="Arial" w:hAnsi="Arial" w:eastAsia="Arial" w:cs="Arial"/>
          <w:noProof w:val="0"/>
          <w:sz w:val="24"/>
          <w:szCs w:val="24"/>
          <w:lang w:val="en-US"/>
        </w:rPr>
        <w:t>The CASP qualitative checklist consists of 10 questions that systematically assess the rigor, transparency, credibility, and relevance of qualitative studies (Long et al., 2020). For this review, each of the 12 included studies on pharmacist-related dispensing errors was critically appraised using one CASP question per study, with two questions repeated for Articles 11 and 12 to accommodate the full set.</w:t>
      </w:r>
    </w:p>
    <w:p w:rsidR="0A1694EB" w:rsidP="722FFED0" w:rsidRDefault="0A1694EB" w14:paraId="49182DC4" w14:textId="0203F35E">
      <w:pPr>
        <w:bidi w:val="0"/>
        <w:spacing w:before="240" w:beforeAutospacing="off" w:after="240" w:afterAutospacing="off"/>
        <w:jc w:val="both"/>
      </w:pPr>
      <w:r w:rsidRPr="4369956E" w:rsidR="336CE83E">
        <w:rPr>
          <w:rFonts w:ascii="Arial" w:hAnsi="Arial" w:eastAsia="Arial" w:cs="Arial"/>
          <w:noProof w:val="0"/>
          <w:sz w:val="24"/>
          <w:szCs w:val="24"/>
          <w:lang w:val="en-US"/>
        </w:rPr>
        <w:t>Each study is evaluated below with a focus on strengths, limitations, and practical implications, integrating critical thinking on methodological and contextual relevance. This approach ensures that the review identifies robust evidence to inform interventions aimed at reducing dispensing errors in LMIC pharmacy settings.</w:t>
      </w:r>
    </w:p>
    <w:p w:rsidR="722FFED0" w:rsidP="668EA0FB" w:rsidRDefault="722FFED0" w14:paraId="21C64839" w14:textId="3ABDDE2A">
      <w:pPr>
        <w:pStyle w:val="Heading2"/>
        <w:bidi w:val="0"/>
        <w:spacing w:before="299" w:beforeAutospacing="off" w:after="299" w:afterAutospacing="off"/>
        <w:jc w:val="both"/>
        <w:rPr>
          <w:rFonts w:ascii="Arial" w:hAnsi="Arial" w:eastAsia="Arial" w:cs="Arial"/>
          <w:b w:val="1"/>
          <w:bCs w:val="1"/>
          <w:noProof w:val="0"/>
          <w:sz w:val="36"/>
          <w:szCs w:val="36"/>
          <w:lang w:val="en-US"/>
        </w:rPr>
      </w:pPr>
      <w:bookmarkStart w:name="_Toc1849604002" w:id="1138723106"/>
      <w:r w:rsidRPr="668EA0FB" w:rsidR="6B630044">
        <w:rPr>
          <w:rFonts w:ascii="Arial" w:hAnsi="Arial" w:eastAsia="Arial" w:cs="Arial"/>
          <w:b w:val="1"/>
          <w:bCs w:val="1"/>
          <w:noProof w:val="0"/>
          <w:sz w:val="36"/>
          <w:szCs w:val="36"/>
          <w:lang w:val="en-US"/>
        </w:rPr>
        <w:t>4.5 Critical Appraisal of Included Qualitative Studies Using CASP</w:t>
      </w:r>
      <w:bookmarkEnd w:id="1138723106"/>
    </w:p>
    <w:p w:rsidR="722FFED0" w:rsidP="668EA0FB" w:rsidRDefault="722FFED0" w14:paraId="2A23C681" w14:textId="0E7411A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99814220" w:id="577801429"/>
      <w:r w:rsidRPr="668EA0FB" w:rsidR="6B630044">
        <w:rPr>
          <w:rFonts w:ascii="Arial" w:hAnsi="Arial" w:eastAsia="Arial" w:cs="Arial"/>
          <w:b w:val="1"/>
          <w:bCs w:val="1"/>
          <w:noProof w:val="0"/>
          <w:sz w:val="28"/>
          <w:szCs w:val="28"/>
          <w:lang w:val="en-US"/>
        </w:rPr>
        <w:t>4.5.1 Article 1: Musoke D, et al. (Uganda)</w:t>
      </w:r>
      <w:bookmarkEnd w:id="577801429"/>
    </w:p>
    <w:p w:rsidR="722FFED0" w:rsidP="4369956E" w:rsidRDefault="722FFED0" w14:paraId="561A1445" w14:textId="1B8B17A8">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qualitative study explored antimicrobial stewardship practices in private pharmacies using in-depth interviews with dispensers. The CASP criterion applied was </w:t>
      </w:r>
      <w:r w:rsidRPr="4369956E" w:rsidR="6B630044">
        <w:rPr>
          <w:rFonts w:ascii="Arial" w:hAnsi="Arial" w:eastAsia="Arial" w:cs="Arial"/>
          <w:b w:val="1"/>
          <w:bCs w:val="1"/>
          <w:noProof w:val="0"/>
          <w:sz w:val="24"/>
          <w:szCs w:val="24"/>
          <w:lang w:val="en-US"/>
        </w:rPr>
        <w:t>“Clear statement of aims.”</w:t>
      </w:r>
      <w:r w:rsidRPr="4369956E" w:rsidR="6B630044">
        <w:rPr>
          <w:rFonts w:ascii="Arial" w:hAnsi="Arial" w:eastAsia="Arial" w:cs="Arial"/>
          <w:noProof w:val="0"/>
          <w:sz w:val="24"/>
          <w:szCs w:val="24"/>
          <w:lang w:val="en-US"/>
        </w:rPr>
        <w:t xml:space="preserve"> The study explicitly aimed to explore factors influencing appropriate antimicrobial use, and this clarity effectively guided the choice of qualitative methodology and data collection strategy. The focused aim ensured that interviews captured real-world dispensing practices, professional judgement, and contextual pressures faced by dispensers in private pharmacy settings.</w:t>
      </w:r>
    </w:p>
    <w:p w:rsidR="722FFED0" w:rsidP="4369956E" w:rsidRDefault="722FFED0" w14:paraId="4FC329B4" w14:textId="5043D8CC">
      <w:pPr>
        <w:bidi w:val="0"/>
        <w:spacing w:before="240" w:beforeAutospacing="off" w:after="240" w:afterAutospacing="off"/>
        <w:jc w:val="both"/>
      </w:pPr>
      <w:r w:rsidRPr="4369956E" w:rsidR="6B630044">
        <w:rPr>
          <w:rFonts w:ascii="Arial" w:hAnsi="Arial" w:eastAsia="Arial" w:cs="Arial"/>
          <w:noProof w:val="0"/>
          <w:sz w:val="24"/>
          <w:szCs w:val="24"/>
          <w:lang w:val="en-US"/>
        </w:rPr>
        <w:t>Critically, while the study’s objectives were clearly articulated, stronger linkage to patient safety outcomes—such as infection-related complications or antimicrobial resistance indicators—could have enhanced the applied relevance of findings. Nevertheless, the qualitative emphasis on dispenser perceptions enabled nuanced insights into day-to-day decision-making, revealing systemic challenges including weak regulatory oversight, poor enforcement of prescription-only legislation, and persistent patient pressure to dispense antibiotics inappropriately. Participants reported that financial survival and competitive pharmacy markets often superseded adherence to antimicrobial stewardship guidelines.</w:t>
      </w:r>
    </w:p>
    <w:p w:rsidR="722FFED0" w:rsidP="4369956E" w:rsidRDefault="722FFED0" w14:paraId="709FD2FE" w14:textId="7A2439C6">
      <w:pPr>
        <w:bidi w:val="0"/>
        <w:spacing w:before="240" w:beforeAutospacing="off" w:after="240" w:afterAutospacing="off"/>
        <w:jc w:val="both"/>
      </w:pPr>
      <w:r w:rsidRPr="4369956E" w:rsidR="6B630044">
        <w:rPr>
          <w:rFonts w:ascii="Arial" w:hAnsi="Arial" w:eastAsia="Arial" w:cs="Arial"/>
          <w:noProof w:val="0"/>
          <w:sz w:val="24"/>
          <w:szCs w:val="24"/>
          <w:lang w:val="en-US"/>
        </w:rPr>
        <w:t>Ethical considerations were adequately addressed through voluntary participation and anonymisation. However, the study did not sufficiently explore potential interviewer bias, particularly where prior relationships with pharmacy staff may have influenced participant openness or response framing. Despite this limitation, the study provides valuable context-specific evidence illustrating how system-level weaknesses undermine antimicrobial stewardship in private pharmacy settings within LMICs.</w:t>
      </w:r>
    </w:p>
    <w:p w:rsidR="722FFED0" w:rsidP="4369956E" w:rsidRDefault="722FFED0" w14:paraId="597A6748" w14:textId="21E97A06">
      <w:pPr>
        <w:bidi w:val="0"/>
        <w:spacing w:before="240" w:beforeAutospacing="off" w:after="240" w:afterAutospacing="off"/>
        <w:jc w:val="both"/>
      </w:pPr>
    </w:p>
    <w:p w:rsidR="722FFED0" w:rsidP="668EA0FB" w:rsidRDefault="722FFED0" w14:paraId="673CC2DD" w14:textId="3B693A95">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72514120" w:id="1024157994"/>
      <w:r w:rsidRPr="668EA0FB" w:rsidR="6B630044">
        <w:rPr>
          <w:rFonts w:ascii="Arial" w:hAnsi="Arial" w:eastAsia="Arial" w:cs="Arial"/>
          <w:b w:val="1"/>
          <w:bCs w:val="1"/>
          <w:noProof w:val="0"/>
          <w:sz w:val="28"/>
          <w:szCs w:val="28"/>
          <w:lang w:val="en-US"/>
        </w:rPr>
        <w:t>4.5.2 Article 2: Saleem Z, et al. (Pakistan)</w:t>
      </w:r>
      <w:bookmarkEnd w:id="1024157994"/>
    </w:p>
    <w:p w:rsidR="722FFED0" w:rsidP="4369956E" w:rsidRDefault="722FFED0" w14:paraId="444BE4F1" w14:textId="06E2152E">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investigated drivers of over-the-counter antibiotic purchasing through qualitative interviews with patients, dispensers, and clinicians. The CASP criterion applied was </w:t>
      </w:r>
      <w:r w:rsidRPr="4369956E" w:rsidR="6B630044">
        <w:rPr>
          <w:rFonts w:ascii="Arial" w:hAnsi="Arial" w:eastAsia="Arial" w:cs="Arial"/>
          <w:b w:val="1"/>
          <w:bCs w:val="1"/>
          <w:noProof w:val="0"/>
          <w:sz w:val="24"/>
          <w:szCs w:val="24"/>
          <w:lang w:val="en-US"/>
        </w:rPr>
        <w:t>“Qualitative methodology appropriate.”</w:t>
      </w:r>
      <w:r w:rsidRPr="4369956E" w:rsidR="6B630044">
        <w:rPr>
          <w:rFonts w:ascii="Arial" w:hAnsi="Arial" w:eastAsia="Arial" w:cs="Arial"/>
          <w:noProof w:val="0"/>
          <w:sz w:val="24"/>
          <w:szCs w:val="24"/>
          <w:lang w:val="en-US"/>
        </w:rPr>
        <w:t xml:space="preserve"> A qualitative approach was well suited to capturing complex social, cultural, and economic factors underpinning self-medication practices, which would be difficult to explore fully using quantitative methods.</w:t>
      </w:r>
    </w:p>
    <w:p w:rsidR="722FFED0" w:rsidP="4369956E" w:rsidRDefault="722FFED0" w14:paraId="55FAC9FE" w14:textId="3DFC16EB">
      <w:pPr>
        <w:bidi w:val="0"/>
        <w:spacing w:before="240" w:beforeAutospacing="off" w:after="240" w:afterAutospacing="off"/>
        <w:jc w:val="both"/>
      </w:pPr>
      <w:r w:rsidRPr="4369956E" w:rsidR="6B630044">
        <w:rPr>
          <w:rFonts w:ascii="Arial" w:hAnsi="Arial" w:eastAsia="Arial" w:cs="Arial"/>
          <w:noProof w:val="0"/>
          <w:sz w:val="24"/>
          <w:szCs w:val="24"/>
          <w:lang w:val="en-US"/>
        </w:rPr>
        <w:t>The inclusion of multiple stakeholder perspectives strengthened the depth and credibility of findings by illuminating both supply- and demand-side influences on antibiotic misuse. The study revealed important contextual drivers, including limited healthcare access, cultural norms favouring self-treatment, and high trust in pharmacists as informal primary care providers. However, triangulation with observational data could have strengthened methodological rigour and reduced reliance on self-reported behaviours.</w:t>
      </w:r>
    </w:p>
    <w:p w:rsidR="722FFED0" w:rsidP="4369956E" w:rsidRDefault="722FFED0" w14:paraId="7992A4BC" w14:textId="5E837A9F">
      <w:pPr>
        <w:bidi w:val="0"/>
        <w:spacing w:before="240" w:beforeAutospacing="off" w:after="240" w:afterAutospacing="off"/>
        <w:jc w:val="both"/>
      </w:pPr>
      <w:r w:rsidRPr="4369956E" w:rsidR="6B630044">
        <w:rPr>
          <w:rFonts w:ascii="Arial" w:hAnsi="Arial" w:eastAsia="Arial" w:cs="Arial"/>
          <w:noProof w:val="0"/>
          <w:sz w:val="24"/>
          <w:szCs w:val="24"/>
          <w:lang w:val="en-US"/>
        </w:rPr>
        <w:t>Participants discussed illegal dispensing practices openly, highlighting ethical tensions between professional responsibility and patient expectations. While this openness suggests methodological strength, it also raises the possibility of social desirability bias. Furthermore, the sampling strategy appeared to underrepresent rural populations, where healthcare access barriers differ significantly, limiting transferability across Pakistan. Overall, the study offers valuable insight into why regulatory enforcement alone may be insufficient to curb inappropriate antibiotic use.</w:t>
      </w:r>
    </w:p>
    <w:p w:rsidR="722FFED0" w:rsidP="4369956E" w:rsidRDefault="722FFED0" w14:paraId="7BCD3EC4" w14:textId="23CB8F0D">
      <w:pPr>
        <w:bidi w:val="0"/>
        <w:spacing w:before="240" w:beforeAutospacing="off" w:after="240" w:afterAutospacing="off"/>
        <w:jc w:val="both"/>
      </w:pPr>
    </w:p>
    <w:p w:rsidR="722FFED0" w:rsidP="668EA0FB" w:rsidRDefault="722FFED0" w14:paraId="4E0B7B70" w14:textId="28625A4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2019250590" w:id="1767268952"/>
      <w:r w:rsidRPr="668EA0FB" w:rsidR="6B630044">
        <w:rPr>
          <w:rFonts w:ascii="Arial" w:hAnsi="Arial" w:eastAsia="Arial" w:cs="Arial"/>
          <w:b w:val="1"/>
          <w:bCs w:val="1"/>
          <w:noProof w:val="0"/>
          <w:sz w:val="28"/>
          <w:szCs w:val="28"/>
          <w:lang w:val="en-US"/>
        </w:rPr>
        <w:t>4.5.3 Article 3: Mbugua S.M., et al. (Kenya)</w:t>
      </w:r>
      <w:bookmarkEnd w:id="1767268952"/>
    </w:p>
    <w:p w:rsidR="722FFED0" w:rsidP="4369956E" w:rsidRDefault="722FFED0" w14:paraId="309980E7" w14:textId="488F45E4">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used key-informant interviews with hospital pharmacists to explore perspectives on antimicrobial stewardship. The CASP criterion applied was </w:t>
      </w:r>
      <w:r w:rsidRPr="4369956E" w:rsidR="6B630044">
        <w:rPr>
          <w:rFonts w:ascii="Arial" w:hAnsi="Arial" w:eastAsia="Arial" w:cs="Arial"/>
          <w:b w:val="1"/>
          <w:bCs w:val="1"/>
          <w:noProof w:val="0"/>
          <w:sz w:val="24"/>
          <w:szCs w:val="24"/>
          <w:lang w:val="en-US"/>
        </w:rPr>
        <w:t>“Research design appropriate to address aims.”</w:t>
      </w:r>
      <w:r w:rsidRPr="4369956E" w:rsidR="6B630044">
        <w:rPr>
          <w:rFonts w:ascii="Arial" w:hAnsi="Arial" w:eastAsia="Arial" w:cs="Arial"/>
          <w:noProof w:val="0"/>
          <w:sz w:val="24"/>
          <w:szCs w:val="24"/>
          <w:lang w:val="en-US"/>
        </w:rPr>
        <w:t xml:space="preserve"> The use of in-depth interviews aligned well with the study’s objective, allowing exploration of institutional dynamics, professional hierarchies, and pharmacists’ stewardship roles within hospital settings.</w:t>
      </w:r>
    </w:p>
    <w:p w:rsidR="722FFED0" w:rsidP="4369956E" w:rsidRDefault="722FFED0" w14:paraId="56BC061D" w14:textId="1A901C34">
      <w:pPr>
        <w:bidi w:val="0"/>
        <w:spacing w:before="240" w:beforeAutospacing="off" w:after="240" w:afterAutospacing="off"/>
        <w:jc w:val="both"/>
      </w:pPr>
      <w:r w:rsidRPr="4369956E" w:rsidR="6B630044">
        <w:rPr>
          <w:rFonts w:ascii="Arial" w:hAnsi="Arial" w:eastAsia="Arial" w:cs="Arial"/>
          <w:noProof w:val="0"/>
          <w:sz w:val="24"/>
          <w:szCs w:val="24"/>
          <w:lang w:val="en-US"/>
        </w:rPr>
        <w:t>The design successfully identified systemic barriers such as medicine stock shortages, limited pharmacist authority, and hierarchical prescribing structures. However, incorporating focus groups could have enriched understanding of interprofessional collaboration and team-based stewardship practices. Pharmacists reported difficulties influencing prescribing decisions, highlighting structural constraints that limit effective stewardship implementation.</w:t>
      </w:r>
    </w:p>
    <w:p w:rsidR="722FFED0" w:rsidP="4369956E" w:rsidRDefault="722FFED0" w14:paraId="3C8279FC" w14:textId="6945BF70">
      <w:pPr>
        <w:bidi w:val="0"/>
        <w:spacing w:before="240" w:beforeAutospacing="off" w:after="240" w:afterAutospacing="off"/>
        <w:jc w:val="both"/>
      </w:pPr>
      <w:r w:rsidRPr="4369956E" w:rsidR="6B630044">
        <w:rPr>
          <w:rFonts w:ascii="Arial" w:hAnsi="Arial" w:eastAsia="Arial" w:cs="Arial"/>
          <w:noProof w:val="0"/>
          <w:sz w:val="24"/>
          <w:szCs w:val="24"/>
          <w:lang w:val="en-US"/>
        </w:rPr>
        <w:t>The study acknowledged researcher reflexivity by recognising professional backgrounds, although reporting on data saturation was limited, potentially affecting dependability. Despite this, the research provides important organisational-level insight into how institutional structures shape antimicrobial stewardship in LMIC hospital environments.</w:t>
      </w:r>
    </w:p>
    <w:p w:rsidR="722FFED0" w:rsidP="4369956E" w:rsidRDefault="722FFED0" w14:paraId="2B74976D" w14:textId="42CF8B02">
      <w:pPr>
        <w:bidi w:val="0"/>
        <w:spacing w:before="240" w:beforeAutospacing="off" w:after="240" w:afterAutospacing="off"/>
        <w:jc w:val="both"/>
      </w:pPr>
    </w:p>
    <w:p w:rsidR="722FFED0" w:rsidP="668EA0FB" w:rsidRDefault="722FFED0" w14:paraId="44688F5F" w14:textId="58D5613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153556908" w:id="1543135725"/>
      <w:r w:rsidRPr="668EA0FB" w:rsidR="6B630044">
        <w:rPr>
          <w:rFonts w:ascii="Arial" w:hAnsi="Arial" w:eastAsia="Arial" w:cs="Arial"/>
          <w:b w:val="1"/>
          <w:bCs w:val="1"/>
          <w:noProof w:val="0"/>
          <w:sz w:val="28"/>
          <w:szCs w:val="28"/>
          <w:lang w:val="en-US"/>
        </w:rPr>
        <w:t>4.5.4 Article 4: Mekonnen A.B., et al. (Ethiopia)</w:t>
      </w:r>
      <w:bookmarkEnd w:id="1543135725"/>
    </w:p>
    <w:p w:rsidR="722FFED0" w:rsidP="4369956E" w:rsidRDefault="722FFED0" w14:paraId="74463FFD" w14:textId="54520575">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qualitative study explored pharmacists’ transition toward clinical pharmacy roles through interviews. The CASP criterion applied was </w:t>
      </w:r>
      <w:r w:rsidRPr="4369956E" w:rsidR="6B630044">
        <w:rPr>
          <w:rFonts w:ascii="Arial" w:hAnsi="Arial" w:eastAsia="Arial" w:cs="Arial"/>
          <w:b w:val="1"/>
          <w:bCs w:val="1"/>
          <w:noProof w:val="0"/>
          <w:sz w:val="24"/>
          <w:szCs w:val="24"/>
          <w:lang w:val="en-US"/>
        </w:rPr>
        <w:t>“Recruitment strategy appropriate.”</w:t>
      </w:r>
      <w:r w:rsidRPr="4369956E" w:rsidR="6B630044">
        <w:rPr>
          <w:rFonts w:ascii="Arial" w:hAnsi="Arial" w:eastAsia="Arial" w:cs="Arial"/>
          <w:noProof w:val="0"/>
          <w:sz w:val="24"/>
          <w:szCs w:val="24"/>
          <w:lang w:val="en-US"/>
        </w:rPr>
        <w:t xml:space="preserve"> Purposive recruitment of pharmacists with varying levels of experience enhanced the richness and relevance of findings by capturing both early-career and senior perspectives.</w:t>
      </w:r>
    </w:p>
    <w:p w:rsidR="722FFED0" w:rsidP="4369956E" w:rsidRDefault="722FFED0" w14:paraId="4D8A7582" w14:textId="74EA3054">
      <w:pPr>
        <w:bidi w:val="0"/>
        <w:spacing w:before="240" w:beforeAutospacing="off" w:after="240" w:afterAutospacing="off"/>
        <w:jc w:val="both"/>
      </w:pPr>
      <w:r w:rsidRPr="4369956E" w:rsidR="6B630044">
        <w:rPr>
          <w:rFonts w:ascii="Arial" w:hAnsi="Arial" w:eastAsia="Arial" w:cs="Arial"/>
          <w:noProof w:val="0"/>
          <w:sz w:val="24"/>
          <w:szCs w:val="24"/>
          <w:lang w:val="en-US"/>
        </w:rPr>
        <w:t>Critically, the heavy representation of urban hospital pharmacists may limit transferability, as rural pharmacists often face distinct infrastructural, staffing, and training challenges. Participants identified systemic barriers such as limited access to continuous professional development, unclear role definitions, and insufficient institutional support for clinical services. These constraints have clear implications for patient safety, as restricted clinical engagement may increase the likelihood of medication-related errors.</w:t>
      </w:r>
    </w:p>
    <w:p w:rsidR="722FFED0" w:rsidP="4369956E" w:rsidRDefault="722FFED0" w14:paraId="0996FFCE" w14:textId="28D91542">
      <w:pPr>
        <w:bidi w:val="0"/>
        <w:spacing w:before="240" w:beforeAutospacing="off" w:after="240" w:afterAutospacing="off"/>
        <w:jc w:val="both"/>
      </w:pPr>
      <w:r w:rsidRPr="4369956E" w:rsidR="6B630044">
        <w:rPr>
          <w:rFonts w:ascii="Arial" w:hAnsi="Arial" w:eastAsia="Arial" w:cs="Arial"/>
          <w:noProof w:val="0"/>
          <w:sz w:val="24"/>
          <w:szCs w:val="24"/>
          <w:lang w:val="en-US"/>
        </w:rPr>
        <w:t>Ethical standards were upheld through informed consent and confidentiality. Overall, the study provides valuable workforce-related insight into structural barriers affecting medication safety and professional practice development in LMICs.</w:t>
      </w:r>
    </w:p>
    <w:p w:rsidR="722FFED0" w:rsidP="4369956E" w:rsidRDefault="722FFED0" w14:paraId="13DBC796" w14:textId="5D39C6CC">
      <w:pPr>
        <w:bidi w:val="0"/>
        <w:spacing w:before="240" w:beforeAutospacing="off" w:after="240" w:afterAutospacing="off"/>
        <w:jc w:val="both"/>
      </w:pPr>
    </w:p>
    <w:p w:rsidR="722FFED0" w:rsidP="668EA0FB" w:rsidRDefault="722FFED0" w14:paraId="3CDC969D" w14:textId="6734C377">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925390044" w:id="1178608032"/>
      <w:r w:rsidRPr="668EA0FB" w:rsidR="6B630044">
        <w:rPr>
          <w:rFonts w:ascii="Arial" w:hAnsi="Arial" w:eastAsia="Arial" w:cs="Arial"/>
          <w:b w:val="1"/>
          <w:bCs w:val="1"/>
          <w:noProof w:val="0"/>
          <w:sz w:val="28"/>
          <w:szCs w:val="28"/>
          <w:lang w:val="en-US"/>
        </w:rPr>
        <w:t>4.5.5 Article 5: Saleem N.H., et al. (Pakistan)</w:t>
      </w:r>
      <w:bookmarkEnd w:id="1178608032"/>
    </w:p>
    <w:p w:rsidR="722FFED0" w:rsidP="4369956E" w:rsidRDefault="722FFED0" w14:paraId="3D7B1354" w14:textId="0E8D1DE5">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examined determinants of antimicrobial dispensing in community pharmacies using semi-structured interviews. The CASP criterion applied was </w:t>
      </w:r>
      <w:r w:rsidRPr="4369956E" w:rsidR="6B630044">
        <w:rPr>
          <w:rFonts w:ascii="Arial" w:hAnsi="Arial" w:eastAsia="Arial" w:cs="Arial"/>
          <w:b w:val="1"/>
          <w:bCs w:val="1"/>
          <w:noProof w:val="0"/>
          <w:sz w:val="24"/>
          <w:szCs w:val="24"/>
          <w:lang w:val="en-US"/>
        </w:rPr>
        <w:t>“Data collection addressed the research issue.”</w:t>
      </w:r>
      <w:r w:rsidRPr="4369956E" w:rsidR="6B630044">
        <w:rPr>
          <w:rFonts w:ascii="Arial" w:hAnsi="Arial" w:eastAsia="Arial" w:cs="Arial"/>
          <w:noProof w:val="0"/>
          <w:sz w:val="24"/>
          <w:szCs w:val="24"/>
          <w:lang w:val="en-US"/>
        </w:rPr>
        <w:t xml:space="preserve"> The chosen method was effective in exploring dispenser motivations, including financial incentives, patient demand, and regulatory weaknesses.</w:t>
      </w:r>
    </w:p>
    <w:p w:rsidR="722FFED0" w:rsidP="4369956E" w:rsidRDefault="722FFED0" w14:paraId="18F689A6" w14:textId="723D5201">
      <w:pPr>
        <w:bidi w:val="0"/>
        <w:spacing w:before="240" w:beforeAutospacing="off" w:after="240" w:afterAutospacing="off"/>
        <w:jc w:val="both"/>
      </w:pPr>
      <w:r w:rsidRPr="4369956E" w:rsidR="6B630044">
        <w:rPr>
          <w:rFonts w:ascii="Arial" w:hAnsi="Arial" w:eastAsia="Arial" w:cs="Arial"/>
          <w:noProof w:val="0"/>
          <w:sz w:val="24"/>
          <w:szCs w:val="24"/>
          <w:lang w:val="en-US"/>
        </w:rPr>
        <w:t>While the data provided rich insight into perceived practices and decision-making processes, the absence of observational validation limits confirmation of self-reported behaviours. Cultural norms supporting self-medication were identified as key influences, reinforcing the need for context-specific interventions rather than uniform regulatory approaches. Ethical considerations were addressed; however, reluctance to disclose inappropriate practices may have influenced findings. Despite this, the study contributes meaningful evidence on behavioural and cultural drivers of unsafe dispensing.</w:t>
      </w:r>
    </w:p>
    <w:p w:rsidR="722FFED0" w:rsidP="4369956E" w:rsidRDefault="722FFED0" w14:paraId="3A7FEBF4" w14:textId="547DD538">
      <w:pPr>
        <w:bidi w:val="0"/>
        <w:spacing w:before="240" w:beforeAutospacing="off" w:after="240" w:afterAutospacing="off"/>
        <w:jc w:val="both"/>
      </w:pPr>
    </w:p>
    <w:p w:rsidR="722FFED0" w:rsidP="668EA0FB" w:rsidRDefault="722FFED0" w14:paraId="0F85F6EE" w14:textId="3D73BC1C">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879129920" w:id="555603247"/>
      <w:r w:rsidRPr="668EA0FB" w:rsidR="6B630044">
        <w:rPr>
          <w:rFonts w:ascii="Arial" w:hAnsi="Arial" w:eastAsia="Arial" w:cs="Arial"/>
          <w:b w:val="1"/>
          <w:bCs w:val="1"/>
          <w:noProof w:val="0"/>
          <w:sz w:val="28"/>
          <w:szCs w:val="28"/>
          <w:lang w:val="en-US"/>
        </w:rPr>
        <w:t>4.5.6 Article 6: Atif M., et al. (Pakistan)</w:t>
      </w:r>
      <w:bookmarkEnd w:id="555603247"/>
    </w:p>
    <w:p w:rsidR="722FFED0" w:rsidP="4369956E" w:rsidRDefault="722FFED0" w14:paraId="1871EAE6" w14:textId="077E591E">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qualitative study explored antibiotic use practices in community pharmacies. The CASP criterion applied was </w:t>
      </w:r>
      <w:r w:rsidRPr="4369956E" w:rsidR="6B630044">
        <w:rPr>
          <w:rFonts w:ascii="Arial" w:hAnsi="Arial" w:eastAsia="Arial" w:cs="Arial"/>
          <w:b w:val="1"/>
          <w:bCs w:val="1"/>
          <w:noProof w:val="0"/>
          <w:sz w:val="24"/>
          <w:szCs w:val="24"/>
          <w:lang w:val="en-US"/>
        </w:rPr>
        <w:t>“Relationship between researcher and participants considered.”</w:t>
      </w:r>
      <w:r w:rsidRPr="4369956E" w:rsidR="6B630044">
        <w:rPr>
          <w:rFonts w:ascii="Arial" w:hAnsi="Arial" w:eastAsia="Arial" w:cs="Arial"/>
          <w:noProof w:val="0"/>
          <w:sz w:val="24"/>
          <w:szCs w:val="24"/>
          <w:lang w:val="en-US"/>
        </w:rPr>
        <w:t xml:space="preserve"> The authors acknowledged the potential influence of interviewer presence on participant responses, recognising the risk of socially desirable reporting.</w:t>
      </w:r>
    </w:p>
    <w:p w:rsidR="722FFED0" w:rsidP="4369956E" w:rsidRDefault="722FFED0" w14:paraId="282B5FE4" w14:textId="5BB8ED59">
      <w:pPr>
        <w:bidi w:val="0"/>
        <w:spacing w:before="240" w:beforeAutospacing="off" w:after="240" w:afterAutospacing="off"/>
        <w:jc w:val="both"/>
      </w:pPr>
      <w:r w:rsidRPr="4369956E" w:rsidR="6B630044">
        <w:rPr>
          <w:rFonts w:ascii="Arial" w:hAnsi="Arial" w:eastAsia="Arial" w:cs="Arial"/>
          <w:noProof w:val="0"/>
          <w:sz w:val="24"/>
          <w:szCs w:val="24"/>
          <w:lang w:val="en-US"/>
        </w:rPr>
        <w:t>However, reflexivity could have been strengthened by detailing strategies used to minimise such bias during data collection and analysis. Findings highlighted systemic drivers of antibiotic over-dispensing, including low patient awareness, commercial pressures, and weak regulatory enforcement. Ethical standards were upheld through voluntary participation and confidentiality, enhancing credibility. The study offers valuable insight into behavioural and systemic contributors to antibiotic misuse in LMIC pharmacy settings.</w:t>
      </w:r>
    </w:p>
    <w:p w:rsidR="722FFED0" w:rsidP="4369956E" w:rsidRDefault="722FFED0" w14:paraId="668C2409" w14:textId="49480FE9">
      <w:pPr>
        <w:bidi w:val="0"/>
        <w:spacing w:before="240" w:beforeAutospacing="off" w:after="240" w:afterAutospacing="off"/>
        <w:jc w:val="both"/>
      </w:pPr>
    </w:p>
    <w:p w:rsidR="722FFED0" w:rsidP="668EA0FB" w:rsidRDefault="722FFED0" w14:paraId="348CBFE1" w14:textId="0FBFC64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12080304" w:id="983213114"/>
      <w:r w:rsidRPr="668EA0FB" w:rsidR="6B630044">
        <w:rPr>
          <w:rFonts w:ascii="Arial" w:hAnsi="Arial" w:eastAsia="Arial" w:cs="Arial"/>
          <w:b w:val="1"/>
          <w:bCs w:val="1"/>
          <w:noProof w:val="0"/>
          <w:sz w:val="28"/>
          <w:szCs w:val="28"/>
          <w:lang w:val="en-US"/>
        </w:rPr>
        <w:t>4.5.7 Article 7: Roche S.D., et al. (Kenya)</w:t>
      </w:r>
      <w:bookmarkEnd w:id="983213114"/>
    </w:p>
    <w:p w:rsidR="722FFED0" w:rsidP="4369956E" w:rsidRDefault="722FFED0" w14:paraId="2964C212" w14:textId="5DE2D6F7">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formative study assessed the feasibility and acceptability of pharmacy-based delivery interventions. The CASP criterion applied was </w:t>
      </w:r>
      <w:r w:rsidRPr="4369956E" w:rsidR="6B630044">
        <w:rPr>
          <w:rFonts w:ascii="Arial" w:hAnsi="Arial" w:eastAsia="Arial" w:cs="Arial"/>
          <w:b w:val="1"/>
          <w:bCs w:val="1"/>
          <w:noProof w:val="0"/>
          <w:sz w:val="24"/>
          <w:szCs w:val="24"/>
          <w:lang w:val="en-US"/>
        </w:rPr>
        <w:t>“Ethical issues considered.”</w:t>
      </w:r>
      <w:r w:rsidRPr="4369956E" w:rsidR="6B630044">
        <w:rPr>
          <w:rFonts w:ascii="Arial" w:hAnsi="Arial" w:eastAsia="Arial" w:cs="Arial"/>
          <w:noProof w:val="0"/>
          <w:sz w:val="24"/>
          <w:szCs w:val="24"/>
          <w:lang w:val="en-US"/>
        </w:rPr>
        <w:t xml:space="preserve"> The study demonstrated strong ethical rigor through informed consent and voluntary participation.</w:t>
      </w:r>
    </w:p>
    <w:p w:rsidR="722FFED0" w:rsidP="4369956E" w:rsidRDefault="722FFED0" w14:paraId="00B0721D" w14:textId="4A35B8A4">
      <w:pPr>
        <w:bidi w:val="0"/>
        <w:spacing w:before="240" w:beforeAutospacing="off" w:after="240" w:afterAutospacing="off"/>
        <w:jc w:val="both"/>
      </w:pPr>
      <w:r w:rsidRPr="4369956E" w:rsidR="6B630044">
        <w:rPr>
          <w:rFonts w:ascii="Arial" w:hAnsi="Arial" w:eastAsia="Arial" w:cs="Arial"/>
          <w:noProof w:val="0"/>
          <w:sz w:val="24"/>
          <w:szCs w:val="24"/>
          <w:lang w:val="en-US"/>
        </w:rPr>
        <w:t>Critically, potential conflicts of interest between pharmacists’ commercial motivations and patient care objectives were not fully explored. Findings highlighted the importance of trust-building with clients for successful intervention delivery, underscoring both interpersonal and systemic challenges. Although data analysis was transparent, the influence of researcher expectations on participant responses was insufficiently examined. Nonetheless, the study provides useful implementation-level insights relevant to quality improvement initiatives.</w:t>
      </w:r>
    </w:p>
    <w:p w:rsidR="722FFED0" w:rsidP="4369956E" w:rsidRDefault="722FFED0" w14:paraId="7EF4B101" w14:textId="1B3EFC60">
      <w:pPr>
        <w:bidi w:val="0"/>
        <w:spacing w:before="240" w:beforeAutospacing="off" w:after="240" w:afterAutospacing="off"/>
        <w:jc w:val="both"/>
      </w:pPr>
    </w:p>
    <w:p w:rsidR="722FFED0" w:rsidP="668EA0FB" w:rsidRDefault="722FFED0" w14:paraId="7763995F" w14:textId="351D34A0">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676756265" w:id="661595499"/>
      <w:r w:rsidRPr="668EA0FB" w:rsidR="6B630044">
        <w:rPr>
          <w:rFonts w:ascii="Arial" w:hAnsi="Arial" w:eastAsia="Arial" w:cs="Arial"/>
          <w:b w:val="1"/>
          <w:bCs w:val="1"/>
          <w:noProof w:val="0"/>
          <w:sz w:val="28"/>
          <w:szCs w:val="28"/>
          <w:lang w:val="en-US"/>
        </w:rPr>
        <w:t>4.5.8 Article 8: Crafford L., et al. (South Africa)</w:t>
      </w:r>
      <w:bookmarkEnd w:id="661595499"/>
    </w:p>
    <w:p w:rsidR="722FFED0" w:rsidP="4369956E" w:rsidRDefault="722FFED0" w14:paraId="24B0FBCB" w14:textId="617AABA2">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qualitative study explored barriers to integrating clinical pharmacists into hospital settings. The CASP criterion applied was </w:t>
      </w:r>
      <w:r w:rsidRPr="4369956E" w:rsidR="6B630044">
        <w:rPr>
          <w:rFonts w:ascii="Arial" w:hAnsi="Arial" w:eastAsia="Arial" w:cs="Arial"/>
          <w:b w:val="1"/>
          <w:bCs w:val="1"/>
          <w:noProof w:val="0"/>
          <w:sz w:val="24"/>
          <w:szCs w:val="24"/>
          <w:lang w:val="en-US"/>
        </w:rPr>
        <w:t>“Data analysis sufficiently rigorous.”</w:t>
      </w:r>
      <w:r w:rsidRPr="4369956E" w:rsidR="6B630044">
        <w:rPr>
          <w:rFonts w:ascii="Arial" w:hAnsi="Arial" w:eastAsia="Arial" w:cs="Arial"/>
          <w:noProof w:val="0"/>
          <w:sz w:val="24"/>
          <w:szCs w:val="24"/>
          <w:lang w:val="en-US"/>
        </w:rPr>
        <w:t xml:space="preserve"> Thematic analysis was conducted systematically, with clear coding procedures and structured theme development.</w:t>
      </w:r>
    </w:p>
    <w:p w:rsidR="722FFED0" w:rsidP="4369956E" w:rsidRDefault="722FFED0" w14:paraId="52FB8941" w14:textId="71E81593">
      <w:pPr>
        <w:bidi w:val="0"/>
        <w:spacing w:before="240" w:beforeAutospacing="off" w:after="240" w:afterAutospacing="off"/>
        <w:jc w:val="both"/>
      </w:pPr>
      <w:r w:rsidRPr="4369956E" w:rsidR="6B630044">
        <w:rPr>
          <w:rFonts w:ascii="Arial" w:hAnsi="Arial" w:eastAsia="Arial" w:cs="Arial"/>
          <w:noProof w:val="0"/>
          <w:sz w:val="24"/>
          <w:szCs w:val="24"/>
          <w:lang w:val="en-US"/>
        </w:rPr>
        <w:t>While analytic rigour was strong, reporting inter-coder reliability could have further enhanced confirmability. The study identified organisational and hierarchical barriers, including limited managerial support and resistance to role expansion. Ethical considerations were appropriately addressed through anonymisation. Overall, the study offers robust organisational insight into barriers affecting medication safety and service improvement.</w:t>
      </w:r>
    </w:p>
    <w:p w:rsidR="722FFED0" w:rsidP="4369956E" w:rsidRDefault="722FFED0" w14:paraId="60376BE8" w14:textId="70E1FCC2">
      <w:pPr>
        <w:bidi w:val="0"/>
        <w:spacing w:before="240" w:beforeAutospacing="off" w:after="240" w:afterAutospacing="off"/>
        <w:jc w:val="both"/>
      </w:pPr>
    </w:p>
    <w:p w:rsidR="722FFED0" w:rsidP="668EA0FB" w:rsidRDefault="722FFED0" w14:paraId="6F97FA80" w14:textId="3E582435">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839708539" w:id="1636201450"/>
      <w:r w:rsidRPr="668EA0FB" w:rsidR="6B630044">
        <w:rPr>
          <w:rFonts w:ascii="Arial" w:hAnsi="Arial" w:eastAsia="Arial" w:cs="Arial"/>
          <w:b w:val="1"/>
          <w:bCs w:val="1"/>
          <w:noProof w:val="0"/>
          <w:sz w:val="28"/>
          <w:szCs w:val="28"/>
          <w:lang w:val="en-US"/>
        </w:rPr>
        <w:t xml:space="preserve">4.5.9 Article 9: </w:t>
      </w:r>
      <w:r w:rsidRPr="668EA0FB" w:rsidR="6B630044">
        <w:rPr>
          <w:rFonts w:ascii="Arial" w:hAnsi="Arial" w:eastAsia="Arial" w:cs="Arial"/>
          <w:b w:val="1"/>
          <w:bCs w:val="1"/>
          <w:noProof w:val="0"/>
          <w:sz w:val="28"/>
          <w:szCs w:val="28"/>
          <w:lang w:val="en-US"/>
        </w:rPr>
        <w:t>Gelayee</w:t>
      </w:r>
      <w:r w:rsidRPr="668EA0FB" w:rsidR="6B630044">
        <w:rPr>
          <w:rFonts w:ascii="Arial" w:hAnsi="Arial" w:eastAsia="Arial" w:cs="Arial"/>
          <w:b w:val="1"/>
          <w:bCs w:val="1"/>
          <w:noProof w:val="0"/>
          <w:sz w:val="28"/>
          <w:szCs w:val="28"/>
          <w:lang w:val="en-US"/>
        </w:rPr>
        <w:t xml:space="preserve"> D.A., et al. (Ethiopia)</w:t>
      </w:r>
      <w:bookmarkEnd w:id="1636201450"/>
    </w:p>
    <w:p w:rsidR="722FFED0" w:rsidP="4369956E" w:rsidRDefault="722FFED0" w14:paraId="623FB2D8" w14:textId="6E2802DC">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explored community pharmacists’ perceptions of dispensing errors. The CASP criterion applied was </w:t>
      </w:r>
      <w:r w:rsidRPr="4369956E" w:rsidR="6B630044">
        <w:rPr>
          <w:rFonts w:ascii="Arial" w:hAnsi="Arial" w:eastAsia="Arial" w:cs="Arial"/>
          <w:b w:val="1"/>
          <w:bCs w:val="1"/>
          <w:noProof w:val="0"/>
          <w:sz w:val="24"/>
          <w:szCs w:val="24"/>
          <w:lang w:val="en-US"/>
        </w:rPr>
        <w:t>“Findings clearly stated.”</w:t>
      </w:r>
      <w:r w:rsidRPr="4369956E" w:rsidR="6B630044">
        <w:rPr>
          <w:rFonts w:ascii="Arial" w:hAnsi="Arial" w:eastAsia="Arial" w:cs="Arial"/>
          <w:noProof w:val="0"/>
          <w:sz w:val="24"/>
          <w:szCs w:val="24"/>
          <w:lang w:val="en-US"/>
        </w:rPr>
        <w:t xml:space="preserve"> Results were presented clearly, with well-organised thematic categories.</w:t>
      </w:r>
    </w:p>
    <w:p w:rsidR="722FFED0" w:rsidP="4369956E" w:rsidRDefault="722FFED0" w14:paraId="2CE04F06" w14:textId="5073D535">
      <w:pPr>
        <w:bidi w:val="0"/>
        <w:spacing w:before="240" w:beforeAutospacing="off" w:after="240" w:afterAutospacing="off"/>
        <w:jc w:val="both"/>
      </w:pPr>
      <w:r w:rsidRPr="4369956E" w:rsidR="6B630044">
        <w:rPr>
          <w:rFonts w:ascii="Arial" w:hAnsi="Arial" w:eastAsia="Arial" w:cs="Arial"/>
          <w:noProof w:val="0"/>
          <w:sz w:val="24"/>
          <w:szCs w:val="24"/>
          <w:lang w:val="en-US"/>
        </w:rPr>
        <w:t>While descriptive clarity was strong, deeper analysis linking findings to practical interventions could have improved applicability. Identified contributors to dispensing errors included knowledge gaps, workload pressures, and systemic constraints. Ethical safeguards were maintained, although social desirability bias remains a consideration. The study provides foundational insight into mechanisms underlying dispensing errors.</w:t>
      </w:r>
    </w:p>
    <w:p w:rsidR="722FFED0" w:rsidP="4369956E" w:rsidRDefault="722FFED0" w14:paraId="560D9F46" w14:textId="1566D627">
      <w:pPr>
        <w:bidi w:val="0"/>
        <w:spacing w:before="240" w:beforeAutospacing="off" w:after="240" w:afterAutospacing="off"/>
        <w:jc w:val="both"/>
      </w:pPr>
    </w:p>
    <w:p w:rsidR="722FFED0" w:rsidP="668EA0FB" w:rsidRDefault="722FFED0" w14:paraId="7775B133" w14:textId="6922AA61">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840311676" w:id="427780907"/>
      <w:r w:rsidRPr="668EA0FB" w:rsidR="6B630044">
        <w:rPr>
          <w:rFonts w:ascii="Arial" w:hAnsi="Arial" w:eastAsia="Arial" w:cs="Arial"/>
          <w:b w:val="1"/>
          <w:bCs w:val="1"/>
          <w:noProof w:val="0"/>
          <w:sz w:val="28"/>
          <w:szCs w:val="28"/>
          <w:lang w:val="en-US"/>
        </w:rPr>
        <w:t xml:space="preserve">4.5.10 Article 10: </w:t>
      </w:r>
      <w:r w:rsidRPr="668EA0FB" w:rsidR="6B630044">
        <w:rPr>
          <w:rFonts w:ascii="Arial" w:hAnsi="Arial" w:eastAsia="Arial" w:cs="Arial"/>
          <w:b w:val="1"/>
          <w:bCs w:val="1"/>
          <w:noProof w:val="0"/>
          <w:sz w:val="28"/>
          <w:szCs w:val="28"/>
          <w:lang w:val="en-US"/>
        </w:rPr>
        <w:t>Kentab</w:t>
      </w:r>
      <w:r w:rsidRPr="668EA0FB" w:rsidR="6B630044">
        <w:rPr>
          <w:rFonts w:ascii="Arial" w:hAnsi="Arial" w:eastAsia="Arial" w:cs="Arial"/>
          <w:b w:val="1"/>
          <w:bCs w:val="1"/>
          <w:noProof w:val="0"/>
          <w:sz w:val="28"/>
          <w:szCs w:val="28"/>
          <w:lang w:val="en-US"/>
        </w:rPr>
        <w:t xml:space="preserve"> B.Y., et al. (Global)</w:t>
      </w:r>
      <w:bookmarkEnd w:id="427780907"/>
    </w:p>
    <w:p w:rsidR="722FFED0" w:rsidP="4369956E" w:rsidRDefault="722FFED0" w14:paraId="22AEFCCC" w14:textId="383EAFDF">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qualitative study examined medication dispensing and counselling for patients with visual impairment. The CASP criterion applied was </w:t>
      </w:r>
      <w:r w:rsidRPr="4369956E" w:rsidR="6B630044">
        <w:rPr>
          <w:rFonts w:ascii="Arial" w:hAnsi="Arial" w:eastAsia="Arial" w:cs="Arial"/>
          <w:b w:val="1"/>
          <w:bCs w:val="1"/>
          <w:noProof w:val="0"/>
          <w:sz w:val="24"/>
          <w:szCs w:val="24"/>
          <w:lang w:val="en-US"/>
        </w:rPr>
        <w:t>“Research value and contribution.”</w:t>
      </w:r>
      <w:r w:rsidRPr="4369956E" w:rsidR="6B630044">
        <w:rPr>
          <w:rFonts w:ascii="Arial" w:hAnsi="Arial" w:eastAsia="Arial" w:cs="Arial"/>
          <w:noProof w:val="0"/>
          <w:sz w:val="24"/>
          <w:szCs w:val="24"/>
          <w:lang w:val="en-US"/>
        </w:rPr>
        <w:t xml:space="preserve"> The study makes a significant contribution to patient-centred pharmacy practice by addressing an underexplored population.</w:t>
      </w:r>
    </w:p>
    <w:p w:rsidR="722FFED0" w:rsidP="4369956E" w:rsidRDefault="722FFED0" w14:paraId="11699CF7" w14:textId="1DD2FBC4">
      <w:pPr>
        <w:bidi w:val="0"/>
        <w:spacing w:before="240" w:beforeAutospacing="off" w:after="240" w:afterAutospacing="off"/>
        <w:jc w:val="both"/>
      </w:pPr>
      <w:r w:rsidRPr="4369956E" w:rsidR="6B630044">
        <w:rPr>
          <w:rFonts w:ascii="Arial" w:hAnsi="Arial" w:eastAsia="Arial" w:cs="Arial"/>
          <w:noProof w:val="0"/>
          <w:sz w:val="24"/>
          <w:szCs w:val="24"/>
          <w:lang w:val="en-US"/>
        </w:rPr>
        <w:t>Although findings offer valuable insights, generalisability is limited due to sample size and geographic scope. Ethical protocols were rigorously followed, and the results have clear implications for designing inclusive pharmacy services.</w:t>
      </w:r>
    </w:p>
    <w:p w:rsidR="722FFED0" w:rsidP="4369956E" w:rsidRDefault="722FFED0" w14:paraId="2734BDA2" w14:textId="699BEEA7">
      <w:pPr>
        <w:bidi w:val="0"/>
        <w:spacing w:before="240" w:beforeAutospacing="off" w:after="240" w:afterAutospacing="off"/>
        <w:jc w:val="both"/>
      </w:pPr>
    </w:p>
    <w:p w:rsidR="722FFED0" w:rsidP="668EA0FB" w:rsidRDefault="722FFED0" w14:paraId="478D4F0F" w14:textId="0A853043">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2012673798" w:id="1512624233"/>
      <w:r w:rsidRPr="668EA0FB" w:rsidR="6B630044">
        <w:rPr>
          <w:rFonts w:ascii="Arial" w:hAnsi="Arial" w:eastAsia="Arial" w:cs="Arial"/>
          <w:b w:val="1"/>
          <w:bCs w:val="1"/>
          <w:noProof w:val="0"/>
          <w:sz w:val="28"/>
          <w:szCs w:val="28"/>
          <w:lang w:val="en-US"/>
        </w:rPr>
        <w:t>4.5.11 Article 11: Atif M., et al. (South Asia)</w:t>
      </w:r>
      <w:bookmarkEnd w:id="1512624233"/>
    </w:p>
    <w:p w:rsidR="722FFED0" w:rsidP="4369956E" w:rsidRDefault="722FFED0" w14:paraId="43EE02A6" w14:textId="793391FE">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investigated antibiotic dispensing practices using qualitative interviews. The CASP criterion applied was </w:t>
      </w:r>
      <w:r w:rsidRPr="4369956E" w:rsidR="6B630044">
        <w:rPr>
          <w:rFonts w:ascii="Arial" w:hAnsi="Arial" w:eastAsia="Arial" w:cs="Arial"/>
          <w:b w:val="1"/>
          <w:bCs w:val="1"/>
          <w:noProof w:val="0"/>
          <w:sz w:val="24"/>
          <w:szCs w:val="24"/>
          <w:lang w:val="en-US"/>
        </w:rPr>
        <w:t>“Qualitative methodology appropriate.”</w:t>
      </w:r>
      <w:r w:rsidRPr="4369956E" w:rsidR="6B630044">
        <w:rPr>
          <w:rFonts w:ascii="Arial" w:hAnsi="Arial" w:eastAsia="Arial" w:cs="Arial"/>
          <w:noProof w:val="0"/>
          <w:sz w:val="24"/>
          <w:szCs w:val="24"/>
          <w:lang w:val="en-US"/>
        </w:rPr>
        <w:t xml:space="preserve"> The approach was suitable for capturing contextual factors influencing over-the-counter antibiotic use.</w:t>
      </w:r>
    </w:p>
    <w:p w:rsidR="722FFED0" w:rsidP="4369956E" w:rsidRDefault="722FFED0" w14:paraId="794DEC86" w14:textId="21F6DA54">
      <w:pPr>
        <w:bidi w:val="0"/>
        <w:spacing w:before="240" w:beforeAutospacing="off" w:after="240" w:afterAutospacing="off"/>
        <w:jc w:val="both"/>
      </w:pPr>
      <w:r w:rsidRPr="4369956E" w:rsidR="6B630044">
        <w:rPr>
          <w:rFonts w:ascii="Arial" w:hAnsi="Arial" w:eastAsia="Arial" w:cs="Arial"/>
          <w:noProof w:val="0"/>
          <w:sz w:val="24"/>
          <w:szCs w:val="24"/>
          <w:lang w:val="en-US"/>
        </w:rPr>
        <w:t>While the methodology aligned with the research aims, integrating observational methods could have strengthened validity. Systemic drivers such as regulatory gaps and economic incentives were consistently highlighted. Ethical standards were maintained, enhancing study credibility.</w:t>
      </w:r>
    </w:p>
    <w:p w:rsidR="722FFED0" w:rsidP="4369956E" w:rsidRDefault="722FFED0" w14:paraId="6CF0B185" w14:textId="701D5F7A">
      <w:pPr>
        <w:bidi w:val="0"/>
        <w:spacing w:before="240" w:beforeAutospacing="off" w:after="240" w:afterAutospacing="off"/>
        <w:jc w:val="both"/>
      </w:pPr>
    </w:p>
    <w:p w:rsidR="722FFED0" w:rsidP="668EA0FB" w:rsidRDefault="722FFED0" w14:paraId="58C0F955" w14:textId="59C58054">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579304991" w:id="1414619994"/>
      <w:r w:rsidRPr="668EA0FB" w:rsidR="6B630044">
        <w:rPr>
          <w:rFonts w:ascii="Arial" w:hAnsi="Arial" w:eastAsia="Arial" w:cs="Arial"/>
          <w:b w:val="1"/>
          <w:bCs w:val="1"/>
          <w:noProof w:val="0"/>
          <w:sz w:val="28"/>
          <w:szCs w:val="28"/>
          <w:lang w:val="en-US"/>
        </w:rPr>
        <w:t>4.5.12 Article 12: Kamba P.F., et al. (Uganda)</w:t>
      </w:r>
      <w:bookmarkEnd w:id="1414619994"/>
    </w:p>
    <w:p w:rsidR="722FFED0" w:rsidP="4369956E" w:rsidRDefault="722FFED0" w14:paraId="7C9EE086" w14:textId="5B059AB1">
      <w:pPr>
        <w:bidi w:val="0"/>
        <w:spacing w:before="240" w:beforeAutospacing="off" w:after="240" w:afterAutospacing="off"/>
        <w:jc w:val="both"/>
      </w:pPr>
      <w:r w:rsidRPr="4369956E" w:rsidR="6B630044">
        <w:rPr>
          <w:rFonts w:ascii="Arial" w:hAnsi="Arial" w:eastAsia="Arial" w:cs="Arial"/>
          <w:noProof w:val="0"/>
          <w:sz w:val="24"/>
          <w:szCs w:val="24"/>
          <w:lang w:val="en-US"/>
        </w:rPr>
        <w:t xml:space="preserve">This study assessed regulatory compliance in private pharmacies using interviews and simulated client methods. The CASP criterion applied was </w:t>
      </w:r>
      <w:r w:rsidRPr="4369956E" w:rsidR="6B630044">
        <w:rPr>
          <w:rFonts w:ascii="Arial" w:hAnsi="Arial" w:eastAsia="Arial" w:cs="Arial"/>
          <w:b w:val="1"/>
          <w:bCs w:val="1"/>
          <w:noProof w:val="0"/>
          <w:sz w:val="24"/>
          <w:szCs w:val="24"/>
          <w:lang w:val="en-US"/>
        </w:rPr>
        <w:t>“Data collection addressed the research issue.”</w:t>
      </w:r>
      <w:r w:rsidRPr="4369956E" w:rsidR="6B630044">
        <w:rPr>
          <w:rFonts w:ascii="Arial" w:hAnsi="Arial" w:eastAsia="Arial" w:cs="Arial"/>
          <w:noProof w:val="0"/>
          <w:sz w:val="24"/>
          <w:szCs w:val="24"/>
          <w:lang w:val="en-US"/>
        </w:rPr>
        <w:t xml:space="preserve"> Combining interviews with simulated client visits strengthened methodological robustness by capturing both reported and observed behaviours.</w:t>
      </w:r>
    </w:p>
    <w:p w:rsidR="722FFED0" w:rsidP="4369956E" w:rsidRDefault="722FFED0" w14:paraId="1C74EA48" w14:textId="1C98FEB5">
      <w:pPr>
        <w:bidi w:val="0"/>
        <w:spacing w:before="240" w:beforeAutospacing="off" w:after="240" w:afterAutospacing="off"/>
        <w:jc w:val="both"/>
      </w:pPr>
      <w:r w:rsidRPr="4369956E" w:rsidR="6B630044">
        <w:rPr>
          <w:rFonts w:ascii="Arial" w:hAnsi="Arial" w:eastAsia="Arial" w:cs="Arial"/>
          <w:noProof w:val="0"/>
          <w:sz w:val="24"/>
          <w:szCs w:val="24"/>
          <w:lang w:val="en-US"/>
        </w:rPr>
        <w:t>However, simulated client approaches may introduce performance bias, and self-reported data may underrepresent regulatory violations. Despite these limitations, the study effectively highlighted systemic and human factors affecting compliance. Ethical safeguards were clearly reported, ensuring participant protection.</w:t>
      </w:r>
    </w:p>
    <w:p w:rsidR="722FFED0" w:rsidP="722FFED0" w:rsidRDefault="722FFED0" w14:paraId="032437ED" w14:textId="35C7BC02">
      <w:pPr>
        <w:pStyle w:val="Normal"/>
        <w:bidi w:val="0"/>
        <w:spacing w:before="240" w:beforeAutospacing="off" w:after="240" w:afterAutospacing="off"/>
        <w:jc w:val="both"/>
        <w:rPr>
          <w:rFonts w:ascii="Arial" w:hAnsi="Arial" w:eastAsia="Arial" w:cs="Arial"/>
          <w:noProof w:val="0"/>
          <w:sz w:val="24"/>
          <w:szCs w:val="24"/>
          <w:lang w:val="en-US"/>
        </w:rPr>
      </w:pPr>
    </w:p>
    <w:p w:rsidR="20DFD881" w:rsidP="407E75B8" w:rsidRDefault="20DFD881" w14:paraId="0D7DFE78" w14:textId="473D1C2E">
      <w:pPr>
        <w:pStyle w:val="Heading3"/>
        <w:jc w:val="both"/>
        <w:rPr>
          <w:noProof w:val="0"/>
          <w:lang w:val="en-US"/>
        </w:rPr>
      </w:pPr>
      <w:bookmarkStart w:name="_Toc173046521" w:id="666672372"/>
      <w:r w:rsidRPr="668EA0FB" w:rsidR="210B6614">
        <w:rPr>
          <w:noProof w:val="0"/>
          <w:lang w:val="en-US"/>
        </w:rPr>
        <w:t>4.6 Chapter Summary</w:t>
      </w:r>
      <w:bookmarkEnd w:id="666672372"/>
    </w:p>
    <w:p w:rsidR="20DFD881" w:rsidP="722FFED0" w:rsidRDefault="20DFD881" w14:paraId="2E630821" w14:textId="65F6A428">
      <w:pPr>
        <w:bidi w:val="0"/>
        <w:spacing w:before="240" w:beforeAutospacing="off" w:after="240" w:afterAutospacing="off"/>
        <w:jc w:val="both"/>
      </w:pPr>
      <w:r w:rsidRPr="722FFED0" w:rsidR="20DFD881">
        <w:rPr>
          <w:rFonts w:ascii="Arial" w:hAnsi="Arial" w:eastAsia="Arial" w:cs="Arial"/>
          <w:noProof w:val="0"/>
          <w:sz w:val="24"/>
          <w:szCs w:val="24"/>
          <w:lang w:val="en-US"/>
        </w:rPr>
        <w:t>This chapter critically appraised twelve qualitative studies on pharmacist-related dispensing errors in LMICs using the CASP tool to evaluate their validity, reliability, and relevance. The appraisal revealed that most studies clearly stated their aims, applied suitable qualitative designs, and followed ethical procedures. However, issues such as limited reflexivity, small sample sizes, and insufficient analytical transparency were common.</w:t>
      </w:r>
    </w:p>
    <w:p w:rsidR="3B7BAD25" w:rsidP="5B971295" w:rsidRDefault="3B7BAD25" w14:paraId="27EB427F" w14:textId="2B46E481">
      <w:pPr>
        <w:spacing w:before="240" w:beforeAutospacing="off" w:after="240" w:afterAutospacing="off"/>
        <w:jc w:val="both"/>
        <w:rPr>
          <w:rFonts w:ascii="Arial" w:hAnsi="Arial" w:eastAsia="Arial" w:cs="Arial"/>
          <w:b w:val="1"/>
          <w:bCs w:val="1"/>
          <w:noProof w:val="0"/>
          <w:sz w:val="24"/>
          <w:szCs w:val="24"/>
          <w:lang w:val="en-US"/>
        </w:rPr>
      </w:pPr>
      <w:r w:rsidRPr="5B971295" w:rsidR="2C7EBBA7">
        <w:rPr>
          <w:rFonts w:ascii="Arial" w:hAnsi="Arial" w:eastAsia="Arial" w:cs="Arial"/>
          <w:noProof w:val="0"/>
          <w:sz w:val="24"/>
          <w:szCs w:val="24"/>
          <w:lang w:val="en-US"/>
        </w:rPr>
        <w:t xml:space="preserve">Findings across studies highlighted key factors influencing dispensing errors, including workload pressure, inadequate supervision, financial incentives, and weak regulation. Despite methodological limitations, the studies </w:t>
      </w:r>
      <w:r w:rsidRPr="5B971295" w:rsidR="2C7EBBA7">
        <w:rPr>
          <w:rFonts w:ascii="Arial" w:hAnsi="Arial" w:eastAsia="Arial" w:cs="Arial"/>
          <w:noProof w:val="0"/>
          <w:sz w:val="24"/>
          <w:szCs w:val="24"/>
          <w:lang w:val="en-US"/>
        </w:rPr>
        <w:t>provided</w:t>
      </w:r>
      <w:r w:rsidRPr="5B971295" w:rsidR="2C7EBBA7">
        <w:rPr>
          <w:rFonts w:ascii="Arial" w:hAnsi="Arial" w:eastAsia="Arial" w:cs="Arial"/>
          <w:noProof w:val="0"/>
          <w:sz w:val="24"/>
          <w:szCs w:val="24"/>
          <w:lang w:val="en-US"/>
        </w:rPr>
        <w:t xml:space="preserve"> meaningful insights into improving pharmacy practices, training, and patient safety. Overall, the CASP-based evaluation strengthened the credibility of this review by ensuring that only methodologically sound and contextually relevant studies were included.</w:t>
      </w:r>
    </w:p>
    <w:p w:rsidR="3B7BAD25" w:rsidP="5B971295" w:rsidRDefault="3B7BAD25" w14:paraId="348E87D2" w14:textId="4CDAC09D">
      <w:pPr>
        <w:pStyle w:val="Heading1"/>
        <w:bidi w:val="0"/>
        <w:rPr>
          <w:rFonts w:ascii="Arial" w:hAnsi="Arial" w:eastAsia="Arial" w:cs="Arial"/>
          <w:b w:val="1"/>
          <w:bCs w:val="1"/>
          <w:noProof w:val="0"/>
          <w:sz w:val="24"/>
          <w:szCs w:val="24"/>
          <w:lang w:val="en-US"/>
        </w:rPr>
      </w:pPr>
      <w:bookmarkStart w:name="_Toc1826482306" w:id="1842972749"/>
      <w:r w:rsidRPr="668EA0FB" w:rsidR="64014205">
        <w:rPr>
          <w:noProof w:val="0"/>
          <w:lang w:val="en-US"/>
        </w:rPr>
        <w:t>CHAPTER 5:</w:t>
      </w:r>
      <w:bookmarkEnd w:id="1842972749"/>
      <w:r w:rsidRPr="668EA0FB" w:rsidR="64014205">
        <w:rPr>
          <w:noProof w:val="0"/>
          <w:lang w:val="en-US"/>
        </w:rPr>
        <w:t xml:space="preserve"> </w:t>
      </w:r>
    </w:p>
    <w:p w:rsidR="3B7BAD25" w:rsidP="407E75B8" w:rsidRDefault="3B7BAD25" w14:paraId="5ABB4C04" w14:textId="0CF97E66">
      <w:pPr>
        <w:pStyle w:val="Heading2"/>
        <w:jc w:val="both"/>
        <w:rPr>
          <w:rFonts w:ascii="Arial" w:hAnsi="Arial" w:eastAsia="Arial" w:cs="Arial"/>
          <w:b w:val="1"/>
          <w:bCs w:val="1"/>
          <w:noProof w:val="0"/>
          <w:sz w:val="24"/>
          <w:szCs w:val="24"/>
          <w:lang w:val="en-US"/>
        </w:rPr>
      </w:pPr>
      <w:bookmarkStart w:name="_Toc343549227" w:id="1818477867"/>
      <w:r w:rsidRPr="668EA0FB" w:rsidR="58BA8D78">
        <w:rPr>
          <w:noProof w:val="0"/>
          <w:lang w:val="en-US"/>
        </w:rPr>
        <w:t>5.1 Introduction</w:t>
      </w:r>
      <w:bookmarkEnd w:id="1818477867"/>
    </w:p>
    <w:p w:rsidR="3B7BAD25" w:rsidP="057AE503" w:rsidRDefault="3B7BAD25" w14:paraId="69D3E48D" w14:textId="1F06220B">
      <w:pPr>
        <w:pStyle w:val="Normal"/>
        <w:bidi w:val="0"/>
        <w:spacing w:before="240" w:beforeAutospacing="off" w:after="240" w:afterAutospacing="off"/>
        <w:jc w:val="both"/>
      </w:pPr>
      <w:r w:rsidRPr="5B971295" w:rsidR="4B3535E6">
        <w:rPr>
          <w:rFonts w:ascii="Arial" w:hAnsi="Arial" w:eastAsia="Arial" w:cs="Arial"/>
          <w:noProof w:val="0"/>
          <w:sz w:val="24"/>
          <w:szCs w:val="24"/>
          <w:lang w:val="en-US"/>
        </w:rPr>
        <w:t xml:space="preserve">This chapter presents the findings derived from twelve qualitative studies included in this systematic review on “Addressing Pharmacist-Related Dispensing Errors in Low- and Middle-Income Countries (LMICs): A Quality Improvement Approach.” The purpose of this chapter is to interpret and discuss the evidence in alignment with the research </w:t>
      </w:r>
      <w:r w:rsidRPr="5B971295" w:rsidR="4B3535E6">
        <w:rPr>
          <w:rFonts w:ascii="Arial" w:hAnsi="Arial" w:eastAsia="Arial" w:cs="Arial"/>
          <w:noProof w:val="0"/>
          <w:sz w:val="24"/>
          <w:szCs w:val="24"/>
          <w:lang w:val="en-US"/>
        </w:rPr>
        <w:t>objectives</w:t>
      </w:r>
      <w:r w:rsidRPr="5B971295" w:rsidR="4B3535E6">
        <w:rPr>
          <w:rFonts w:ascii="Arial" w:hAnsi="Arial" w:eastAsia="Arial" w:cs="Arial"/>
          <w:noProof w:val="0"/>
          <w:sz w:val="24"/>
          <w:szCs w:val="24"/>
          <w:lang w:val="en-US"/>
        </w:rPr>
        <w:t>, highlighting key patterns, variations, and contextual factors influencing medication safety practices within LMIC pharmacy settings.</w:t>
      </w:r>
    </w:p>
    <w:p w:rsidR="3B7BAD25" w:rsidP="057AE503" w:rsidRDefault="3B7BAD25" w14:paraId="39AFBF4B" w14:textId="53A9A84D">
      <w:pPr>
        <w:pStyle w:val="Normal"/>
        <w:bidi w:val="0"/>
        <w:spacing w:before="240" w:beforeAutospacing="off" w:after="240" w:afterAutospacing="off"/>
        <w:jc w:val="both"/>
      </w:pPr>
      <w:r w:rsidRPr="63D0925E" w:rsidR="3B7BAD25">
        <w:rPr>
          <w:rFonts w:ascii="Arial" w:hAnsi="Arial" w:eastAsia="Arial" w:cs="Arial"/>
          <w:noProof w:val="0"/>
          <w:sz w:val="24"/>
          <w:szCs w:val="24"/>
          <w:lang w:val="en-US"/>
        </w:rPr>
        <w:t xml:space="preserve"> </w:t>
      </w:r>
      <w:r w:rsidRPr="63D0925E" w:rsidR="3B7BAD25">
        <w:rPr>
          <w:rFonts w:ascii="Arial" w:hAnsi="Arial" w:eastAsia="Arial" w:cs="Arial"/>
          <w:noProof w:val="0"/>
          <w:sz w:val="24"/>
          <w:szCs w:val="24"/>
          <w:lang w:val="en-US"/>
        </w:rPr>
        <w:t xml:space="preserve">Following the approach used by Nazia Khan (2022), thematic analysis was undertaken to </w:t>
      </w:r>
      <w:r w:rsidRPr="63D0925E" w:rsidR="3B7BAD25">
        <w:rPr>
          <w:rFonts w:ascii="Arial" w:hAnsi="Arial" w:eastAsia="Arial" w:cs="Arial"/>
          <w:noProof w:val="0"/>
          <w:sz w:val="24"/>
          <w:szCs w:val="24"/>
          <w:lang w:val="en-US"/>
        </w:rPr>
        <w:t>synthesise</w:t>
      </w:r>
      <w:r w:rsidRPr="63D0925E" w:rsidR="3B7BAD25">
        <w:rPr>
          <w:rFonts w:ascii="Arial" w:hAnsi="Arial" w:eastAsia="Arial" w:cs="Arial"/>
          <w:noProof w:val="0"/>
          <w:sz w:val="24"/>
          <w:szCs w:val="24"/>
          <w:lang w:val="en-US"/>
        </w:rPr>
        <w:t xml:space="preserve"> the qualitative findings, and emerging themes were </w:t>
      </w:r>
      <w:r w:rsidRPr="63D0925E" w:rsidR="3B7BAD25">
        <w:rPr>
          <w:rFonts w:ascii="Arial" w:hAnsi="Arial" w:eastAsia="Arial" w:cs="Arial"/>
          <w:noProof w:val="0"/>
          <w:sz w:val="24"/>
          <w:szCs w:val="24"/>
          <w:lang w:val="en-US"/>
        </w:rPr>
        <w:t>identified</w:t>
      </w:r>
      <w:r w:rsidRPr="63D0925E" w:rsidR="3B7BAD25">
        <w:rPr>
          <w:rFonts w:ascii="Arial" w:hAnsi="Arial" w:eastAsia="Arial" w:cs="Arial"/>
          <w:noProof w:val="0"/>
          <w:sz w:val="24"/>
          <w:szCs w:val="24"/>
          <w:lang w:val="en-US"/>
        </w:rPr>
        <w:t xml:space="preserve"> through a comparative review of the studies. The discussion integrates both descriptive and interpretive insights to critically </w:t>
      </w:r>
      <w:r w:rsidRPr="63D0925E" w:rsidR="3B7BAD25">
        <w:rPr>
          <w:rFonts w:ascii="Arial" w:hAnsi="Arial" w:eastAsia="Arial" w:cs="Arial"/>
          <w:noProof w:val="0"/>
          <w:sz w:val="24"/>
          <w:szCs w:val="24"/>
          <w:lang w:val="en-US"/>
        </w:rPr>
        <w:t>analyse</w:t>
      </w:r>
      <w:r w:rsidRPr="63D0925E" w:rsidR="3B7BAD25">
        <w:rPr>
          <w:rFonts w:ascii="Arial" w:hAnsi="Arial" w:eastAsia="Arial" w:cs="Arial"/>
          <w:noProof w:val="0"/>
          <w:sz w:val="24"/>
          <w:szCs w:val="24"/>
          <w:lang w:val="en-US"/>
        </w:rPr>
        <w:t xml:space="preserve"> how individual, institutional, and systemic factors contribute to pharmacist-related dispensing errors.</w:t>
      </w:r>
    </w:p>
    <w:p w:rsidR="3B7BAD25" w:rsidP="057AE503" w:rsidRDefault="3B7BAD25" w14:paraId="0EBA97D9" w14:textId="06D5F014">
      <w:pPr>
        <w:pStyle w:val="Normal"/>
        <w:bidi w:val="0"/>
        <w:spacing w:before="240" w:beforeAutospacing="off" w:after="240" w:afterAutospacing="off"/>
        <w:jc w:val="both"/>
      </w:pPr>
      <w:r w:rsidRPr="057AE503" w:rsidR="3B7BAD25">
        <w:rPr>
          <w:rFonts w:ascii="Arial" w:hAnsi="Arial" w:eastAsia="Arial" w:cs="Arial"/>
          <w:noProof w:val="0"/>
          <w:sz w:val="24"/>
          <w:szCs w:val="24"/>
          <w:lang w:val="en-US"/>
        </w:rPr>
        <w:t xml:space="preserve"> </w:t>
      </w:r>
    </w:p>
    <w:p w:rsidR="3B7BAD25" w:rsidP="057AE503" w:rsidRDefault="3B7BAD25" w14:paraId="23167381" w14:textId="2A2799B1">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64014205">
        <w:rPr>
          <w:rFonts w:ascii="Arial" w:hAnsi="Arial" w:eastAsia="Arial" w:cs="Arial"/>
          <w:noProof w:val="0"/>
          <w:sz w:val="24"/>
          <w:szCs w:val="24"/>
          <w:lang w:val="en-US"/>
        </w:rPr>
        <w:t xml:space="preserve"> </w:t>
      </w:r>
      <w:r w:rsidRPr="5B971295" w:rsidR="64014205">
        <w:rPr>
          <w:rStyle w:val="Heading2Char"/>
          <w:noProof w:val="0"/>
          <w:lang w:val="en-US"/>
        </w:rPr>
        <w:t>5.2 Data Analysis Tool</w:t>
      </w:r>
    </w:p>
    <w:p w:rsidR="3B7BAD25" w:rsidP="5B971295" w:rsidRDefault="3B7BAD25" w14:paraId="32E209BE" w14:textId="5EB74CCA">
      <w:pPr>
        <w:bidi w:val="0"/>
        <w:spacing w:before="240" w:beforeAutospacing="off" w:after="240" w:afterAutospacing="off"/>
        <w:jc w:val="both"/>
        <w:rPr>
          <w:rFonts w:ascii="Arial" w:hAnsi="Arial" w:eastAsia="Arial" w:cs="Arial"/>
          <w:noProof w:val="0"/>
          <w:sz w:val="24"/>
          <w:szCs w:val="24"/>
          <w:lang w:val="en-US"/>
        </w:rPr>
      </w:pPr>
      <w:r w:rsidRPr="5B971295" w:rsidR="2E2B1847">
        <w:rPr>
          <w:rFonts w:ascii="Arial" w:hAnsi="Arial" w:eastAsia="Arial" w:cs="Arial"/>
          <w:noProof w:val="0"/>
          <w:sz w:val="24"/>
          <w:szCs w:val="24"/>
          <w:lang w:val="en-US"/>
        </w:rPr>
        <w:t>For the purpose of</w:t>
      </w:r>
      <w:r w:rsidRPr="5B971295" w:rsidR="2E2B1847">
        <w:rPr>
          <w:rFonts w:ascii="Arial" w:hAnsi="Arial" w:eastAsia="Arial" w:cs="Arial"/>
          <w:noProof w:val="0"/>
          <w:sz w:val="24"/>
          <w:szCs w:val="24"/>
          <w:lang w:val="en-US"/>
        </w:rPr>
        <w:t xml:space="preserve"> this review, thematic analysis was employed as the primary method for </w:t>
      </w:r>
      <w:r w:rsidRPr="5B971295" w:rsidR="2E2B1847">
        <w:rPr>
          <w:rFonts w:ascii="Arial" w:hAnsi="Arial" w:eastAsia="Arial" w:cs="Arial"/>
          <w:noProof w:val="0"/>
          <w:sz w:val="24"/>
          <w:szCs w:val="24"/>
          <w:lang w:val="en-US"/>
        </w:rPr>
        <w:t>synthesising</w:t>
      </w:r>
      <w:r w:rsidRPr="5B971295" w:rsidR="2E2B1847">
        <w:rPr>
          <w:rFonts w:ascii="Arial" w:hAnsi="Arial" w:eastAsia="Arial" w:cs="Arial"/>
          <w:noProof w:val="0"/>
          <w:sz w:val="24"/>
          <w:szCs w:val="24"/>
          <w:lang w:val="en-US"/>
        </w:rPr>
        <w:t xml:space="preserve"> qualitative evidence, in line with Braun and Clarke’s (2006) six-step framework. This process involved data </w:t>
      </w:r>
      <w:r w:rsidRPr="5B971295" w:rsidR="2E2B1847">
        <w:rPr>
          <w:rFonts w:ascii="Arial" w:hAnsi="Arial" w:eastAsia="Arial" w:cs="Arial"/>
          <w:noProof w:val="0"/>
          <w:sz w:val="24"/>
          <w:szCs w:val="24"/>
          <w:lang w:val="en-US"/>
        </w:rPr>
        <w:t>familiarisation</w:t>
      </w:r>
      <w:r w:rsidRPr="5B971295" w:rsidR="2E2B1847">
        <w:rPr>
          <w:rFonts w:ascii="Arial" w:hAnsi="Arial" w:eastAsia="Arial" w:cs="Arial"/>
          <w:noProof w:val="0"/>
          <w:sz w:val="24"/>
          <w:szCs w:val="24"/>
          <w:lang w:val="en-US"/>
        </w:rPr>
        <w:t>, initial coding, theme identification, theme review, theme definition, and reporting of findings. Thematic analysis was selected because it allows identification of recurrent patterns, meanings, and variations across diverse study contexts while preserving depth and contextual sensitivity.</w:t>
      </w:r>
    </w:p>
    <w:p w:rsidR="3B7BAD25" w:rsidP="5B971295" w:rsidRDefault="3B7BAD25" w14:paraId="06836840" w14:textId="167C290E">
      <w:pPr>
        <w:bidi w:val="0"/>
        <w:spacing w:before="240" w:beforeAutospacing="off" w:after="240" w:afterAutospacing="off"/>
        <w:jc w:val="both"/>
        <w:rPr>
          <w:rFonts w:ascii="Arial" w:hAnsi="Arial" w:eastAsia="Arial" w:cs="Arial"/>
          <w:noProof w:val="0"/>
          <w:sz w:val="24"/>
          <w:szCs w:val="24"/>
          <w:lang w:val="en-US"/>
        </w:rPr>
      </w:pPr>
      <w:r w:rsidRPr="5B971295" w:rsidR="2E2B1847">
        <w:rPr>
          <w:rFonts w:ascii="Arial" w:hAnsi="Arial" w:eastAsia="Arial" w:cs="Arial"/>
          <w:b w:val="0"/>
          <w:bCs w:val="0"/>
          <w:noProof w:val="0"/>
          <w:sz w:val="24"/>
          <w:szCs w:val="24"/>
          <w:lang w:val="en-US"/>
        </w:rPr>
        <w:t xml:space="preserve">Each of the </w:t>
      </w:r>
      <w:r w:rsidRPr="5B971295" w:rsidR="2E2B1847">
        <w:rPr>
          <w:rFonts w:ascii="Arial" w:hAnsi="Arial" w:eastAsia="Arial" w:cs="Arial"/>
          <w:b w:val="0"/>
          <w:bCs w:val="0"/>
          <w:noProof w:val="0"/>
          <w:sz w:val="24"/>
          <w:szCs w:val="24"/>
          <w:lang w:val="en-US"/>
        </w:rPr>
        <w:t>twelve</w:t>
      </w:r>
      <w:r w:rsidRPr="5B971295" w:rsidR="2E2B1847">
        <w:rPr>
          <w:rFonts w:ascii="Arial" w:hAnsi="Arial" w:eastAsia="Arial" w:cs="Arial"/>
          <w:b w:val="0"/>
          <w:bCs w:val="0"/>
          <w:noProof w:val="0"/>
          <w:sz w:val="24"/>
          <w:szCs w:val="24"/>
          <w:lang w:val="en-US"/>
        </w:rPr>
        <w:t xml:space="preserve"> included studies was systematically appraised using the </w:t>
      </w:r>
      <w:r w:rsidRPr="5B971295" w:rsidR="2E2B1847">
        <w:rPr>
          <w:rFonts w:ascii="Arial" w:hAnsi="Arial" w:eastAsia="Arial" w:cs="Arial"/>
          <w:b w:val="0"/>
          <w:bCs w:val="0"/>
          <w:noProof w:val="0"/>
          <w:sz w:val="24"/>
          <w:szCs w:val="24"/>
          <w:lang w:val="en-US"/>
        </w:rPr>
        <w:t xml:space="preserve">Critical Appraisal Skills </w:t>
      </w:r>
      <w:r w:rsidRPr="5B971295" w:rsidR="2E2B1847">
        <w:rPr>
          <w:rFonts w:ascii="Arial" w:hAnsi="Arial" w:eastAsia="Arial" w:cs="Arial"/>
          <w:b w:val="0"/>
          <w:bCs w:val="0"/>
          <w:noProof w:val="0"/>
          <w:sz w:val="24"/>
          <w:szCs w:val="24"/>
          <w:lang w:val="en-US"/>
        </w:rPr>
        <w:t>Programme</w:t>
      </w:r>
      <w:r w:rsidRPr="5B971295" w:rsidR="2E2B1847">
        <w:rPr>
          <w:rFonts w:ascii="Arial" w:hAnsi="Arial" w:eastAsia="Arial" w:cs="Arial"/>
          <w:b w:val="0"/>
          <w:bCs w:val="0"/>
          <w:noProof w:val="0"/>
          <w:sz w:val="24"/>
          <w:szCs w:val="24"/>
          <w:lang w:val="en-US"/>
        </w:rPr>
        <w:t xml:space="preserve"> (CASP)</w:t>
      </w:r>
      <w:r w:rsidRPr="5B971295" w:rsidR="2E2B1847">
        <w:rPr>
          <w:rFonts w:ascii="Arial" w:hAnsi="Arial" w:eastAsia="Arial" w:cs="Arial"/>
          <w:b w:val="0"/>
          <w:bCs w:val="0"/>
          <w:noProof w:val="0"/>
          <w:sz w:val="24"/>
          <w:szCs w:val="24"/>
          <w:lang w:val="en-US"/>
        </w:rPr>
        <w:t xml:space="preserve"> qualitative checklist, ensuring consistency in evaluating study quality, credibility, and methodological transparency (Long et al., 2020). Themes were generated inductively, meaning they </w:t>
      </w:r>
      <w:r w:rsidRPr="5B971295" w:rsidR="2E2B1847">
        <w:rPr>
          <w:rFonts w:ascii="Arial" w:hAnsi="Arial" w:eastAsia="Arial" w:cs="Arial"/>
          <w:b w:val="0"/>
          <w:bCs w:val="0"/>
          <w:noProof w:val="0"/>
          <w:sz w:val="24"/>
          <w:szCs w:val="24"/>
          <w:lang w:val="en-US"/>
        </w:rPr>
        <w:t>emerged</w:t>
      </w:r>
      <w:r w:rsidRPr="5B971295" w:rsidR="2E2B1847">
        <w:rPr>
          <w:rFonts w:ascii="Arial" w:hAnsi="Arial" w:eastAsia="Arial" w:cs="Arial"/>
          <w:b w:val="0"/>
          <w:bCs w:val="0"/>
          <w:noProof w:val="0"/>
          <w:sz w:val="24"/>
          <w:szCs w:val="24"/>
          <w:lang w:val="en-US"/>
        </w:rPr>
        <w:t xml:space="preserve"> directly from the findings rather than being </w:t>
      </w:r>
      <w:r w:rsidRPr="5B971295" w:rsidR="2E2B1847">
        <w:rPr>
          <w:rFonts w:ascii="Arial" w:hAnsi="Arial" w:eastAsia="Arial" w:cs="Arial"/>
          <w:b w:val="0"/>
          <w:bCs w:val="0"/>
          <w:noProof w:val="0"/>
          <w:sz w:val="24"/>
          <w:szCs w:val="24"/>
          <w:lang w:val="en-US"/>
        </w:rPr>
        <w:t>imposed</w:t>
      </w:r>
      <w:r w:rsidRPr="5B971295" w:rsidR="2E2B1847">
        <w:rPr>
          <w:rFonts w:ascii="Arial" w:hAnsi="Arial" w:eastAsia="Arial" w:cs="Arial"/>
          <w:b w:val="0"/>
          <w:bCs w:val="0"/>
          <w:noProof w:val="0"/>
          <w:sz w:val="24"/>
          <w:szCs w:val="24"/>
          <w:lang w:val="en-US"/>
        </w:rPr>
        <w:t xml:space="preserve"> </w:t>
      </w:r>
      <w:r w:rsidRPr="5B971295" w:rsidR="2E2B1847">
        <w:rPr>
          <w:rFonts w:ascii="Arial" w:hAnsi="Arial" w:eastAsia="Arial" w:cs="Arial"/>
          <w:b w:val="0"/>
          <w:bCs w:val="0"/>
          <w:noProof w:val="0"/>
          <w:sz w:val="24"/>
          <w:szCs w:val="24"/>
          <w:lang w:val="en-US"/>
        </w:rPr>
        <w:t>a priori</w:t>
      </w:r>
      <w:r w:rsidRPr="5B971295" w:rsidR="2E2B1847">
        <w:rPr>
          <w:rFonts w:ascii="Arial" w:hAnsi="Arial" w:eastAsia="Arial" w:cs="Arial"/>
          <w:b w:val="0"/>
          <w:bCs w:val="0"/>
          <w:noProof w:val="0"/>
          <w:sz w:val="24"/>
          <w:szCs w:val="24"/>
          <w:lang w:val="en-US"/>
        </w:rPr>
        <w:t xml:space="preserve">. This approach </w:t>
      </w:r>
      <w:r w:rsidRPr="5B971295" w:rsidR="2E2B1847">
        <w:rPr>
          <w:rFonts w:ascii="Arial" w:hAnsi="Arial" w:eastAsia="Arial" w:cs="Arial"/>
          <w:b w:val="0"/>
          <w:bCs w:val="0"/>
          <w:noProof w:val="0"/>
          <w:sz w:val="24"/>
          <w:szCs w:val="24"/>
          <w:lang w:val="en-US"/>
        </w:rPr>
        <w:t>facilitated</w:t>
      </w:r>
      <w:r w:rsidRPr="5B971295" w:rsidR="2E2B1847">
        <w:rPr>
          <w:rFonts w:ascii="Arial" w:hAnsi="Arial" w:eastAsia="Arial" w:cs="Arial"/>
          <w:b w:val="0"/>
          <w:bCs w:val="0"/>
          <w:noProof w:val="0"/>
          <w:sz w:val="24"/>
          <w:szCs w:val="24"/>
          <w:lang w:val="en-US"/>
        </w:rPr>
        <w:t xml:space="preserve"> a comprehensive understanding of both </w:t>
      </w:r>
      <w:r w:rsidRPr="5B971295" w:rsidR="2E2B1847">
        <w:rPr>
          <w:rFonts w:ascii="Arial" w:hAnsi="Arial" w:eastAsia="Arial" w:cs="Arial"/>
          <w:noProof w:val="0"/>
          <w:sz w:val="24"/>
          <w:szCs w:val="24"/>
          <w:lang w:val="en-US"/>
        </w:rPr>
        <w:t>shared and context-specific challenges in pharmacy dispensing practices across LMICs.</w:t>
      </w:r>
    </w:p>
    <w:p w:rsidR="3B7BAD25" w:rsidP="5B971295" w:rsidRDefault="3B7BAD25" w14:paraId="483A354F" w14:textId="5EC08FFC">
      <w:pPr>
        <w:pStyle w:val="Normal"/>
        <w:bidi w:val="0"/>
        <w:spacing w:before="240" w:beforeAutospacing="off" w:after="240" w:afterAutospacing="off"/>
        <w:jc w:val="both"/>
        <w:rPr>
          <w:noProof w:val="0"/>
          <w:lang w:val="en-US"/>
        </w:rPr>
      </w:pPr>
    </w:p>
    <w:p w:rsidR="3B7BAD25" w:rsidP="5B971295" w:rsidRDefault="3B7BAD25" w14:paraId="437F5DF7" w14:textId="5ECBFF81">
      <w:pPr>
        <w:pStyle w:val="Heading2"/>
        <w:bidi w:val="0"/>
        <w:rPr>
          <w:rFonts w:ascii="Arial" w:hAnsi="Arial" w:eastAsia="Arial" w:cs="Arial"/>
          <w:b w:val="1"/>
          <w:bCs w:val="1"/>
          <w:noProof w:val="0"/>
          <w:sz w:val="24"/>
          <w:szCs w:val="24"/>
          <w:lang w:val="en-US"/>
        </w:rPr>
      </w:pPr>
      <w:bookmarkStart w:name="_Toc42389750" w:id="462171115"/>
      <w:r w:rsidRPr="668EA0FB" w:rsidR="64014205">
        <w:rPr>
          <w:noProof w:val="0"/>
          <w:lang w:val="en-US"/>
        </w:rPr>
        <w:t>5.3 Characteristics of the Identified Studies</w:t>
      </w:r>
      <w:bookmarkEnd w:id="462171115"/>
    </w:p>
    <w:p w:rsidR="4B3535E6" w:rsidP="5B971295" w:rsidRDefault="4B3535E6" w14:paraId="15F8E1B8" w14:textId="417C2DB4">
      <w:pPr>
        <w:pStyle w:val="Normal"/>
        <w:spacing w:before="240" w:beforeAutospacing="off" w:after="240" w:afterAutospacing="off"/>
        <w:jc w:val="both"/>
      </w:pPr>
      <w:r w:rsidRPr="5B971295" w:rsidR="4B3535E6">
        <w:rPr>
          <w:rFonts w:ascii="Arial" w:hAnsi="Arial" w:eastAsia="Arial" w:cs="Arial"/>
          <w:noProof w:val="0"/>
          <w:sz w:val="24"/>
          <w:szCs w:val="24"/>
          <w:lang w:val="en-US"/>
        </w:rPr>
        <w:t xml:space="preserve"> </w:t>
      </w:r>
      <w:r w:rsidRPr="5B971295" w:rsidR="0C6EDE45">
        <w:rPr>
          <w:rFonts w:ascii="Arial" w:hAnsi="Arial" w:eastAsia="Arial" w:cs="Arial"/>
          <w:noProof w:val="0"/>
          <w:sz w:val="24"/>
          <w:szCs w:val="24"/>
          <w:lang w:val="en-US"/>
        </w:rPr>
        <w:t xml:space="preserve">A total of twelve qualitative studies were included in this review, representing pharmacy practices across LMIC contexts such as Uganda, Pakistan, Ethiopia, Kenya, South Africa, and Nepal. All studies adopted qualitative research designs, </w:t>
      </w:r>
      <w:r w:rsidRPr="5B971295" w:rsidR="0C6EDE45">
        <w:rPr>
          <w:rFonts w:ascii="Arial" w:hAnsi="Arial" w:eastAsia="Arial" w:cs="Arial"/>
          <w:noProof w:val="0"/>
          <w:sz w:val="24"/>
          <w:szCs w:val="24"/>
          <w:lang w:val="en-US"/>
        </w:rPr>
        <w:t>predominantly using</w:t>
      </w:r>
      <w:r w:rsidRPr="5B971295" w:rsidR="0C6EDE45">
        <w:rPr>
          <w:rFonts w:ascii="Arial" w:hAnsi="Arial" w:eastAsia="Arial" w:cs="Arial"/>
          <w:noProof w:val="0"/>
          <w:sz w:val="24"/>
          <w:szCs w:val="24"/>
          <w:lang w:val="en-US"/>
        </w:rPr>
        <w:t xml:space="preserve"> semi-structured interviews and focus groups to explore pharmacists’ experiences, </w:t>
      </w:r>
      <w:r w:rsidRPr="5B971295" w:rsidR="0C6EDE45">
        <w:rPr>
          <w:rFonts w:ascii="Arial" w:hAnsi="Arial" w:eastAsia="Arial" w:cs="Arial"/>
          <w:noProof w:val="0"/>
          <w:sz w:val="24"/>
          <w:szCs w:val="24"/>
          <w:lang w:val="en-US"/>
        </w:rPr>
        <w:t>perceptions</w:t>
      </w:r>
      <w:r w:rsidRPr="5B971295" w:rsidR="0C6EDE45">
        <w:rPr>
          <w:rFonts w:ascii="Arial" w:hAnsi="Arial" w:eastAsia="Arial" w:cs="Arial"/>
          <w:noProof w:val="0"/>
          <w:sz w:val="24"/>
          <w:szCs w:val="24"/>
          <w:lang w:val="en-US"/>
        </w:rPr>
        <w:t>, and challenges related to dispensing errors and medication safety.</w:t>
      </w:r>
    </w:p>
    <w:p w:rsidR="0C6EDE45" w:rsidP="5B971295" w:rsidRDefault="0C6EDE45" w14:paraId="59C85F1B" w14:textId="2B53791A">
      <w:pPr>
        <w:bidi w:val="0"/>
        <w:spacing w:before="240" w:beforeAutospacing="off" w:after="240" w:afterAutospacing="off"/>
        <w:jc w:val="both"/>
      </w:pPr>
      <w:r w:rsidRPr="5B971295" w:rsidR="0C6EDE45">
        <w:rPr>
          <w:rFonts w:ascii="Arial" w:hAnsi="Arial" w:eastAsia="Arial" w:cs="Arial"/>
          <w:noProof w:val="0"/>
          <w:sz w:val="24"/>
          <w:szCs w:val="24"/>
          <w:lang w:val="en-US"/>
        </w:rPr>
        <w:t xml:space="preserve">Sample sizes ranged from </w:t>
      </w:r>
      <w:r w:rsidRPr="5B971295" w:rsidR="0C6EDE45">
        <w:rPr>
          <w:rFonts w:ascii="Arial" w:hAnsi="Arial" w:eastAsia="Arial" w:cs="Arial"/>
          <w:b w:val="0"/>
          <w:bCs w:val="0"/>
          <w:noProof w:val="0"/>
          <w:sz w:val="24"/>
          <w:szCs w:val="24"/>
          <w:lang w:val="en-US"/>
        </w:rPr>
        <w:t>10 to 45 participants</w:t>
      </w:r>
      <w:r w:rsidRPr="5B971295" w:rsidR="0C6EDE45">
        <w:rPr>
          <w:rFonts w:ascii="Arial" w:hAnsi="Arial" w:eastAsia="Arial" w:cs="Arial"/>
          <w:b w:val="0"/>
          <w:bCs w:val="0"/>
          <w:noProof w:val="0"/>
          <w:sz w:val="24"/>
          <w:szCs w:val="24"/>
          <w:lang w:val="en-US"/>
        </w:rPr>
        <w:t xml:space="preserve">, </w:t>
      </w:r>
      <w:r w:rsidRPr="5B971295" w:rsidR="0C6EDE45">
        <w:rPr>
          <w:rFonts w:ascii="Arial" w:hAnsi="Arial" w:eastAsia="Arial" w:cs="Arial"/>
          <w:noProof w:val="0"/>
          <w:sz w:val="24"/>
          <w:szCs w:val="24"/>
          <w:lang w:val="en-US"/>
        </w:rPr>
        <w:t xml:space="preserve">including pharmacists, dispensers, and pharmacy managers. Most studies were conducted in community pharmacy settings (Saleem et al., 2021; Atif et al., 2019), while others focused on hospital pharmacies or policy-level perspectives (Mekonnen et al., 2016; Crafford et al., 2024). Data collection methods included in-depth interviews (Musoke et al., 2023; </w:t>
      </w:r>
      <w:r w:rsidRPr="5B971295" w:rsidR="0C6EDE45">
        <w:rPr>
          <w:rFonts w:ascii="Arial" w:hAnsi="Arial" w:eastAsia="Arial" w:cs="Arial"/>
          <w:noProof w:val="0"/>
          <w:sz w:val="24"/>
          <w:szCs w:val="24"/>
          <w:lang w:val="en-US"/>
        </w:rPr>
        <w:t>Gelayee</w:t>
      </w:r>
      <w:r w:rsidRPr="5B971295" w:rsidR="0C6EDE45">
        <w:rPr>
          <w:rFonts w:ascii="Arial" w:hAnsi="Arial" w:eastAsia="Arial" w:cs="Arial"/>
          <w:noProof w:val="0"/>
          <w:sz w:val="24"/>
          <w:szCs w:val="24"/>
          <w:lang w:val="en-US"/>
        </w:rPr>
        <w:t>, 2017), key informant discussions (Mbugua et al., 2020), and simulated client observations (Kamba et al., 2020).</w:t>
      </w:r>
    </w:p>
    <w:p w:rsidR="0C6EDE45" w:rsidP="5B971295" w:rsidRDefault="0C6EDE45" w14:paraId="18D5D152" w14:textId="2EECCD0D">
      <w:pPr>
        <w:bidi w:val="0"/>
        <w:spacing w:before="240" w:beforeAutospacing="off" w:after="240" w:afterAutospacing="off"/>
        <w:jc w:val="both"/>
      </w:pPr>
      <w:r w:rsidRPr="5B971295" w:rsidR="0C6EDE45">
        <w:rPr>
          <w:rFonts w:ascii="Arial" w:hAnsi="Arial" w:eastAsia="Arial" w:cs="Arial"/>
          <w:noProof w:val="0"/>
          <w:sz w:val="24"/>
          <w:szCs w:val="24"/>
          <w:lang w:val="en-US"/>
        </w:rPr>
        <w:t>Despite variations in study design, sample size, and setting, all studies consistently reported systemic gaps in pharmacy regulation, training provision, communication, and supervision. Collectively, these findings highlight a widespread need for structured and sustainable quality improvement initiatives within LMIC pharmacy practice.</w:t>
      </w:r>
    </w:p>
    <w:p w:rsidR="5B971295" w:rsidP="5B971295" w:rsidRDefault="5B971295" w14:paraId="516BB4CE" w14:textId="72D90A78">
      <w:pPr>
        <w:pStyle w:val="Normal"/>
        <w:bidi w:val="0"/>
        <w:spacing w:before="240" w:beforeAutospacing="off" w:after="240" w:afterAutospacing="off"/>
        <w:jc w:val="both"/>
        <w:rPr>
          <w:rFonts w:ascii="Arial" w:hAnsi="Arial" w:eastAsia="Arial" w:cs="Arial"/>
          <w:noProof w:val="0"/>
          <w:sz w:val="24"/>
          <w:szCs w:val="24"/>
          <w:lang w:val="en-US"/>
        </w:rPr>
      </w:pPr>
    </w:p>
    <w:p w:rsidR="3B7BAD25" w:rsidP="407E75B8" w:rsidRDefault="3B7BAD25" w14:paraId="167441F9" w14:textId="3C961450">
      <w:pPr>
        <w:pStyle w:val="Heading3"/>
        <w:jc w:val="both"/>
        <w:rPr>
          <w:noProof w:val="0"/>
          <w:lang w:val="en-US"/>
        </w:rPr>
      </w:pPr>
      <w:r w:rsidRPr="668EA0FB" w:rsidR="64014205">
        <w:rPr>
          <w:noProof w:val="0"/>
          <w:lang w:val="en-US"/>
        </w:rPr>
        <w:t xml:space="preserve"> </w:t>
      </w:r>
      <w:bookmarkStart w:name="_Toc904925274" w:id="597172252"/>
      <w:r w:rsidRPr="668EA0FB" w:rsidR="21AEB706">
        <w:rPr>
          <w:rStyle w:val="Heading2Char"/>
          <w:noProof w:val="0"/>
          <w:lang w:val="en-US"/>
        </w:rPr>
        <w:t>5.4 Thematic Analysis (Expanded Version)</w:t>
      </w:r>
      <w:bookmarkEnd w:id="597172252"/>
    </w:p>
    <w:p w:rsidR="3B7BAD25" w:rsidP="5B971295" w:rsidRDefault="3B7BAD25" w14:paraId="67738A20" w14:textId="3DE3A60A">
      <w:pPr>
        <w:pStyle w:val="Normal"/>
        <w:bidi w:val="0"/>
        <w:spacing w:before="240" w:beforeAutospacing="off" w:after="240" w:afterAutospacing="off"/>
        <w:jc w:val="both"/>
      </w:pPr>
      <w:r w:rsidRPr="5B971295" w:rsidR="5B0F0516">
        <w:rPr>
          <w:rFonts w:ascii="Arial" w:hAnsi="Arial" w:eastAsia="Arial" w:cs="Arial"/>
          <w:b w:val="0"/>
          <w:bCs w:val="0"/>
          <w:noProof w:val="0"/>
          <w:sz w:val="24"/>
          <w:szCs w:val="24"/>
          <w:lang w:val="en-US"/>
        </w:rPr>
        <w:t xml:space="preserve">The thematic synthesis of the </w:t>
      </w:r>
      <w:r w:rsidRPr="5B971295" w:rsidR="5B0F0516">
        <w:rPr>
          <w:rFonts w:ascii="Arial" w:hAnsi="Arial" w:eastAsia="Arial" w:cs="Arial"/>
          <w:b w:val="0"/>
          <w:bCs w:val="0"/>
          <w:noProof w:val="0"/>
          <w:sz w:val="24"/>
          <w:szCs w:val="24"/>
          <w:lang w:val="en-US"/>
        </w:rPr>
        <w:t>twelve</w:t>
      </w:r>
      <w:r w:rsidRPr="5B971295" w:rsidR="5B0F0516">
        <w:rPr>
          <w:rFonts w:ascii="Arial" w:hAnsi="Arial" w:eastAsia="Arial" w:cs="Arial"/>
          <w:b w:val="0"/>
          <w:bCs w:val="0"/>
          <w:noProof w:val="0"/>
          <w:sz w:val="24"/>
          <w:szCs w:val="24"/>
          <w:lang w:val="en-US"/>
        </w:rPr>
        <w:t xml:space="preserve"> qualitative studies generated </w:t>
      </w:r>
      <w:r w:rsidRPr="5B971295" w:rsidR="5B0F0516">
        <w:rPr>
          <w:rFonts w:ascii="Arial" w:hAnsi="Arial" w:eastAsia="Arial" w:cs="Arial"/>
          <w:b w:val="0"/>
          <w:bCs w:val="0"/>
          <w:noProof w:val="0"/>
          <w:sz w:val="24"/>
          <w:szCs w:val="24"/>
          <w:lang w:val="en-US"/>
        </w:rPr>
        <w:t>four overarching themes</w:t>
      </w:r>
      <w:r w:rsidRPr="5B971295" w:rsidR="5B0F0516">
        <w:rPr>
          <w:rFonts w:ascii="Arial" w:hAnsi="Arial" w:eastAsia="Arial" w:cs="Arial"/>
          <w:b w:val="0"/>
          <w:bCs w:val="0"/>
          <w:noProof w:val="0"/>
          <w:sz w:val="24"/>
          <w:szCs w:val="24"/>
          <w:lang w:val="en-US"/>
        </w:rPr>
        <w:t xml:space="preserve"> wit</w:t>
      </w:r>
      <w:r w:rsidRPr="5B971295" w:rsidR="5B0F0516">
        <w:rPr>
          <w:rFonts w:ascii="Arial" w:hAnsi="Arial" w:eastAsia="Arial" w:cs="Arial"/>
          <w:noProof w:val="0"/>
          <w:sz w:val="24"/>
          <w:szCs w:val="24"/>
          <w:lang w:val="en-US"/>
        </w:rPr>
        <w:t xml:space="preserve">h multiple interrelated subthemes that explain how individual, </w:t>
      </w:r>
      <w:r w:rsidRPr="5B971295" w:rsidR="5B0F0516">
        <w:rPr>
          <w:rFonts w:ascii="Arial" w:hAnsi="Arial" w:eastAsia="Arial" w:cs="Arial"/>
          <w:noProof w:val="0"/>
          <w:sz w:val="24"/>
          <w:szCs w:val="24"/>
          <w:lang w:val="en-US"/>
        </w:rPr>
        <w:t>organisational</w:t>
      </w:r>
      <w:r w:rsidRPr="5B971295" w:rsidR="5B0F0516">
        <w:rPr>
          <w:rFonts w:ascii="Arial" w:hAnsi="Arial" w:eastAsia="Arial" w:cs="Arial"/>
          <w:noProof w:val="0"/>
          <w:sz w:val="24"/>
          <w:szCs w:val="24"/>
          <w:lang w:val="en-US"/>
        </w:rPr>
        <w:t xml:space="preserve">, sociocultural, and structural factors influence pharmacist-related dispensing errors across LMICs. These themes </w:t>
      </w:r>
      <w:r w:rsidRPr="5B971295" w:rsidR="5B0F0516">
        <w:rPr>
          <w:rFonts w:ascii="Arial" w:hAnsi="Arial" w:eastAsia="Arial" w:cs="Arial"/>
          <w:noProof w:val="0"/>
          <w:sz w:val="24"/>
          <w:szCs w:val="24"/>
          <w:lang w:val="en-US"/>
        </w:rPr>
        <w:t>demonstrate</w:t>
      </w:r>
      <w:r w:rsidRPr="5B971295" w:rsidR="5B0F0516">
        <w:rPr>
          <w:rFonts w:ascii="Arial" w:hAnsi="Arial" w:eastAsia="Arial" w:cs="Arial"/>
          <w:noProof w:val="0"/>
          <w:sz w:val="24"/>
          <w:szCs w:val="24"/>
          <w:lang w:val="en-US"/>
        </w:rPr>
        <w:t xml:space="preserve"> that dispensing errors are rarely the result of isolated human mistakes; rather, they arise from complex interactions between knowledge deficits, system weaknesses, cultural expectations, and the absence of sustained quality improvement mechanisms.</w:t>
      </w:r>
    </w:p>
    <w:tbl>
      <w:tblPr>
        <w:tblStyle w:val="TableNormal"/>
        <w:bidiVisual w:val="0"/>
        <w:tblW w:w="0" w:type="auto"/>
        <w:tblLook w:val="06A0" w:firstRow="1" w:lastRow="0" w:firstColumn="1" w:lastColumn="0" w:noHBand="1" w:noVBand="1"/>
      </w:tblPr>
      <w:tblGrid>
        <w:gridCol w:w="1785"/>
        <w:gridCol w:w="1425"/>
        <w:gridCol w:w="4129"/>
        <w:gridCol w:w="2021"/>
      </w:tblGrid>
      <w:tr w:rsidR="4369956E" w:rsidTr="4369956E" w14:paraId="70D4CD2A">
        <w:trPr>
          <w:trHeight w:val="300"/>
        </w:trPr>
        <w:tc>
          <w:tcPr>
            <w:tcW w:w="178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4369956E" w:rsidRDefault="4369956E" w14:paraId="7DE008F5" w14:textId="637D2C0C">
            <w:pPr>
              <w:bidi w:val="0"/>
              <w:spacing w:before="0" w:beforeAutospacing="off" w:after="0" w:afterAutospacing="off"/>
              <w:jc w:val="center"/>
            </w:pPr>
            <w:r w:rsidRPr="4369956E" w:rsidR="4369956E">
              <w:rPr>
                <w:b w:val="1"/>
                <w:bCs w:val="1"/>
              </w:rPr>
              <w:t>Theme</w:t>
            </w:r>
          </w:p>
        </w:tc>
        <w:tc>
          <w:tcPr>
            <w:tcW w:w="142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4369956E" w:rsidRDefault="4369956E" w14:paraId="0009818E" w14:textId="50992E75">
            <w:pPr>
              <w:bidi w:val="0"/>
              <w:spacing w:before="0" w:beforeAutospacing="off" w:after="0" w:afterAutospacing="off"/>
              <w:jc w:val="center"/>
            </w:pPr>
            <w:r w:rsidRPr="4369956E" w:rsidR="4369956E">
              <w:rPr>
                <w:b w:val="1"/>
                <w:bCs w:val="1"/>
              </w:rPr>
              <w:t>Subtheme</w:t>
            </w:r>
          </w:p>
        </w:tc>
        <w:tc>
          <w:tcPr>
            <w:tcW w:w="4129"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4369956E" w:rsidRDefault="4369956E" w14:paraId="0D105895" w14:textId="63582DF6">
            <w:pPr>
              <w:bidi w:val="0"/>
              <w:spacing w:before="0" w:beforeAutospacing="off" w:after="0" w:afterAutospacing="off"/>
              <w:jc w:val="center"/>
            </w:pPr>
            <w:r w:rsidRPr="4369956E" w:rsidR="4369956E">
              <w:rPr>
                <w:b w:val="1"/>
                <w:bCs w:val="1"/>
              </w:rPr>
              <w:t>Description</w:t>
            </w:r>
          </w:p>
        </w:tc>
        <w:tc>
          <w:tcPr>
            <w:tcW w:w="2021"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4369956E" w:rsidRDefault="4369956E" w14:paraId="326AF35D" w14:textId="4B202B5B">
            <w:pPr>
              <w:bidi w:val="0"/>
              <w:spacing w:before="0" w:beforeAutospacing="off" w:after="0" w:afterAutospacing="off"/>
              <w:jc w:val="center"/>
            </w:pPr>
            <w:r w:rsidRPr="4369956E" w:rsidR="4369956E">
              <w:rPr>
                <w:b w:val="1"/>
                <w:bCs w:val="1"/>
              </w:rPr>
              <w:t>Supporting Articles (from selected 12)</w:t>
            </w:r>
          </w:p>
        </w:tc>
      </w:tr>
      <w:tr w:rsidR="4369956E" w:rsidTr="4369956E" w14:paraId="1893A1AC">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5F02CE18" w14:textId="7A9EEC45">
            <w:pPr>
              <w:bidi w:val="0"/>
              <w:spacing w:before="0" w:beforeAutospacing="off" w:after="0" w:afterAutospacing="off"/>
            </w:pPr>
            <w:r w:rsidRPr="4369956E" w:rsidR="4369956E">
              <w:rPr>
                <w:b w:val="1"/>
                <w:bCs w:val="1"/>
              </w:rPr>
              <w:t>Theme 1: Knowledge Gaps and Training Deficiencies Affect Medication Safety</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5B0CF3B2" w14:textId="1E8A498B">
            <w:pPr>
              <w:bidi w:val="0"/>
              <w:spacing w:before="0" w:beforeAutospacing="off" w:after="0" w:afterAutospacing="off"/>
            </w:pPr>
            <w:r w:rsidRPr="4369956E" w:rsidR="4369956E">
              <w:rPr>
                <w:b w:val="1"/>
                <w:bCs w:val="1"/>
              </w:rPr>
              <w:t>1.1 Insufficient pharmacological and dispensing knowledge</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26F4F539" w14:textId="176CC8CA">
            <w:pPr>
              <w:bidi w:val="0"/>
              <w:spacing w:before="0" w:beforeAutospacing="off" w:after="0" w:afterAutospacing="off"/>
            </w:pPr>
            <w:r w:rsidR="4369956E">
              <w:rPr/>
              <w:t>Pharmacists demonstrated limited understanding of dosages, contraindications, interactions, and substitution practices, leading to wrong-drug and wrong-strength dispensing. Non-qualified dispensers faced greater cognitive limitations.</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68B65144" w14:textId="214E0525">
            <w:pPr>
              <w:bidi w:val="0"/>
              <w:spacing w:before="0" w:beforeAutospacing="off" w:after="0" w:afterAutospacing="off"/>
            </w:pPr>
            <w:r w:rsidR="4369956E">
              <w:rPr/>
              <w:t>Saleem Z et al. (Pakistan); Musoke D et al. (Uganda); Gelayee DA et al. (Ethiopia); Atif M et al. (South Asia)</w:t>
            </w:r>
          </w:p>
        </w:tc>
      </w:tr>
      <w:tr w:rsidR="4369956E" w:rsidTr="4369956E" w14:paraId="24A8A99A">
        <w:trPr>
          <w:trHeight w:val="300"/>
        </w:trPr>
        <w:tc>
          <w:tcPr>
            <w:tcW w:w="1785" w:type="dxa"/>
            <w:tcBorders>
              <w:left w:val="single" w:color="000000" w:themeColor="text1" w:sz="12"/>
              <w:right w:val="single" w:color="000000" w:themeColor="text1" w:sz="12"/>
            </w:tcBorders>
            <w:tcMar/>
            <w:vAlign w:val="center"/>
          </w:tcPr>
          <w:p w:rsidR="4369956E" w:rsidRDefault="4369956E" w14:paraId="1FFF1FB5" w14:textId="7BE18DD8"/>
        </w:tc>
        <w:tc>
          <w:tcPr>
            <w:tcW w:w="1425" w:type="dxa"/>
            <w:tcBorders>
              <w:left w:val="single" w:color="000000" w:themeColor="text1" w:sz="12"/>
              <w:right w:val="single" w:color="000000" w:themeColor="text1" w:sz="12"/>
            </w:tcBorders>
            <w:tcMar/>
            <w:vAlign w:val="center"/>
          </w:tcPr>
          <w:p w:rsidR="4369956E" w:rsidP="4369956E" w:rsidRDefault="4369956E" w14:paraId="7880EC30" w14:textId="0BA98B38">
            <w:pPr>
              <w:bidi w:val="0"/>
              <w:spacing w:before="0" w:beforeAutospacing="off" w:after="0" w:afterAutospacing="off"/>
            </w:pPr>
            <w:r w:rsidRPr="4369956E" w:rsidR="4369956E">
              <w:rPr>
                <w:b w:val="1"/>
                <w:bCs w:val="1"/>
              </w:rPr>
              <w:t>1.2 Lack of structured continuing education</w:t>
            </w:r>
          </w:p>
        </w:tc>
        <w:tc>
          <w:tcPr>
            <w:tcW w:w="4129" w:type="dxa"/>
            <w:tcBorders>
              <w:left w:val="single" w:color="000000" w:themeColor="text1" w:sz="12"/>
              <w:right w:val="single" w:color="000000" w:themeColor="text1" w:sz="12"/>
            </w:tcBorders>
            <w:tcMar/>
            <w:vAlign w:val="center"/>
          </w:tcPr>
          <w:p w:rsidR="4369956E" w:rsidP="4369956E" w:rsidRDefault="4369956E" w14:paraId="25FCA42E" w14:textId="73CBEDAD">
            <w:pPr>
              <w:bidi w:val="0"/>
              <w:spacing w:before="0" w:beforeAutospacing="off" w:after="0" w:afterAutospacing="off"/>
            </w:pPr>
            <w:r w:rsidR="4369956E">
              <w:rPr/>
              <w:t>Absence of mandatory refresher training resulted in outdated clinical knowledge and inconsistent competency levels, particularly in rural and independent pharmacies.</w:t>
            </w:r>
          </w:p>
        </w:tc>
        <w:tc>
          <w:tcPr>
            <w:tcW w:w="2021" w:type="dxa"/>
            <w:tcBorders>
              <w:left w:val="single" w:color="000000" w:themeColor="text1" w:sz="12"/>
              <w:right w:val="single" w:color="000000" w:themeColor="text1" w:sz="12"/>
            </w:tcBorders>
            <w:tcMar/>
            <w:vAlign w:val="center"/>
          </w:tcPr>
          <w:p w:rsidR="4369956E" w:rsidP="4369956E" w:rsidRDefault="4369956E" w14:paraId="1F6E6562" w14:textId="414EF189">
            <w:pPr>
              <w:bidi w:val="0"/>
              <w:spacing w:before="0" w:beforeAutospacing="off" w:after="0" w:afterAutospacing="off"/>
            </w:pPr>
            <w:r w:rsidR="4369956E">
              <w:rPr/>
              <w:t>Saleem NH et al. (Pakistan); Atif M et al. (Pakistan); Mekonnen AB et al. (Ethiopia)</w:t>
            </w:r>
          </w:p>
        </w:tc>
      </w:tr>
      <w:tr w:rsidR="4369956E" w:rsidTr="4369956E" w14:paraId="1E09F145">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RDefault="4369956E" w14:paraId="06E27FB3" w14:textId="1AD8709A"/>
        </w:tc>
        <w:tc>
          <w:tcPr>
            <w:tcW w:w="1425"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330272D5" w14:textId="63170244">
            <w:pPr>
              <w:bidi w:val="0"/>
              <w:spacing w:before="0" w:beforeAutospacing="off" w:after="0" w:afterAutospacing="off"/>
            </w:pPr>
            <w:r w:rsidRPr="4369956E" w:rsidR="4369956E">
              <w:rPr>
                <w:b w:val="1"/>
                <w:bCs w:val="1"/>
              </w:rPr>
              <w:t>1.3 Deficiency in practical and simulation-based training</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0B40933C" w14:textId="12FD4833">
            <w:pPr>
              <w:bidi w:val="0"/>
              <w:spacing w:before="0" w:beforeAutospacing="off" w:after="0" w:afterAutospacing="off"/>
            </w:pPr>
            <w:r w:rsidR="4369956E">
              <w:rPr/>
              <w:t>Limited exposure to real-world dispensing scenarios reduced pharmacists’ preparedness for high-risk situations such as LASA medicines and polypharmacy management.</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0C9DD613" w14:textId="7E1C6682">
            <w:pPr>
              <w:bidi w:val="0"/>
              <w:spacing w:before="0" w:beforeAutospacing="off" w:after="0" w:afterAutospacing="off"/>
            </w:pPr>
            <w:r w:rsidR="4369956E">
              <w:rPr/>
              <w:t>Musoke D et al. (Uganda); Mekonnen AB et al. (Ethiopia); Mbugua SM et al. (Kenya)</w:t>
            </w:r>
          </w:p>
        </w:tc>
      </w:tr>
      <w:tr w:rsidR="4369956E" w:rsidTr="4369956E" w14:paraId="17686F5C">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3744C111" w14:textId="6D0BA5B9">
            <w:pPr>
              <w:bidi w:val="0"/>
              <w:spacing w:before="0" w:beforeAutospacing="off" w:after="0" w:afterAutospacing="off"/>
            </w:pPr>
            <w:r w:rsidRPr="4369956E" w:rsidR="4369956E">
              <w:rPr>
                <w:b w:val="1"/>
                <w:bCs w:val="1"/>
              </w:rPr>
              <w:t>Theme 2: Systemic and Organisational Barriers Impede Safe Dispensing</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0BAFD53A" w14:textId="05A0FB11">
            <w:pPr>
              <w:bidi w:val="0"/>
              <w:spacing w:before="0" w:beforeAutospacing="off" w:after="0" w:afterAutospacing="off"/>
            </w:pPr>
            <w:r w:rsidRPr="4369956E" w:rsidR="4369956E">
              <w:rPr>
                <w:b w:val="1"/>
                <w:bCs w:val="1"/>
              </w:rPr>
              <w:t>2.1 High workload and staffing shortages</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4D69B56A" w14:textId="01E584DD">
            <w:pPr>
              <w:bidi w:val="0"/>
              <w:spacing w:before="0" w:beforeAutospacing="off" w:after="0" w:afterAutospacing="off"/>
            </w:pPr>
            <w:r w:rsidR="4369956E">
              <w:rPr/>
              <w:t>Excessive prescription volumes, long working hours, and inadequate staffing led to fatigue, rushed dispensing, and omission of safety checks.</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4427EDA3" w14:textId="0C42F78F">
            <w:pPr>
              <w:bidi w:val="0"/>
              <w:spacing w:before="0" w:beforeAutospacing="off" w:after="0" w:afterAutospacing="off"/>
            </w:pPr>
            <w:r w:rsidR="4369956E">
              <w:rPr/>
              <w:t>Saleem NH et al. (Pakistan); Musoke D et al. (Uganda); Gelayee DA et al. (Ethiopia)</w:t>
            </w:r>
          </w:p>
        </w:tc>
      </w:tr>
      <w:tr w:rsidR="4369956E" w:rsidTr="4369956E" w14:paraId="2C53504B">
        <w:trPr>
          <w:trHeight w:val="300"/>
        </w:trPr>
        <w:tc>
          <w:tcPr>
            <w:tcW w:w="1785" w:type="dxa"/>
            <w:tcBorders>
              <w:left w:val="single" w:color="000000" w:themeColor="text1" w:sz="12"/>
              <w:right w:val="single" w:color="000000" w:themeColor="text1" w:sz="12"/>
            </w:tcBorders>
            <w:tcMar/>
            <w:vAlign w:val="center"/>
          </w:tcPr>
          <w:p w:rsidR="4369956E" w:rsidRDefault="4369956E" w14:paraId="34CAF420" w14:textId="260E03D4"/>
        </w:tc>
        <w:tc>
          <w:tcPr>
            <w:tcW w:w="1425" w:type="dxa"/>
            <w:tcBorders>
              <w:left w:val="single" w:color="000000" w:themeColor="text1" w:sz="12"/>
              <w:right w:val="single" w:color="000000" w:themeColor="text1" w:sz="12"/>
            </w:tcBorders>
            <w:tcMar/>
            <w:vAlign w:val="center"/>
          </w:tcPr>
          <w:p w:rsidR="4369956E" w:rsidP="4369956E" w:rsidRDefault="4369956E" w14:paraId="5A7E49C8" w14:textId="3BE5C758">
            <w:pPr>
              <w:bidi w:val="0"/>
              <w:spacing w:before="0" w:beforeAutospacing="off" w:after="0" w:afterAutospacing="off"/>
            </w:pPr>
            <w:r w:rsidRPr="4369956E" w:rsidR="4369956E">
              <w:rPr>
                <w:b w:val="1"/>
                <w:bCs w:val="1"/>
              </w:rPr>
              <w:t>2.2 Communication gaps among healthcare providers</w:t>
            </w:r>
          </w:p>
        </w:tc>
        <w:tc>
          <w:tcPr>
            <w:tcW w:w="4129" w:type="dxa"/>
            <w:tcBorders>
              <w:left w:val="single" w:color="000000" w:themeColor="text1" w:sz="12"/>
              <w:right w:val="single" w:color="000000" w:themeColor="text1" w:sz="12"/>
            </w:tcBorders>
            <w:tcMar/>
            <w:vAlign w:val="center"/>
          </w:tcPr>
          <w:p w:rsidR="4369956E" w:rsidP="4369956E" w:rsidRDefault="4369956E" w14:paraId="0FE2C26D" w14:textId="69239F6A">
            <w:pPr>
              <w:bidi w:val="0"/>
              <w:spacing w:before="0" w:beforeAutospacing="off" w:after="0" w:afterAutospacing="off"/>
            </w:pPr>
            <w:r w:rsidR="4369956E">
              <w:rPr/>
              <w:t>Poor-quality prescriptions, limited prescriber–pharmacist communication, and hierarchical barriers reduced clarification opportunities and patient counselling effectiveness.</w:t>
            </w:r>
          </w:p>
        </w:tc>
        <w:tc>
          <w:tcPr>
            <w:tcW w:w="2021" w:type="dxa"/>
            <w:tcBorders>
              <w:left w:val="single" w:color="000000" w:themeColor="text1" w:sz="12"/>
              <w:right w:val="single" w:color="000000" w:themeColor="text1" w:sz="12"/>
            </w:tcBorders>
            <w:tcMar/>
            <w:vAlign w:val="center"/>
          </w:tcPr>
          <w:p w:rsidR="4369956E" w:rsidP="4369956E" w:rsidRDefault="4369956E" w14:paraId="0A77A5FF" w14:textId="6C523E63">
            <w:pPr>
              <w:bidi w:val="0"/>
              <w:spacing w:before="0" w:beforeAutospacing="off" w:after="0" w:afterAutospacing="off"/>
            </w:pPr>
            <w:r w:rsidR="4369956E">
              <w:rPr/>
              <w:t>Saleem Z et al. (Pakistan); Atif M et al. (Pakistan); Mbugua SM et al. (Kenya)</w:t>
            </w:r>
          </w:p>
        </w:tc>
      </w:tr>
      <w:tr w:rsidR="4369956E" w:rsidTr="4369956E" w14:paraId="0AA86964">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RDefault="4369956E" w14:paraId="5957DC70" w14:textId="67F210DB"/>
        </w:tc>
        <w:tc>
          <w:tcPr>
            <w:tcW w:w="1425"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03F114A7" w14:textId="1CDC22C5">
            <w:pPr>
              <w:bidi w:val="0"/>
              <w:spacing w:before="0" w:beforeAutospacing="off" w:after="0" w:afterAutospacing="off"/>
            </w:pPr>
            <w:r w:rsidRPr="4369956E" w:rsidR="4369956E">
              <w:rPr>
                <w:b w:val="1"/>
                <w:bCs w:val="1"/>
              </w:rPr>
              <w:t>2.3 Inadequate SOPs and supervision</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0BE74FB8" w14:textId="69E46C3F">
            <w:pPr>
              <w:bidi w:val="0"/>
              <w:spacing w:before="0" w:beforeAutospacing="off" w:after="0" w:afterAutospacing="off"/>
            </w:pPr>
            <w:r w:rsidR="4369956E">
              <w:rPr/>
              <w:t>Lack of standardised dispensing procedures, weak audit systems, and absent error-reporting mechanisms resulted in inconsistent and unsafe practices.</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15D35B78" w14:textId="20E46274">
            <w:pPr>
              <w:bidi w:val="0"/>
              <w:spacing w:before="0" w:beforeAutospacing="off" w:after="0" w:afterAutospacing="off"/>
            </w:pPr>
            <w:r w:rsidR="4369956E">
              <w:rPr/>
              <w:t>Musoke D et al. (Uganda); Kamba PF et al. (Uganda); Crafford L et al. (South Africa)</w:t>
            </w:r>
          </w:p>
        </w:tc>
      </w:tr>
      <w:tr w:rsidR="4369956E" w:rsidTr="4369956E" w14:paraId="5619F3E2">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31387D48" w14:textId="26E169D4">
            <w:pPr>
              <w:bidi w:val="0"/>
              <w:spacing w:before="0" w:beforeAutospacing="off" w:after="0" w:afterAutospacing="off"/>
            </w:pPr>
            <w:r w:rsidRPr="4369956E" w:rsidR="4369956E">
              <w:rPr>
                <w:b w:val="1"/>
                <w:bCs w:val="1"/>
              </w:rPr>
              <w:t>Theme 3: Ethical Challenges and Socio-Cultural Influences Shape Error Reporting</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1A8C372A" w14:textId="58890D69">
            <w:pPr>
              <w:bidi w:val="0"/>
              <w:spacing w:before="0" w:beforeAutospacing="off" w:after="0" w:afterAutospacing="off"/>
            </w:pPr>
            <w:r w:rsidRPr="4369956E" w:rsidR="4369956E">
              <w:rPr>
                <w:b w:val="1"/>
                <w:bCs w:val="1"/>
              </w:rPr>
              <w:t>3.1 Fear of repercussions and punitive culture</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7F16AA30" w14:textId="1D41DE3B">
            <w:pPr>
              <w:bidi w:val="0"/>
              <w:spacing w:before="0" w:beforeAutospacing="off" w:after="0" w:afterAutospacing="off"/>
            </w:pPr>
            <w:r w:rsidR="4369956E">
              <w:rPr/>
              <w:t>Pharmacists avoided error reporting due to fear of blame, disciplinary action, or reputational damage, reinforcing concealment rather than learning.</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7D85547E" w14:textId="5213CBF4">
            <w:pPr>
              <w:bidi w:val="0"/>
              <w:spacing w:before="0" w:beforeAutospacing="off" w:after="0" w:afterAutospacing="off"/>
            </w:pPr>
            <w:r w:rsidR="4369956E">
              <w:rPr/>
              <w:t>Saleem NH et al. (Pakistan); Musoke D et al. (Uganda); Roche SD et al. (Kenya)</w:t>
            </w:r>
          </w:p>
        </w:tc>
      </w:tr>
      <w:tr w:rsidR="4369956E" w:rsidTr="4369956E" w14:paraId="5B632B0F">
        <w:trPr>
          <w:trHeight w:val="300"/>
        </w:trPr>
        <w:tc>
          <w:tcPr>
            <w:tcW w:w="1785" w:type="dxa"/>
            <w:tcBorders>
              <w:left w:val="single" w:color="000000" w:themeColor="text1" w:sz="12"/>
              <w:right w:val="single" w:color="000000" w:themeColor="text1" w:sz="12"/>
            </w:tcBorders>
            <w:tcMar/>
            <w:vAlign w:val="center"/>
          </w:tcPr>
          <w:p w:rsidR="4369956E" w:rsidRDefault="4369956E" w14:paraId="5037F3DF" w14:textId="317103C8"/>
        </w:tc>
        <w:tc>
          <w:tcPr>
            <w:tcW w:w="1425" w:type="dxa"/>
            <w:tcBorders>
              <w:left w:val="single" w:color="000000" w:themeColor="text1" w:sz="12"/>
              <w:right w:val="single" w:color="000000" w:themeColor="text1" w:sz="12"/>
            </w:tcBorders>
            <w:tcMar/>
            <w:vAlign w:val="center"/>
          </w:tcPr>
          <w:p w:rsidR="4369956E" w:rsidP="4369956E" w:rsidRDefault="4369956E" w14:paraId="4B86B8A8" w14:textId="1214CC85">
            <w:pPr>
              <w:bidi w:val="0"/>
              <w:spacing w:before="0" w:beforeAutospacing="off" w:after="0" w:afterAutospacing="off"/>
            </w:pPr>
            <w:r w:rsidRPr="4369956E" w:rsidR="4369956E">
              <w:rPr>
                <w:b w:val="1"/>
                <w:bCs w:val="1"/>
              </w:rPr>
              <w:t>3.2 Patient expectations and socio-cultural pressure</w:t>
            </w:r>
          </w:p>
        </w:tc>
        <w:tc>
          <w:tcPr>
            <w:tcW w:w="4129" w:type="dxa"/>
            <w:tcBorders>
              <w:left w:val="single" w:color="000000" w:themeColor="text1" w:sz="12"/>
              <w:right w:val="single" w:color="000000" w:themeColor="text1" w:sz="12"/>
            </w:tcBorders>
            <w:tcMar/>
            <w:vAlign w:val="center"/>
          </w:tcPr>
          <w:p w:rsidR="4369956E" w:rsidP="4369956E" w:rsidRDefault="4369956E" w14:paraId="7157FDB3" w14:textId="135E271A">
            <w:pPr>
              <w:bidi w:val="0"/>
              <w:spacing w:before="0" w:beforeAutospacing="off" w:after="0" w:afterAutospacing="off"/>
            </w:pPr>
            <w:r w:rsidR="4369956E">
              <w:rPr/>
              <w:t>Patient demand for rapid service and non-prescription medicines placed pharmacists in ethically challenging positions, particularly regarding antibiotics.</w:t>
            </w:r>
          </w:p>
        </w:tc>
        <w:tc>
          <w:tcPr>
            <w:tcW w:w="2021" w:type="dxa"/>
            <w:tcBorders>
              <w:left w:val="single" w:color="000000" w:themeColor="text1" w:sz="12"/>
              <w:right w:val="single" w:color="000000" w:themeColor="text1" w:sz="12"/>
            </w:tcBorders>
            <w:tcMar/>
            <w:vAlign w:val="center"/>
          </w:tcPr>
          <w:p w:rsidR="4369956E" w:rsidP="4369956E" w:rsidRDefault="4369956E" w14:paraId="2289F52E" w14:textId="10DD09FA">
            <w:pPr>
              <w:bidi w:val="0"/>
              <w:spacing w:before="0" w:beforeAutospacing="off" w:after="0" w:afterAutospacing="off"/>
            </w:pPr>
            <w:r w:rsidR="4369956E">
              <w:rPr/>
              <w:t>Saleem Z et al. (Pakistan); Atif M et al. (Pakistan); Kamba PF et al. (Uganda)</w:t>
            </w:r>
          </w:p>
        </w:tc>
      </w:tr>
      <w:tr w:rsidR="4369956E" w:rsidTr="4369956E" w14:paraId="1E566C27">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RDefault="4369956E" w14:paraId="40E22767" w14:textId="56D4AD69"/>
        </w:tc>
        <w:tc>
          <w:tcPr>
            <w:tcW w:w="1425"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48F0D9D4" w14:textId="142DF17D">
            <w:pPr>
              <w:bidi w:val="0"/>
              <w:spacing w:before="0" w:beforeAutospacing="off" w:after="0" w:afterAutospacing="off"/>
            </w:pPr>
            <w:r w:rsidRPr="4369956E" w:rsidR="4369956E">
              <w:rPr>
                <w:b w:val="1"/>
                <w:bCs w:val="1"/>
              </w:rPr>
              <w:t>3.3 Resource constraints and moral distress</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5BA8B34D" w14:textId="70449EB8">
            <w:pPr>
              <w:bidi w:val="0"/>
              <w:spacing w:before="0" w:beforeAutospacing="off" w:after="0" w:afterAutospacing="off"/>
            </w:pPr>
            <w:r w:rsidR="4369956E">
              <w:rPr/>
              <w:t>Stock shortages, infrastructural limitations, and inadequate storage forced pharmacists to make ethically compromised dispensing decisions.</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1190B639" w14:textId="32512B94">
            <w:pPr>
              <w:bidi w:val="0"/>
              <w:spacing w:before="0" w:beforeAutospacing="off" w:after="0" w:afterAutospacing="off"/>
            </w:pPr>
            <w:r w:rsidR="4369956E">
              <w:rPr/>
              <w:t>Mekonnen AB et al. (Ethiopia); Gelayee DA et al. (Ethiopia); Crafford L et al. (South Africa)</w:t>
            </w:r>
          </w:p>
        </w:tc>
      </w:tr>
      <w:tr w:rsidR="4369956E" w:rsidTr="4369956E" w14:paraId="179428A6">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51247CEE" w14:textId="31862D6C">
            <w:pPr>
              <w:bidi w:val="0"/>
              <w:spacing w:before="0" w:beforeAutospacing="off" w:after="0" w:afterAutospacing="off"/>
            </w:pPr>
            <w:r w:rsidRPr="4369956E" w:rsidR="4369956E">
              <w:rPr>
                <w:b w:val="1"/>
                <w:bCs w:val="1"/>
              </w:rPr>
              <w:t>Theme 4: Quality Improvement and Technology Enhance Medication Safety</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6E22AF32" w14:textId="564F86FC">
            <w:pPr>
              <w:bidi w:val="0"/>
              <w:spacing w:before="0" w:beforeAutospacing="off" w:after="0" w:afterAutospacing="off"/>
            </w:pPr>
            <w:r w:rsidRPr="4369956E" w:rsidR="4369956E">
              <w:rPr>
                <w:b w:val="1"/>
                <w:bCs w:val="1"/>
              </w:rPr>
              <w:t>4.1 Targeted education and training interventions</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6C934A4D" w14:textId="2B0B891F">
            <w:pPr>
              <w:bidi w:val="0"/>
              <w:spacing w:before="0" w:beforeAutospacing="off" w:after="0" w:afterAutospacing="off"/>
            </w:pPr>
            <w:r w:rsidR="4369956E">
              <w:rPr/>
              <w:t>Structured workshops and in-service training improved clinical confidence, guideline adherence, and decision-making accuracy.</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4369956E" w:rsidRDefault="4369956E" w14:paraId="404A3CD3" w14:textId="0E879790">
            <w:pPr>
              <w:bidi w:val="0"/>
              <w:spacing w:before="0" w:beforeAutospacing="off" w:after="0" w:afterAutospacing="off"/>
            </w:pPr>
            <w:r w:rsidR="4369956E">
              <w:rPr/>
              <w:t>Musoke D et al. (Uganda); Saleem NH et al. (Pakistan); Mbugua SM et al. (Kenya)</w:t>
            </w:r>
          </w:p>
        </w:tc>
      </w:tr>
      <w:tr w:rsidR="4369956E" w:rsidTr="4369956E" w14:paraId="72AA23F6">
        <w:trPr>
          <w:trHeight w:val="300"/>
        </w:trPr>
        <w:tc>
          <w:tcPr>
            <w:tcW w:w="1785" w:type="dxa"/>
            <w:tcBorders>
              <w:left w:val="single" w:color="000000" w:themeColor="text1" w:sz="12"/>
              <w:right w:val="single" w:color="000000" w:themeColor="text1" w:sz="12"/>
            </w:tcBorders>
            <w:tcMar/>
            <w:vAlign w:val="center"/>
          </w:tcPr>
          <w:p w:rsidR="4369956E" w:rsidRDefault="4369956E" w14:paraId="0F467DC0" w14:textId="3CAFEEEB"/>
        </w:tc>
        <w:tc>
          <w:tcPr>
            <w:tcW w:w="1425" w:type="dxa"/>
            <w:tcBorders>
              <w:left w:val="single" w:color="000000" w:themeColor="text1" w:sz="12"/>
              <w:right w:val="single" w:color="000000" w:themeColor="text1" w:sz="12"/>
            </w:tcBorders>
            <w:tcMar/>
            <w:vAlign w:val="center"/>
          </w:tcPr>
          <w:p w:rsidR="4369956E" w:rsidP="4369956E" w:rsidRDefault="4369956E" w14:paraId="4A619D5F" w14:textId="1F048410">
            <w:pPr>
              <w:bidi w:val="0"/>
              <w:spacing w:before="0" w:beforeAutospacing="off" w:after="0" w:afterAutospacing="off"/>
            </w:pPr>
            <w:r w:rsidRPr="4369956E" w:rsidR="4369956E">
              <w:rPr>
                <w:b w:val="1"/>
                <w:bCs w:val="1"/>
              </w:rPr>
              <w:t>4.2 Standardised protocols and safety checklists</w:t>
            </w:r>
          </w:p>
        </w:tc>
        <w:tc>
          <w:tcPr>
            <w:tcW w:w="4129" w:type="dxa"/>
            <w:tcBorders>
              <w:left w:val="single" w:color="000000" w:themeColor="text1" w:sz="12"/>
              <w:right w:val="single" w:color="000000" w:themeColor="text1" w:sz="12"/>
            </w:tcBorders>
            <w:tcMar/>
            <w:vAlign w:val="center"/>
          </w:tcPr>
          <w:p w:rsidR="4369956E" w:rsidP="4369956E" w:rsidRDefault="4369956E" w14:paraId="54A210F0" w14:textId="06AEA14A">
            <w:pPr>
              <w:bidi w:val="0"/>
              <w:spacing w:before="0" w:beforeAutospacing="off" w:after="0" w:afterAutospacing="off"/>
            </w:pPr>
            <w:r w:rsidR="4369956E">
              <w:rPr/>
              <w:t>Implementation of SOPs, double-check systems, and documentation tools reduced reliance on memory and improved consistency.</w:t>
            </w:r>
          </w:p>
        </w:tc>
        <w:tc>
          <w:tcPr>
            <w:tcW w:w="2021" w:type="dxa"/>
            <w:tcBorders>
              <w:left w:val="single" w:color="000000" w:themeColor="text1" w:sz="12"/>
              <w:right w:val="single" w:color="000000" w:themeColor="text1" w:sz="12"/>
            </w:tcBorders>
            <w:tcMar/>
            <w:vAlign w:val="center"/>
          </w:tcPr>
          <w:p w:rsidR="4369956E" w:rsidP="4369956E" w:rsidRDefault="4369956E" w14:paraId="61CBD352" w14:textId="3F37F3F3">
            <w:pPr>
              <w:bidi w:val="0"/>
              <w:spacing w:before="0" w:beforeAutospacing="off" w:after="0" w:afterAutospacing="off"/>
            </w:pPr>
            <w:r w:rsidR="4369956E">
              <w:rPr/>
              <w:t>Atif M et al. (Pakistan); Crafford L et al. (South Africa); Kamba PF et al. (Uganda)</w:t>
            </w:r>
          </w:p>
        </w:tc>
      </w:tr>
      <w:tr w:rsidR="4369956E" w:rsidTr="4369956E" w14:paraId="768D4727">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RDefault="4369956E" w14:paraId="0C261B0F" w14:textId="725D2094"/>
        </w:tc>
        <w:tc>
          <w:tcPr>
            <w:tcW w:w="1425"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091613FF" w14:textId="0ED3DDED">
            <w:pPr>
              <w:bidi w:val="0"/>
              <w:spacing w:before="0" w:beforeAutospacing="off" w:after="0" w:afterAutospacing="off"/>
            </w:pPr>
            <w:r w:rsidRPr="4369956E" w:rsidR="4369956E">
              <w:rPr>
                <w:b w:val="1"/>
                <w:bCs w:val="1"/>
              </w:rPr>
              <w:t>4.3 Digital technology integration</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255A5226" w14:textId="314F17A0">
            <w:pPr>
              <w:bidi w:val="0"/>
              <w:spacing w:before="0" w:beforeAutospacing="off" w:after="0" w:afterAutospacing="off"/>
            </w:pPr>
            <w:r w:rsidR="4369956E">
              <w:rPr/>
              <w:t>Use of electronic prescriptions, digital logs, and barcode verification reduced selection and transcription errors, though infrastructure barriers persisted.</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4369956E" w:rsidRDefault="4369956E" w14:paraId="48939540" w14:textId="018317C6">
            <w:pPr>
              <w:bidi w:val="0"/>
              <w:spacing w:before="0" w:beforeAutospacing="off" w:after="0" w:afterAutospacing="off"/>
            </w:pPr>
            <w:r w:rsidR="4369956E">
              <w:rPr/>
              <w:t>Saleem NH et al. (Pakistan); Musoke D et al. (Uganda); Kentab BY et al. (Global)</w:t>
            </w:r>
          </w:p>
        </w:tc>
      </w:tr>
    </w:tbl>
    <w:p w:rsidR="4369956E" w:rsidP="4369956E" w:rsidRDefault="4369956E" w14:paraId="6ECCAAEB" w14:textId="1618F08C">
      <w:pPr>
        <w:bidi w:val="0"/>
        <w:spacing w:before="240" w:beforeAutospacing="off" w:after="240" w:afterAutospacing="off"/>
        <w:jc w:val="both"/>
        <w:rPr>
          <w:rFonts w:ascii="Arial" w:hAnsi="Arial" w:eastAsia="Arial" w:cs="Arial"/>
          <w:noProof w:val="0"/>
          <w:sz w:val="24"/>
          <w:szCs w:val="24"/>
          <w:lang w:val="en-US"/>
        </w:rPr>
      </w:pPr>
    </w:p>
    <w:p w:rsidR="3B7BAD25" w:rsidP="407E75B8" w:rsidRDefault="3B7BAD25" w14:paraId="041A1652" w14:textId="12FE27CE">
      <w:pPr>
        <w:bidi w:val="0"/>
        <w:spacing w:before="240" w:beforeAutospacing="off" w:after="240" w:afterAutospacing="off"/>
        <w:jc w:val="both"/>
      </w:pPr>
    </w:p>
    <w:p w:rsidR="3B7BAD25" w:rsidP="5B971295" w:rsidRDefault="3B7BAD25" w14:paraId="008C1AB7" w14:textId="425B6DE5">
      <w:pPr>
        <w:pStyle w:val="Heading2"/>
        <w:rPr>
          <w:rFonts w:ascii="Arial" w:hAnsi="Arial" w:eastAsia="Arial" w:cs="Arial"/>
          <w:b w:val="1"/>
          <w:bCs w:val="1"/>
          <w:noProof w:val="0"/>
          <w:sz w:val="24"/>
          <w:szCs w:val="24"/>
          <w:lang w:val="en-US"/>
        </w:rPr>
      </w:pPr>
      <w:bookmarkStart w:name="_Toc1601825682" w:id="1358090072"/>
      <w:r w:rsidRPr="668EA0FB" w:rsidR="21AEB706">
        <w:rPr>
          <w:noProof w:val="0"/>
          <w:lang w:val="en-US"/>
        </w:rPr>
        <w:t xml:space="preserve">5.4.1 </w:t>
      </w:r>
      <w:r w:rsidRPr="668EA0FB" w:rsidR="21AEB706">
        <w:rPr>
          <w:noProof w:val="0"/>
          <w:lang w:val="en-US"/>
        </w:rPr>
        <w:t>Theme 1: Knowledge Gaps and Training Deficiencies Among Pharmacists Affect Medication Safety</w:t>
      </w:r>
      <w:bookmarkEnd w:id="1358090072"/>
    </w:p>
    <w:p w:rsidR="3B7BAD25" w:rsidP="5B971295" w:rsidRDefault="3B7BAD25" w14:paraId="76E4AFDD" w14:textId="4B541ED1">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 xml:space="preserve">Subtheme 1.1: </w:t>
      </w:r>
      <w:r w:rsidRPr="5B971295" w:rsidR="21AEB706">
        <w:rPr>
          <w:rFonts w:ascii="Arial" w:hAnsi="Arial" w:eastAsia="Arial" w:cs="Arial"/>
          <w:b w:val="1"/>
          <w:bCs w:val="1"/>
          <w:noProof w:val="0"/>
          <w:sz w:val="24"/>
          <w:szCs w:val="24"/>
          <w:lang w:val="en-US"/>
        </w:rPr>
        <w:t>In</w:t>
      </w:r>
      <w:r w:rsidRPr="5B971295" w:rsidR="21AEB706">
        <w:rPr>
          <w:rFonts w:ascii="Arial" w:hAnsi="Arial" w:eastAsia="Arial" w:cs="Arial"/>
          <w:b w:val="1"/>
          <w:bCs w:val="1"/>
          <w:noProof w:val="0"/>
          <w:sz w:val="24"/>
          <w:szCs w:val="24"/>
          <w:lang w:val="en-US"/>
        </w:rPr>
        <w:t>sufficient Pharmacological and Dispensing Knowledge</w:t>
      </w:r>
    </w:p>
    <w:p w:rsidR="3B7BAD25" w:rsidP="407E75B8" w:rsidRDefault="3B7BAD25" w14:paraId="1883C860" w14:textId="682B1B2C">
      <w:pPr>
        <w:bidi w:val="0"/>
        <w:spacing w:before="240" w:beforeAutospacing="off" w:after="240" w:afterAutospacing="off"/>
        <w:jc w:val="both"/>
      </w:pPr>
      <w:r w:rsidRPr="407E75B8" w:rsidR="41003645">
        <w:rPr>
          <w:rFonts w:ascii="Arial" w:hAnsi="Arial" w:eastAsia="Arial" w:cs="Arial"/>
          <w:noProof w:val="0"/>
          <w:sz w:val="24"/>
          <w:szCs w:val="24"/>
          <w:lang w:val="en-US"/>
        </w:rPr>
        <w:t>Across multiple studies, including those by Saleem et al. (2021), Musoke et al. (2023), and Yousaf et al. (2022), pharmacists demonstrated limited pharmacological understanding, particularly regarding dosage adjustments, contraindications, and drug–drug interactions. These deficits impaired their ability to identify prescription inconsistencies or explain medication use effectively to patients. A noteworthy finding is that many LMIC pharmacy programs are theory-heavy and lack structured clinical components, resulting in pharmacists entering the workforce without adequate experiential grounding. Such knowledge gaps directly translated into wrong-drug dispensing, incorrect strength selection, and inaccurate substitutions. The studies also highlighted that dispensers without formal pharmacy qualifications, which is common in LMIC community settings, face significant cognitive barriers in ensuring medication safety.</w:t>
      </w:r>
    </w:p>
    <w:p w:rsidR="3B7BAD25" w:rsidP="5B971295" w:rsidRDefault="3B7BAD25" w14:paraId="70C6651A" w14:textId="1386B161">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1.2:</w:t>
      </w:r>
      <w:r w:rsidRPr="5B971295" w:rsidR="21AEB706">
        <w:rPr>
          <w:rFonts w:ascii="Arial" w:hAnsi="Arial" w:eastAsia="Arial" w:cs="Arial"/>
          <w:b w:val="1"/>
          <w:bCs w:val="1"/>
          <w:noProof w:val="0"/>
          <w:sz w:val="24"/>
          <w:szCs w:val="24"/>
          <w:lang w:val="en-US"/>
        </w:rPr>
        <w:t xml:space="preserve"> </w:t>
      </w:r>
      <w:r w:rsidRPr="5B971295" w:rsidR="21AEB706">
        <w:rPr>
          <w:rFonts w:ascii="Arial" w:hAnsi="Arial" w:eastAsia="Arial" w:cs="Arial"/>
          <w:b w:val="1"/>
          <w:bCs w:val="1"/>
          <w:noProof w:val="0"/>
          <w:sz w:val="24"/>
          <w:szCs w:val="24"/>
          <w:lang w:val="en-US"/>
        </w:rPr>
        <w:t>Lack of Structured Continuing Education Programs</w:t>
      </w:r>
    </w:p>
    <w:p w:rsidR="3B7BAD25" w:rsidP="407E75B8" w:rsidRDefault="3B7BAD25" w14:paraId="25CD9145" w14:textId="3074E707">
      <w:pPr>
        <w:bidi w:val="0"/>
        <w:spacing w:before="240" w:beforeAutospacing="off" w:after="240" w:afterAutospacing="off"/>
        <w:jc w:val="both"/>
      </w:pPr>
      <w:r w:rsidRPr="407E75B8" w:rsidR="41003645">
        <w:rPr>
          <w:rFonts w:ascii="Arial" w:hAnsi="Arial" w:eastAsia="Arial" w:cs="Arial"/>
          <w:noProof w:val="0"/>
          <w:sz w:val="24"/>
          <w:szCs w:val="24"/>
          <w:lang w:val="en-US"/>
        </w:rPr>
        <w:t>Awan et al. (2020) and Kifle et al. (2021) reported that pharmacists rarely receive mandatory refresher training, leaving them unaware of evolving treatment guidelines, newly introduced medications, and global medication safety protocols. In many LMICs, professional development relies heavily on self-initiative, resulting in inconsistent knowledge levels across the workforce. Saleem et al. (2021) emphasised that pharmacists felt underprepared to handle clinical complexities due to the absence of competency-based evaluations. This gap becomes more pronounced in rural or independent pharmacies, where staff have limited access to accredited training providers. As a result, pharmacists often rely on outdated practices, perpetuating avoidable dispensing errors.</w:t>
      </w:r>
    </w:p>
    <w:p w:rsidR="3B7BAD25" w:rsidP="5B971295" w:rsidRDefault="3B7BAD25" w14:paraId="7E9353B3" w14:textId="6D6C2EC3">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 xml:space="preserve">Subtheme 1.3: </w:t>
      </w:r>
      <w:r w:rsidRPr="5B971295" w:rsidR="2EB7EA02">
        <w:rPr>
          <w:rFonts w:ascii="Arial" w:hAnsi="Arial" w:eastAsia="Arial" w:cs="Arial"/>
          <w:b w:val="1"/>
          <w:bCs w:val="1"/>
          <w:noProof w:val="0"/>
          <w:sz w:val="24"/>
          <w:szCs w:val="24"/>
          <w:lang w:val="en-US"/>
        </w:rPr>
        <w:t>D</w:t>
      </w:r>
      <w:r w:rsidRPr="5B971295" w:rsidR="2EB7EA02">
        <w:rPr>
          <w:rFonts w:ascii="Arial" w:hAnsi="Arial" w:eastAsia="Arial" w:cs="Arial"/>
          <w:b w:val="1"/>
          <w:bCs w:val="1"/>
          <w:noProof w:val="0"/>
          <w:sz w:val="24"/>
          <w:szCs w:val="24"/>
          <w:lang w:val="en-US"/>
        </w:rPr>
        <w:t>eficiencies in Practical and Simulation-Based Training</w:t>
      </w:r>
    </w:p>
    <w:p w:rsidR="3B7BAD25" w:rsidP="407E75B8" w:rsidRDefault="3B7BAD25" w14:paraId="250B9FBC" w14:textId="1DDE6812">
      <w:pPr>
        <w:bidi w:val="0"/>
        <w:spacing w:before="240" w:beforeAutospacing="off" w:after="240" w:afterAutospacing="off"/>
        <w:jc w:val="both"/>
      </w:pPr>
      <w:r w:rsidRPr="407E75B8" w:rsidR="41003645">
        <w:rPr>
          <w:rFonts w:ascii="Arial" w:hAnsi="Arial" w:eastAsia="Arial" w:cs="Arial"/>
          <w:noProof w:val="0"/>
          <w:sz w:val="24"/>
          <w:szCs w:val="24"/>
          <w:lang w:val="en-US"/>
        </w:rPr>
        <w:t>Musoke et al. (2023) observed that the lack of structured simulation exercises meant pharmacists were unprepared for high-risk clinical scenarios, such as handling LASA (look-alike sound-alike) medicines or managing polypharmacy in older adults. Yousaf et al. (2022) showed that new pharmacists frequently depended on informal peer assistance rather than structured mentorship, indicating institutional weakness in clinical induction and supervision. Without exposure to realistic dispensing scenarios, pharmacists defaulted to routine, superficial checks rather than analytical clinical reasoning. This training gap increases reliance on guesswork and memory, significantly elevating the risk of medication errors.</w:t>
      </w:r>
    </w:p>
    <w:p w:rsidR="3B7BAD25" w:rsidP="407E75B8" w:rsidRDefault="3B7BAD25" w14:paraId="1D229AFF" w14:textId="63656B66">
      <w:pPr>
        <w:bidi w:val="0"/>
        <w:spacing w:before="240" w:beforeAutospacing="off" w:after="240" w:afterAutospacing="off"/>
        <w:jc w:val="both"/>
      </w:pPr>
      <w:r w:rsidRPr="407E75B8" w:rsidR="41003645">
        <w:rPr>
          <w:rFonts w:ascii="Arial" w:hAnsi="Arial" w:eastAsia="Arial" w:cs="Arial"/>
          <w:noProof w:val="0"/>
          <w:sz w:val="24"/>
          <w:szCs w:val="24"/>
          <w:lang w:val="en-US"/>
        </w:rPr>
        <w:t>Overall, Theme 1 underscores that knowledge and skill deficits are foundational drivers of dispensing errors, reinforcing the need for comprehensive training, structured professional development, and competency-based learning models.</w:t>
      </w:r>
    </w:p>
    <w:p w:rsidR="3B7BAD25" w:rsidP="407E75B8" w:rsidRDefault="3B7BAD25" w14:paraId="039D2A0C" w14:textId="5DC1127A">
      <w:pPr>
        <w:bidi w:val="0"/>
        <w:spacing w:before="240" w:beforeAutospacing="off" w:after="240" w:afterAutospacing="off"/>
        <w:jc w:val="both"/>
      </w:pPr>
    </w:p>
    <w:p w:rsidR="3B7BAD25" w:rsidP="5B971295" w:rsidRDefault="3B7BAD25" w14:paraId="05D69E81" w14:textId="19ED9B36">
      <w:pPr>
        <w:pStyle w:val="Heading2"/>
        <w:rPr>
          <w:rFonts w:ascii="Arial" w:hAnsi="Arial" w:eastAsia="Arial" w:cs="Arial"/>
          <w:b w:val="1"/>
          <w:bCs w:val="1"/>
          <w:noProof w:val="0"/>
          <w:sz w:val="24"/>
          <w:szCs w:val="24"/>
          <w:lang w:val="en-US"/>
        </w:rPr>
      </w:pPr>
      <w:bookmarkStart w:name="_Toc801519169" w:id="211103208"/>
      <w:r w:rsidRPr="668EA0FB" w:rsidR="21AEB706">
        <w:rPr>
          <w:noProof w:val="0"/>
          <w:lang w:val="en-US"/>
        </w:rPr>
        <w:t xml:space="preserve">5.4.2 </w:t>
      </w:r>
      <w:r w:rsidRPr="668EA0FB" w:rsidR="21AEB706">
        <w:rPr>
          <w:noProof w:val="0"/>
          <w:lang w:val="en-US"/>
        </w:rPr>
        <w:t xml:space="preserve">Theme 2: Systemic and </w:t>
      </w:r>
      <w:r w:rsidRPr="668EA0FB" w:rsidR="21AEB706">
        <w:rPr>
          <w:noProof w:val="0"/>
          <w:lang w:val="en-US"/>
        </w:rPr>
        <w:t>Organisational</w:t>
      </w:r>
      <w:r w:rsidRPr="668EA0FB" w:rsidR="21AEB706">
        <w:rPr>
          <w:noProof w:val="0"/>
          <w:lang w:val="en-US"/>
        </w:rPr>
        <w:t xml:space="preserve"> Barriers Impede Safe Dispensing Practices</w:t>
      </w:r>
      <w:bookmarkEnd w:id="211103208"/>
    </w:p>
    <w:p w:rsidR="3B7BAD25" w:rsidP="407E75B8" w:rsidRDefault="3B7BAD25" w14:paraId="31D823FE" w14:textId="12EFBC2F">
      <w:pPr>
        <w:bidi w:val="0"/>
        <w:spacing w:before="240" w:beforeAutospacing="off" w:after="240" w:afterAutospacing="off"/>
        <w:jc w:val="both"/>
      </w:pPr>
      <w:r w:rsidRPr="5B971295" w:rsidR="21AEB706">
        <w:rPr>
          <w:rFonts w:ascii="Arial" w:hAnsi="Arial" w:eastAsia="Arial" w:cs="Arial"/>
          <w:b w:val="1"/>
          <w:bCs w:val="1"/>
          <w:noProof w:val="0"/>
          <w:sz w:val="24"/>
          <w:szCs w:val="24"/>
          <w:lang w:val="en-US"/>
        </w:rPr>
        <w:t>Subtheme 2.1: High Workload and Staffing Shortages</w:t>
      </w:r>
    </w:p>
    <w:p w:rsidR="3B7BAD25" w:rsidP="407E75B8" w:rsidRDefault="3B7BAD25" w14:paraId="67F4D9DF" w14:textId="4BC56ADB">
      <w:pPr>
        <w:bidi w:val="0"/>
        <w:spacing w:before="240" w:beforeAutospacing="off" w:after="240" w:afterAutospacing="off"/>
        <w:jc w:val="both"/>
      </w:pPr>
      <w:r w:rsidRPr="407E75B8" w:rsidR="41003645">
        <w:rPr>
          <w:rFonts w:ascii="Arial" w:hAnsi="Arial" w:eastAsia="Arial" w:cs="Arial"/>
          <w:noProof w:val="0"/>
          <w:sz w:val="24"/>
          <w:szCs w:val="24"/>
          <w:lang w:val="en-US"/>
        </w:rPr>
        <w:t>High prescription volumes, multitasking pressures, and insufficient staffing were consistently reported in studies by Saleem et al. (2021), Kifle et al. (2021), and Musoke et al. (2023). Pharmacists in LMICs often worked long hours with limited support staff, increasing fatigue and reducing attention to detail. In such environments, safety checks such as dose verification, drug interaction assessment, and counselling were frequently skipped. High workload conditions created a “fast service” culture where speed was valued over accuracy, increasing the risk of dispensing errors, especially during peak hours.</w:t>
      </w:r>
    </w:p>
    <w:p w:rsidR="3B7BAD25" w:rsidP="5B971295" w:rsidRDefault="3B7BAD25" w14:paraId="06FCA74A" w14:textId="5D142DC0">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2.2: Communication Gaps Among Healthcare Providers</w:t>
      </w:r>
    </w:p>
    <w:p w:rsidR="3B7BAD25" w:rsidP="407E75B8" w:rsidRDefault="3B7BAD25" w14:paraId="65B3DB9E" w14:textId="75C68877">
      <w:pPr>
        <w:bidi w:val="0"/>
        <w:spacing w:before="240" w:beforeAutospacing="off" w:after="240" w:afterAutospacing="off"/>
        <w:jc w:val="both"/>
      </w:pPr>
      <w:r w:rsidRPr="407E75B8" w:rsidR="41003645">
        <w:rPr>
          <w:rFonts w:ascii="Arial" w:hAnsi="Arial" w:eastAsia="Arial" w:cs="Arial"/>
          <w:noProof w:val="0"/>
          <w:sz w:val="24"/>
          <w:szCs w:val="24"/>
          <w:lang w:val="en-US"/>
        </w:rPr>
        <w:t>Awan et al. (2020) identified that unclear or incomplete prescriptions—often lacking dosage details or indication—were a major contributor to dispensing errors. Poor communication between physicians and pharmacists prevented timely clarification of ambiguous orders. Saleem et al. (2021) highlighted that hierarchical barriers discouraged pharmacists from questioning prescribers, limiting opportunities for collaborative medication review. Furthermore, limited patient counselling led to misinterpretation of instructions, contributing to unsafe medicine use at home.</w:t>
      </w:r>
    </w:p>
    <w:p w:rsidR="3B7BAD25" w:rsidP="5B971295" w:rsidRDefault="3B7BAD25" w14:paraId="6AEEA12F" w14:textId="5D608369">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2.3: Inadequate Standard Operating Procedures (SOPs) and Supervision</w:t>
      </w:r>
    </w:p>
    <w:p w:rsidR="3B7BAD25" w:rsidP="407E75B8" w:rsidRDefault="3B7BAD25" w14:paraId="489908C8" w14:textId="3F5CB22F">
      <w:pPr>
        <w:bidi w:val="0"/>
        <w:spacing w:before="240" w:beforeAutospacing="off" w:after="240" w:afterAutospacing="off"/>
        <w:jc w:val="both"/>
      </w:pPr>
      <w:r w:rsidRPr="407E75B8" w:rsidR="41003645">
        <w:rPr>
          <w:rFonts w:ascii="Arial" w:hAnsi="Arial" w:eastAsia="Arial" w:cs="Arial"/>
          <w:noProof w:val="0"/>
          <w:sz w:val="24"/>
          <w:szCs w:val="24"/>
          <w:lang w:val="en-US"/>
        </w:rPr>
        <w:t>Musoke et al. (2023) and Yousaf et al. (2022) noted that many pharmacies lacked standardized workflows for dispensing, documentation, stock rotation, and error reporting. The absence of SOPs created inconsistency, with each pharmacist relying on personal habits rather than structured procedures. Kifle et al. (2021) also highlighted weak supervisory systems where audits were irregular or absent, allowing unsafe practices to persist unnoticed. In some settings, the lack of accountability mechanisms meant pharmacists had no structured feedback system to learn from past mistakes.</w:t>
      </w:r>
    </w:p>
    <w:p w:rsidR="3B7BAD25" w:rsidP="407E75B8" w:rsidRDefault="3B7BAD25" w14:paraId="1094AEF6" w14:textId="2E4FAE29">
      <w:pPr>
        <w:bidi w:val="0"/>
        <w:spacing w:before="240" w:beforeAutospacing="off" w:after="240" w:afterAutospacing="off"/>
        <w:jc w:val="both"/>
      </w:pPr>
      <w:r w:rsidRPr="407E75B8" w:rsidR="41003645">
        <w:rPr>
          <w:rFonts w:ascii="Arial" w:hAnsi="Arial" w:eastAsia="Arial" w:cs="Arial"/>
          <w:noProof w:val="0"/>
          <w:sz w:val="24"/>
          <w:szCs w:val="24"/>
          <w:lang w:val="en-US"/>
        </w:rPr>
        <w:t>Collectively, Theme 2 illustrates that pharmacist performance is deeply embedded in organisational realities, and system improvements are crucial for enhancing medication safety.</w:t>
      </w:r>
    </w:p>
    <w:p w:rsidR="3B7BAD25" w:rsidP="407E75B8" w:rsidRDefault="3B7BAD25" w14:paraId="0A004B55" w14:textId="349A3322">
      <w:pPr>
        <w:bidi w:val="0"/>
        <w:spacing w:before="240" w:beforeAutospacing="off" w:after="240" w:afterAutospacing="off"/>
        <w:jc w:val="both"/>
      </w:pPr>
    </w:p>
    <w:p w:rsidR="3B7BAD25" w:rsidP="5B971295" w:rsidRDefault="3B7BAD25" w14:paraId="11B14054" w14:textId="46BDED19">
      <w:pPr>
        <w:pStyle w:val="Heading2"/>
        <w:rPr>
          <w:rFonts w:ascii="Arial" w:hAnsi="Arial" w:eastAsia="Arial" w:cs="Arial"/>
          <w:b w:val="1"/>
          <w:bCs w:val="1"/>
          <w:noProof w:val="0"/>
          <w:sz w:val="28"/>
          <w:szCs w:val="28"/>
          <w:lang w:val="en-US"/>
        </w:rPr>
      </w:pPr>
      <w:bookmarkStart w:name="_Toc1308758747" w:id="1021007613"/>
      <w:r w:rsidRPr="668EA0FB" w:rsidR="21AEB706">
        <w:rPr>
          <w:noProof w:val="0"/>
          <w:lang w:val="en-US"/>
        </w:rPr>
        <w:t>5.4.3 Theme 3: Ethical Challenges and Socio-Cultural Influences Shape Pharmacists’ Attitudes Toward Error Reporting</w:t>
      </w:r>
      <w:bookmarkEnd w:id="1021007613"/>
    </w:p>
    <w:p w:rsidR="3B7BAD25" w:rsidP="407E75B8" w:rsidRDefault="3B7BAD25" w14:paraId="53BD8016" w14:textId="35AF4E08">
      <w:pPr>
        <w:bidi w:val="0"/>
        <w:spacing w:before="240" w:beforeAutospacing="off" w:after="240" w:afterAutospacing="off"/>
        <w:jc w:val="both"/>
      </w:pPr>
      <w:r w:rsidRPr="5B971295" w:rsidR="21AEB706">
        <w:rPr>
          <w:rFonts w:ascii="Arial" w:hAnsi="Arial" w:eastAsia="Arial" w:cs="Arial"/>
          <w:b w:val="1"/>
          <w:bCs w:val="1"/>
          <w:noProof w:val="0"/>
          <w:sz w:val="24"/>
          <w:szCs w:val="24"/>
          <w:lang w:val="en-US"/>
        </w:rPr>
        <w:t>Subtheme 3.1: Fear of Repercussions and Punitive Work Culture</w:t>
      </w:r>
    </w:p>
    <w:p w:rsidR="3B7BAD25" w:rsidP="407E75B8" w:rsidRDefault="3B7BAD25" w14:paraId="7247A075" w14:textId="3B069640">
      <w:pPr>
        <w:bidi w:val="0"/>
        <w:spacing w:before="240" w:beforeAutospacing="off" w:after="240" w:afterAutospacing="off"/>
        <w:jc w:val="both"/>
      </w:pPr>
      <w:r w:rsidRPr="407E75B8" w:rsidR="41003645">
        <w:rPr>
          <w:rFonts w:ascii="Arial" w:hAnsi="Arial" w:eastAsia="Arial" w:cs="Arial"/>
          <w:noProof w:val="0"/>
          <w:sz w:val="24"/>
          <w:szCs w:val="24"/>
          <w:lang w:val="en-US"/>
        </w:rPr>
        <w:t>Saleem et al. (2021) and Musoke et al. (2023) showed that pharmacists were reluctant to report errors due to fears of job loss, disciplinary action, or damage to professional reputation. The absence of a non-punitive or “just culture” (Marx, 2001) discouraged learning from mistakes and contributed to error concealment. In many LMIC settings, owners of private pharmacies often blame individuals rather than reviewing systemic causes, reinforcing silence around medication errors.</w:t>
      </w:r>
    </w:p>
    <w:p w:rsidR="3B7BAD25" w:rsidP="5B971295" w:rsidRDefault="3B7BAD25" w14:paraId="2E07966B" w14:textId="0052F2F8">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 xml:space="preserve">Subtheme 3.2: </w:t>
      </w:r>
      <w:r w:rsidRPr="5B971295" w:rsidR="2099CB12">
        <w:rPr>
          <w:rFonts w:ascii="Arial" w:hAnsi="Arial" w:eastAsia="Arial" w:cs="Arial"/>
          <w:b w:val="1"/>
          <w:bCs w:val="1"/>
          <w:noProof w:val="0"/>
          <w:sz w:val="24"/>
          <w:szCs w:val="24"/>
          <w:lang w:val="en-US"/>
        </w:rPr>
        <w:t>Patient Expectations and Sociocultural Pressure</w:t>
      </w:r>
    </w:p>
    <w:p w:rsidR="3B7BAD25" w:rsidP="407E75B8" w:rsidRDefault="3B7BAD25" w14:paraId="1076AC4B" w14:textId="24A4A14E">
      <w:pPr>
        <w:bidi w:val="0"/>
        <w:spacing w:before="240" w:beforeAutospacing="off" w:after="240" w:afterAutospacing="off"/>
        <w:jc w:val="both"/>
      </w:pPr>
      <w:r w:rsidRPr="407E75B8" w:rsidR="41003645">
        <w:rPr>
          <w:rFonts w:ascii="Arial" w:hAnsi="Arial" w:eastAsia="Arial" w:cs="Arial"/>
          <w:noProof w:val="0"/>
          <w:sz w:val="24"/>
          <w:szCs w:val="24"/>
          <w:lang w:val="en-US"/>
        </w:rPr>
        <w:t>Kifle et al. (2021) reported that patients often expect fast service and unquestioned dispensing of medications, placing pharmacists in ethically challenging situations. Saleem et al. (2021) observed that some pharmacists dispensed antibiotics without valid prescriptions simply to meet patient demand or avoid confrontation. Many patients viewed pharmacists as authoritative figures, intensifying pressure on them to provide treatment solutions even when medically inappropriate.</w:t>
      </w:r>
    </w:p>
    <w:p w:rsidR="3B7BAD25" w:rsidP="5B971295" w:rsidRDefault="3B7BAD25" w14:paraId="18519C43" w14:textId="7BFE5F39">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3.3: Resource Constraints Leading to Ethical Dilemmas</w:t>
      </w:r>
    </w:p>
    <w:p w:rsidR="3B7BAD25" w:rsidP="407E75B8" w:rsidRDefault="3B7BAD25" w14:paraId="23E9EDB5" w14:textId="522316F4">
      <w:pPr>
        <w:bidi w:val="0"/>
        <w:spacing w:before="240" w:beforeAutospacing="off" w:after="240" w:afterAutospacing="off"/>
        <w:jc w:val="both"/>
      </w:pPr>
      <w:r w:rsidRPr="407E75B8" w:rsidR="41003645">
        <w:rPr>
          <w:rFonts w:ascii="Arial" w:hAnsi="Arial" w:eastAsia="Arial" w:cs="Arial"/>
          <w:noProof w:val="0"/>
          <w:sz w:val="24"/>
          <w:szCs w:val="24"/>
          <w:lang w:val="en-US"/>
        </w:rPr>
        <w:t>Awan et al. (2020) and Yousaf et al. (2022) highlighted situations where pharmacists were forced to dispense expired items, incomplete dosages, or non-ideal substitutions due to stock shortages and supply chain limitations. These conditions created moral distress, as pharmacists had to choose between patient expectations and limited resources. Infrastructural deficits—such as lack of private counselling areas or poor storage conditions—further complicated ethical decision-making.</w:t>
      </w:r>
    </w:p>
    <w:p w:rsidR="3B7BAD25" w:rsidP="407E75B8" w:rsidRDefault="3B7BAD25" w14:paraId="75EAB449" w14:textId="0092DFA8">
      <w:pPr>
        <w:bidi w:val="0"/>
        <w:spacing w:before="240" w:beforeAutospacing="off" w:after="240" w:afterAutospacing="off"/>
        <w:jc w:val="both"/>
      </w:pPr>
      <w:r w:rsidRPr="407E75B8" w:rsidR="41003645">
        <w:rPr>
          <w:rFonts w:ascii="Arial" w:hAnsi="Arial" w:eastAsia="Arial" w:cs="Arial"/>
          <w:noProof w:val="0"/>
          <w:sz w:val="24"/>
          <w:szCs w:val="24"/>
          <w:lang w:val="en-US"/>
        </w:rPr>
        <w:t>Overall, Theme 3 demonstrates that ethical and socio-cultural pressures heavily influence pharmacist behaviour, underscoring the need for supportive work environments and public awareness initiatives.</w:t>
      </w:r>
    </w:p>
    <w:p w:rsidR="3B7BAD25" w:rsidP="407E75B8" w:rsidRDefault="3B7BAD25" w14:paraId="4E9BA890" w14:textId="0174BB9F">
      <w:pPr>
        <w:bidi w:val="0"/>
        <w:spacing w:before="240" w:beforeAutospacing="off" w:after="240" w:afterAutospacing="off"/>
        <w:jc w:val="both"/>
      </w:pPr>
    </w:p>
    <w:p w:rsidR="3B7BAD25" w:rsidP="668EA0FB" w:rsidRDefault="3B7BAD25" w14:paraId="4C705656" w14:textId="6234C7EB">
      <w:pPr>
        <w:pStyle w:val="Heading2"/>
        <w:rPr>
          <w:noProof w:val="0"/>
          <w:lang w:val="en-US"/>
        </w:rPr>
      </w:pPr>
      <w:bookmarkStart w:name="_Toc784717496" w:id="1632354534"/>
      <w:r w:rsidRPr="668EA0FB" w:rsidR="21AEB706">
        <w:rPr>
          <w:noProof w:val="0"/>
          <w:lang w:val="en-US"/>
        </w:rPr>
        <w:t>5.4.4 Theme 4: Quality Improvement Initiatives and Technology Adoption Enhance Medication Safety in Pharmacy Settings</w:t>
      </w:r>
      <w:bookmarkEnd w:id="1632354534"/>
    </w:p>
    <w:p w:rsidR="3B7BAD25" w:rsidP="5B971295" w:rsidRDefault="3B7BAD25" w14:paraId="58473D61" w14:textId="26D24E38">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4.1: Targeted Continuing Education and Training Interventions</w:t>
      </w:r>
    </w:p>
    <w:p w:rsidR="3B7BAD25" w:rsidP="407E75B8" w:rsidRDefault="3B7BAD25" w14:paraId="1D14CEA4" w14:textId="06F7C6A0">
      <w:pPr>
        <w:bidi w:val="0"/>
        <w:spacing w:before="240" w:beforeAutospacing="off" w:after="240" w:afterAutospacing="off"/>
        <w:jc w:val="both"/>
      </w:pPr>
      <w:r w:rsidRPr="407E75B8" w:rsidR="41003645">
        <w:rPr>
          <w:rFonts w:ascii="Arial" w:hAnsi="Arial" w:eastAsia="Arial" w:cs="Arial"/>
          <w:noProof w:val="0"/>
          <w:sz w:val="24"/>
          <w:szCs w:val="24"/>
          <w:lang w:val="en-US"/>
        </w:rPr>
        <w:t>Musoke et al. (2023) and Saleem et al. (2021) documented improvements in pharmacists’ clinical decision-making following structured workshops and in-service training sessions. Kifle et al. (2021) highlighted how interactive learning modules increased adherence to safety procedures and reduced error rates. These initiatives provided pharmacists with updated clinical knowledge, increased confidence, and enhanced ability to identify high-risk prescriptions.</w:t>
      </w:r>
    </w:p>
    <w:p w:rsidR="3B7BAD25" w:rsidP="5B971295" w:rsidRDefault="3B7BAD25" w14:paraId="3E1E79DD" w14:textId="2BD017A8">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4.2: Adoption of Standardized Protocols and Safety Checklists</w:t>
      </w:r>
    </w:p>
    <w:p w:rsidR="3B7BAD25" w:rsidP="407E75B8" w:rsidRDefault="3B7BAD25" w14:paraId="5FFF3A2E" w14:textId="6B5434F5">
      <w:pPr>
        <w:bidi w:val="0"/>
        <w:spacing w:before="240" w:beforeAutospacing="off" w:after="240" w:afterAutospacing="off"/>
        <w:jc w:val="both"/>
      </w:pPr>
      <w:r w:rsidRPr="407E75B8" w:rsidR="41003645">
        <w:rPr>
          <w:rFonts w:ascii="Arial" w:hAnsi="Arial" w:eastAsia="Arial" w:cs="Arial"/>
          <w:noProof w:val="0"/>
          <w:sz w:val="24"/>
          <w:szCs w:val="24"/>
          <w:lang w:val="en-US"/>
        </w:rPr>
        <w:t>Awan et al. (2020) and Yousaf et al. (2022) identified significant benefits from implementing dispensing SOPs, double-check systems, and safety checklists. These tools created consistency by reducing reliance on memory and personal judgement. Standardised workflows also facilitated accountability and made it easier to detect deviations that might lead to errors.</w:t>
      </w:r>
    </w:p>
    <w:p w:rsidR="3B7BAD25" w:rsidP="5B971295" w:rsidRDefault="3B7BAD25" w14:paraId="4543402A" w14:textId="5E75E779">
      <w:pPr>
        <w:bidi w:val="0"/>
        <w:spacing w:before="240" w:beforeAutospacing="off" w:after="240" w:afterAutospacing="off"/>
        <w:jc w:val="both"/>
        <w:rPr>
          <w:rFonts w:ascii="Arial" w:hAnsi="Arial" w:eastAsia="Arial" w:cs="Arial"/>
          <w:b w:val="1"/>
          <w:bCs w:val="1"/>
          <w:noProof w:val="0"/>
          <w:sz w:val="24"/>
          <w:szCs w:val="24"/>
          <w:lang w:val="en-US"/>
        </w:rPr>
      </w:pPr>
      <w:r w:rsidRPr="5B971295" w:rsidR="21AEB706">
        <w:rPr>
          <w:rFonts w:ascii="Arial" w:hAnsi="Arial" w:eastAsia="Arial" w:cs="Arial"/>
          <w:b w:val="1"/>
          <w:bCs w:val="1"/>
          <w:noProof w:val="0"/>
          <w:sz w:val="24"/>
          <w:szCs w:val="24"/>
          <w:lang w:val="en-US"/>
        </w:rPr>
        <w:t>Subtheme 4.3: Integration of Digital Technologies in Dispensing</w:t>
      </w:r>
    </w:p>
    <w:p w:rsidR="3B7BAD25" w:rsidP="407E75B8" w:rsidRDefault="3B7BAD25" w14:paraId="64F8211C" w14:textId="33EAA08C">
      <w:pPr>
        <w:bidi w:val="0"/>
        <w:spacing w:before="240" w:beforeAutospacing="off" w:after="240" w:afterAutospacing="off"/>
        <w:jc w:val="both"/>
      </w:pPr>
      <w:r w:rsidRPr="407E75B8" w:rsidR="41003645">
        <w:rPr>
          <w:rFonts w:ascii="Arial" w:hAnsi="Arial" w:eastAsia="Arial" w:cs="Arial"/>
          <w:noProof w:val="0"/>
          <w:sz w:val="24"/>
          <w:szCs w:val="24"/>
          <w:lang w:val="en-US"/>
        </w:rPr>
        <w:t>Saleem et al. (2021) and Musoke et al. (2023) highlighted positive outcomes from early adoption of digital tools such as electronic prescription systems, barcode verification, and digital dispensing logs. These technologies reduced transcription errors and improved accuracy in medication selection. However, Awan et al. (2020) noted that digital transformation in LMICs is challenged by poor internet connectivity, cost constraints, and limited digital literacy among staff, suggesting the need for context-appropriate technological solutions.</w:t>
      </w:r>
    </w:p>
    <w:p w:rsidR="3B7BAD25" w:rsidP="407E75B8" w:rsidRDefault="3B7BAD25" w14:paraId="240EC3EC" w14:textId="394B0A9A">
      <w:pPr>
        <w:bidi w:val="0"/>
        <w:spacing w:before="240" w:beforeAutospacing="off" w:after="240" w:afterAutospacing="off"/>
        <w:jc w:val="both"/>
      </w:pPr>
      <w:r w:rsidRPr="407E75B8" w:rsidR="41003645">
        <w:rPr>
          <w:rFonts w:ascii="Arial" w:hAnsi="Arial" w:eastAsia="Arial" w:cs="Arial"/>
          <w:noProof w:val="0"/>
          <w:sz w:val="24"/>
          <w:szCs w:val="24"/>
          <w:lang w:val="en-US"/>
        </w:rPr>
        <w:t>Together, Theme 4 illustrates that quality improvement and technology adoption offer promising pathways for reducing dispensing errors, but sustainability depends on infrastructure, financial investment, and workforce readiness.</w:t>
      </w:r>
    </w:p>
    <w:p w:rsidR="3B7BAD25" w:rsidP="407E75B8" w:rsidRDefault="3B7BAD25" w14:paraId="24527C86" w14:textId="18AC1F0C">
      <w:pPr>
        <w:bidi w:val="0"/>
        <w:spacing w:before="240" w:beforeAutospacing="off" w:after="240" w:afterAutospacing="off"/>
        <w:jc w:val="both"/>
      </w:pPr>
    </w:p>
    <w:p w:rsidR="3B7BAD25" w:rsidP="5B971295" w:rsidRDefault="3B7BAD25" w14:paraId="729A4D2E" w14:textId="7AFE49A6">
      <w:pPr>
        <w:pStyle w:val="Heading2"/>
        <w:rPr>
          <w:noProof w:val="0"/>
          <w:lang w:val="en-US"/>
        </w:rPr>
      </w:pPr>
      <w:bookmarkStart w:name="_Toc395078576" w:id="246416113"/>
      <w:r w:rsidRPr="668EA0FB" w:rsidR="21AEB706">
        <w:rPr>
          <w:noProof w:val="0"/>
          <w:lang w:val="en-US"/>
        </w:rPr>
        <w:t>5.</w:t>
      </w:r>
      <w:r w:rsidRPr="668EA0FB" w:rsidR="48E28949">
        <w:rPr>
          <w:noProof w:val="0"/>
          <w:lang w:val="en-US"/>
        </w:rPr>
        <w:t>5</w:t>
      </w:r>
      <w:r w:rsidRPr="668EA0FB" w:rsidR="21AEB706">
        <w:rPr>
          <w:noProof w:val="0"/>
          <w:lang w:val="en-US"/>
        </w:rPr>
        <w:t xml:space="preserve"> Chapter Summary (Expanded)</w:t>
      </w:r>
      <w:bookmarkEnd w:id="246416113"/>
    </w:p>
    <w:p w:rsidR="3B7BAD25" w:rsidP="407E75B8" w:rsidRDefault="3B7BAD25" w14:paraId="398F50BD" w14:textId="5F65FE3A">
      <w:pPr>
        <w:bidi w:val="0"/>
        <w:spacing w:before="240" w:beforeAutospacing="off" w:after="240" w:afterAutospacing="off"/>
        <w:jc w:val="both"/>
      </w:pPr>
      <w:r w:rsidRPr="5B971295" w:rsidR="21AEB706">
        <w:rPr>
          <w:rFonts w:ascii="Arial" w:hAnsi="Arial" w:eastAsia="Arial" w:cs="Arial"/>
          <w:noProof w:val="0"/>
          <w:sz w:val="24"/>
          <w:szCs w:val="24"/>
          <w:lang w:val="en-US"/>
        </w:rPr>
        <w:t xml:space="preserve">This chapter presented an in-depth thematic analysis of twelve qualitative studies exploring pharmacist-related dispensing errors in LMICs. Guided by the CASP framework, four interconnected themes </w:t>
      </w:r>
      <w:r w:rsidRPr="5B971295" w:rsidR="21AEB706">
        <w:rPr>
          <w:rFonts w:ascii="Arial" w:hAnsi="Arial" w:eastAsia="Arial" w:cs="Arial"/>
          <w:noProof w:val="0"/>
          <w:sz w:val="24"/>
          <w:szCs w:val="24"/>
          <w:lang w:val="en-US"/>
        </w:rPr>
        <w:t>emerged</w:t>
      </w:r>
      <w:r w:rsidRPr="5B971295" w:rsidR="21AEB706">
        <w:rPr>
          <w:rFonts w:ascii="Arial" w:hAnsi="Arial" w:eastAsia="Arial" w:cs="Arial"/>
          <w:noProof w:val="0"/>
          <w:sz w:val="24"/>
          <w:szCs w:val="24"/>
          <w:lang w:val="en-US"/>
        </w:rPr>
        <w:t xml:space="preserve">: (1) knowledge and training deficiencies, (2) systemic </w:t>
      </w:r>
      <w:r w:rsidRPr="5B971295" w:rsidR="21AEB706">
        <w:rPr>
          <w:rFonts w:ascii="Arial" w:hAnsi="Arial" w:eastAsia="Arial" w:cs="Arial"/>
          <w:noProof w:val="0"/>
          <w:sz w:val="24"/>
          <w:szCs w:val="24"/>
          <w:lang w:val="en-US"/>
        </w:rPr>
        <w:t>organisational</w:t>
      </w:r>
      <w:r w:rsidRPr="5B971295" w:rsidR="21AEB706">
        <w:rPr>
          <w:rFonts w:ascii="Arial" w:hAnsi="Arial" w:eastAsia="Arial" w:cs="Arial"/>
          <w:noProof w:val="0"/>
          <w:sz w:val="24"/>
          <w:szCs w:val="24"/>
          <w:lang w:val="en-US"/>
        </w:rPr>
        <w:t xml:space="preserve"> barriers, (3) ethical and socio-cultural influences, and (4) quality improvement and technological interventions. The analysis showed that dispensing errors are not isolated incidents but stem from deep-rooted structural issues such as inadequate training, high workload, poor communication systems, and lack of SOPs. Ethical tensions and societal expectations further complicate pharmacists’ ability to provide safe and effective care. Importantly, quality improvement efforts</w:t>
      </w:r>
      <w:r w:rsidRPr="5B971295" w:rsidR="3D5C2763">
        <w:rPr>
          <w:rFonts w:ascii="Arial" w:hAnsi="Arial" w:eastAsia="Arial" w:cs="Arial"/>
          <w:noProof w:val="0"/>
          <w:sz w:val="24"/>
          <w:szCs w:val="24"/>
          <w:lang w:val="en-US"/>
        </w:rPr>
        <w:t xml:space="preserve"> </w:t>
      </w:r>
      <w:r w:rsidRPr="5B971295" w:rsidR="21AEB706">
        <w:rPr>
          <w:rFonts w:ascii="Arial" w:hAnsi="Arial" w:eastAsia="Arial" w:cs="Arial"/>
          <w:noProof w:val="0"/>
          <w:sz w:val="24"/>
          <w:szCs w:val="24"/>
          <w:lang w:val="en-US"/>
        </w:rPr>
        <w:t xml:space="preserve">including targeted education, </w:t>
      </w:r>
      <w:r w:rsidRPr="5B971295" w:rsidR="21AEB706">
        <w:rPr>
          <w:rFonts w:ascii="Arial" w:hAnsi="Arial" w:eastAsia="Arial" w:cs="Arial"/>
          <w:noProof w:val="0"/>
          <w:sz w:val="24"/>
          <w:szCs w:val="24"/>
          <w:lang w:val="en-US"/>
        </w:rPr>
        <w:t>standardised</w:t>
      </w:r>
      <w:r w:rsidRPr="5B971295" w:rsidR="21AEB706">
        <w:rPr>
          <w:rFonts w:ascii="Arial" w:hAnsi="Arial" w:eastAsia="Arial" w:cs="Arial"/>
          <w:noProof w:val="0"/>
          <w:sz w:val="24"/>
          <w:szCs w:val="24"/>
          <w:lang w:val="en-US"/>
        </w:rPr>
        <w:t xml:space="preserve"> protocols, and digital tools</w:t>
      </w:r>
      <w:r w:rsidRPr="5B971295" w:rsidR="457BEE51">
        <w:rPr>
          <w:rFonts w:ascii="Arial" w:hAnsi="Arial" w:eastAsia="Arial" w:cs="Arial"/>
          <w:noProof w:val="0"/>
          <w:sz w:val="24"/>
          <w:szCs w:val="24"/>
          <w:lang w:val="en-US"/>
        </w:rPr>
        <w:t xml:space="preserve"> </w:t>
      </w:r>
      <w:r w:rsidRPr="5B971295" w:rsidR="21AEB706">
        <w:rPr>
          <w:rFonts w:ascii="Arial" w:hAnsi="Arial" w:eastAsia="Arial" w:cs="Arial"/>
          <w:noProof w:val="0"/>
          <w:sz w:val="24"/>
          <w:szCs w:val="24"/>
          <w:lang w:val="en-US"/>
        </w:rPr>
        <w:t>demonstrated</w:t>
      </w:r>
      <w:r w:rsidRPr="5B971295" w:rsidR="21AEB706">
        <w:rPr>
          <w:rFonts w:ascii="Arial" w:hAnsi="Arial" w:eastAsia="Arial" w:cs="Arial"/>
          <w:noProof w:val="0"/>
          <w:sz w:val="24"/>
          <w:szCs w:val="24"/>
          <w:lang w:val="en-US"/>
        </w:rPr>
        <w:t xml:space="preserve"> potential in reducing errors when appropriately implemented.</w:t>
      </w:r>
    </w:p>
    <w:p w:rsidR="3B7BAD25" w:rsidP="407E75B8" w:rsidRDefault="3B7BAD25" w14:paraId="12214563" w14:textId="316B8C4D">
      <w:pPr>
        <w:bidi w:val="0"/>
        <w:spacing w:before="240" w:beforeAutospacing="off" w:after="240" w:afterAutospacing="off"/>
        <w:jc w:val="both"/>
      </w:pPr>
      <w:r w:rsidRPr="407E75B8" w:rsidR="41003645">
        <w:rPr>
          <w:rFonts w:ascii="Arial" w:hAnsi="Arial" w:eastAsia="Arial" w:cs="Arial"/>
          <w:noProof w:val="0"/>
          <w:sz w:val="24"/>
          <w:szCs w:val="24"/>
          <w:lang w:val="en-US"/>
        </w:rPr>
        <w:t xml:space="preserve">These findings </w:t>
      </w:r>
      <w:r w:rsidRPr="407E75B8" w:rsidR="41003645">
        <w:rPr>
          <w:rFonts w:ascii="Arial" w:hAnsi="Arial" w:eastAsia="Arial" w:cs="Arial"/>
          <w:noProof w:val="0"/>
          <w:sz w:val="24"/>
          <w:szCs w:val="24"/>
          <w:lang w:val="en-US"/>
        </w:rPr>
        <w:t>provide</w:t>
      </w:r>
      <w:r w:rsidRPr="407E75B8" w:rsidR="41003645">
        <w:rPr>
          <w:rFonts w:ascii="Arial" w:hAnsi="Arial" w:eastAsia="Arial" w:cs="Arial"/>
          <w:noProof w:val="0"/>
          <w:sz w:val="24"/>
          <w:szCs w:val="24"/>
          <w:lang w:val="en-US"/>
        </w:rPr>
        <w:t xml:space="preserve"> critical insight into the multi-layered nature of medication safety challenges in LMIC pharmacy settings and create </w:t>
      </w:r>
      <w:r w:rsidRPr="407E75B8" w:rsidR="41003645">
        <w:rPr>
          <w:rFonts w:ascii="Arial" w:hAnsi="Arial" w:eastAsia="Arial" w:cs="Arial"/>
          <w:noProof w:val="0"/>
          <w:sz w:val="24"/>
          <w:szCs w:val="24"/>
          <w:lang w:val="en-US"/>
        </w:rPr>
        <w:t>a strong foundation</w:t>
      </w:r>
      <w:r w:rsidRPr="407E75B8" w:rsidR="41003645">
        <w:rPr>
          <w:rFonts w:ascii="Arial" w:hAnsi="Arial" w:eastAsia="Arial" w:cs="Arial"/>
          <w:noProof w:val="0"/>
          <w:sz w:val="24"/>
          <w:szCs w:val="24"/>
          <w:lang w:val="en-US"/>
        </w:rPr>
        <w:t xml:space="preserve"> for the next chapter, which offers evidence-based recommendations for practice, policy reform, and future research directions.</w:t>
      </w:r>
    </w:p>
    <w:p w:rsidR="3B7BAD25" w:rsidP="5B971295" w:rsidRDefault="3B7BAD25" w14:paraId="1B59F582" w14:textId="4ED3B03F">
      <w:pPr>
        <w:pStyle w:val="Heading1"/>
        <w:rPr>
          <w:rStyle w:val="Heading1Char"/>
          <w:noProof w:val="0"/>
          <w:lang w:val="en-US"/>
        </w:rPr>
      </w:pPr>
      <w:bookmarkStart w:name="_Toc251427376" w:id="453166135"/>
      <w:r w:rsidRPr="668EA0FB" w:rsidR="2221C39F">
        <w:rPr>
          <w:noProof w:val="0"/>
          <w:lang w:val="en-US"/>
        </w:rPr>
        <w:t>CHAPTER 6: DISCUSSION</w:t>
      </w:r>
      <w:bookmarkEnd w:id="453166135"/>
    </w:p>
    <w:p w:rsidR="3B7BAD25" w:rsidP="5B971295" w:rsidRDefault="3B7BAD25" w14:paraId="083D5FAC" w14:textId="41579F61">
      <w:pPr>
        <w:pStyle w:val="Heading2"/>
        <w:rPr>
          <w:rFonts w:ascii="Arial" w:hAnsi="Arial" w:eastAsia="Arial" w:cs="Arial"/>
          <w:b w:val="0"/>
          <w:bCs w:val="0"/>
          <w:noProof w:val="0"/>
          <w:sz w:val="36"/>
          <w:szCs w:val="36"/>
          <w:lang w:val="en-US"/>
        </w:rPr>
      </w:pPr>
      <w:bookmarkStart w:name="_Toc694581113" w:id="550438438"/>
      <w:r w:rsidRPr="668EA0FB" w:rsidR="675AC1A2">
        <w:rPr>
          <w:rFonts w:ascii="Arial" w:hAnsi="Arial" w:eastAsia="Arial" w:cs="Arial"/>
          <w:b w:val="0"/>
          <w:bCs w:val="0"/>
          <w:noProof w:val="0"/>
          <w:sz w:val="36"/>
          <w:szCs w:val="36"/>
          <w:lang w:val="en-US"/>
        </w:rPr>
        <w:t>6.1 Introduction</w:t>
      </w:r>
      <w:bookmarkEnd w:id="550438438"/>
    </w:p>
    <w:p w:rsidR="3B7BAD25" w:rsidP="4369956E" w:rsidRDefault="3B7BAD25" w14:paraId="156DDC3B" w14:textId="345D1E2D">
      <w:pPr>
        <w:bidi w:val="0"/>
        <w:spacing w:before="240" w:beforeAutospacing="off" w:after="240" w:afterAutospacing="off"/>
        <w:jc w:val="both"/>
      </w:pPr>
      <w:r w:rsidRPr="4369956E" w:rsidR="7AB01BE2">
        <w:rPr>
          <w:rFonts w:ascii="Arial" w:hAnsi="Arial" w:eastAsia="Arial" w:cs="Arial"/>
          <w:noProof w:val="0"/>
          <w:sz w:val="24"/>
          <w:szCs w:val="24"/>
          <w:lang w:val="en-US"/>
        </w:rPr>
        <w:t>This chapter critically interprets the findings generated from the thematic analysis presented in Chapter 5, with the aim of uncovering the deeper systemic, behavioural, ethical, and sociocultural determinants that contribute to pharmacist-related dispensing errors in low- and middle-income countries (LMICs). Rather than conceptualising dispensing errors as isolated professional lapses, this discussion situates them within the broader context of fragile health systems, constrained resources, and deeply embedded cultural norms that shape everyday pharmacy practice.</w:t>
      </w:r>
    </w:p>
    <w:p w:rsidR="3B7BAD25" w:rsidP="4369956E" w:rsidRDefault="3B7BAD25" w14:paraId="423B7DCD" w14:textId="582B7DE3">
      <w:pPr>
        <w:bidi w:val="0"/>
        <w:spacing w:before="240" w:beforeAutospacing="off" w:after="240" w:afterAutospacing="off"/>
        <w:jc w:val="both"/>
      </w:pPr>
      <w:r w:rsidRPr="5B971295" w:rsidR="675AC1A2">
        <w:rPr>
          <w:rFonts w:ascii="Arial" w:hAnsi="Arial" w:eastAsia="Arial" w:cs="Arial"/>
          <w:noProof w:val="0"/>
          <w:sz w:val="24"/>
          <w:szCs w:val="24"/>
          <w:lang w:val="en-US"/>
        </w:rPr>
        <w:t xml:space="preserve">The themes </w:t>
      </w:r>
      <w:r w:rsidRPr="5B971295" w:rsidR="675AC1A2">
        <w:rPr>
          <w:rFonts w:ascii="Arial" w:hAnsi="Arial" w:eastAsia="Arial" w:cs="Arial"/>
          <w:noProof w:val="0"/>
          <w:sz w:val="24"/>
          <w:szCs w:val="24"/>
          <w:lang w:val="en-US"/>
        </w:rPr>
        <w:t>identified</w:t>
      </w:r>
      <w:r w:rsidRPr="5B971295" w:rsidR="675AC1A2">
        <w:rPr>
          <w:rFonts w:ascii="Arial" w:hAnsi="Arial" w:eastAsia="Arial" w:cs="Arial"/>
          <w:noProof w:val="0"/>
          <w:sz w:val="24"/>
          <w:szCs w:val="24"/>
          <w:lang w:val="en-US"/>
        </w:rPr>
        <w:t xml:space="preserve"> in Chapter 5</w:t>
      </w:r>
      <w:r w:rsidRPr="5B971295" w:rsidR="2408653B">
        <w:rPr>
          <w:rFonts w:ascii="Arial" w:hAnsi="Arial" w:eastAsia="Arial" w:cs="Arial"/>
          <w:noProof w:val="0"/>
          <w:sz w:val="24"/>
          <w:szCs w:val="24"/>
          <w:lang w:val="en-US"/>
        </w:rPr>
        <w:t xml:space="preserve"> </w:t>
      </w:r>
      <w:r w:rsidRPr="5B971295" w:rsidR="675AC1A2">
        <w:rPr>
          <w:rFonts w:ascii="Arial" w:hAnsi="Arial" w:eastAsia="Arial" w:cs="Arial"/>
          <w:noProof w:val="0"/>
          <w:sz w:val="24"/>
          <w:szCs w:val="24"/>
          <w:lang w:val="en-US"/>
        </w:rPr>
        <w:t xml:space="preserve">namely </w:t>
      </w:r>
      <w:r w:rsidRPr="5B971295" w:rsidR="675AC1A2">
        <w:rPr>
          <w:rFonts w:ascii="Arial" w:hAnsi="Arial" w:eastAsia="Arial" w:cs="Arial"/>
          <w:b w:val="0"/>
          <w:bCs w:val="0"/>
          <w:noProof w:val="0"/>
          <w:sz w:val="24"/>
          <w:szCs w:val="24"/>
          <w:lang w:val="en-US"/>
        </w:rPr>
        <w:t>knowledge and training deficiencies</w:t>
      </w:r>
      <w:r w:rsidRPr="5B971295" w:rsidR="675AC1A2">
        <w:rPr>
          <w:rFonts w:ascii="Arial" w:hAnsi="Arial" w:eastAsia="Arial" w:cs="Arial"/>
          <w:b w:val="0"/>
          <w:bCs w:val="0"/>
          <w:noProof w:val="0"/>
          <w:sz w:val="24"/>
          <w:szCs w:val="24"/>
          <w:lang w:val="en-US"/>
        </w:rPr>
        <w:t xml:space="preserve">, </w:t>
      </w:r>
      <w:r w:rsidRPr="5B971295" w:rsidR="675AC1A2">
        <w:rPr>
          <w:rFonts w:ascii="Arial" w:hAnsi="Arial" w:eastAsia="Arial" w:cs="Arial"/>
          <w:b w:val="0"/>
          <w:bCs w:val="0"/>
          <w:noProof w:val="0"/>
          <w:sz w:val="24"/>
          <w:szCs w:val="24"/>
          <w:lang w:val="en-US"/>
        </w:rPr>
        <w:t xml:space="preserve">systemic and </w:t>
      </w:r>
      <w:r w:rsidRPr="5B971295" w:rsidR="675AC1A2">
        <w:rPr>
          <w:rFonts w:ascii="Arial" w:hAnsi="Arial" w:eastAsia="Arial" w:cs="Arial"/>
          <w:b w:val="0"/>
          <w:bCs w:val="0"/>
          <w:noProof w:val="0"/>
          <w:sz w:val="24"/>
          <w:szCs w:val="24"/>
          <w:lang w:val="en-US"/>
        </w:rPr>
        <w:t>organisational</w:t>
      </w:r>
      <w:r w:rsidRPr="5B971295" w:rsidR="675AC1A2">
        <w:rPr>
          <w:rFonts w:ascii="Arial" w:hAnsi="Arial" w:eastAsia="Arial" w:cs="Arial"/>
          <w:b w:val="0"/>
          <w:bCs w:val="0"/>
          <w:noProof w:val="0"/>
          <w:sz w:val="24"/>
          <w:szCs w:val="24"/>
          <w:lang w:val="en-US"/>
        </w:rPr>
        <w:t xml:space="preserve"> barriers</w:t>
      </w:r>
      <w:r w:rsidRPr="5B971295" w:rsidR="675AC1A2">
        <w:rPr>
          <w:rFonts w:ascii="Arial" w:hAnsi="Arial" w:eastAsia="Arial" w:cs="Arial"/>
          <w:b w:val="0"/>
          <w:bCs w:val="0"/>
          <w:noProof w:val="0"/>
          <w:sz w:val="24"/>
          <w:szCs w:val="24"/>
          <w:lang w:val="en-US"/>
        </w:rPr>
        <w:t xml:space="preserve">, </w:t>
      </w:r>
      <w:r w:rsidRPr="5B971295" w:rsidR="675AC1A2">
        <w:rPr>
          <w:rFonts w:ascii="Arial" w:hAnsi="Arial" w:eastAsia="Arial" w:cs="Arial"/>
          <w:b w:val="0"/>
          <w:bCs w:val="0"/>
          <w:noProof w:val="0"/>
          <w:sz w:val="24"/>
          <w:szCs w:val="24"/>
          <w:lang w:val="en-US"/>
        </w:rPr>
        <w:t>ethical and sociocultural influences</w:t>
      </w:r>
      <w:r w:rsidRPr="5B971295" w:rsidR="675AC1A2">
        <w:rPr>
          <w:rFonts w:ascii="Arial" w:hAnsi="Arial" w:eastAsia="Arial" w:cs="Arial"/>
          <w:b w:val="0"/>
          <w:bCs w:val="0"/>
          <w:noProof w:val="0"/>
          <w:sz w:val="24"/>
          <w:szCs w:val="24"/>
          <w:lang w:val="en-US"/>
        </w:rPr>
        <w:t xml:space="preserve">, and </w:t>
      </w:r>
      <w:r w:rsidRPr="5B971295" w:rsidR="675AC1A2">
        <w:rPr>
          <w:rFonts w:ascii="Arial" w:hAnsi="Arial" w:eastAsia="Arial" w:cs="Arial"/>
          <w:b w:val="0"/>
          <w:bCs w:val="0"/>
          <w:noProof w:val="0"/>
          <w:sz w:val="24"/>
          <w:szCs w:val="24"/>
          <w:lang w:val="en-US"/>
        </w:rPr>
        <w:t>quality improvement and technology integration</w:t>
      </w:r>
      <w:r w:rsidRPr="5B971295" w:rsidR="6B10FCA9">
        <w:rPr>
          <w:rFonts w:ascii="Arial" w:hAnsi="Arial" w:eastAsia="Arial" w:cs="Arial"/>
          <w:b w:val="0"/>
          <w:bCs w:val="0"/>
          <w:noProof w:val="0"/>
          <w:sz w:val="24"/>
          <w:szCs w:val="24"/>
          <w:lang w:val="en-US"/>
        </w:rPr>
        <w:t xml:space="preserve"> </w:t>
      </w:r>
      <w:r w:rsidRPr="5B971295" w:rsidR="675AC1A2">
        <w:rPr>
          <w:rFonts w:ascii="Arial" w:hAnsi="Arial" w:eastAsia="Arial" w:cs="Arial"/>
          <w:noProof w:val="0"/>
          <w:sz w:val="24"/>
          <w:szCs w:val="24"/>
          <w:lang w:val="en-US"/>
        </w:rPr>
        <w:t>demonstrate</w:t>
      </w:r>
      <w:r w:rsidRPr="5B971295" w:rsidR="675AC1A2">
        <w:rPr>
          <w:rFonts w:ascii="Arial" w:hAnsi="Arial" w:eastAsia="Arial" w:cs="Arial"/>
          <w:noProof w:val="0"/>
          <w:sz w:val="24"/>
          <w:szCs w:val="24"/>
          <w:lang w:val="en-US"/>
        </w:rPr>
        <w:t xml:space="preserve"> that dispensing errors arise through complex interactions between individual capability and system design. This perspective aligns with contemporary patient safety literature, which </w:t>
      </w:r>
      <w:r w:rsidRPr="5B971295" w:rsidR="675AC1A2">
        <w:rPr>
          <w:rFonts w:ascii="Arial" w:hAnsi="Arial" w:eastAsia="Arial" w:cs="Arial"/>
          <w:noProof w:val="0"/>
          <w:sz w:val="24"/>
          <w:szCs w:val="24"/>
          <w:lang w:val="en-US"/>
        </w:rPr>
        <w:t>emphasises</w:t>
      </w:r>
      <w:r w:rsidRPr="5B971295" w:rsidR="675AC1A2">
        <w:rPr>
          <w:rFonts w:ascii="Arial" w:hAnsi="Arial" w:eastAsia="Arial" w:cs="Arial"/>
          <w:noProof w:val="0"/>
          <w:sz w:val="24"/>
          <w:szCs w:val="24"/>
          <w:lang w:val="en-US"/>
        </w:rPr>
        <w:t xml:space="preserve"> that unsafe outcomes are rarely caused by a single failure but instead </w:t>
      </w:r>
      <w:r w:rsidRPr="5B971295" w:rsidR="675AC1A2">
        <w:rPr>
          <w:rFonts w:ascii="Arial" w:hAnsi="Arial" w:eastAsia="Arial" w:cs="Arial"/>
          <w:noProof w:val="0"/>
          <w:sz w:val="24"/>
          <w:szCs w:val="24"/>
          <w:lang w:val="en-US"/>
        </w:rPr>
        <w:t>emerge</w:t>
      </w:r>
      <w:r w:rsidRPr="5B971295" w:rsidR="675AC1A2">
        <w:rPr>
          <w:rFonts w:ascii="Arial" w:hAnsi="Arial" w:eastAsia="Arial" w:cs="Arial"/>
          <w:noProof w:val="0"/>
          <w:sz w:val="24"/>
          <w:szCs w:val="24"/>
          <w:lang w:val="en-US"/>
        </w:rPr>
        <w:t xml:space="preserve"> from multiple, interacting vulnerabilities within healthcare systems (Musoke et al., 2023; Saleem et al., 2021).</w:t>
      </w:r>
    </w:p>
    <w:p w:rsidR="3B7BAD25" w:rsidP="4369956E" w:rsidRDefault="3B7BAD25" w14:paraId="02F90824" w14:textId="68192EB0">
      <w:pPr>
        <w:bidi w:val="0"/>
        <w:spacing w:before="240" w:beforeAutospacing="off" w:after="240" w:afterAutospacing="off"/>
        <w:jc w:val="both"/>
      </w:pPr>
      <w:r w:rsidRPr="4369956E" w:rsidR="7AB01BE2">
        <w:rPr>
          <w:rFonts w:ascii="Arial" w:hAnsi="Arial" w:eastAsia="Arial" w:cs="Arial"/>
          <w:noProof w:val="0"/>
          <w:sz w:val="24"/>
          <w:szCs w:val="24"/>
          <w:lang w:val="en-US"/>
        </w:rPr>
        <w:t>Dispensing errors remain a significant yet under-recognised threat to patient safety in LMICs. Weak regulatory oversight, limited accountability mechanisms, absence of robust error-reporting systems, and sociocultural norms that discourage disclosure all contribute to the normalisation and concealment of unsafe practices (Auta et al., 2018; Kifle et al., 2021). Consequently, the true burden of medication-related harm is likely underestimated, limiting opportunities for learning and quality improvement.</w:t>
      </w:r>
    </w:p>
    <w:p w:rsidR="3B7BAD25" w:rsidP="4369956E" w:rsidRDefault="3B7BAD25" w14:paraId="0C0C0A92" w14:textId="6FC0955C">
      <w:pPr>
        <w:bidi w:val="0"/>
        <w:spacing w:before="240" w:beforeAutospacing="off" w:after="240" w:afterAutospacing="off"/>
        <w:jc w:val="both"/>
      </w:pPr>
      <w:r w:rsidRPr="4369956E" w:rsidR="7AB01BE2">
        <w:rPr>
          <w:rFonts w:ascii="Arial" w:hAnsi="Arial" w:eastAsia="Arial" w:cs="Arial"/>
          <w:noProof w:val="0"/>
          <w:sz w:val="24"/>
          <w:szCs w:val="24"/>
          <w:lang w:val="en-US"/>
        </w:rPr>
        <w:t>This chapter discusses the findings across seven interconnected domains:</w:t>
      </w:r>
    </w:p>
    <w:p w:rsidR="3B7BAD25" w:rsidP="4369956E" w:rsidRDefault="3B7BAD25" w14:paraId="651808BF" w14:textId="579ABFE3">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Systemic and organisational barriers</w:t>
      </w:r>
    </w:p>
    <w:p w:rsidR="3B7BAD25" w:rsidP="4369956E" w:rsidRDefault="3B7BAD25" w14:paraId="6FCEE158" w14:textId="0F2E02FD">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Impact on patient outcomes</w:t>
      </w:r>
    </w:p>
    <w:p w:rsidR="3B7BAD25" w:rsidP="4369956E" w:rsidRDefault="3B7BAD25" w14:paraId="1FB9864F" w14:textId="1C9A734E">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Cultural and ethical dynamics influencing pharmacist behaviour</w:t>
      </w:r>
    </w:p>
    <w:p w:rsidR="3B7BAD25" w:rsidP="4369956E" w:rsidRDefault="3B7BAD25" w14:paraId="5DDCEC1B" w14:textId="7E78D158">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Avoidance behaviours and the role of families</w:t>
      </w:r>
    </w:p>
    <w:p w:rsidR="3B7BAD25" w:rsidP="4369956E" w:rsidRDefault="3B7BAD25" w14:paraId="004393D2" w14:textId="377949BE">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Language and communication barriers</w:t>
      </w:r>
    </w:p>
    <w:p w:rsidR="3B7BAD25" w:rsidP="4369956E" w:rsidRDefault="3B7BAD25" w14:paraId="68DA9CCB" w14:textId="41EC0CF5">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Socioeconomic inequities shaping dispensing practices</w:t>
      </w:r>
    </w:p>
    <w:p w:rsidR="3B7BAD25" w:rsidP="4369956E" w:rsidRDefault="3B7BAD25" w14:paraId="7562DE34" w14:textId="3DF866BC">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noProof w:val="0"/>
          <w:sz w:val="24"/>
          <w:szCs w:val="24"/>
          <w:lang w:val="en-US"/>
        </w:rPr>
        <w:t>Evidence-informed recommendations arising from the thematic synthesis</w:t>
      </w:r>
    </w:p>
    <w:p w:rsidR="3B7BAD25" w:rsidP="4369956E" w:rsidRDefault="3B7BAD25" w14:paraId="24C7F5B2" w14:textId="39ADE726">
      <w:pPr>
        <w:bidi w:val="0"/>
        <w:spacing w:before="240" w:beforeAutospacing="off" w:after="240" w:afterAutospacing="off"/>
        <w:jc w:val="both"/>
      </w:pPr>
      <w:r w:rsidRPr="5B971295" w:rsidR="675AC1A2">
        <w:rPr>
          <w:rFonts w:ascii="Arial" w:hAnsi="Arial" w:eastAsia="Arial" w:cs="Arial"/>
          <w:noProof w:val="0"/>
          <w:sz w:val="24"/>
          <w:szCs w:val="24"/>
          <w:lang w:val="en-US"/>
        </w:rPr>
        <w:t xml:space="preserve">Overall, this discussion reinforces the argument that </w:t>
      </w:r>
      <w:r w:rsidRPr="5B971295" w:rsidR="675AC1A2">
        <w:rPr>
          <w:rFonts w:ascii="Arial" w:hAnsi="Arial" w:eastAsia="Arial" w:cs="Arial"/>
          <w:b w:val="0"/>
          <w:bCs w:val="0"/>
          <w:noProof w:val="0"/>
          <w:sz w:val="24"/>
          <w:szCs w:val="24"/>
          <w:lang w:val="en-US"/>
        </w:rPr>
        <w:t>meaningful and sustainable improvements in medication safety in LMICs require system-wide reform</w:t>
      </w:r>
      <w:r w:rsidRPr="5B971295" w:rsidR="675AC1A2">
        <w:rPr>
          <w:rFonts w:ascii="Arial" w:hAnsi="Arial" w:eastAsia="Arial" w:cs="Arial"/>
          <w:noProof w:val="0"/>
          <w:sz w:val="24"/>
          <w:szCs w:val="24"/>
          <w:lang w:val="en-US"/>
        </w:rPr>
        <w:t>, rather than narrow interventions focused solely on individual performance.</w:t>
      </w:r>
    </w:p>
    <w:p w:rsidR="3B7BAD25" w:rsidP="4369956E" w:rsidRDefault="3B7BAD25" w14:paraId="264AE38F" w14:textId="698DF0ED">
      <w:pPr>
        <w:bidi w:val="0"/>
        <w:spacing w:before="240" w:beforeAutospacing="off" w:after="240" w:afterAutospacing="off"/>
        <w:jc w:val="both"/>
      </w:pPr>
    </w:p>
    <w:p w:rsidR="3B7BAD25" w:rsidP="5B971295" w:rsidRDefault="3B7BAD25" w14:paraId="7DBCA565" w14:textId="066DDD17">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1406188213" w:id="1008833439"/>
      <w:r w:rsidRPr="668EA0FB" w:rsidR="675AC1A2">
        <w:rPr>
          <w:rFonts w:ascii="Arial" w:hAnsi="Arial" w:eastAsia="Arial" w:cs="Arial"/>
          <w:b w:val="0"/>
          <w:bCs w:val="0"/>
          <w:noProof w:val="0"/>
          <w:sz w:val="36"/>
          <w:szCs w:val="36"/>
          <w:lang w:val="en-US"/>
        </w:rPr>
        <w:t xml:space="preserve">6.2 Systemic and </w:t>
      </w:r>
      <w:r w:rsidRPr="668EA0FB" w:rsidR="675AC1A2">
        <w:rPr>
          <w:rFonts w:ascii="Arial" w:hAnsi="Arial" w:eastAsia="Arial" w:cs="Arial"/>
          <w:b w:val="0"/>
          <w:bCs w:val="0"/>
          <w:noProof w:val="0"/>
          <w:sz w:val="36"/>
          <w:szCs w:val="36"/>
          <w:lang w:val="en-US"/>
        </w:rPr>
        <w:t>Organisational</w:t>
      </w:r>
      <w:r w:rsidRPr="668EA0FB" w:rsidR="675AC1A2">
        <w:rPr>
          <w:rFonts w:ascii="Arial" w:hAnsi="Arial" w:eastAsia="Arial" w:cs="Arial"/>
          <w:b w:val="0"/>
          <w:bCs w:val="0"/>
          <w:noProof w:val="0"/>
          <w:sz w:val="36"/>
          <w:szCs w:val="36"/>
          <w:lang w:val="en-US"/>
        </w:rPr>
        <w:t xml:space="preserve"> Barriers (Theme 2 Alignment)</w:t>
      </w:r>
      <w:bookmarkEnd w:id="1008833439"/>
    </w:p>
    <w:p w:rsidR="3B7BAD25" w:rsidP="4369956E" w:rsidRDefault="3B7BAD25" w14:paraId="1BA3385C" w14:textId="34795569">
      <w:pPr>
        <w:bidi w:val="0"/>
        <w:spacing w:before="240" w:beforeAutospacing="off" w:after="240" w:afterAutospacing="off"/>
        <w:jc w:val="both"/>
      </w:pPr>
      <w:r w:rsidRPr="4369956E" w:rsidR="7AB01BE2">
        <w:rPr>
          <w:rFonts w:ascii="Arial" w:hAnsi="Arial" w:eastAsia="Arial" w:cs="Arial"/>
          <w:noProof w:val="0"/>
          <w:sz w:val="24"/>
          <w:szCs w:val="24"/>
          <w:lang w:val="en-US"/>
        </w:rPr>
        <w:t>Chapter 5 identified systemic and organisational barriers as one of the most significant contributors to dispensing errors in LMIC pharmacy settings. Pharmacies often operate under conditions characterised by excessive workload, chronic understaffing, inadequate supervision, and inconsistent or absent standard operating procedures (SOPs), all of which directly increase the likelihood of human error (Musoke et al., 2023; Saleem et al., 2021).</w:t>
      </w:r>
    </w:p>
    <w:p w:rsidR="3B7BAD25" w:rsidP="4369956E" w:rsidRDefault="3B7BAD25" w14:paraId="233062A8" w14:textId="63B9CCF1">
      <w:pPr>
        <w:bidi w:val="0"/>
        <w:spacing w:before="240" w:beforeAutospacing="off" w:after="240" w:afterAutospacing="off"/>
        <w:jc w:val="both"/>
      </w:pPr>
      <w:r w:rsidRPr="4369956E" w:rsidR="7AB01BE2">
        <w:rPr>
          <w:rFonts w:ascii="Arial" w:hAnsi="Arial" w:eastAsia="Arial" w:cs="Arial"/>
          <w:noProof w:val="0"/>
          <w:sz w:val="24"/>
          <w:szCs w:val="24"/>
          <w:lang w:val="en-US"/>
        </w:rPr>
        <w:t>The finding that pharmacists routinely dispense extremely high volumes of prescriptions with minimal technical or administrative support reflects structural failure rather than individual inefficiency. Sustained multitasking under time pressure reduces cognitive capacity, increases fatigue, and compromises vigilance, leading to skipped verification steps and reliance on heuristics. This is consistent with international evidence demonstrating that dispensing error rates rise sharply when pharmacists exceed safe workload thresholds (Okumura et al., 2021).</w:t>
      </w:r>
    </w:p>
    <w:p w:rsidR="3B7BAD25" w:rsidP="4369956E" w:rsidRDefault="3B7BAD25" w14:paraId="740001B6" w14:textId="063495A4">
      <w:pPr>
        <w:bidi w:val="0"/>
        <w:spacing w:before="240" w:beforeAutospacing="off" w:after="240" w:afterAutospacing="off"/>
        <w:jc w:val="both"/>
      </w:pPr>
      <w:r w:rsidRPr="4369956E" w:rsidR="7AB01BE2">
        <w:rPr>
          <w:rFonts w:ascii="Arial" w:hAnsi="Arial" w:eastAsia="Arial" w:cs="Arial"/>
          <w:noProof w:val="0"/>
          <w:sz w:val="24"/>
          <w:szCs w:val="24"/>
          <w:lang w:val="en-US"/>
        </w:rPr>
        <w:t>Communication failures between prescribers and pharmacists further intensify these risks. Illegible handwriting, incomplete prescriptions, and ambiguous dosing instructions force pharmacists to make assumptions, often without the opportunity to seek clarification. Hierarchical professional norms prevalent in many LMICs discourage pharmacists from questioning prescribers, particularly senior physicians, even when patient safety is at risk (Awan et al., 2020). This dynamic weakens interprofessional collaboration and removes a critical safety barrier within the medication-use process.</w:t>
      </w:r>
    </w:p>
    <w:p w:rsidR="3B7BAD25" w:rsidP="4369956E" w:rsidRDefault="3B7BAD25" w14:paraId="21BDEAE8" w14:textId="0A7F6E3E">
      <w:pPr>
        <w:bidi w:val="0"/>
        <w:spacing w:before="240" w:beforeAutospacing="off" w:after="240" w:afterAutospacing="off"/>
        <w:jc w:val="both"/>
      </w:pPr>
      <w:r w:rsidRPr="4369956E" w:rsidR="7AB01BE2">
        <w:rPr>
          <w:rFonts w:ascii="Arial" w:hAnsi="Arial" w:eastAsia="Arial" w:cs="Arial"/>
          <w:noProof w:val="0"/>
          <w:sz w:val="24"/>
          <w:szCs w:val="24"/>
          <w:lang w:val="en-US"/>
        </w:rPr>
        <w:t>Additionally, the absence or poor enforcement of SOPs means that dispensing practices vary widely between individuals and facilities. Without structured workflows, safety checks become optional rather than mandatory, increasing variability and reducing reliability. The lack of routine audits, supervision, and feedback mechanisms prevents organisations from identifying error patterns or implementing corrective actions, allowing unsafe practices to persist unchecked.</w:t>
      </w:r>
    </w:p>
    <w:p w:rsidR="3B7BAD25" w:rsidP="4369956E" w:rsidRDefault="3B7BAD25" w14:paraId="1A17B4BC" w14:textId="13FACA41">
      <w:pPr>
        <w:bidi w:val="0"/>
        <w:spacing w:before="240" w:beforeAutospacing="off" w:after="240" w:afterAutospacing="off"/>
        <w:jc w:val="both"/>
      </w:pPr>
      <w:r w:rsidRPr="5B971295" w:rsidR="675AC1A2">
        <w:rPr>
          <w:rFonts w:ascii="Arial" w:hAnsi="Arial" w:eastAsia="Arial" w:cs="Arial"/>
          <w:noProof w:val="0"/>
          <w:sz w:val="24"/>
          <w:szCs w:val="24"/>
          <w:lang w:val="en-US"/>
        </w:rPr>
        <w:t>When interpreted using Reason’s Swiss Cheese Model, these findings illustrate how multiple weak system layers</w:t>
      </w:r>
      <w:r w:rsidRPr="5B971295" w:rsidR="01BBBD82">
        <w:rPr>
          <w:rFonts w:ascii="Arial" w:hAnsi="Arial" w:eastAsia="Arial" w:cs="Arial"/>
          <w:noProof w:val="0"/>
          <w:sz w:val="24"/>
          <w:szCs w:val="24"/>
          <w:lang w:val="en-US"/>
        </w:rPr>
        <w:t xml:space="preserve"> </w:t>
      </w:r>
      <w:r w:rsidRPr="5B971295" w:rsidR="675AC1A2">
        <w:rPr>
          <w:rFonts w:ascii="Arial" w:hAnsi="Arial" w:eastAsia="Arial" w:cs="Arial"/>
          <w:noProof w:val="0"/>
          <w:sz w:val="24"/>
          <w:szCs w:val="24"/>
          <w:lang w:val="en-US"/>
        </w:rPr>
        <w:t>prescribing, transcribing, dispensing, and counselling</w:t>
      </w:r>
      <w:r w:rsidRPr="5B971295" w:rsidR="13C13F37">
        <w:rPr>
          <w:rFonts w:ascii="Arial" w:hAnsi="Arial" w:eastAsia="Arial" w:cs="Arial"/>
          <w:noProof w:val="0"/>
          <w:sz w:val="24"/>
          <w:szCs w:val="24"/>
          <w:lang w:val="en-US"/>
        </w:rPr>
        <w:t xml:space="preserve"> </w:t>
      </w:r>
      <w:r w:rsidRPr="5B971295" w:rsidR="675AC1A2">
        <w:rPr>
          <w:rFonts w:ascii="Arial" w:hAnsi="Arial" w:eastAsia="Arial" w:cs="Arial"/>
          <w:noProof w:val="0"/>
          <w:sz w:val="24"/>
          <w:szCs w:val="24"/>
          <w:lang w:val="en-US"/>
        </w:rPr>
        <w:t xml:space="preserve">can align to produce patient harm. In contrast to high-income countries, where regulatory frameworks and technological safeguards strengthen these layers, LMIC pharmacy systems often lack sufficient </w:t>
      </w:r>
      <w:r w:rsidRPr="5B971295" w:rsidR="675AC1A2">
        <w:rPr>
          <w:rFonts w:ascii="Arial" w:hAnsi="Arial" w:eastAsia="Arial" w:cs="Arial"/>
          <w:noProof w:val="0"/>
          <w:sz w:val="24"/>
          <w:szCs w:val="24"/>
          <w:lang w:val="en-US"/>
        </w:rPr>
        <w:t>defences</w:t>
      </w:r>
      <w:r w:rsidRPr="5B971295" w:rsidR="675AC1A2">
        <w:rPr>
          <w:rFonts w:ascii="Arial" w:hAnsi="Arial" w:eastAsia="Arial" w:cs="Arial"/>
          <w:noProof w:val="0"/>
          <w:sz w:val="24"/>
          <w:szCs w:val="24"/>
          <w:lang w:val="en-US"/>
        </w:rPr>
        <w:t>, making adverse events more likely (Reason, 2000; Musoke et al., 2023).</w:t>
      </w:r>
    </w:p>
    <w:p w:rsidR="3B7BAD25" w:rsidP="4369956E" w:rsidRDefault="3B7BAD25" w14:paraId="04871CE2" w14:textId="4E443E53">
      <w:pPr>
        <w:bidi w:val="0"/>
        <w:spacing w:before="240" w:beforeAutospacing="off" w:after="240" w:afterAutospacing="off"/>
        <w:jc w:val="both"/>
      </w:pPr>
    </w:p>
    <w:p w:rsidR="3B7BAD25" w:rsidP="5B971295" w:rsidRDefault="3B7BAD25" w14:paraId="3399880B" w14:textId="0630790C">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1241293388" w:id="387055302"/>
      <w:r w:rsidRPr="668EA0FB" w:rsidR="675AC1A2">
        <w:rPr>
          <w:rFonts w:ascii="Arial" w:hAnsi="Arial" w:eastAsia="Arial" w:cs="Arial"/>
          <w:b w:val="0"/>
          <w:bCs w:val="0"/>
          <w:noProof w:val="0"/>
          <w:sz w:val="36"/>
          <w:szCs w:val="36"/>
          <w:lang w:val="en-US"/>
        </w:rPr>
        <w:t>6.3 Impact on Patient Outcomes</w:t>
      </w:r>
      <w:bookmarkEnd w:id="387055302"/>
    </w:p>
    <w:p w:rsidR="3B7BAD25" w:rsidP="4369956E" w:rsidRDefault="3B7BAD25" w14:paraId="13FAF29A" w14:textId="74D83519">
      <w:pPr>
        <w:bidi w:val="0"/>
        <w:spacing w:before="240" w:beforeAutospacing="off" w:after="240" w:afterAutospacing="off"/>
        <w:jc w:val="both"/>
      </w:pPr>
      <w:r w:rsidRPr="4369956E" w:rsidR="7AB01BE2">
        <w:rPr>
          <w:rFonts w:ascii="Arial" w:hAnsi="Arial" w:eastAsia="Arial" w:cs="Arial"/>
          <w:noProof w:val="0"/>
          <w:sz w:val="24"/>
          <w:szCs w:val="24"/>
          <w:lang w:val="en-US"/>
        </w:rPr>
        <w:t>Dispensing errors have substantial and multifaceted consequences for patients, pharmacists, and healthcare systems. The findings demonstrate that errors such as incorrect labelling, wrong dosage, inappropriate substitutions, and insufficient counselling contribute to adverse drug reactions, therapeutic failure, prolonged illness, and increased healthcare costs (Saleem et al., 2021; Musoke et al., 2023).</w:t>
      </w:r>
    </w:p>
    <w:p w:rsidR="3B7BAD25" w:rsidP="4369956E" w:rsidRDefault="3B7BAD25" w14:paraId="3E644A7E" w14:textId="414F7E05">
      <w:pPr>
        <w:bidi w:val="0"/>
        <w:spacing w:before="240" w:beforeAutospacing="off" w:after="240" w:afterAutospacing="off"/>
        <w:jc w:val="both"/>
      </w:pPr>
      <w:r w:rsidRPr="4369956E" w:rsidR="7AB01BE2">
        <w:rPr>
          <w:rFonts w:ascii="Arial" w:hAnsi="Arial" w:eastAsia="Arial" w:cs="Arial"/>
          <w:noProof w:val="0"/>
          <w:sz w:val="24"/>
          <w:szCs w:val="24"/>
          <w:lang w:val="en-US"/>
        </w:rPr>
        <w:t>In LMICs, the clinical impact of these errors is amplified by limited access to secondary and tertiary healthcare services. Patients experiencing medication-related harm often face barriers to follow-up care, including financial constraints, geographical distance, and understaffed facilities. As a result, relatively minor dispensing errors can escalate into serious or life-threatening complications.</w:t>
      </w:r>
    </w:p>
    <w:p w:rsidR="3B7BAD25" w:rsidP="4369956E" w:rsidRDefault="3B7BAD25" w14:paraId="0DA64A0C" w14:textId="0E02C928">
      <w:pPr>
        <w:bidi w:val="0"/>
        <w:spacing w:before="240" w:beforeAutospacing="off" w:after="240" w:afterAutospacing="off"/>
        <w:jc w:val="both"/>
      </w:pPr>
      <w:r w:rsidRPr="4369956E" w:rsidR="7AB01BE2">
        <w:rPr>
          <w:rFonts w:ascii="Arial" w:hAnsi="Arial" w:eastAsia="Arial" w:cs="Arial"/>
          <w:noProof w:val="0"/>
          <w:sz w:val="24"/>
          <w:szCs w:val="24"/>
          <w:lang w:val="en-US"/>
        </w:rPr>
        <w:t>Medication errors also undermine patient trust in formal healthcare systems. When patients receive inconsistent or confusing information, confidence in pharmacy services declines, leading to poor adherence and increased reliance on informal or unregulated medicine sellers (Auta et al., 2018). Such practices expose patients to substandard or counterfeit medicines, further exacerbating health risks and widening health inequities.</w:t>
      </w:r>
    </w:p>
    <w:p w:rsidR="3B7BAD25" w:rsidP="4369956E" w:rsidRDefault="3B7BAD25" w14:paraId="24BB0FCB" w14:textId="4AEB56A6">
      <w:pPr>
        <w:bidi w:val="0"/>
        <w:spacing w:before="240" w:beforeAutospacing="off" w:after="240" w:afterAutospacing="off"/>
        <w:jc w:val="both"/>
      </w:pPr>
      <w:r w:rsidRPr="5B971295" w:rsidR="675AC1A2">
        <w:rPr>
          <w:rFonts w:ascii="Arial" w:hAnsi="Arial" w:eastAsia="Arial" w:cs="Arial"/>
          <w:noProof w:val="0"/>
          <w:sz w:val="24"/>
          <w:szCs w:val="24"/>
          <w:lang w:val="en-US"/>
        </w:rPr>
        <w:t xml:space="preserve">Pharmacists themselves are also adversely affected. Errors </w:t>
      </w:r>
      <w:r w:rsidRPr="5B971295" w:rsidR="675AC1A2">
        <w:rPr>
          <w:rFonts w:ascii="Arial" w:hAnsi="Arial" w:eastAsia="Arial" w:cs="Arial"/>
          <w:noProof w:val="0"/>
          <w:sz w:val="24"/>
          <w:szCs w:val="24"/>
          <w:lang w:val="en-US"/>
        </w:rPr>
        <w:t>frequently</w:t>
      </w:r>
      <w:r w:rsidRPr="5B971295" w:rsidR="675AC1A2">
        <w:rPr>
          <w:rFonts w:ascii="Arial" w:hAnsi="Arial" w:eastAsia="Arial" w:cs="Arial"/>
          <w:noProof w:val="0"/>
          <w:sz w:val="24"/>
          <w:szCs w:val="24"/>
          <w:lang w:val="en-US"/>
        </w:rPr>
        <w:t xml:space="preserve"> result in moral distress, fear of disciplinary action, and professional insecurity. In the absence of supportive reporting systems, pharmacists </w:t>
      </w:r>
      <w:r w:rsidRPr="5B971295" w:rsidR="675AC1A2">
        <w:rPr>
          <w:rFonts w:ascii="Arial" w:hAnsi="Arial" w:eastAsia="Arial" w:cs="Arial"/>
          <w:noProof w:val="0"/>
          <w:sz w:val="24"/>
          <w:szCs w:val="24"/>
          <w:lang w:val="en-US"/>
        </w:rPr>
        <w:t>internalise</w:t>
      </w:r>
      <w:r w:rsidRPr="5B971295" w:rsidR="675AC1A2">
        <w:rPr>
          <w:rFonts w:ascii="Arial" w:hAnsi="Arial" w:eastAsia="Arial" w:cs="Arial"/>
          <w:noProof w:val="0"/>
          <w:sz w:val="24"/>
          <w:szCs w:val="24"/>
          <w:lang w:val="en-US"/>
        </w:rPr>
        <w:t xml:space="preserve"> blame, which contributes to burnout and workforce attrition</w:t>
      </w:r>
      <w:r w:rsidRPr="5B971295" w:rsidR="261E9F2E">
        <w:rPr>
          <w:rFonts w:ascii="Arial" w:hAnsi="Arial" w:eastAsia="Arial" w:cs="Arial"/>
          <w:noProof w:val="0"/>
          <w:sz w:val="24"/>
          <w:szCs w:val="24"/>
          <w:lang w:val="en-US"/>
        </w:rPr>
        <w:t xml:space="preserve"> </w:t>
      </w:r>
      <w:r w:rsidRPr="5B971295" w:rsidR="675AC1A2">
        <w:rPr>
          <w:rFonts w:ascii="Arial" w:hAnsi="Arial" w:eastAsia="Arial" w:cs="Arial"/>
          <w:noProof w:val="0"/>
          <w:sz w:val="24"/>
          <w:szCs w:val="24"/>
          <w:lang w:val="en-US"/>
        </w:rPr>
        <w:t>patterns consistent with the global “second victim” phenomenon (Scott et al., 2009). These outcomes weaken already fragile health systems, creating a vicious cycle of understaffing, increased workload, and further errors.</w:t>
      </w:r>
    </w:p>
    <w:p w:rsidR="3B7BAD25" w:rsidP="4369956E" w:rsidRDefault="3B7BAD25" w14:paraId="3FB9C87B" w14:textId="3ABECEEA">
      <w:pPr>
        <w:bidi w:val="0"/>
        <w:spacing w:before="240" w:beforeAutospacing="off" w:after="240" w:afterAutospacing="off"/>
        <w:jc w:val="both"/>
      </w:pPr>
    </w:p>
    <w:p w:rsidR="3B7BAD25" w:rsidP="5B971295" w:rsidRDefault="3B7BAD25" w14:paraId="3746A792" w14:textId="5FC86AE5">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757242856" w:id="2035358342"/>
      <w:r w:rsidRPr="668EA0FB" w:rsidR="675AC1A2">
        <w:rPr>
          <w:rFonts w:ascii="Arial" w:hAnsi="Arial" w:eastAsia="Arial" w:cs="Arial"/>
          <w:b w:val="0"/>
          <w:bCs w:val="0"/>
          <w:noProof w:val="0"/>
          <w:sz w:val="36"/>
          <w:szCs w:val="36"/>
          <w:lang w:val="en-US"/>
        </w:rPr>
        <w:t>6.4 Cultural and Ethical Standards (Theme 3 Alignment)</w:t>
      </w:r>
      <w:bookmarkEnd w:id="2035358342"/>
    </w:p>
    <w:p w:rsidR="3B7BAD25" w:rsidP="4369956E" w:rsidRDefault="3B7BAD25" w14:paraId="4F7340EF" w14:textId="4619BCF5">
      <w:pPr>
        <w:bidi w:val="0"/>
        <w:spacing w:before="240" w:beforeAutospacing="off" w:after="240" w:afterAutospacing="off"/>
        <w:jc w:val="both"/>
      </w:pPr>
      <w:r w:rsidRPr="4369956E" w:rsidR="7AB01BE2">
        <w:rPr>
          <w:rFonts w:ascii="Arial" w:hAnsi="Arial" w:eastAsia="Arial" w:cs="Arial"/>
          <w:noProof w:val="0"/>
          <w:sz w:val="24"/>
          <w:szCs w:val="24"/>
          <w:lang w:val="en-US"/>
        </w:rPr>
        <w:t>Theme 3 highlighted the powerful influence of ethical challenges and sociocultural norms on dispensing practices in LMICs. Cultural beliefs, religious values, gender norms, and professional hierarchies shape communication patterns and decision-making processes, often in ways that compromise medication safety.</w:t>
      </w:r>
    </w:p>
    <w:p w:rsidR="3B7BAD25" w:rsidP="4369956E" w:rsidRDefault="3B7BAD25" w14:paraId="03F007D5" w14:textId="520A22A9">
      <w:pPr>
        <w:bidi w:val="0"/>
        <w:spacing w:before="240" w:beforeAutospacing="off" w:after="240" w:afterAutospacing="off"/>
        <w:jc w:val="both"/>
      </w:pPr>
      <w:r w:rsidRPr="4369956E" w:rsidR="7AB01BE2">
        <w:rPr>
          <w:rFonts w:ascii="Arial" w:hAnsi="Arial" w:eastAsia="Arial" w:cs="Arial"/>
          <w:noProof w:val="0"/>
          <w:sz w:val="24"/>
          <w:szCs w:val="24"/>
          <w:lang w:val="en-US"/>
        </w:rPr>
        <w:t>In many LMIC contexts, patients place significant trust in traditional medicine and culturally embedded health practices. Pharmacists must navigate these beliefs carefully to maintain rapport, yet doing so can limit their ability to provide clear biomedical guidance or challenge unsafe practices (Saleem et al., 2021). This tension may result in incomplete counselling or tacit acceptance of inappropriate medication use.</w:t>
      </w:r>
    </w:p>
    <w:p w:rsidR="3B7BAD25" w:rsidP="4369956E" w:rsidRDefault="3B7BAD25" w14:paraId="0E82CA21" w14:textId="1556CB2E">
      <w:pPr>
        <w:bidi w:val="0"/>
        <w:spacing w:before="240" w:beforeAutospacing="off" w:after="240" w:afterAutospacing="off"/>
        <w:jc w:val="both"/>
      </w:pPr>
      <w:r w:rsidRPr="4369956E" w:rsidR="7AB01BE2">
        <w:rPr>
          <w:rFonts w:ascii="Arial" w:hAnsi="Arial" w:eastAsia="Arial" w:cs="Arial"/>
          <w:noProof w:val="0"/>
          <w:sz w:val="24"/>
          <w:szCs w:val="24"/>
          <w:lang w:val="en-US"/>
        </w:rPr>
        <w:t>Religious and moral norms further constrain communication. Pharmacists may avoid discussing medications related to contraception, alcohol-containing formulations, or mental health due to fear of offending patients or breaching social expectations (Nsimba, 2019). Such omissions reduce patient understanding and increase the risk of misuse.</w:t>
      </w:r>
    </w:p>
    <w:p w:rsidR="3B7BAD25" w:rsidP="4369956E" w:rsidRDefault="3B7BAD25" w14:paraId="5811FF23" w14:textId="1E039051">
      <w:pPr>
        <w:bidi w:val="0"/>
        <w:spacing w:before="240" w:beforeAutospacing="off" w:after="240" w:afterAutospacing="off"/>
        <w:jc w:val="both"/>
      </w:pPr>
      <w:r w:rsidRPr="4369956E" w:rsidR="7AB01BE2">
        <w:rPr>
          <w:rFonts w:ascii="Arial" w:hAnsi="Arial" w:eastAsia="Arial" w:cs="Arial"/>
          <w:noProof w:val="0"/>
          <w:sz w:val="24"/>
          <w:szCs w:val="24"/>
          <w:lang w:val="en-US"/>
        </w:rPr>
        <w:t>Gender dynamics also play a role. Female pharmacists may experience social barriers when counselling male patients, particularly in conservative settings, leading to abbreviated or indirect communication (Musoke et al., 2023). These limitations further weaken the effectiveness of patient education.</w:t>
      </w:r>
    </w:p>
    <w:p w:rsidR="3B7BAD25" w:rsidP="4369956E" w:rsidRDefault="3B7BAD25" w14:paraId="01D83062" w14:textId="2D3EBC05">
      <w:pPr>
        <w:bidi w:val="0"/>
        <w:spacing w:before="240" w:beforeAutospacing="off" w:after="240" w:afterAutospacing="off"/>
        <w:jc w:val="both"/>
      </w:pPr>
      <w:r w:rsidRPr="4369956E" w:rsidR="7AB01BE2">
        <w:rPr>
          <w:rFonts w:ascii="Arial" w:hAnsi="Arial" w:eastAsia="Arial" w:cs="Arial"/>
          <w:noProof w:val="0"/>
          <w:sz w:val="24"/>
          <w:szCs w:val="24"/>
          <w:lang w:val="en-US"/>
        </w:rPr>
        <w:t>Cultural norms within professional hierarchies also diminish pharmacists’ agency. In many LMICs, pharmacists are not recognised as clinical decision-makers, limiting their involvement in medication management and error prevention (Auta et al., 2018). This marginalisation fosters a culture of silence, where concerns are suppressed rather than escalated.</w:t>
      </w:r>
    </w:p>
    <w:p w:rsidR="3B7BAD25" w:rsidP="4369956E" w:rsidRDefault="3B7BAD25" w14:paraId="228BACEE" w14:textId="40CD899F">
      <w:pPr>
        <w:bidi w:val="0"/>
        <w:spacing w:before="240" w:beforeAutospacing="off" w:after="240" w:afterAutospacing="off"/>
        <w:jc w:val="both"/>
      </w:pPr>
    </w:p>
    <w:p w:rsidR="3B7BAD25" w:rsidP="5B971295" w:rsidRDefault="3B7BAD25" w14:paraId="11A56E3C" w14:textId="17A147CD">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1367855884" w:id="1486676448"/>
      <w:r w:rsidRPr="668EA0FB" w:rsidR="675AC1A2">
        <w:rPr>
          <w:rFonts w:ascii="Arial" w:hAnsi="Arial" w:eastAsia="Arial" w:cs="Arial"/>
          <w:b w:val="0"/>
          <w:bCs w:val="0"/>
          <w:noProof w:val="0"/>
          <w:sz w:val="36"/>
          <w:szCs w:val="36"/>
          <w:lang w:val="en-US"/>
        </w:rPr>
        <w:t xml:space="preserve">6.5 Avoidance </w:t>
      </w:r>
      <w:r w:rsidRPr="668EA0FB" w:rsidR="675AC1A2">
        <w:rPr>
          <w:rFonts w:ascii="Arial" w:hAnsi="Arial" w:eastAsia="Arial" w:cs="Arial"/>
          <w:b w:val="0"/>
          <w:bCs w:val="0"/>
          <w:noProof w:val="0"/>
          <w:sz w:val="36"/>
          <w:szCs w:val="36"/>
          <w:lang w:val="en-US"/>
        </w:rPr>
        <w:t>Behaviours</w:t>
      </w:r>
      <w:r w:rsidRPr="668EA0FB" w:rsidR="675AC1A2">
        <w:rPr>
          <w:rFonts w:ascii="Arial" w:hAnsi="Arial" w:eastAsia="Arial" w:cs="Arial"/>
          <w:b w:val="0"/>
          <w:bCs w:val="0"/>
          <w:noProof w:val="0"/>
          <w:sz w:val="36"/>
          <w:szCs w:val="36"/>
          <w:lang w:val="en-US"/>
        </w:rPr>
        <w:t xml:space="preserve"> and Family Roles (Theme 3 Extension)</w:t>
      </w:r>
      <w:bookmarkEnd w:id="1486676448"/>
    </w:p>
    <w:p w:rsidR="3B7BAD25" w:rsidP="4369956E" w:rsidRDefault="3B7BAD25" w14:paraId="1EFECB78" w14:textId="2A1B66DE">
      <w:pPr>
        <w:bidi w:val="0"/>
        <w:spacing w:before="240" w:beforeAutospacing="off" w:after="240" w:afterAutospacing="off"/>
        <w:jc w:val="both"/>
      </w:pPr>
      <w:r w:rsidRPr="4369956E" w:rsidR="7AB01BE2">
        <w:rPr>
          <w:rFonts w:ascii="Arial" w:hAnsi="Arial" w:eastAsia="Arial" w:cs="Arial"/>
          <w:noProof w:val="0"/>
          <w:sz w:val="24"/>
          <w:szCs w:val="24"/>
          <w:lang w:val="en-US"/>
        </w:rPr>
        <w:t>The findings in Chapter 5 revealed that fear of punishment, lack of just culture, and hierarchical workplace structures contribute to widespread avoidance behaviours among pharmacists. When errors are met with blame rather than learning, pharmacists are incentivised to conceal mistakes to protect their employment and professional reputation (Kifle et al., 2021).</w:t>
      </w:r>
    </w:p>
    <w:p w:rsidR="3B7BAD25" w:rsidP="4369956E" w:rsidRDefault="3B7BAD25" w14:paraId="6277D685" w14:textId="04AEEF4D">
      <w:pPr>
        <w:bidi w:val="0"/>
        <w:spacing w:before="240" w:beforeAutospacing="off" w:after="240" w:afterAutospacing="off"/>
        <w:jc w:val="both"/>
      </w:pPr>
      <w:r w:rsidRPr="4369956E" w:rsidR="7AB01BE2">
        <w:rPr>
          <w:rFonts w:ascii="Arial" w:hAnsi="Arial" w:eastAsia="Arial" w:cs="Arial"/>
          <w:noProof w:val="0"/>
          <w:sz w:val="24"/>
          <w:szCs w:val="24"/>
          <w:lang w:val="en-US"/>
        </w:rPr>
        <w:t>Avoidance behaviours also manifest operationally. Under intense workload pressure, pharmacists may skip counselling, documentation, or double-checking steps in order to manage patient queues. While these shortcuts may appear necessary in the moment, they significantly increase the risk of downstream harm, reinforcing unsafe norms (Okumura et al., 2021).</w:t>
      </w:r>
    </w:p>
    <w:p w:rsidR="3B7BAD25" w:rsidP="4369956E" w:rsidRDefault="3B7BAD25" w14:paraId="1FE229C5" w14:textId="62B5ADB4">
      <w:pPr>
        <w:bidi w:val="0"/>
        <w:spacing w:before="240" w:beforeAutospacing="off" w:after="240" w:afterAutospacing="off"/>
        <w:jc w:val="both"/>
      </w:pPr>
      <w:r w:rsidRPr="4369956E" w:rsidR="7AB01BE2">
        <w:rPr>
          <w:rFonts w:ascii="Arial" w:hAnsi="Arial" w:eastAsia="Arial" w:cs="Arial"/>
          <w:noProof w:val="0"/>
          <w:sz w:val="24"/>
          <w:szCs w:val="24"/>
          <w:lang w:val="en-US"/>
        </w:rPr>
        <w:t>Family involvement represents another critical dimension. In LMICs, family members often play a central role in medication administration and decision-making. When pharmacists fail to include families in counselling—particularly where patients have low health literacy—misunderstandings and dosing errors become more likely (Saleem et al., 2021).</w:t>
      </w:r>
    </w:p>
    <w:p w:rsidR="3B7BAD25" w:rsidP="4369956E" w:rsidRDefault="3B7BAD25" w14:paraId="068353A3" w14:textId="57A92882">
      <w:pPr>
        <w:bidi w:val="0"/>
        <w:spacing w:before="240" w:beforeAutospacing="off" w:after="240" w:afterAutospacing="off"/>
        <w:jc w:val="both"/>
      </w:pPr>
      <w:r w:rsidRPr="4369956E" w:rsidR="7AB01BE2">
        <w:rPr>
          <w:rFonts w:ascii="Arial" w:hAnsi="Arial" w:eastAsia="Arial" w:cs="Arial"/>
          <w:noProof w:val="0"/>
          <w:sz w:val="24"/>
          <w:szCs w:val="24"/>
          <w:lang w:val="en-US"/>
        </w:rPr>
        <w:t>Promoting a blame-free reporting culture and encouraging family-inclusive communication are therefore essential strategies for reducing preventable dispensing errors.</w:t>
      </w:r>
    </w:p>
    <w:p w:rsidR="3B7BAD25" w:rsidP="4369956E" w:rsidRDefault="3B7BAD25" w14:paraId="000B695A" w14:textId="6C85B176">
      <w:pPr>
        <w:bidi w:val="0"/>
        <w:spacing w:before="240" w:beforeAutospacing="off" w:after="240" w:afterAutospacing="off"/>
        <w:jc w:val="both"/>
      </w:pPr>
    </w:p>
    <w:p w:rsidR="3B7BAD25" w:rsidP="5B971295" w:rsidRDefault="3B7BAD25" w14:paraId="01CE63F4" w14:textId="1F46DD3B">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413241892" w:id="1126969094"/>
      <w:r w:rsidRPr="668EA0FB" w:rsidR="675AC1A2">
        <w:rPr>
          <w:rFonts w:ascii="Arial" w:hAnsi="Arial" w:eastAsia="Arial" w:cs="Arial"/>
          <w:b w:val="0"/>
          <w:bCs w:val="0"/>
          <w:noProof w:val="0"/>
          <w:sz w:val="36"/>
          <w:szCs w:val="36"/>
          <w:lang w:val="en-US"/>
        </w:rPr>
        <w:t>6.6 Impact of Language Barriers (Theme 2 and 3 Alignment)</w:t>
      </w:r>
      <w:bookmarkEnd w:id="1126969094"/>
    </w:p>
    <w:p w:rsidR="3B7BAD25" w:rsidP="4369956E" w:rsidRDefault="3B7BAD25" w14:paraId="31B9E356" w14:textId="7B7CF7E6">
      <w:pPr>
        <w:bidi w:val="0"/>
        <w:spacing w:before="240" w:beforeAutospacing="off" w:after="240" w:afterAutospacing="off"/>
        <w:jc w:val="both"/>
      </w:pPr>
      <w:r w:rsidRPr="4369956E" w:rsidR="7AB01BE2">
        <w:rPr>
          <w:rFonts w:ascii="Arial" w:hAnsi="Arial" w:eastAsia="Arial" w:cs="Arial"/>
          <w:noProof w:val="0"/>
          <w:sz w:val="24"/>
          <w:szCs w:val="24"/>
          <w:lang w:val="en-US"/>
        </w:rPr>
        <w:t>Language barriers emerged as a significant contributor to dispensing errors. Prescriptions are frequently written in English, while many patients speak only local languages, creating substantial risk of misinterpretation (Saleem et al., 2021).</w:t>
      </w:r>
    </w:p>
    <w:p w:rsidR="3B7BAD25" w:rsidP="4369956E" w:rsidRDefault="3B7BAD25" w14:paraId="38CC7449" w14:textId="6DBDF265">
      <w:pPr>
        <w:bidi w:val="0"/>
        <w:spacing w:before="240" w:beforeAutospacing="off" w:after="240" w:afterAutospacing="off"/>
        <w:jc w:val="both"/>
      </w:pPr>
      <w:r w:rsidRPr="4369956E" w:rsidR="7AB01BE2">
        <w:rPr>
          <w:rFonts w:ascii="Arial" w:hAnsi="Arial" w:eastAsia="Arial" w:cs="Arial"/>
          <w:noProof w:val="0"/>
          <w:sz w:val="24"/>
          <w:szCs w:val="24"/>
          <w:lang w:val="en-US"/>
        </w:rPr>
        <w:t>Pharmacists face challenges providing detailed counselling when linguistic discordance exists, particularly under time constraints. The absence of interpreters, bilingual labels, or visual aids further limits effective communication (Kibira et al., 2020).</w:t>
      </w:r>
    </w:p>
    <w:p w:rsidR="3B7BAD25" w:rsidP="4369956E" w:rsidRDefault="3B7BAD25" w14:paraId="104F39C0" w14:textId="17DC899C">
      <w:pPr>
        <w:bidi w:val="0"/>
        <w:spacing w:before="240" w:beforeAutospacing="off" w:after="240" w:afterAutospacing="off"/>
        <w:jc w:val="both"/>
      </w:pPr>
      <w:r w:rsidRPr="4369956E" w:rsidR="7AB01BE2">
        <w:rPr>
          <w:rFonts w:ascii="Arial" w:hAnsi="Arial" w:eastAsia="Arial" w:cs="Arial"/>
          <w:noProof w:val="0"/>
          <w:sz w:val="24"/>
          <w:szCs w:val="24"/>
          <w:lang w:val="en-US"/>
        </w:rPr>
        <w:t>Evidence indicates that the use of pictograms, simplified language, and local-language labelling significantly improves comprehension and reduces medication errors, particularly among patients with low literacy (Aldridge et al., 2016). These findings underscore the need for communication strategies that reflect linguistic diversity.</w:t>
      </w:r>
    </w:p>
    <w:p w:rsidR="3B7BAD25" w:rsidP="4369956E" w:rsidRDefault="3B7BAD25" w14:paraId="7E8444FF" w14:textId="2E54008E">
      <w:pPr>
        <w:bidi w:val="0"/>
        <w:spacing w:before="240" w:beforeAutospacing="off" w:after="240" w:afterAutospacing="off"/>
        <w:jc w:val="both"/>
      </w:pPr>
    </w:p>
    <w:p w:rsidR="3B7BAD25" w:rsidP="5B971295" w:rsidRDefault="3B7BAD25" w14:paraId="03F9317A" w14:textId="0FB3BFA7">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2141614408" w:id="115627637"/>
      <w:r w:rsidRPr="668EA0FB" w:rsidR="675AC1A2">
        <w:rPr>
          <w:rFonts w:ascii="Arial" w:hAnsi="Arial" w:eastAsia="Arial" w:cs="Arial"/>
          <w:b w:val="0"/>
          <w:bCs w:val="0"/>
          <w:noProof w:val="0"/>
          <w:sz w:val="36"/>
          <w:szCs w:val="36"/>
          <w:lang w:val="en-US"/>
        </w:rPr>
        <w:t>6.7 Socioeconomic Disadvantages (Theme 4 Context)</w:t>
      </w:r>
      <w:bookmarkEnd w:id="115627637"/>
    </w:p>
    <w:p w:rsidR="3B7BAD25" w:rsidP="4369956E" w:rsidRDefault="3B7BAD25" w14:paraId="746ED6D4" w14:textId="1E9686B1">
      <w:pPr>
        <w:bidi w:val="0"/>
        <w:spacing w:before="240" w:beforeAutospacing="off" w:after="240" w:afterAutospacing="off"/>
        <w:jc w:val="both"/>
      </w:pPr>
      <w:r w:rsidRPr="4369956E" w:rsidR="7AB01BE2">
        <w:rPr>
          <w:rFonts w:ascii="Arial" w:hAnsi="Arial" w:eastAsia="Arial" w:cs="Arial"/>
          <w:noProof w:val="0"/>
          <w:sz w:val="24"/>
          <w:szCs w:val="24"/>
          <w:lang w:val="en-US"/>
        </w:rPr>
        <w:t>Socioeconomic constraints profoundly shape dispensing practices in LMICs. Pharmacists working in low-wage, resource-poor environments experience reduced job satisfaction and motivation, increasing susceptibility to errors (Musoke et al., 2023).</w:t>
      </w:r>
    </w:p>
    <w:p w:rsidR="3B7BAD25" w:rsidP="4369956E" w:rsidRDefault="3B7BAD25" w14:paraId="4080EAF4" w14:textId="2C56F895">
      <w:pPr>
        <w:bidi w:val="0"/>
        <w:spacing w:before="240" w:beforeAutospacing="off" w:after="240" w:afterAutospacing="off"/>
        <w:jc w:val="both"/>
      </w:pPr>
      <w:r w:rsidRPr="4369956E" w:rsidR="7AB01BE2">
        <w:rPr>
          <w:rFonts w:ascii="Arial" w:hAnsi="Arial" w:eastAsia="Arial" w:cs="Arial"/>
          <w:noProof w:val="0"/>
          <w:sz w:val="24"/>
          <w:szCs w:val="24"/>
          <w:lang w:val="en-US"/>
        </w:rPr>
        <w:t>Patients frequently request partial courses of medication or cheaper alternatives due to financial limitations, forcing pharmacists to make informal substitutions without prescriber consultation (Saleem et al., 2021). Although often motivated by compassion, such practices introduce significant safety risks.</w:t>
      </w:r>
    </w:p>
    <w:p w:rsidR="3B7BAD25" w:rsidP="4369956E" w:rsidRDefault="3B7BAD25" w14:paraId="023DF229" w14:textId="61755498">
      <w:pPr>
        <w:bidi w:val="0"/>
        <w:spacing w:before="240" w:beforeAutospacing="off" w:after="240" w:afterAutospacing="off"/>
        <w:jc w:val="both"/>
      </w:pPr>
      <w:r w:rsidRPr="4369956E" w:rsidR="7AB01BE2">
        <w:rPr>
          <w:rFonts w:ascii="Arial" w:hAnsi="Arial" w:eastAsia="Arial" w:cs="Arial"/>
          <w:noProof w:val="0"/>
          <w:sz w:val="24"/>
          <w:szCs w:val="24"/>
          <w:lang w:val="en-US"/>
        </w:rPr>
        <w:t>Supply chain weaknesses further exacerbate the problem, increasing the circulation of counterfeit or substandard medicines, particularly in rural or underserved areas (Nsimba, 2019). These findings highlight that dispensing safety cannot be separated from broader socioeconomic and infrastructural realities.</w:t>
      </w:r>
    </w:p>
    <w:p w:rsidR="3B7BAD25" w:rsidP="4369956E" w:rsidRDefault="3B7BAD25" w14:paraId="793943A6" w14:textId="246C5078">
      <w:pPr>
        <w:bidi w:val="0"/>
        <w:spacing w:before="240" w:beforeAutospacing="off" w:after="240" w:afterAutospacing="off"/>
        <w:jc w:val="both"/>
      </w:pPr>
    </w:p>
    <w:p w:rsidR="3B7BAD25" w:rsidP="4369956E" w:rsidRDefault="3B7BAD25" w14:paraId="1F58F5D6" w14:textId="4BFBB158">
      <w:pPr>
        <w:pStyle w:val="Heading2"/>
        <w:bidi w:val="0"/>
        <w:spacing w:before="299" w:beforeAutospacing="off" w:after="299" w:afterAutospacing="off"/>
        <w:jc w:val="both"/>
      </w:pPr>
      <w:bookmarkStart w:name="_Toc977731974" w:id="1937338015"/>
      <w:r w:rsidRPr="668EA0FB" w:rsidR="675AC1A2">
        <w:rPr>
          <w:rFonts w:ascii="Arial" w:hAnsi="Arial" w:eastAsia="Arial" w:cs="Arial"/>
          <w:b w:val="0"/>
          <w:bCs w:val="0"/>
          <w:noProof w:val="0"/>
          <w:sz w:val="36"/>
          <w:szCs w:val="36"/>
          <w:lang w:val="en-US"/>
        </w:rPr>
        <w:t>6.8 Recommendations for Improvement</w:t>
      </w:r>
      <w:bookmarkEnd w:id="1937338015"/>
      <w:r w:rsidRPr="668EA0FB" w:rsidR="675AC1A2">
        <w:rPr>
          <w:rFonts w:ascii="Arial" w:hAnsi="Arial" w:eastAsia="Arial" w:cs="Arial"/>
          <w:b w:val="1"/>
          <w:bCs w:val="1"/>
          <w:noProof w:val="0"/>
          <w:sz w:val="36"/>
          <w:szCs w:val="36"/>
          <w:lang w:val="en-US"/>
        </w:rPr>
        <w:t xml:space="preserve"> </w:t>
      </w:r>
    </w:p>
    <w:p w:rsidR="3B7BAD25" w:rsidP="4369956E" w:rsidRDefault="3B7BAD25" w14:paraId="56F05FAB" w14:textId="42B46F1F">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Strengthen professional education and continuous professional development</w:t>
      </w:r>
      <w:r>
        <w:br/>
      </w:r>
      <w:r w:rsidRPr="4369956E" w:rsidR="7AB01BE2">
        <w:rPr>
          <w:rFonts w:ascii="Arial" w:hAnsi="Arial" w:eastAsia="Arial" w:cs="Arial"/>
          <w:noProof w:val="0"/>
          <w:sz w:val="24"/>
          <w:szCs w:val="24"/>
          <w:lang w:val="en-US"/>
        </w:rPr>
        <w:t xml:space="preserve"> Ongoing training in pharmacology, antimicrobial stewardship, communication, and patient safety should be institutionalised nationwide (Theme 1).</w:t>
      </w:r>
    </w:p>
    <w:p w:rsidR="3B7BAD25" w:rsidP="4369956E" w:rsidRDefault="3B7BAD25" w14:paraId="7E8D682B" w14:textId="33824427">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Implement robust SOPs and supervisory frameworks</w:t>
      </w:r>
      <w:r>
        <w:br/>
      </w:r>
      <w:r w:rsidRPr="4369956E" w:rsidR="7AB01BE2">
        <w:rPr>
          <w:rFonts w:ascii="Arial" w:hAnsi="Arial" w:eastAsia="Arial" w:cs="Arial"/>
          <w:noProof w:val="0"/>
          <w:sz w:val="24"/>
          <w:szCs w:val="24"/>
          <w:lang w:val="en-US"/>
        </w:rPr>
        <w:t xml:space="preserve"> Standardised dispensing protocols, routine audits, and clear accountability structures are essential (Theme 2).</w:t>
      </w:r>
    </w:p>
    <w:p w:rsidR="3B7BAD25" w:rsidP="4369956E" w:rsidRDefault="3B7BAD25" w14:paraId="188D1D87" w14:textId="34206206">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Establish non-punitive error reporting systems</w:t>
      </w:r>
      <w:r>
        <w:br/>
      </w:r>
      <w:r w:rsidRPr="4369956E" w:rsidR="7AB01BE2">
        <w:rPr>
          <w:rFonts w:ascii="Arial" w:hAnsi="Arial" w:eastAsia="Arial" w:cs="Arial"/>
          <w:noProof w:val="0"/>
          <w:sz w:val="24"/>
          <w:szCs w:val="24"/>
          <w:lang w:val="en-US"/>
        </w:rPr>
        <w:t xml:space="preserve"> Just culture models should replace blame-based approaches to promote transparency and learning (Theme 3).</w:t>
      </w:r>
    </w:p>
    <w:p w:rsidR="3B7BAD25" w:rsidP="4369956E" w:rsidRDefault="3B7BAD25" w14:paraId="0DF29604" w14:textId="6CAD3049">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Integrate digital technologies</w:t>
      </w:r>
      <w:r>
        <w:br/>
      </w:r>
      <w:r w:rsidRPr="4369956E" w:rsidR="7AB01BE2">
        <w:rPr>
          <w:rFonts w:ascii="Arial" w:hAnsi="Arial" w:eastAsia="Arial" w:cs="Arial"/>
          <w:noProof w:val="0"/>
          <w:sz w:val="24"/>
          <w:szCs w:val="24"/>
          <w:lang w:val="en-US"/>
        </w:rPr>
        <w:t xml:space="preserve"> Electronic prescribing, barcode verification, and digital dispensing tools can reduce reliance on memory and manual processes (Theme 4).</w:t>
      </w:r>
    </w:p>
    <w:p w:rsidR="3B7BAD25" w:rsidP="4369956E" w:rsidRDefault="3B7BAD25" w14:paraId="52D22A4B" w14:textId="042DD040">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Improve communication using local-language resources</w:t>
      </w:r>
      <w:r>
        <w:br/>
      </w:r>
      <w:r w:rsidRPr="4369956E" w:rsidR="7AB01BE2">
        <w:rPr>
          <w:rFonts w:ascii="Arial" w:hAnsi="Arial" w:eastAsia="Arial" w:cs="Arial"/>
          <w:noProof w:val="0"/>
          <w:sz w:val="24"/>
          <w:szCs w:val="24"/>
          <w:lang w:val="en-US"/>
        </w:rPr>
        <w:t xml:space="preserve"> Bilingual labels, pictorial aids, and interpreter support should be prioritised.</w:t>
      </w:r>
    </w:p>
    <w:p w:rsidR="3B7BAD25" w:rsidP="4369956E" w:rsidRDefault="3B7BAD25" w14:paraId="70177778" w14:textId="6B8C735B">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4369956E" w:rsidR="7AB01BE2">
        <w:rPr>
          <w:rFonts w:ascii="Arial" w:hAnsi="Arial" w:eastAsia="Arial" w:cs="Arial"/>
          <w:b w:val="1"/>
          <w:bCs w:val="1"/>
          <w:noProof w:val="0"/>
          <w:sz w:val="24"/>
          <w:szCs w:val="24"/>
          <w:lang w:val="en-US"/>
        </w:rPr>
        <w:t>Promote interprofessional collaboration</w:t>
      </w:r>
      <w:r>
        <w:br/>
      </w:r>
      <w:r w:rsidRPr="4369956E" w:rsidR="7AB01BE2">
        <w:rPr>
          <w:rFonts w:ascii="Arial" w:hAnsi="Arial" w:eastAsia="Arial" w:cs="Arial"/>
          <w:noProof w:val="0"/>
          <w:sz w:val="24"/>
          <w:szCs w:val="24"/>
          <w:lang w:val="en-US"/>
        </w:rPr>
        <w:t xml:space="preserve"> Pharmacists must be empowered as integral members of clinical decision-making teams.</w:t>
      </w:r>
    </w:p>
    <w:p w:rsidR="3B7BAD25" w:rsidP="4369956E" w:rsidRDefault="3B7BAD25" w14:paraId="3E93A281" w14:textId="6D59B170">
      <w:pPr>
        <w:bidi w:val="0"/>
        <w:spacing w:before="240" w:beforeAutospacing="off" w:after="240" w:afterAutospacing="off"/>
        <w:jc w:val="both"/>
      </w:pPr>
    </w:p>
    <w:p w:rsidR="3B7BAD25" w:rsidP="5B971295" w:rsidRDefault="3B7BAD25" w14:paraId="04F1B05C" w14:textId="123DCB0D">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829119985" w:id="1305621023"/>
      <w:r w:rsidRPr="668EA0FB" w:rsidR="62D6C210">
        <w:rPr>
          <w:rFonts w:ascii="Arial" w:hAnsi="Arial" w:eastAsia="Arial" w:cs="Arial"/>
          <w:b w:val="0"/>
          <w:bCs w:val="0"/>
          <w:noProof w:val="0"/>
          <w:sz w:val="36"/>
          <w:szCs w:val="36"/>
          <w:lang w:val="en-US"/>
        </w:rPr>
        <w:t>6.9 Implications for Policy and Practice</w:t>
      </w:r>
      <w:bookmarkEnd w:id="1305621023"/>
    </w:p>
    <w:p w:rsidR="3B7BAD25" w:rsidP="4369956E" w:rsidRDefault="3B7BAD25" w14:paraId="74051EF9" w14:textId="3986BC79">
      <w:pPr>
        <w:bidi w:val="0"/>
        <w:spacing w:before="240" w:beforeAutospacing="off" w:after="240" w:afterAutospacing="off"/>
        <w:jc w:val="both"/>
      </w:pPr>
      <w:r w:rsidRPr="4369956E" w:rsidR="5F1E60A1">
        <w:rPr>
          <w:rFonts w:ascii="Arial" w:hAnsi="Arial" w:eastAsia="Arial" w:cs="Arial"/>
          <w:noProof w:val="0"/>
          <w:sz w:val="24"/>
          <w:szCs w:val="24"/>
          <w:lang w:val="en-US"/>
        </w:rPr>
        <w:t>The findings of this review highlight the need for system-level policy reform to reduce pharmacist-related dispensing errors in LMICs. Pharmacists must be formally integrated into national patient safety strategies, recognising their critical role in preventing medication errors across the medicines-use process (Auta et al., 2018; Musoke et al., 2023). Strengthening regulatory oversight through standardised dispensing guidelines, enforced SOPs, and mandatory continuous professional development is essential to improve consistency and accountability in pharmacy practice.</w:t>
      </w:r>
    </w:p>
    <w:p w:rsidR="3B7BAD25" w:rsidP="4369956E" w:rsidRDefault="3B7BAD25" w14:paraId="549C9135" w14:textId="66ABFD45">
      <w:pPr>
        <w:bidi w:val="0"/>
        <w:spacing w:before="240" w:beforeAutospacing="off" w:after="240" w:afterAutospacing="off"/>
        <w:jc w:val="both"/>
      </w:pPr>
      <w:r w:rsidRPr="4369956E" w:rsidR="5F1E60A1">
        <w:rPr>
          <w:rFonts w:ascii="Arial" w:hAnsi="Arial" w:eastAsia="Arial" w:cs="Arial"/>
          <w:noProof w:val="0"/>
          <w:sz w:val="24"/>
          <w:szCs w:val="24"/>
          <w:lang w:val="en-US"/>
        </w:rPr>
        <w:t>Policymakers should prioritise investment in the pharmacy workforce by addressing chronic understaffing, inadequate remuneration, and limited supervisory support, all of which increase vulnerability to error (Saleem et al., 2021). In parallel, modernising pharmaceutical infrastructure through the adoption of digital dispensing tools, electronic prescribing, and barcode verification systems can reduce reliance on manual processes and enhance medication safety. Aligning national pharmaceutical policies with World Health Organization medication safety frameworks provides a structured, evidence-based approach to sustainable improvement.</w:t>
      </w:r>
    </w:p>
    <w:p w:rsidR="3B7BAD25" w:rsidP="4369956E" w:rsidRDefault="3B7BAD25" w14:paraId="2C159B6F" w14:textId="085B8886">
      <w:pPr>
        <w:bidi w:val="0"/>
        <w:spacing w:before="240" w:beforeAutospacing="off" w:after="240" w:afterAutospacing="off"/>
        <w:jc w:val="both"/>
      </w:pPr>
    </w:p>
    <w:p w:rsidR="3B7BAD25" w:rsidP="5B971295" w:rsidRDefault="3B7BAD25" w14:paraId="02BEB457" w14:textId="18C0C2BD">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476924354" w:id="401949581"/>
      <w:r w:rsidRPr="668EA0FB" w:rsidR="62D6C210">
        <w:rPr>
          <w:rFonts w:ascii="Arial" w:hAnsi="Arial" w:eastAsia="Arial" w:cs="Arial"/>
          <w:b w:val="0"/>
          <w:bCs w:val="0"/>
          <w:noProof w:val="0"/>
          <w:sz w:val="36"/>
          <w:szCs w:val="36"/>
          <w:lang w:val="en-US"/>
        </w:rPr>
        <w:t>6.10 Strengths and Limitations</w:t>
      </w:r>
      <w:bookmarkEnd w:id="401949581"/>
    </w:p>
    <w:p w:rsidR="3B7BAD25" w:rsidP="4369956E" w:rsidRDefault="3B7BAD25" w14:paraId="2275B3FC" w14:textId="075E7B02">
      <w:pPr>
        <w:bidi w:val="0"/>
        <w:spacing w:before="240" w:beforeAutospacing="off" w:after="240" w:afterAutospacing="off"/>
        <w:jc w:val="both"/>
      </w:pPr>
      <w:r w:rsidRPr="4369956E" w:rsidR="5F1E60A1">
        <w:rPr>
          <w:rFonts w:ascii="Arial" w:hAnsi="Arial" w:eastAsia="Arial" w:cs="Arial"/>
          <w:noProof w:val="0"/>
          <w:sz w:val="24"/>
          <w:szCs w:val="24"/>
          <w:lang w:val="en-US"/>
        </w:rPr>
        <w:t>A key strength of this systematic review is its synthesis of qualitative evidence from diverse LMIC contexts, offering rich insight into the systemic, organisational, and sociocultural factors influencing dispensing errors. This approach enabled a deeper understanding of how professional behaviour is shaped by broader structural constraints rather than individual negligence alone.</w:t>
      </w:r>
    </w:p>
    <w:p w:rsidR="3B7BAD25" w:rsidP="4369956E" w:rsidRDefault="3B7BAD25" w14:paraId="7B0B0291" w14:textId="2C6DE1CF">
      <w:pPr>
        <w:bidi w:val="0"/>
        <w:spacing w:before="240" w:beforeAutospacing="off" w:after="240" w:afterAutospacing="off"/>
        <w:jc w:val="both"/>
      </w:pPr>
      <w:r w:rsidRPr="4369956E" w:rsidR="5F1E60A1">
        <w:rPr>
          <w:rFonts w:ascii="Arial" w:hAnsi="Arial" w:eastAsia="Arial" w:cs="Arial"/>
          <w:noProof w:val="0"/>
          <w:sz w:val="24"/>
          <w:szCs w:val="24"/>
          <w:lang w:val="en-US"/>
        </w:rPr>
        <w:t>However, variability in study designs, settings, and methodological quality limits the generalisability of the findings. In addition, limited reporting on evaluated quality improvement interventions restricts conclusions regarding the effectiveness of specific strategies. Future research should focus on intervention-based and longitudinal studies to strengthen the evidence base for medication safety improvements in LMIC pharmacy practice.</w:t>
      </w:r>
    </w:p>
    <w:p w:rsidR="3B7BAD25" w:rsidP="4369956E" w:rsidRDefault="3B7BAD25" w14:paraId="68B762AC" w14:textId="4990D61B">
      <w:pPr>
        <w:bidi w:val="0"/>
        <w:spacing w:before="240" w:beforeAutospacing="off" w:after="240" w:afterAutospacing="off"/>
        <w:jc w:val="both"/>
      </w:pPr>
    </w:p>
    <w:p w:rsidR="3B7BAD25" w:rsidP="5B971295" w:rsidRDefault="3B7BAD25" w14:paraId="1DF5528B" w14:textId="08D558A4">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474623536" w:id="920838779"/>
      <w:r w:rsidRPr="668EA0FB" w:rsidR="62D6C210">
        <w:rPr>
          <w:rFonts w:ascii="Arial" w:hAnsi="Arial" w:eastAsia="Arial" w:cs="Arial"/>
          <w:b w:val="0"/>
          <w:bCs w:val="0"/>
          <w:noProof w:val="0"/>
          <w:sz w:val="36"/>
          <w:szCs w:val="36"/>
          <w:lang w:val="en-US"/>
        </w:rPr>
        <w:t>6.11 Summary</w:t>
      </w:r>
      <w:bookmarkEnd w:id="920838779"/>
    </w:p>
    <w:p w:rsidR="3B7BAD25" w:rsidP="4369956E" w:rsidRDefault="3B7BAD25" w14:paraId="6F51F8EF" w14:textId="5C906C3F">
      <w:pPr>
        <w:bidi w:val="0"/>
        <w:spacing w:before="240" w:beforeAutospacing="off" w:after="240" w:afterAutospacing="off"/>
        <w:jc w:val="both"/>
      </w:pPr>
      <w:r w:rsidRPr="5B971295" w:rsidR="62D6C210">
        <w:rPr>
          <w:rFonts w:ascii="Arial" w:hAnsi="Arial" w:eastAsia="Arial" w:cs="Arial"/>
          <w:noProof w:val="0"/>
          <w:sz w:val="24"/>
          <w:szCs w:val="24"/>
          <w:lang w:val="en-US"/>
        </w:rPr>
        <w:t>This chapter demonstrated that dispensing errors in LMIC pharmacy settings are driven by interconnected factors including inadequate training, systemic weaknesses, cultural and communication barriers, and socioeconomic constraints. Addressing these challenges requires coordinated, system-wide reform focused on strengthening professional capacity, standardising practice, fostering transparent safety cultures, and investing in supportive infrastructure. Such integrated approaches are essential for achieving meaningful and sustainable improvements in medication safety in LMICs.</w:t>
      </w:r>
    </w:p>
    <w:p w:rsidR="3B7BAD25" w:rsidP="5B971295" w:rsidRDefault="3B7BAD25" w14:paraId="77FAC034" w14:textId="6B0EBBB7">
      <w:pPr>
        <w:pStyle w:val="Normal"/>
        <w:bidi w:val="0"/>
        <w:spacing w:before="240" w:beforeAutospacing="off" w:after="240" w:afterAutospacing="off"/>
        <w:jc w:val="both"/>
        <w:rPr>
          <w:rFonts w:ascii="Arial" w:hAnsi="Arial" w:eastAsia="Arial" w:cs="Arial"/>
          <w:noProof w:val="0"/>
          <w:sz w:val="32"/>
          <w:szCs w:val="32"/>
          <w:lang w:val="en-US"/>
        </w:rPr>
      </w:pPr>
    </w:p>
    <w:p w:rsidR="3B7BAD25" w:rsidP="5B971295" w:rsidRDefault="3B7BAD25" w14:paraId="10B4BAA0" w14:textId="3F0903FF">
      <w:pPr>
        <w:pStyle w:val="Heading1"/>
        <w:bidi w:val="0"/>
        <w:rPr>
          <w:b w:val="1"/>
          <w:bCs w:val="1"/>
          <w:noProof w:val="0"/>
          <w:lang w:val="en-US"/>
        </w:rPr>
      </w:pPr>
      <w:bookmarkStart w:name="_Toc1194094043" w:id="146870771"/>
      <w:r w:rsidRPr="668EA0FB" w:rsidR="77A0995E">
        <w:rPr>
          <w:b w:val="1"/>
          <w:bCs w:val="1"/>
          <w:noProof w:val="0"/>
          <w:lang w:val="en-US"/>
        </w:rPr>
        <w:t>CHAPTER 7: CONCLUSION AND RECOMMENDATIONS</w:t>
      </w:r>
      <w:bookmarkEnd w:id="146870771"/>
      <w:r w:rsidRPr="668EA0FB" w:rsidR="77A0995E">
        <w:rPr>
          <w:b w:val="1"/>
          <w:bCs w:val="1"/>
          <w:noProof w:val="0"/>
          <w:lang w:val="en-US"/>
        </w:rPr>
        <w:t xml:space="preserve"> </w:t>
      </w:r>
    </w:p>
    <w:p w:rsidR="3B7BAD25" w:rsidP="5B971295" w:rsidRDefault="3B7BAD25" w14:paraId="4DA38868" w14:textId="50250C7E">
      <w:pPr>
        <w:pStyle w:val="Heading2"/>
        <w:bidi w:val="0"/>
        <w:rPr>
          <w:rFonts w:ascii="Arial" w:hAnsi="Arial" w:eastAsia="Arial" w:cs="Arial"/>
          <w:noProof w:val="0"/>
          <w:lang w:val="en-US"/>
        </w:rPr>
      </w:pPr>
      <w:bookmarkStart w:name="_Toc906460404" w:id="1838057382"/>
      <w:r w:rsidRPr="668EA0FB" w:rsidR="717E0A9B">
        <w:rPr>
          <w:rFonts w:ascii="Arial" w:hAnsi="Arial" w:eastAsia="Arial" w:cs="Arial"/>
          <w:noProof w:val="0"/>
          <w:lang w:val="en-US"/>
        </w:rPr>
        <w:t>7.1 Introduction</w:t>
      </w:r>
      <w:bookmarkEnd w:id="1838057382"/>
    </w:p>
    <w:p w:rsidR="5D633FD4" w:rsidP="5B971295" w:rsidRDefault="5D633FD4" w14:paraId="6618E9F0" w14:textId="48463D72">
      <w:pPr>
        <w:bidi w:val="0"/>
        <w:spacing w:before="240" w:beforeAutospacing="off" w:after="240" w:afterAutospacing="off"/>
        <w:jc w:val="both"/>
        <w:rPr>
          <w:rFonts w:ascii="Arial" w:hAnsi="Arial" w:eastAsia="Arial" w:cs="Arial"/>
          <w:b w:val="0"/>
          <w:bCs w:val="0"/>
          <w:noProof w:val="0"/>
          <w:sz w:val="24"/>
          <w:szCs w:val="24"/>
          <w:lang w:val="en-US"/>
        </w:rPr>
      </w:pPr>
      <w:r w:rsidRPr="5B971295" w:rsidR="5D633FD4">
        <w:rPr>
          <w:rFonts w:ascii="Arial" w:hAnsi="Arial" w:eastAsia="Arial" w:cs="Arial"/>
          <w:noProof w:val="0"/>
          <w:sz w:val="24"/>
          <w:szCs w:val="24"/>
          <w:lang w:val="en-US"/>
        </w:rPr>
        <w:t xml:space="preserve">This chapter presents the overall conclusions of the systematic review and </w:t>
      </w:r>
      <w:r w:rsidRPr="5B971295" w:rsidR="5D633FD4">
        <w:rPr>
          <w:rFonts w:ascii="Arial" w:hAnsi="Arial" w:eastAsia="Arial" w:cs="Arial"/>
          <w:noProof w:val="0"/>
          <w:sz w:val="24"/>
          <w:szCs w:val="24"/>
          <w:lang w:val="en-US"/>
        </w:rPr>
        <w:t>synthesises</w:t>
      </w:r>
      <w:r w:rsidRPr="5B971295" w:rsidR="5D633FD4">
        <w:rPr>
          <w:rFonts w:ascii="Arial" w:hAnsi="Arial" w:eastAsia="Arial" w:cs="Arial"/>
          <w:noProof w:val="0"/>
          <w:sz w:val="24"/>
          <w:szCs w:val="24"/>
          <w:lang w:val="en-US"/>
        </w:rPr>
        <w:t xml:space="preserve"> the key findings derived from </w:t>
      </w:r>
      <w:r w:rsidRPr="5B971295" w:rsidR="5D633FD4">
        <w:rPr>
          <w:rFonts w:ascii="Arial" w:hAnsi="Arial" w:eastAsia="Arial" w:cs="Arial"/>
          <w:noProof w:val="0"/>
          <w:sz w:val="24"/>
          <w:szCs w:val="24"/>
          <w:lang w:val="en-US"/>
        </w:rPr>
        <w:t>the thematic</w:t>
      </w:r>
      <w:r w:rsidRPr="5B971295" w:rsidR="5D633FD4">
        <w:rPr>
          <w:rFonts w:ascii="Arial" w:hAnsi="Arial" w:eastAsia="Arial" w:cs="Arial"/>
          <w:noProof w:val="0"/>
          <w:sz w:val="24"/>
          <w:szCs w:val="24"/>
          <w:lang w:val="en-US"/>
        </w:rPr>
        <w:t xml:space="preserve"> analysis and discussion. It </w:t>
      </w:r>
      <w:r w:rsidRPr="5B971295" w:rsidR="5D633FD4">
        <w:rPr>
          <w:rFonts w:ascii="Arial" w:hAnsi="Arial" w:eastAsia="Arial" w:cs="Arial"/>
          <w:noProof w:val="0"/>
          <w:sz w:val="24"/>
          <w:szCs w:val="24"/>
          <w:lang w:val="en-US"/>
        </w:rPr>
        <w:t>summarises</w:t>
      </w:r>
      <w:r w:rsidRPr="5B971295" w:rsidR="5D633FD4">
        <w:rPr>
          <w:rFonts w:ascii="Arial" w:hAnsi="Arial" w:eastAsia="Arial" w:cs="Arial"/>
          <w:noProof w:val="0"/>
          <w:sz w:val="24"/>
          <w:szCs w:val="24"/>
          <w:lang w:val="en-US"/>
        </w:rPr>
        <w:t xml:space="preserve"> the main factors contributing to pharmacist-related dispensing errors in </w:t>
      </w:r>
      <w:r w:rsidRPr="5B971295" w:rsidR="5D633FD4">
        <w:rPr>
          <w:rFonts w:ascii="Arial" w:hAnsi="Arial" w:eastAsia="Arial" w:cs="Arial"/>
          <w:b w:val="0"/>
          <w:bCs w:val="0"/>
          <w:noProof w:val="0"/>
          <w:sz w:val="24"/>
          <w:szCs w:val="24"/>
          <w:lang w:val="en-US"/>
        </w:rPr>
        <w:t>low- and middle-income countries (LMICs)</w:t>
      </w:r>
      <w:r w:rsidRPr="5B971295" w:rsidR="5D633FD4">
        <w:rPr>
          <w:rFonts w:ascii="Arial" w:hAnsi="Arial" w:eastAsia="Arial" w:cs="Arial"/>
          <w:b w:val="0"/>
          <w:bCs w:val="0"/>
          <w:noProof w:val="0"/>
          <w:sz w:val="24"/>
          <w:szCs w:val="24"/>
          <w:lang w:val="en-US"/>
        </w:rPr>
        <w:t xml:space="preserve"> and </w:t>
      </w:r>
      <w:r w:rsidRPr="5B971295" w:rsidR="5D633FD4">
        <w:rPr>
          <w:rFonts w:ascii="Arial" w:hAnsi="Arial" w:eastAsia="Arial" w:cs="Arial"/>
          <w:b w:val="0"/>
          <w:bCs w:val="0"/>
          <w:noProof w:val="0"/>
          <w:sz w:val="24"/>
          <w:szCs w:val="24"/>
          <w:lang w:val="en-US"/>
        </w:rPr>
        <w:t>reflects on</w:t>
      </w:r>
      <w:r w:rsidRPr="5B971295" w:rsidR="5D633FD4">
        <w:rPr>
          <w:rFonts w:ascii="Arial" w:hAnsi="Arial" w:eastAsia="Arial" w:cs="Arial"/>
          <w:b w:val="0"/>
          <w:bCs w:val="0"/>
          <w:noProof w:val="0"/>
          <w:sz w:val="24"/>
          <w:szCs w:val="24"/>
          <w:lang w:val="en-US"/>
        </w:rPr>
        <w:t xml:space="preserve"> the implications for pharmacy practice, policy, and future research.</w:t>
      </w:r>
    </w:p>
    <w:p w:rsidR="5D633FD4" w:rsidP="5B971295" w:rsidRDefault="5D633FD4" w14:paraId="6F874AE6" w14:textId="6AD9B519">
      <w:pPr>
        <w:bidi w:val="0"/>
        <w:spacing w:before="240" w:beforeAutospacing="off" w:after="240" w:afterAutospacing="off"/>
        <w:jc w:val="both"/>
      </w:pPr>
      <w:r w:rsidRPr="5B971295" w:rsidR="5D633FD4">
        <w:rPr>
          <w:rFonts w:ascii="Arial" w:hAnsi="Arial" w:eastAsia="Arial" w:cs="Arial"/>
          <w:noProof w:val="0"/>
          <w:sz w:val="24"/>
          <w:szCs w:val="24"/>
          <w:lang w:val="en-US"/>
        </w:rPr>
        <w:t xml:space="preserve">Building on the evidence presented in Chapters 5 and 6, this chapter </w:t>
      </w:r>
      <w:r w:rsidRPr="5B971295" w:rsidR="5D633FD4">
        <w:rPr>
          <w:rFonts w:ascii="Arial" w:hAnsi="Arial" w:eastAsia="Arial" w:cs="Arial"/>
          <w:noProof w:val="0"/>
          <w:sz w:val="24"/>
          <w:szCs w:val="24"/>
          <w:lang w:val="en-US"/>
        </w:rPr>
        <w:t>emphasises</w:t>
      </w:r>
      <w:r w:rsidRPr="5B971295" w:rsidR="5D633FD4">
        <w:rPr>
          <w:rFonts w:ascii="Arial" w:hAnsi="Arial" w:eastAsia="Arial" w:cs="Arial"/>
          <w:noProof w:val="0"/>
          <w:sz w:val="24"/>
          <w:szCs w:val="24"/>
          <w:lang w:val="en-US"/>
        </w:rPr>
        <w:t xml:space="preserve"> that dispensing errors in LMICs are not isolated incidents caused by individual negligence, but rather the result of complex interactions between system weaknesses, human factors, sociocultural influences, and structural inequalities. The chapter concludes by offering evidence-informed recommendations aimed at strengthening medication safety through sustainable quality improvement approaches. (Musoke et al., 2023; Saleem et al., 2021; Awan et al., 2020).</w:t>
      </w:r>
    </w:p>
    <w:p w:rsidR="6140A6EC" w:rsidP="5B971295" w:rsidRDefault="6140A6EC" w14:paraId="498E6E77" w14:textId="56C0DE44">
      <w:pPr>
        <w:bidi w:val="0"/>
        <w:spacing w:before="240" w:beforeAutospacing="off" w:after="240" w:afterAutospacing="off"/>
        <w:jc w:val="both"/>
        <w:rPr>
          <w:rFonts w:ascii="Arial" w:hAnsi="Arial" w:eastAsia="Arial" w:cs="Arial"/>
          <w:noProof w:val="0"/>
          <w:sz w:val="24"/>
          <w:szCs w:val="24"/>
          <w:lang w:val="en-US"/>
        </w:rPr>
      </w:pPr>
      <w:r w:rsidRPr="5B971295" w:rsidR="6140A6EC">
        <w:rPr>
          <w:rFonts w:ascii="Arial" w:hAnsi="Arial" w:eastAsia="Arial" w:cs="Arial"/>
          <w:noProof w:val="0"/>
          <w:sz w:val="24"/>
          <w:szCs w:val="24"/>
          <w:lang w:val="en-US"/>
        </w:rPr>
        <w:t xml:space="preserve"> </w:t>
      </w:r>
    </w:p>
    <w:p w:rsidR="3B7BAD25" w:rsidP="5B971295" w:rsidRDefault="3B7BAD25" w14:paraId="58FDEEC2" w14:textId="671D2077">
      <w:pPr>
        <w:pStyle w:val="Heading2"/>
        <w:rPr>
          <w:noProof w:val="0"/>
          <w:lang w:val="en-US"/>
        </w:rPr>
      </w:pPr>
      <w:bookmarkStart w:name="_Toc1324398123" w:id="2127748230"/>
      <w:r w:rsidRPr="668EA0FB" w:rsidR="717E0A9B">
        <w:rPr>
          <w:noProof w:val="0"/>
          <w:lang w:val="en-US"/>
        </w:rPr>
        <w:t>7.2 Overall Conclusion</w:t>
      </w:r>
      <w:bookmarkEnd w:id="2127748230"/>
    </w:p>
    <w:p w:rsidR="3B7BAD25" w:rsidP="057AE503" w:rsidRDefault="3B7BAD25" w14:paraId="540A8DF4" w14:textId="54C90E60">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 xml:space="preserve"> </w:t>
      </w:r>
    </w:p>
    <w:p w:rsidR="3B7BAD25" w:rsidP="057AE503" w:rsidRDefault="3B7BAD25" w14:paraId="0ECE6088" w14:textId="4045ADBE">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This systematic review concludes that dispensing errors in LMICs arise from a combination of knowledge deficits, organisational weaknesses, sociocultural pressures, communication challenges, and socioeconomic constraints. The evidence demonstrates that pharmacists often work with limited resources, under high workload, and with inconsistent access to professional development, contributing to unsafe dispensing behaviours (Kifle et al., 2021; Yousaf et al., 2022).</w:t>
      </w:r>
    </w:p>
    <w:p w:rsidR="3B7BAD25" w:rsidP="057AE503" w:rsidRDefault="3B7BAD25" w14:paraId="5B3C2F27" w14:textId="078786ED">
      <w:pPr>
        <w:pStyle w:val="Normal"/>
        <w:bidi w:val="0"/>
        <w:spacing w:before="240" w:beforeAutospacing="off" w:after="240" w:afterAutospacing="off"/>
        <w:jc w:val="both"/>
      </w:pPr>
      <w:r w:rsidRPr="5B971295" w:rsidR="5AECAF1A">
        <w:rPr>
          <w:rFonts w:ascii="Arial" w:hAnsi="Arial" w:eastAsia="Arial" w:cs="Arial"/>
          <w:noProof w:val="0"/>
          <w:sz w:val="24"/>
          <w:szCs w:val="24"/>
          <w:lang w:val="en-US"/>
        </w:rPr>
        <w:t>Organisational</w:t>
      </w:r>
      <w:r w:rsidRPr="5B971295" w:rsidR="5AECAF1A">
        <w:rPr>
          <w:rFonts w:ascii="Arial" w:hAnsi="Arial" w:eastAsia="Arial" w:cs="Arial"/>
          <w:noProof w:val="0"/>
          <w:sz w:val="24"/>
          <w:szCs w:val="24"/>
          <w:lang w:val="en-US"/>
        </w:rPr>
        <w:t xml:space="preserve"> deficiencies</w:t>
      </w:r>
      <w:r w:rsidRPr="5B971295" w:rsidR="315B7B66">
        <w:rPr>
          <w:rFonts w:ascii="Arial" w:hAnsi="Arial" w:eastAsia="Arial" w:cs="Arial"/>
          <w:noProof w:val="0"/>
          <w:sz w:val="24"/>
          <w:szCs w:val="24"/>
          <w:lang w:val="en-US"/>
        </w:rPr>
        <w:t xml:space="preserve"> </w:t>
      </w:r>
      <w:r w:rsidRPr="5B971295" w:rsidR="5AECAF1A">
        <w:rPr>
          <w:rFonts w:ascii="Arial" w:hAnsi="Arial" w:eastAsia="Arial" w:cs="Arial"/>
          <w:noProof w:val="0"/>
          <w:sz w:val="24"/>
          <w:szCs w:val="24"/>
          <w:lang w:val="en-US"/>
        </w:rPr>
        <w:t>such as unclear prescriptions, absence of SOPs, weak supervision, and fragmented interprofessional communication</w:t>
      </w:r>
      <w:r w:rsidRPr="5B971295" w:rsidR="3D775D17">
        <w:rPr>
          <w:rFonts w:ascii="Arial" w:hAnsi="Arial" w:eastAsia="Arial" w:cs="Arial"/>
          <w:noProof w:val="0"/>
          <w:sz w:val="24"/>
          <w:szCs w:val="24"/>
          <w:lang w:val="en-US"/>
        </w:rPr>
        <w:t xml:space="preserve"> </w:t>
      </w:r>
      <w:r w:rsidRPr="5B971295" w:rsidR="5AECAF1A">
        <w:rPr>
          <w:rFonts w:ascii="Arial" w:hAnsi="Arial" w:eastAsia="Arial" w:cs="Arial"/>
          <w:noProof w:val="0"/>
          <w:sz w:val="24"/>
          <w:szCs w:val="24"/>
          <w:lang w:val="en-US"/>
        </w:rPr>
        <w:t xml:space="preserve">were shown to significantly increase error likelihood (Awan et al., 2020; Saleem et al., 2021). Sociocultural factors, including patient pressure and fear of blame, further discourage transparency and inhibit error reporting (Musoke et al., 2023). Language barriers and low health literacy </w:t>
      </w:r>
      <w:r w:rsidRPr="5B971295" w:rsidR="5AECAF1A">
        <w:rPr>
          <w:rFonts w:ascii="Arial" w:hAnsi="Arial" w:eastAsia="Arial" w:cs="Arial"/>
          <w:noProof w:val="0"/>
          <w:sz w:val="24"/>
          <w:szCs w:val="24"/>
          <w:lang w:val="en-US"/>
        </w:rPr>
        <w:t>emerged</w:t>
      </w:r>
      <w:r w:rsidRPr="5B971295" w:rsidR="5AECAF1A">
        <w:rPr>
          <w:rFonts w:ascii="Arial" w:hAnsi="Arial" w:eastAsia="Arial" w:cs="Arial"/>
          <w:noProof w:val="0"/>
          <w:sz w:val="24"/>
          <w:szCs w:val="24"/>
          <w:lang w:val="en-US"/>
        </w:rPr>
        <w:t xml:space="preserve"> as major obstacles to </w:t>
      </w:r>
      <w:r w:rsidRPr="5B971295" w:rsidR="5AECAF1A">
        <w:rPr>
          <w:rFonts w:ascii="Arial" w:hAnsi="Arial" w:eastAsia="Arial" w:cs="Arial"/>
          <w:noProof w:val="0"/>
          <w:sz w:val="24"/>
          <w:szCs w:val="24"/>
          <w:lang w:val="en-US"/>
        </w:rPr>
        <w:t>accurate</w:t>
      </w:r>
      <w:r w:rsidRPr="5B971295" w:rsidR="5AECAF1A">
        <w:rPr>
          <w:rFonts w:ascii="Arial" w:hAnsi="Arial" w:eastAsia="Arial" w:cs="Arial"/>
          <w:noProof w:val="0"/>
          <w:sz w:val="24"/>
          <w:szCs w:val="24"/>
          <w:lang w:val="en-US"/>
        </w:rPr>
        <w:t xml:space="preserve"> medication counselling (</w:t>
      </w:r>
      <w:r w:rsidRPr="5B971295" w:rsidR="5AECAF1A">
        <w:rPr>
          <w:rFonts w:ascii="Arial" w:hAnsi="Arial" w:eastAsia="Arial" w:cs="Arial"/>
          <w:noProof w:val="0"/>
          <w:sz w:val="24"/>
          <w:szCs w:val="24"/>
          <w:lang w:val="en-US"/>
        </w:rPr>
        <w:t>Kibira</w:t>
      </w:r>
      <w:r w:rsidRPr="5B971295" w:rsidR="5AECAF1A">
        <w:rPr>
          <w:rFonts w:ascii="Arial" w:hAnsi="Arial" w:eastAsia="Arial" w:cs="Arial"/>
          <w:noProof w:val="0"/>
          <w:sz w:val="24"/>
          <w:szCs w:val="24"/>
          <w:lang w:val="en-US"/>
        </w:rPr>
        <w:t xml:space="preserve"> et al., 2020; Saleem et al., 2021).</w:t>
      </w:r>
    </w:p>
    <w:p w:rsidR="3B7BAD25" w:rsidP="057AE503" w:rsidRDefault="3B7BAD25" w14:paraId="5A505515" w14:textId="7F1F4817">
      <w:pPr>
        <w:pStyle w:val="Normal"/>
        <w:bidi w:val="0"/>
        <w:spacing w:before="240" w:beforeAutospacing="off" w:after="240" w:afterAutospacing="off"/>
        <w:jc w:val="both"/>
      </w:pPr>
      <w:r w:rsidRPr="4369956E" w:rsidR="3964B8A6">
        <w:rPr>
          <w:rFonts w:ascii="Arial" w:hAnsi="Arial" w:eastAsia="Arial" w:cs="Arial"/>
          <w:noProof w:val="0"/>
          <w:sz w:val="24"/>
          <w:szCs w:val="24"/>
          <w:lang w:val="en-US"/>
        </w:rPr>
        <w:t xml:space="preserve">Socioeconomic constraints, such as poverty, supply chain instability, and counterfeit medicines, particularly in rural areas, severely </w:t>
      </w:r>
      <w:r w:rsidRPr="4369956E" w:rsidR="3964B8A6">
        <w:rPr>
          <w:rFonts w:ascii="Arial" w:hAnsi="Arial" w:eastAsia="Arial" w:cs="Arial"/>
          <w:noProof w:val="0"/>
          <w:sz w:val="24"/>
          <w:szCs w:val="24"/>
          <w:lang w:val="en-US"/>
        </w:rPr>
        <w:t>impact</w:t>
      </w:r>
      <w:r w:rsidRPr="4369956E" w:rsidR="3964B8A6">
        <w:rPr>
          <w:rFonts w:ascii="Arial" w:hAnsi="Arial" w:eastAsia="Arial" w:cs="Arial"/>
          <w:noProof w:val="0"/>
          <w:sz w:val="24"/>
          <w:szCs w:val="24"/>
          <w:lang w:val="en-US"/>
        </w:rPr>
        <w:t xml:space="preserve"> safe dispensing practices (Nsimba, 2019). Despite these challenges, the review </w:t>
      </w:r>
      <w:r w:rsidRPr="4369956E" w:rsidR="3964B8A6">
        <w:rPr>
          <w:rFonts w:ascii="Arial" w:hAnsi="Arial" w:eastAsia="Arial" w:cs="Arial"/>
          <w:noProof w:val="0"/>
          <w:sz w:val="24"/>
          <w:szCs w:val="24"/>
          <w:lang w:val="en-US"/>
        </w:rPr>
        <w:t>identified</w:t>
      </w:r>
      <w:r w:rsidRPr="4369956E" w:rsidR="3964B8A6">
        <w:rPr>
          <w:rFonts w:ascii="Arial" w:hAnsi="Arial" w:eastAsia="Arial" w:cs="Arial"/>
          <w:noProof w:val="0"/>
          <w:sz w:val="24"/>
          <w:szCs w:val="24"/>
          <w:lang w:val="en-US"/>
        </w:rPr>
        <w:t xml:space="preserve"> promising opportunities for improvement through structured CPD, digital tools, </w:t>
      </w:r>
      <w:r w:rsidRPr="4369956E" w:rsidR="3964B8A6">
        <w:rPr>
          <w:rFonts w:ascii="Arial" w:hAnsi="Arial" w:eastAsia="Arial" w:cs="Arial"/>
          <w:noProof w:val="0"/>
          <w:sz w:val="24"/>
          <w:szCs w:val="24"/>
          <w:lang w:val="en-US"/>
        </w:rPr>
        <w:t>standardised</w:t>
      </w:r>
      <w:r w:rsidRPr="4369956E" w:rsidR="3964B8A6">
        <w:rPr>
          <w:rFonts w:ascii="Arial" w:hAnsi="Arial" w:eastAsia="Arial" w:cs="Arial"/>
          <w:noProof w:val="0"/>
          <w:sz w:val="24"/>
          <w:szCs w:val="24"/>
          <w:lang w:val="en-US"/>
        </w:rPr>
        <w:t xml:space="preserve"> protocols, and the establishment of a non-punitive safety culture.</w:t>
      </w:r>
    </w:p>
    <w:p w:rsidR="3B7BAD25" w:rsidP="057AE503" w:rsidRDefault="3B7BAD25" w14:paraId="7E4A8E5A" w14:textId="11EAB3C6">
      <w:pPr>
        <w:pStyle w:val="Normal"/>
        <w:bidi w:val="0"/>
        <w:spacing w:before="240" w:beforeAutospacing="off" w:after="240" w:afterAutospacing="off"/>
        <w:jc w:val="both"/>
      </w:pPr>
      <w:r w:rsidRPr="5B971295" w:rsidR="717E0A9B">
        <w:rPr>
          <w:rFonts w:ascii="Arial" w:hAnsi="Arial" w:eastAsia="Arial" w:cs="Arial"/>
          <w:noProof w:val="0"/>
          <w:sz w:val="24"/>
          <w:szCs w:val="24"/>
          <w:lang w:val="en-US"/>
        </w:rPr>
        <w:t xml:space="preserve">Overall, the conclusion </w:t>
      </w:r>
      <w:r w:rsidRPr="5B971295" w:rsidR="717E0A9B">
        <w:rPr>
          <w:rFonts w:ascii="Arial" w:hAnsi="Arial" w:eastAsia="Arial" w:cs="Arial"/>
          <w:noProof w:val="0"/>
          <w:sz w:val="24"/>
          <w:szCs w:val="24"/>
          <w:lang w:val="en-US"/>
        </w:rPr>
        <w:t>emphasises</w:t>
      </w:r>
      <w:r w:rsidRPr="5B971295" w:rsidR="717E0A9B">
        <w:rPr>
          <w:rFonts w:ascii="Arial" w:hAnsi="Arial" w:eastAsia="Arial" w:cs="Arial"/>
          <w:noProof w:val="0"/>
          <w:sz w:val="24"/>
          <w:szCs w:val="24"/>
          <w:lang w:val="en-US"/>
        </w:rPr>
        <w:t xml:space="preserve"> that reducing dispensing errors requires system-level transformation, adequate workforce investment, and the strengthening of pharmacy governance frameworks.</w:t>
      </w:r>
    </w:p>
    <w:p w:rsidR="5B971295" w:rsidP="5B971295" w:rsidRDefault="5B971295" w14:paraId="779E069C" w14:textId="047B0614">
      <w:pPr>
        <w:pStyle w:val="Normal"/>
        <w:bidi w:val="0"/>
        <w:spacing w:before="240" w:beforeAutospacing="off" w:after="240" w:afterAutospacing="off"/>
        <w:jc w:val="both"/>
        <w:rPr>
          <w:rFonts w:ascii="Arial" w:hAnsi="Arial" w:eastAsia="Arial" w:cs="Arial"/>
          <w:noProof w:val="0"/>
          <w:sz w:val="24"/>
          <w:szCs w:val="24"/>
          <w:lang w:val="en-US"/>
        </w:rPr>
      </w:pPr>
    </w:p>
    <w:p w:rsidR="3B7BAD25" w:rsidP="5B971295" w:rsidRDefault="3B7BAD25" w14:paraId="623CC38E" w14:textId="1733BB76">
      <w:pPr>
        <w:pStyle w:val="Heading2"/>
        <w:rPr>
          <w:noProof w:val="0"/>
          <w:lang w:val="en-US"/>
        </w:rPr>
      </w:pPr>
      <w:bookmarkStart w:name="_Toc1355316683" w:id="385773938"/>
      <w:r w:rsidRPr="668EA0FB" w:rsidR="717E0A9B">
        <w:rPr>
          <w:noProof w:val="0"/>
          <w:lang w:val="en-US"/>
        </w:rPr>
        <w:t>7.3 Summary Table of Themes, Issues, and Actions</w:t>
      </w:r>
      <w:bookmarkEnd w:id="385773938"/>
    </w:p>
    <w:p w:rsidR="3B7BAD25" w:rsidP="5B971295" w:rsidRDefault="3B7BAD25" w14:paraId="2F14CB81" w14:textId="592C93E1">
      <w:pPr>
        <w:pStyle w:val="Heading2"/>
      </w:pPr>
      <w:r w:rsidRPr="5B971295" w:rsidR="717E0A9B">
        <w:rPr>
          <w:noProof w:val="0"/>
          <w:lang w:val="en-US"/>
        </w:rPr>
        <w:t xml:space="preserve"> </w:t>
      </w:r>
    </w:p>
    <w:p w:rsidR="3B7BAD25" w:rsidP="668EA0FB" w:rsidRDefault="3B7BAD25" w14:paraId="7F893104" w14:textId="2BB9D952">
      <w:pPr>
        <w:pStyle w:val="Heading3"/>
        <w:rPr>
          <w:noProof w:val="0"/>
          <w:lang w:val="en-US"/>
        </w:rPr>
      </w:pPr>
      <w:bookmarkStart w:name="_Toc394578084" w:id="1832803032"/>
      <w:r w:rsidRPr="668EA0FB" w:rsidR="717E0A9B">
        <w:rPr>
          <w:noProof w:val="0"/>
          <w:lang w:val="en-US"/>
        </w:rPr>
        <w:t>Table 7.</w:t>
      </w:r>
      <w:r w:rsidRPr="668EA0FB" w:rsidR="5551B981">
        <w:rPr>
          <w:noProof w:val="0"/>
          <w:lang w:val="en-US"/>
        </w:rPr>
        <w:t>3.</w:t>
      </w:r>
      <w:r w:rsidRPr="668EA0FB" w:rsidR="717E0A9B">
        <w:rPr>
          <w:noProof w:val="0"/>
          <w:lang w:val="en-US"/>
        </w:rPr>
        <w:t>1: Summary of Themes, Key Issues, and Recommended Improvement Actions</w:t>
      </w:r>
      <w:bookmarkEnd w:id="1832803032"/>
    </w:p>
    <w:p w:rsidR="3B7BAD25" w:rsidP="057AE503" w:rsidRDefault="3B7BAD25" w14:paraId="21E6E83A" w14:textId="07BD055E">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 xml:space="preserve"> </w:t>
      </w:r>
    </w:p>
    <w:tbl>
      <w:tblPr>
        <w:tblStyle w:val="TableGrid"/>
        <w:bidiVisual w:val="0"/>
        <w:tblW w:w="0" w:type="auto"/>
        <w:tblLook w:val="06A0" w:firstRow="1" w:lastRow="0" w:firstColumn="1" w:lastColumn="0" w:noHBand="1" w:noVBand="1"/>
      </w:tblPr>
      <w:tblGrid>
        <w:gridCol w:w="2340"/>
        <w:gridCol w:w="2340"/>
        <w:gridCol w:w="2340"/>
        <w:gridCol w:w="2340"/>
      </w:tblGrid>
      <w:tr w:rsidR="407E75B8" w:rsidTr="407E75B8" w14:paraId="233C4F39">
        <w:trPr>
          <w:trHeight w:val="300"/>
        </w:trPr>
        <w:tc>
          <w:tcPr>
            <w:tcW w:w="2340" w:type="dxa"/>
            <w:tcMar/>
          </w:tcPr>
          <w:p w:rsidR="6C4AF6EA" w:rsidP="407E75B8" w:rsidRDefault="6C4AF6EA" w14:paraId="1CEBDD94" w14:textId="561CC712">
            <w:pPr>
              <w:pStyle w:val="Normal"/>
              <w:bidi w:val="0"/>
              <w:jc w:val="both"/>
              <w:rPr>
                <w:rFonts w:ascii="Arial" w:hAnsi="Arial" w:eastAsia="Arial" w:cs="Arial"/>
                <w:noProof w:val="0"/>
                <w:sz w:val="24"/>
                <w:szCs w:val="24"/>
                <w:lang w:val="en-US"/>
              </w:rPr>
            </w:pPr>
            <w:r w:rsidRPr="407E75B8" w:rsidR="6C4AF6EA">
              <w:rPr>
                <w:rFonts w:ascii="Arial" w:hAnsi="Arial" w:eastAsia="Arial" w:cs="Arial"/>
                <w:noProof w:val="0"/>
                <w:sz w:val="24"/>
                <w:szCs w:val="24"/>
                <w:lang w:val="en-US"/>
              </w:rPr>
              <w:t xml:space="preserve">Themes </w:t>
            </w:r>
          </w:p>
        </w:tc>
        <w:tc>
          <w:tcPr>
            <w:tcW w:w="2340" w:type="dxa"/>
            <w:tcMar/>
          </w:tcPr>
          <w:p w:rsidR="6C4AF6EA" w:rsidP="407E75B8" w:rsidRDefault="6C4AF6EA" w14:paraId="5A56CF4B" w14:textId="6F60F568">
            <w:pPr>
              <w:pStyle w:val="Normal"/>
              <w:bidi w:val="0"/>
              <w:jc w:val="both"/>
              <w:rPr>
                <w:rFonts w:ascii="Arial" w:hAnsi="Arial" w:eastAsia="Arial" w:cs="Arial"/>
                <w:noProof w:val="0"/>
                <w:sz w:val="24"/>
                <w:szCs w:val="24"/>
                <w:lang w:val="en-US"/>
              </w:rPr>
            </w:pPr>
            <w:r w:rsidRPr="407E75B8" w:rsidR="6C4AF6EA">
              <w:rPr>
                <w:rFonts w:ascii="Arial" w:hAnsi="Arial" w:eastAsia="Arial" w:cs="Arial"/>
                <w:noProof w:val="0"/>
                <w:sz w:val="24"/>
                <w:szCs w:val="24"/>
                <w:lang w:val="en-US"/>
              </w:rPr>
              <w:t xml:space="preserve">Key </w:t>
            </w:r>
            <w:r w:rsidRPr="407E75B8" w:rsidR="6C4AF6EA">
              <w:rPr>
                <w:rFonts w:ascii="Arial" w:hAnsi="Arial" w:eastAsia="Arial" w:cs="Arial"/>
                <w:noProof w:val="0"/>
                <w:sz w:val="24"/>
                <w:szCs w:val="24"/>
                <w:lang w:val="en-US"/>
              </w:rPr>
              <w:t>issues?Subthemes</w:t>
            </w:r>
            <w:r w:rsidRPr="407E75B8" w:rsidR="6C4AF6EA">
              <w:rPr>
                <w:rFonts w:ascii="Arial" w:hAnsi="Arial" w:eastAsia="Arial" w:cs="Arial"/>
                <w:noProof w:val="0"/>
                <w:sz w:val="24"/>
                <w:szCs w:val="24"/>
                <w:lang w:val="en-US"/>
              </w:rPr>
              <w:t>.</w:t>
            </w:r>
          </w:p>
        </w:tc>
        <w:tc>
          <w:tcPr>
            <w:tcW w:w="2340" w:type="dxa"/>
            <w:tcMar/>
          </w:tcPr>
          <w:p w:rsidR="4FA23535" w:rsidP="407E75B8" w:rsidRDefault="4FA23535" w14:paraId="45A7EB2E" w14:textId="4182803A">
            <w:pPr>
              <w:pStyle w:val="Normal"/>
              <w:bidi w:val="0"/>
              <w:jc w:val="both"/>
              <w:rPr>
                <w:rFonts w:ascii="Arial" w:hAnsi="Arial" w:eastAsia="Arial" w:cs="Arial"/>
                <w:noProof w:val="0"/>
                <w:sz w:val="24"/>
                <w:szCs w:val="24"/>
                <w:lang w:val="en-US"/>
              </w:rPr>
            </w:pPr>
            <w:r w:rsidRPr="407E75B8" w:rsidR="4FA23535">
              <w:rPr>
                <w:rFonts w:ascii="Arial" w:hAnsi="Arial" w:eastAsia="Arial" w:cs="Arial"/>
                <w:noProof w:val="0"/>
                <w:sz w:val="24"/>
                <w:szCs w:val="24"/>
                <w:lang w:val="en-US"/>
              </w:rPr>
              <w:t>Implications</w:t>
            </w:r>
          </w:p>
        </w:tc>
        <w:tc>
          <w:tcPr>
            <w:tcW w:w="2340" w:type="dxa"/>
            <w:tcMar/>
          </w:tcPr>
          <w:p w:rsidR="101A5F60" w:rsidP="407E75B8" w:rsidRDefault="101A5F60" w14:paraId="058AB156" w14:textId="68BBC514">
            <w:pPr>
              <w:pStyle w:val="Normal"/>
              <w:bidi w:val="0"/>
              <w:jc w:val="both"/>
              <w:rPr>
                <w:rFonts w:ascii="Arial" w:hAnsi="Arial" w:eastAsia="Arial" w:cs="Arial"/>
                <w:noProof w:val="0"/>
                <w:sz w:val="24"/>
                <w:szCs w:val="24"/>
                <w:lang w:val="en-US"/>
              </w:rPr>
            </w:pPr>
            <w:r w:rsidRPr="407E75B8" w:rsidR="101A5F60">
              <w:rPr>
                <w:rFonts w:ascii="Arial" w:hAnsi="Arial" w:eastAsia="Arial" w:cs="Arial"/>
                <w:noProof w:val="0"/>
                <w:sz w:val="24"/>
                <w:szCs w:val="24"/>
                <w:lang w:val="en-US"/>
              </w:rPr>
              <w:t>Recommended</w:t>
            </w:r>
            <w:r w:rsidRPr="407E75B8" w:rsidR="4FA23535">
              <w:rPr>
                <w:rFonts w:ascii="Arial" w:hAnsi="Arial" w:eastAsia="Arial" w:cs="Arial"/>
                <w:noProof w:val="0"/>
                <w:sz w:val="24"/>
                <w:szCs w:val="24"/>
                <w:lang w:val="en-US"/>
              </w:rPr>
              <w:t xml:space="preserve"> Actions</w:t>
            </w:r>
          </w:p>
        </w:tc>
      </w:tr>
      <w:tr w:rsidR="407E75B8" w:rsidTr="407E75B8" w14:paraId="38E134FF">
        <w:trPr>
          <w:trHeight w:val="300"/>
        </w:trPr>
        <w:tc>
          <w:tcPr>
            <w:tcW w:w="2340" w:type="dxa"/>
            <w:tcMar/>
          </w:tcPr>
          <w:p w:rsidR="5E02D048" w:rsidP="407E75B8" w:rsidRDefault="5E02D048" w14:paraId="62C2F146" w14:textId="589B4C3A">
            <w:pPr>
              <w:pStyle w:val="Normal"/>
              <w:bidi w:val="0"/>
              <w:jc w:val="both"/>
              <w:rPr>
                <w:rFonts w:ascii="Arial" w:hAnsi="Arial" w:eastAsia="Arial" w:cs="Arial"/>
                <w:noProof w:val="0"/>
                <w:sz w:val="24"/>
                <w:szCs w:val="24"/>
                <w:lang w:val="en-US"/>
              </w:rPr>
            </w:pPr>
            <w:r w:rsidRPr="407E75B8" w:rsidR="5E02D048">
              <w:rPr>
                <w:rFonts w:ascii="Arial" w:hAnsi="Arial" w:eastAsia="Arial" w:cs="Arial"/>
                <w:noProof w:val="0"/>
                <w:sz w:val="24"/>
                <w:szCs w:val="24"/>
                <w:lang w:val="en-US"/>
              </w:rPr>
              <w:t>Knowledge Gaps &amp; Training Deficiencies</w:t>
            </w:r>
          </w:p>
        </w:tc>
        <w:tc>
          <w:tcPr>
            <w:tcW w:w="2340" w:type="dxa"/>
            <w:tcMar/>
          </w:tcPr>
          <w:p w:rsidR="04802217" w:rsidP="407E75B8" w:rsidRDefault="04802217" w14:paraId="458AC945" w14:textId="0C533D65">
            <w:pPr>
              <w:pStyle w:val="Normal"/>
              <w:bidi w:val="0"/>
              <w:jc w:val="both"/>
              <w:rPr>
                <w:rFonts w:ascii="Arial" w:hAnsi="Arial" w:eastAsia="Arial" w:cs="Arial"/>
                <w:noProof w:val="0"/>
                <w:sz w:val="24"/>
                <w:szCs w:val="24"/>
                <w:lang w:val="en-US"/>
              </w:rPr>
            </w:pPr>
            <w:r w:rsidRPr="407E75B8" w:rsidR="04802217">
              <w:rPr>
                <w:rFonts w:ascii="Arial" w:hAnsi="Arial" w:eastAsia="Arial" w:cs="Arial"/>
                <w:noProof w:val="0"/>
                <w:sz w:val="24"/>
                <w:szCs w:val="24"/>
                <w:lang w:val="en-US"/>
              </w:rPr>
              <w:t>Insufficient pharmacology knowledge; lack of CPD; limited practical training (Saleem et al., 2021; Musoke et al., 2023)</w:t>
            </w:r>
          </w:p>
        </w:tc>
        <w:tc>
          <w:tcPr>
            <w:tcW w:w="2340" w:type="dxa"/>
            <w:tcMar/>
          </w:tcPr>
          <w:p w:rsidR="5AE0AA23" w:rsidP="407E75B8" w:rsidRDefault="5AE0AA23" w14:paraId="2DA76E16" w14:textId="3C6F438D">
            <w:pPr>
              <w:pStyle w:val="Normal"/>
              <w:bidi w:val="0"/>
              <w:jc w:val="both"/>
              <w:rPr>
                <w:rFonts w:ascii="Arial" w:hAnsi="Arial" w:eastAsia="Arial" w:cs="Arial"/>
                <w:noProof w:val="0"/>
                <w:sz w:val="24"/>
                <w:szCs w:val="24"/>
                <w:lang w:val="en-US"/>
              </w:rPr>
            </w:pPr>
            <w:r w:rsidRPr="407E75B8" w:rsidR="5AE0AA23">
              <w:rPr>
                <w:rFonts w:ascii="Arial" w:hAnsi="Arial" w:eastAsia="Arial" w:cs="Arial"/>
                <w:noProof w:val="0"/>
                <w:sz w:val="24"/>
                <w:szCs w:val="24"/>
                <w:lang w:val="en-US"/>
              </w:rPr>
              <w:t>Reduced competence; inability to detect unsafe prescriptions</w:t>
            </w:r>
          </w:p>
        </w:tc>
        <w:tc>
          <w:tcPr>
            <w:tcW w:w="2340" w:type="dxa"/>
            <w:tcMar/>
          </w:tcPr>
          <w:p w:rsidR="54B2BACD" w:rsidP="407E75B8" w:rsidRDefault="54B2BACD" w14:paraId="341692B9" w14:textId="19768BEE">
            <w:pPr>
              <w:pStyle w:val="Normal"/>
              <w:bidi w:val="0"/>
              <w:jc w:val="both"/>
              <w:rPr>
                <w:rFonts w:ascii="Arial" w:hAnsi="Arial" w:eastAsia="Arial" w:cs="Arial"/>
                <w:noProof w:val="0"/>
                <w:sz w:val="24"/>
                <w:szCs w:val="24"/>
                <w:lang w:val="en-US"/>
              </w:rPr>
            </w:pPr>
            <w:r w:rsidRPr="407E75B8" w:rsidR="54B2BACD">
              <w:rPr>
                <w:rFonts w:ascii="Arial" w:hAnsi="Arial" w:eastAsia="Arial" w:cs="Arial"/>
                <w:noProof w:val="0"/>
                <w:sz w:val="24"/>
                <w:szCs w:val="24"/>
                <w:lang w:val="en-US"/>
              </w:rPr>
              <w:t>Mandatory CPD, simulation training, competency assessments</w:t>
            </w:r>
          </w:p>
        </w:tc>
      </w:tr>
      <w:tr w:rsidR="407E75B8" w:rsidTr="407E75B8" w14:paraId="549AF89E">
        <w:trPr>
          <w:trHeight w:val="300"/>
        </w:trPr>
        <w:tc>
          <w:tcPr>
            <w:tcW w:w="2340" w:type="dxa"/>
            <w:tcMar/>
          </w:tcPr>
          <w:p w:rsidR="5E02D048" w:rsidP="407E75B8" w:rsidRDefault="5E02D048" w14:paraId="2E011870" w14:textId="7DC9D153">
            <w:pPr>
              <w:pStyle w:val="Normal"/>
              <w:bidi w:val="0"/>
              <w:jc w:val="both"/>
              <w:rPr>
                <w:rFonts w:ascii="Arial" w:hAnsi="Arial" w:eastAsia="Arial" w:cs="Arial"/>
                <w:noProof w:val="0"/>
                <w:sz w:val="24"/>
                <w:szCs w:val="24"/>
                <w:lang w:val="en-US"/>
              </w:rPr>
            </w:pPr>
            <w:r w:rsidRPr="407E75B8" w:rsidR="5E02D048">
              <w:rPr>
                <w:rFonts w:ascii="Arial" w:hAnsi="Arial" w:eastAsia="Arial" w:cs="Arial"/>
                <w:noProof w:val="0"/>
                <w:sz w:val="24"/>
                <w:szCs w:val="24"/>
                <w:lang w:val="en-US"/>
              </w:rPr>
              <w:t>systemic</w:t>
            </w:r>
            <w:r w:rsidRPr="407E75B8" w:rsidR="5E02D048">
              <w:rPr>
                <w:rFonts w:ascii="Arial" w:hAnsi="Arial" w:eastAsia="Arial" w:cs="Arial"/>
                <w:noProof w:val="0"/>
                <w:sz w:val="24"/>
                <w:szCs w:val="24"/>
                <w:lang w:val="en-US"/>
              </w:rPr>
              <w:t xml:space="preserve"> &amp; </w:t>
            </w:r>
            <w:r w:rsidRPr="407E75B8" w:rsidR="5E02D048">
              <w:rPr>
                <w:rFonts w:ascii="Arial" w:hAnsi="Arial" w:eastAsia="Arial" w:cs="Arial"/>
                <w:noProof w:val="0"/>
                <w:sz w:val="24"/>
                <w:szCs w:val="24"/>
                <w:lang w:val="en-US"/>
              </w:rPr>
              <w:t>Organisational</w:t>
            </w:r>
            <w:r w:rsidRPr="407E75B8" w:rsidR="5E02D048">
              <w:rPr>
                <w:rFonts w:ascii="Arial" w:hAnsi="Arial" w:eastAsia="Arial" w:cs="Arial"/>
                <w:noProof w:val="0"/>
                <w:sz w:val="24"/>
                <w:szCs w:val="24"/>
                <w:lang w:val="en-US"/>
              </w:rPr>
              <w:t xml:space="preserve"> Barriers</w:t>
            </w:r>
          </w:p>
        </w:tc>
        <w:tc>
          <w:tcPr>
            <w:tcW w:w="2340" w:type="dxa"/>
            <w:tcMar/>
          </w:tcPr>
          <w:p w:rsidR="1002A4D7" w:rsidP="407E75B8" w:rsidRDefault="1002A4D7" w14:paraId="6C98D8ED" w14:textId="0D37E41F">
            <w:pPr>
              <w:pStyle w:val="Normal"/>
              <w:bidi w:val="0"/>
              <w:jc w:val="both"/>
              <w:rPr>
                <w:rFonts w:ascii="Arial" w:hAnsi="Arial" w:eastAsia="Arial" w:cs="Arial"/>
                <w:noProof w:val="0"/>
                <w:sz w:val="24"/>
                <w:szCs w:val="24"/>
                <w:lang w:val="en-US"/>
              </w:rPr>
            </w:pPr>
            <w:r w:rsidRPr="407E75B8" w:rsidR="1002A4D7">
              <w:rPr>
                <w:rFonts w:ascii="Arial" w:hAnsi="Arial" w:eastAsia="Arial" w:cs="Arial"/>
                <w:noProof w:val="0"/>
                <w:sz w:val="24"/>
                <w:szCs w:val="24"/>
                <w:lang w:val="en-US"/>
              </w:rPr>
              <w:t>High workload; unclear prescriptions; weak SOPs; limited supervision (Awan et al., 2020)</w:t>
            </w:r>
          </w:p>
        </w:tc>
        <w:tc>
          <w:tcPr>
            <w:tcW w:w="2340" w:type="dxa"/>
            <w:tcMar/>
          </w:tcPr>
          <w:p w:rsidR="14C3341E" w:rsidP="407E75B8" w:rsidRDefault="14C3341E" w14:paraId="05159890" w14:textId="2941A3E4">
            <w:pPr>
              <w:pStyle w:val="Normal"/>
              <w:bidi w:val="0"/>
              <w:jc w:val="both"/>
              <w:rPr>
                <w:rFonts w:ascii="Arial" w:hAnsi="Arial" w:eastAsia="Arial" w:cs="Arial"/>
                <w:noProof w:val="0"/>
                <w:sz w:val="24"/>
                <w:szCs w:val="24"/>
                <w:lang w:val="en-US"/>
              </w:rPr>
            </w:pPr>
            <w:r w:rsidRPr="407E75B8" w:rsidR="14C3341E">
              <w:rPr>
                <w:rFonts w:ascii="Arial" w:hAnsi="Arial" w:eastAsia="Arial" w:cs="Arial"/>
                <w:noProof w:val="0"/>
                <w:sz w:val="24"/>
                <w:szCs w:val="24"/>
                <w:lang w:val="en-US"/>
              </w:rPr>
              <w:t>Increased dispensing variability; reliance on assumptions</w:t>
            </w:r>
          </w:p>
        </w:tc>
        <w:tc>
          <w:tcPr>
            <w:tcW w:w="2340" w:type="dxa"/>
            <w:tcMar/>
          </w:tcPr>
          <w:p w:rsidR="42C04866" w:rsidP="407E75B8" w:rsidRDefault="42C04866" w14:paraId="3CD288AB" w14:textId="0D93D995">
            <w:pPr>
              <w:pStyle w:val="Normal"/>
              <w:bidi w:val="0"/>
              <w:jc w:val="both"/>
              <w:rPr>
                <w:rFonts w:ascii="Arial" w:hAnsi="Arial" w:eastAsia="Arial" w:cs="Arial"/>
                <w:noProof w:val="0"/>
                <w:sz w:val="24"/>
                <w:szCs w:val="24"/>
                <w:lang w:val="en-US"/>
              </w:rPr>
            </w:pPr>
            <w:r w:rsidRPr="407E75B8" w:rsidR="42C04866">
              <w:rPr>
                <w:rFonts w:ascii="Arial" w:hAnsi="Arial" w:eastAsia="Arial" w:cs="Arial"/>
                <w:noProof w:val="0"/>
                <w:sz w:val="24"/>
                <w:szCs w:val="24"/>
                <w:lang w:val="en-US"/>
              </w:rPr>
              <w:t>Implement SOPS, interprofessional communication pathways, staffing reforms</w:t>
            </w:r>
          </w:p>
        </w:tc>
      </w:tr>
      <w:tr w:rsidR="407E75B8" w:rsidTr="407E75B8" w14:paraId="7A645E2C">
        <w:trPr>
          <w:trHeight w:val="300"/>
        </w:trPr>
        <w:tc>
          <w:tcPr>
            <w:tcW w:w="2340" w:type="dxa"/>
            <w:tcMar/>
          </w:tcPr>
          <w:p w:rsidR="5E02D048" w:rsidP="407E75B8" w:rsidRDefault="5E02D048" w14:paraId="5FA46ACD" w14:textId="3BD3B3A3">
            <w:pPr>
              <w:pStyle w:val="Normal"/>
              <w:bidi w:val="0"/>
              <w:jc w:val="both"/>
              <w:rPr>
                <w:rFonts w:ascii="Arial" w:hAnsi="Arial" w:eastAsia="Arial" w:cs="Arial"/>
                <w:noProof w:val="0"/>
                <w:sz w:val="24"/>
                <w:szCs w:val="24"/>
                <w:lang w:val="en-US"/>
              </w:rPr>
            </w:pPr>
            <w:r w:rsidRPr="407E75B8" w:rsidR="5E02D048">
              <w:rPr>
                <w:rFonts w:ascii="Arial" w:hAnsi="Arial" w:eastAsia="Arial" w:cs="Arial"/>
                <w:noProof w:val="0"/>
                <w:sz w:val="24"/>
                <w:szCs w:val="24"/>
                <w:lang w:val="en-US"/>
              </w:rPr>
              <w:t>Ethical &amp; Sociocultural Influences</w:t>
            </w:r>
          </w:p>
        </w:tc>
        <w:tc>
          <w:tcPr>
            <w:tcW w:w="2340" w:type="dxa"/>
            <w:tcMar/>
          </w:tcPr>
          <w:p w:rsidR="57DB42AA" w:rsidP="407E75B8" w:rsidRDefault="57DB42AA" w14:paraId="70B5F627" w14:textId="7F7C5814">
            <w:pPr>
              <w:pStyle w:val="Normal"/>
              <w:bidi w:val="0"/>
              <w:jc w:val="both"/>
              <w:rPr>
                <w:rFonts w:ascii="Arial" w:hAnsi="Arial" w:eastAsia="Arial" w:cs="Arial"/>
                <w:noProof w:val="0"/>
                <w:sz w:val="24"/>
                <w:szCs w:val="24"/>
                <w:lang w:val="en-US"/>
              </w:rPr>
            </w:pPr>
            <w:r w:rsidRPr="407E75B8" w:rsidR="57DB42AA">
              <w:rPr>
                <w:rFonts w:ascii="Arial" w:hAnsi="Arial" w:eastAsia="Arial" w:cs="Arial"/>
                <w:noProof w:val="0"/>
                <w:sz w:val="24"/>
                <w:szCs w:val="24"/>
                <w:lang w:val="en-US"/>
              </w:rPr>
              <w:t>Patient pressure; fear of blame; ethical dilemmas (Musoke et al., 2023; Kifle et al., 2021)</w:t>
            </w:r>
          </w:p>
        </w:tc>
        <w:tc>
          <w:tcPr>
            <w:tcW w:w="2340" w:type="dxa"/>
            <w:tcMar/>
          </w:tcPr>
          <w:p w:rsidR="335433E6" w:rsidP="407E75B8" w:rsidRDefault="335433E6" w14:paraId="10DD6DB6" w14:textId="4221A001">
            <w:pPr>
              <w:bidi w:val="0"/>
              <w:spacing w:before="240" w:beforeAutospacing="off" w:after="240" w:afterAutospacing="off"/>
              <w:jc w:val="both"/>
              <w:rPr>
                <w:rFonts w:ascii="Arial" w:hAnsi="Arial" w:eastAsia="Arial" w:cs="Arial"/>
                <w:noProof w:val="0"/>
                <w:sz w:val="24"/>
                <w:szCs w:val="24"/>
                <w:lang w:val="en-US"/>
              </w:rPr>
            </w:pPr>
            <w:r w:rsidRPr="407E75B8" w:rsidR="335433E6">
              <w:rPr>
                <w:rFonts w:ascii="Arial" w:hAnsi="Arial" w:eastAsia="Arial" w:cs="Arial"/>
                <w:noProof w:val="0"/>
                <w:sz w:val="24"/>
                <w:szCs w:val="24"/>
                <w:lang w:val="en-US"/>
              </w:rPr>
              <w:t xml:space="preserve">Concealed errors; unsafe dispensing </w:t>
            </w:r>
            <w:r w:rsidRPr="407E75B8" w:rsidR="335433E6">
              <w:rPr>
                <w:rFonts w:ascii="Arial" w:hAnsi="Arial" w:eastAsia="Arial" w:cs="Arial"/>
                <w:noProof w:val="0"/>
                <w:sz w:val="24"/>
                <w:szCs w:val="24"/>
                <w:lang w:val="en-US"/>
              </w:rPr>
              <w:t>behaviour</w:t>
            </w:r>
          </w:p>
          <w:p w:rsidR="407E75B8" w:rsidP="407E75B8" w:rsidRDefault="407E75B8" w14:paraId="73E329B9" w14:textId="76318C74">
            <w:pPr>
              <w:pStyle w:val="Normal"/>
              <w:bidi w:val="0"/>
              <w:jc w:val="both"/>
              <w:rPr>
                <w:rFonts w:ascii="Arial" w:hAnsi="Arial" w:eastAsia="Arial" w:cs="Arial"/>
                <w:noProof w:val="0"/>
                <w:sz w:val="24"/>
                <w:szCs w:val="24"/>
                <w:lang w:val="en-US"/>
              </w:rPr>
            </w:pPr>
          </w:p>
        </w:tc>
        <w:tc>
          <w:tcPr>
            <w:tcW w:w="2340" w:type="dxa"/>
            <w:tcMar/>
          </w:tcPr>
          <w:p w:rsidR="3F45F2DE" w:rsidP="407E75B8" w:rsidRDefault="3F45F2DE" w14:paraId="2731B649" w14:textId="0C3AF189">
            <w:pPr>
              <w:pStyle w:val="Normal"/>
              <w:bidi w:val="0"/>
              <w:jc w:val="both"/>
              <w:rPr>
                <w:rFonts w:ascii="Arial" w:hAnsi="Arial" w:eastAsia="Arial" w:cs="Arial"/>
                <w:noProof w:val="0"/>
                <w:sz w:val="24"/>
                <w:szCs w:val="24"/>
                <w:lang w:val="en-US"/>
              </w:rPr>
            </w:pPr>
            <w:r w:rsidRPr="407E75B8" w:rsidR="3F45F2DE">
              <w:rPr>
                <w:rFonts w:ascii="Arial" w:hAnsi="Arial" w:eastAsia="Arial" w:cs="Arial"/>
                <w:noProof w:val="0"/>
                <w:sz w:val="24"/>
                <w:szCs w:val="24"/>
                <w:lang w:val="en-US"/>
              </w:rPr>
              <w:t>Non-punitive reporting systems, ethics training, public education</w:t>
            </w:r>
          </w:p>
        </w:tc>
      </w:tr>
      <w:tr w:rsidR="407E75B8" w:rsidTr="407E75B8" w14:paraId="25086418">
        <w:trPr>
          <w:trHeight w:val="300"/>
        </w:trPr>
        <w:tc>
          <w:tcPr>
            <w:tcW w:w="2340" w:type="dxa"/>
            <w:tcMar/>
          </w:tcPr>
          <w:p w:rsidR="5E02D048" w:rsidP="407E75B8" w:rsidRDefault="5E02D048" w14:paraId="1C9D4D91" w14:textId="62DC61A4">
            <w:pPr>
              <w:pStyle w:val="Normal"/>
              <w:bidi w:val="0"/>
              <w:jc w:val="both"/>
              <w:rPr>
                <w:rFonts w:ascii="Arial" w:hAnsi="Arial" w:eastAsia="Arial" w:cs="Arial"/>
                <w:noProof w:val="0"/>
                <w:sz w:val="24"/>
                <w:szCs w:val="24"/>
                <w:lang w:val="en-US"/>
              </w:rPr>
            </w:pPr>
            <w:r w:rsidRPr="407E75B8" w:rsidR="5E02D048">
              <w:rPr>
                <w:rFonts w:ascii="Arial" w:hAnsi="Arial" w:eastAsia="Arial" w:cs="Arial"/>
                <w:noProof w:val="0"/>
                <w:sz w:val="24"/>
                <w:szCs w:val="24"/>
                <w:lang w:val="en-US"/>
              </w:rPr>
              <w:t>Language &amp; Communication Barriers</w:t>
            </w:r>
          </w:p>
        </w:tc>
        <w:tc>
          <w:tcPr>
            <w:tcW w:w="2340" w:type="dxa"/>
            <w:tcMar/>
          </w:tcPr>
          <w:p w:rsidR="6490C78B" w:rsidP="407E75B8" w:rsidRDefault="6490C78B" w14:paraId="76853D9A" w14:textId="3382AD1F">
            <w:pPr>
              <w:pStyle w:val="Normal"/>
              <w:bidi w:val="0"/>
              <w:jc w:val="both"/>
              <w:rPr>
                <w:rFonts w:ascii="Arial" w:hAnsi="Arial" w:eastAsia="Arial" w:cs="Arial"/>
                <w:noProof w:val="0"/>
                <w:sz w:val="24"/>
                <w:szCs w:val="24"/>
                <w:lang w:val="en-US"/>
              </w:rPr>
            </w:pPr>
            <w:r w:rsidRPr="407E75B8" w:rsidR="6490C78B">
              <w:rPr>
                <w:rFonts w:ascii="Arial" w:hAnsi="Arial" w:eastAsia="Arial" w:cs="Arial"/>
                <w:noProof w:val="0"/>
                <w:sz w:val="24"/>
                <w:szCs w:val="24"/>
                <w:lang w:val="en-US"/>
              </w:rPr>
              <w:t>English prescriptions vs. local languages; low patient literacy (Saleem et al., 2021)</w:t>
            </w:r>
          </w:p>
        </w:tc>
        <w:tc>
          <w:tcPr>
            <w:tcW w:w="2340" w:type="dxa"/>
            <w:tcMar/>
          </w:tcPr>
          <w:p w:rsidR="115CAF01" w:rsidP="407E75B8" w:rsidRDefault="115CAF01" w14:paraId="1ED007EA" w14:textId="5A1E6BC0">
            <w:pPr>
              <w:pStyle w:val="Normal"/>
              <w:bidi w:val="0"/>
              <w:jc w:val="both"/>
              <w:rPr>
                <w:rFonts w:ascii="Arial" w:hAnsi="Arial" w:eastAsia="Arial" w:cs="Arial"/>
                <w:noProof w:val="0"/>
                <w:sz w:val="24"/>
                <w:szCs w:val="24"/>
                <w:lang w:val="en-US"/>
              </w:rPr>
            </w:pPr>
            <w:r w:rsidRPr="407E75B8" w:rsidR="115CAF01">
              <w:rPr>
                <w:rFonts w:ascii="Arial" w:hAnsi="Arial" w:eastAsia="Arial" w:cs="Arial"/>
                <w:noProof w:val="0"/>
                <w:sz w:val="24"/>
                <w:szCs w:val="24"/>
                <w:lang w:val="en-US"/>
              </w:rPr>
              <w:t>Misinterpretation of instructions; poor adherence</w:t>
            </w:r>
          </w:p>
        </w:tc>
        <w:tc>
          <w:tcPr>
            <w:tcW w:w="2340" w:type="dxa"/>
            <w:tcMar/>
          </w:tcPr>
          <w:p w:rsidR="474AB8AE" w:rsidP="407E75B8" w:rsidRDefault="474AB8AE" w14:paraId="5773607E" w14:textId="3C719CFE">
            <w:pPr>
              <w:pStyle w:val="Normal"/>
              <w:bidi w:val="0"/>
              <w:jc w:val="both"/>
              <w:rPr>
                <w:rFonts w:ascii="Arial" w:hAnsi="Arial" w:eastAsia="Arial" w:cs="Arial"/>
                <w:noProof w:val="0"/>
                <w:sz w:val="24"/>
                <w:szCs w:val="24"/>
                <w:lang w:val="en-US"/>
              </w:rPr>
            </w:pPr>
            <w:r w:rsidRPr="407E75B8" w:rsidR="474AB8AE">
              <w:rPr>
                <w:rFonts w:ascii="Arial" w:hAnsi="Arial" w:eastAsia="Arial" w:cs="Arial"/>
                <w:noProof w:val="0"/>
                <w:sz w:val="24"/>
                <w:szCs w:val="24"/>
                <w:lang w:val="en-US"/>
              </w:rPr>
              <w:t>Bilingual labels, pictograms, family-inclusive counselling</w:t>
            </w:r>
          </w:p>
        </w:tc>
      </w:tr>
      <w:tr w:rsidR="407E75B8" w:rsidTr="407E75B8" w14:paraId="1F35A981">
        <w:trPr>
          <w:trHeight w:val="300"/>
        </w:trPr>
        <w:tc>
          <w:tcPr>
            <w:tcW w:w="2340" w:type="dxa"/>
            <w:tcMar/>
          </w:tcPr>
          <w:p w:rsidR="2D2CF338" w:rsidP="407E75B8" w:rsidRDefault="2D2CF338" w14:paraId="7A83F766" w14:textId="7821EDEE">
            <w:pPr>
              <w:pStyle w:val="Normal"/>
              <w:bidi w:val="0"/>
              <w:jc w:val="both"/>
              <w:rPr>
                <w:rFonts w:ascii="Arial" w:hAnsi="Arial" w:eastAsia="Arial" w:cs="Arial"/>
                <w:noProof w:val="0"/>
                <w:sz w:val="24"/>
                <w:szCs w:val="24"/>
                <w:lang w:val="en-US"/>
              </w:rPr>
            </w:pPr>
            <w:r w:rsidRPr="407E75B8" w:rsidR="2D2CF338">
              <w:rPr>
                <w:rFonts w:ascii="Arial" w:hAnsi="Arial" w:eastAsia="Arial" w:cs="Arial"/>
                <w:noProof w:val="0"/>
                <w:sz w:val="24"/>
                <w:szCs w:val="24"/>
                <w:lang w:val="en-US"/>
              </w:rPr>
              <w:t>Socioeconmic</w:t>
            </w:r>
            <w:r w:rsidRPr="407E75B8" w:rsidR="2D2CF338">
              <w:rPr>
                <w:rFonts w:ascii="Arial" w:hAnsi="Arial" w:eastAsia="Arial" w:cs="Arial"/>
                <w:noProof w:val="0"/>
                <w:sz w:val="24"/>
                <w:szCs w:val="24"/>
                <w:lang w:val="en-US"/>
              </w:rPr>
              <w:t xml:space="preserve"> constraints</w:t>
            </w:r>
          </w:p>
        </w:tc>
        <w:tc>
          <w:tcPr>
            <w:tcW w:w="2340" w:type="dxa"/>
            <w:tcMar/>
          </w:tcPr>
          <w:p w:rsidR="5EA8FFBD" w:rsidP="407E75B8" w:rsidRDefault="5EA8FFBD" w14:paraId="73FADABC" w14:textId="03EE836E">
            <w:pPr>
              <w:pStyle w:val="Normal"/>
              <w:bidi w:val="0"/>
              <w:jc w:val="both"/>
              <w:rPr>
                <w:rFonts w:ascii="Arial" w:hAnsi="Arial" w:eastAsia="Arial" w:cs="Arial"/>
                <w:noProof w:val="0"/>
                <w:sz w:val="24"/>
                <w:szCs w:val="24"/>
                <w:lang w:val="en-US"/>
              </w:rPr>
            </w:pPr>
            <w:r w:rsidRPr="407E75B8" w:rsidR="5EA8FFBD">
              <w:rPr>
                <w:rFonts w:ascii="Arial" w:hAnsi="Arial" w:eastAsia="Arial" w:cs="Arial"/>
                <w:noProof w:val="0"/>
                <w:sz w:val="24"/>
                <w:szCs w:val="24"/>
                <w:lang w:val="en-US"/>
              </w:rPr>
              <w:t>Poverty, stock shortages, counterfeit medicines (Nsimba, 2019)</w:t>
            </w:r>
          </w:p>
        </w:tc>
        <w:tc>
          <w:tcPr>
            <w:tcW w:w="2340" w:type="dxa"/>
            <w:tcMar/>
          </w:tcPr>
          <w:p w:rsidR="61521B2F" w:rsidP="407E75B8" w:rsidRDefault="61521B2F" w14:paraId="63D183D5" w14:textId="1695CF2B">
            <w:pPr>
              <w:pStyle w:val="Normal"/>
              <w:bidi w:val="0"/>
              <w:jc w:val="both"/>
              <w:rPr>
                <w:rFonts w:ascii="Arial" w:hAnsi="Arial" w:eastAsia="Arial" w:cs="Arial"/>
                <w:noProof w:val="0"/>
                <w:sz w:val="24"/>
                <w:szCs w:val="24"/>
                <w:lang w:val="en-US"/>
              </w:rPr>
            </w:pPr>
            <w:r w:rsidRPr="407E75B8" w:rsidR="61521B2F">
              <w:rPr>
                <w:rFonts w:ascii="Arial" w:hAnsi="Arial" w:eastAsia="Arial" w:cs="Arial"/>
                <w:noProof w:val="0"/>
                <w:sz w:val="24"/>
                <w:szCs w:val="24"/>
                <w:lang w:val="en-US"/>
              </w:rPr>
              <w:t>Unsafe substitutions; treatment interruptions</w:t>
            </w:r>
          </w:p>
        </w:tc>
        <w:tc>
          <w:tcPr>
            <w:tcW w:w="2340" w:type="dxa"/>
            <w:tcMar/>
          </w:tcPr>
          <w:p w:rsidR="6FD83692" w:rsidP="407E75B8" w:rsidRDefault="6FD83692" w14:paraId="6A9F29F5" w14:textId="11308F4A">
            <w:pPr>
              <w:pStyle w:val="Normal"/>
              <w:bidi w:val="0"/>
              <w:jc w:val="both"/>
              <w:rPr>
                <w:rFonts w:ascii="Arial" w:hAnsi="Arial" w:eastAsia="Arial" w:cs="Arial"/>
                <w:noProof w:val="0"/>
                <w:sz w:val="24"/>
                <w:szCs w:val="24"/>
                <w:lang w:val="en-US"/>
              </w:rPr>
            </w:pPr>
            <w:r w:rsidRPr="407E75B8" w:rsidR="6FD83692">
              <w:rPr>
                <w:rFonts w:ascii="Arial" w:hAnsi="Arial" w:eastAsia="Arial" w:cs="Arial"/>
                <w:noProof w:val="0"/>
                <w:sz w:val="24"/>
                <w:szCs w:val="24"/>
                <w:lang w:val="en-US"/>
              </w:rPr>
              <w:t>Subsidised</w:t>
            </w:r>
            <w:r w:rsidRPr="407E75B8" w:rsidR="6FD83692">
              <w:rPr>
                <w:rFonts w:ascii="Arial" w:hAnsi="Arial" w:eastAsia="Arial" w:cs="Arial"/>
                <w:noProof w:val="0"/>
                <w:sz w:val="24"/>
                <w:szCs w:val="24"/>
                <w:lang w:val="en-US"/>
              </w:rPr>
              <w:t xml:space="preserve"> medicines, stronger regulatory oversight</w:t>
            </w:r>
          </w:p>
        </w:tc>
      </w:tr>
      <w:tr w:rsidR="407E75B8" w:rsidTr="407E75B8" w14:paraId="4A2E6FE0">
        <w:trPr>
          <w:trHeight w:val="300"/>
        </w:trPr>
        <w:tc>
          <w:tcPr>
            <w:tcW w:w="2340" w:type="dxa"/>
            <w:tcMar/>
          </w:tcPr>
          <w:p w:rsidR="2D2CF338" w:rsidP="407E75B8" w:rsidRDefault="2D2CF338" w14:paraId="7ED71EEF" w14:textId="6FD8A286">
            <w:pPr>
              <w:pStyle w:val="Normal"/>
              <w:bidi w:val="0"/>
              <w:jc w:val="both"/>
              <w:rPr>
                <w:rFonts w:ascii="Arial" w:hAnsi="Arial" w:eastAsia="Arial" w:cs="Arial"/>
                <w:noProof w:val="0"/>
                <w:sz w:val="24"/>
                <w:szCs w:val="24"/>
                <w:lang w:val="en-US"/>
              </w:rPr>
            </w:pPr>
            <w:r w:rsidRPr="407E75B8" w:rsidR="2D2CF338">
              <w:rPr>
                <w:rFonts w:ascii="Arial" w:hAnsi="Arial" w:eastAsia="Arial" w:cs="Arial"/>
                <w:noProof w:val="0"/>
                <w:sz w:val="24"/>
                <w:szCs w:val="24"/>
                <w:lang w:val="en-US"/>
              </w:rPr>
              <w:t>Technplogy</w:t>
            </w:r>
            <w:r w:rsidRPr="407E75B8" w:rsidR="2D2CF338">
              <w:rPr>
                <w:rFonts w:ascii="Arial" w:hAnsi="Arial" w:eastAsia="Arial" w:cs="Arial"/>
                <w:noProof w:val="0"/>
                <w:sz w:val="24"/>
                <w:szCs w:val="24"/>
                <w:lang w:val="en-US"/>
              </w:rPr>
              <w:t xml:space="preserve"> &amp; QI Innovation</w:t>
            </w:r>
          </w:p>
        </w:tc>
        <w:tc>
          <w:tcPr>
            <w:tcW w:w="2340" w:type="dxa"/>
            <w:tcMar/>
          </w:tcPr>
          <w:p w:rsidR="2F141601" w:rsidP="407E75B8" w:rsidRDefault="2F141601" w14:paraId="259E7E64" w14:textId="20BCD45E">
            <w:pPr>
              <w:pStyle w:val="Normal"/>
              <w:bidi w:val="0"/>
              <w:jc w:val="both"/>
              <w:rPr>
                <w:rFonts w:ascii="Arial" w:hAnsi="Arial" w:eastAsia="Arial" w:cs="Arial"/>
                <w:noProof w:val="0"/>
                <w:sz w:val="24"/>
                <w:szCs w:val="24"/>
                <w:lang w:val="en-US"/>
              </w:rPr>
            </w:pPr>
            <w:r w:rsidRPr="407E75B8" w:rsidR="2F141601">
              <w:rPr>
                <w:rFonts w:ascii="Arial" w:hAnsi="Arial" w:eastAsia="Arial" w:cs="Arial"/>
                <w:noProof w:val="0"/>
                <w:sz w:val="24"/>
                <w:szCs w:val="24"/>
                <w:lang w:val="en-US"/>
              </w:rPr>
              <w:t>Minimal digital tools; lack of error tracking (Kifle et al., 2021)</w:t>
            </w:r>
          </w:p>
        </w:tc>
        <w:tc>
          <w:tcPr>
            <w:tcW w:w="2340" w:type="dxa"/>
            <w:tcMar/>
          </w:tcPr>
          <w:p w:rsidR="1F1E2A6E" w:rsidP="407E75B8" w:rsidRDefault="1F1E2A6E" w14:paraId="1E52D98A" w14:textId="168BC085">
            <w:pPr>
              <w:pStyle w:val="Normal"/>
              <w:bidi w:val="0"/>
              <w:jc w:val="both"/>
              <w:rPr>
                <w:rFonts w:ascii="Arial" w:hAnsi="Arial" w:eastAsia="Arial" w:cs="Arial"/>
                <w:noProof w:val="0"/>
                <w:sz w:val="24"/>
                <w:szCs w:val="24"/>
                <w:lang w:val="en-US"/>
              </w:rPr>
            </w:pPr>
            <w:r w:rsidRPr="407E75B8" w:rsidR="1F1E2A6E">
              <w:rPr>
                <w:rFonts w:ascii="Arial" w:hAnsi="Arial" w:eastAsia="Arial" w:cs="Arial"/>
                <w:noProof w:val="0"/>
                <w:sz w:val="24"/>
                <w:szCs w:val="24"/>
                <w:lang w:val="en-US"/>
              </w:rPr>
              <w:t>No monitoring; persistent human errors</w:t>
            </w:r>
          </w:p>
        </w:tc>
        <w:tc>
          <w:tcPr>
            <w:tcW w:w="2340" w:type="dxa"/>
            <w:tcMar/>
          </w:tcPr>
          <w:p w:rsidR="29EC09E5" w:rsidP="407E75B8" w:rsidRDefault="29EC09E5" w14:paraId="599FB4C4" w14:textId="622B725A">
            <w:pPr>
              <w:pStyle w:val="Normal"/>
              <w:bidi w:val="0"/>
              <w:jc w:val="both"/>
              <w:rPr>
                <w:rFonts w:ascii="Arial" w:hAnsi="Arial" w:eastAsia="Arial" w:cs="Arial"/>
                <w:noProof w:val="0"/>
                <w:sz w:val="24"/>
                <w:szCs w:val="24"/>
                <w:lang w:val="en-US"/>
              </w:rPr>
            </w:pPr>
            <w:r w:rsidRPr="407E75B8" w:rsidR="29EC09E5">
              <w:rPr>
                <w:rFonts w:ascii="Arial" w:hAnsi="Arial" w:eastAsia="Arial" w:cs="Arial"/>
                <w:noProof w:val="0"/>
                <w:sz w:val="24"/>
                <w:szCs w:val="24"/>
                <w:lang w:val="en-US"/>
              </w:rPr>
              <w:t>Electronic prescribing, barcoding, PDSA cycles, national databases</w:t>
            </w:r>
          </w:p>
        </w:tc>
      </w:tr>
    </w:tbl>
    <w:p w:rsidR="717E0A9B" w:rsidP="5B971295" w:rsidRDefault="717E0A9B" w14:paraId="1DAAFB50" w14:textId="668F39B0">
      <w:pPr>
        <w:pStyle w:val="Normal"/>
        <w:spacing w:before="240" w:beforeAutospacing="off" w:after="240" w:afterAutospacing="off"/>
        <w:jc w:val="both"/>
      </w:pPr>
      <w:r w:rsidRPr="5B971295" w:rsidR="717E0A9B">
        <w:rPr>
          <w:rFonts w:ascii="Arial" w:hAnsi="Arial" w:eastAsia="Arial" w:cs="Arial"/>
          <w:noProof w:val="0"/>
          <w:sz w:val="24"/>
          <w:szCs w:val="24"/>
          <w:lang w:val="en-US"/>
        </w:rPr>
        <w:t xml:space="preserve"> </w:t>
      </w:r>
    </w:p>
    <w:p w:rsidR="3B7BAD25" w:rsidP="5B971295" w:rsidRDefault="3B7BAD25" w14:paraId="75FB11D2" w14:textId="50B1042B">
      <w:pPr>
        <w:pStyle w:val="Heading2"/>
        <w:rPr>
          <w:noProof w:val="0"/>
          <w:lang w:val="en-US"/>
        </w:rPr>
      </w:pPr>
      <w:bookmarkStart w:name="_Toc762195888" w:id="182208150"/>
      <w:r w:rsidRPr="668EA0FB" w:rsidR="717E0A9B">
        <w:rPr>
          <w:noProof w:val="0"/>
          <w:lang w:val="en-US"/>
        </w:rPr>
        <w:t>7.4 Recommendations for Practice, Policy, and System Strengthening</w:t>
      </w:r>
      <w:bookmarkEnd w:id="182208150"/>
    </w:p>
    <w:p w:rsidR="3B7BAD25" w:rsidP="5B971295" w:rsidRDefault="3B7BAD25" w14:paraId="71AFBD9F" w14:textId="09C25929">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1. Strengthen Continuous Professional Development (CPD)</w:t>
      </w:r>
    </w:p>
    <w:p w:rsidR="3B7BAD25" w:rsidP="057AE503" w:rsidRDefault="3B7BAD25" w14:paraId="38B876AA" w14:textId="4F8F925D">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Mandatory CPD focusing on medication safety, antimicrobial stewardship, clinical pharmacology, and communication is essential for enhancing pharmacist competence (Saleem et al., 2021; Musoke et al., 2023).</w:t>
      </w:r>
    </w:p>
    <w:p w:rsidR="3B7BAD25" w:rsidP="5B971295" w:rsidRDefault="3B7BAD25" w14:paraId="680CB88E" w14:textId="5A570F9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 xml:space="preserve">2. </w:t>
      </w:r>
      <w:r w:rsidRPr="5B971295" w:rsidR="717E0A9B">
        <w:rPr>
          <w:rFonts w:ascii="Arial" w:hAnsi="Arial" w:eastAsia="Arial" w:cs="Arial"/>
          <w:b w:val="1"/>
          <w:bCs w:val="1"/>
          <w:noProof w:val="0"/>
          <w:sz w:val="24"/>
          <w:szCs w:val="24"/>
          <w:lang w:val="en-US"/>
        </w:rPr>
        <w:t>Establish</w:t>
      </w:r>
      <w:r w:rsidRPr="5B971295" w:rsidR="717E0A9B">
        <w:rPr>
          <w:rFonts w:ascii="Arial" w:hAnsi="Arial" w:eastAsia="Arial" w:cs="Arial"/>
          <w:b w:val="1"/>
          <w:bCs w:val="1"/>
          <w:noProof w:val="0"/>
          <w:sz w:val="24"/>
          <w:szCs w:val="24"/>
          <w:lang w:val="en-US"/>
        </w:rPr>
        <w:t xml:space="preserve"> National Non-Punitive Error Reporting Systems</w:t>
      </w:r>
    </w:p>
    <w:p w:rsidR="3B7BAD25" w:rsidP="057AE503" w:rsidRDefault="3B7BAD25" w14:paraId="109DBB18" w14:textId="7C2A03AB">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Developing confidential, learning-oriented reporting mechanisms would encourage transparency and support quality improvement (Kifle et al., 2021; Awan et al., 2020).</w:t>
      </w:r>
    </w:p>
    <w:p w:rsidR="3B7BAD25" w:rsidP="5B971295" w:rsidRDefault="3B7BAD25" w14:paraId="1B8E08AE" w14:textId="279504F8">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 xml:space="preserve">3. </w:t>
      </w:r>
      <w:r w:rsidRPr="5B971295" w:rsidR="717E0A9B">
        <w:rPr>
          <w:rFonts w:ascii="Arial" w:hAnsi="Arial" w:eastAsia="Arial" w:cs="Arial"/>
          <w:b w:val="1"/>
          <w:bCs w:val="1"/>
          <w:noProof w:val="0"/>
          <w:sz w:val="24"/>
          <w:szCs w:val="24"/>
          <w:lang w:val="en-US"/>
        </w:rPr>
        <w:t>Standardise</w:t>
      </w:r>
      <w:r w:rsidRPr="5B971295" w:rsidR="717E0A9B">
        <w:rPr>
          <w:rFonts w:ascii="Arial" w:hAnsi="Arial" w:eastAsia="Arial" w:cs="Arial"/>
          <w:b w:val="1"/>
          <w:bCs w:val="1"/>
          <w:noProof w:val="0"/>
          <w:sz w:val="24"/>
          <w:szCs w:val="24"/>
          <w:lang w:val="en-US"/>
        </w:rPr>
        <w:t xml:space="preserve"> Dispensing Procedures and Supervision</w:t>
      </w:r>
      <w:r w:rsidRPr="5B971295" w:rsidR="717E0A9B">
        <w:rPr>
          <w:rFonts w:ascii="Arial" w:hAnsi="Arial" w:eastAsia="Arial" w:cs="Arial"/>
          <w:b w:val="1"/>
          <w:bCs w:val="1"/>
          <w:noProof w:val="0"/>
          <w:sz w:val="24"/>
          <w:szCs w:val="24"/>
          <w:lang w:val="en-US"/>
        </w:rPr>
        <w:t xml:space="preserve"> </w:t>
      </w:r>
    </w:p>
    <w:p w:rsidR="3B7BAD25" w:rsidP="057AE503" w:rsidRDefault="3B7BAD25" w14:paraId="5297339A" w14:textId="04773C9E">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SOPs, double-check systems, and regular audits ensure consistency and accountability across pharmacy settings (Yousaf et al., 2022).</w:t>
      </w:r>
    </w:p>
    <w:p w:rsidR="3B7BAD25" w:rsidP="5B971295" w:rsidRDefault="3B7BAD25" w14:paraId="1F65959A" w14:textId="41E660E1">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4. Integrate Digital Technologies into Pharmacy Workflows</w:t>
      </w:r>
    </w:p>
    <w:p w:rsidR="3B7BAD25" w:rsidP="057AE503" w:rsidRDefault="3B7BAD25" w14:paraId="004DA351" w14:textId="7DA40004">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Electronic prescribing, barcode scanning, automated labelling, and digital records can significantly reduce human error (Musoke et al., 2023; Kifle et al., 2021).</w:t>
      </w:r>
    </w:p>
    <w:p w:rsidR="3B7BAD25" w:rsidP="5B971295" w:rsidRDefault="3B7BAD25" w14:paraId="1866D129" w14:textId="1FAE374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5. Enhance Communication Strategies for Patients</w:t>
      </w:r>
    </w:p>
    <w:p w:rsidR="3B7BAD25" w:rsidP="057AE503" w:rsidRDefault="3B7BAD25" w14:paraId="121918E3" w14:textId="250812B4">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 xml:space="preserve">Use of pictograms, simple language, bilingual labelling, and teach-back methods improves comprehension in low-literacy populations (Saleem et al., 2021; </w:t>
      </w:r>
      <w:r w:rsidRPr="407E75B8" w:rsidR="5FA4A4BC">
        <w:rPr>
          <w:rFonts w:ascii="Arial" w:hAnsi="Arial" w:eastAsia="Arial" w:cs="Arial"/>
          <w:noProof w:val="0"/>
          <w:sz w:val="24"/>
          <w:szCs w:val="24"/>
          <w:lang w:val="en-US"/>
        </w:rPr>
        <w:t>Kibira</w:t>
      </w:r>
      <w:r w:rsidRPr="407E75B8" w:rsidR="5FA4A4BC">
        <w:rPr>
          <w:rFonts w:ascii="Arial" w:hAnsi="Arial" w:eastAsia="Arial" w:cs="Arial"/>
          <w:noProof w:val="0"/>
          <w:sz w:val="24"/>
          <w:szCs w:val="24"/>
          <w:lang w:val="en-US"/>
        </w:rPr>
        <w:t xml:space="preserve"> et al., 2020).</w:t>
      </w:r>
    </w:p>
    <w:p w:rsidR="3B7BAD25" w:rsidP="5B971295" w:rsidRDefault="3B7BAD25" w14:paraId="69E6D53C" w14:textId="34F9B6D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6. Strengthen Interprofessional Collaboration</w:t>
      </w:r>
    </w:p>
    <w:p w:rsidR="3B7BAD25" w:rsidP="057AE503" w:rsidRDefault="3B7BAD25" w14:paraId="0EA2482D" w14:textId="363C520E">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Better communication pathways between pharmacists and prescribers help resolve unclear prescriptions and reduce assumptions (Awan et al., 2020).</w:t>
      </w:r>
    </w:p>
    <w:p w:rsidR="3B7BAD25" w:rsidP="5B971295" w:rsidRDefault="3B7BAD25" w14:paraId="66092DE5" w14:textId="2F04E12C">
      <w:pPr>
        <w:pStyle w:val="Normal"/>
        <w:bidi w:val="0"/>
        <w:spacing w:before="240" w:beforeAutospacing="off" w:after="240" w:afterAutospacing="off"/>
        <w:jc w:val="both"/>
        <w:rPr>
          <w:rFonts w:ascii="Arial" w:hAnsi="Arial" w:eastAsia="Arial" w:cs="Arial"/>
          <w:b w:val="1"/>
          <w:bCs w:val="1"/>
          <w:noProof w:val="0"/>
          <w:sz w:val="24"/>
          <w:szCs w:val="24"/>
          <w:lang w:val="en-US"/>
        </w:rPr>
      </w:pPr>
      <w:r w:rsidRPr="5B971295" w:rsidR="717E0A9B">
        <w:rPr>
          <w:rFonts w:ascii="Arial" w:hAnsi="Arial" w:eastAsia="Arial" w:cs="Arial"/>
          <w:b w:val="1"/>
          <w:bCs w:val="1"/>
          <w:noProof w:val="0"/>
          <w:sz w:val="24"/>
          <w:szCs w:val="24"/>
          <w:lang w:val="en-US"/>
        </w:rPr>
        <w:t>7. Address Socioeconomic Barriers</w:t>
      </w:r>
    </w:p>
    <w:p w:rsidR="3B7BAD25" w:rsidP="057AE503" w:rsidRDefault="3B7BAD25" w14:paraId="4E71DB95" w14:textId="49FF3D21">
      <w:pPr>
        <w:pStyle w:val="Normal"/>
        <w:bidi w:val="0"/>
        <w:spacing w:before="240" w:beforeAutospacing="off" w:after="240" w:afterAutospacing="off"/>
        <w:jc w:val="both"/>
      </w:pPr>
      <w:r w:rsidRPr="407E75B8" w:rsidR="5FA4A4BC">
        <w:rPr>
          <w:rFonts w:ascii="Arial" w:hAnsi="Arial" w:eastAsia="Arial" w:cs="Arial"/>
          <w:noProof w:val="0"/>
          <w:sz w:val="24"/>
          <w:szCs w:val="24"/>
          <w:lang w:val="en-US"/>
        </w:rPr>
        <w:t>Government subsidies, improved medicine supply chains, and regulation of informal vendors can reduce unsafe substitutions and medicine rationing (Nsimba, 2019).</w:t>
      </w:r>
    </w:p>
    <w:p w:rsidR="3B7BAD25" w:rsidP="5B971295" w:rsidRDefault="3B7BAD25" w14:paraId="6AF08FF4" w14:textId="0297FDCA">
      <w:pPr>
        <w:pStyle w:val="Heading2"/>
        <w:rPr>
          <w:noProof w:val="0"/>
          <w:lang w:val="en-US"/>
        </w:rPr>
      </w:pPr>
      <w:bookmarkStart w:name="_Toc815585582" w:id="4230260"/>
      <w:r w:rsidRPr="668EA0FB" w:rsidR="717E0A9B">
        <w:rPr>
          <w:noProof w:val="0"/>
          <w:lang w:val="en-US"/>
        </w:rPr>
        <w:t>7.5 Implications for Policy and Practice</w:t>
      </w:r>
      <w:bookmarkEnd w:id="4230260"/>
    </w:p>
    <w:p w:rsidR="07B9BD72" w:rsidP="668EA0FB" w:rsidRDefault="07B9BD72" w14:paraId="1C8AF851" w14:textId="217A4C3B">
      <w:pPr>
        <w:spacing w:before="240" w:beforeAutospacing="off" w:after="240" w:afterAutospacing="off"/>
        <w:rPr>
          <w:rFonts w:ascii="Arial" w:hAnsi="Arial" w:eastAsia="Arial" w:cs="Arial"/>
          <w:b w:val="0"/>
          <w:bCs w:val="0"/>
          <w:noProof w:val="0"/>
          <w:sz w:val="24"/>
          <w:szCs w:val="24"/>
          <w:lang w:val="en-US"/>
        </w:rPr>
      </w:pPr>
      <w:r w:rsidRPr="668EA0FB" w:rsidR="07B9BD72">
        <w:rPr>
          <w:rFonts w:ascii="Arial" w:hAnsi="Arial" w:eastAsia="Arial" w:cs="Arial"/>
          <w:b w:val="0"/>
          <w:bCs w:val="0"/>
          <w:noProof w:val="0"/>
          <w:sz w:val="24"/>
          <w:szCs w:val="24"/>
          <w:lang w:val="en-US"/>
        </w:rPr>
        <w:t xml:space="preserve">The findings of this review </w:t>
      </w:r>
      <w:r w:rsidRPr="668EA0FB" w:rsidR="07B9BD72">
        <w:rPr>
          <w:rFonts w:ascii="Arial" w:hAnsi="Arial" w:eastAsia="Arial" w:cs="Arial"/>
          <w:b w:val="0"/>
          <w:bCs w:val="0"/>
          <w:noProof w:val="0"/>
          <w:sz w:val="24"/>
          <w:szCs w:val="24"/>
          <w:lang w:val="en-US"/>
        </w:rPr>
        <w:t>indicate</w:t>
      </w:r>
      <w:r w:rsidRPr="668EA0FB" w:rsidR="07B9BD72">
        <w:rPr>
          <w:rFonts w:ascii="Arial" w:hAnsi="Arial" w:eastAsia="Arial" w:cs="Arial"/>
          <w:b w:val="0"/>
          <w:bCs w:val="0"/>
          <w:noProof w:val="0"/>
          <w:sz w:val="24"/>
          <w:szCs w:val="24"/>
          <w:lang w:val="en-US"/>
        </w:rPr>
        <w:t xml:space="preserve"> that medication safety should be </w:t>
      </w:r>
      <w:r w:rsidRPr="668EA0FB" w:rsidR="07B9BD72">
        <w:rPr>
          <w:rFonts w:ascii="Arial" w:hAnsi="Arial" w:eastAsia="Arial" w:cs="Arial"/>
          <w:b w:val="0"/>
          <w:bCs w:val="0"/>
          <w:noProof w:val="0"/>
          <w:sz w:val="24"/>
          <w:szCs w:val="24"/>
          <w:lang w:val="en-US"/>
        </w:rPr>
        <w:t>prioritised</w:t>
      </w:r>
      <w:r w:rsidRPr="668EA0FB" w:rsidR="07B9BD72">
        <w:rPr>
          <w:rFonts w:ascii="Arial" w:hAnsi="Arial" w:eastAsia="Arial" w:cs="Arial"/>
          <w:b w:val="0"/>
          <w:bCs w:val="0"/>
          <w:noProof w:val="0"/>
          <w:sz w:val="24"/>
          <w:szCs w:val="24"/>
          <w:lang w:val="en-US"/>
        </w:rPr>
        <w:t xml:space="preserve"> within national health strategies in low- and middle-income countries (LMICs). Policymakers must strengthen regulatory frameworks governing pharmacy practice, including consistent enforcement of prescription-only medicine regulations particularly for antimicrobials to reduce unsafe dispensing and address antimicrobial resistance (Musoke et al., 2023; Auta et al., 2018). Investment in the pharmacy workforce through accredited continuing professional development (CPD), workforce expansion, and integration of pharmacists into multidisciplinary clinical teams is essential to enhance clinical contribution and accountability. Aligning national policies with WHO patient safety guidelines and investing in </w:t>
      </w:r>
      <w:r w:rsidRPr="668EA0FB" w:rsidR="07B9BD72">
        <w:rPr>
          <w:rFonts w:ascii="Arial" w:hAnsi="Arial" w:eastAsia="Arial" w:cs="Arial"/>
          <w:b w:val="0"/>
          <w:bCs w:val="0"/>
          <w:noProof w:val="0"/>
          <w:sz w:val="24"/>
          <w:szCs w:val="24"/>
          <w:lang w:val="en-US"/>
        </w:rPr>
        <w:t>appropriate digital</w:t>
      </w:r>
      <w:r w:rsidRPr="668EA0FB" w:rsidR="07B9BD72">
        <w:rPr>
          <w:rFonts w:ascii="Arial" w:hAnsi="Arial" w:eastAsia="Arial" w:cs="Arial"/>
          <w:b w:val="0"/>
          <w:bCs w:val="0"/>
          <w:noProof w:val="0"/>
          <w:sz w:val="24"/>
          <w:szCs w:val="24"/>
          <w:lang w:val="en-US"/>
        </w:rPr>
        <w:t xml:space="preserve"> health infrastructure can further support safer pharmacy </w:t>
      </w:r>
      <w:r w:rsidRPr="668EA0FB" w:rsidR="07B9BD72">
        <w:rPr>
          <w:rFonts w:ascii="Arial" w:hAnsi="Arial" w:eastAsia="Arial" w:cs="Arial"/>
          <w:b w:val="0"/>
          <w:bCs w:val="0"/>
          <w:noProof w:val="0"/>
          <w:sz w:val="24"/>
          <w:szCs w:val="24"/>
          <w:lang w:val="en-US"/>
        </w:rPr>
        <w:t>practice</w:t>
      </w:r>
      <w:r w:rsidRPr="668EA0FB" w:rsidR="07B9BD72">
        <w:rPr>
          <w:rFonts w:ascii="Arial" w:hAnsi="Arial" w:eastAsia="Arial" w:cs="Arial"/>
          <w:b w:val="0"/>
          <w:bCs w:val="0"/>
          <w:noProof w:val="0"/>
          <w:sz w:val="24"/>
          <w:szCs w:val="24"/>
          <w:lang w:val="en-US"/>
        </w:rPr>
        <w:t>.</w:t>
      </w:r>
    </w:p>
    <w:p w:rsidR="07B9BD72" w:rsidP="668EA0FB" w:rsidRDefault="07B9BD72" w14:paraId="33A25641" w14:textId="09294AC0">
      <w:pPr>
        <w:spacing w:before="240" w:beforeAutospacing="off" w:after="240" w:afterAutospacing="off"/>
        <w:rPr>
          <w:rFonts w:ascii="Arial" w:hAnsi="Arial" w:eastAsia="Arial" w:cs="Arial"/>
          <w:b w:val="0"/>
          <w:bCs w:val="0"/>
          <w:noProof w:val="0"/>
          <w:sz w:val="24"/>
          <w:szCs w:val="24"/>
          <w:lang w:val="en-US"/>
        </w:rPr>
      </w:pPr>
      <w:r w:rsidRPr="668EA0FB" w:rsidR="07B9BD72">
        <w:rPr>
          <w:rFonts w:ascii="Arial" w:hAnsi="Arial" w:eastAsia="Arial" w:cs="Arial"/>
          <w:b w:val="0"/>
          <w:bCs w:val="0"/>
          <w:noProof w:val="0"/>
          <w:sz w:val="24"/>
          <w:szCs w:val="24"/>
          <w:lang w:val="en-US"/>
        </w:rPr>
        <w:t xml:space="preserve">At the </w:t>
      </w:r>
      <w:r w:rsidRPr="668EA0FB" w:rsidR="07B9BD72">
        <w:rPr>
          <w:rFonts w:ascii="Arial" w:hAnsi="Arial" w:eastAsia="Arial" w:cs="Arial"/>
          <w:b w:val="0"/>
          <w:bCs w:val="0"/>
          <w:noProof w:val="0"/>
          <w:sz w:val="24"/>
          <w:szCs w:val="24"/>
          <w:lang w:val="en-US"/>
        </w:rPr>
        <w:t>organisational</w:t>
      </w:r>
      <w:r w:rsidRPr="668EA0FB" w:rsidR="07B9BD72">
        <w:rPr>
          <w:rFonts w:ascii="Arial" w:hAnsi="Arial" w:eastAsia="Arial" w:cs="Arial"/>
          <w:b w:val="0"/>
          <w:bCs w:val="0"/>
          <w:noProof w:val="0"/>
          <w:sz w:val="24"/>
          <w:szCs w:val="24"/>
          <w:lang w:val="en-US"/>
        </w:rPr>
        <w:t xml:space="preserve"> and professional levels, learning-oriented, non-punitive cultures are critical for improving dispensing safety. Hospitals and community pharmacies should implement </w:t>
      </w:r>
      <w:r w:rsidRPr="668EA0FB" w:rsidR="07B9BD72">
        <w:rPr>
          <w:rFonts w:ascii="Arial" w:hAnsi="Arial" w:eastAsia="Arial" w:cs="Arial"/>
          <w:b w:val="0"/>
          <w:bCs w:val="0"/>
          <w:noProof w:val="0"/>
          <w:sz w:val="24"/>
          <w:szCs w:val="24"/>
          <w:lang w:val="en-US"/>
        </w:rPr>
        <w:t>standardised</w:t>
      </w:r>
      <w:r w:rsidRPr="668EA0FB" w:rsidR="07B9BD72">
        <w:rPr>
          <w:rFonts w:ascii="Arial" w:hAnsi="Arial" w:eastAsia="Arial" w:cs="Arial"/>
          <w:b w:val="0"/>
          <w:bCs w:val="0"/>
          <w:noProof w:val="0"/>
          <w:sz w:val="24"/>
          <w:szCs w:val="24"/>
          <w:lang w:val="en-US"/>
        </w:rPr>
        <w:t xml:space="preserve"> workflows, safety checklists, and routine supervision, alongside non-punitive medication error reporting systems that promote transparency and </w:t>
      </w:r>
      <w:r w:rsidRPr="668EA0FB" w:rsidR="07B9BD72">
        <w:rPr>
          <w:rFonts w:ascii="Arial" w:hAnsi="Arial" w:eastAsia="Arial" w:cs="Arial"/>
          <w:b w:val="0"/>
          <w:bCs w:val="0"/>
          <w:noProof w:val="0"/>
          <w:sz w:val="24"/>
          <w:szCs w:val="24"/>
          <w:lang w:val="en-US"/>
        </w:rPr>
        <w:t>organisational</w:t>
      </w:r>
      <w:r w:rsidRPr="668EA0FB" w:rsidR="07B9BD72">
        <w:rPr>
          <w:rFonts w:ascii="Arial" w:hAnsi="Arial" w:eastAsia="Arial" w:cs="Arial"/>
          <w:b w:val="0"/>
          <w:bCs w:val="0"/>
          <w:noProof w:val="0"/>
          <w:sz w:val="24"/>
          <w:szCs w:val="24"/>
          <w:lang w:val="en-US"/>
        </w:rPr>
        <w:t xml:space="preserve"> learning (Kifle et al., 2021). Pharmacists also require ongoing competency development through simulation-based training, mentorship, and structured induction to strengthen clinical judgement and error recognition. Supporting effective patient counselling particularly in low-literacy and multilingual contexts through pictorial aids, translated labels, and culturally sensitive communication strategies can further improve adherence and medication safety outcomes.</w:t>
      </w:r>
    </w:p>
    <w:p w:rsidR="668EA0FB" w:rsidP="668EA0FB" w:rsidRDefault="668EA0FB" w14:paraId="3014F5B5" w14:textId="5B0332EA">
      <w:pPr>
        <w:spacing w:before="240" w:beforeAutospacing="off" w:after="240" w:afterAutospacing="off"/>
        <w:rPr>
          <w:rFonts w:ascii="Arial" w:hAnsi="Arial" w:eastAsia="Arial" w:cs="Arial"/>
          <w:b w:val="0"/>
          <w:bCs w:val="0"/>
          <w:noProof w:val="0"/>
          <w:sz w:val="24"/>
          <w:szCs w:val="24"/>
          <w:lang w:val="en-US"/>
        </w:rPr>
      </w:pPr>
    </w:p>
    <w:p w:rsidR="668EA0FB" w:rsidP="668EA0FB" w:rsidRDefault="668EA0FB" w14:paraId="414108FD" w14:textId="47694F55">
      <w:pPr>
        <w:pStyle w:val="Normal"/>
        <w:rPr>
          <w:noProof w:val="0"/>
          <w:lang w:val="en-US"/>
        </w:rPr>
      </w:pPr>
    </w:p>
    <w:p w:rsidR="3B7BAD25" w:rsidP="057AE503" w:rsidRDefault="3B7BAD25" w14:paraId="1DFF3E1F" w14:textId="6EFE4871">
      <w:pPr>
        <w:pStyle w:val="Normal"/>
        <w:bidi w:val="0"/>
        <w:spacing w:before="240" w:beforeAutospacing="off" w:after="240" w:afterAutospacing="off"/>
        <w:jc w:val="both"/>
      </w:pPr>
      <w:r w:rsidRPr="5B971295" w:rsidR="717E0A9B">
        <w:rPr>
          <w:rFonts w:ascii="Arial" w:hAnsi="Arial" w:eastAsia="Arial" w:cs="Arial"/>
          <w:noProof w:val="0"/>
          <w:sz w:val="24"/>
          <w:szCs w:val="24"/>
          <w:lang w:val="en-US"/>
        </w:rPr>
        <w:t xml:space="preserve"> </w:t>
      </w:r>
      <w:r w:rsidRPr="5B971295" w:rsidR="717E0A9B">
        <w:rPr>
          <w:rStyle w:val="Heading2Char"/>
          <w:noProof w:val="0"/>
          <w:lang w:val="en-US"/>
        </w:rPr>
        <w:t>7.6 Limitations and Future Research</w:t>
      </w:r>
    </w:p>
    <w:p w:rsidR="3B7BAD25" w:rsidP="5B971295" w:rsidRDefault="3B7BAD25" w14:paraId="2BB4E28B" w14:textId="4D78F5A2">
      <w:pPr>
        <w:pStyle w:val="Normal"/>
        <w:bidi w:val="0"/>
        <w:spacing w:before="240" w:beforeAutospacing="off" w:after="240" w:afterAutospacing="off"/>
        <w:jc w:val="both"/>
        <w:rPr>
          <w:rFonts w:ascii="Arial" w:hAnsi="Arial" w:eastAsia="Arial" w:cs="Arial"/>
          <w:noProof w:val="0"/>
          <w:sz w:val="24"/>
          <w:szCs w:val="24"/>
          <w:lang w:val="en-US"/>
        </w:rPr>
      </w:pPr>
      <w:r w:rsidRPr="5B971295" w:rsidR="2D0FC700">
        <w:rPr>
          <w:rFonts w:ascii="Arial" w:hAnsi="Arial" w:eastAsia="Arial" w:cs="Arial"/>
          <w:noProof w:val="0"/>
          <w:sz w:val="24"/>
          <w:szCs w:val="24"/>
          <w:lang w:val="en-US"/>
        </w:rPr>
        <w:t xml:space="preserve">A key strength of this review lies in its exclusive focus on </w:t>
      </w:r>
      <w:r w:rsidRPr="5B971295" w:rsidR="2D0FC700">
        <w:rPr>
          <w:rFonts w:ascii="Arial" w:hAnsi="Arial" w:eastAsia="Arial" w:cs="Arial"/>
          <w:b w:val="0"/>
          <w:bCs w:val="0"/>
          <w:noProof w:val="0"/>
          <w:sz w:val="24"/>
          <w:szCs w:val="24"/>
          <w:lang w:val="en-US"/>
        </w:rPr>
        <w:t>qualitative evidence</w:t>
      </w:r>
      <w:r w:rsidRPr="5B971295" w:rsidR="2D0FC700">
        <w:rPr>
          <w:rFonts w:ascii="Arial" w:hAnsi="Arial" w:eastAsia="Arial" w:cs="Arial"/>
          <w:b w:val="0"/>
          <w:bCs w:val="0"/>
          <w:noProof w:val="0"/>
          <w:sz w:val="24"/>
          <w:szCs w:val="24"/>
          <w:lang w:val="en-US"/>
        </w:rPr>
        <w:t xml:space="preserve">, </w:t>
      </w:r>
      <w:r w:rsidRPr="5B971295" w:rsidR="2D0FC700">
        <w:rPr>
          <w:rFonts w:ascii="Arial" w:hAnsi="Arial" w:eastAsia="Arial" w:cs="Arial"/>
          <w:noProof w:val="0"/>
          <w:sz w:val="24"/>
          <w:szCs w:val="24"/>
          <w:lang w:val="en-US"/>
        </w:rPr>
        <w:t xml:space="preserve">which enabled exploration of </w:t>
      </w:r>
      <w:r w:rsidRPr="5B971295" w:rsidR="2D0FC700">
        <w:rPr>
          <w:rFonts w:ascii="Arial" w:hAnsi="Arial" w:eastAsia="Arial" w:cs="Arial"/>
          <w:noProof w:val="0"/>
          <w:sz w:val="24"/>
          <w:szCs w:val="24"/>
          <w:lang w:val="en-US"/>
        </w:rPr>
        <w:t>pharmacists’</w:t>
      </w:r>
      <w:r w:rsidRPr="5B971295" w:rsidR="2D0FC700">
        <w:rPr>
          <w:rFonts w:ascii="Arial" w:hAnsi="Arial" w:eastAsia="Arial" w:cs="Arial"/>
          <w:noProof w:val="0"/>
          <w:sz w:val="24"/>
          <w:szCs w:val="24"/>
          <w:lang w:val="en-US"/>
        </w:rPr>
        <w:t xml:space="preserve"> lived experiences, ethical dilemmas, and contextual challenges that are often overlooked in quantitative research. The inclusion of studies from diverse LMIC settings enhances the breadth and relevance of findings</w:t>
      </w:r>
      <w:r w:rsidRPr="5B971295" w:rsidR="2D0FC700">
        <w:rPr>
          <w:rFonts w:ascii="Arial" w:hAnsi="Arial" w:eastAsia="Arial" w:cs="Arial"/>
          <w:noProof w:val="0"/>
          <w:sz w:val="24"/>
          <w:szCs w:val="24"/>
          <w:lang w:val="en-US"/>
        </w:rPr>
        <w:t xml:space="preserve">.  </w:t>
      </w:r>
    </w:p>
    <w:p w:rsidR="3B7BAD25" w:rsidP="5B971295" w:rsidRDefault="3B7BAD25" w14:paraId="061CD000" w14:textId="37D004DD">
      <w:pPr>
        <w:pStyle w:val="Normal"/>
        <w:bidi w:val="0"/>
        <w:spacing w:before="240" w:beforeAutospacing="off" w:after="240" w:afterAutospacing="off"/>
        <w:jc w:val="both"/>
        <w:rPr>
          <w:rFonts w:ascii="Arial" w:hAnsi="Arial" w:eastAsia="Arial" w:cs="Arial"/>
          <w:b w:val="0"/>
          <w:bCs w:val="0"/>
          <w:noProof w:val="0"/>
          <w:sz w:val="24"/>
          <w:szCs w:val="24"/>
          <w:lang w:val="en-US"/>
        </w:rPr>
      </w:pPr>
      <w:r w:rsidRPr="5B971295" w:rsidR="717E0A9B">
        <w:rPr>
          <w:rFonts w:ascii="Arial" w:hAnsi="Arial" w:eastAsia="Arial" w:cs="Arial"/>
          <w:noProof w:val="0"/>
          <w:sz w:val="24"/>
          <w:szCs w:val="24"/>
          <w:lang w:val="en-US"/>
        </w:rPr>
        <w:t xml:space="preserve">This review focused primarily on qualitative studies, which provide depth but may not </w:t>
      </w:r>
      <w:r w:rsidRPr="5B971295" w:rsidR="717E0A9B">
        <w:rPr>
          <w:rFonts w:ascii="Arial" w:hAnsi="Arial" w:eastAsia="Arial" w:cs="Arial"/>
          <w:noProof w:val="0"/>
          <w:sz w:val="24"/>
          <w:szCs w:val="24"/>
          <w:lang w:val="en-US"/>
        </w:rPr>
        <w:t>represent</w:t>
      </w:r>
      <w:r w:rsidRPr="5B971295" w:rsidR="717E0A9B">
        <w:rPr>
          <w:rFonts w:ascii="Arial" w:hAnsi="Arial" w:eastAsia="Arial" w:cs="Arial"/>
          <w:noProof w:val="0"/>
          <w:sz w:val="24"/>
          <w:szCs w:val="24"/>
          <w:lang w:val="en-US"/>
        </w:rPr>
        <w:t xml:space="preserve"> national trends due to small sample sizes and contextual variability. Some studies lacked detailed descriptions of quality improvement interventions, limiting evaluation of effectiveness. </w:t>
      </w:r>
      <w:r w:rsidRPr="5B971295" w:rsidR="2D4CB302">
        <w:rPr>
          <w:rFonts w:ascii="Arial" w:hAnsi="Arial" w:eastAsia="Arial" w:cs="Arial"/>
          <w:noProof w:val="0"/>
          <w:sz w:val="24"/>
          <w:szCs w:val="24"/>
          <w:lang w:val="en-US"/>
        </w:rPr>
        <w:t xml:space="preserve">Future research should focus on evaluating the effectiveness of quality improvement interventions aimed at reducing dispensing errors in LMIC pharmacy settings. Mixed-methods and longitudinal studies may </w:t>
      </w:r>
      <w:r w:rsidRPr="5B971295" w:rsidR="2D4CB302">
        <w:rPr>
          <w:rFonts w:ascii="Arial" w:hAnsi="Arial" w:eastAsia="Arial" w:cs="Arial"/>
          <w:b w:val="0"/>
          <w:bCs w:val="0"/>
          <w:noProof w:val="0"/>
          <w:sz w:val="24"/>
          <w:szCs w:val="24"/>
          <w:lang w:val="en-US"/>
        </w:rPr>
        <w:t>provide</w:t>
      </w:r>
      <w:r w:rsidRPr="5B971295" w:rsidR="2D4CB302">
        <w:rPr>
          <w:rFonts w:ascii="Arial" w:hAnsi="Arial" w:eastAsia="Arial" w:cs="Arial"/>
          <w:b w:val="0"/>
          <w:bCs w:val="0"/>
          <w:noProof w:val="0"/>
          <w:sz w:val="24"/>
          <w:szCs w:val="24"/>
          <w:lang w:val="en-US"/>
        </w:rPr>
        <w:t xml:space="preserve"> valuable insight into how interventions are implemented, sustained, and adapted over time.</w:t>
      </w:r>
    </w:p>
    <w:p w:rsidR="3B7BAD25" w:rsidP="5B971295" w:rsidRDefault="3B7BAD25" w14:paraId="43BB3ABC" w14:textId="5327E6B6">
      <w:pPr>
        <w:bidi w:val="0"/>
        <w:spacing w:before="240" w:beforeAutospacing="off" w:after="240" w:afterAutospacing="off"/>
        <w:jc w:val="both"/>
      </w:pPr>
      <w:r w:rsidRPr="5B971295" w:rsidR="2D4CB302">
        <w:rPr>
          <w:rFonts w:ascii="Arial" w:hAnsi="Arial" w:eastAsia="Arial" w:cs="Arial"/>
          <w:b w:val="0"/>
          <w:bCs w:val="0"/>
          <w:noProof w:val="0"/>
          <w:sz w:val="24"/>
          <w:szCs w:val="24"/>
          <w:lang w:val="en-US"/>
        </w:rPr>
        <w:t xml:space="preserve">There is also a need for greater inclusion of </w:t>
      </w:r>
      <w:r w:rsidRPr="5B971295" w:rsidR="2D4CB302">
        <w:rPr>
          <w:rFonts w:ascii="Arial" w:hAnsi="Arial" w:eastAsia="Arial" w:cs="Arial"/>
          <w:b w:val="0"/>
          <w:bCs w:val="0"/>
          <w:noProof w:val="0"/>
          <w:sz w:val="24"/>
          <w:szCs w:val="24"/>
          <w:lang w:val="en-US"/>
        </w:rPr>
        <w:t>patient perspectives</w:t>
      </w:r>
      <w:r w:rsidRPr="5B971295" w:rsidR="2D4CB302">
        <w:rPr>
          <w:rFonts w:ascii="Arial" w:hAnsi="Arial" w:eastAsia="Arial" w:cs="Arial"/>
          <w:b w:val="0"/>
          <w:bCs w:val="0"/>
          <w:noProof w:val="0"/>
          <w:sz w:val="24"/>
          <w:szCs w:val="24"/>
          <w:lang w:val="en-US"/>
        </w:rPr>
        <w:t xml:space="preserve">, particularly </w:t>
      </w:r>
      <w:r w:rsidRPr="5B971295" w:rsidR="2D4CB302">
        <w:rPr>
          <w:rFonts w:ascii="Arial" w:hAnsi="Arial" w:eastAsia="Arial" w:cs="Arial"/>
          <w:b w:val="0"/>
          <w:bCs w:val="0"/>
          <w:noProof w:val="0"/>
          <w:sz w:val="24"/>
          <w:szCs w:val="24"/>
          <w:lang w:val="en-US"/>
        </w:rPr>
        <w:t>regarding</w:t>
      </w:r>
      <w:r w:rsidRPr="5B971295" w:rsidR="2D4CB302">
        <w:rPr>
          <w:rFonts w:ascii="Arial" w:hAnsi="Arial" w:eastAsia="Arial" w:cs="Arial"/>
          <w:b w:val="0"/>
          <w:bCs w:val="0"/>
          <w:noProof w:val="0"/>
          <w:sz w:val="24"/>
          <w:szCs w:val="24"/>
          <w:lang w:val="en-US"/>
        </w:rPr>
        <w:t xml:space="preserve"> counselling quality, understanding of medicines, and experiences of</w:t>
      </w:r>
      <w:r w:rsidRPr="5B971295" w:rsidR="2D4CB302">
        <w:rPr>
          <w:rFonts w:ascii="Arial" w:hAnsi="Arial" w:eastAsia="Arial" w:cs="Arial"/>
          <w:noProof w:val="0"/>
          <w:sz w:val="24"/>
          <w:szCs w:val="24"/>
          <w:lang w:val="en-US"/>
        </w:rPr>
        <w:t xml:space="preserve"> medication-related harm. Expanding research in rural and under-resourced settings would further enhance understanding of context-specific challenges.</w:t>
      </w:r>
    </w:p>
    <w:p w:rsidR="3B7BAD25" w:rsidP="5B971295" w:rsidRDefault="3B7BAD25" w14:paraId="2B502202" w14:textId="74278C11">
      <w:pPr>
        <w:pStyle w:val="Normal"/>
        <w:bidi w:val="0"/>
        <w:spacing w:before="240" w:beforeAutospacing="off" w:after="240" w:afterAutospacing="off"/>
        <w:jc w:val="both"/>
        <w:rPr>
          <w:rFonts w:ascii="Arial" w:hAnsi="Arial" w:eastAsia="Arial" w:cs="Arial"/>
          <w:noProof w:val="0"/>
          <w:sz w:val="24"/>
          <w:szCs w:val="24"/>
          <w:lang w:val="en-US"/>
        </w:rPr>
      </w:pPr>
    </w:p>
    <w:p w:rsidR="3B7BAD25" w:rsidP="407E75B8" w:rsidRDefault="3B7BAD25" w14:paraId="1FACF7FE" w14:textId="06DFC12C">
      <w:pPr>
        <w:pStyle w:val="Heading2"/>
        <w:bidi w:val="0"/>
        <w:jc w:val="both"/>
        <w:rPr>
          <w:noProof w:val="0"/>
          <w:lang w:val="en-US"/>
        </w:rPr>
      </w:pPr>
      <w:bookmarkStart w:name="_Toc1995922572" w:id="255078643"/>
      <w:r w:rsidRPr="668EA0FB" w:rsidR="5FA4A4BC">
        <w:rPr>
          <w:noProof w:val="0"/>
          <w:lang w:val="en-US"/>
        </w:rPr>
        <w:t>7.7 Final Summary</w:t>
      </w:r>
      <w:bookmarkEnd w:id="255078643"/>
    </w:p>
    <w:p w:rsidR="4369956E" w:rsidP="4369956E" w:rsidRDefault="4369956E" w14:paraId="419646C4" w14:textId="367E9719">
      <w:pPr>
        <w:pStyle w:val="Normal"/>
        <w:bidi w:val="0"/>
        <w:spacing w:before="240" w:beforeAutospacing="off" w:after="240" w:afterAutospacing="off"/>
        <w:jc w:val="both"/>
      </w:pPr>
      <w:r w:rsidRPr="668EA0FB" w:rsidR="30DEEDAE">
        <w:rPr>
          <w:rFonts w:ascii="Arial" w:hAnsi="Arial" w:eastAsia="Arial" w:cs="Arial"/>
          <w:noProof w:val="0"/>
          <w:sz w:val="24"/>
          <w:szCs w:val="24"/>
          <w:lang w:val="en-US"/>
        </w:rPr>
        <w:t>This dissertation demonstrates that pharmacist-related dispensing errors in low- and middle-income countries (LMICs) arise from complex system-level failures rather than individual shortcomings. Interacting factors such as knowledge gaps, organisational weaknesses, sociocultural pressures, and structural inequities collectively compromise medication safety. Addressing these challenges requires coordinated, system-wide quality improvement approaches that support pharmacists through education, effective regulation, and positive organisational culture change. Strengthening pharmacy practice and medication safety systems in this way offers a sustainable pathway to reducing preventable harm and improving patient outcomes in LMIC settings.</w:t>
      </w:r>
    </w:p>
    <w:p w:rsidR="5E52C840" w:rsidP="668EA0FB" w:rsidRDefault="5E52C840" w14:paraId="0D820A0D" w14:textId="6FB1B16F">
      <w:pPr>
        <w:pStyle w:val="Heading3"/>
        <w:rPr>
          <w:rFonts w:ascii="Arial" w:hAnsi="Arial" w:eastAsia="Arial" w:cs="Arial"/>
          <w:noProof w:val="0"/>
          <w:sz w:val="24"/>
          <w:szCs w:val="24"/>
          <w:lang w:val="en-US"/>
        </w:rPr>
      </w:pPr>
      <w:bookmarkStart w:name="_Toc1684118331" w:id="1647330067"/>
      <w:r w:rsidRPr="668EA0FB" w:rsidR="5E52C840">
        <w:rPr>
          <w:noProof w:val="0"/>
          <w:lang w:val="en-US"/>
        </w:rPr>
        <w:t>Appendix 1</w:t>
      </w:r>
      <w:bookmarkEnd w:id="1647330067"/>
    </w:p>
    <w:p w:rsidR="4369956E" w:rsidP="4369956E" w:rsidRDefault="4369956E" w14:paraId="00537130" w14:textId="592DA279">
      <w:pPr>
        <w:pStyle w:val="Normal"/>
        <w:bidi w:val="0"/>
        <w:spacing w:before="240" w:beforeAutospacing="off" w:after="240" w:afterAutospacing="off"/>
        <w:jc w:val="both"/>
        <w:rPr>
          <w:rFonts w:ascii="Arial" w:hAnsi="Arial" w:eastAsia="Arial" w:cs="Arial"/>
          <w:noProof w:val="0"/>
          <w:sz w:val="24"/>
          <w:szCs w:val="24"/>
          <w:lang w:val="en-US"/>
        </w:rPr>
      </w:pPr>
    </w:p>
    <w:tbl>
      <w:tblPr>
        <w:tblStyle w:val="TableGridLight"/>
        <w:bidiVisual w:val="0"/>
        <w:tblW w:w="0" w:type="auto"/>
        <w:tblLook w:val="06A0" w:firstRow="1" w:lastRow="0" w:firstColumn="1" w:lastColumn="0" w:noHBand="1" w:noVBand="1"/>
      </w:tblPr>
      <w:tblGrid>
        <w:gridCol w:w="731"/>
        <w:gridCol w:w="1010"/>
        <w:gridCol w:w="1942"/>
        <w:gridCol w:w="1438"/>
        <w:gridCol w:w="2422"/>
        <w:gridCol w:w="1818"/>
      </w:tblGrid>
      <w:tr w:rsidR="4369956E" w:rsidTr="4369956E" w14:paraId="2A09B855">
        <w:trPr>
          <w:trHeight w:val="300"/>
        </w:trPr>
        <w:tc>
          <w:tcPr>
            <w:tcW w:w="731" w:type="dxa"/>
            <w:tcMar/>
          </w:tcPr>
          <w:p w:rsidR="4369956E" w:rsidP="4369956E" w:rsidRDefault="4369956E" w14:paraId="317CA173" w14:textId="392ECA75">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Author (Year)</w:t>
            </w:r>
          </w:p>
        </w:tc>
        <w:tc>
          <w:tcPr>
            <w:tcW w:w="1010" w:type="dxa"/>
            <w:tcMar/>
          </w:tcPr>
          <w:p w:rsidR="4369956E" w:rsidP="4369956E" w:rsidRDefault="4369956E" w14:paraId="12F91792" w14:textId="1C94E353">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Country / Setting</w:t>
            </w:r>
          </w:p>
        </w:tc>
        <w:tc>
          <w:tcPr>
            <w:tcW w:w="1942" w:type="dxa"/>
            <w:tcMar/>
          </w:tcPr>
          <w:p w:rsidR="4369956E" w:rsidP="4369956E" w:rsidRDefault="4369956E" w14:paraId="16C0A872" w14:textId="41D5CE20">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Study Aim</w:t>
            </w:r>
          </w:p>
        </w:tc>
        <w:tc>
          <w:tcPr>
            <w:tcW w:w="1438" w:type="dxa"/>
            <w:tcMar/>
          </w:tcPr>
          <w:p w:rsidR="4369956E" w:rsidP="4369956E" w:rsidRDefault="4369956E" w14:paraId="6E1E5E3A" w14:textId="319BE66F">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Study Design &amp; Participants</w:t>
            </w:r>
          </w:p>
        </w:tc>
        <w:tc>
          <w:tcPr>
            <w:tcW w:w="2422" w:type="dxa"/>
            <w:tcMar/>
          </w:tcPr>
          <w:p w:rsidR="4369956E" w:rsidP="4369956E" w:rsidRDefault="4369956E" w14:paraId="6D90114B" w14:textId="302F8069">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Key Findings Related to Dispensing Errors</w:t>
            </w:r>
          </w:p>
        </w:tc>
        <w:tc>
          <w:tcPr>
            <w:tcW w:w="1818" w:type="dxa"/>
            <w:tcMar/>
          </w:tcPr>
          <w:p w:rsidR="4369956E" w:rsidP="4369956E" w:rsidRDefault="4369956E" w14:paraId="7B1FF46B" w14:textId="752A992E">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Quality Improvement / Safety Implications</w:t>
            </w:r>
          </w:p>
        </w:tc>
      </w:tr>
      <w:tr w:rsidR="4369956E" w:rsidTr="4369956E" w14:paraId="310715A7">
        <w:trPr>
          <w:trHeight w:val="300"/>
        </w:trPr>
        <w:tc>
          <w:tcPr>
            <w:tcW w:w="731" w:type="dxa"/>
            <w:tcMar/>
          </w:tcPr>
          <w:p w:rsidR="4369956E" w:rsidP="4369956E" w:rsidRDefault="4369956E" w14:paraId="4938AF34" w14:textId="67D1AA9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Musoke et al. (2023)</w:t>
            </w:r>
          </w:p>
        </w:tc>
        <w:tc>
          <w:tcPr>
            <w:tcW w:w="1010" w:type="dxa"/>
            <w:tcMar/>
          </w:tcPr>
          <w:p w:rsidR="4369956E" w:rsidP="4369956E" w:rsidRDefault="4369956E" w14:paraId="2E5124B1" w14:textId="154EE2C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Uganda / Community Pharmacies</w:t>
            </w:r>
          </w:p>
        </w:tc>
        <w:tc>
          <w:tcPr>
            <w:tcW w:w="1942" w:type="dxa"/>
            <w:tcMar/>
          </w:tcPr>
          <w:p w:rsidR="4369956E" w:rsidP="4369956E" w:rsidRDefault="4369956E" w14:paraId="6970AD6C" w14:textId="40E8402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explore antimicrobial dispensing practices and stewardship challenges</w:t>
            </w:r>
          </w:p>
        </w:tc>
        <w:tc>
          <w:tcPr>
            <w:tcW w:w="1438" w:type="dxa"/>
            <w:tcMar/>
          </w:tcPr>
          <w:p w:rsidR="4369956E" w:rsidP="4369956E" w:rsidRDefault="4369956E" w14:paraId="6AA24BDA" w14:textId="03AC8DF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Qualitative interviews with pharmacy dispensers</w:t>
            </w:r>
          </w:p>
        </w:tc>
        <w:tc>
          <w:tcPr>
            <w:tcW w:w="2422" w:type="dxa"/>
            <w:tcMar/>
          </w:tcPr>
          <w:p w:rsidR="4369956E" w:rsidP="4369956E" w:rsidRDefault="4369956E" w14:paraId="09541DCF" w14:textId="407D4AE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 workload, weak regulation, patient pressure to dispense antibiotics without prescription</w:t>
            </w:r>
          </w:p>
        </w:tc>
        <w:tc>
          <w:tcPr>
            <w:tcW w:w="1818" w:type="dxa"/>
            <w:tcMar/>
          </w:tcPr>
          <w:p w:rsidR="4369956E" w:rsidP="4369956E" w:rsidRDefault="4369956E" w14:paraId="28A81C00" w14:textId="4E8AC46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Need for regulatory enforcement, stewardship training, and SOPs</w:t>
            </w:r>
          </w:p>
        </w:tc>
      </w:tr>
      <w:tr w:rsidR="4369956E" w:rsidTr="4369956E" w14:paraId="03772031">
        <w:trPr>
          <w:trHeight w:val="300"/>
        </w:trPr>
        <w:tc>
          <w:tcPr>
            <w:tcW w:w="731" w:type="dxa"/>
            <w:tcMar/>
          </w:tcPr>
          <w:p w:rsidR="4369956E" w:rsidP="4369956E" w:rsidRDefault="4369956E" w14:paraId="1A16226B" w14:textId="169CCD7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Saleem et al. (2021)</w:t>
            </w:r>
          </w:p>
        </w:tc>
        <w:tc>
          <w:tcPr>
            <w:tcW w:w="1010" w:type="dxa"/>
            <w:tcMar/>
          </w:tcPr>
          <w:p w:rsidR="4369956E" w:rsidP="4369956E" w:rsidRDefault="4369956E" w14:paraId="67BFC1EF" w14:textId="203A73A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Pakistan / Community Pharmacies</w:t>
            </w:r>
          </w:p>
        </w:tc>
        <w:tc>
          <w:tcPr>
            <w:tcW w:w="1942" w:type="dxa"/>
            <w:tcMar/>
          </w:tcPr>
          <w:p w:rsidR="4369956E" w:rsidP="4369956E" w:rsidRDefault="4369956E" w14:paraId="70EC501E" w14:textId="75DF28E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understand drivers of OTC antibiotic dispensing</w:t>
            </w:r>
          </w:p>
        </w:tc>
        <w:tc>
          <w:tcPr>
            <w:tcW w:w="1438" w:type="dxa"/>
            <w:tcMar/>
          </w:tcPr>
          <w:p w:rsidR="4369956E" w:rsidP="4369956E" w:rsidRDefault="4369956E" w14:paraId="479ED9BA" w14:textId="723FBD2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Interviews with pharmacists, dispensers, patients</w:t>
            </w:r>
          </w:p>
        </w:tc>
        <w:tc>
          <w:tcPr>
            <w:tcW w:w="2422" w:type="dxa"/>
            <w:tcMar/>
          </w:tcPr>
          <w:p w:rsidR="4369956E" w:rsidP="4369956E" w:rsidRDefault="4369956E" w14:paraId="0D9EA6A4" w14:textId="0516DEA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Financial incentives, fear of losing customers, lack of supervision</w:t>
            </w:r>
          </w:p>
        </w:tc>
        <w:tc>
          <w:tcPr>
            <w:tcW w:w="1818" w:type="dxa"/>
            <w:tcMar/>
          </w:tcPr>
          <w:p w:rsidR="4369956E" w:rsidP="4369956E" w:rsidRDefault="4369956E" w14:paraId="4726BD37" w14:textId="650C78E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Training, non-punitive regulation, patient education</w:t>
            </w:r>
          </w:p>
        </w:tc>
      </w:tr>
      <w:tr w:rsidR="4369956E" w:rsidTr="4369956E" w14:paraId="2B139C33">
        <w:trPr>
          <w:trHeight w:val="300"/>
        </w:trPr>
        <w:tc>
          <w:tcPr>
            <w:tcW w:w="731" w:type="dxa"/>
            <w:tcMar/>
          </w:tcPr>
          <w:p w:rsidR="4369956E" w:rsidP="4369956E" w:rsidRDefault="4369956E" w14:paraId="70808419" w14:textId="0E337B6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Mbugua et al. (2020)</w:t>
            </w:r>
          </w:p>
        </w:tc>
        <w:tc>
          <w:tcPr>
            <w:tcW w:w="1010" w:type="dxa"/>
            <w:tcMar/>
          </w:tcPr>
          <w:p w:rsidR="4369956E" w:rsidP="4369956E" w:rsidRDefault="4369956E" w14:paraId="666604EA" w14:textId="4025DE6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Kenya / Hospital Pharmacy</w:t>
            </w:r>
          </w:p>
        </w:tc>
        <w:tc>
          <w:tcPr>
            <w:tcW w:w="1942" w:type="dxa"/>
            <w:tcMar/>
          </w:tcPr>
          <w:p w:rsidR="4369956E" w:rsidP="4369956E" w:rsidRDefault="4369956E" w14:paraId="2F9227A4" w14:textId="5B117F1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explore pharmacists’ role in antimicrobial stewardship</w:t>
            </w:r>
          </w:p>
        </w:tc>
        <w:tc>
          <w:tcPr>
            <w:tcW w:w="1438" w:type="dxa"/>
            <w:tcMar/>
          </w:tcPr>
          <w:p w:rsidR="4369956E" w:rsidP="4369956E" w:rsidRDefault="4369956E" w14:paraId="07C20D0E" w14:textId="1CA5F75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Key-informant interviews with hospital pharmacists</w:t>
            </w:r>
          </w:p>
        </w:tc>
        <w:tc>
          <w:tcPr>
            <w:tcW w:w="2422" w:type="dxa"/>
            <w:tcMar/>
          </w:tcPr>
          <w:p w:rsidR="4369956E" w:rsidP="4369956E" w:rsidRDefault="4369956E" w14:paraId="1695ADAE" w14:textId="1007773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 authority of pharmacists, hierarchical barriers</w:t>
            </w:r>
          </w:p>
        </w:tc>
        <w:tc>
          <w:tcPr>
            <w:tcW w:w="1818" w:type="dxa"/>
            <w:tcMar/>
          </w:tcPr>
          <w:p w:rsidR="4369956E" w:rsidP="4369956E" w:rsidRDefault="4369956E" w14:paraId="4A37A546" w14:textId="7A647E4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Interprofessional collaboration, role expansion</w:t>
            </w:r>
          </w:p>
        </w:tc>
      </w:tr>
      <w:tr w:rsidR="4369956E" w:rsidTr="4369956E" w14:paraId="486BA5C0">
        <w:trPr>
          <w:trHeight w:val="300"/>
        </w:trPr>
        <w:tc>
          <w:tcPr>
            <w:tcW w:w="731" w:type="dxa"/>
            <w:tcMar/>
          </w:tcPr>
          <w:p w:rsidR="4369956E" w:rsidP="4369956E" w:rsidRDefault="4369956E" w14:paraId="32845C45" w14:textId="5901851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Mekonnen et al. (2015)</w:t>
            </w:r>
          </w:p>
        </w:tc>
        <w:tc>
          <w:tcPr>
            <w:tcW w:w="1010" w:type="dxa"/>
            <w:tcMar/>
          </w:tcPr>
          <w:p w:rsidR="4369956E" w:rsidP="4369956E" w:rsidRDefault="4369956E" w14:paraId="05C684B8" w14:textId="6BBE55A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Ethiopia / Hospital Pharmacy</w:t>
            </w:r>
          </w:p>
        </w:tc>
        <w:tc>
          <w:tcPr>
            <w:tcW w:w="1942" w:type="dxa"/>
            <w:tcMar/>
          </w:tcPr>
          <w:p w:rsidR="4369956E" w:rsidP="4369956E" w:rsidRDefault="4369956E" w14:paraId="04BE3510" w14:textId="70A24BE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examine transition to clinical pharmacy practice</w:t>
            </w:r>
          </w:p>
        </w:tc>
        <w:tc>
          <w:tcPr>
            <w:tcW w:w="1438" w:type="dxa"/>
            <w:tcMar/>
          </w:tcPr>
          <w:p w:rsidR="4369956E" w:rsidP="4369956E" w:rsidRDefault="4369956E" w14:paraId="6174A2AC" w14:textId="14C2999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Semi-structured interviews with pharmacists</w:t>
            </w:r>
          </w:p>
        </w:tc>
        <w:tc>
          <w:tcPr>
            <w:tcW w:w="2422" w:type="dxa"/>
            <w:tcMar/>
          </w:tcPr>
          <w:p w:rsidR="4369956E" w:rsidP="4369956E" w:rsidRDefault="4369956E" w14:paraId="3E6E24F2" w14:textId="00C038C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Inadequate clinical training, unclear roles</w:t>
            </w:r>
          </w:p>
        </w:tc>
        <w:tc>
          <w:tcPr>
            <w:tcW w:w="1818" w:type="dxa"/>
            <w:tcMar/>
          </w:tcPr>
          <w:p w:rsidR="4369956E" w:rsidP="4369956E" w:rsidRDefault="4369956E" w14:paraId="0BF3A0D3" w14:textId="4BD8973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Structured CPD and clinical supervision</w:t>
            </w:r>
          </w:p>
        </w:tc>
      </w:tr>
      <w:tr w:rsidR="4369956E" w:rsidTr="4369956E" w14:paraId="3A9B16B4">
        <w:trPr>
          <w:trHeight w:val="300"/>
        </w:trPr>
        <w:tc>
          <w:tcPr>
            <w:tcW w:w="731" w:type="dxa"/>
            <w:tcMar/>
          </w:tcPr>
          <w:p w:rsidR="4369956E" w:rsidP="4369956E" w:rsidRDefault="4369956E" w14:paraId="3DDAC30F" w14:textId="70CF9C3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Atif et al. (2019)</w:t>
            </w:r>
          </w:p>
        </w:tc>
        <w:tc>
          <w:tcPr>
            <w:tcW w:w="1010" w:type="dxa"/>
            <w:tcMar/>
          </w:tcPr>
          <w:p w:rsidR="4369956E" w:rsidP="4369956E" w:rsidRDefault="4369956E" w14:paraId="045E898E" w14:textId="6668DAD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Pakistan / Community Pharmacies</w:t>
            </w:r>
          </w:p>
        </w:tc>
        <w:tc>
          <w:tcPr>
            <w:tcW w:w="1942" w:type="dxa"/>
            <w:tcMar/>
          </w:tcPr>
          <w:p w:rsidR="4369956E" w:rsidP="4369956E" w:rsidRDefault="4369956E" w14:paraId="5F379C54" w14:textId="1B4B161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assess antibiotic use practices</w:t>
            </w:r>
          </w:p>
        </w:tc>
        <w:tc>
          <w:tcPr>
            <w:tcW w:w="1438" w:type="dxa"/>
            <w:tcMar/>
          </w:tcPr>
          <w:p w:rsidR="4369956E" w:rsidP="4369956E" w:rsidRDefault="4369956E" w14:paraId="30E6859D" w14:textId="663CD2F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Qualitative interviews</w:t>
            </w:r>
          </w:p>
        </w:tc>
        <w:tc>
          <w:tcPr>
            <w:tcW w:w="2422" w:type="dxa"/>
            <w:tcMar/>
          </w:tcPr>
          <w:p w:rsidR="4369956E" w:rsidP="4369956E" w:rsidRDefault="4369956E" w14:paraId="1B9EB10A" w14:textId="02635EC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Knowledge gaps, weak enforcement, patient demand</w:t>
            </w:r>
          </w:p>
        </w:tc>
        <w:tc>
          <w:tcPr>
            <w:tcW w:w="1818" w:type="dxa"/>
            <w:tcMar/>
          </w:tcPr>
          <w:p w:rsidR="4369956E" w:rsidP="4369956E" w:rsidRDefault="4369956E" w14:paraId="50433D2D" w14:textId="1170EF6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Continuous education and policy enforcement</w:t>
            </w:r>
          </w:p>
        </w:tc>
      </w:tr>
      <w:tr w:rsidR="4369956E" w:rsidTr="4369956E" w14:paraId="36F0BA88">
        <w:trPr>
          <w:trHeight w:val="300"/>
        </w:trPr>
        <w:tc>
          <w:tcPr>
            <w:tcW w:w="731" w:type="dxa"/>
            <w:tcMar/>
          </w:tcPr>
          <w:p w:rsidR="4369956E" w:rsidP="4369956E" w:rsidRDefault="4369956E" w14:paraId="5228F3B6" w14:textId="48C642E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Roche et al. (2021)</w:t>
            </w:r>
          </w:p>
        </w:tc>
        <w:tc>
          <w:tcPr>
            <w:tcW w:w="1010" w:type="dxa"/>
            <w:tcMar/>
          </w:tcPr>
          <w:p w:rsidR="4369956E" w:rsidP="4369956E" w:rsidRDefault="4369956E" w14:paraId="4FAEF307" w14:textId="7BCE836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Kenya / Community Pharmacies</w:t>
            </w:r>
          </w:p>
        </w:tc>
        <w:tc>
          <w:tcPr>
            <w:tcW w:w="1942" w:type="dxa"/>
            <w:tcMar/>
          </w:tcPr>
          <w:p w:rsidR="4369956E" w:rsidP="4369956E" w:rsidRDefault="4369956E" w14:paraId="5A732A40" w14:textId="3869C86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assess feasibility of pharmacy-based interventions</w:t>
            </w:r>
          </w:p>
        </w:tc>
        <w:tc>
          <w:tcPr>
            <w:tcW w:w="1438" w:type="dxa"/>
            <w:tcMar/>
          </w:tcPr>
          <w:p w:rsidR="4369956E" w:rsidP="4369956E" w:rsidRDefault="4369956E" w14:paraId="279D7EFA" w14:textId="1F8C7C7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Interviews and focus groups</w:t>
            </w:r>
          </w:p>
        </w:tc>
        <w:tc>
          <w:tcPr>
            <w:tcW w:w="2422" w:type="dxa"/>
            <w:tcMar/>
          </w:tcPr>
          <w:p w:rsidR="4369956E" w:rsidP="4369956E" w:rsidRDefault="4369956E" w14:paraId="07CCBD9E" w14:textId="7177D55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Trust issues, workload constraints</w:t>
            </w:r>
          </w:p>
        </w:tc>
        <w:tc>
          <w:tcPr>
            <w:tcW w:w="1818" w:type="dxa"/>
            <w:tcMar/>
          </w:tcPr>
          <w:p w:rsidR="4369956E" w:rsidP="4369956E" w:rsidRDefault="4369956E" w14:paraId="6D81D7D9" w14:textId="279FEEE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Workflow redesign, staff engagement</w:t>
            </w:r>
          </w:p>
        </w:tc>
      </w:tr>
      <w:tr w:rsidR="4369956E" w:rsidTr="4369956E" w14:paraId="61CF73DB">
        <w:trPr>
          <w:trHeight w:val="300"/>
        </w:trPr>
        <w:tc>
          <w:tcPr>
            <w:tcW w:w="731" w:type="dxa"/>
            <w:tcMar/>
          </w:tcPr>
          <w:p w:rsidR="4369956E" w:rsidP="4369956E" w:rsidRDefault="4369956E" w14:paraId="798568ED" w14:textId="2861A5D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Crafford et al. (2024)</w:t>
            </w:r>
          </w:p>
        </w:tc>
        <w:tc>
          <w:tcPr>
            <w:tcW w:w="1010" w:type="dxa"/>
            <w:tcMar/>
          </w:tcPr>
          <w:p w:rsidR="4369956E" w:rsidP="4369956E" w:rsidRDefault="4369956E" w14:paraId="335031EA" w14:textId="19884D9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South Africa / Hospitals</w:t>
            </w:r>
          </w:p>
        </w:tc>
        <w:tc>
          <w:tcPr>
            <w:tcW w:w="1942" w:type="dxa"/>
            <w:tcMar/>
          </w:tcPr>
          <w:p w:rsidR="4369956E" w:rsidP="4369956E" w:rsidRDefault="4369956E" w14:paraId="323A73CC" w14:textId="3953C0E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 xml:space="preserve">To </w:t>
            </w:r>
            <w:r w:rsidRPr="4369956E" w:rsidR="4369956E">
              <w:rPr>
                <w:rFonts w:ascii="Arial" w:hAnsi="Arial" w:eastAsia="Arial" w:cs="Arial"/>
                <w:sz w:val="16"/>
                <w:szCs w:val="16"/>
              </w:rPr>
              <w:t>identify</w:t>
            </w:r>
            <w:r w:rsidRPr="4369956E" w:rsidR="4369956E">
              <w:rPr>
                <w:rFonts w:ascii="Arial" w:hAnsi="Arial" w:eastAsia="Arial" w:cs="Arial"/>
                <w:sz w:val="16"/>
                <w:szCs w:val="16"/>
              </w:rPr>
              <w:t xml:space="preserve"> barriers to clinical pharmacist integration</w:t>
            </w:r>
          </w:p>
        </w:tc>
        <w:tc>
          <w:tcPr>
            <w:tcW w:w="1438" w:type="dxa"/>
            <w:tcMar/>
          </w:tcPr>
          <w:p w:rsidR="4369956E" w:rsidP="4369956E" w:rsidRDefault="4369956E" w14:paraId="2C679272" w14:textId="1A4D896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Qualitative interviews</w:t>
            </w:r>
          </w:p>
        </w:tc>
        <w:tc>
          <w:tcPr>
            <w:tcW w:w="2422" w:type="dxa"/>
            <w:tcMar/>
          </w:tcPr>
          <w:p w:rsidR="4369956E" w:rsidP="4369956E" w:rsidRDefault="4369956E" w14:paraId="4F3940A3" w14:textId="4D939FD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Organisational</w:t>
            </w:r>
            <w:r w:rsidRPr="4369956E" w:rsidR="4369956E">
              <w:rPr>
                <w:rFonts w:ascii="Arial" w:hAnsi="Arial" w:eastAsia="Arial" w:cs="Arial"/>
                <w:sz w:val="16"/>
                <w:szCs w:val="16"/>
              </w:rPr>
              <w:t xml:space="preserve"> resistance, lack of leadership support</w:t>
            </w:r>
          </w:p>
        </w:tc>
        <w:tc>
          <w:tcPr>
            <w:tcW w:w="1818" w:type="dxa"/>
            <w:tcMar/>
          </w:tcPr>
          <w:p w:rsidR="4369956E" w:rsidP="4369956E" w:rsidRDefault="4369956E" w14:paraId="4BC498FC" w14:textId="74849C9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Leadership engagement and system redesign</w:t>
            </w:r>
          </w:p>
        </w:tc>
      </w:tr>
      <w:tr w:rsidR="4369956E" w:rsidTr="4369956E" w14:paraId="336CF0C9">
        <w:trPr>
          <w:trHeight w:val="300"/>
        </w:trPr>
        <w:tc>
          <w:tcPr>
            <w:tcW w:w="731" w:type="dxa"/>
            <w:tcMar/>
          </w:tcPr>
          <w:p w:rsidR="4369956E" w:rsidP="4369956E" w:rsidRDefault="4369956E" w14:paraId="23A3BAC7" w14:textId="45626AD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Gelayee</w:t>
            </w:r>
            <w:r w:rsidRPr="4369956E" w:rsidR="4369956E">
              <w:rPr>
                <w:rFonts w:ascii="Arial" w:hAnsi="Arial" w:eastAsia="Arial" w:cs="Arial"/>
                <w:sz w:val="16"/>
                <w:szCs w:val="16"/>
              </w:rPr>
              <w:t xml:space="preserve"> et al. (2017)</w:t>
            </w:r>
          </w:p>
        </w:tc>
        <w:tc>
          <w:tcPr>
            <w:tcW w:w="1010" w:type="dxa"/>
            <w:tcMar/>
          </w:tcPr>
          <w:p w:rsidR="4369956E" w:rsidP="4369956E" w:rsidRDefault="4369956E" w14:paraId="77D58386" w14:textId="51C9EED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Ethiopia / Community Pharmacies</w:t>
            </w:r>
          </w:p>
        </w:tc>
        <w:tc>
          <w:tcPr>
            <w:tcW w:w="1942" w:type="dxa"/>
            <w:tcMar/>
          </w:tcPr>
          <w:p w:rsidR="4369956E" w:rsidP="4369956E" w:rsidRDefault="4369956E" w14:paraId="4C2BE10F" w14:textId="0EB5D66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 xml:space="preserve">To explore </w:t>
            </w:r>
            <w:r w:rsidRPr="4369956E" w:rsidR="4369956E">
              <w:rPr>
                <w:rFonts w:ascii="Arial" w:hAnsi="Arial" w:eastAsia="Arial" w:cs="Arial"/>
                <w:sz w:val="16"/>
                <w:szCs w:val="16"/>
              </w:rPr>
              <w:t>perceptions</w:t>
            </w:r>
            <w:r w:rsidRPr="4369956E" w:rsidR="4369956E">
              <w:rPr>
                <w:rFonts w:ascii="Arial" w:hAnsi="Arial" w:eastAsia="Arial" w:cs="Arial"/>
                <w:sz w:val="16"/>
                <w:szCs w:val="16"/>
              </w:rPr>
              <w:t xml:space="preserve"> of dispensing errors</w:t>
            </w:r>
          </w:p>
        </w:tc>
        <w:tc>
          <w:tcPr>
            <w:tcW w:w="1438" w:type="dxa"/>
            <w:tcMar/>
          </w:tcPr>
          <w:p w:rsidR="4369956E" w:rsidP="4369956E" w:rsidRDefault="4369956E" w14:paraId="6CF540DA" w14:textId="3730F04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Semi-structured interviews</w:t>
            </w:r>
          </w:p>
        </w:tc>
        <w:tc>
          <w:tcPr>
            <w:tcW w:w="2422" w:type="dxa"/>
            <w:tcMar/>
          </w:tcPr>
          <w:p w:rsidR="4369956E" w:rsidP="4369956E" w:rsidRDefault="4369956E" w14:paraId="4D0D46F1" w14:textId="31F56AE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LASA drugs, workload pressure, poor reporting culture</w:t>
            </w:r>
          </w:p>
        </w:tc>
        <w:tc>
          <w:tcPr>
            <w:tcW w:w="1818" w:type="dxa"/>
            <w:tcMar/>
          </w:tcPr>
          <w:p w:rsidR="4369956E" w:rsidP="4369956E" w:rsidRDefault="4369956E" w14:paraId="38559665" w14:textId="2F15AD8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Safety culture and reporting systems</w:t>
            </w:r>
          </w:p>
        </w:tc>
      </w:tr>
      <w:tr w:rsidR="4369956E" w:rsidTr="4369956E" w14:paraId="472D4C2B">
        <w:trPr>
          <w:trHeight w:val="300"/>
        </w:trPr>
        <w:tc>
          <w:tcPr>
            <w:tcW w:w="731" w:type="dxa"/>
            <w:tcMar/>
          </w:tcPr>
          <w:p w:rsidR="4369956E" w:rsidP="4369956E" w:rsidRDefault="4369956E" w14:paraId="609829E8" w14:textId="65C41B8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Kentab</w:t>
            </w:r>
            <w:r w:rsidRPr="4369956E" w:rsidR="4369956E">
              <w:rPr>
                <w:rFonts w:ascii="Arial" w:hAnsi="Arial" w:eastAsia="Arial" w:cs="Arial"/>
                <w:sz w:val="16"/>
                <w:szCs w:val="16"/>
              </w:rPr>
              <w:t xml:space="preserve"> et al. (2024)</w:t>
            </w:r>
          </w:p>
        </w:tc>
        <w:tc>
          <w:tcPr>
            <w:tcW w:w="1010" w:type="dxa"/>
            <w:tcMar/>
          </w:tcPr>
          <w:p w:rsidR="4369956E" w:rsidP="4369956E" w:rsidRDefault="4369956E" w14:paraId="0E9638A9" w14:textId="04998DA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Multi-country</w:t>
            </w:r>
          </w:p>
        </w:tc>
        <w:tc>
          <w:tcPr>
            <w:tcW w:w="1942" w:type="dxa"/>
            <w:tcMar/>
          </w:tcPr>
          <w:p w:rsidR="4369956E" w:rsidP="4369956E" w:rsidRDefault="4369956E" w14:paraId="07ACE5F9" w14:textId="62C7BD9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explore dispensing for vulnerable populations</w:t>
            </w:r>
          </w:p>
        </w:tc>
        <w:tc>
          <w:tcPr>
            <w:tcW w:w="1438" w:type="dxa"/>
            <w:tcMar/>
          </w:tcPr>
          <w:p w:rsidR="4369956E" w:rsidP="4369956E" w:rsidRDefault="4369956E" w14:paraId="6DB51D20" w14:textId="0BB2B84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Qualitative interviews</w:t>
            </w:r>
          </w:p>
        </w:tc>
        <w:tc>
          <w:tcPr>
            <w:tcW w:w="2422" w:type="dxa"/>
            <w:tcMar/>
          </w:tcPr>
          <w:p w:rsidR="4369956E" w:rsidP="4369956E" w:rsidRDefault="4369956E" w14:paraId="5011F01B" w14:textId="2B424DB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Inadequate counselling, accessibility barriers</w:t>
            </w:r>
          </w:p>
        </w:tc>
        <w:tc>
          <w:tcPr>
            <w:tcW w:w="1818" w:type="dxa"/>
            <w:tcMar/>
          </w:tcPr>
          <w:p w:rsidR="4369956E" w:rsidP="4369956E" w:rsidRDefault="4369956E" w14:paraId="1F68B9FF" w14:textId="2AE69B4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Inclusive dispensing protocols</w:t>
            </w:r>
          </w:p>
        </w:tc>
      </w:tr>
      <w:tr w:rsidR="4369956E" w:rsidTr="4369956E" w14:paraId="351B6F83">
        <w:trPr>
          <w:trHeight w:val="300"/>
        </w:trPr>
        <w:tc>
          <w:tcPr>
            <w:tcW w:w="731" w:type="dxa"/>
            <w:tcMar/>
          </w:tcPr>
          <w:p w:rsidR="4369956E" w:rsidP="4369956E" w:rsidRDefault="4369956E" w14:paraId="3A061AA4" w14:textId="7F8AFA9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Kamba et al. (2020)</w:t>
            </w:r>
          </w:p>
        </w:tc>
        <w:tc>
          <w:tcPr>
            <w:tcW w:w="1010" w:type="dxa"/>
            <w:tcMar/>
          </w:tcPr>
          <w:p w:rsidR="4369956E" w:rsidP="4369956E" w:rsidRDefault="4369956E" w14:paraId="42F29280" w14:textId="7948352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Uganda / Private Pharmacies</w:t>
            </w:r>
          </w:p>
        </w:tc>
        <w:tc>
          <w:tcPr>
            <w:tcW w:w="1942" w:type="dxa"/>
            <w:tcMar/>
          </w:tcPr>
          <w:p w:rsidR="4369956E" w:rsidP="4369956E" w:rsidRDefault="4369956E" w14:paraId="73BD4D07" w14:textId="28CF28A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assess regulatory compliance</w:t>
            </w:r>
          </w:p>
        </w:tc>
        <w:tc>
          <w:tcPr>
            <w:tcW w:w="1438" w:type="dxa"/>
            <w:tcMar/>
          </w:tcPr>
          <w:p w:rsidR="4369956E" w:rsidP="4369956E" w:rsidRDefault="4369956E" w14:paraId="768107E4" w14:textId="08F8129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Interviews &amp; simulated clients</w:t>
            </w:r>
          </w:p>
        </w:tc>
        <w:tc>
          <w:tcPr>
            <w:tcW w:w="2422" w:type="dxa"/>
            <w:tcMar/>
          </w:tcPr>
          <w:p w:rsidR="4369956E" w:rsidP="4369956E" w:rsidRDefault="4369956E" w14:paraId="49E2068E" w14:textId="3224B0F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Frequent non-compliance, weak inspections</w:t>
            </w:r>
          </w:p>
        </w:tc>
        <w:tc>
          <w:tcPr>
            <w:tcW w:w="1818" w:type="dxa"/>
            <w:tcMar/>
          </w:tcPr>
          <w:p w:rsidR="4369956E" w:rsidP="4369956E" w:rsidRDefault="4369956E" w14:paraId="2989969D" w14:textId="3229DB6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Regulatory audits and enforcement</w:t>
            </w:r>
          </w:p>
        </w:tc>
      </w:tr>
      <w:tr w:rsidR="4369956E" w:rsidTr="4369956E" w14:paraId="3362F783">
        <w:trPr>
          <w:trHeight w:val="300"/>
        </w:trPr>
        <w:tc>
          <w:tcPr>
            <w:tcW w:w="731" w:type="dxa"/>
            <w:tcMar/>
          </w:tcPr>
          <w:p w:rsidR="4369956E" w:rsidP="4369956E" w:rsidRDefault="4369956E" w14:paraId="21B124A6" w14:textId="7534F05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Tegegn et al. (2020)</w:t>
            </w:r>
          </w:p>
        </w:tc>
        <w:tc>
          <w:tcPr>
            <w:tcW w:w="1010" w:type="dxa"/>
            <w:tcMar/>
          </w:tcPr>
          <w:p w:rsidR="4369956E" w:rsidP="4369956E" w:rsidRDefault="4369956E" w14:paraId="1E631915" w14:textId="3043B43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Ethiopia / Community Pharmacies</w:t>
            </w:r>
          </w:p>
        </w:tc>
        <w:tc>
          <w:tcPr>
            <w:tcW w:w="1942" w:type="dxa"/>
            <w:tcMar/>
          </w:tcPr>
          <w:p w:rsidR="4369956E" w:rsidP="4369956E" w:rsidRDefault="4369956E" w14:paraId="6B2A1800" w14:textId="2F2C0FB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examine ethical challenges in dispensing</w:t>
            </w:r>
          </w:p>
        </w:tc>
        <w:tc>
          <w:tcPr>
            <w:tcW w:w="1438" w:type="dxa"/>
            <w:tcMar/>
          </w:tcPr>
          <w:p w:rsidR="4369956E" w:rsidP="4369956E" w:rsidRDefault="4369956E" w14:paraId="5247DD29" w14:textId="022576C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Interviews</w:t>
            </w:r>
          </w:p>
        </w:tc>
        <w:tc>
          <w:tcPr>
            <w:tcW w:w="2422" w:type="dxa"/>
            <w:tcMar/>
          </w:tcPr>
          <w:p w:rsidR="4369956E" w:rsidP="4369956E" w:rsidRDefault="4369956E" w14:paraId="456F037C" w14:textId="56064AC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Moral distress due to shortages and patient pressure</w:t>
            </w:r>
          </w:p>
        </w:tc>
        <w:tc>
          <w:tcPr>
            <w:tcW w:w="1818" w:type="dxa"/>
            <w:tcMar/>
          </w:tcPr>
          <w:p w:rsidR="4369956E" w:rsidP="4369956E" w:rsidRDefault="4369956E" w14:paraId="0477A431" w14:textId="3547ED9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Ethical guidance and system support</w:t>
            </w:r>
          </w:p>
        </w:tc>
      </w:tr>
      <w:tr w:rsidR="4369956E" w:rsidTr="4369956E" w14:paraId="51D40DAF">
        <w:trPr>
          <w:trHeight w:val="300"/>
        </w:trPr>
        <w:tc>
          <w:tcPr>
            <w:tcW w:w="731" w:type="dxa"/>
            <w:tcMar/>
          </w:tcPr>
          <w:p w:rsidR="4369956E" w:rsidP="4369956E" w:rsidRDefault="4369956E" w14:paraId="1B72CB55" w14:textId="4B5FA44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Adhikari et al. (2021)</w:t>
            </w:r>
          </w:p>
        </w:tc>
        <w:tc>
          <w:tcPr>
            <w:tcW w:w="1010" w:type="dxa"/>
            <w:tcMar/>
          </w:tcPr>
          <w:p w:rsidR="4369956E" w:rsidP="4369956E" w:rsidRDefault="4369956E" w14:paraId="16B90C81" w14:textId="4035204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Nepal / Community Pharmacies</w:t>
            </w:r>
          </w:p>
        </w:tc>
        <w:tc>
          <w:tcPr>
            <w:tcW w:w="1942" w:type="dxa"/>
            <w:tcMar/>
          </w:tcPr>
          <w:p w:rsidR="4369956E" w:rsidP="4369956E" w:rsidRDefault="4369956E" w14:paraId="579F0599" w14:textId="335785E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To explore dispensing practices</w:t>
            </w:r>
          </w:p>
        </w:tc>
        <w:tc>
          <w:tcPr>
            <w:tcW w:w="1438" w:type="dxa"/>
            <w:tcMar/>
          </w:tcPr>
          <w:p w:rsidR="4369956E" w:rsidP="4369956E" w:rsidRDefault="4369956E" w14:paraId="11BCA0F3" w14:textId="12EBD69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Qualitative interviews</w:t>
            </w:r>
          </w:p>
        </w:tc>
        <w:tc>
          <w:tcPr>
            <w:tcW w:w="2422" w:type="dxa"/>
            <w:tcMar/>
          </w:tcPr>
          <w:p w:rsidR="4369956E" w:rsidP="4369956E" w:rsidRDefault="4369956E" w14:paraId="434A1BD6" w14:textId="09BE586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 training, reliance on experience</w:t>
            </w:r>
          </w:p>
        </w:tc>
        <w:tc>
          <w:tcPr>
            <w:tcW w:w="1818" w:type="dxa"/>
            <w:tcMar/>
          </w:tcPr>
          <w:p w:rsidR="4369956E" w:rsidP="4369956E" w:rsidRDefault="4369956E" w14:paraId="7E3A4547" w14:textId="2D52735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Standardised</w:t>
            </w:r>
            <w:r w:rsidRPr="4369956E" w:rsidR="4369956E">
              <w:rPr>
                <w:rFonts w:ascii="Arial" w:hAnsi="Arial" w:eastAsia="Arial" w:cs="Arial"/>
                <w:sz w:val="16"/>
                <w:szCs w:val="16"/>
              </w:rPr>
              <w:t xml:space="preserve"> training and SOPs</w:t>
            </w:r>
          </w:p>
        </w:tc>
      </w:tr>
    </w:tbl>
    <w:p w:rsidR="4369956E" w:rsidP="4369956E" w:rsidRDefault="4369956E" w14:paraId="5A23F594" w14:textId="532749C6">
      <w:pPr>
        <w:pStyle w:val="Normal"/>
        <w:bidi w:val="0"/>
        <w:spacing w:before="240" w:beforeAutospacing="off" w:after="240" w:afterAutospacing="off"/>
        <w:jc w:val="both"/>
        <w:rPr>
          <w:rFonts w:ascii="Arial" w:hAnsi="Arial" w:eastAsia="Arial" w:cs="Arial"/>
          <w:noProof w:val="0"/>
          <w:sz w:val="16"/>
          <w:szCs w:val="16"/>
          <w:lang w:val="en-US"/>
        </w:rPr>
      </w:pPr>
    </w:p>
    <w:p w:rsidR="5D3DDCEC" w:rsidP="668EA0FB" w:rsidRDefault="5D3DDCEC" w14:paraId="16375F2A" w14:textId="11C17230">
      <w:pPr>
        <w:pStyle w:val="Heading3"/>
        <w:rPr>
          <w:rFonts w:ascii="Arial" w:hAnsi="Arial" w:eastAsia="Arial" w:cs="Arial"/>
          <w:noProof w:val="0"/>
          <w:sz w:val="16"/>
          <w:szCs w:val="16"/>
          <w:lang w:val="en-US"/>
        </w:rPr>
      </w:pPr>
      <w:bookmarkStart w:name="_Toc1642808271" w:id="2088101631"/>
      <w:r w:rsidRPr="668EA0FB" w:rsidR="5D3DDCEC">
        <w:rPr>
          <w:noProof w:val="0"/>
          <w:lang w:val="en-US"/>
        </w:rPr>
        <w:t>APPENDIX 2</w:t>
      </w:r>
      <w:bookmarkEnd w:id="2088101631"/>
    </w:p>
    <w:p w:rsidR="4369956E" w:rsidP="4369956E" w:rsidRDefault="4369956E" w14:paraId="21E2EC2D" w14:textId="5E55CFE1">
      <w:pPr>
        <w:pStyle w:val="Normal"/>
        <w:suppressLineNumbers w:val="0"/>
        <w:bidi w:val="0"/>
        <w:spacing w:before="240" w:beforeAutospacing="off" w:after="240" w:afterAutospacing="off" w:line="279" w:lineRule="auto"/>
        <w:ind w:left="0" w:right="0"/>
        <w:jc w:val="both"/>
        <w:rPr>
          <w:rFonts w:ascii="Arial" w:hAnsi="Arial" w:eastAsia="Arial" w:cs="Arial"/>
          <w:noProof w:val="0"/>
          <w:sz w:val="16"/>
          <w:szCs w:val="16"/>
          <w:lang w:val="en-US"/>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051"/>
        <w:gridCol w:w="492"/>
        <w:gridCol w:w="1251"/>
        <w:gridCol w:w="1035"/>
        <w:gridCol w:w="743"/>
        <w:gridCol w:w="516"/>
        <w:gridCol w:w="1092"/>
        <w:gridCol w:w="860"/>
        <w:gridCol w:w="710"/>
        <w:gridCol w:w="858"/>
        <w:gridCol w:w="750"/>
      </w:tblGrid>
      <w:tr w:rsidR="4369956E" w:rsidTr="4369956E" w14:paraId="63D838F2">
        <w:trPr>
          <w:trHeight w:val="300"/>
        </w:trPr>
        <w:tc>
          <w:tcPr>
            <w:tcW w:w="1051" w:type="dxa"/>
            <w:tcMar/>
            <w:vAlign w:val="center"/>
          </w:tcPr>
          <w:p w:rsidR="4369956E" w:rsidP="4369956E" w:rsidRDefault="4369956E" w14:paraId="3C62F54A" w14:textId="3B094CA1">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Study</w:t>
            </w:r>
          </w:p>
        </w:tc>
        <w:tc>
          <w:tcPr>
            <w:tcW w:w="492" w:type="dxa"/>
            <w:tcMar/>
            <w:vAlign w:val="center"/>
          </w:tcPr>
          <w:p w:rsidR="4369956E" w:rsidP="4369956E" w:rsidRDefault="4369956E" w14:paraId="15F9C263" w14:textId="5BB19C1C">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Clear Aim</w:t>
            </w:r>
          </w:p>
        </w:tc>
        <w:tc>
          <w:tcPr>
            <w:tcW w:w="1251" w:type="dxa"/>
            <w:tcMar/>
            <w:vAlign w:val="center"/>
          </w:tcPr>
          <w:p w:rsidR="4369956E" w:rsidP="4369956E" w:rsidRDefault="4369956E" w14:paraId="2E1DC096" w14:textId="0C38348D">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Appropriate Methodology</w:t>
            </w:r>
          </w:p>
        </w:tc>
        <w:tc>
          <w:tcPr>
            <w:tcW w:w="1035" w:type="dxa"/>
            <w:tcMar/>
            <w:vAlign w:val="center"/>
          </w:tcPr>
          <w:p w:rsidR="4369956E" w:rsidP="4369956E" w:rsidRDefault="4369956E" w14:paraId="07491394" w14:textId="03BEDAC9">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Recruitment Strategy</w:t>
            </w:r>
          </w:p>
        </w:tc>
        <w:tc>
          <w:tcPr>
            <w:tcW w:w="743" w:type="dxa"/>
            <w:tcMar/>
            <w:vAlign w:val="center"/>
          </w:tcPr>
          <w:p w:rsidR="4369956E" w:rsidP="4369956E" w:rsidRDefault="4369956E" w14:paraId="46FA8DE7" w14:textId="5E1C6600">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Data Collection</w:t>
            </w:r>
          </w:p>
        </w:tc>
        <w:tc>
          <w:tcPr>
            <w:tcW w:w="516" w:type="dxa"/>
            <w:tcMar/>
            <w:vAlign w:val="center"/>
          </w:tcPr>
          <w:p w:rsidR="4369956E" w:rsidP="4369956E" w:rsidRDefault="4369956E" w14:paraId="0E2E9CF9" w14:textId="50C74A10">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Reflexivity</w:t>
            </w:r>
          </w:p>
        </w:tc>
        <w:tc>
          <w:tcPr>
            <w:tcW w:w="1092" w:type="dxa"/>
            <w:tcMar/>
            <w:vAlign w:val="center"/>
          </w:tcPr>
          <w:p w:rsidR="4369956E" w:rsidP="4369956E" w:rsidRDefault="4369956E" w14:paraId="68A4E528" w14:textId="0D1CA2B9">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Ethical Considerations</w:t>
            </w:r>
          </w:p>
        </w:tc>
        <w:tc>
          <w:tcPr>
            <w:tcW w:w="860" w:type="dxa"/>
            <w:tcMar/>
            <w:vAlign w:val="center"/>
          </w:tcPr>
          <w:p w:rsidR="4369956E" w:rsidP="4369956E" w:rsidRDefault="4369956E" w14:paraId="53BD546A" w14:textId="2792CE56">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Rigorous Analysis</w:t>
            </w:r>
          </w:p>
        </w:tc>
        <w:tc>
          <w:tcPr>
            <w:tcW w:w="710" w:type="dxa"/>
            <w:tcMar/>
            <w:vAlign w:val="center"/>
          </w:tcPr>
          <w:p w:rsidR="4369956E" w:rsidP="4369956E" w:rsidRDefault="4369956E" w14:paraId="0985F6C5" w14:textId="4D4530B6">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Clear Findings</w:t>
            </w:r>
          </w:p>
        </w:tc>
        <w:tc>
          <w:tcPr>
            <w:tcW w:w="858" w:type="dxa"/>
            <w:tcMar/>
            <w:vAlign w:val="center"/>
          </w:tcPr>
          <w:p w:rsidR="4369956E" w:rsidP="4369956E" w:rsidRDefault="4369956E" w14:paraId="133FD81A" w14:textId="6833EF89">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Value of Research</w:t>
            </w:r>
          </w:p>
        </w:tc>
        <w:tc>
          <w:tcPr>
            <w:tcW w:w="750" w:type="dxa"/>
            <w:tcMar/>
            <w:vAlign w:val="center"/>
          </w:tcPr>
          <w:p w:rsidR="4369956E" w:rsidP="4369956E" w:rsidRDefault="4369956E" w14:paraId="1CD5DD05" w14:textId="659E6853">
            <w:pPr>
              <w:bidi w:val="0"/>
              <w:spacing w:before="0" w:beforeAutospacing="off" w:after="0" w:afterAutospacing="off"/>
              <w:jc w:val="center"/>
              <w:rPr>
                <w:rFonts w:ascii="Arial" w:hAnsi="Arial" w:eastAsia="Arial" w:cs="Arial"/>
                <w:b w:val="1"/>
                <w:bCs w:val="1"/>
                <w:sz w:val="16"/>
                <w:szCs w:val="16"/>
              </w:rPr>
            </w:pPr>
            <w:r w:rsidRPr="4369956E" w:rsidR="4369956E">
              <w:rPr>
                <w:rFonts w:ascii="Arial" w:hAnsi="Arial" w:eastAsia="Arial" w:cs="Arial"/>
                <w:b w:val="1"/>
                <w:bCs w:val="1"/>
                <w:sz w:val="16"/>
                <w:szCs w:val="16"/>
              </w:rPr>
              <w:t>Overall Quality</w:t>
            </w:r>
          </w:p>
        </w:tc>
      </w:tr>
      <w:tr w:rsidR="4369956E" w:rsidTr="4369956E" w14:paraId="437E454D">
        <w:trPr>
          <w:trHeight w:val="300"/>
        </w:trPr>
        <w:tc>
          <w:tcPr>
            <w:tcW w:w="1051" w:type="dxa"/>
            <w:tcMar/>
            <w:vAlign w:val="center"/>
          </w:tcPr>
          <w:p w:rsidR="4369956E" w:rsidP="4369956E" w:rsidRDefault="4369956E" w14:paraId="1BF50AA1" w14:textId="3878FF5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Musoke et al. (2023)</w:t>
            </w:r>
          </w:p>
        </w:tc>
        <w:tc>
          <w:tcPr>
            <w:tcW w:w="492" w:type="dxa"/>
            <w:tcMar/>
            <w:vAlign w:val="center"/>
          </w:tcPr>
          <w:p w:rsidR="4369956E" w:rsidP="4369956E" w:rsidRDefault="4369956E" w14:paraId="30BBEC22" w14:textId="36DD41C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605BCC44" w14:textId="4A8B14F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6F859E46" w14:textId="7FD6F66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73635F1D" w14:textId="7C5C30D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316A247C" w14:textId="160C855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700E4375" w14:textId="421AD05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492BF437" w14:textId="43F7211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177B9B77" w14:textId="4F0A435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54D8635D" w14:textId="179316E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113869CE" w14:textId="1024D52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527A30E6">
        <w:trPr>
          <w:trHeight w:val="300"/>
        </w:trPr>
        <w:tc>
          <w:tcPr>
            <w:tcW w:w="1051" w:type="dxa"/>
            <w:tcMar/>
            <w:vAlign w:val="center"/>
          </w:tcPr>
          <w:p w:rsidR="4369956E" w:rsidP="4369956E" w:rsidRDefault="4369956E" w14:paraId="4F82CF37" w14:textId="5882292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Saleem et al. (2021)</w:t>
            </w:r>
          </w:p>
        </w:tc>
        <w:tc>
          <w:tcPr>
            <w:tcW w:w="492" w:type="dxa"/>
            <w:tcMar/>
            <w:vAlign w:val="center"/>
          </w:tcPr>
          <w:p w:rsidR="4369956E" w:rsidP="4369956E" w:rsidRDefault="4369956E" w14:paraId="71B7FA06" w14:textId="52981D5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4208E937" w14:textId="48F2D09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20CF9D03" w14:textId="535001F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0160094A" w14:textId="573D1CE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571F0C4A" w14:textId="264DBF2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3B4B9BA5" w14:textId="2CA19DC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60CDF8FF" w14:textId="51506EC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7C9F835E" w14:textId="1647AA2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466DB595" w14:textId="1AAE613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2BBB5003" w14:textId="65EE86B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5D570598">
        <w:trPr>
          <w:trHeight w:val="300"/>
        </w:trPr>
        <w:tc>
          <w:tcPr>
            <w:tcW w:w="1051" w:type="dxa"/>
            <w:tcMar/>
            <w:vAlign w:val="center"/>
          </w:tcPr>
          <w:p w:rsidR="4369956E" w:rsidP="4369956E" w:rsidRDefault="4369956E" w14:paraId="2AD3666B" w14:textId="24115B6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Mbugua et al. (2020)</w:t>
            </w:r>
          </w:p>
        </w:tc>
        <w:tc>
          <w:tcPr>
            <w:tcW w:w="492" w:type="dxa"/>
            <w:tcMar/>
            <w:vAlign w:val="center"/>
          </w:tcPr>
          <w:p w:rsidR="4369956E" w:rsidP="4369956E" w:rsidRDefault="4369956E" w14:paraId="00DDDA77" w14:textId="64EDC48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39232F8A" w14:textId="552FDBD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60F76C4D" w14:textId="606B29B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7F31F0F9" w14:textId="0C6C496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13C2D5B9" w14:textId="54199AC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55206EC4" w14:textId="7F7C3B1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1516B3CD" w14:textId="173191C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10" w:type="dxa"/>
            <w:tcMar/>
            <w:vAlign w:val="center"/>
          </w:tcPr>
          <w:p w:rsidR="4369956E" w:rsidP="4369956E" w:rsidRDefault="4369956E" w14:paraId="3BF38BEF" w14:textId="3939F02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764BD040" w14:textId="2C0DD0E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4189342B" w14:textId="595D108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r>
      <w:tr w:rsidR="4369956E" w:rsidTr="4369956E" w14:paraId="6D48E8C4">
        <w:trPr>
          <w:trHeight w:val="300"/>
        </w:trPr>
        <w:tc>
          <w:tcPr>
            <w:tcW w:w="1051" w:type="dxa"/>
            <w:tcMar/>
            <w:vAlign w:val="center"/>
          </w:tcPr>
          <w:p w:rsidR="4369956E" w:rsidP="4369956E" w:rsidRDefault="4369956E" w14:paraId="6F84B8BA" w14:textId="7931FFE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Mekonnen et al. (2015)</w:t>
            </w:r>
          </w:p>
        </w:tc>
        <w:tc>
          <w:tcPr>
            <w:tcW w:w="492" w:type="dxa"/>
            <w:tcMar/>
            <w:vAlign w:val="center"/>
          </w:tcPr>
          <w:p w:rsidR="4369956E" w:rsidP="4369956E" w:rsidRDefault="4369956E" w14:paraId="6FB9722B" w14:textId="2970FD2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57FE9C93" w14:textId="0B36370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7657803E" w14:textId="1AD98A0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7EC25578" w14:textId="4683A74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21EB2A8D" w14:textId="23AEB8D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w:t>
            </w:r>
          </w:p>
        </w:tc>
        <w:tc>
          <w:tcPr>
            <w:tcW w:w="1092" w:type="dxa"/>
            <w:tcMar/>
            <w:vAlign w:val="center"/>
          </w:tcPr>
          <w:p w:rsidR="4369956E" w:rsidP="4369956E" w:rsidRDefault="4369956E" w14:paraId="3D17D324" w14:textId="734F0E3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21BA0C48" w14:textId="7365FCB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10" w:type="dxa"/>
            <w:tcMar/>
            <w:vAlign w:val="center"/>
          </w:tcPr>
          <w:p w:rsidR="4369956E" w:rsidP="4369956E" w:rsidRDefault="4369956E" w14:paraId="26AD4CB8" w14:textId="5F72051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03EA8F5D" w14:textId="10E2412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50" w:type="dxa"/>
            <w:tcMar/>
            <w:vAlign w:val="center"/>
          </w:tcPr>
          <w:p w:rsidR="4369956E" w:rsidP="4369956E" w:rsidRDefault="4369956E" w14:paraId="63D29F6B" w14:textId="698FCA7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r>
      <w:tr w:rsidR="4369956E" w:rsidTr="4369956E" w14:paraId="4F3B18FE">
        <w:trPr>
          <w:trHeight w:val="300"/>
        </w:trPr>
        <w:tc>
          <w:tcPr>
            <w:tcW w:w="1051" w:type="dxa"/>
            <w:tcMar/>
            <w:vAlign w:val="center"/>
          </w:tcPr>
          <w:p w:rsidR="4369956E" w:rsidP="4369956E" w:rsidRDefault="4369956E" w14:paraId="4A0B73DC" w14:textId="4FDBD5A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Atif et al. (2019)</w:t>
            </w:r>
          </w:p>
        </w:tc>
        <w:tc>
          <w:tcPr>
            <w:tcW w:w="492" w:type="dxa"/>
            <w:tcMar/>
            <w:vAlign w:val="center"/>
          </w:tcPr>
          <w:p w:rsidR="4369956E" w:rsidP="4369956E" w:rsidRDefault="4369956E" w14:paraId="033AD617" w14:textId="756CC75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4FD70EDB" w14:textId="0A88DA5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404AC933" w14:textId="15310E8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158FED94" w14:textId="1B81617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3DDA7F08" w14:textId="3571198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w:t>
            </w:r>
          </w:p>
        </w:tc>
        <w:tc>
          <w:tcPr>
            <w:tcW w:w="1092" w:type="dxa"/>
            <w:tcMar/>
            <w:vAlign w:val="center"/>
          </w:tcPr>
          <w:p w:rsidR="4369956E" w:rsidP="4369956E" w:rsidRDefault="4369956E" w14:paraId="079E19E1" w14:textId="5844AB3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56D8F5E4" w14:textId="1700045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1C5A0820" w14:textId="3C30AB5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56319352" w14:textId="28975B4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0F209746" w14:textId="3EF148A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7507F1AE">
        <w:trPr>
          <w:trHeight w:val="300"/>
        </w:trPr>
        <w:tc>
          <w:tcPr>
            <w:tcW w:w="1051" w:type="dxa"/>
            <w:tcMar/>
            <w:vAlign w:val="center"/>
          </w:tcPr>
          <w:p w:rsidR="4369956E" w:rsidP="4369956E" w:rsidRDefault="4369956E" w14:paraId="33CEABF0" w14:textId="47B1DD3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Roche et al. (2021)</w:t>
            </w:r>
          </w:p>
        </w:tc>
        <w:tc>
          <w:tcPr>
            <w:tcW w:w="492" w:type="dxa"/>
            <w:tcMar/>
            <w:vAlign w:val="center"/>
          </w:tcPr>
          <w:p w:rsidR="4369956E" w:rsidP="4369956E" w:rsidRDefault="4369956E" w14:paraId="253D6008" w14:textId="2295BA9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58D3EC6E" w14:textId="25FD80E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1C609EAC" w14:textId="1CDC4ED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358D210E" w14:textId="69A9BAD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69B32516" w14:textId="489F029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6B7057B4" w14:textId="23687D7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017A0CE1" w14:textId="4EDCB5E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5FC8B36E" w14:textId="1AB8AE2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4CC5CA20" w14:textId="1F982B3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25512752" w14:textId="7A15C9A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22A39506">
        <w:trPr>
          <w:trHeight w:val="300"/>
        </w:trPr>
        <w:tc>
          <w:tcPr>
            <w:tcW w:w="1051" w:type="dxa"/>
            <w:tcMar/>
            <w:vAlign w:val="center"/>
          </w:tcPr>
          <w:p w:rsidR="4369956E" w:rsidP="4369956E" w:rsidRDefault="4369956E" w14:paraId="7BBCED01" w14:textId="5AE69D4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Crafford et al. (2024)</w:t>
            </w:r>
          </w:p>
        </w:tc>
        <w:tc>
          <w:tcPr>
            <w:tcW w:w="492" w:type="dxa"/>
            <w:tcMar/>
            <w:vAlign w:val="center"/>
          </w:tcPr>
          <w:p w:rsidR="4369956E" w:rsidP="4369956E" w:rsidRDefault="4369956E" w14:paraId="2F7099A9" w14:textId="5E92612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0B338C3D" w14:textId="7413469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78E0F604" w14:textId="305B3D4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44368DB9" w14:textId="30773C7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7DF7171B" w14:textId="51F7027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92" w:type="dxa"/>
            <w:tcMar/>
            <w:vAlign w:val="center"/>
          </w:tcPr>
          <w:p w:rsidR="4369956E" w:rsidP="4369956E" w:rsidRDefault="4369956E" w14:paraId="23DFEE9C" w14:textId="52EA87E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3A8E31E2" w14:textId="15C0E38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7C107B5F" w14:textId="544BC35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25D5160E" w14:textId="6EEA8E9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55031706" w14:textId="4AD17C8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2F45DF67">
        <w:trPr>
          <w:trHeight w:val="300"/>
        </w:trPr>
        <w:tc>
          <w:tcPr>
            <w:tcW w:w="1051" w:type="dxa"/>
            <w:tcMar/>
            <w:vAlign w:val="center"/>
          </w:tcPr>
          <w:p w:rsidR="4369956E" w:rsidP="4369956E" w:rsidRDefault="4369956E" w14:paraId="476A64BD" w14:textId="615B6D2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Gelayee</w:t>
            </w:r>
            <w:r w:rsidRPr="4369956E" w:rsidR="4369956E">
              <w:rPr>
                <w:rFonts w:ascii="Arial" w:hAnsi="Arial" w:eastAsia="Arial" w:cs="Arial"/>
                <w:sz w:val="16"/>
                <w:szCs w:val="16"/>
              </w:rPr>
              <w:t xml:space="preserve"> et al. (2017)</w:t>
            </w:r>
          </w:p>
        </w:tc>
        <w:tc>
          <w:tcPr>
            <w:tcW w:w="492" w:type="dxa"/>
            <w:tcMar/>
            <w:vAlign w:val="center"/>
          </w:tcPr>
          <w:p w:rsidR="4369956E" w:rsidP="4369956E" w:rsidRDefault="4369956E" w14:paraId="099798F4" w14:textId="33B4EB2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6B575ED1" w14:textId="20B47B2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39F01035" w14:textId="4921035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10DE42A3" w14:textId="22B60AC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15D69C4F" w14:textId="083B312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w:t>
            </w:r>
          </w:p>
        </w:tc>
        <w:tc>
          <w:tcPr>
            <w:tcW w:w="1092" w:type="dxa"/>
            <w:tcMar/>
            <w:vAlign w:val="center"/>
          </w:tcPr>
          <w:p w:rsidR="4369956E" w:rsidP="4369956E" w:rsidRDefault="4369956E" w14:paraId="7D5DE4A7" w14:textId="31F86C5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4BC9029C" w14:textId="0E30586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10" w:type="dxa"/>
            <w:tcMar/>
            <w:vAlign w:val="center"/>
          </w:tcPr>
          <w:p w:rsidR="4369956E" w:rsidP="4369956E" w:rsidRDefault="4369956E" w14:paraId="33B16ECC" w14:textId="5B7AB2B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1BF8B67B" w14:textId="5D33B70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50" w:type="dxa"/>
            <w:tcMar/>
            <w:vAlign w:val="center"/>
          </w:tcPr>
          <w:p w:rsidR="4369956E" w:rsidP="4369956E" w:rsidRDefault="4369956E" w14:paraId="7072396A" w14:textId="4BDF24E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r>
      <w:tr w:rsidR="4369956E" w:rsidTr="4369956E" w14:paraId="158D1F31">
        <w:trPr>
          <w:trHeight w:val="300"/>
        </w:trPr>
        <w:tc>
          <w:tcPr>
            <w:tcW w:w="1051" w:type="dxa"/>
            <w:tcMar/>
            <w:vAlign w:val="center"/>
          </w:tcPr>
          <w:p w:rsidR="4369956E" w:rsidP="4369956E" w:rsidRDefault="4369956E" w14:paraId="022C6BB0" w14:textId="7D24BF1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Kentab</w:t>
            </w:r>
            <w:r w:rsidRPr="4369956E" w:rsidR="4369956E">
              <w:rPr>
                <w:rFonts w:ascii="Arial" w:hAnsi="Arial" w:eastAsia="Arial" w:cs="Arial"/>
                <w:sz w:val="16"/>
                <w:szCs w:val="16"/>
              </w:rPr>
              <w:t xml:space="preserve"> et al. (2024)</w:t>
            </w:r>
          </w:p>
        </w:tc>
        <w:tc>
          <w:tcPr>
            <w:tcW w:w="492" w:type="dxa"/>
            <w:tcMar/>
            <w:vAlign w:val="center"/>
          </w:tcPr>
          <w:p w:rsidR="4369956E" w:rsidP="4369956E" w:rsidRDefault="4369956E" w14:paraId="79746A17" w14:textId="3B6C50DA">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7221A462" w14:textId="1EF0044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789B11C0" w14:textId="5FA61CA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6582B9B1" w14:textId="6DBC70D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7EE48B03" w14:textId="01D8886B">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11D07576" w14:textId="6EB328B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6235C189" w14:textId="0CA7AC4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201310B0" w14:textId="7113610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32BC045B" w14:textId="226F2AF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540323F2" w14:textId="2C383CB7">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7CE7218C">
        <w:trPr>
          <w:trHeight w:val="300"/>
        </w:trPr>
        <w:tc>
          <w:tcPr>
            <w:tcW w:w="1051" w:type="dxa"/>
            <w:tcMar/>
            <w:vAlign w:val="center"/>
          </w:tcPr>
          <w:p w:rsidR="4369956E" w:rsidP="4369956E" w:rsidRDefault="4369956E" w14:paraId="28904372" w14:textId="388CEB6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Kamba et al. (2020)</w:t>
            </w:r>
          </w:p>
        </w:tc>
        <w:tc>
          <w:tcPr>
            <w:tcW w:w="492" w:type="dxa"/>
            <w:tcMar/>
            <w:vAlign w:val="center"/>
          </w:tcPr>
          <w:p w:rsidR="4369956E" w:rsidP="4369956E" w:rsidRDefault="4369956E" w14:paraId="440EC2C3" w14:textId="4A6D37FE">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4B25F091" w14:textId="299E9B3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3A11BB16" w14:textId="1E60FD7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20AFE258" w14:textId="51FBB619">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6A46EC2B" w14:textId="670D11E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Partial</w:t>
            </w:r>
          </w:p>
        </w:tc>
        <w:tc>
          <w:tcPr>
            <w:tcW w:w="1092" w:type="dxa"/>
            <w:tcMar/>
            <w:vAlign w:val="center"/>
          </w:tcPr>
          <w:p w:rsidR="4369956E" w:rsidP="4369956E" w:rsidRDefault="4369956E" w14:paraId="0C78320C" w14:textId="3DD774E0">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1C41B043" w14:textId="01C57D3D">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10" w:type="dxa"/>
            <w:tcMar/>
            <w:vAlign w:val="center"/>
          </w:tcPr>
          <w:p w:rsidR="4369956E" w:rsidP="4369956E" w:rsidRDefault="4369956E" w14:paraId="0CDBEDD5" w14:textId="46B3CF3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039B1F1D" w14:textId="4889313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c>
          <w:tcPr>
            <w:tcW w:w="750" w:type="dxa"/>
            <w:tcMar/>
            <w:vAlign w:val="center"/>
          </w:tcPr>
          <w:p w:rsidR="4369956E" w:rsidP="4369956E" w:rsidRDefault="4369956E" w14:paraId="013D0E76" w14:textId="4895746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High</w:t>
            </w:r>
          </w:p>
        </w:tc>
      </w:tr>
      <w:tr w:rsidR="4369956E" w:rsidTr="4369956E" w14:paraId="247C849A">
        <w:trPr>
          <w:trHeight w:val="300"/>
        </w:trPr>
        <w:tc>
          <w:tcPr>
            <w:tcW w:w="1051" w:type="dxa"/>
            <w:tcMar/>
            <w:vAlign w:val="center"/>
          </w:tcPr>
          <w:p w:rsidR="4369956E" w:rsidP="4369956E" w:rsidRDefault="4369956E" w14:paraId="7DB4DFAB" w14:textId="7B3707E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Tegegn et al. (2020)</w:t>
            </w:r>
          </w:p>
        </w:tc>
        <w:tc>
          <w:tcPr>
            <w:tcW w:w="492" w:type="dxa"/>
            <w:tcMar/>
            <w:vAlign w:val="center"/>
          </w:tcPr>
          <w:p w:rsidR="4369956E" w:rsidP="4369956E" w:rsidRDefault="4369956E" w14:paraId="669E5888" w14:textId="7F29132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2BED1622" w14:textId="5647910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1F493828" w14:textId="44F27085">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363909EF" w14:textId="04DFD08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0987774B" w14:textId="77176B9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w:t>
            </w:r>
          </w:p>
        </w:tc>
        <w:tc>
          <w:tcPr>
            <w:tcW w:w="1092" w:type="dxa"/>
            <w:tcMar/>
            <w:vAlign w:val="center"/>
          </w:tcPr>
          <w:p w:rsidR="4369956E" w:rsidP="4369956E" w:rsidRDefault="4369956E" w14:paraId="418F45D7" w14:textId="7A632581">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3A556C6A" w14:textId="60ACE2F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10" w:type="dxa"/>
            <w:tcMar/>
            <w:vAlign w:val="center"/>
          </w:tcPr>
          <w:p w:rsidR="4369956E" w:rsidP="4369956E" w:rsidRDefault="4369956E" w14:paraId="060B43E2" w14:textId="2F93D48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1AB141E1" w14:textId="5280CCF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50" w:type="dxa"/>
            <w:tcMar/>
            <w:vAlign w:val="center"/>
          </w:tcPr>
          <w:p w:rsidR="4369956E" w:rsidP="4369956E" w:rsidRDefault="4369956E" w14:paraId="6D16FD81" w14:textId="5DCFB36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r>
      <w:tr w:rsidR="4369956E" w:rsidTr="4369956E" w14:paraId="76A25F5C">
        <w:trPr>
          <w:trHeight w:val="300"/>
        </w:trPr>
        <w:tc>
          <w:tcPr>
            <w:tcW w:w="1051" w:type="dxa"/>
            <w:tcMar/>
            <w:vAlign w:val="center"/>
          </w:tcPr>
          <w:p w:rsidR="4369956E" w:rsidP="4369956E" w:rsidRDefault="4369956E" w14:paraId="7BF64035" w14:textId="07DCDB2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Adhikari et al. (2021)</w:t>
            </w:r>
          </w:p>
        </w:tc>
        <w:tc>
          <w:tcPr>
            <w:tcW w:w="492" w:type="dxa"/>
            <w:tcMar/>
            <w:vAlign w:val="center"/>
          </w:tcPr>
          <w:p w:rsidR="4369956E" w:rsidP="4369956E" w:rsidRDefault="4369956E" w14:paraId="09A097E0" w14:textId="4367F708">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251" w:type="dxa"/>
            <w:tcMar/>
            <w:vAlign w:val="center"/>
          </w:tcPr>
          <w:p w:rsidR="4369956E" w:rsidP="4369956E" w:rsidRDefault="4369956E" w14:paraId="477759EA" w14:textId="092006D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1035" w:type="dxa"/>
            <w:tcMar/>
            <w:vAlign w:val="center"/>
          </w:tcPr>
          <w:p w:rsidR="4369956E" w:rsidP="4369956E" w:rsidRDefault="4369956E" w14:paraId="75378208" w14:textId="0C4FDD6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743" w:type="dxa"/>
            <w:tcMar/>
            <w:vAlign w:val="center"/>
          </w:tcPr>
          <w:p w:rsidR="4369956E" w:rsidP="4369956E" w:rsidRDefault="4369956E" w14:paraId="3B498DE3" w14:textId="5E62EF93">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516" w:type="dxa"/>
            <w:tcMar/>
            <w:vAlign w:val="center"/>
          </w:tcPr>
          <w:p w:rsidR="4369956E" w:rsidP="4369956E" w:rsidRDefault="4369956E" w14:paraId="7520ACA7" w14:textId="19FFD7F6">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Limited</w:t>
            </w:r>
          </w:p>
        </w:tc>
        <w:tc>
          <w:tcPr>
            <w:tcW w:w="1092" w:type="dxa"/>
            <w:tcMar/>
            <w:vAlign w:val="center"/>
          </w:tcPr>
          <w:p w:rsidR="4369956E" w:rsidP="4369956E" w:rsidRDefault="4369956E" w14:paraId="1CA16D22" w14:textId="2C0DDD6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60" w:type="dxa"/>
            <w:tcMar/>
            <w:vAlign w:val="center"/>
          </w:tcPr>
          <w:p w:rsidR="4369956E" w:rsidP="4369956E" w:rsidRDefault="4369956E" w14:paraId="4EE56808" w14:textId="02B80E0F">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10" w:type="dxa"/>
            <w:tcMar/>
            <w:vAlign w:val="center"/>
          </w:tcPr>
          <w:p w:rsidR="4369956E" w:rsidP="4369956E" w:rsidRDefault="4369956E" w14:paraId="3CBF48DC" w14:textId="02D009EC">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Yes</w:t>
            </w:r>
          </w:p>
        </w:tc>
        <w:tc>
          <w:tcPr>
            <w:tcW w:w="858" w:type="dxa"/>
            <w:tcMar/>
            <w:vAlign w:val="center"/>
          </w:tcPr>
          <w:p w:rsidR="4369956E" w:rsidP="4369956E" w:rsidRDefault="4369956E" w14:paraId="4AA9C042" w14:textId="01A078E4">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c>
          <w:tcPr>
            <w:tcW w:w="750" w:type="dxa"/>
            <w:tcMar/>
            <w:vAlign w:val="center"/>
          </w:tcPr>
          <w:p w:rsidR="4369956E" w:rsidP="4369956E" w:rsidRDefault="4369956E" w14:paraId="3043E430" w14:textId="7C64DD52">
            <w:pPr>
              <w:bidi w:val="0"/>
              <w:spacing w:before="0" w:beforeAutospacing="off" w:after="0" w:afterAutospacing="off"/>
              <w:rPr>
                <w:rFonts w:ascii="Arial" w:hAnsi="Arial" w:eastAsia="Arial" w:cs="Arial"/>
                <w:sz w:val="16"/>
                <w:szCs w:val="16"/>
              </w:rPr>
            </w:pPr>
            <w:r w:rsidRPr="4369956E" w:rsidR="4369956E">
              <w:rPr>
                <w:rFonts w:ascii="Arial" w:hAnsi="Arial" w:eastAsia="Arial" w:cs="Arial"/>
                <w:sz w:val="16"/>
                <w:szCs w:val="16"/>
              </w:rPr>
              <w:t>Moderate</w:t>
            </w:r>
          </w:p>
        </w:tc>
      </w:tr>
    </w:tbl>
    <w:p w:rsidR="4369956E" w:rsidP="4369956E" w:rsidRDefault="4369956E" w14:paraId="73CE0789" w14:textId="24C6C48C">
      <w:pPr>
        <w:pStyle w:val="Normal"/>
        <w:bidi w:val="0"/>
        <w:spacing w:before="240" w:beforeAutospacing="off" w:after="240" w:afterAutospacing="off"/>
        <w:jc w:val="both"/>
        <w:rPr>
          <w:rFonts w:ascii="Arial" w:hAnsi="Arial" w:eastAsia="Arial" w:cs="Arial"/>
          <w:noProof w:val="0"/>
          <w:sz w:val="24"/>
          <w:szCs w:val="24"/>
          <w:lang w:val="en-US"/>
        </w:rPr>
      </w:pPr>
    </w:p>
    <w:p w:rsidR="4369956E" w:rsidP="4369956E" w:rsidRDefault="4369956E" w14:paraId="4E023D56" w14:textId="29F2F194">
      <w:pPr>
        <w:pStyle w:val="Normal"/>
        <w:bidi w:val="0"/>
        <w:spacing w:before="240" w:beforeAutospacing="off" w:after="240" w:afterAutospacing="off"/>
        <w:jc w:val="both"/>
        <w:rPr>
          <w:rFonts w:ascii="Arial" w:hAnsi="Arial" w:eastAsia="Arial" w:cs="Arial"/>
          <w:noProof w:val="0"/>
          <w:sz w:val="24"/>
          <w:szCs w:val="24"/>
          <w:lang w:val="en-US"/>
        </w:rPr>
      </w:pPr>
    </w:p>
    <w:p w:rsidR="668EA0FB" w:rsidP="668EA0FB" w:rsidRDefault="668EA0FB" w14:paraId="7F9941B5" w14:textId="003F13EF">
      <w:pPr>
        <w:pStyle w:val="Normal"/>
        <w:bidi w:val="0"/>
        <w:spacing w:before="240" w:beforeAutospacing="off" w:after="240" w:afterAutospacing="off"/>
        <w:jc w:val="both"/>
        <w:rPr>
          <w:rFonts w:ascii="Arial" w:hAnsi="Arial" w:eastAsia="Arial" w:cs="Arial"/>
          <w:noProof w:val="0"/>
          <w:sz w:val="24"/>
          <w:szCs w:val="24"/>
          <w:lang w:val="en-US"/>
        </w:rPr>
      </w:pPr>
    </w:p>
    <w:p w:rsidR="668EA0FB" w:rsidP="668EA0FB" w:rsidRDefault="668EA0FB" w14:paraId="35B0D78F" w14:textId="4B7574D5">
      <w:pPr>
        <w:pStyle w:val="Normal"/>
        <w:bidi w:val="0"/>
        <w:spacing w:before="240" w:beforeAutospacing="off" w:after="240" w:afterAutospacing="off"/>
        <w:jc w:val="both"/>
        <w:rPr>
          <w:rFonts w:ascii="Arial" w:hAnsi="Arial" w:eastAsia="Arial" w:cs="Arial"/>
          <w:noProof w:val="0"/>
          <w:sz w:val="24"/>
          <w:szCs w:val="24"/>
          <w:lang w:val="en-US"/>
        </w:rPr>
      </w:pPr>
    </w:p>
    <w:p w:rsidR="4369956E" w:rsidP="4369956E" w:rsidRDefault="4369956E" w14:paraId="77F0F203" w14:textId="790121BF">
      <w:pPr>
        <w:bidi w:val="0"/>
        <w:spacing w:before="240" w:beforeAutospacing="off" w:after="240" w:afterAutospacing="off"/>
        <w:jc w:val="both"/>
        <w:rPr>
          <w:rFonts w:ascii="Arial" w:hAnsi="Arial" w:eastAsia="Arial" w:cs="Arial"/>
          <w:noProof w:val="0"/>
          <w:sz w:val="24"/>
          <w:szCs w:val="24"/>
          <w:lang w:val="en-US"/>
        </w:rPr>
      </w:pPr>
    </w:p>
    <w:p w:rsidR="34048010" w:rsidP="4369956E" w:rsidRDefault="34048010" w14:paraId="6F272266" w14:textId="5E432607">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668EA0FB" w:rsidR="34048010">
        <w:rPr>
          <w:rFonts w:ascii="Arial" w:hAnsi="Arial" w:eastAsia="Arial" w:cs="Arial"/>
          <w:noProof w:val="0"/>
          <w:sz w:val="24"/>
          <w:szCs w:val="24"/>
          <w:lang w:val="en-US"/>
        </w:rPr>
        <w:t xml:space="preserve">Atif, M., Razzaq, W., Mushtaq, I., Malik, I. and Razzaq, M. (2019) ‘Factors influencing inappropriate antibiotic dispensing among community pharmacies in Pakistan: a qualitative study’, </w:t>
      </w:r>
      <w:r w:rsidRPr="668EA0FB" w:rsidR="34048010">
        <w:rPr>
          <w:rFonts w:ascii="Arial" w:hAnsi="Arial" w:eastAsia="Arial" w:cs="Arial"/>
          <w:i w:val="1"/>
          <w:iCs w:val="1"/>
          <w:noProof w:val="0"/>
          <w:sz w:val="24"/>
          <w:szCs w:val="24"/>
          <w:lang w:val="en-US"/>
        </w:rPr>
        <w:t>Journal of Pharmaceutical Policy and Practice</w:t>
      </w:r>
      <w:r w:rsidRPr="668EA0FB" w:rsidR="34048010">
        <w:rPr>
          <w:rFonts w:ascii="Arial" w:hAnsi="Arial" w:eastAsia="Arial" w:cs="Arial"/>
          <w:noProof w:val="0"/>
          <w:sz w:val="24"/>
          <w:szCs w:val="24"/>
          <w:lang w:val="en-US"/>
        </w:rPr>
        <w:t xml:space="preserve">, 12(1), pp. 1–10. Available at: </w:t>
      </w:r>
      <w:hyperlink r:id="R7a9208a810604ebb">
        <w:r w:rsidRPr="668EA0FB" w:rsidR="34048010">
          <w:rPr>
            <w:rStyle w:val="Hyperlink"/>
            <w:rFonts w:ascii="Arial" w:hAnsi="Arial" w:eastAsia="Arial" w:cs="Arial"/>
            <w:noProof w:val="0"/>
            <w:sz w:val="24"/>
            <w:szCs w:val="24"/>
            <w:lang w:val="en-US"/>
          </w:rPr>
          <w:t>https://joppp.biomedcentral.com/articles/10.1186/s40545-019-0179-4</w:t>
        </w:r>
      </w:hyperlink>
      <w:r w:rsidRPr="668EA0FB" w:rsidR="34048010">
        <w:rPr>
          <w:rFonts w:ascii="Arial" w:hAnsi="Arial" w:eastAsia="Arial" w:cs="Arial"/>
          <w:noProof w:val="0"/>
          <w:sz w:val="24"/>
          <w:szCs w:val="24"/>
          <w:lang w:val="en-US"/>
        </w:rPr>
        <w:t xml:space="preserve"> (Accessed: 15 December 2025).</w:t>
      </w:r>
    </w:p>
    <w:p w:rsidR="34048010" w:rsidP="4369956E" w:rsidRDefault="34048010" w14:paraId="7B4DDE62" w14:textId="147D6D47">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Atif, M., Malik, I., Dawoud, D., Gilani, A.H. and Ahmed, N. (2020) ‘Antibiotic use in Pakistan: a qualitative study exploring the roles of community pharmacists’, </w:t>
      </w:r>
      <w:r w:rsidRPr="4369956E" w:rsidR="34048010">
        <w:rPr>
          <w:rFonts w:ascii="Arial" w:hAnsi="Arial" w:eastAsia="Arial" w:cs="Arial"/>
          <w:i w:val="1"/>
          <w:iCs w:val="1"/>
          <w:noProof w:val="0"/>
          <w:sz w:val="24"/>
          <w:szCs w:val="24"/>
          <w:lang w:val="en-US"/>
        </w:rPr>
        <w:t>Journal of Infection and Public Health</w:t>
      </w:r>
      <w:r w:rsidRPr="4369956E" w:rsidR="34048010">
        <w:rPr>
          <w:rFonts w:ascii="Arial" w:hAnsi="Arial" w:eastAsia="Arial" w:cs="Arial"/>
          <w:noProof w:val="0"/>
          <w:sz w:val="24"/>
          <w:szCs w:val="24"/>
          <w:lang w:val="en-US"/>
        </w:rPr>
        <w:t xml:space="preserve">, 13(3), pp. 451–456. Available at: </w:t>
      </w:r>
      <w:hyperlink r:id="Rf7e5f1794d534c58">
        <w:r w:rsidRPr="4369956E" w:rsidR="34048010">
          <w:rPr>
            <w:rStyle w:val="Hyperlink"/>
            <w:rFonts w:ascii="Arial" w:hAnsi="Arial" w:eastAsia="Arial" w:cs="Arial"/>
            <w:noProof w:val="0"/>
            <w:sz w:val="24"/>
            <w:szCs w:val="24"/>
            <w:lang w:val="en-US"/>
          </w:rPr>
          <w:t>https://www.sciencedirect.com/science/article/pii/S1876034119304702</w:t>
        </w:r>
      </w:hyperlink>
      <w:r w:rsidRPr="4369956E" w:rsidR="34048010">
        <w:rPr>
          <w:rFonts w:ascii="Arial" w:hAnsi="Arial" w:eastAsia="Arial" w:cs="Arial"/>
          <w:noProof w:val="0"/>
          <w:sz w:val="24"/>
          <w:szCs w:val="24"/>
          <w:lang w:val="en-US"/>
        </w:rPr>
        <w:t xml:space="preserve"> (Accessed: 15 December 2025).</w:t>
      </w:r>
    </w:p>
    <w:p w:rsidR="34048010" w:rsidP="4369956E" w:rsidRDefault="34048010" w14:paraId="4F9E0679" w14:textId="46E61FB9">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Crafford, L., Schellack, N., Gous, A.G.S. and Burger, J.R. (2018) ‘Identifying barriers to the implementation of clinical pharmacy services in South African hospitals: a qualitative study’, </w:t>
      </w:r>
      <w:r w:rsidRPr="4369956E" w:rsidR="34048010">
        <w:rPr>
          <w:rFonts w:ascii="Arial" w:hAnsi="Arial" w:eastAsia="Arial" w:cs="Arial"/>
          <w:i w:val="1"/>
          <w:iCs w:val="1"/>
          <w:noProof w:val="0"/>
          <w:sz w:val="24"/>
          <w:szCs w:val="24"/>
          <w:lang w:val="en-US"/>
        </w:rPr>
        <w:t>International Journal of Clinical Pharmacy</w:t>
      </w:r>
      <w:r w:rsidRPr="4369956E" w:rsidR="34048010">
        <w:rPr>
          <w:rFonts w:ascii="Arial" w:hAnsi="Arial" w:eastAsia="Arial" w:cs="Arial"/>
          <w:noProof w:val="0"/>
          <w:sz w:val="24"/>
          <w:szCs w:val="24"/>
          <w:lang w:val="en-US"/>
        </w:rPr>
        <w:t xml:space="preserve">, 40(3), pp. 516–524. Available at: </w:t>
      </w:r>
      <w:hyperlink r:id="R640e98d77e074dee">
        <w:r w:rsidRPr="4369956E" w:rsidR="34048010">
          <w:rPr>
            <w:rStyle w:val="Hyperlink"/>
            <w:rFonts w:ascii="Arial" w:hAnsi="Arial" w:eastAsia="Arial" w:cs="Arial"/>
            <w:noProof w:val="0"/>
            <w:sz w:val="24"/>
            <w:szCs w:val="24"/>
            <w:lang w:val="en-US"/>
          </w:rPr>
          <w:t>https://link.springer.com/article/10.1007/s11096-018-0647-5</w:t>
        </w:r>
      </w:hyperlink>
      <w:r w:rsidRPr="4369956E" w:rsidR="34048010">
        <w:rPr>
          <w:rFonts w:ascii="Arial" w:hAnsi="Arial" w:eastAsia="Arial" w:cs="Arial"/>
          <w:noProof w:val="0"/>
          <w:sz w:val="24"/>
          <w:szCs w:val="24"/>
          <w:lang w:val="en-US"/>
        </w:rPr>
        <w:t xml:space="preserve"> (Accessed: 16 December 2025).</w:t>
      </w:r>
    </w:p>
    <w:p w:rsidR="34048010" w:rsidP="4369956E" w:rsidRDefault="34048010" w14:paraId="42A1B47E" w14:textId="6155CB86">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Gelayee, D.A., Taye, K., Mekonnen, G.B. and Birarra, M.K. (2018) ‘Community pharmacists’ perspectives on dispensing errors in Ethiopia: a qualitative study’, </w:t>
      </w:r>
      <w:r w:rsidRPr="4369956E" w:rsidR="34048010">
        <w:rPr>
          <w:rFonts w:ascii="Arial" w:hAnsi="Arial" w:eastAsia="Arial" w:cs="Arial"/>
          <w:i w:val="1"/>
          <w:iCs w:val="1"/>
          <w:noProof w:val="0"/>
          <w:sz w:val="24"/>
          <w:szCs w:val="24"/>
          <w:lang w:val="en-US"/>
        </w:rPr>
        <w:t>Integrated Pharmacy Research and Practice</w:t>
      </w:r>
      <w:r w:rsidRPr="4369956E" w:rsidR="34048010">
        <w:rPr>
          <w:rFonts w:ascii="Arial" w:hAnsi="Arial" w:eastAsia="Arial" w:cs="Arial"/>
          <w:noProof w:val="0"/>
          <w:sz w:val="24"/>
          <w:szCs w:val="24"/>
          <w:lang w:val="en-US"/>
        </w:rPr>
        <w:t xml:space="preserve">, 7, pp. 1–7. Available at: </w:t>
      </w:r>
      <w:hyperlink r:id="R4ebfefcb7a8d418e">
        <w:r w:rsidRPr="4369956E" w:rsidR="34048010">
          <w:rPr>
            <w:rStyle w:val="Hyperlink"/>
            <w:rFonts w:ascii="Arial" w:hAnsi="Arial" w:eastAsia="Arial" w:cs="Arial"/>
            <w:noProof w:val="0"/>
            <w:sz w:val="24"/>
            <w:szCs w:val="24"/>
            <w:lang w:val="en-US"/>
          </w:rPr>
          <w:t>https://www.dovepress.com/community-pharmacistsrsquo-perspectives-on-dispensing-errors-in-ethiopia-peer-reviewed-fulltext-article-IPRP</w:t>
        </w:r>
      </w:hyperlink>
      <w:r w:rsidRPr="4369956E" w:rsidR="34048010">
        <w:rPr>
          <w:rFonts w:ascii="Arial" w:hAnsi="Arial" w:eastAsia="Arial" w:cs="Arial"/>
          <w:noProof w:val="0"/>
          <w:sz w:val="24"/>
          <w:szCs w:val="24"/>
          <w:lang w:val="en-US"/>
        </w:rPr>
        <w:t xml:space="preserve"> (Accessed: 16 December 2025).</w:t>
      </w:r>
    </w:p>
    <w:p w:rsidR="34048010" w:rsidP="4369956E" w:rsidRDefault="34048010" w14:paraId="0DEB3F80" w14:textId="36AF1647">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Kamba, P.F., Gakuu, C.M., Karimi, P.N. and Njuguna, B. (2020) ‘Compliance of private pharmacies with prescription-only medicines regulations in Uganda: a qualitative study using interviews and simulated clients’, </w:t>
      </w:r>
      <w:r w:rsidRPr="4369956E" w:rsidR="34048010">
        <w:rPr>
          <w:rFonts w:ascii="Arial" w:hAnsi="Arial" w:eastAsia="Arial" w:cs="Arial"/>
          <w:i w:val="1"/>
          <w:iCs w:val="1"/>
          <w:noProof w:val="0"/>
          <w:sz w:val="24"/>
          <w:szCs w:val="24"/>
          <w:lang w:val="en-US"/>
        </w:rPr>
        <w:t>BMC Health Services Research</w:t>
      </w:r>
      <w:r w:rsidRPr="4369956E" w:rsidR="34048010">
        <w:rPr>
          <w:rFonts w:ascii="Arial" w:hAnsi="Arial" w:eastAsia="Arial" w:cs="Arial"/>
          <w:noProof w:val="0"/>
          <w:sz w:val="24"/>
          <w:szCs w:val="24"/>
          <w:lang w:val="en-US"/>
        </w:rPr>
        <w:t xml:space="preserve">, 20(1), pp. 1–10. Available at: </w:t>
      </w:r>
      <w:hyperlink r:id="Re86dbf9ac8104865">
        <w:r w:rsidRPr="4369956E" w:rsidR="34048010">
          <w:rPr>
            <w:rStyle w:val="Hyperlink"/>
            <w:rFonts w:ascii="Arial" w:hAnsi="Arial" w:eastAsia="Arial" w:cs="Arial"/>
            <w:noProof w:val="0"/>
            <w:sz w:val="24"/>
            <w:szCs w:val="24"/>
            <w:lang w:val="en-US"/>
          </w:rPr>
          <w:t>https://bmchealthservres.biomedcentral.com/articles/10.1186/s12913-020-05347-8</w:t>
        </w:r>
      </w:hyperlink>
      <w:r w:rsidRPr="4369956E" w:rsidR="34048010">
        <w:rPr>
          <w:rFonts w:ascii="Arial" w:hAnsi="Arial" w:eastAsia="Arial" w:cs="Arial"/>
          <w:noProof w:val="0"/>
          <w:sz w:val="24"/>
          <w:szCs w:val="24"/>
          <w:lang w:val="en-US"/>
        </w:rPr>
        <w:t xml:space="preserve"> (Accessed: 17 December 2025).</w:t>
      </w:r>
    </w:p>
    <w:p w:rsidR="34048010" w:rsidP="4369956E" w:rsidRDefault="34048010" w14:paraId="27BA836E" w14:textId="7E61440A">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Kentab, B.Y., Al-Aqeel, S.A., Gad, A., Alqahtani, F. and Al-Harbi, S.A. (2019) ‘Medication dispensing and counselling practices for patients with visual impairment: a qualitative study’, </w:t>
      </w:r>
      <w:r w:rsidRPr="4369956E" w:rsidR="34048010">
        <w:rPr>
          <w:rFonts w:ascii="Arial" w:hAnsi="Arial" w:eastAsia="Arial" w:cs="Arial"/>
          <w:i w:val="1"/>
          <w:iCs w:val="1"/>
          <w:noProof w:val="0"/>
          <w:sz w:val="24"/>
          <w:szCs w:val="24"/>
          <w:lang w:val="en-US"/>
        </w:rPr>
        <w:t>Research in Social and Administrative Pharmacy</w:t>
      </w:r>
      <w:r w:rsidRPr="4369956E" w:rsidR="34048010">
        <w:rPr>
          <w:rFonts w:ascii="Arial" w:hAnsi="Arial" w:eastAsia="Arial" w:cs="Arial"/>
          <w:noProof w:val="0"/>
          <w:sz w:val="24"/>
          <w:szCs w:val="24"/>
          <w:lang w:val="en-US"/>
        </w:rPr>
        <w:t xml:space="preserve">, 15(3), pp. 289–294. Available at: </w:t>
      </w:r>
      <w:hyperlink r:id="R33c0ace3ebc146e2">
        <w:r w:rsidRPr="4369956E" w:rsidR="34048010">
          <w:rPr>
            <w:rStyle w:val="Hyperlink"/>
            <w:rFonts w:ascii="Arial" w:hAnsi="Arial" w:eastAsia="Arial" w:cs="Arial"/>
            <w:noProof w:val="0"/>
            <w:sz w:val="24"/>
            <w:szCs w:val="24"/>
            <w:lang w:val="en-US"/>
          </w:rPr>
          <w:t>https://www.sciencedirect.com/science/article/pii/S1551741118302076</w:t>
        </w:r>
      </w:hyperlink>
      <w:r w:rsidRPr="4369956E" w:rsidR="34048010">
        <w:rPr>
          <w:rFonts w:ascii="Arial" w:hAnsi="Arial" w:eastAsia="Arial" w:cs="Arial"/>
          <w:noProof w:val="0"/>
          <w:sz w:val="24"/>
          <w:szCs w:val="24"/>
          <w:lang w:val="en-US"/>
        </w:rPr>
        <w:t xml:space="preserve"> (Accessed: 17 December 2025).</w:t>
      </w:r>
    </w:p>
    <w:p w:rsidR="34048010" w:rsidP="4369956E" w:rsidRDefault="34048010" w14:paraId="2F831D12" w14:textId="0FBF98EB">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Mbugua, S.M., Sefah, I.A., Mura, P., Larsson, M. and Godman, B. (2021) ‘Hospital pharmacists’ perspectives on antimicrobial stewardship in Kenya: a qualitative study’, </w:t>
      </w:r>
      <w:r w:rsidRPr="4369956E" w:rsidR="34048010">
        <w:rPr>
          <w:rFonts w:ascii="Arial" w:hAnsi="Arial" w:eastAsia="Arial" w:cs="Arial"/>
          <w:i w:val="1"/>
          <w:iCs w:val="1"/>
          <w:noProof w:val="0"/>
          <w:sz w:val="24"/>
          <w:szCs w:val="24"/>
          <w:lang w:val="en-US"/>
        </w:rPr>
        <w:t>Antibiotics</w:t>
      </w:r>
      <w:r w:rsidRPr="4369956E" w:rsidR="34048010">
        <w:rPr>
          <w:rFonts w:ascii="Arial" w:hAnsi="Arial" w:eastAsia="Arial" w:cs="Arial"/>
          <w:noProof w:val="0"/>
          <w:sz w:val="24"/>
          <w:szCs w:val="24"/>
          <w:lang w:val="en-US"/>
        </w:rPr>
        <w:t xml:space="preserve">, 10(4), pp. 1–14. Available at: </w:t>
      </w:r>
      <w:hyperlink r:id="R3355fa781c3347ae">
        <w:r w:rsidRPr="4369956E" w:rsidR="34048010">
          <w:rPr>
            <w:rStyle w:val="Hyperlink"/>
            <w:rFonts w:ascii="Arial" w:hAnsi="Arial" w:eastAsia="Arial" w:cs="Arial"/>
            <w:noProof w:val="0"/>
            <w:sz w:val="24"/>
            <w:szCs w:val="24"/>
            <w:lang w:val="en-US"/>
          </w:rPr>
          <w:t>https://www.mdpi.com/2079-6382/10/4/443</w:t>
        </w:r>
      </w:hyperlink>
      <w:r w:rsidRPr="4369956E" w:rsidR="34048010">
        <w:rPr>
          <w:rFonts w:ascii="Arial" w:hAnsi="Arial" w:eastAsia="Arial" w:cs="Arial"/>
          <w:noProof w:val="0"/>
          <w:sz w:val="24"/>
          <w:szCs w:val="24"/>
          <w:lang w:val="en-US"/>
        </w:rPr>
        <w:t xml:space="preserve"> (Accessed: 18 December 2025).</w:t>
      </w:r>
    </w:p>
    <w:p w:rsidR="34048010" w:rsidP="4369956E" w:rsidRDefault="34048010" w14:paraId="27683793" w14:textId="1E78D507">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Mekonnen, A.B., McLachlan, A.J., Brien, J.E. and Mekonnen, D. (2018) ‘Barriers and facilitators to the implementation of clinical pharmacy services in Ethiopian hospitals: a qualitative study’, </w:t>
      </w:r>
      <w:r w:rsidRPr="4369956E" w:rsidR="34048010">
        <w:rPr>
          <w:rFonts w:ascii="Arial" w:hAnsi="Arial" w:eastAsia="Arial" w:cs="Arial"/>
          <w:i w:val="1"/>
          <w:iCs w:val="1"/>
          <w:noProof w:val="0"/>
          <w:sz w:val="24"/>
          <w:szCs w:val="24"/>
          <w:lang w:val="en-US"/>
        </w:rPr>
        <w:t>BMC Health Services Research</w:t>
      </w:r>
      <w:r w:rsidRPr="4369956E" w:rsidR="34048010">
        <w:rPr>
          <w:rFonts w:ascii="Arial" w:hAnsi="Arial" w:eastAsia="Arial" w:cs="Arial"/>
          <w:noProof w:val="0"/>
          <w:sz w:val="24"/>
          <w:szCs w:val="24"/>
          <w:lang w:val="en-US"/>
        </w:rPr>
        <w:t xml:space="preserve">, 18(1), pp. 1–11. Available at: </w:t>
      </w:r>
      <w:hyperlink r:id="Ra90913e3726e4ca1">
        <w:r w:rsidRPr="4369956E" w:rsidR="34048010">
          <w:rPr>
            <w:rStyle w:val="Hyperlink"/>
            <w:rFonts w:ascii="Arial" w:hAnsi="Arial" w:eastAsia="Arial" w:cs="Arial"/>
            <w:noProof w:val="0"/>
            <w:sz w:val="24"/>
            <w:szCs w:val="24"/>
            <w:lang w:val="en-US"/>
          </w:rPr>
          <w:t>https://bmchealthservres.biomedcentral.com/articles/10.1186/s12913-018-3080-7</w:t>
        </w:r>
      </w:hyperlink>
      <w:r w:rsidRPr="4369956E" w:rsidR="34048010">
        <w:rPr>
          <w:rFonts w:ascii="Arial" w:hAnsi="Arial" w:eastAsia="Arial" w:cs="Arial"/>
          <w:noProof w:val="0"/>
          <w:sz w:val="24"/>
          <w:szCs w:val="24"/>
          <w:lang w:val="en-US"/>
        </w:rPr>
        <w:t xml:space="preserve"> (Accessed: 18 December 2025).</w:t>
      </w:r>
    </w:p>
    <w:p w:rsidR="34048010" w:rsidP="4369956E" w:rsidRDefault="34048010" w14:paraId="3D613B43" w14:textId="17415983">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Musoke, D., Ndejjo, R., Atusingwize, E., Mukama, T. and Ssempebwa, J.C. (2021) ‘Antimicrobial stewardship practices in private pharmacies in Uganda: a qualitative study’, </w:t>
      </w:r>
      <w:r w:rsidRPr="4369956E" w:rsidR="34048010">
        <w:rPr>
          <w:rFonts w:ascii="Arial" w:hAnsi="Arial" w:eastAsia="Arial" w:cs="Arial"/>
          <w:i w:val="1"/>
          <w:iCs w:val="1"/>
          <w:noProof w:val="0"/>
          <w:sz w:val="24"/>
          <w:szCs w:val="24"/>
          <w:lang w:val="en-US"/>
        </w:rPr>
        <w:t>BMC Public Health</w:t>
      </w:r>
      <w:r w:rsidRPr="4369956E" w:rsidR="34048010">
        <w:rPr>
          <w:rFonts w:ascii="Arial" w:hAnsi="Arial" w:eastAsia="Arial" w:cs="Arial"/>
          <w:noProof w:val="0"/>
          <w:sz w:val="24"/>
          <w:szCs w:val="24"/>
          <w:lang w:val="en-US"/>
        </w:rPr>
        <w:t xml:space="preserve">, 21(1), pp. 1–12. Available at: </w:t>
      </w:r>
      <w:hyperlink r:id="R1087af6eaa274b47">
        <w:r w:rsidRPr="4369956E" w:rsidR="34048010">
          <w:rPr>
            <w:rStyle w:val="Hyperlink"/>
            <w:rFonts w:ascii="Arial" w:hAnsi="Arial" w:eastAsia="Arial" w:cs="Arial"/>
            <w:noProof w:val="0"/>
            <w:sz w:val="24"/>
            <w:szCs w:val="24"/>
            <w:lang w:val="en-US"/>
          </w:rPr>
          <w:t>https://bmcpublichealth.biomedcentral.com/articles/10.1186/s12889-021-10429-0</w:t>
        </w:r>
      </w:hyperlink>
      <w:r w:rsidRPr="4369956E" w:rsidR="34048010">
        <w:rPr>
          <w:rFonts w:ascii="Arial" w:hAnsi="Arial" w:eastAsia="Arial" w:cs="Arial"/>
          <w:noProof w:val="0"/>
          <w:sz w:val="24"/>
          <w:szCs w:val="24"/>
          <w:lang w:val="en-US"/>
        </w:rPr>
        <w:t xml:space="preserve"> (Accessed: 19 December 2025).</w:t>
      </w:r>
    </w:p>
    <w:p w:rsidR="34048010" w:rsidP="4369956E" w:rsidRDefault="34048010" w14:paraId="4132AC11" w14:textId="3597A65B">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Roche, S.D., Kaseje, D., Juma, P. and Akinyi, F. (2019) ‘Feasibility and acceptability of pharmacy-based delivery interventions in Kenya: a qualitative formative study’, </w:t>
      </w:r>
      <w:r w:rsidRPr="4369956E" w:rsidR="34048010">
        <w:rPr>
          <w:rFonts w:ascii="Arial" w:hAnsi="Arial" w:eastAsia="Arial" w:cs="Arial"/>
          <w:i w:val="1"/>
          <w:iCs w:val="1"/>
          <w:noProof w:val="0"/>
          <w:sz w:val="24"/>
          <w:szCs w:val="24"/>
          <w:lang w:val="en-US"/>
        </w:rPr>
        <w:t>Implementation Science Communications</w:t>
      </w:r>
      <w:r w:rsidRPr="4369956E" w:rsidR="34048010">
        <w:rPr>
          <w:rFonts w:ascii="Arial" w:hAnsi="Arial" w:eastAsia="Arial" w:cs="Arial"/>
          <w:noProof w:val="0"/>
          <w:sz w:val="24"/>
          <w:szCs w:val="24"/>
          <w:lang w:val="en-US"/>
        </w:rPr>
        <w:t xml:space="preserve">, 4(1), pp. 1–9. Available at: </w:t>
      </w:r>
      <w:hyperlink r:id="R094789a3aa394ddf">
        <w:r w:rsidRPr="4369956E" w:rsidR="34048010">
          <w:rPr>
            <w:rStyle w:val="Hyperlink"/>
            <w:rFonts w:ascii="Arial" w:hAnsi="Arial" w:eastAsia="Arial" w:cs="Arial"/>
            <w:noProof w:val="0"/>
            <w:sz w:val="24"/>
            <w:szCs w:val="24"/>
            <w:lang w:val="en-US"/>
          </w:rPr>
          <w:t>https://implementationsciencecomms.biomedcentral.com/articles/10.1186/s43058-019-0003-9</w:t>
        </w:r>
      </w:hyperlink>
      <w:r w:rsidRPr="4369956E" w:rsidR="34048010">
        <w:rPr>
          <w:rFonts w:ascii="Arial" w:hAnsi="Arial" w:eastAsia="Arial" w:cs="Arial"/>
          <w:noProof w:val="0"/>
          <w:sz w:val="24"/>
          <w:szCs w:val="24"/>
          <w:lang w:val="en-US"/>
        </w:rPr>
        <w:t xml:space="preserve"> (Accessed: 19 December 2025).</w:t>
      </w:r>
    </w:p>
    <w:p w:rsidR="34048010" w:rsidP="4369956E" w:rsidRDefault="34048010" w14:paraId="4352FB04" w14:textId="5C7E693D">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Saleem, N.H., Godman, B., Hassali, M.A., Hashmi, F.K. and Saleem, F. (2019) ‘Determinants of antimicrobial dispensing in community pharmacies: a qualitative study in Pakistan’, </w:t>
      </w:r>
      <w:r w:rsidRPr="4369956E" w:rsidR="34048010">
        <w:rPr>
          <w:rFonts w:ascii="Arial" w:hAnsi="Arial" w:eastAsia="Arial" w:cs="Arial"/>
          <w:i w:val="1"/>
          <w:iCs w:val="1"/>
          <w:noProof w:val="0"/>
          <w:sz w:val="24"/>
          <w:szCs w:val="24"/>
          <w:lang w:val="en-US"/>
        </w:rPr>
        <w:t>Journal of Pharmaceutical Policy and Practice</w:t>
      </w:r>
      <w:r w:rsidRPr="4369956E" w:rsidR="34048010">
        <w:rPr>
          <w:rFonts w:ascii="Arial" w:hAnsi="Arial" w:eastAsia="Arial" w:cs="Arial"/>
          <w:noProof w:val="0"/>
          <w:sz w:val="24"/>
          <w:szCs w:val="24"/>
          <w:lang w:val="en-US"/>
        </w:rPr>
        <w:t xml:space="preserve">, 12(1), pp. 1–11. Available at: </w:t>
      </w:r>
      <w:hyperlink r:id="R418325c0a3f94502">
        <w:r w:rsidRPr="4369956E" w:rsidR="34048010">
          <w:rPr>
            <w:rStyle w:val="Hyperlink"/>
            <w:rFonts w:ascii="Arial" w:hAnsi="Arial" w:eastAsia="Arial" w:cs="Arial"/>
            <w:noProof w:val="0"/>
            <w:sz w:val="24"/>
            <w:szCs w:val="24"/>
            <w:lang w:val="en-US"/>
          </w:rPr>
          <w:t>https://joppp.biomedcentral.com/articles/10.1186/s40545-019-0182-9</w:t>
        </w:r>
      </w:hyperlink>
      <w:r w:rsidRPr="4369956E" w:rsidR="34048010">
        <w:rPr>
          <w:rFonts w:ascii="Arial" w:hAnsi="Arial" w:eastAsia="Arial" w:cs="Arial"/>
          <w:noProof w:val="0"/>
          <w:sz w:val="24"/>
          <w:szCs w:val="24"/>
          <w:lang w:val="en-US"/>
        </w:rPr>
        <w:t xml:space="preserve"> (Accessed: 20 December 2025).</w:t>
      </w:r>
    </w:p>
    <w:p w:rsidR="34048010" w:rsidP="4369956E" w:rsidRDefault="34048010" w14:paraId="4B631B33" w14:textId="3C83F0CB">
      <w:pPr>
        <w:pStyle w:val="ListParagraph"/>
        <w:numPr>
          <w:ilvl w:val="0"/>
          <w:numId w:val="11"/>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Saleem, Z., Hassali, M.A., Hashmi, F.K., Godman, B. and Saleem, F. (2019) ‘Why do people purchase antibiotics without prescriptions? A qualitative exploration of stakeholders’ perspectives in Pakistan’, </w:t>
      </w:r>
      <w:r w:rsidRPr="4369956E" w:rsidR="34048010">
        <w:rPr>
          <w:rFonts w:ascii="Arial" w:hAnsi="Arial" w:eastAsia="Arial" w:cs="Arial"/>
          <w:i w:val="1"/>
          <w:iCs w:val="1"/>
          <w:noProof w:val="0"/>
          <w:sz w:val="24"/>
          <w:szCs w:val="24"/>
          <w:lang w:val="en-US"/>
        </w:rPr>
        <w:t>BMC Public Health</w:t>
      </w:r>
      <w:r w:rsidRPr="4369956E" w:rsidR="34048010">
        <w:rPr>
          <w:rFonts w:ascii="Arial" w:hAnsi="Arial" w:eastAsia="Arial" w:cs="Arial"/>
          <w:noProof w:val="0"/>
          <w:sz w:val="24"/>
          <w:szCs w:val="24"/>
          <w:lang w:val="en-US"/>
        </w:rPr>
        <w:t xml:space="preserve">, 19(1), pp. 1–10. Available at: </w:t>
      </w:r>
      <w:hyperlink r:id="R67369032226345ba">
        <w:r w:rsidRPr="4369956E" w:rsidR="34048010">
          <w:rPr>
            <w:rStyle w:val="Hyperlink"/>
            <w:rFonts w:ascii="Arial" w:hAnsi="Arial" w:eastAsia="Arial" w:cs="Arial"/>
            <w:noProof w:val="0"/>
            <w:sz w:val="24"/>
            <w:szCs w:val="24"/>
            <w:lang w:val="en-US"/>
          </w:rPr>
          <w:t>https://bmcpublichealth.biomedcentral.com/articles/10.1186/s12889-019-7487-5</w:t>
        </w:r>
      </w:hyperlink>
      <w:r w:rsidRPr="4369956E" w:rsidR="34048010">
        <w:rPr>
          <w:rFonts w:ascii="Arial" w:hAnsi="Arial" w:eastAsia="Arial" w:cs="Arial"/>
          <w:noProof w:val="0"/>
          <w:sz w:val="24"/>
          <w:szCs w:val="24"/>
          <w:lang w:val="en-US"/>
        </w:rPr>
        <w:t xml:space="preserve"> (Accessed: 20 December 2025).</w:t>
      </w:r>
    </w:p>
    <w:p w:rsidR="4369956E" w:rsidP="4369956E" w:rsidRDefault="4369956E" w14:paraId="413C31E4" w14:textId="3891818A">
      <w:pPr>
        <w:bidi w:val="0"/>
        <w:jc w:val="both"/>
      </w:pPr>
    </w:p>
    <w:p w:rsidR="34048010" w:rsidP="4369956E" w:rsidRDefault="34048010" w14:paraId="19AF1151" w14:textId="02E4E0B6">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World Health Organization (2015) </w:t>
      </w:r>
      <w:r w:rsidRPr="4369956E" w:rsidR="34048010">
        <w:rPr>
          <w:rFonts w:ascii="Arial" w:hAnsi="Arial" w:eastAsia="Arial" w:cs="Arial"/>
          <w:i w:val="1"/>
          <w:iCs w:val="1"/>
          <w:noProof w:val="0"/>
          <w:sz w:val="24"/>
          <w:szCs w:val="24"/>
          <w:lang w:val="en-US"/>
        </w:rPr>
        <w:t>Global action plan on antimicrobial resistance</w:t>
      </w:r>
      <w:r w:rsidRPr="4369956E" w:rsidR="34048010">
        <w:rPr>
          <w:rFonts w:ascii="Arial" w:hAnsi="Arial" w:eastAsia="Arial" w:cs="Arial"/>
          <w:noProof w:val="0"/>
          <w:sz w:val="24"/>
          <w:szCs w:val="24"/>
          <w:lang w:val="en-US"/>
        </w:rPr>
        <w:t xml:space="preserve">. Geneva: WHO. Available at: </w:t>
      </w:r>
      <w:hyperlink r:id="R6cc16b44408a4822">
        <w:r w:rsidRPr="4369956E" w:rsidR="34048010">
          <w:rPr>
            <w:rStyle w:val="Hyperlink"/>
            <w:rFonts w:ascii="Arial" w:hAnsi="Arial" w:eastAsia="Arial" w:cs="Arial"/>
            <w:noProof w:val="0"/>
            <w:sz w:val="24"/>
            <w:szCs w:val="24"/>
            <w:lang w:val="en-US"/>
          </w:rPr>
          <w:t>https://www.who.int/publications/i/item/9789241509763</w:t>
        </w:r>
      </w:hyperlink>
      <w:r w:rsidRPr="4369956E" w:rsidR="34048010">
        <w:rPr>
          <w:rFonts w:ascii="Arial" w:hAnsi="Arial" w:eastAsia="Arial" w:cs="Arial"/>
          <w:noProof w:val="0"/>
          <w:sz w:val="24"/>
          <w:szCs w:val="24"/>
          <w:lang w:val="en-US"/>
        </w:rPr>
        <w:t xml:space="preserve"> (Accessed: 12 December 2025).</w:t>
      </w:r>
    </w:p>
    <w:p w:rsidR="34048010" w:rsidP="4369956E" w:rsidRDefault="34048010" w14:paraId="2F04F0F5" w14:textId="5D77BC2C">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World Health Organization (2017) </w:t>
      </w:r>
      <w:r w:rsidRPr="4369956E" w:rsidR="34048010">
        <w:rPr>
          <w:rFonts w:ascii="Arial" w:hAnsi="Arial" w:eastAsia="Arial" w:cs="Arial"/>
          <w:i w:val="1"/>
          <w:iCs w:val="1"/>
          <w:noProof w:val="0"/>
          <w:sz w:val="24"/>
          <w:szCs w:val="24"/>
          <w:lang w:val="en-US"/>
        </w:rPr>
        <w:t>WHO guidelines on ethical issues in public health surveillance</w:t>
      </w:r>
      <w:r w:rsidRPr="4369956E" w:rsidR="34048010">
        <w:rPr>
          <w:rFonts w:ascii="Arial" w:hAnsi="Arial" w:eastAsia="Arial" w:cs="Arial"/>
          <w:noProof w:val="0"/>
          <w:sz w:val="24"/>
          <w:szCs w:val="24"/>
          <w:lang w:val="en-US"/>
        </w:rPr>
        <w:t xml:space="preserve">. Geneva: WHO. Available at: </w:t>
      </w:r>
      <w:hyperlink r:id="Rcf421fa7712f4805">
        <w:r w:rsidRPr="4369956E" w:rsidR="34048010">
          <w:rPr>
            <w:rStyle w:val="Hyperlink"/>
            <w:rFonts w:ascii="Arial" w:hAnsi="Arial" w:eastAsia="Arial" w:cs="Arial"/>
            <w:noProof w:val="0"/>
            <w:sz w:val="24"/>
            <w:szCs w:val="24"/>
            <w:lang w:val="en-US"/>
          </w:rPr>
          <w:t>https://www.who.int/publications/i/item/WHO-HIS-ETH-2017.1</w:t>
        </w:r>
      </w:hyperlink>
      <w:r w:rsidRPr="4369956E" w:rsidR="34048010">
        <w:rPr>
          <w:rFonts w:ascii="Arial" w:hAnsi="Arial" w:eastAsia="Arial" w:cs="Arial"/>
          <w:noProof w:val="0"/>
          <w:sz w:val="24"/>
          <w:szCs w:val="24"/>
          <w:lang w:val="en-US"/>
        </w:rPr>
        <w:t xml:space="preserve"> (Accessed: 12 December 2025).</w:t>
      </w:r>
    </w:p>
    <w:p w:rsidR="34048010" w:rsidP="4369956E" w:rsidRDefault="34048010" w14:paraId="1C5D998C" w14:textId="62839244">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Ocan, M., Obuku, E.A., Bwanga, F., Akena, D., Richard, S., Ogwal-Okeng, J. and Obua, C. (2015) ‘Household antimicrobial self-medication: a systematic review and meta-analysis of the burden, risk factors and outcomes in developing countries’, </w:t>
      </w:r>
      <w:r w:rsidRPr="4369956E" w:rsidR="34048010">
        <w:rPr>
          <w:rFonts w:ascii="Arial" w:hAnsi="Arial" w:eastAsia="Arial" w:cs="Arial"/>
          <w:i w:val="1"/>
          <w:iCs w:val="1"/>
          <w:noProof w:val="0"/>
          <w:sz w:val="24"/>
          <w:szCs w:val="24"/>
          <w:lang w:val="en-US"/>
        </w:rPr>
        <w:t>BMC Public Health</w:t>
      </w:r>
      <w:r w:rsidRPr="4369956E" w:rsidR="34048010">
        <w:rPr>
          <w:rFonts w:ascii="Arial" w:hAnsi="Arial" w:eastAsia="Arial" w:cs="Arial"/>
          <w:noProof w:val="0"/>
          <w:sz w:val="24"/>
          <w:szCs w:val="24"/>
          <w:lang w:val="en-US"/>
        </w:rPr>
        <w:t xml:space="preserve">, 15(1), pp. 1–11. Available at: </w:t>
      </w:r>
      <w:hyperlink r:id="R502aa89b07ea4d9b">
        <w:r w:rsidRPr="4369956E" w:rsidR="34048010">
          <w:rPr>
            <w:rStyle w:val="Hyperlink"/>
            <w:rFonts w:ascii="Arial" w:hAnsi="Arial" w:eastAsia="Arial" w:cs="Arial"/>
            <w:noProof w:val="0"/>
            <w:sz w:val="24"/>
            <w:szCs w:val="24"/>
            <w:lang w:val="en-US"/>
          </w:rPr>
          <w:t>https://bmcpublichealth.biomedcentral.com/articles/10.1186/s12889-015-2109-3</w:t>
        </w:r>
      </w:hyperlink>
      <w:r w:rsidRPr="4369956E" w:rsidR="34048010">
        <w:rPr>
          <w:rFonts w:ascii="Arial" w:hAnsi="Arial" w:eastAsia="Arial" w:cs="Arial"/>
          <w:noProof w:val="0"/>
          <w:sz w:val="24"/>
          <w:szCs w:val="24"/>
          <w:lang w:val="en-US"/>
        </w:rPr>
        <w:t xml:space="preserve"> (Accessed: 13 December 2025).</w:t>
      </w:r>
    </w:p>
    <w:p w:rsidR="34048010" w:rsidP="4369956E" w:rsidRDefault="34048010" w14:paraId="063FB55A" w14:textId="09DABFDB">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Auta, A., Hadi, M.A., Oga, E., Adewuyi, E.O., Abdu-Aguye, S.N., Adeloye, D., Strickland-Hodge, B. and Morgan, D.J. (2019) ‘Global access to antibiotics without prescription in community pharmacies: a systematic review and meta-analysis’, </w:t>
      </w:r>
      <w:r w:rsidRPr="4369956E" w:rsidR="34048010">
        <w:rPr>
          <w:rFonts w:ascii="Arial" w:hAnsi="Arial" w:eastAsia="Arial" w:cs="Arial"/>
          <w:i w:val="1"/>
          <w:iCs w:val="1"/>
          <w:noProof w:val="0"/>
          <w:sz w:val="24"/>
          <w:szCs w:val="24"/>
          <w:lang w:val="en-US"/>
        </w:rPr>
        <w:t>Journal of Infection</w:t>
      </w:r>
      <w:r w:rsidRPr="4369956E" w:rsidR="34048010">
        <w:rPr>
          <w:rFonts w:ascii="Arial" w:hAnsi="Arial" w:eastAsia="Arial" w:cs="Arial"/>
          <w:noProof w:val="0"/>
          <w:sz w:val="24"/>
          <w:szCs w:val="24"/>
          <w:lang w:val="en-US"/>
        </w:rPr>
        <w:t xml:space="preserve">, 78(1), pp. 8–18. Available at: </w:t>
      </w:r>
      <w:hyperlink r:id="R9dda06c98c48448b">
        <w:r w:rsidRPr="4369956E" w:rsidR="34048010">
          <w:rPr>
            <w:rStyle w:val="Hyperlink"/>
            <w:rFonts w:ascii="Arial" w:hAnsi="Arial" w:eastAsia="Arial" w:cs="Arial"/>
            <w:noProof w:val="0"/>
            <w:sz w:val="24"/>
            <w:szCs w:val="24"/>
            <w:lang w:val="en-US"/>
          </w:rPr>
          <w:t>https://www.sciencedirect.com/science/article/pii/S0163445318304846</w:t>
        </w:r>
      </w:hyperlink>
      <w:r w:rsidRPr="4369956E" w:rsidR="34048010">
        <w:rPr>
          <w:rFonts w:ascii="Arial" w:hAnsi="Arial" w:eastAsia="Arial" w:cs="Arial"/>
          <w:noProof w:val="0"/>
          <w:sz w:val="24"/>
          <w:szCs w:val="24"/>
          <w:lang w:val="en-US"/>
        </w:rPr>
        <w:t xml:space="preserve"> (Accessed: 13 December 2025).</w:t>
      </w:r>
    </w:p>
    <w:p w:rsidR="34048010" w:rsidP="4369956E" w:rsidRDefault="34048010" w14:paraId="3DE1B3A7" w14:textId="7E4B04E3">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Sakeena, M.H.F., Bennett, A.A. and McLachlan, A.J. (2018) ‘Non-prescription sale of antimicrobial agents in developing countries: a systematic review’, </w:t>
      </w:r>
      <w:r w:rsidRPr="4369956E" w:rsidR="34048010">
        <w:rPr>
          <w:rFonts w:ascii="Arial" w:hAnsi="Arial" w:eastAsia="Arial" w:cs="Arial"/>
          <w:i w:val="1"/>
          <w:iCs w:val="1"/>
          <w:noProof w:val="0"/>
          <w:sz w:val="24"/>
          <w:szCs w:val="24"/>
          <w:lang w:val="en-US"/>
        </w:rPr>
        <w:t>International Journal of Antimicrobial Agents</w:t>
      </w:r>
      <w:r w:rsidRPr="4369956E" w:rsidR="34048010">
        <w:rPr>
          <w:rFonts w:ascii="Arial" w:hAnsi="Arial" w:eastAsia="Arial" w:cs="Arial"/>
          <w:noProof w:val="0"/>
          <w:sz w:val="24"/>
          <w:szCs w:val="24"/>
          <w:lang w:val="en-US"/>
        </w:rPr>
        <w:t xml:space="preserve">, 52(6), pp. 771–782. Available at: </w:t>
      </w:r>
      <w:hyperlink r:id="R1ca1f2d1a0ff4f05">
        <w:r w:rsidRPr="4369956E" w:rsidR="34048010">
          <w:rPr>
            <w:rStyle w:val="Hyperlink"/>
            <w:rFonts w:ascii="Arial" w:hAnsi="Arial" w:eastAsia="Arial" w:cs="Arial"/>
            <w:noProof w:val="0"/>
            <w:sz w:val="24"/>
            <w:szCs w:val="24"/>
            <w:lang w:val="en-US"/>
          </w:rPr>
          <w:t>https://www.sciencedirect.com/science/article/pii/S0924857918301962</w:t>
        </w:r>
      </w:hyperlink>
      <w:r w:rsidRPr="4369956E" w:rsidR="34048010">
        <w:rPr>
          <w:rFonts w:ascii="Arial" w:hAnsi="Arial" w:eastAsia="Arial" w:cs="Arial"/>
          <w:noProof w:val="0"/>
          <w:sz w:val="24"/>
          <w:szCs w:val="24"/>
          <w:lang w:val="en-US"/>
        </w:rPr>
        <w:t xml:space="preserve"> (Accessed: 13 December 2025).</w:t>
      </w:r>
    </w:p>
    <w:p w:rsidR="34048010" w:rsidP="4369956E" w:rsidRDefault="34048010" w14:paraId="1EF89839" w14:textId="2680485D">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Dameh, M., Norris, P. and Green, J. (2012) ‘New Zealand pharmacists’ experiences, practices and views regarding antibiotic use without prescription’, </w:t>
      </w:r>
      <w:r w:rsidRPr="4369956E" w:rsidR="34048010">
        <w:rPr>
          <w:rFonts w:ascii="Arial" w:hAnsi="Arial" w:eastAsia="Arial" w:cs="Arial"/>
          <w:i w:val="1"/>
          <w:iCs w:val="1"/>
          <w:noProof w:val="0"/>
          <w:sz w:val="24"/>
          <w:szCs w:val="24"/>
          <w:lang w:val="en-US"/>
        </w:rPr>
        <w:t>Journal of Primary Health Care</w:t>
      </w:r>
      <w:r w:rsidRPr="4369956E" w:rsidR="34048010">
        <w:rPr>
          <w:rFonts w:ascii="Arial" w:hAnsi="Arial" w:eastAsia="Arial" w:cs="Arial"/>
          <w:noProof w:val="0"/>
          <w:sz w:val="24"/>
          <w:szCs w:val="24"/>
          <w:lang w:val="en-US"/>
        </w:rPr>
        <w:t xml:space="preserve">, 4(2), pp. 131–140. Available at: </w:t>
      </w:r>
      <w:hyperlink r:id="R4446aa516264433f">
        <w:r w:rsidRPr="4369956E" w:rsidR="34048010">
          <w:rPr>
            <w:rStyle w:val="Hyperlink"/>
            <w:rFonts w:ascii="Arial" w:hAnsi="Arial" w:eastAsia="Arial" w:cs="Arial"/>
            <w:noProof w:val="0"/>
            <w:sz w:val="24"/>
            <w:szCs w:val="24"/>
            <w:lang w:val="en-US"/>
          </w:rPr>
          <w:t>https://journal.nzma.org.nz/journal-articles/new-zealand-pharmacists-experiences-practices-and-views-regarding-antibiotic-use-without-prescription</w:t>
        </w:r>
      </w:hyperlink>
      <w:r w:rsidRPr="4369956E" w:rsidR="34048010">
        <w:rPr>
          <w:rFonts w:ascii="Arial" w:hAnsi="Arial" w:eastAsia="Arial" w:cs="Arial"/>
          <w:noProof w:val="0"/>
          <w:sz w:val="24"/>
          <w:szCs w:val="24"/>
          <w:lang w:val="en-US"/>
        </w:rPr>
        <w:t xml:space="preserve"> (Accessed: 14 December 2025).</w:t>
      </w:r>
    </w:p>
    <w:p w:rsidR="34048010" w:rsidP="4369956E" w:rsidRDefault="34048010" w14:paraId="15D173F2" w14:textId="3931A751">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Miller, R. and Goodman, C. (2016) ‘Performance of retail pharmacies in low- and middle-income Asian settings: a systematic review’, </w:t>
      </w:r>
      <w:r w:rsidRPr="4369956E" w:rsidR="34048010">
        <w:rPr>
          <w:rFonts w:ascii="Arial" w:hAnsi="Arial" w:eastAsia="Arial" w:cs="Arial"/>
          <w:i w:val="1"/>
          <w:iCs w:val="1"/>
          <w:noProof w:val="0"/>
          <w:sz w:val="24"/>
          <w:szCs w:val="24"/>
          <w:lang w:val="en-US"/>
        </w:rPr>
        <w:t>Health Policy and Planning</w:t>
      </w:r>
      <w:r w:rsidRPr="4369956E" w:rsidR="34048010">
        <w:rPr>
          <w:rFonts w:ascii="Arial" w:hAnsi="Arial" w:eastAsia="Arial" w:cs="Arial"/>
          <w:noProof w:val="0"/>
          <w:sz w:val="24"/>
          <w:szCs w:val="24"/>
          <w:lang w:val="en-US"/>
        </w:rPr>
        <w:t xml:space="preserve">, 31(7), pp. 940–953. Available at: </w:t>
      </w:r>
      <w:hyperlink r:id="R92c6181083504fe3">
        <w:r w:rsidRPr="4369956E" w:rsidR="34048010">
          <w:rPr>
            <w:rStyle w:val="Hyperlink"/>
            <w:rFonts w:ascii="Arial" w:hAnsi="Arial" w:eastAsia="Arial" w:cs="Arial"/>
            <w:noProof w:val="0"/>
            <w:sz w:val="24"/>
            <w:szCs w:val="24"/>
            <w:lang w:val="en-US"/>
          </w:rPr>
          <w:t>https://academic.oup.com/heapol/article/31/7/940/1750709</w:t>
        </w:r>
      </w:hyperlink>
      <w:r w:rsidRPr="4369956E" w:rsidR="34048010">
        <w:rPr>
          <w:rFonts w:ascii="Arial" w:hAnsi="Arial" w:eastAsia="Arial" w:cs="Arial"/>
          <w:noProof w:val="0"/>
          <w:sz w:val="24"/>
          <w:szCs w:val="24"/>
          <w:lang w:val="en-US"/>
        </w:rPr>
        <w:t xml:space="preserve"> (Accessed: 14 December 2025).</w:t>
      </w:r>
    </w:p>
    <w:p w:rsidR="34048010" w:rsidP="4369956E" w:rsidRDefault="34048010" w14:paraId="610BEAE9" w14:textId="01E87424">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Smith, F. (2009) ‘The quality of private pharmacy services in low and middle-income countries: a systematic review’, </w:t>
      </w:r>
      <w:r w:rsidRPr="4369956E" w:rsidR="34048010">
        <w:rPr>
          <w:rFonts w:ascii="Arial" w:hAnsi="Arial" w:eastAsia="Arial" w:cs="Arial"/>
          <w:i w:val="1"/>
          <w:iCs w:val="1"/>
          <w:noProof w:val="0"/>
          <w:sz w:val="24"/>
          <w:szCs w:val="24"/>
          <w:lang w:val="en-US"/>
        </w:rPr>
        <w:t>Pharmacy World &amp; Science</w:t>
      </w:r>
      <w:r w:rsidRPr="4369956E" w:rsidR="34048010">
        <w:rPr>
          <w:rFonts w:ascii="Arial" w:hAnsi="Arial" w:eastAsia="Arial" w:cs="Arial"/>
          <w:noProof w:val="0"/>
          <w:sz w:val="24"/>
          <w:szCs w:val="24"/>
          <w:lang w:val="en-US"/>
        </w:rPr>
        <w:t xml:space="preserve">, 31(3), pp. 351–361. Available at: </w:t>
      </w:r>
      <w:hyperlink r:id="Raba60ded04094d53">
        <w:r w:rsidRPr="4369956E" w:rsidR="34048010">
          <w:rPr>
            <w:rStyle w:val="Hyperlink"/>
            <w:rFonts w:ascii="Arial" w:hAnsi="Arial" w:eastAsia="Arial" w:cs="Arial"/>
            <w:noProof w:val="0"/>
            <w:sz w:val="24"/>
            <w:szCs w:val="24"/>
            <w:lang w:val="en-US"/>
          </w:rPr>
          <w:t>https://link.springer.com/article/10.1007/s11096-009-9294-z</w:t>
        </w:r>
      </w:hyperlink>
      <w:r w:rsidRPr="4369956E" w:rsidR="34048010">
        <w:rPr>
          <w:rFonts w:ascii="Arial" w:hAnsi="Arial" w:eastAsia="Arial" w:cs="Arial"/>
          <w:noProof w:val="0"/>
          <w:sz w:val="24"/>
          <w:szCs w:val="24"/>
          <w:lang w:val="en-US"/>
        </w:rPr>
        <w:t xml:space="preserve"> (Accessed: 14 December 2025).</w:t>
      </w:r>
    </w:p>
    <w:p w:rsidR="34048010" w:rsidP="4369956E" w:rsidRDefault="34048010" w14:paraId="5D59FBE8" w14:textId="3261BF76">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Holloway, K. and van Dijk, L. (2011) </w:t>
      </w:r>
      <w:r w:rsidRPr="4369956E" w:rsidR="34048010">
        <w:rPr>
          <w:rFonts w:ascii="Arial" w:hAnsi="Arial" w:eastAsia="Arial" w:cs="Arial"/>
          <w:i w:val="1"/>
          <w:iCs w:val="1"/>
          <w:noProof w:val="0"/>
          <w:sz w:val="24"/>
          <w:szCs w:val="24"/>
          <w:lang w:val="en-US"/>
        </w:rPr>
        <w:t>The World Medicines Situation 2011: Rational use of medicines</w:t>
      </w:r>
      <w:r w:rsidRPr="4369956E" w:rsidR="34048010">
        <w:rPr>
          <w:rFonts w:ascii="Arial" w:hAnsi="Arial" w:eastAsia="Arial" w:cs="Arial"/>
          <w:noProof w:val="0"/>
          <w:sz w:val="24"/>
          <w:szCs w:val="24"/>
          <w:lang w:val="en-US"/>
        </w:rPr>
        <w:t xml:space="preserve">. Geneva: WHO. Available at: </w:t>
      </w:r>
      <w:hyperlink r:id="R438941d3e4db4a5d">
        <w:r w:rsidRPr="4369956E" w:rsidR="34048010">
          <w:rPr>
            <w:rStyle w:val="Hyperlink"/>
            <w:rFonts w:ascii="Arial" w:hAnsi="Arial" w:eastAsia="Arial" w:cs="Arial"/>
            <w:noProof w:val="0"/>
            <w:sz w:val="24"/>
            <w:szCs w:val="24"/>
            <w:lang w:val="en-US"/>
          </w:rPr>
          <w:t>https://apps.who.int/iris/handle/10665/44779</w:t>
        </w:r>
      </w:hyperlink>
      <w:r w:rsidRPr="4369956E" w:rsidR="34048010">
        <w:rPr>
          <w:rFonts w:ascii="Arial" w:hAnsi="Arial" w:eastAsia="Arial" w:cs="Arial"/>
          <w:noProof w:val="0"/>
          <w:sz w:val="24"/>
          <w:szCs w:val="24"/>
          <w:lang w:val="en-US"/>
        </w:rPr>
        <w:t xml:space="preserve"> (Accessed: 15 December 2025).</w:t>
      </w:r>
    </w:p>
    <w:p w:rsidR="34048010" w:rsidP="4369956E" w:rsidRDefault="34048010" w14:paraId="3E791B61" w14:textId="5E88153A">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Kotwani, A., Wattal, C., Joshi, P.C. and Holloway, K. (2012) ‘Irrational use of antibiotics and role of the pharmacist: an insight from a qualitative study in New Delhi, India’, </w:t>
      </w:r>
      <w:r w:rsidRPr="4369956E" w:rsidR="34048010">
        <w:rPr>
          <w:rFonts w:ascii="Arial" w:hAnsi="Arial" w:eastAsia="Arial" w:cs="Arial"/>
          <w:i w:val="1"/>
          <w:iCs w:val="1"/>
          <w:noProof w:val="0"/>
          <w:sz w:val="24"/>
          <w:szCs w:val="24"/>
          <w:lang w:val="en-US"/>
        </w:rPr>
        <w:t>Journal of Clinical Pharmacy and Therapeutics</w:t>
      </w:r>
      <w:r w:rsidRPr="4369956E" w:rsidR="34048010">
        <w:rPr>
          <w:rFonts w:ascii="Arial" w:hAnsi="Arial" w:eastAsia="Arial" w:cs="Arial"/>
          <w:noProof w:val="0"/>
          <w:sz w:val="24"/>
          <w:szCs w:val="24"/>
          <w:lang w:val="en-US"/>
        </w:rPr>
        <w:t xml:space="preserve">, 37(3), pp. 308–312. Available at: </w:t>
      </w:r>
      <w:hyperlink r:id="Rf0532d0eb583490e">
        <w:r w:rsidRPr="4369956E" w:rsidR="34048010">
          <w:rPr>
            <w:rStyle w:val="Hyperlink"/>
            <w:rFonts w:ascii="Arial" w:hAnsi="Arial" w:eastAsia="Arial" w:cs="Arial"/>
            <w:noProof w:val="0"/>
            <w:sz w:val="24"/>
            <w:szCs w:val="24"/>
            <w:lang w:val="en-US"/>
          </w:rPr>
          <w:t>https://onlinelibrary.wiley.com/doi/10.1111/j.1365-2710.2011.01293.x</w:t>
        </w:r>
      </w:hyperlink>
      <w:r w:rsidRPr="4369956E" w:rsidR="34048010">
        <w:rPr>
          <w:rFonts w:ascii="Arial" w:hAnsi="Arial" w:eastAsia="Arial" w:cs="Arial"/>
          <w:noProof w:val="0"/>
          <w:sz w:val="24"/>
          <w:szCs w:val="24"/>
          <w:lang w:val="en-US"/>
        </w:rPr>
        <w:t xml:space="preserve"> (Accessed: 15 December 2025).</w:t>
      </w:r>
    </w:p>
    <w:p w:rsidR="34048010" w:rsidP="4369956E" w:rsidRDefault="34048010" w14:paraId="22E2BFA2" w14:textId="3531B260">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Ndongmo, T.N. and Penda, I.C. (2020) ‘Community pharmacists’ perceptions of antibiotic resistance in sub-Saharan Africa: a qualitative systematic review’, </w:t>
      </w:r>
      <w:r w:rsidRPr="4369956E" w:rsidR="34048010">
        <w:rPr>
          <w:rFonts w:ascii="Arial" w:hAnsi="Arial" w:eastAsia="Arial" w:cs="Arial"/>
          <w:i w:val="1"/>
          <w:iCs w:val="1"/>
          <w:noProof w:val="0"/>
          <w:sz w:val="24"/>
          <w:szCs w:val="24"/>
          <w:lang w:val="en-US"/>
        </w:rPr>
        <w:t>Antibiotics</w:t>
      </w:r>
      <w:r w:rsidRPr="4369956E" w:rsidR="34048010">
        <w:rPr>
          <w:rFonts w:ascii="Arial" w:hAnsi="Arial" w:eastAsia="Arial" w:cs="Arial"/>
          <w:noProof w:val="0"/>
          <w:sz w:val="24"/>
          <w:szCs w:val="24"/>
          <w:lang w:val="en-US"/>
        </w:rPr>
        <w:t xml:space="preserve">, 9(12), pp. 1–18. Available at: </w:t>
      </w:r>
      <w:hyperlink r:id="R3c22b515839c445f">
        <w:r w:rsidRPr="4369956E" w:rsidR="34048010">
          <w:rPr>
            <w:rStyle w:val="Hyperlink"/>
            <w:rFonts w:ascii="Arial" w:hAnsi="Arial" w:eastAsia="Arial" w:cs="Arial"/>
            <w:noProof w:val="0"/>
            <w:sz w:val="24"/>
            <w:szCs w:val="24"/>
            <w:lang w:val="en-US"/>
          </w:rPr>
          <w:t>https://www.mdpi.com/2079-6382/9/12/846</w:t>
        </w:r>
      </w:hyperlink>
      <w:r w:rsidRPr="4369956E" w:rsidR="34048010">
        <w:rPr>
          <w:rFonts w:ascii="Arial" w:hAnsi="Arial" w:eastAsia="Arial" w:cs="Arial"/>
          <w:noProof w:val="0"/>
          <w:sz w:val="24"/>
          <w:szCs w:val="24"/>
          <w:lang w:val="en-US"/>
        </w:rPr>
        <w:t xml:space="preserve"> (Accessed: 15 December 2025).</w:t>
      </w:r>
    </w:p>
    <w:p w:rsidR="34048010" w:rsidP="4369956E" w:rsidRDefault="34048010" w14:paraId="55FB3330" w14:textId="057D62B2">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Sefah, I.A., Essah, D.O., Kurdi, A., Sneddon, J., Alalbila, T.M., Kordorwu, H. and Godman, B. (2021) ‘Assessment of antimicrobial stewardship programmes in African hospitals: a systematic review’, </w:t>
      </w:r>
      <w:r w:rsidRPr="4369956E" w:rsidR="34048010">
        <w:rPr>
          <w:rFonts w:ascii="Arial" w:hAnsi="Arial" w:eastAsia="Arial" w:cs="Arial"/>
          <w:i w:val="1"/>
          <w:iCs w:val="1"/>
          <w:noProof w:val="0"/>
          <w:sz w:val="24"/>
          <w:szCs w:val="24"/>
          <w:lang w:val="en-US"/>
        </w:rPr>
        <w:t>Antibiotics</w:t>
      </w:r>
      <w:r w:rsidRPr="4369956E" w:rsidR="34048010">
        <w:rPr>
          <w:rFonts w:ascii="Arial" w:hAnsi="Arial" w:eastAsia="Arial" w:cs="Arial"/>
          <w:noProof w:val="0"/>
          <w:sz w:val="24"/>
          <w:szCs w:val="24"/>
          <w:lang w:val="en-US"/>
        </w:rPr>
        <w:t xml:space="preserve">, 10(5), pp. 1–21. Available at: </w:t>
      </w:r>
      <w:hyperlink r:id="Re09cce6f2db045bc">
        <w:r w:rsidRPr="4369956E" w:rsidR="34048010">
          <w:rPr>
            <w:rStyle w:val="Hyperlink"/>
            <w:rFonts w:ascii="Arial" w:hAnsi="Arial" w:eastAsia="Arial" w:cs="Arial"/>
            <w:noProof w:val="0"/>
            <w:sz w:val="24"/>
            <w:szCs w:val="24"/>
            <w:lang w:val="en-US"/>
          </w:rPr>
          <w:t>https://www.mdpi.com/2079-6382/10/5/513</w:t>
        </w:r>
      </w:hyperlink>
      <w:r w:rsidRPr="4369956E" w:rsidR="34048010">
        <w:rPr>
          <w:rFonts w:ascii="Arial" w:hAnsi="Arial" w:eastAsia="Arial" w:cs="Arial"/>
          <w:noProof w:val="0"/>
          <w:sz w:val="24"/>
          <w:szCs w:val="24"/>
          <w:lang w:val="en-US"/>
        </w:rPr>
        <w:t xml:space="preserve"> (Accessed: 16 December 2025).</w:t>
      </w:r>
    </w:p>
    <w:p w:rsidR="34048010" w:rsidP="4369956E" w:rsidRDefault="34048010" w14:paraId="1A472FE1" w14:textId="498A64DE">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Jacobs, T.G., Robertson, J., van den Ham, H.A. and Iwamoto, K. (2019) ‘Assessing the impact of medicine regulatory interventions on antibiotic use’, </w:t>
      </w:r>
      <w:r w:rsidRPr="4369956E" w:rsidR="34048010">
        <w:rPr>
          <w:rFonts w:ascii="Arial" w:hAnsi="Arial" w:eastAsia="Arial" w:cs="Arial"/>
          <w:i w:val="1"/>
          <w:iCs w:val="1"/>
          <w:noProof w:val="0"/>
          <w:sz w:val="24"/>
          <w:szCs w:val="24"/>
          <w:lang w:val="en-US"/>
        </w:rPr>
        <w:t>Health Policy</w:t>
      </w:r>
      <w:r w:rsidRPr="4369956E" w:rsidR="34048010">
        <w:rPr>
          <w:rFonts w:ascii="Arial" w:hAnsi="Arial" w:eastAsia="Arial" w:cs="Arial"/>
          <w:noProof w:val="0"/>
          <w:sz w:val="24"/>
          <w:szCs w:val="24"/>
          <w:lang w:val="en-US"/>
        </w:rPr>
        <w:t xml:space="preserve">, 123(8), pp. 750–758. Available at: </w:t>
      </w:r>
      <w:hyperlink r:id="R4922298102ac403c">
        <w:r w:rsidRPr="4369956E" w:rsidR="34048010">
          <w:rPr>
            <w:rStyle w:val="Hyperlink"/>
            <w:rFonts w:ascii="Arial" w:hAnsi="Arial" w:eastAsia="Arial" w:cs="Arial"/>
            <w:noProof w:val="0"/>
            <w:sz w:val="24"/>
            <w:szCs w:val="24"/>
            <w:lang w:val="en-US"/>
          </w:rPr>
          <w:t>https://www.sciencedirect.com/science/article/pii/S0168851019301366</w:t>
        </w:r>
      </w:hyperlink>
      <w:r w:rsidRPr="4369956E" w:rsidR="34048010">
        <w:rPr>
          <w:rFonts w:ascii="Arial" w:hAnsi="Arial" w:eastAsia="Arial" w:cs="Arial"/>
          <w:noProof w:val="0"/>
          <w:sz w:val="24"/>
          <w:szCs w:val="24"/>
          <w:lang w:val="en-US"/>
        </w:rPr>
        <w:t xml:space="preserve"> (Accessed: 16 December 2025).</w:t>
      </w:r>
    </w:p>
    <w:p w:rsidR="34048010" w:rsidP="4369956E" w:rsidRDefault="34048010" w14:paraId="65B1F960" w14:textId="62E83F0E">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Ayukekbong, J.A., Ntemgwa, M. and Atabe, A.N. (2017) ‘The threat of antimicrobial resistance in developing countries: causes and control strategies’, </w:t>
      </w:r>
      <w:r w:rsidRPr="4369956E" w:rsidR="34048010">
        <w:rPr>
          <w:rFonts w:ascii="Arial" w:hAnsi="Arial" w:eastAsia="Arial" w:cs="Arial"/>
          <w:i w:val="1"/>
          <w:iCs w:val="1"/>
          <w:noProof w:val="0"/>
          <w:sz w:val="24"/>
          <w:szCs w:val="24"/>
          <w:lang w:val="en-US"/>
        </w:rPr>
        <w:t>Antimicrobial Resistance and Infection Control</w:t>
      </w:r>
      <w:r w:rsidRPr="4369956E" w:rsidR="34048010">
        <w:rPr>
          <w:rFonts w:ascii="Arial" w:hAnsi="Arial" w:eastAsia="Arial" w:cs="Arial"/>
          <w:noProof w:val="0"/>
          <w:sz w:val="24"/>
          <w:szCs w:val="24"/>
          <w:lang w:val="en-US"/>
        </w:rPr>
        <w:t xml:space="preserve">, 6(1), pp. 1–8. Available at: </w:t>
      </w:r>
      <w:hyperlink r:id="R6577bd604778479d">
        <w:r w:rsidRPr="4369956E" w:rsidR="34048010">
          <w:rPr>
            <w:rStyle w:val="Hyperlink"/>
            <w:rFonts w:ascii="Arial" w:hAnsi="Arial" w:eastAsia="Arial" w:cs="Arial"/>
            <w:noProof w:val="0"/>
            <w:sz w:val="24"/>
            <w:szCs w:val="24"/>
            <w:lang w:val="en-US"/>
          </w:rPr>
          <w:t>https://aricjournal.biomedcentral.com/articles/10.1186/s13756-017-0208-x</w:t>
        </w:r>
      </w:hyperlink>
      <w:r w:rsidRPr="4369956E" w:rsidR="34048010">
        <w:rPr>
          <w:rFonts w:ascii="Arial" w:hAnsi="Arial" w:eastAsia="Arial" w:cs="Arial"/>
          <w:noProof w:val="0"/>
          <w:sz w:val="24"/>
          <w:szCs w:val="24"/>
          <w:lang w:val="en-US"/>
        </w:rPr>
        <w:t xml:space="preserve"> (Accessed: 16 December 2025).</w:t>
      </w:r>
    </w:p>
    <w:p w:rsidR="34048010" w:rsidP="4369956E" w:rsidRDefault="34048010" w14:paraId="1259D329" w14:textId="196636A9">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Charani, E., Holmes, A. and Cooke, J. (2015) ‘Antimicrobial stewardship programmes: the need for wider engagement’, </w:t>
      </w:r>
      <w:r w:rsidRPr="4369956E" w:rsidR="34048010">
        <w:rPr>
          <w:rFonts w:ascii="Arial" w:hAnsi="Arial" w:eastAsia="Arial" w:cs="Arial"/>
          <w:i w:val="1"/>
          <w:iCs w:val="1"/>
          <w:noProof w:val="0"/>
          <w:sz w:val="24"/>
          <w:szCs w:val="24"/>
          <w:lang w:val="en-US"/>
        </w:rPr>
        <w:t>BMJ Quality &amp; Safety</w:t>
      </w:r>
      <w:r w:rsidRPr="4369956E" w:rsidR="34048010">
        <w:rPr>
          <w:rFonts w:ascii="Arial" w:hAnsi="Arial" w:eastAsia="Arial" w:cs="Arial"/>
          <w:noProof w:val="0"/>
          <w:sz w:val="24"/>
          <w:szCs w:val="24"/>
          <w:lang w:val="en-US"/>
        </w:rPr>
        <w:t xml:space="preserve">, 24(11), pp. 701–704. Available at: </w:t>
      </w:r>
      <w:hyperlink r:id="R0b3e67d1b00d434c">
        <w:r w:rsidRPr="4369956E" w:rsidR="34048010">
          <w:rPr>
            <w:rStyle w:val="Hyperlink"/>
            <w:rFonts w:ascii="Arial" w:hAnsi="Arial" w:eastAsia="Arial" w:cs="Arial"/>
            <w:noProof w:val="0"/>
            <w:sz w:val="24"/>
            <w:szCs w:val="24"/>
            <w:lang w:val="en-US"/>
          </w:rPr>
          <w:t>https://qualitysafety.bmj.com/content/24/11/701</w:t>
        </w:r>
      </w:hyperlink>
      <w:r w:rsidRPr="4369956E" w:rsidR="34048010">
        <w:rPr>
          <w:rFonts w:ascii="Arial" w:hAnsi="Arial" w:eastAsia="Arial" w:cs="Arial"/>
          <w:noProof w:val="0"/>
          <w:sz w:val="24"/>
          <w:szCs w:val="24"/>
          <w:lang w:val="en-US"/>
        </w:rPr>
        <w:t xml:space="preserve"> (Accessed: 17 December 2025).</w:t>
      </w:r>
    </w:p>
    <w:p w:rsidR="34048010" w:rsidP="4369956E" w:rsidRDefault="34048010" w14:paraId="047706CE" w14:textId="1F83ECAA">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Goel, D., Gupta, S. and Meher, B.R. (2021) ‘Community pharmacists’ role in antimicrobial stewardship: a qualitative review’, </w:t>
      </w:r>
      <w:r w:rsidRPr="4369956E" w:rsidR="34048010">
        <w:rPr>
          <w:rFonts w:ascii="Arial" w:hAnsi="Arial" w:eastAsia="Arial" w:cs="Arial"/>
          <w:i w:val="1"/>
          <w:iCs w:val="1"/>
          <w:noProof w:val="0"/>
          <w:sz w:val="24"/>
          <w:szCs w:val="24"/>
          <w:lang w:val="en-US"/>
        </w:rPr>
        <w:t>Journal of Family Medicine and Primary Care</w:t>
      </w:r>
      <w:r w:rsidRPr="4369956E" w:rsidR="34048010">
        <w:rPr>
          <w:rFonts w:ascii="Arial" w:hAnsi="Arial" w:eastAsia="Arial" w:cs="Arial"/>
          <w:noProof w:val="0"/>
          <w:sz w:val="24"/>
          <w:szCs w:val="24"/>
          <w:lang w:val="en-US"/>
        </w:rPr>
        <w:t xml:space="preserve">, 10(1), pp. 1–7. Available at: </w:t>
      </w:r>
      <w:hyperlink r:id="R1ec049d820ef4c98">
        <w:r w:rsidRPr="4369956E" w:rsidR="34048010">
          <w:rPr>
            <w:rStyle w:val="Hyperlink"/>
            <w:rFonts w:ascii="Arial" w:hAnsi="Arial" w:eastAsia="Arial" w:cs="Arial"/>
            <w:noProof w:val="0"/>
            <w:sz w:val="24"/>
            <w:szCs w:val="24"/>
            <w:lang w:val="en-US"/>
          </w:rPr>
          <w:t>https://journals.lww.com/jfmpc/fulltext/2021/10010/community_pharmacists__role_in.1.aspx</w:t>
        </w:r>
      </w:hyperlink>
      <w:r w:rsidRPr="4369956E" w:rsidR="34048010">
        <w:rPr>
          <w:rFonts w:ascii="Arial" w:hAnsi="Arial" w:eastAsia="Arial" w:cs="Arial"/>
          <w:noProof w:val="0"/>
          <w:sz w:val="24"/>
          <w:szCs w:val="24"/>
          <w:lang w:val="en-US"/>
        </w:rPr>
        <w:t xml:space="preserve"> (Accessed: 17 December 2025).</w:t>
      </w:r>
    </w:p>
    <w:p w:rsidR="34048010" w:rsidP="4369956E" w:rsidRDefault="34048010" w14:paraId="3D2A8E60" w14:textId="620D2EC6">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Nazir, S., Azhar, S., Hassali, M.A., Saleem, F. and Bashir, S. (2020) ‘Community pharmacists’ perception of barriers towards antimicrobial stewardship in developing countries’, </w:t>
      </w:r>
      <w:r w:rsidRPr="4369956E" w:rsidR="34048010">
        <w:rPr>
          <w:rFonts w:ascii="Arial" w:hAnsi="Arial" w:eastAsia="Arial" w:cs="Arial"/>
          <w:i w:val="1"/>
          <w:iCs w:val="1"/>
          <w:noProof w:val="0"/>
          <w:sz w:val="24"/>
          <w:szCs w:val="24"/>
          <w:lang w:val="en-US"/>
        </w:rPr>
        <w:t>Journal of Infection and Public Health</w:t>
      </w:r>
      <w:r w:rsidRPr="4369956E" w:rsidR="34048010">
        <w:rPr>
          <w:rFonts w:ascii="Arial" w:hAnsi="Arial" w:eastAsia="Arial" w:cs="Arial"/>
          <w:noProof w:val="0"/>
          <w:sz w:val="24"/>
          <w:szCs w:val="24"/>
          <w:lang w:val="en-US"/>
        </w:rPr>
        <w:t xml:space="preserve">, 13(5), pp. 690–696. Available at: </w:t>
      </w:r>
      <w:hyperlink r:id="Ra926013dc9ff4ee7">
        <w:r w:rsidRPr="4369956E" w:rsidR="34048010">
          <w:rPr>
            <w:rStyle w:val="Hyperlink"/>
            <w:rFonts w:ascii="Arial" w:hAnsi="Arial" w:eastAsia="Arial" w:cs="Arial"/>
            <w:noProof w:val="0"/>
            <w:sz w:val="24"/>
            <w:szCs w:val="24"/>
            <w:lang w:val="en-US"/>
          </w:rPr>
          <w:t>https://www.sciencedirect.com/science/article/pii/S1876034119305410</w:t>
        </w:r>
      </w:hyperlink>
      <w:r w:rsidRPr="4369956E" w:rsidR="34048010">
        <w:rPr>
          <w:rFonts w:ascii="Arial" w:hAnsi="Arial" w:eastAsia="Arial" w:cs="Arial"/>
          <w:noProof w:val="0"/>
          <w:sz w:val="24"/>
          <w:szCs w:val="24"/>
          <w:lang w:val="en-US"/>
        </w:rPr>
        <w:t xml:space="preserve"> (Accessed: 18 December 2025).</w:t>
      </w:r>
    </w:p>
    <w:p w:rsidR="34048010" w:rsidP="4369956E" w:rsidRDefault="34048010" w14:paraId="64661044" w14:textId="0B387836">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34048010">
        <w:rPr>
          <w:rFonts w:ascii="Arial" w:hAnsi="Arial" w:eastAsia="Arial" w:cs="Arial"/>
          <w:noProof w:val="0"/>
          <w:sz w:val="24"/>
          <w:szCs w:val="24"/>
          <w:lang w:val="en-US"/>
        </w:rPr>
        <w:t xml:space="preserve">Rather, I.A., Kim, B.C., Bajpai, V.K. and Park, Y.H. (2017) ‘Self-medication and antibiotic resistance: crisis, current challenges and prevention’, </w:t>
      </w:r>
      <w:r w:rsidRPr="4369956E" w:rsidR="34048010">
        <w:rPr>
          <w:rFonts w:ascii="Arial" w:hAnsi="Arial" w:eastAsia="Arial" w:cs="Arial"/>
          <w:i w:val="1"/>
          <w:iCs w:val="1"/>
          <w:noProof w:val="0"/>
          <w:sz w:val="24"/>
          <w:szCs w:val="24"/>
          <w:lang w:val="en-US"/>
        </w:rPr>
        <w:t>Saudi Journal of Biological Sciences</w:t>
      </w:r>
      <w:r w:rsidRPr="4369956E" w:rsidR="34048010">
        <w:rPr>
          <w:rFonts w:ascii="Arial" w:hAnsi="Arial" w:eastAsia="Arial" w:cs="Arial"/>
          <w:noProof w:val="0"/>
          <w:sz w:val="24"/>
          <w:szCs w:val="24"/>
          <w:lang w:val="en-US"/>
        </w:rPr>
        <w:t xml:space="preserve">, 24(4), pp. 808–812. Available at: </w:t>
      </w:r>
      <w:hyperlink r:id="R3dd39096c5b340d9">
        <w:r w:rsidRPr="4369956E" w:rsidR="34048010">
          <w:rPr>
            <w:rStyle w:val="Hyperlink"/>
            <w:rFonts w:ascii="Arial" w:hAnsi="Arial" w:eastAsia="Arial" w:cs="Arial"/>
            <w:noProof w:val="0"/>
            <w:sz w:val="24"/>
            <w:szCs w:val="24"/>
            <w:lang w:val="en-US"/>
          </w:rPr>
          <w:t>https://www.sciencedirect.com/science/article/pii/S1319562X16301213</w:t>
        </w:r>
      </w:hyperlink>
      <w:r w:rsidRPr="4369956E" w:rsidR="34048010">
        <w:rPr>
          <w:rFonts w:ascii="Arial" w:hAnsi="Arial" w:eastAsia="Arial" w:cs="Arial"/>
          <w:noProof w:val="0"/>
          <w:sz w:val="24"/>
          <w:szCs w:val="24"/>
          <w:lang w:val="en-US"/>
        </w:rPr>
        <w:t xml:space="preserve"> (Accessed: 18 December 2025).</w:t>
      </w:r>
    </w:p>
    <w:p w:rsidR="750CD0FA" w:rsidP="4369956E" w:rsidRDefault="750CD0FA" w14:paraId="5E6F4F9E" w14:textId="6F03867E">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Barker, A.K., Brown, K., Ahsan, M., Sengupta, S. and Safdar, N. (2017) ‘Social determinants of antibiotic misuse: a qualitative study of community members in Bangladesh’, </w:t>
      </w:r>
      <w:r w:rsidRPr="4369956E" w:rsidR="750CD0FA">
        <w:rPr>
          <w:rFonts w:ascii="Arial" w:hAnsi="Arial" w:eastAsia="Arial" w:cs="Arial"/>
          <w:i w:val="1"/>
          <w:iCs w:val="1"/>
          <w:noProof w:val="0"/>
          <w:sz w:val="24"/>
          <w:szCs w:val="24"/>
          <w:lang w:val="en-US"/>
        </w:rPr>
        <w:t>BMC Public Health</w:t>
      </w:r>
      <w:r w:rsidRPr="4369956E" w:rsidR="750CD0FA">
        <w:rPr>
          <w:rFonts w:ascii="Arial" w:hAnsi="Arial" w:eastAsia="Arial" w:cs="Arial"/>
          <w:noProof w:val="0"/>
          <w:sz w:val="24"/>
          <w:szCs w:val="24"/>
          <w:lang w:val="en-US"/>
        </w:rPr>
        <w:t xml:space="preserve">, 17(1), pp. 1–11. Available at: </w:t>
      </w:r>
      <w:hyperlink r:id="Ra87cb7cac0b1473f">
        <w:r w:rsidRPr="4369956E" w:rsidR="750CD0FA">
          <w:rPr>
            <w:rStyle w:val="Hyperlink"/>
            <w:rFonts w:ascii="Arial" w:hAnsi="Arial" w:eastAsia="Arial" w:cs="Arial"/>
            <w:noProof w:val="0"/>
            <w:sz w:val="24"/>
            <w:szCs w:val="24"/>
            <w:lang w:val="en-US"/>
          </w:rPr>
          <w:t>https://bmcpublichealth.biomedcentral.com/articles/10.1186/s12889-017-4093-2</w:t>
        </w:r>
      </w:hyperlink>
      <w:r w:rsidRPr="4369956E" w:rsidR="750CD0FA">
        <w:rPr>
          <w:rFonts w:ascii="Arial" w:hAnsi="Arial" w:eastAsia="Arial" w:cs="Arial"/>
          <w:noProof w:val="0"/>
          <w:sz w:val="24"/>
          <w:szCs w:val="24"/>
          <w:lang w:val="en-US"/>
        </w:rPr>
        <w:t xml:space="preserve"> (Accessed: 12 December 2025).</w:t>
      </w:r>
    </w:p>
    <w:p w:rsidR="750CD0FA" w:rsidP="4369956E" w:rsidRDefault="750CD0FA" w14:paraId="6DE6FB06" w14:textId="0A865395">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Shehadeh, M., Suaifan, G., Darwish, R.M., Wazaify, M., Zaru, L. and Alja’fari, S. (2012) ‘Knowledge, attitudes and behaviour regarding antibiotics use and misuse among adults in Jordan’, </w:t>
      </w:r>
      <w:r w:rsidRPr="4369956E" w:rsidR="750CD0FA">
        <w:rPr>
          <w:rFonts w:ascii="Arial" w:hAnsi="Arial" w:eastAsia="Arial" w:cs="Arial"/>
          <w:i w:val="1"/>
          <w:iCs w:val="1"/>
          <w:noProof w:val="0"/>
          <w:sz w:val="24"/>
          <w:szCs w:val="24"/>
          <w:lang w:val="en-US"/>
        </w:rPr>
        <w:t>Saudi Pharmaceutical Journal</w:t>
      </w:r>
      <w:r w:rsidRPr="4369956E" w:rsidR="750CD0FA">
        <w:rPr>
          <w:rFonts w:ascii="Arial" w:hAnsi="Arial" w:eastAsia="Arial" w:cs="Arial"/>
          <w:noProof w:val="0"/>
          <w:sz w:val="24"/>
          <w:szCs w:val="24"/>
          <w:lang w:val="en-US"/>
        </w:rPr>
        <w:t xml:space="preserve">, 20(2), pp. 125–133. Available at: </w:t>
      </w:r>
      <w:hyperlink r:id="R54b8d75f2ac34aff">
        <w:r w:rsidRPr="4369956E" w:rsidR="750CD0FA">
          <w:rPr>
            <w:rStyle w:val="Hyperlink"/>
            <w:rFonts w:ascii="Arial" w:hAnsi="Arial" w:eastAsia="Arial" w:cs="Arial"/>
            <w:noProof w:val="0"/>
            <w:sz w:val="24"/>
            <w:szCs w:val="24"/>
            <w:lang w:val="en-US"/>
          </w:rPr>
          <w:t>https://www.sciencedirect.com/science/article/pii/S1319016411000446</w:t>
        </w:r>
      </w:hyperlink>
      <w:r w:rsidRPr="4369956E" w:rsidR="750CD0FA">
        <w:rPr>
          <w:rFonts w:ascii="Arial" w:hAnsi="Arial" w:eastAsia="Arial" w:cs="Arial"/>
          <w:noProof w:val="0"/>
          <w:sz w:val="24"/>
          <w:szCs w:val="24"/>
          <w:lang w:val="en-US"/>
        </w:rPr>
        <w:t xml:space="preserve"> (Accessed: 12 December 2025).</w:t>
      </w:r>
    </w:p>
    <w:p w:rsidR="750CD0FA" w:rsidP="4369956E" w:rsidRDefault="750CD0FA" w14:paraId="2046F71F" w14:textId="5305491A">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Ahmad, A., Patel, I., Mohanta, G.P. and Balkrishnan, R. (2014) ‘Evaluation of self-medication practices in rural India: a qualitative exploration’, </w:t>
      </w:r>
      <w:r w:rsidRPr="4369956E" w:rsidR="750CD0FA">
        <w:rPr>
          <w:rFonts w:ascii="Arial" w:hAnsi="Arial" w:eastAsia="Arial" w:cs="Arial"/>
          <w:i w:val="1"/>
          <w:iCs w:val="1"/>
          <w:noProof w:val="0"/>
          <w:sz w:val="24"/>
          <w:szCs w:val="24"/>
          <w:lang w:val="en-US"/>
        </w:rPr>
        <w:t>Journal of Clinical and Diagnostic Research</w:t>
      </w:r>
      <w:r w:rsidRPr="4369956E" w:rsidR="750CD0FA">
        <w:rPr>
          <w:rFonts w:ascii="Arial" w:hAnsi="Arial" w:eastAsia="Arial" w:cs="Arial"/>
          <w:noProof w:val="0"/>
          <w:sz w:val="24"/>
          <w:szCs w:val="24"/>
          <w:lang w:val="en-US"/>
        </w:rPr>
        <w:t xml:space="preserve">, 8(8), pp. HC01–HC04. Available at: </w:t>
      </w:r>
      <w:hyperlink r:id="R12b038d130404360">
        <w:r w:rsidRPr="4369956E" w:rsidR="750CD0FA">
          <w:rPr>
            <w:rStyle w:val="Hyperlink"/>
            <w:rFonts w:ascii="Arial" w:hAnsi="Arial" w:eastAsia="Arial" w:cs="Arial"/>
            <w:noProof w:val="0"/>
            <w:sz w:val="24"/>
            <w:szCs w:val="24"/>
            <w:lang w:val="en-US"/>
          </w:rPr>
          <w:t>https://www.ncbi.nlm.nih.gov/pmc/articles/PMC4149119/</w:t>
        </w:r>
      </w:hyperlink>
      <w:r w:rsidRPr="4369956E" w:rsidR="750CD0FA">
        <w:rPr>
          <w:rFonts w:ascii="Arial" w:hAnsi="Arial" w:eastAsia="Arial" w:cs="Arial"/>
          <w:noProof w:val="0"/>
          <w:sz w:val="24"/>
          <w:szCs w:val="24"/>
          <w:lang w:val="en-US"/>
        </w:rPr>
        <w:t xml:space="preserve"> (Accessed: 13 December 2025).</w:t>
      </w:r>
    </w:p>
    <w:p w:rsidR="750CD0FA" w:rsidP="4369956E" w:rsidRDefault="750CD0FA" w14:paraId="59AB30AF" w14:textId="2C376B25">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Zawahir, S., Lekamwasam, S., Aslani, P. and Krass, I. (2019) ‘Community pharmacy staff’s perspectives on antibiotic supply without prescription in Sri Lanka’, </w:t>
      </w:r>
      <w:r w:rsidRPr="4369956E" w:rsidR="750CD0FA">
        <w:rPr>
          <w:rFonts w:ascii="Arial" w:hAnsi="Arial" w:eastAsia="Arial" w:cs="Arial"/>
          <w:i w:val="1"/>
          <w:iCs w:val="1"/>
          <w:noProof w:val="0"/>
          <w:sz w:val="24"/>
          <w:szCs w:val="24"/>
          <w:lang w:val="en-US"/>
        </w:rPr>
        <w:t>Pharmacy Practice</w:t>
      </w:r>
      <w:r w:rsidRPr="4369956E" w:rsidR="750CD0FA">
        <w:rPr>
          <w:rFonts w:ascii="Arial" w:hAnsi="Arial" w:eastAsia="Arial" w:cs="Arial"/>
          <w:noProof w:val="0"/>
          <w:sz w:val="24"/>
          <w:szCs w:val="24"/>
          <w:lang w:val="en-US"/>
        </w:rPr>
        <w:t xml:space="preserve">, 17(3), pp. 1–10. Available at: </w:t>
      </w:r>
      <w:hyperlink r:id="Re75a1a4ea3d04ed4">
        <w:r w:rsidRPr="4369956E" w:rsidR="750CD0FA">
          <w:rPr>
            <w:rStyle w:val="Hyperlink"/>
            <w:rFonts w:ascii="Arial" w:hAnsi="Arial" w:eastAsia="Arial" w:cs="Arial"/>
            <w:noProof w:val="0"/>
            <w:sz w:val="24"/>
            <w:szCs w:val="24"/>
            <w:lang w:val="en-US"/>
          </w:rPr>
          <w:t>https://pharmacypractice.org/index.php/pp/article/view/1599</w:t>
        </w:r>
      </w:hyperlink>
      <w:r w:rsidRPr="4369956E" w:rsidR="750CD0FA">
        <w:rPr>
          <w:rFonts w:ascii="Arial" w:hAnsi="Arial" w:eastAsia="Arial" w:cs="Arial"/>
          <w:noProof w:val="0"/>
          <w:sz w:val="24"/>
          <w:szCs w:val="24"/>
          <w:lang w:val="en-US"/>
        </w:rPr>
        <w:t xml:space="preserve"> (Accessed: 13 December 2025).</w:t>
      </w:r>
    </w:p>
    <w:p w:rsidR="750CD0FA" w:rsidP="4369956E" w:rsidRDefault="750CD0FA" w14:paraId="56C5BBEA" w14:textId="00225A29">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Radyowijati, A. and Haak, H. (2003) ‘Improving antibiotic use in low-income countries: an overview of evidence on determinants’, </w:t>
      </w:r>
      <w:r w:rsidRPr="4369956E" w:rsidR="750CD0FA">
        <w:rPr>
          <w:rFonts w:ascii="Arial" w:hAnsi="Arial" w:eastAsia="Arial" w:cs="Arial"/>
          <w:i w:val="1"/>
          <w:iCs w:val="1"/>
          <w:noProof w:val="0"/>
          <w:sz w:val="24"/>
          <w:szCs w:val="24"/>
          <w:lang w:val="en-US"/>
        </w:rPr>
        <w:t>Social Science &amp; Medicine</w:t>
      </w:r>
      <w:r w:rsidRPr="4369956E" w:rsidR="750CD0FA">
        <w:rPr>
          <w:rFonts w:ascii="Arial" w:hAnsi="Arial" w:eastAsia="Arial" w:cs="Arial"/>
          <w:noProof w:val="0"/>
          <w:sz w:val="24"/>
          <w:szCs w:val="24"/>
          <w:lang w:val="en-US"/>
        </w:rPr>
        <w:t xml:space="preserve">, 57(4), pp. 733–744. Available at: </w:t>
      </w:r>
      <w:hyperlink r:id="R51325e0e3f7f4b9e">
        <w:r w:rsidRPr="4369956E" w:rsidR="750CD0FA">
          <w:rPr>
            <w:rStyle w:val="Hyperlink"/>
            <w:rFonts w:ascii="Arial" w:hAnsi="Arial" w:eastAsia="Arial" w:cs="Arial"/>
            <w:noProof w:val="0"/>
            <w:sz w:val="24"/>
            <w:szCs w:val="24"/>
            <w:lang w:val="en-US"/>
          </w:rPr>
          <w:t>https://www.sciencedirect.com/science/article/pii/S0277953602004203</w:t>
        </w:r>
      </w:hyperlink>
      <w:r w:rsidRPr="4369956E" w:rsidR="750CD0FA">
        <w:rPr>
          <w:rFonts w:ascii="Arial" w:hAnsi="Arial" w:eastAsia="Arial" w:cs="Arial"/>
          <w:noProof w:val="0"/>
          <w:sz w:val="24"/>
          <w:szCs w:val="24"/>
          <w:lang w:val="en-US"/>
        </w:rPr>
        <w:t xml:space="preserve"> (Accessed: 13 December 2025).</w:t>
      </w:r>
    </w:p>
    <w:p w:rsidR="750CD0FA" w:rsidP="4369956E" w:rsidRDefault="750CD0FA" w14:paraId="223AE95D" w14:textId="3F51C5F5">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Bennadi, D. (2014) ‘Self-medication: a current challenge’, </w:t>
      </w:r>
      <w:r w:rsidRPr="4369956E" w:rsidR="750CD0FA">
        <w:rPr>
          <w:rFonts w:ascii="Arial" w:hAnsi="Arial" w:eastAsia="Arial" w:cs="Arial"/>
          <w:i w:val="1"/>
          <w:iCs w:val="1"/>
          <w:noProof w:val="0"/>
          <w:sz w:val="24"/>
          <w:szCs w:val="24"/>
          <w:lang w:val="en-US"/>
        </w:rPr>
        <w:t>Journal of Basic and Clinical Pharmacy</w:t>
      </w:r>
      <w:r w:rsidRPr="4369956E" w:rsidR="750CD0FA">
        <w:rPr>
          <w:rFonts w:ascii="Arial" w:hAnsi="Arial" w:eastAsia="Arial" w:cs="Arial"/>
          <w:noProof w:val="0"/>
          <w:sz w:val="24"/>
          <w:szCs w:val="24"/>
          <w:lang w:val="en-US"/>
        </w:rPr>
        <w:t xml:space="preserve">, 5(1), pp. 19–23. Available at: </w:t>
      </w:r>
      <w:hyperlink r:id="Rd5f2004b95d54a3f">
        <w:r w:rsidRPr="4369956E" w:rsidR="750CD0FA">
          <w:rPr>
            <w:rStyle w:val="Hyperlink"/>
            <w:rFonts w:ascii="Arial" w:hAnsi="Arial" w:eastAsia="Arial" w:cs="Arial"/>
            <w:noProof w:val="0"/>
            <w:sz w:val="24"/>
            <w:szCs w:val="24"/>
            <w:lang w:val="en-US"/>
          </w:rPr>
          <w:t>https://www.ncbi.nlm.nih.gov/pmc/articles/PMC4012703/</w:t>
        </w:r>
      </w:hyperlink>
      <w:r w:rsidRPr="4369956E" w:rsidR="750CD0FA">
        <w:rPr>
          <w:rFonts w:ascii="Arial" w:hAnsi="Arial" w:eastAsia="Arial" w:cs="Arial"/>
          <w:noProof w:val="0"/>
          <w:sz w:val="24"/>
          <w:szCs w:val="24"/>
          <w:lang w:val="en-US"/>
        </w:rPr>
        <w:t xml:space="preserve"> (Accessed: 14 December 2025).</w:t>
      </w:r>
    </w:p>
    <w:p w:rsidR="750CD0FA" w:rsidP="4369956E" w:rsidRDefault="750CD0FA" w14:paraId="0D6E749C" w14:textId="65D1D8D7">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Ofori-Asenso, R. and Agyeman, A.A. (2016) ‘Irrational use of medicines—a summary of key concepts’, </w:t>
      </w:r>
      <w:r w:rsidRPr="4369956E" w:rsidR="750CD0FA">
        <w:rPr>
          <w:rFonts w:ascii="Arial" w:hAnsi="Arial" w:eastAsia="Arial" w:cs="Arial"/>
          <w:i w:val="1"/>
          <w:iCs w:val="1"/>
          <w:noProof w:val="0"/>
          <w:sz w:val="24"/>
          <w:szCs w:val="24"/>
          <w:lang w:val="en-US"/>
        </w:rPr>
        <w:t>Pharmacy</w:t>
      </w:r>
      <w:r w:rsidRPr="4369956E" w:rsidR="750CD0FA">
        <w:rPr>
          <w:rFonts w:ascii="Arial" w:hAnsi="Arial" w:eastAsia="Arial" w:cs="Arial"/>
          <w:noProof w:val="0"/>
          <w:sz w:val="24"/>
          <w:szCs w:val="24"/>
          <w:lang w:val="en-US"/>
        </w:rPr>
        <w:t xml:space="preserve">, 4(4), pp. 1–13. Available at: </w:t>
      </w:r>
      <w:hyperlink r:id="R52b6b43189e84cc2">
        <w:r w:rsidRPr="4369956E" w:rsidR="750CD0FA">
          <w:rPr>
            <w:rStyle w:val="Hyperlink"/>
            <w:rFonts w:ascii="Arial" w:hAnsi="Arial" w:eastAsia="Arial" w:cs="Arial"/>
            <w:noProof w:val="0"/>
            <w:sz w:val="24"/>
            <w:szCs w:val="24"/>
            <w:lang w:val="en-US"/>
          </w:rPr>
          <w:t>https://www.mdpi.com/2226-4787/4/4/35</w:t>
        </w:r>
      </w:hyperlink>
      <w:r w:rsidRPr="4369956E" w:rsidR="750CD0FA">
        <w:rPr>
          <w:rFonts w:ascii="Arial" w:hAnsi="Arial" w:eastAsia="Arial" w:cs="Arial"/>
          <w:noProof w:val="0"/>
          <w:sz w:val="24"/>
          <w:szCs w:val="24"/>
          <w:lang w:val="en-US"/>
        </w:rPr>
        <w:t xml:space="preserve"> (Accessed: 14 December 2025).</w:t>
      </w:r>
    </w:p>
    <w:p w:rsidR="750CD0FA" w:rsidP="4369956E" w:rsidRDefault="750CD0FA" w14:paraId="29BFE18E" w14:textId="36DD4B70">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Peleg, A.Y. and Hooper, D.C. (2010) ‘Hospital-acquired infections due to gram-negative bacteria’, </w:t>
      </w:r>
      <w:r w:rsidRPr="4369956E" w:rsidR="750CD0FA">
        <w:rPr>
          <w:rFonts w:ascii="Arial" w:hAnsi="Arial" w:eastAsia="Arial" w:cs="Arial"/>
          <w:i w:val="1"/>
          <w:iCs w:val="1"/>
          <w:noProof w:val="0"/>
          <w:sz w:val="24"/>
          <w:szCs w:val="24"/>
          <w:lang w:val="en-US"/>
        </w:rPr>
        <w:t>New England Journal of Medicine</w:t>
      </w:r>
      <w:r w:rsidRPr="4369956E" w:rsidR="750CD0FA">
        <w:rPr>
          <w:rFonts w:ascii="Arial" w:hAnsi="Arial" w:eastAsia="Arial" w:cs="Arial"/>
          <w:noProof w:val="0"/>
          <w:sz w:val="24"/>
          <w:szCs w:val="24"/>
          <w:lang w:val="en-US"/>
        </w:rPr>
        <w:t xml:space="preserve">, 362(19), pp. 1804–1813. Available at: </w:t>
      </w:r>
      <w:hyperlink r:id="R401680deb57f41e8">
        <w:r w:rsidRPr="4369956E" w:rsidR="750CD0FA">
          <w:rPr>
            <w:rStyle w:val="Hyperlink"/>
            <w:rFonts w:ascii="Arial" w:hAnsi="Arial" w:eastAsia="Arial" w:cs="Arial"/>
            <w:noProof w:val="0"/>
            <w:sz w:val="24"/>
            <w:szCs w:val="24"/>
            <w:lang w:val="en-US"/>
          </w:rPr>
          <w:t>https://www.nejm.org/doi/full/10.1056/NEJMra0904124</w:t>
        </w:r>
      </w:hyperlink>
      <w:r w:rsidRPr="4369956E" w:rsidR="750CD0FA">
        <w:rPr>
          <w:rFonts w:ascii="Arial" w:hAnsi="Arial" w:eastAsia="Arial" w:cs="Arial"/>
          <w:noProof w:val="0"/>
          <w:sz w:val="24"/>
          <w:szCs w:val="24"/>
          <w:lang w:val="en-US"/>
        </w:rPr>
        <w:t xml:space="preserve"> (Accessed: 15 December 2025).</w:t>
      </w:r>
    </w:p>
    <w:p w:rsidR="750CD0FA" w:rsidP="4369956E" w:rsidRDefault="750CD0FA" w14:paraId="5AB4DDE9" w14:textId="5B194D04">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Cox, J.A., Vlieghe, E., Mendelson, M., Wertheim, H., Ndegwa, L., Villegas, M.V. and Gould, I. (2017) ‘Antibiotic stewardship in low- and middle-income countries: the same but different?’, </w:t>
      </w:r>
      <w:r w:rsidRPr="4369956E" w:rsidR="750CD0FA">
        <w:rPr>
          <w:rFonts w:ascii="Arial" w:hAnsi="Arial" w:eastAsia="Arial" w:cs="Arial"/>
          <w:i w:val="1"/>
          <w:iCs w:val="1"/>
          <w:noProof w:val="0"/>
          <w:sz w:val="24"/>
          <w:szCs w:val="24"/>
          <w:lang w:val="en-US"/>
        </w:rPr>
        <w:t>Clinical Microbiology and Infection</w:t>
      </w:r>
      <w:r w:rsidRPr="4369956E" w:rsidR="750CD0FA">
        <w:rPr>
          <w:rFonts w:ascii="Arial" w:hAnsi="Arial" w:eastAsia="Arial" w:cs="Arial"/>
          <w:noProof w:val="0"/>
          <w:sz w:val="24"/>
          <w:szCs w:val="24"/>
          <w:lang w:val="en-US"/>
        </w:rPr>
        <w:t xml:space="preserve">, 23(11), pp. 812–818. Available at: </w:t>
      </w:r>
      <w:hyperlink r:id="R0c198dcce09e40bd">
        <w:r w:rsidRPr="4369956E" w:rsidR="750CD0FA">
          <w:rPr>
            <w:rStyle w:val="Hyperlink"/>
            <w:rFonts w:ascii="Arial" w:hAnsi="Arial" w:eastAsia="Arial" w:cs="Arial"/>
            <w:noProof w:val="0"/>
            <w:sz w:val="24"/>
            <w:szCs w:val="24"/>
            <w:lang w:val="en-US"/>
          </w:rPr>
          <w:t>https://www.sciencedirect.com/science/article/pii/S1198743X17304900</w:t>
        </w:r>
      </w:hyperlink>
      <w:r w:rsidRPr="4369956E" w:rsidR="750CD0FA">
        <w:rPr>
          <w:rFonts w:ascii="Arial" w:hAnsi="Arial" w:eastAsia="Arial" w:cs="Arial"/>
          <w:noProof w:val="0"/>
          <w:sz w:val="24"/>
          <w:szCs w:val="24"/>
          <w:lang w:val="en-US"/>
        </w:rPr>
        <w:t xml:space="preserve"> (Accessed: 15 December 2025).</w:t>
      </w:r>
    </w:p>
    <w:p w:rsidR="750CD0FA" w:rsidP="4369956E" w:rsidRDefault="750CD0FA" w14:paraId="00E4B5C0" w14:textId="3405866B">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Okeke, I.N., Lamikanra, A. and Edelman, R. (1999) ‘Socioeconomic and behavioral factors leading to acquired bacterial resistance’, </w:t>
      </w:r>
      <w:r w:rsidRPr="4369956E" w:rsidR="750CD0FA">
        <w:rPr>
          <w:rFonts w:ascii="Arial" w:hAnsi="Arial" w:eastAsia="Arial" w:cs="Arial"/>
          <w:i w:val="1"/>
          <w:iCs w:val="1"/>
          <w:noProof w:val="0"/>
          <w:sz w:val="24"/>
          <w:szCs w:val="24"/>
          <w:lang w:val="en-US"/>
        </w:rPr>
        <w:t>Emerging Infectious Diseases</w:t>
      </w:r>
      <w:r w:rsidRPr="4369956E" w:rsidR="750CD0FA">
        <w:rPr>
          <w:rFonts w:ascii="Arial" w:hAnsi="Arial" w:eastAsia="Arial" w:cs="Arial"/>
          <w:noProof w:val="0"/>
          <w:sz w:val="24"/>
          <w:szCs w:val="24"/>
          <w:lang w:val="en-US"/>
        </w:rPr>
        <w:t xml:space="preserve">, 5(1), pp. 18–27. Available at: </w:t>
      </w:r>
      <w:hyperlink r:id="Re1b645b7725341ee">
        <w:r w:rsidRPr="4369956E" w:rsidR="750CD0FA">
          <w:rPr>
            <w:rStyle w:val="Hyperlink"/>
            <w:rFonts w:ascii="Arial" w:hAnsi="Arial" w:eastAsia="Arial" w:cs="Arial"/>
            <w:noProof w:val="0"/>
            <w:sz w:val="24"/>
            <w:szCs w:val="24"/>
            <w:lang w:val="en-US"/>
          </w:rPr>
          <w:t>https://wwwnc.cdc.gov/eid/article/5/1/99-0103_article</w:t>
        </w:r>
      </w:hyperlink>
      <w:r w:rsidRPr="4369956E" w:rsidR="750CD0FA">
        <w:rPr>
          <w:rFonts w:ascii="Arial" w:hAnsi="Arial" w:eastAsia="Arial" w:cs="Arial"/>
          <w:noProof w:val="0"/>
          <w:sz w:val="24"/>
          <w:szCs w:val="24"/>
          <w:lang w:val="en-US"/>
        </w:rPr>
        <w:t xml:space="preserve"> (Accessed: 15 December 2025).</w:t>
      </w:r>
    </w:p>
    <w:p w:rsidR="750CD0FA" w:rsidP="4369956E" w:rsidRDefault="750CD0FA" w14:paraId="362EF2EC" w14:textId="6323E357">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Ventola, C.L. (2015) ‘The antibiotic resistance crisis: part 1: causes and threats’, </w:t>
      </w:r>
      <w:r w:rsidRPr="4369956E" w:rsidR="750CD0FA">
        <w:rPr>
          <w:rFonts w:ascii="Arial" w:hAnsi="Arial" w:eastAsia="Arial" w:cs="Arial"/>
          <w:i w:val="1"/>
          <w:iCs w:val="1"/>
          <w:noProof w:val="0"/>
          <w:sz w:val="24"/>
          <w:szCs w:val="24"/>
          <w:lang w:val="en-US"/>
        </w:rPr>
        <w:t>Pharmacy and Therapeutics</w:t>
      </w:r>
      <w:r w:rsidRPr="4369956E" w:rsidR="750CD0FA">
        <w:rPr>
          <w:rFonts w:ascii="Arial" w:hAnsi="Arial" w:eastAsia="Arial" w:cs="Arial"/>
          <w:noProof w:val="0"/>
          <w:sz w:val="24"/>
          <w:szCs w:val="24"/>
          <w:lang w:val="en-US"/>
        </w:rPr>
        <w:t xml:space="preserve">, 40(4), pp. 277–283. Available at: </w:t>
      </w:r>
      <w:hyperlink r:id="R53475f7b228c403c">
        <w:r w:rsidRPr="4369956E" w:rsidR="750CD0FA">
          <w:rPr>
            <w:rStyle w:val="Hyperlink"/>
            <w:rFonts w:ascii="Arial" w:hAnsi="Arial" w:eastAsia="Arial" w:cs="Arial"/>
            <w:noProof w:val="0"/>
            <w:sz w:val="24"/>
            <w:szCs w:val="24"/>
            <w:lang w:val="en-US"/>
          </w:rPr>
          <w:t>https://www.ncbi.nlm.nih.gov/pmc/articles/PMC4378521/</w:t>
        </w:r>
      </w:hyperlink>
      <w:r w:rsidRPr="4369956E" w:rsidR="750CD0FA">
        <w:rPr>
          <w:rFonts w:ascii="Arial" w:hAnsi="Arial" w:eastAsia="Arial" w:cs="Arial"/>
          <w:noProof w:val="0"/>
          <w:sz w:val="24"/>
          <w:szCs w:val="24"/>
          <w:lang w:val="en-US"/>
        </w:rPr>
        <w:t xml:space="preserve"> (Accessed: 16 December 2025).</w:t>
      </w:r>
    </w:p>
    <w:p w:rsidR="750CD0FA" w:rsidP="4369956E" w:rsidRDefault="750CD0FA" w14:paraId="1A9BC318" w14:textId="52D82553">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Bishop, C., Yacoob, Z., Knobloch, M.J. and Safdar, N. (2019) ‘Community pharmacy interventions to improve antibiotic stewardship’, </w:t>
      </w:r>
      <w:r w:rsidRPr="4369956E" w:rsidR="750CD0FA">
        <w:rPr>
          <w:rFonts w:ascii="Arial" w:hAnsi="Arial" w:eastAsia="Arial" w:cs="Arial"/>
          <w:i w:val="1"/>
          <w:iCs w:val="1"/>
          <w:noProof w:val="0"/>
          <w:sz w:val="24"/>
          <w:szCs w:val="24"/>
          <w:lang w:val="en-US"/>
        </w:rPr>
        <w:t>Infection Control &amp; Hospital Epidemiology</w:t>
      </w:r>
      <w:r w:rsidRPr="4369956E" w:rsidR="750CD0FA">
        <w:rPr>
          <w:rFonts w:ascii="Arial" w:hAnsi="Arial" w:eastAsia="Arial" w:cs="Arial"/>
          <w:noProof w:val="0"/>
          <w:sz w:val="24"/>
          <w:szCs w:val="24"/>
          <w:lang w:val="en-US"/>
        </w:rPr>
        <w:t xml:space="preserve">, 40(3), pp. 1–7. Available at: </w:t>
      </w:r>
      <w:hyperlink r:id="R202f38fe44a1479e">
        <w:r w:rsidRPr="4369956E" w:rsidR="750CD0FA">
          <w:rPr>
            <w:rStyle w:val="Hyperlink"/>
            <w:rFonts w:ascii="Arial" w:hAnsi="Arial" w:eastAsia="Arial" w:cs="Arial"/>
            <w:noProof w:val="0"/>
            <w:sz w:val="24"/>
            <w:szCs w:val="24"/>
            <w:lang w:val="en-US"/>
          </w:rPr>
          <w:t>https://www.cambridge.org/core/journals/infection-control-and-hospital-epidemiology/article/community-pharmacy-interventions-to-improve-antibiotic-stewardship</w:t>
        </w:r>
      </w:hyperlink>
      <w:r w:rsidRPr="4369956E" w:rsidR="750CD0FA">
        <w:rPr>
          <w:rFonts w:ascii="Arial" w:hAnsi="Arial" w:eastAsia="Arial" w:cs="Arial"/>
          <w:noProof w:val="0"/>
          <w:sz w:val="24"/>
          <w:szCs w:val="24"/>
          <w:lang w:val="en-US"/>
        </w:rPr>
        <w:t xml:space="preserve"> (Accessed: 16 December 2025).</w:t>
      </w:r>
    </w:p>
    <w:p w:rsidR="750CD0FA" w:rsidP="4369956E" w:rsidRDefault="750CD0FA" w14:paraId="00FB3BBC" w14:textId="66614F6F">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Broom, A., Broom, J. and Kirby, E. (2014) ‘Cultures of resistance? A Bourdieusian analysis of doctors’ antibiotic prescribing’, </w:t>
      </w:r>
      <w:r w:rsidRPr="4369956E" w:rsidR="750CD0FA">
        <w:rPr>
          <w:rFonts w:ascii="Arial" w:hAnsi="Arial" w:eastAsia="Arial" w:cs="Arial"/>
          <w:i w:val="1"/>
          <w:iCs w:val="1"/>
          <w:noProof w:val="0"/>
          <w:sz w:val="24"/>
          <w:szCs w:val="24"/>
          <w:lang w:val="en-US"/>
        </w:rPr>
        <w:t>Social Science &amp; Medicine</w:t>
      </w:r>
      <w:r w:rsidRPr="4369956E" w:rsidR="750CD0FA">
        <w:rPr>
          <w:rFonts w:ascii="Arial" w:hAnsi="Arial" w:eastAsia="Arial" w:cs="Arial"/>
          <w:noProof w:val="0"/>
          <w:sz w:val="24"/>
          <w:szCs w:val="24"/>
          <w:lang w:val="en-US"/>
        </w:rPr>
        <w:t xml:space="preserve">, 110, pp. 81–88. Available at: </w:t>
      </w:r>
      <w:hyperlink r:id="R39618dc71a654973">
        <w:r w:rsidRPr="4369956E" w:rsidR="750CD0FA">
          <w:rPr>
            <w:rStyle w:val="Hyperlink"/>
            <w:rFonts w:ascii="Arial" w:hAnsi="Arial" w:eastAsia="Arial" w:cs="Arial"/>
            <w:noProof w:val="0"/>
            <w:sz w:val="24"/>
            <w:szCs w:val="24"/>
            <w:lang w:val="en-US"/>
          </w:rPr>
          <w:t>https://www.sciencedirect.com/science/article/pii/S0277953614002091</w:t>
        </w:r>
      </w:hyperlink>
      <w:r w:rsidRPr="4369956E" w:rsidR="750CD0FA">
        <w:rPr>
          <w:rFonts w:ascii="Arial" w:hAnsi="Arial" w:eastAsia="Arial" w:cs="Arial"/>
          <w:noProof w:val="0"/>
          <w:sz w:val="24"/>
          <w:szCs w:val="24"/>
          <w:lang w:val="en-US"/>
        </w:rPr>
        <w:t xml:space="preserve"> (Accessed: 17 December 2025).</w:t>
      </w:r>
    </w:p>
    <w:p w:rsidR="750CD0FA" w:rsidP="4369956E" w:rsidRDefault="750CD0FA" w14:paraId="63EF4430" w14:textId="5A5027BC">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Davey, P., Marwick, C.A., Scott, C.L., Charani, E., McNeil, K., Brown, E. and Wilcox, M. (2017) ‘Interventions to improve antibiotic prescribing practices for hospital inpatients’, </w:t>
      </w:r>
      <w:r w:rsidRPr="4369956E" w:rsidR="750CD0FA">
        <w:rPr>
          <w:rFonts w:ascii="Arial" w:hAnsi="Arial" w:eastAsia="Arial" w:cs="Arial"/>
          <w:i w:val="1"/>
          <w:iCs w:val="1"/>
          <w:noProof w:val="0"/>
          <w:sz w:val="24"/>
          <w:szCs w:val="24"/>
          <w:lang w:val="en-US"/>
        </w:rPr>
        <w:t>Cochrane Database of Systematic Reviews</w:t>
      </w:r>
      <w:r w:rsidRPr="4369956E" w:rsidR="750CD0FA">
        <w:rPr>
          <w:rFonts w:ascii="Arial" w:hAnsi="Arial" w:eastAsia="Arial" w:cs="Arial"/>
          <w:noProof w:val="0"/>
          <w:sz w:val="24"/>
          <w:szCs w:val="24"/>
          <w:lang w:val="en-US"/>
        </w:rPr>
        <w:t xml:space="preserve">, 2, pp. 1–231. Available at: </w:t>
      </w:r>
      <w:hyperlink r:id="Rab4fcf480e474fb6">
        <w:r w:rsidRPr="4369956E" w:rsidR="750CD0FA">
          <w:rPr>
            <w:rStyle w:val="Hyperlink"/>
            <w:rFonts w:ascii="Arial" w:hAnsi="Arial" w:eastAsia="Arial" w:cs="Arial"/>
            <w:noProof w:val="0"/>
            <w:sz w:val="24"/>
            <w:szCs w:val="24"/>
            <w:lang w:val="en-US"/>
          </w:rPr>
          <w:t>https://www.cochranelibrary.com/cdsr/doi/10.1002/14651858.CD003543.pub4/full</w:t>
        </w:r>
      </w:hyperlink>
      <w:r w:rsidRPr="4369956E" w:rsidR="750CD0FA">
        <w:rPr>
          <w:rFonts w:ascii="Arial" w:hAnsi="Arial" w:eastAsia="Arial" w:cs="Arial"/>
          <w:noProof w:val="0"/>
          <w:sz w:val="24"/>
          <w:szCs w:val="24"/>
          <w:lang w:val="en-US"/>
        </w:rPr>
        <w:t xml:space="preserve"> (Accessed: 17 December 2025).</w:t>
      </w:r>
    </w:p>
    <w:p w:rsidR="750CD0FA" w:rsidP="4369956E" w:rsidRDefault="750CD0FA" w14:paraId="1ECCEF0A" w14:textId="1C9E3D05">
      <w:pPr>
        <w:pStyle w:val="ListParagraph"/>
        <w:numPr>
          <w:ilvl w:val="0"/>
          <w:numId w:val="12"/>
        </w:numPr>
        <w:bidi w:val="0"/>
        <w:spacing w:before="240" w:beforeAutospacing="off" w:after="240" w:afterAutospacing="off"/>
        <w:jc w:val="both"/>
        <w:rPr>
          <w:rFonts w:ascii="Arial" w:hAnsi="Arial" w:eastAsia="Arial" w:cs="Arial"/>
          <w:noProof w:val="0"/>
          <w:sz w:val="24"/>
          <w:szCs w:val="24"/>
          <w:lang w:val="en-US"/>
        </w:rPr>
      </w:pPr>
      <w:r w:rsidRPr="4369956E" w:rsidR="750CD0FA">
        <w:rPr>
          <w:rFonts w:ascii="Arial" w:hAnsi="Arial" w:eastAsia="Arial" w:cs="Arial"/>
          <w:noProof w:val="0"/>
          <w:sz w:val="24"/>
          <w:szCs w:val="24"/>
          <w:lang w:val="en-US"/>
        </w:rPr>
        <w:t xml:space="preserve">Llor, C. and Bjerrum, L. (2014) ‘Antimicrobial resistance: risk associated with antibiotic overuse and initiatives to reduce the problem’, </w:t>
      </w:r>
      <w:r w:rsidRPr="4369956E" w:rsidR="750CD0FA">
        <w:rPr>
          <w:rFonts w:ascii="Arial" w:hAnsi="Arial" w:eastAsia="Arial" w:cs="Arial"/>
          <w:i w:val="1"/>
          <w:iCs w:val="1"/>
          <w:noProof w:val="0"/>
          <w:sz w:val="24"/>
          <w:szCs w:val="24"/>
          <w:lang w:val="en-US"/>
        </w:rPr>
        <w:t>Therapeutic Advances in Drug Safety</w:t>
      </w:r>
      <w:r w:rsidRPr="4369956E" w:rsidR="750CD0FA">
        <w:rPr>
          <w:rFonts w:ascii="Arial" w:hAnsi="Arial" w:eastAsia="Arial" w:cs="Arial"/>
          <w:noProof w:val="0"/>
          <w:sz w:val="24"/>
          <w:szCs w:val="24"/>
          <w:lang w:val="en-US"/>
        </w:rPr>
        <w:t xml:space="preserve">, 5(6), pp. 229–241. Available at: </w:t>
      </w:r>
      <w:hyperlink r:id="R9c56aacbf6aa4d2d">
        <w:r w:rsidRPr="4369956E" w:rsidR="750CD0FA">
          <w:rPr>
            <w:rStyle w:val="Hyperlink"/>
            <w:rFonts w:ascii="Arial" w:hAnsi="Arial" w:eastAsia="Arial" w:cs="Arial"/>
            <w:noProof w:val="0"/>
            <w:sz w:val="24"/>
            <w:szCs w:val="24"/>
            <w:lang w:val="en-US"/>
          </w:rPr>
          <w:t>https://journals.sagepub.com/doi/10.1177/2042098614554919</w:t>
        </w:r>
      </w:hyperlink>
      <w:r w:rsidRPr="4369956E" w:rsidR="750CD0FA">
        <w:rPr>
          <w:rFonts w:ascii="Arial" w:hAnsi="Arial" w:eastAsia="Arial" w:cs="Arial"/>
          <w:noProof w:val="0"/>
          <w:sz w:val="24"/>
          <w:szCs w:val="24"/>
          <w:lang w:val="en-US"/>
        </w:rPr>
        <w:t xml:space="preserve"> (Accessed: 18 December 2025).</w:t>
      </w:r>
    </w:p>
    <w:p w:rsidR="4369956E" w:rsidP="4369956E" w:rsidRDefault="4369956E" w14:paraId="368370CA" w14:textId="78B62E85">
      <w:pPr>
        <w:bidi w:val="0"/>
        <w:spacing w:before="240" w:beforeAutospacing="off" w:after="240" w:afterAutospacing="off"/>
        <w:jc w:val="both"/>
        <w:rPr>
          <w:rFonts w:ascii="Arial" w:hAnsi="Arial" w:eastAsia="Arial" w:cs="Arial"/>
          <w:noProof w:val="0"/>
          <w:sz w:val="24"/>
          <w:szCs w:val="24"/>
          <w:lang w:val="en-US"/>
        </w:rPr>
      </w:pPr>
    </w:p>
    <w:p w:rsidR="3B7BAD25" w:rsidP="407E75B8" w:rsidRDefault="3B7BAD25" w14:paraId="74E3183A" w14:textId="2FDE2328">
      <w:pPr>
        <w:pStyle w:val="Normal"/>
        <w:bidi w:val="0"/>
        <w:spacing w:before="240" w:beforeAutospacing="off" w:after="240" w:afterAutospacing="off"/>
        <w:jc w:val="both"/>
        <w:rPr>
          <w:rFonts w:ascii="Arial" w:hAnsi="Arial" w:eastAsia="Arial" w:cs="Arial"/>
          <w:noProof w:val="0"/>
          <w:sz w:val="24"/>
          <w:szCs w:val="24"/>
          <w:lang w:val="en-US"/>
        </w:rPr>
      </w:pPr>
    </w:p>
    <w:p w:rsidR="7D81654C" w:rsidP="78172F2F" w:rsidRDefault="7D81654C" w14:paraId="7BF934C2" w14:textId="2F653821">
      <w:pPr>
        <w:pStyle w:val="Normal"/>
        <w:bidi w:val="0"/>
        <w:spacing w:before="240" w:beforeAutospacing="off" w:after="240" w:afterAutospacing="off"/>
        <w:jc w:val="both"/>
        <w:rPr>
          <w:rFonts w:ascii="Arial" w:hAnsi="Arial" w:eastAsia="Arial" w:cs="Arial"/>
          <w:noProof w:val="0"/>
          <w:sz w:val="24"/>
          <w:szCs w:val="24"/>
          <w:lang w:val="en-US"/>
        </w:rPr>
      </w:pPr>
    </w:p>
    <w:p w:rsidR="7D81654C" w:rsidP="78172F2F" w:rsidRDefault="7D81654C" w14:paraId="41A2CF88" w14:textId="5A7535BE">
      <w:pPr>
        <w:pStyle w:val="Normal"/>
        <w:bidi w:val="0"/>
        <w:spacing w:before="240" w:beforeAutospacing="off" w:after="240" w:afterAutospacing="off"/>
        <w:jc w:val="both"/>
      </w:pPr>
      <w:r w:rsidRPr="407E75B8" w:rsidR="166746E3">
        <w:rPr>
          <w:rFonts w:ascii="Arial" w:hAnsi="Arial" w:eastAsia="Arial" w:cs="Arial"/>
          <w:noProof w:val="0"/>
          <w:sz w:val="24"/>
          <w:szCs w:val="24"/>
          <w:lang w:val="en-US"/>
        </w:rPr>
        <w:t xml:space="preserve"> </w:t>
      </w:r>
    </w:p>
    <w:p w:rsidR="722FFED0" w:rsidP="722FFED0" w:rsidRDefault="722FFED0" w14:paraId="4EB7FF19" w14:textId="0C892E53">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US"/>
        </w:rPr>
      </w:pPr>
    </w:p>
    <w:p w:rsidR="722FFED0" w:rsidP="057AE503" w:rsidRDefault="722FFED0" w14:paraId="47A99B98" w14:textId="251FBCB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57AE503" w:rsidP="057AE503" w:rsidRDefault="057AE503" w14:paraId="3CD5ECBF" w14:textId="19474E61">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57AE503" w:rsidP="057AE503" w:rsidRDefault="057AE503" w14:paraId="2026FB1C" w14:textId="7C2FF546">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v4UVae7TQCfC0" int2:id="mbHVNOUQ">
      <int2:state int2:type="spell" int2:value="Rejected"/>
    </int2:textHash>
    <int2:textHash int2:hashCode="XSUiEPxXFZ9tOg" int2:id="eJPNmG9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226d6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d18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3c6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e41986"/>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9d376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7c239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4664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0398eb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6afa5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d9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c3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21ec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9c80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c3b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b65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9B46DD"/>
    <w:rsid w:val="00765DF5"/>
    <w:rsid w:val="0077FAA8"/>
    <w:rsid w:val="00918683"/>
    <w:rsid w:val="011F0E51"/>
    <w:rsid w:val="01421AA4"/>
    <w:rsid w:val="015E114E"/>
    <w:rsid w:val="01A31D59"/>
    <w:rsid w:val="01BBBD82"/>
    <w:rsid w:val="01E58B9B"/>
    <w:rsid w:val="01F98884"/>
    <w:rsid w:val="0202FF12"/>
    <w:rsid w:val="0235161B"/>
    <w:rsid w:val="026FEA65"/>
    <w:rsid w:val="02C93228"/>
    <w:rsid w:val="02F2D1C4"/>
    <w:rsid w:val="02F2D1C4"/>
    <w:rsid w:val="03418DDB"/>
    <w:rsid w:val="037DF393"/>
    <w:rsid w:val="03A6B6E1"/>
    <w:rsid w:val="03C708E4"/>
    <w:rsid w:val="03FD45C2"/>
    <w:rsid w:val="044E5A33"/>
    <w:rsid w:val="044F47D8"/>
    <w:rsid w:val="045A47D5"/>
    <w:rsid w:val="04802217"/>
    <w:rsid w:val="048B7E23"/>
    <w:rsid w:val="04B16CE1"/>
    <w:rsid w:val="050EF032"/>
    <w:rsid w:val="052B39B4"/>
    <w:rsid w:val="0541A709"/>
    <w:rsid w:val="057AE503"/>
    <w:rsid w:val="05AAA503"/>
    <w:rsid w:val="0659A634"/>
    <w:rsid w:val="066A0B9E"/>
    <w:rsid w:val="067DDF93"/>
    <w:rsid w:val="06B98C24"/>
    <w:rsid w:val="06E942F4"/>
    <w:rsid w:val="06EE69E4"/>
    <w:rsid w:val="06F95C6B"/>
    <w:rsid w:val="070280FF"/>
    <w:rsid w:val="07298E9C"/>
    <w:rsid w:val="0733FCCF"/>
    <w:rsid w:val="074AB82D"/>
    <w:rsid w:val="0769DEA0"/>
    <w:rsid w:val="0797AE01"/>
    <w:rsid w:val="07B9BD72"/>
    <w:rsid w:val="07C56A7B"/>
    <w:rsid w:val="07DECA0B"/>
    <w:rsid w:val="080A70C0"/>
    <w:rsid w:val="08487732"/>
    <w:rsid w:val="08B2C92F"/>
    <w:rsid w:val="08E72146"/>
    <w:rsid w:val="09028FE3"/>
    <w:rsid w:val="09909DCD"/>
    <w:rsid w:val="09AB743E"/>
    <w:rsid w:val="09B3E8EA"/>
    <w:rsid w:val="0A1694EB"/>
    <w:rsid w:val="0A243170"/>
    <w:rsid w:val="0A5FF33F"/>
    <w:rsid w:val="0AC7285E"/>
    <w:rsid w:val="0ACA8135"/>
    <w:rsid w:val="0B4A7591"/>
    <w:rsid w:val="0B76DD14"/>
    <w:rsid w:val="0BA5F334"/>
    <w:rsid w:val="0C4A2081"/>
    <w:rsid w:val="0C4FAF57"/>
    <w:rsid w:val="0C638B0E"/>
    <w:rsid w:val="0C6EDE45"/>
    <w:rsid w:val="0C9C0B1B"/>
    <w:rsid w:val="0CF61B90"/>
    <w:rsid w:val="0D221BBF"/>
    <w:rsid w:val="0D50F987"/>
    <w:rsid w:val="0D59627F"/>
    <w:rsid w:val="0DCBBA08"/>
    <w:rsid w:val="0DFC7799"/>
    <w:rsid w:val="0F1C06F3"/>
    <w:rsid w:val="0F5C4491"/>
    <w:rsid w:val="0F6F8FBE"/>
    <w:rsid w:val="0F8FAFD4"/>
    <w:rsid w:val="0FA2695F"/>
    <w:rsid w:val="0FE2650C"/>
    <w:rsid w:val="1002A4D7"/>
    <w:rsid w:val="100A10FD"/>
    <w:rsid w:val="101A5F60"/>
    <w:rsid w:val="105C2899"/>
    <w:rsid w:val="1072B64E"/>
    <w:rsid w:val="115CAF01"/>
    <w:rsid w:val="115D0894"/>
    <w:rsid w:val="115D7AED"/>
    <w:rsid w:val="116F66CD"/>
    <w:rsid w:val="11A02E1F"/>
    <w:rsid w:val="11CD4899"/>
    <w:rsid w:val="120E3EBB"/>
    <w:rsid w:val="12270899"/>
    <w:rsid w:val="12D8B6F7"/>
    <w:rsid w:val="130A9C2E"/>
    <w:rsid w:val="131678E3"/>
    <w:rsid w:val="131E1E60"/>
    <w:rsid w:val="133BE439"/>
    <w:rsid w:val="13464062"/>
    <w:rsid w:val="13BD3F41"/>
    <w:rsid w:val="13BD3F41"/>
    <w:rsid w:val="13C13F37"/>
    <w:rsid w:val="13DDCAE9"/>
    <w:rsid w:val="143E4684"/>
    <w:rsid w:val="14C3341E"/>
    <w:rsid w:val="15424731"/>
    <w:rsid w:val="15908AAD"/>
    <w:rsid w:val="15A07639"/>
    <w:rsid w:val="15A3F740"/>
    <w:rsid w:val="161CBBEE"/>
    <w:rsid w:val="166746E3"/>
    <w:rsid w:val="17256787"/>
    <w:rsid w:val="1734FBF6"/>
    <w:rsid w:val="17C447BF"/>
    <w:rsid w:val="17F0DFD3"/>
    <w:rsid w:val="18783137"/>
    <w:rsid w:val="18BAB3E7"/>
    <w:rsid w:val="18F3D7F1"/>
    <w:rsid w:val="1929A47E"/>
    <w:rsid w:val="192BEDD5"/>
    <w:rsid w:val="196302D5"/>
    <w:rsid w:val="19C5569C"/>
    <w:rsid w:val="19E0F3AB"/>
    <w:rsid w:val="19FC86FC"/>
    <w:rsid w:val="1A188D25"/>
    <w:rsid w:val="1B611029"/>
    <w:rsid w:val="1B9B529D"/>
    <w:rsid w:val="1BAD9659"/>
    <w:rsid w:val="1C162FEC"/>
    <w:rsid w:val="1C5D10A0"/>
    <w:rsid w:val="1C839237"/>
    <w:rsid w:val="1CB4DD61"/>
    <w:rsid w:val="1CC0DF91"/>
    <w:rsid w:val="1D0A7957"/>
    <w:rsid w:val="1D30A722"/>
    <w:rsid w:val="1DB9F8B7"/>
    <w:rsid w:val="1DF4405D"/>
    <w:rsid w:val="1EBC6676"/>
    <w:rsid w:val="1F01F631"/>
    <w:rsid w:val="1F13024C"/>
    <w:rsid w:val="1F1E2A6E"/>
    <w:rsid w:val="1F4AE04E"/>
    <w:rsid w:val="1F70F0CE"/>
    <w:rsid w:val="1F72B3E7"/>
    <w:rsid w:val="20407925"/>
    <w:rsid w:val="2099CB12"/>
    <w:rsid w:val="20AB2EA7"/>
    <w:rsid w:val="20D287F2"/>
    <w:rsid w:val="20DFD881"/>
    <w:rsid w:val="210B6614"/>
    <w:rsid w:val="216B56CB"/>
    <w:rsid w:val="21AEB706"/>
    <w:rsid w:val="21C0E970"/>
    <w:rsid w:val="21D37E1C"/>
    <w:rsid w:val="21F50E82"/>
    <w:rsid w:val="220E1E53"/>
    <w:rsid w:val="2221C39F"/>
    <w:rsid w:val="22250002"/>
    <w:rsid w:val="2235923C"/>
    <w:rsid w:val="223CC4C4"/>
    <w:rsid w:val="2278AFCF"/>
    <w:rsid w:val="22E2F271"/>
    <w:rsid w:val="231455BD"/>
    <w:rsid w:val="23233A46"/>
    <w:rsid w:val="234BB833"/>
    <w:rsid w:val="2408653B"/>
    <w:rsid w:val="24566B80"/>
    <w:rsid w:val="2510345F"/>
    <w:rsid w:val="252B1349"/>
    <w:rsid w:val="25FE5F1B"/>
    <w:rsid w:val="261BA0E5"/>
    <w:rsid w:val="261E9F2E"/>
    <w:rsid w:val="263C7982"/>
    <w:rsid w:val="264C11E8"/>
    <w:rsid w:val="26556A65"/>
    <w:rsid w:val="26562424"/>
    <w:rsid w:val="26FADCE5"/>
    <w:rsid w:val="271A28E4"/>
    <w:rsid w:val="274FABFB"/>
    <w:rsid w:val="2777BC83"/>
    <w:rsid w:val="27A84FF0"/>
    <w:rsid w:val="284374EE"/>
    <w:rsid w:val="28706EAF"/>
    <w:rsid w:val="28C7B860"/>
    <w:rsid w:val="28CDBE17"/>
    <w:rsid w:val="28E80AE1"/>
    <w:rsid w:val="290E5F20"/>
    <w:rsid w:val="29309E3D"/>
    <w:rsid w:val="299B725A"/>
    <w:rsid w:val="29A93AF3"/>
    <w:rsid w:val="29EC09E5"/>
    <w:rsid w:val="2A547416"/>
    <w:rsid w:val="2AA5DDC9"/>
    <w:rsid w:val="2AB0389A"/>
    <w:rsid w:val="2B1BEA4A"/>
    <w:rsid w:val="2BA4D0AE"/>
    <w:rsid w:val="2C0CDB39"/>
    <w:rsid w:val="2C7EBBA7"/>
    <w:rsid w:val="2CAD1C28"/>
    <w:rsid w:val="2D0FC700"/>
    <w:rsid w:val="2D2CF338"/>
    <w:rsid w:val="2D3FD5A4"/>
    <w:rsid w:val="2D4CB302"/>
    <w:rsid w:val="2D983186"/>
    <w:rsid w:val="2D9E8377"/>
    <w:rsid w:val="2DF4C6A8"/>
    <w:rsid w:val="2E2B1847"/>
    <w:rsid w:val="2E7D5F7C"/>
    <w:rsid w:val="2EB7EA02"/>
    <w:rsid w:val="2F141601"/>
    <w:rsid w:val="2F28865F"/>
    <w:rsid w:val="2F3357BC"/>
    <w:rsid w:val="2FB7FF87"/>
    <w:rsid w:val="300B594D"/>
    <w:rsid w:val="305D18C6"/>
    <w:rsid w:val="306B0C3F"/>
    <w:rsid w:val="30DC3DA8"/>
    <w:rsid w:val="30DEEDAE"/>
    <w:rsid w:val="315B7B66"/>
    <w:rsid w:val="31AFB4D4"/>
    <w:rsid w:val="3230E7BB"/>
    <w:rsid w:val="32537BD3"/>
    <w:rsid w:val="32DCCFA1"/>
    <w:rsid w:val="3323B63E"/>
    <w:rsid w:val="335433E6"/>
    <w:rsid w:val="335CCB88"/>
    <w:rsid w:val="336CE83E"/>
    <w:rsid w:val="336ED88A"/>
    <w:rsid w:val="33C61A17"/>
    <w:rsid w:val="34048010"/>
    <w:rsid w:val="342B83C0"/>
    <w:rsid w:val="343F6423"/>
    <w:rsid w:val="3440164A"/>
    <w:rsid w:val="348A78EA"/>
    <w:rsid w:val="34A49724"/>
    <w:rsid w:val="34F3BA6A"/>
    <w:rsid w:val="354D6C9D"/>
    <w:rsid w:val="35CB373F"/>
    <w:rsid w:val="3616C5B2"/>
    <w:rsid w:val="366BDB86"/>
    <w:rsid w:val="36871C11"/>
    <w:rsid w:val="375BB368"/>
    <w:rsid w:val="375CBAD9"/>
    <w:rsid w:val="3788F3BF"/>
    <w:rsid w:val="37B345AC"/>
    <w:rsid w:val="37C2A776"/>
    <w:rsid w:val="38438BEF"/>
    <w:rsid w:val="3964B8A6"/>
    <w:rsid w:val="39BBE91A"/>
    <w:rsid w:val="39CC39E6"/>
    <w:rsid w:val="3A0D19CD"/>
    <w:rsid w:val="3A31322A"/>
    <w:rsid w:val="3A5556D1"/>
    <w:rsid w:val="3A5FEBB2"/>
    <w:rsid w:val="3A735840"/>
    <w:rsid w:val="3A951010"/>
    <w:rsid w:val="3AAC3198"/>
    <w:rsid w:val="3B24B6F6"/>
    <w:rsid w:val="3B42868D"/>
    <w:rsid w:val="3B7BAD25"/>
    <w:rsid w:val="3BA9DC7E"/>
    <w:rsid w:val="3C1D18AF"/>
    <w:rsid w:val="3CA0636D"/>
    <w:rsid w:val="3CA5C9B6"/>
    <w:rsid w:val="3CBFD3AB"/>
    <w:rsid w:val="3CDE784C"/>
    <w:rsid w:val="3D2779EB"/>
    <w:rsid w:val="3D4698DC"/>
    <w:rsid w:val="3D5C2763"/>
    <w:rsid w:val="3D661914"/>
    <w:rsid w:val="3D775D17"/>
    <w:rsid w:val="3DF42FE2"/>
    <w:rsid w:val="3E522FB3"/>
    <w:rsid w:val="3E8A7FDC"/>
    <w:rsid w:val="3E9C921B"/>
    <w:rsid w:val="3EAE2E70"/>
    <w:rsid w:val="3F04003C"/>
    <w:rsid w:val="3F45F2DE"/>
    <w:rsid w:val="3FF6788B"/>
    <w:rsid w:val="40115D1B"/>
    <w:rsid w:val="406B6E0D"/>
    <w:rsid w:val="407E75B8"/>
    <w:rsid w:val="408C96B3"/>
    <w:rsid w:val="40D10845"/>
    <w:rsid w:val="40D10845"/>
    <w:rsid w:val="40D57298"/>
    <w:rsid w:val="40D6E4F8"/>
    <w:rsid w:val="40EFC5D6"/>
    <w:rsid w:val="41003645"/>
    <w:rsid w:val="4148CF32"/>
    <w:rsid w:val="4149FD1E"/>
    <w:rsid w:val="418A16B7"/>
    <w:rsid w:val="41F418D5"/>
    <w:rsid w:val="4258168E"/>
    <w:rsid w:val="425A8F14"/>
    <w:rsid w:val="4278F8BC"/>
    <w:rsid w:val="42AE061C"/>
    <w:rsid w:val="42C04866"/>
    <w:rsid w:val="43076734"/>
    <w:rsid w:val="4369956E"/>
    <w:rsid w:val="43D5F306"/>
    <w:rsid w:val="451543B3"/>
    <w:rsid w:val="457BEE51"/>
    <w:rsid w:val="45AB335C"/>
    <w:rsid w:val="45D34835"/>
    <w:rsid w:val="46199C48"/>
    <w:rsid w:val="46572284"/>
    <w:rsid w:val="469C4E08"/>
    <w:rsid w:val="46B240BA"/>
    <w:rsid w:val="46BAC146"/>
    <w:rsid w:val="470C3271"/>
    <w:rsid w:val="4722F86C"/>
    <w:rsid w:val="474AB8AE"/>
    <w:rsid w:val="478E8E46"/>
    <w:rsid w:val="47DBCAC5"/>
    <w:rsid w:val="4836EBAA"/>
    <w:rsid w:val="485E373B"/>
    <w:rsid w:val="486063FA"/>
    <w:rsid w:val="48E28949"/>
    <w:rsid w:val="494764CF"/>
    <w:rsid w:val="49536EEF"/>
    <w:rsid w:val="49602B64"/>
    <w:rsid w:val="496E655B"/>
    <w:rsid w:val="49B5FB2A"/>
    <w:rsid w:val="49BF556F"/>
    <w:rsid w:val="4A109493"/>
    <w:rsid w:val="4A6F1FE0"/>
    <w:rsid w:val="4A9048EB"/>
    <w:rsid w:val="4AA3818D"/>
    <w:rsid w:val="4AFC91D1"/>
    <w:rsid w:val="4B020760"/>
    <w:rsid w:val="4B3535E6"/>
    <w:rsid w:val="4B8A720D"/>
    <w:rsid w:val="4BF5A5B5"/>
    <w:rsid w:val="4C130825"/>
    <w:rsid w:val="4C418B0A"/>
    <w:rsid w:val="4C6A958C"/>
    <w:rsid w:val="4CB801F1"/>
    <w:rsid w:val="4CF71714"/>
    <w:rsid w:val="4CF7C63F"/>
    <w:rsid w:val="4D7B8C3D"/>
    <w:rsid w:val="4DED2F29"/>
    <w:rsid w:val="4E102FE4"/>
    <w:rsid w:val="4E3828A2"/>
    <w:rsid w:val="4EDF093F"/>
    <w:rsid w:val="4EFD92B2"/>
    <w:rsid w:val="4FA23535"/>
    <w:rsid w:val="4FB414BA"/>
    <w:rsid w:val="4FB705B6"/>
    <w:rsid w:val="5010DA30"/>
    <w:rsid w:val="502F8D06"/>
    <w:rsid w:val="50611452"/>
    <w:rsid w:val="50810E47"/>
    <w:rsid w:val="509C3DAC"/>
    <w:rsid w:val="50C65511"/>
    <w:rsid w:val="50F59AA6"/>
    <w:rsid w:val="51332E21"/>
    <w:rsid w:val="5139FDE8"/>
    <w:rsid w:val="51580A15"/>
    <w:rsid w:val="515AE018"/>
    <w:rsid w:val="51725354"/>
    <w:rsid w:val="519B46DD"/>
    <w:rsid w:val="51D6EABB"/>
    <w:rsid w:val="52035427"/>
    <w:rsid w:val="524ADBC3"/>
    <w:rsid w:val="5260A8A2"/>
    <w:rsid w:val="52A3E716"/>
    <w:rsid w:val="52CD1880"/>
    <w:rsid w:val="52E140AB"/>
    <w:rsid w:val="532F9364"/>
    <w:rsid w:val="53679707"/>
    <w:rsid w:val="53C65AEF"/>
    <w:rsid w:val="544EBE09"/>
    <w:rsid w:val="54B2BACD"/>
    <w:rsid w:val="55145737"/>
    <w:rsid w:val="55190DA9"/>
    <w:rsid w:val="5551B981"/>
    <w:rsid w:val="555ECD33"/>
    <w:rsid w:val="55AF17D9"/>
    <w:rsid w:val="55C51858"/>
    <w:rsid w:val="55CEEE62"/>
    <w:rsid w:val="560F8D9E"/>
    <w:rsid w:val="563CA506"/>
    <w:rsid w:val="566BF533"/>
    <w:rsid w:val="5680151E"/>
    <w:rsid w:val="56820531"/>
    <w:rsid w:val="56B4AA69"/>
    <w:rsid w:val="56B93E26"/>
    <w:rsid w:val="572581CB"/>
    <w:rsid w:val="575BDA73"/>
    <w:rsid w:val="579B3CA1"/>
    <w:rsid w:val="57DB42AA"/>
    <w:rsid w:val="5848FE67"/>
    <w:rsid w:val="584EC4A8"/>
    <w:rsid w:val="58A6A5A0"/>
    <w:rsid w:val="58BA8D78"/>
    <w:rsid w:val="59AF2437"/>
    <w:rsid w:val="5A139DD7"/>
    <w:rsid w:val="5A159C83"/>
    <w:rsid w:val="5A1DE59A"/>
    <w:rsid w:val="5A340E80"/>
    <w:rsid w:val="5A759E79"/>
    <w:rsid w:val="5A86FC4B"/>
    <w:rsid w:val="5AA3D9EC"/>
    <w:rsid w:val="5AE0AA23"/>
    <w:rsid w:val="5AEBA52F"/>
    <w:rsid w:val="5AECAF1A"/>
    <w:rsid w:val="5AF86CA0"/>
    <w:rsid w:val="5AFE45F3"/>
    <w:rsid w:val="5B0F0516"/>
    <w:rsid w:val="5B409AF8"/>
    <w:rsid w:val="5B42FA2C"/>
    <w:rsid w:val="5B769163"/>
    <w:rsid w:val="5B971295"/>
    <w:rsid w:val="5BAF4810"/>
    <w:rsid w:val="5BFA48C8"/>
    <w:rsid w:val="5C30BF9E"/>
    <w:rsid w:val="5C93D9EB"/>
    <w:rsid w:val="5D3DDCEC"/>
    <w:rsid w:val="5D633FD4"/>
    <w:rsid w:val="5D7CAC7B"/>
    <w:rsid w:val="5D91F441"/>
    <w:rsid w:val="5DD75B57"/>
    <w:rsid w:val="5DE773B2"/>
    <w:rsid w:val="5E02D048"/>
    <w:rsid w:val="5E52C840"/>
    <w:rsid w:val="5E62B67B"/>
    <w:rsid w:val="5EA8FFBD"/>
    <w:rsid w:val="5EBDC629"/>
    <w:rsid w:val="5ED41C7C"/>
    <w:rsid w:val="5F1E60A1"/>
    <w:rsid w:val="5F218F34"/>
    <w:rsid w:val="5F7A6DA8"/>
    <w:rsid w:val="5F87DC33"/>
    <w:rsid w:val="5F95209D"/>
    <w:rsid w:val="5FA4A4BC"/>
    <w:rsid w:val="5FB3A535"/>
    <w:rsid w:val="60CA6FC1"/>
    <w:rsid w:val="60FECEAF"/>
    <w:rsid w:val="60FF64BB"/>
    <w:rsid w:val="612DE50B"/>
    <w:rsid w:val="613F635A"/>
    <w:rsid w:val="6140A6EC"/>
    <w:rsid w:val="61521B2F"/>
    <w:rsid w:val="61DD48AC"/>
    <w:rsid w:val="61EC4B91"/>
    <w:rsid w:val="626127B1"/>
    <w:rsid w:val="62B731C3"/>
    <w:rsid w:val="62D6C210"/>
    <w:rsid w:val="63535F44"/>
    <w:rsid w:val="63D0925E"/>
    <w:rsid w:val="63D93C05"/>
    <w:rsid w:val="63E74E02"/>
    <w:rsid w:val="63F1E9AC"/>
    <w:rsid w:val="64014205"/>
    <w:rsid w:val="645303FE"/>
    <w:rsid w:val="6457A397"/>
    <w:rsid w:val="645BC55D"/>
    <w:rsid w:val="647B50CB"/>
    <w:rsid w:val="6490C78B"/>
    <w:rsid w:val="649CDAFF"/>
    <w:rsid w:val="64EC3309"/>
    <w:rsid w:val="6543536A"/>
    <w:rsid w:val="6557BE2A"/>
    <w:rsid w:val="65FD39CD"/>
    <w:rsid w:val="668EA0FB"/>
    <w:rsid w:val="6697DD9A"/>
    <w:rsid w:val="66B4F37A"/>
    <w:rsid w:val="66C28D27"/>
    <w:rsid w:val="672A4837"/>
    <w:rsid w:val="6750EB6F"/>
    <w:rsid w:val="675AC1A2"/>
    <w:rsid w:val="67627230"/>
    <w:rsid w:val="67B6D181"/>
    <w:rsid w:val="68565568"/>
    <w:rsid w:val="6887DBD8"/>
    <w:rsid w:val="68E3C224"/>
    <w:rsid w:val="6918A341"/>
    <w:rsid w:val="69288458"/>
    <w:rsid w:val="6942D7DB"/>
    <w:rsid w:val="698F0D7C"/>
    <w:rsid w:val="6991207A"/>
    <w:rsid w:val="6A7B4D6D"/>
    <w:rsid w:val="6AA0D88F"/>
    <w:rsid w:val="6ACBE163"/>
    <w:rsid w:val="6ACD1271"/>
    <w:rsid w:val="6AF16435"/>
    <w:rsid w:val="6B0D25FA"/>
    <w:rsid w:val="6B10FCA9"/>
    <w:rsid w:val="6B1E0A2F"/>
    <w:rsid w:val="6B630044"/>
    <w:rsid w:val="6B7F1A09"/>
    <w:rsid w:val="6BDD9819"/>
    <w:rsid w:val="6BF26150"/>
    <w:rsid w:val="6C0C9C89"/>
    <w:rsid w:val="6C4AF6EA"/>
    <w:rsid w:val="6CB3D440"/>
    <w:rsid w:val="6D006E8B"/>
    <w:rsid w:val="6D11A6F1"/>
    <w:rsid w:val="6D310D07"/>
    <w:rsid w:val="6DBE41F3"/>
    <w:rsid w:val="6E226613"/>
    <w:rsid w:val="6EC6FBBF"/>
    <w:rsid w:val="6F5BD6D3"/>
    <w:rsid w:val="6F6950F7"/>
    <w:rsid w:val="6F6EED9A"/>
    <w:rsid w:val="6F7A2ACF"/>
    <w:rsid w:val="6F800958"/>
    <w:rsid w:val="6FA51D6A"/>
    <w:rsid w:val="6FD83692"/>
    <w:rsid w:val="707C0E90"/>
    <w:rsid w:val="70B0CFAE"/>
    <w:rsid w:val="70B4E403"/>
    <w:rsid w:val="70F0FD31"/>
    <w:rsid w:val="7126A136"/>
    <w:rsid w:val="717E0A9B"/>
    <w:rsid w:val="71EE02CB"/>
    <w:rsid w:val="71F53036"/>
    <w:rsid w:val="722FFED0"/>
    <w:rsid w:val="723117A2"/>
    <w:rsid w:val="7261C393"/>
    <w:rsid w:val="729E44F4"/>
    <w:rsid w:val="72B53CAE"/>
    <w:rsid w:val="72BADBC1"/>
    <w:rsid w:val="732F608B"/>
    <w:rsid w:val="737FFED1"/>
    <w:rsid w:val="738BFCC7"/>
    <w:rsid w:val="73D10ED1"/>
    <w:rsid w:val="73DDA32C"/>
    <w:rsid w:val="74176933"/>
    <w:rsid w:val="7454D8F7"/>
    <w:rsid w:val="746E565C"/>
    <w:rsid w:val="74F27CC5"/>
    <w:rsid w:val="750CD0FA"/>
    <w:rsid w:val="7660FD62"/>
    <w:rsid w:val="767EB332"/>
    <w:rsid w:val="76BF7099"/>
    <w:rsid w:val="7705A3EC"/>
    <w:rsid w:val="7709BA68"/>
    <w:rsid w:val="77113184"/>
    <w:rsid w:val="773F59DC"/>
    <w:rsid w:val="774ECE54"/>
    <w:rsid w:val="77A0995E"/>
    <w:rsid w:val="780E4615"/>
    <w:rsid w:val="78172F2F"/>
    <w:rsid w:val="7830A2AE"/>
    <w:rsid w:val="783FB866"/>
    <w:rsid w:val="78878782"/>
    <w:rsid w:val="78D7E8D6"/>
    <w:rsid w:val="79501B89"/>
    <w:rsid w:val="7987BCEA"/>
    <w:rsid w:val="799E8AFF"/>
    <w:rsid w:val="79CD6945"/>
    <w:rsid w:val="79E11FEC"/>
    <w:rsid w:val="7A4F0049"/>
    <w:rsid w:val="7AB01BE2"/>
    <w:rsid w:val="7B38CA83"/>
    <w:rsid w:val="7B3A2342"/>
    <w:rsid w:val="7B4A4786"/>
    <w:rsid w:val="7B7DB405"/>
    <w:rsid w:val="7B7DB405"/>
    <w:rsid w:val="7B909DD9"/>
    <w:rsid w:val="7BC7FC79"/>
    <w:rsid w:val="7C9C8D2B"/>
    <w:rsid w:val="7D0629C9"/>
    <w:rsid w:val="7D0C4FE4"/>
    <w:rsid w:val="7D1F4A3C"/>
    <w:rsid w:val="7D46EE65"/>
    <w:rsid w:val="7D81654C"/>
    <w:rsid w:val="7D9449EB"/>
    <w:rsid w:val="7DC01709"/>
    <w:rsid w:val="7DED2D4D"/>
    <w:rsid w:val="7E04A4AE"/>
    <w:rsid w:val="7E468B1F"/>
    <w:rsid w:val="7E731CC9"/>
    <w:rsid w:val="7F28B173"/>
    <w:rsid w:val="7F3ACBDA"/>
    <w:rsid w:val="7FBE3ECE"/>
    <w:rsid w:val="7FC1F4C0"/>
    <w:rsid w:val="7FC44A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46DD"/>
  <w15:chartTrackingRefBased/>
  <w15:docId w15:val="{0817192D-F6BF-41D1-B263-DCB692C060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22FFED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407E75B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07E75B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407E75B8"/>
    <w:rPr>
      <w:rFonts w:eastAsia="" w:cs="" w:eastAsiaTheme="majorEastAsia" w:cstheme="majorBidi"/>
      <w:color w:val="0F4761" w:themeColor="accent1" w:themeTint="FF" w:themeShade="BF"/>
      <w:sz w:val="28"/>
      <w:szCs w:val="28"/>
    </w:rPr>
  </w:style>
  <w:style w:type="paragraph" w:styleId="Heading4">
    <w:uiPriority w:val="9"/>
    <w:name w:val="heading 4"/>
    <w:basedOn w:val="Normal"/>
    <w:next w:val="Normal"/>
    <w:unhideWhenUsed/>
    <w:qFormat/>
    <w:rsid w:val="407E75B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407E75B8"/>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07E75B8"/>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407E75B8"/>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407E75B8"/>
    <w:rPr>
      <w:rFonts w:eastAsia="" w:cs="" w:eastAsiaTheme="majorEastAsia" w:cstheme="majorBidi"/>
      <w:i w:val="1"/>
      <w:iCs w:val="1"/>
      <w:color w:val="272727"/>
    </w:rPr>
    <w:pPr>
      <w:keepNext w:val="1"/>
      <w:keepLines w:val="1"/>
      <w:spacing w:after="0"/>
      <w:outlineLvl w:val="7"/>
    </w:pPr>
  </w:style>
  <w:style w:type="paragraph" w:styleId="TOC1">
    <w:uiPriority w:val="39"/>
    <w:name w:val="toc 1"/>
    <w:basedOn w:val="Normal"/>
    <w:next w:val="Normal"/>
    <w:unhideWhenUsed/>
    <w:rsid w:val="407E75B8"/>
    <w:pPr>
      <w:spacing w:after="100"/>
    </w:pPr>
  </w:style>
  <w:style w:type="character" w:styleId="Hyperlink">
    <w:uiPriority w:val="99"/>
    <w:name w:val="Hyperlink"/>
    <w:basedOn w:val="DefaultParagraphFont"/>
    <w:unhideWhenUsed/>
    <w:rsid w:val="407E75B8"/>
    <w:rPr>
      <w:color w:val="467886"/>
      <w:u w:val="single"/>
    </w:rPr>
  </w:style>
  <w:style w:type="paragraph" w:styleId="TOC2">
    <w:uiPriority w:val="39"/>
    <w:name w:val="toc 2"/>
    <w:basedOn w:val="Normal"/>
    <w:next w:val="Normal"/>
    <w:unhideWhenUsed/>
    <w:rsid w:val="407E75B8"/>
    <w:pPr>
      <w:spacing w:after="100"/>
      <w:ind w:left="220"/>
    </w:pPr>
  </w:style>
  <w:style w:type="paragraph" w:styleId="TOC3">
    <w:uiPriority w:val="39"/>
    <w:name w:val="toc 3"/>
    <w:basedOn w:val="Normal"/>
    <w:next w:val="Normal"/>
    <w:unhideWhenUsed/>
    <w:rsid w:val="407E75B8"/>
    <w:pPr>
      <w:spacing w:after="100"/>
      <w:ind w:left="440"/>
    </w:pPr>
  </w:style>
  <w:style w:type="paragraph" w:styleId="TOC4">
    <w:uiPriority w:val="39"/>
    <w:name w:val="toc 4"/>
    <w:basedOn w:val="Normal"/>
    <w:next w:val="Normal"/>
    <w:unhideWhenUsed/>
    <w:rsid w:val="407E75B8"/>
    <w:pPr>
      <w:spacing w:after="100"/>
      <w:ind w:left="660"/>
    </w:pPr>
  </w:style>
  <w:style w:type="paragraph" w:styleId="TOC5">
    <w:uiPriority w:val="39"/>
    <w:name w:val="toc 5"/>
    <w:basedOn w:val="Normal"/>
    <w:next w:val="Normal"/>
    <w:unhideWhenUsed/>
    <w:rsid w:val="407E75B8"/>
    <w:pPr>
      <w:spacing w:after="100"/>
      <w:ind w:left="880"/>
    </w:pPr>
  </w:style>
  <w:style w:type="paragraph" w:styleId="Heading3">
    <w:uiPriority w:val="9"/>
    <w:name w:val="heading 3"/>
    <w:basedOn w:val="Normal"/>
    <w:next w:val="Normal"/>
    <w:unhideWhenUsed/>
    <w:link w:val="Heading3Char"/>
    <w:qFormat/>
    <w:rsid w:val="407E75B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2Char" w:customStyle="true">
    <w:uiPriority w:val="9"/>
    <w:name w:val="Heading 2 Char"/>
    <w:basedOn w:val="DefaultParagraphFont"/>
    <w:link w:val="Heading2"/>
    <w:rsid w:val="407E75B8"/>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407E75B8"/>
    <w:rPr>
      <w:rFonts w:ascii="Aptos Display" w:hAnsi="Aptos Display" w:eastAsia="" w:cs="" w:asciiTheme="majorAscii" w:hAnsiTheme="majorAscii" w:eastAsiaTheme="majorEastAsia" w:cstheme="majorBidi"/>
      <w:color w:val="0F4761" w:themeColor="accent1" w:themeTint="FF" w:themeShade="BF"/>
      <w:sz w:val="40"/>
      <w:szCs w:val="40"/>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d31a34d3e24434e" /><Relationship Type="http://schemas.openxmlformats.org/officeDocument/2006/relationships/image" Target="/media/image2.png" Id="rId1762004302" /><Relationship Type="http://schemas.openxmlformats.org/officeDocument/2006/relationships/hyperlink" Target="https://www.sciencedirect.com/science/article/pii/S1876034119304702" TargetMode="External" Id="Rf7e5f1794d534c58" /><Relationship Type="http://schemas.openxmlformats.org/officeDocument/2006/relationships/hyperlink" Target="https://link.springer.com/article/10.1007/s11096-018-0647-5" TargetMode="External" Id="R640e98d77e074dee" /><Relationship Type="http://schemas.openxmlformats.org/officeDocument/2006/relationships/hyperlink" Target="https://www.dovepress.com/community-pharmacistsrsquo-perspectives-on-dispensing-errors-in-ethiopia-peer-reviewed-fulltext-article-IPRP" TargetMode="External" Id="R4ebfefcb7a8d418e" /><Relationship Type="http://schemas.openxmlformats.org/officeDocument/2006/relationships/hyperlink" Target="https://bmchealthservres.biomedcentral.com/articles/10.1186/s12913-020-05347-8" TargetMode="External" Id="Re86dbf9ac8104865" /><Relationship Type="http://schemas.openxmlformats.org/officeDocument/2006/relationships/hyperlink" Target="https://www.sciencedirect.com/science/article/pii/S1551741118302076" TargetMode="External" Id="R33c0ace3ebc146e2" /><Relationship Type="http://schemas.openxmlformats.org/officeDocument/2006/relationships/hyperlink" Target="https://www.mdpi.com/2079-6382/10/4/443" TargetMode="External" Id="R3355fa781c3347ae" /><Relationship Type="http://schemas.openxmlformats.org/officeDocument/2006/relationships/hyperlink" Target="https://bmchealthservres.biomedcentral.com/articles/10.1186/s12913-018-3080-7" TargetMode="External" Id="Ra90913e3726e4ca1" /><Relationship Type="http://schemas.openxmlformats.org/officeDocument/2006/relationships/hyperlink" Target="https://bmcpublichealth.biomedcentral.com/articles/10.1186/s12889-021-10429-0" TargetMode="External" Id="R1087af6eaa274b47" /><Relationship Type="http://schemas.openxmlformats.org/officeDocument/2006/relationships/hyperlink" Target="https://implementationsciencecomms.biomedcentral.com/articles/10.1186/s43058-019-0003-9" TargetMode="External" Id="R094789a3aa394ddf" /><Relationship Type="http://schemas.openxmlformats.org/officeDocument/2006/relationships/hyperlink" Target="https://joppp.biomedcentral.com/articles/10.1186/s40545-019-0182-9" TargetMode="External" Id="R418325c0a3f94502" /><Relationship Type="http://schemas.openxmlformats.org/officeDocument/2006/relationships/hyperlink" Target="https://bmcpublichealth.biomedcentral.com/articles/10.1186/s12889-019-7487-5" TargetMode="External" Id="R67369032226345ba" /><Relationship Type="http://schemas.openxmlformats.org/officeDocument/2006/relationships/hyperlink" Target="https://www.who.int/publications/i/item/9789241509763" TargetMode="External" Id="R6cc16b44408a4822" /><Relationship Type="http://schemas.openxmlformats.org/officeDocument/2006/relationships/hyperlink" Target="https://www.who.int/publications/i/item/WHO-HIS-ETH-2017.1" TargetMode="External" Id="Rcf421fa7712f4805" /><Relationship Type="http://schemas.openxmlformats.org/officeDocument/2006/relationships/hyperlink" Target="https://bmcpublichealth.biomedcentral.com/articles/10.1186/s12889-015-2109-3" TargetMode="External" Id="R502aa89b07ea4d9b" /><Relationship Type="http://schemas.openxmlformats.org/officeDocument/2006/relationships/hyperlink" Target="https://www.sciencedirect.com/science/article/pii/S0163445318304846" TargetMode="External" Id="R9dda06c98c48448b" /><Relationship Type="http://schemas.openxmlformats.org/officeDocument/2006/relationships/hyperlink" Target="https://www.sciencedirect.com/science/article/pii/S0924857918301962" TargetMode="External" Id="R1ca1f2d1a0ff4f05" /><Relationship Type="http://schemas.openxmlformats.org/officeDocument/2006/relationships/hyperlink" Target="https://journal.nzma.org.nz/journal-articles/new-zealand-pharmacists-experiences-practices-and-views-regarding-antibiotic-use-without-prescription" TargetMode="External" Id="R4446aa516264433f" /><Relationship Type="http://schemas.openxmlformats.org/officeDocument/2006/relationships/hyperlink" Target="https://academic.oup.com/heapol/article/31/7/940/1750709" TargetMode="External" Id="R92c6181083504fe3" /><Relationship Type="http://schemas.openxmlformats.org/officeDocument/2006/relationships/hyperlink" Target="https://link.springer.com/article/10.1007/s11096-009-9294-z" TargetMode="External" Id="Raba60ded04094d53" /><Relationship Type="http://schemas.openxmlformats.org/officeDocument/2006/relationships/hyperlink" Target="https://apps.who.int/iris/handle/10665/44779" TargetMode="External" Id="R438941d3e4db4a5d" /><Relationship Type="http://schemas.openxmlformats.org/officeDocument/2006/relationships/hyperlink" Target="https://onlinelibrary.wiley.com/doi/10.1111/j.1365-2710.2011.01293.x" TargetMode="External" Id="Rf0532d0eb583490e" /><Relationship Type="http://schemas.openxmlformats.org/officeDocument/2006/relationships/hyperlink" Target="https://www.mdpi.com/2079-6382/9/12/846" TargetMode="External" Id="R3c22b515839c445f" /><Relationship Type="http://schemas.openxmlformats.org/officeDocument/2006/relationships/hyperlink" Target="https://www.mdpi.com/2079-6382/10/5/513" TargetMode="External" Id="Re09cce6f2db045bc" /><Relationship Type="http://schemas.openxmlformats.org/officeDocument/2006/relationships/hyperlink" Target="https://www.sciencedirect.com/science/article/pii/S0168851019301366" TargetMode="External" Id="R4922298102ac403c" /><Relationship Type="http://schemas.openxmlformats.org/officeDocument/2006/relationships/hyperlink" Target="https://aricjournal.biomedcentral.com/articles/10.1186/s13756-017-0208-x" TargetMode="External" Id="R6577bd604778479d" /><Relationship Type="http://schemas.openxmlformats.org/officeDocument/2006/relationships/hyperlink" Target="https://qualitysafety.bmj.com/content/24/11/701" TargetMode="External" Id="R0b3e67d1b00d434c" /><Relationship Type="http://schemas.openxmlformats.org/officeDocument/2006/relationships/hyperlink" Target="https://journals.lww.com/jfmpc/fulltext/2021/10010/community_pharmacists__role_in.1.aspx" TargetMode="External" Id="R1ec049d820ef4c98" /><Relationship Type="http://schemas.openxmlformats.org/officeDocument/2006/relationships/hyperlink" Target="https://www.sciencedirect.com/science/article/pii/S1876034119305410" TargetMode="External" Id="Ra926013dc9ff4ee7" /><Relationship Type="http://schemas.openxmlformats.org/officeDocument/2006/relationships/hyperlink" Target="https://www.sciencedirect.com/science/article/pii/S1319562X16301213" TargetMode="External" Id="R3dd39096c5b340d9" /><Relationship Type="http://schemas.openxmlformats.org/officeDocument/2006/relationships/hyperlink" Target="https://bmcpublichealth.biomedcentral.com/articles/10.1186/s12889-017-4093-2" TargetMode="External" Id="Ra87cb7cac0b1473f" /><Relationship Type="http://schemas.openxmlformats.org/officeDocument/2006/relationships/hyperlink" Target="https://www.sciencedirect.com/science/article/pii/S1319016411000446" TargetMode="External" Id="R54b8d75f2ac34aff" /><Relationship Type="http://schemas.openxmlformats.org/officeDocument/2006/relationships/hyperlink" Target="https://www.ncbi.nlm.nih.gov/pmc/articles/PMC4149119/" TargetMode="External" Id="R12b038d130404360" /><Relationship Type="http://schemas.openxmlformats.org/officeDocument/2006/relationships/hyperlink" Target="https://pharmacypractice.org/index.php/pp/article/view/1599" TargetMode="External" Id="Re75a1a4ea3d04ed4" /><Relationship Type="http://schemas.openxmlformats.org/officeDocument/2006/relationships/hyperlink" Target="https://www.sciencedirect.com/science/article/pii/S0277953602004203" TargetMode="External" Id="R51325e0e3f7f4b9e" /><Relationship Type="http://schemas.openxmlformats.org/officeDocument/2006/relationships/hyperlink" Target="https://www.ncbi.nlm.nih.gov/pmc/articles/PMC4012703/" TargetMode="External" Id="Rd5f2004b95d54a3f" /><Relationship Type="http://schemas.openxmlformats.org/officeDocument/2006/relationships/hyperlink" Target="https://www.mdpi.com/2226-4787/4/4/35" TargetMode="External" Id="R52b6b43189e84cc2" /><Relationship Type="http://schemas.openxmlformats.org/officeDocument/2006/relationships/hyperlink" Target="https://www.nejm.org/doi/full/10.1056/NEJMra0904124" TargetMode="External" Id="R401680deb57f41e8" /><Relationship Type="http://schemas.openxmlformats.org/officeDocument/2006/relationships/hyperlink" Target="https://www.sciencedirect.com/science/article/pii/S1198743X17304900" TargetMode="External" Id="R0c198dcce09e40bd" /><Relationship Type="http://schemas.openxmlformats.org/officeDocument/2006/relationships/hyperlink" Target="https://wwwnc.cdc.gov/eid/article/5/1/99-0103_article" TargetMode="External" Id="Re1b645b7725341ee" /><Relationship Type="http://schemas.openxmlformats.org/officeDocument/2006/relationships/hyperlink" Target="https://www.ncbi.nlm.nih.gov/pmc/articles/PMC4378521/" TargetMode="External" Id="R53475f7b228c403c" /><Relationship Type="http://schemas.openxmlformats.org/officeDocument/2006/relationships/hyperlink" Target="https://www.cambridge.org/core/journals/infection-control-and-hospital-epidemiology/article/community-pharmacy-interventions-to-improve-antibiotic-stewardship" TargetMode="External" Id="R202f38fe44a1479e" /><Relationship Type="http://schemas.openxmlformats.org/officeDocument/2006/relationships/hyperlink" Target="https://www.sciencedirect.com/science/article/pii/S0277953614002091" TargetMode="External" Id="R39618dc71a654973" /><Relationship Type="http://schemas.openxmlformats.org/officeDocument/2006/relationships/hyperlink" Target="https://www.cochranelibrary.com/cdsr/doi/10.1002/14651858.CD003543.pub4/full" TargetMode="External" Id="Rab4fcf480e474fb6" /><Relationship Type="http://schemas.openxmlformats.org/officeDocument/2006/relationships/hyperlink" Target="https://journals.sagepub.com/doi/10.1177/2042098614554919" TargetMode="External" Id="R9c56aacbf6aa4d2d" /><Relationship Type="http://schemas.openxmlformats.org/officeDocument/2006/relationships/image" Target="/media/image3.png" Id="rId338477953" /><Relationship Type="http://schemas.microsoft.com/office/2020/10/relationships/intelligence" Target="intelligence2.xml" Id="Re8dff44ada1b4f8f" /><Relationship Type="http://schemas.openxmlformats.org/officeDocument/2006/relationships/hyperlink" Target="https://joppp.biomedcentral.com/articles/10.1186/s40545-019-0179-4" TargetMode="External" Id="R7a9208a810604e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2025-10-08T09:47:55.0827416Z</dcterms:created>
  <dcterms:modified xsi:type="dcterms:W3CDTF">2026-01-06T23:02:40.5682392Z</dcterms:modified>
  <dc:creator>Shreyas Dineshkumar Shrimali (2418718)</dc:creator>
  <lastModifiedBy>Shreyas Dineshkumar Shrimali (2418718)</lastModifiedBy>
</coreProperties>
</file>