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74441" w14:textId="77777777" w:rsidR="00B52ADA" w:rsidRPr="00B52ADA" w:rsidRDefault="00B52ADA" w:rsidP="00B52ADA">
      <w:pPr>
        <w:widowControl/>
        <w:spacing w:line="360" w:lineRule="auto"/>
        <w:jc w:val="left"/>
        <w:rPr>
          <w:rFonts w:asciiTheme="minorBidi" w:hAnsiTheme="minorBidi"/>
          <w:sz w:val="24"/>
          <w:szCs w:val="32"/>
        </w:rPr>
      </w:pPr>
    </w:p>
    <w:p w14:paraId="61F154C9" w14:textId="77777777" w:rsidR="00B52ADA" w:rsidRPr="00B52ADA" w:rsidRDefault="00B52ADA" w:rsidP="00B52ADA">
      <w:pPr>
        <w:widowControl/>
        <w:spacing w:line="360" w:lineRule="auto"/>
        <w:jc w:val="left"/>
        <w:rPr>
          <w:rFonts w:asciiTheme="minorBidi" w:hAnsiTheme="minorBidi"/>
          <w:sz w:val="24"/>
          <w:szCs w:val="32"/>
        </w:rPr>
      </w:pPr>
    </w:p>
    <w:p w14:paraId="1985E52C" w14:textId="77777777" w:rsidR="00B52ADA" w:rsidRPr="00B52ADA" w:rsidRDefault="00B52ADA" w:rsidP="00B52ADA">
      <w:pPr>
        <w:widowControl/>
        <w:spacing w:line="360" w:lineRule="auto"/>
        <w:jc w:val="left"/>
        <w:rPr>
          <w:rFonts w:asciiTheme="minorBidi" w:hAnsiTheme="minorBidi"/>
          <w:sz w:val="24"/>
          <w:szCs w:val="32"/>
        </w:rPr>
      </w:pPr>
    </w:p>
    <w:p w14:paraId="0F716CA8" w14:textId="77777777" w:rsidR="00B52ADA" w:rsidRPr="00B52ADA" w:rsidRDefault="00B52ADA" w:rsidP="00B52ADA">
      <w:pPr>
        <w:widowControl/>
        <w:spacing w:line="360" w:lineRule="auto"/>
        <w:jc w:val="left"/>
        <w:rPr>
          <w:rFonts w:asciiTheme="minorBidi" w:hAnsiTheme="minorBidi"/>
          <w:sz w:val="24"/>
          <w:szCs w:val="32"/>
        </w:rPr>
      </w:pPr>
    </w:p>
    <w:p w14:paraId="1C915EF9" w14:textId="77777777" w:rsidR="00B52ADA" w:rsidRPr="00B52ADA" w:rsidRDefault="00B52ADA" w:rsidP="00B52ADA">
      <w:pPr>
        <w:widowControl/>
        <w:spacing w:line="360" w:lineRule="auto"/>
        <w:jc w:val="left"/>
        <w:rPr>
          <w:rFonts w:asciiTheme="minorBidi" w:hAnsiTheme="minorBidi"/>
          <w:sz w:val="24"/>
          <w:szCs w:val="32"/>
        </w:rPr>
      </w:pPr>
    </w:p>
    <w:p w14:paraId="4AF4CBE5" w14:textId="77777777" w:rsidR="00B52ADA" w:rsidRPr="00B52ADA" w:rsidRDefault="00B52ADA" w:rsidP="00B52ADA">
      <w:pPr>
        <w:widowControl/>
        <w:spacing w:line="360" w:lineRule="auto"/>
        <w:jc w:val="left"/>
        <w:rPr>
          <w:rFonts w:asciiTheme="minorBidi" w:hAnsiTheme="minorBidi"/>
          <w:sz w:val="24"/>
          <w:szCs w:val="32"/>
        </w:rPr>
      </w:pPr>
    </w:p>
    <w:p w14:paraId="02941E61" w14:textId="3F035B4E" w:rsidR="00B52ADA" w:rsidRPr="00B52ADA" w:rsidRDefault="00B52ADA" w:rsidP="00B52ADA">
      <w:pPr>
        <w:widowControl/>
        <w:spacing w:line="360" w:lineRule="auto"/>
        <w:jc w:val="center"/>
        <w:rPr>
          <w:rFonts w:asciiTheme="minorBidi" w:hAnsiTheme="minorBidi"/>
          <w:sz w:val="44"/>
          <w:szCs w:val="52"/>
        </w:rPr>
      </w:pPr>
      <w:r w:rsidRPr="00B52ADA">
        <w:rPr>
          <w:rFonts w:asciiTheme="minorBidi" w:hAnsiTheme="minorBidi"/>
          <w:sz w:val="44"/>
          <w:szCs w:val="52"/>
        </w:rPr>
        <w:t>Intercultural Communication and Cultural</w:t>
      </w:r>
    </w:p>
    <w:p w14:paraId="00A7AC86" w14:textId="77777777" w:rsidR="00B52ADA" w:rsidRPr="00B52ADA" w:rsidRDefault="00B52ADA" w:rsidP="00B52ADA">
      <w:pPr>
        <w:widowControl/>
        <w:spacing w:line="360" w:lineRule="auto"/>
        <w:jc w:val="center"/>
        <w:rPr>
          <w:rFonts w:asciiTheme="minorBidi" w:hAnsiTheme="minorBidi"/>
          <w:sz w:val="24"/>
          <w:szCs w:val="32"/>
        </w:rPr>
      </w:pPr>
    </w:p>
    <w:p w14:paraId="6598DF11" w14:textId="77777777" w:rsidR="00B52ADA" w:rsidRPr="00B52ADA" w:rsidRDefault="00B52ADA" w:rsidP="00B52ADA">
      <w:pPr>
        <w:widowControl/>
        <w:spacing w:line="360" w:lineRule="auto"/>
        <w:jc w:val="center"/>
        <w:rPr>
          <w:rFonts w:asciiTheme="minorBidi" w:hAnsiTheme="minorBidi"/>
          <w:sz w:val="24"/>
          <w:szCs w:val="32"/>
        </w:rPr>
      </w:pPr>
    </w:p>
    <w:p w14:paraId="3C090967" w14:textId="77777777" w:rsidR="00B52ADA" w:rsidRPr="00B52ADA" w:rsidRDefault="00B52ADA" w:rsidP="00B52ADA">
      <w:pPr>
        <w:widowControl/>
        <w:spacing w:line="360" w:lineRule="auto"/>
        <w:jc w:val="center"/>
        <w:rPr>
          <w:rFonts w:asciiTheme="minorBidi" w:hAnsiTheme="minorBidi"/>
          <w:sz w:val="24"/>
          <w:szCs w:val="32"/>
        </w:rPr>
      </w:pPr>
    </w:p>
    <w:p w14:paraId="0A265F40" w14:textId="3A48FFC9" w:rsidR="00B52ADA" w:rsidRPr="00B52ADA" w:rsidRDefault="00B52ADA" w:rsidP="00B52ADA">
      <w:pPr>
        <w:widowControl/>
        <w:spacing w:line="360" w:lineRule="auto"/>
        <w:jc w:val="center"/>
        <w:rPr>
          <w:rFonts w:asciiTheme="minorBidi" w:hAnsiTheme="minorBidi"/>
          <w:sz w:val="24"/>
          <w:szCs w:val="32"/>
        </w:rPr>
      </w:pPr>
      <w:r w:rsidRPr="00B52ADA">
        <w:rPr>
          <w:rFonts w:asciiTheme="minorBidi" w:hAnsiTheme="minorBidi"/>
          <w:sz w:val="24"/>
          <w:szCs w:val="32"/>
        </w:rPr>
        <w:t>BMBM6021</w:t>
      </w:r>
    </w:p>
    <w:p w14:paraId="40D453A0" w14:textId="77777777" w:rsidR="00B52ADA" w:rsidRPr="00B52ADA" w:rsidRDefault="00B52ADA" w:rsidP="00B52ADA">
      <w:pPr>
        <w:widowControl/>
        <w:spacing w:line="360" w:lineRule="auto"/>
        <w:jc w:val="center"/>
        <w:rPr>
          <w:rFonts w:asciiTheme="minorBidi" w:hAnsiTheme="minorBidi"/>
          <w:sz w:val="24"/>
          <w:szCs w:val="32"/>
        </w:rPr>
      </w:pPr>
    </w:p>
    <w:p w14:paraId="2CC051BA" w14:textId="084FFDF9" w:rsidR="00B52ADA" w:rsidRPr="00B52ADA" w:rsidRDefault="00B52ADA" w:rsidP="00B52ADA">
      <w:pPr>
        <w:widowControl/>
        <w:spacing w:line="360" w:lineRule="auto"/>
        <w:jc w:val="center"/>
        <w:rPr>
          <w:rFonts w:asciiTheme="minorBidi" w:hAnsiTheme="minorBidi"/>
          <w:sz w:val="24"/>
          <w:szCs w:val="32"/>
        </w:rPr>
      </w:pPr>
      <w:r w:rsidRPr="00B52ADA">
        <w:rPr>
          <w:rFonts w:asciiTheme="minorBidi" w:hAnsiTheme="minorBidi"/>
          <w:sz w:val="24"/>
          <w:szCs w:val="32"/>
        </w:rPr>
        <w:t xml:space="preserve">Program: Business Management Portfolio </w:t>
      </w:r>
    </w:p>
    <w:p w14:paraId="7442303B" w14:textId="77777777" w:rsidR="00B52ADA" w:rsidRPr="00B52ADA" w:rsidRDefault="00B52ADA" w:rsidP="00B52ADA">
      <w:pPr>
        <w:widowControl/>
        <w:spacing w:line="360" w:lineRule="auto"/>
        <w:jc w:val="center"/>
        <w:rPr>
          <w:rFonts w:asciiTheme="minorBidi" w:hAnsiTheme="minorBidi"/>
          <w:sz w:val="24"/>
          <w:szCs w:val="32"/>
        </w:rPr>
      </w:pPr>
    </w:p>
    <w:p w14:paraId="1D15282F" w14:textId="77777777" w:rsidR="00B52ADA" w:rsidRPr="00B52ADA" w:rsidRDefault="00B52ADA" w:rsidP="00B52ADA">
      <w:pPr>
        <w:widowControl/>
        <w:spacing w:line="360" w:lineRule="auto"/>
        <w:jc w:val="center"/>
        <w:rPr>
          <w:rFonts w:asciiTheme="minorBidi" w:hAnsiTheme="minorBidi"/>
          <w:sz w:val="24"/>
          <w:szCs w:val="32"/>
        </w:rPr>
      </w:pPr>
      <w:r w:rsidRPr="00B52ADA">
        <w:rPr>
          <w:rFonts w:asciiTheme="minorBidi" w:hAnsiTheme="minorBidi"/>
          <w:sz w:val="24"/>
          <w:szCs w:val="32"/>
        </w:rPr>
        <w:t xml:space="preserve">Lecturer: </w:t>
      </w:r>
      <w:proofErr w:type="spellStart"/>
      <w:r w:rsidRPr="00B52ADA">
        <w:rPr>
          <w:rFonts w:asciiTheme="minorBidi" w:hAnsiTheme="minorBidi"/>
          <w:sz w:val="24"/>
          <w:szCs w:val="32"/>
        </w:rPr>
        <w:t>Jaliya</w:t>
      </w:r>
      <w:proofErr w:type="spellEnd"/>
      <w:r w:rsidRPr="00B52ADA">
        <w:rPr>
          <w:rFonts w:asciiTheme="minorBidi" w:hAnsiTheme="minorBidi"/>
          <w:sz w:val="24"/>
          <w:szCs w:val="32"/>
        </w:rPr>
        <w:t xml:space="preserve"> de Silva </w:t>
      </w:r>
    </w:p>
    <w:p w14:paraId="0858A0C4" w14:textId="77777777" w:rsidR="00B52ADA" w:rsidRPr="00B52ADA" w:rsidRDefault="00B52ADA" w:rsidP="00B52ADA">
      <w:pPr>
        <w:widowControl/>
        <w:spacing w:line="360" w:lineRule="auto"/>
        <w:jc w:val="center"/>
        <w:rPr>
          <w:rFonts w:asciiTheme="minorBidi" w:hAnsiTheme="minorBidi"/>
          <w:sz w:val="24"/>
          <w:szCs w:val="32"/>
        </w:rPr>
      </w:pPr>
    </w:p>
    <w:p w14:paraId="45FE3A46" w14:textId="0C52E5A8" w:rsidR="00B52ADA" w:rsidRPr="00DB32E8" w:rsidRDefault="00B52ADA" w:rsidP="00B52ADA">
      <w:pPr>
        <w:widowControl/>
        <w:spacing w:line="360" w:lineRule="auto"/>
        <w:jc w:val="center"/>
        <w:rPr>
          <w:rFonts w:asciiTheme="minorBidi" w:hAnsiTheme="minorBidi"/>
          <w:sz w:val="24"/>
          <w:szCs w:val="32"/>
        </w:rPr>
      </w:pPr>
      <w:r w:rsidRPr="00DB32E8">
        <w:rPr>
          <w:rFonts w:asciiTheme="minorBidi" w:hAnsiTheme="minorBidi"/>
          <w:sz w:val="24"/>
          <w:szCs w:val="32"/>
        </w:rPr>
        <w:t>Student Name: Yuwei LIU</w:t>
      </w:r>
    </w:p>
    <w:p w14:paraId="5AEE7222" w14:textId="77777777" w:rsidR="00B52ADA" w:rsidRPr="00DB32E8" w:rsidRDefault="00B52ADA" w:rsidP="00B52ADA">
      <w:pPr>
        <w:widowControl/>
        <w:spacing w:line="360" w:lineRule="auto"/>
        <w:jc w:val="center"/>
        <w:rPr>
          <w:rFonts w:asciiTheme="minorBidi" w:hAnsiTheme="minorBidi"/>
          <w:sz w:val="24"/>
          <w:szCs w:val="32"/>
        </w:rPr>
      </w:pPr>
    </w:p>
    <w:p w14:paraId="1BE8C74E" w14:textId="7125530C" w:rsidR="00B52ADA" w:rsidRPr="00DB32E8" w:rsidRDefault="00B52ADA" w:rsidP="00B52ADA">
      <w:pPr>
        <w:widowControl/>
        <w:spacing w:line="360" w:lineRule="auto"/>
        <w:jc w:val="center"/>
        <w:rPr>
          <w:rFonts w:asciiTheme="minorBidi" w:hAnsiTheme="minorBidi"/>
          <w:sz w:val="24"/>
          <w:szCs w:val="32"/>
        </w:rPr>
      </w:pPr>
      <w:r w:rsidRPr="00DB32E8">
        <w:rPr>
          <w:rFonts w:asciiTheme="minorBidi" w:hAnsiTheme="minorBidi"/>
          <w:sz w:val="24"/>
          <w:szCs w:val="32"/>
        </w:rPr>
        <w:t>Student ID Number: 2414567</w:t>
      </w:r>
    </w:p>
    <w:p w14:paraId="79B75376" w14:textId="77777777" w:rsidR="00B52ADA" w:rsidRPr="00DB32E8" w:rsidRDefault="00B52ADA" w:rsidP="00B52ADA">
      <w:pPr>
        <w:widowControl/>
        <w:spacing w:line="360" w:lineRule="auto"/>
        <w:jc w:val="center"/>
        <w:rPr>
          <w:rFonts w:asciiTheme="minorBidi" w:hAnsiTheme="minorBidi"/>
          <w:sz w:val="24"/>
          <w:szCs w:val="32"/>
        </w:rPr>
      </w:pPr>
    </w:p>
    <w:p w14:paraId="5813118C" w14:textId="77777777" w:rsidR="00B52ADA" w:rsidRPr="00DB32E8" w:rsidRDefault="00B52ADA" w:rsidP="00B52ADA">
      <w:pPr>
        <w:widowControl/>
        <w:spacing w:line="360" w:lineRule="auto"/>
        <w:jc w:val="center"/>
        <w:rPr>
          <w:rFonts w:asciiTheme="minorBidi" w:hAnsiTheme="minorBidi"/>
          <w:sz w:val="24"/>
          <w:szCs w:val="32"/>
        </w:rPr>
      </w:pPr>
    </w:p>
    <w:p w14:paraId="23F76902" w14:textId="77777777" w:rsidR="00B52ADA" w:rsidRPr="00DB32E8" w:rsidRDefault="00B52ADA" w:rsidP="00B52ADA">
      <w:pPr>
        <w:widowControl/>
        <w:spacing w:line="360" w:lineRule="auto"/>
        <w:jc w:val="center"/>
        <w:rPr>
          <w:rFonts w:asciiTheme="minorBidi" w:hAnsiTheme="minorBidi"/>
          <w:sz w:val="24"/>
          <w:szCs w:val="32"/>
        </w:rPr>
      </w:pPr>
    </w:p>
    <w:p w14:paraId="1AEA1E2D" w14:textId="77777777" w:rsidR="00B52ADA" w:rsidRPr="00DB32E8" w:rsidRDefault="00B52ADA" w:rsidP="00B52ADA">
      <w:pPr>
        <w:widowControl/>
        <w:spacing w:line="360" w:lineRule="auto"/>
        <w:jc w:val="center"/>
        <w:rPr>
          <w:rFonts w:asciiTheme="minorBidi" w:hAnsiTheme="minorBidi"/>
          <w:sz w:val="24"/>
          <w:szCs w:val="32"/>
        </w:rPr>
      </w:pPr>
    </w:p>
    <w:p w14:paraId="3127DDBF" w14:textId="77777777" w:rsidR="00B52ADA" w:rsidRPr="00DB32E8" w:rsidRDefault="00B52ADA" w:rsidP="00B52ADA">
      <w:pPr>
        <w:widowControl/>
        <w:spacing w:line="360" w:lineRule="auto"/>
        <w:jc w:val="center"/>
        <w:rPr>
          <w:rFonts w:asciiTheme="minorBidi" w:hAnsiTheme="minorBidi"/>
          <w:sz w:val="24"/>
          <w:szCs w:val="32"/>
        </w:rPr>
      </w:pPr>
    </w:p>
    <w:p w14:paraId="08E5B004" w14:textId="77777777" w:rsidR="00B52ADA" w:rsidRPr="00DB32E8" w:rsidRDefault="00B52ADA" w:rsidP="00B52ADA">
      <w:pPr>
        <w:widowControl/>
        <w:spacing w:line="360" w:lineRule="auto"/>
        <w:jc w:val="center"/>
        <w:rPr>
          <w:rFonts w:asciiTheme="minorBidi" w:hAnsiTheme="minorBidi"/>
          <w:sz w:val="24"/>
          <w:szCs w:val="32"/>
        </w:rPr>
      </w:pPr>
    </w:p>
    <w:p w14:paraId="59C3D4AF" w14:textId="338684F4" w:rsidR="00B52ADA" w:rsidRPr="00DB32E8" w:rsidRDefault="00B52ADA">
      <w:pPr>
        <w:widowControl/>
        <w:jc w:val="left"/>
      </w:pPr>
      <w:r w:rsidRPr="00DB32E8">
        <w:br w:type="page"/>
      </w:r>
    </w:p>
    <w:p w14:paraId="2629FAC8" w14:textId="4A0CFA00" w:rsidR="008E6AFF" w:rsidRDefault="00B52ADA" w:rsidP="00FB0FA8">
      <w:pPr>
        <w:pStyle w:val="a8"/>
      </w:pPr>
      <w:bookmarkStart w:id="0" w:name="_Toc214057073"/>
      <w:bookmarkStart w:id="1" w:name="_Toc217044364"/>
      <w:r w:rsidRPr="00B52ADA">
        <w:rPr>
          <w:rFonts w:hint="eastAsia"/>
        </w:rPr>
        <w:lastRenderedPageBreak/>
        <w:t>Execut</w:t>
      </w:r>
      <w:r w:rsidRPr="00B52ADA">
        <w:t>ive</w:t>
      </w:r>
      <w:r w:rsidRPr="00B52ADA">
        <w:rPr>
          <w:rFonts w:hint="eastAsia"/>
        </w:rPr>
        <w:t xml:space="preserve"> Summary</w:t>
      </w:r>
      <w:bookmarkEnd w:id="0"/>
      <w:bookmarkEnd w:id="1"/>
    </w:p>
    <w:p w14:paraId="0311B860" w14:textId="77777777" w:rsidR="00DB32E8" w:rsidRP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Denmark is a small but highly developed export-oriented economy with a particular focus on green technologies, pharmaceuticals, shipping, and precision manufacturing (World Bank, 2024). Danish companies such as Maersk, Novo Nordisk and Vestas embody Denmark's national orientation towards innovation and sustainable development. Denmark’s regulatory environment emphasizes transparency, robust labor protections, and strict data governance under the EU’s General Data Protection Regulation (GDPR); this institutional environment makes formal documentation and compliance central to cross-border projects (European Commission, 2023).</w:t>
      </w:r>
    </w:p>
    <w:p w14:paraId="59DAE150" w14:textId="77777777" w:rsidR="00DB32E8" w:rsidRPr="00DB32E8" w:rsidRDefault="00DB32E8" w:rsidP="00DB32E8">
      <w:pPr>
        <w:spacing w:line="360" w:lineRule="auto"/>
        <w:rPr>
          <w:rFonts w:asciiTheme="minorBidi" w:hAnsiTheme="minorBidi"/>
          <w:color w:val="000000"/>
          <w:sz w:val="24"/>
        </w:rPr>
      </w:pPr>
    </w:p>
    <w:p w14:paraId="702B55DD" w14:textId="3D02A65F"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Bilateral trade remains important: the UK-Denmark Trade and Investment Overview (2025) published by the British government shows that the two countries’ trade in goods and services amounts to billions of pounds, reflecting that despite changes in the economic structure after Brexit, the two countries still maintain close commercial ties. For UK managers, continued strong services exports and investment links to Denmark mean that cultural communication skills have become an economic imperative rather than just a nice-to-have (Business.GOV.UK, 2024).</w:t>
      </w:r>
    </w:p>
    <w:p w14:paraId="4A891948" w14:textId="77777777" w:rsidR="00DB32E8" w:rsidRDefault="00DB32E8" w:rsidP="00DB32E8">
      <w:pPr>
        <w:spacing w:line="360" w:lineRule="auto"/>
        <w:rPr>
          <w:rFonts w:asciiTheme="minorBidi" w:hAnsiTheme="minorBidi"/>
          <w:color w:val="000000"/>
          <w:sz w:val="24"/>
        </w:rPr>
      </w:pPr>
    </w:p>
    <w:p w14:paraId="11E990BE" w14:textId="4989E7A9"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This article critically examines the cross-cultural communication challenges and sensitivities encountered by British companies when doing business with Denmark. The article uses mature cross-cultural frameworks - Hofstede's cultural dimension theory, Hall's high/low context distinction, Eileen Meyer cultural map and GLOBE research results - to analyze specific situations that require communication, points out possible communication failures and their root causes, and proposes evidence-based coping strategies.</w:t>
      </w:r>
    </w:p>
    <w:p w14:paraId="4CE24067" w14:textId="77777777" w:rsidR="00DB32E8" w:rsidRDefault="00DB32E8">
      <w:pPr>
        <w:widowControl/>
        <w:jc w:val="left"/>
        <w:rPr>
          <w:rFonts w:asciiTheme="minorBidi" w:hAnsiTheme="minorBidi"/>
          <w:color w:val="000000"/>
          <w:sz w:val="24"/>
        </w:rPr>
      </w:pPr>
      <w:r>
        <w:rPr>
          <w:rFonts w:asciiTheme="minorBidi" w:hAnsiTheme="minorBidi"/>
          <w:color w:val="000000"/>
          <w:sz w:val="24"/>
        </w:rPr>
        <w:br w:type="page"/>
      </w:r>
    </w:p>
    <w:sdt>
      <w:sdtPr>
        <w:rPr>
          <w:lang w:val="zh-CN"/>
        </w:rPr>
        <w:id w:val="1868627907"/>
        <w:docPartObj>
          <w:docPartGallery w:val="Table of Contents"/>
          <w:docPartUnique/>
        </w:docPartObj>
      </w:sdtPr>
      <w:sdtEndPr>
        <w:rPr>
          <w:rFonts w:asciiTheme="minorHAnsi" w:eastAsiaTheme="minorEastAsia" w:hAnsiTheme="minorHAnsi" w:cstheme="minorBidi"/>
          <w:noProof/>
          <w:color w:val="auto"/>
          <w:kern w:val="2"/>
          <w:sz w:val="21"/>
          <w:szCs w:val="24"/>
          <w:lang w:val="en-US"/>
          <w14:ligatures w14:val="standardContextual"/>
        </w:rPr>
      </w:sdtEndPr>
      <w:sdtContent>
        <w:p w14:paraId="668EBC10" w14:textId="1F162D06" w:rsidR="00DB32E8" w:rsidRPr="00DB32E8" w:rsidRDefault="00DB32E8">
          <w:pPr>
            <w:pStyle w:val="TOC"/>
            <w:rPr>
              <w:rFonts w:hint="eastAsia"/>
            </w:rPr>
          </w:pPr>
          <w:r>
            <w:t>Catalogu</w:t>
          </w:r>
          <w:r>
            <w:rPr>
              <w:rFonts w:hint="eastAsia"/>
            </w:rPr>
            <w:t>e</w:t>
          </w:r>
        </w:p>
        <w:p w14:paraId="3B38097B" w14:textId="06E8ED80" w:rsidR="004C59D2" w:rsidRDefault="00DB32E8">
          <w:pPr>
            <w:pStyle w:val="TOC1"/>
            <w:tabs>
              <w:tab w:val="right" w:leader="dot" w:pos="8296"/>
            </w:tabs>
            <w:rPr>
              <w:rFonts w:eastAsiaTheme="minorEastAsia" w:cstheme="minorBidi"/>
              <w:b w:val="0"/>
              <w:bCs w:val="0"/>
              <w:i w:val="0"/>
              <w:iCs w:val="0"/>
              <w:noProof/>
              <w:sz w:val="21"/>
              <w:szCs w:val="24"/>
            </w:rPr>
          </w:pPr>
          <w:r>
            <w:rPr>
              <w:b w:val="0"/>
              <w:bCs w:val="0"/>
            </w:rPr>
            <w:fldChar w:fldCharType="begin"/>
          </w:r>
          <w:r>
            <w:instrText>TOC \o "1-3" \h \z \u</w:instrText>
          </w:r>
          <w:r>
            <w:rPr>
              <w:b w:val="0"/>
              <w:bCs w:val="0"/>
            </w:rPr>
            <w:fldChar w:fldCharType="separate"/>
          </w:r>
          <w:hyperlink w:anchor="_Toc217044364" w:history="1">
            <w:r w:rsidR="004C59D2" w:rsidRPr="00DD466F">
              <w:rPr>
                <w:rStyle w:val="af1"/>
                <w:noProof/>
              </w:rPr>
              <w:t>Executive Summary</w:t>
            </w:r>
            <w:r w:rsidR="004C59D2">
              <w:rPr>
                <w:noProof/>
                <w:webHidden/>
              </w:rPr>
              <w:tab/>
            </w:r>
            <w:r w:rsidR="004C59D2">
              <w:rPr>
                <w:noProof/>
                <w:webHidden/>
              </w:rPr>
              <w:fldChar w:fldCharType="begin"/>
            </w:r>
            <w:r w:rsidR="004C59D2">
              <w:rPr>
                <w:noProof/>
                <w:webHidden/>
              </w:rPr>
              <w:instrText xml:space="preserve"> PAGEREF _Toc217044364 \h </w:instrText>
            </w:r>
            <w:r w:rsidR="004C59D2">
              <w:rPr>
                <w:noProof/>
                <w:webHidden/>
              </w:rPr>
            </w:r>
            <w:r w:rsidR="004C59D2">
              <w:rPr>
                <w:noProof/>
                <w:webHidden/>
              </w:rPr>
              <w:fldChar w:fldCharType="separate"/>
            </w:r>
            <w:r w:rsidR="004C59D2">
              <w:rPr>
                <w:noProof/>
                <w:webHidden/>
              </w:rPr>
              <w:t>1</w:t>
            </w:r>
            <w:r w:rsidR="004C59D2">
              <w:rPr>
                <w:noProof/>
                <w:webHidden/>
              </w:rPr>
              <w:fldChar w:fldCharType="end"/>
            </w:r>
          </w:hyperlink>
        </w:p>
        <w:p w14:paraId="6FD083DB" w14:textId="7454E2AA" w:rsidR="004C59D2" w:rsidRDefault="004C59D2">
          <w:pPr>
            <w:pStyle w:val="TOC1"/>
            <w:tabs>
              <w:tab w:val="right" w:leader="dot" w:pos="8296"/>
            </w:tabs>
            <w:rPr>
              <w:rFonts w:eastAsiaTheme="minorEastAsia" w:cstheme="minorBidi"/>
              <w:b w:val="0"/>
              <w:bCs w:val="0"/>
              <w:i w:val="0"/>
              <w:iCs w:val="0"/>
              <w:noProof/>
              <w:sz w:val="21"/>
              <w:szCs w:val="24"/>
            </w:rPr>
          </w:pPr>
          <w:hyperlink w:anchor="_Toc217044365" w:history="1">
            <w:r w:rsidRPr="00DD466F">
              <w:rPr>
                <w:rStyle w:val="af1"/>
                <w:noProof/>
              </w:rPr>
              <w:t>Introduction</w:t>
            </w:r>
            <w:r>
              <w:rPr>
                <w:noProof/>
                <w:webHidden/>
              </w:rPr>
              <w:tab/>
            </w:r>
            <w:r>
              <w:rPr>
                <w:noProof/>
                <w:webHidden/>
              </w:rPr>
              <w:fldChar w:fldCharType="begin"/>
            </w:r>
            <w:r>
              <w:rPr>
                <w:noProof/>
                <w:webHidden/>
              </w:rPr>
              <w:instrText xml:space="preserve"> PAGEREF _Toc217044365 \h </w:instrText>
            </w:r>
            <w:r>
              <w:rPr>
                <w:noProof/>
                <w:webHidden/>
              </w:rPr>
            </w:r>
            <w:r>
              <w:rPr>
                <w:noProof/>
                <w:webHidden/>
              </w:rPr>
              <w:fldChar w:fldCharType="separate"/>
            </w:r>
            <w:r>
              <w:rPr>
                <w:noProof/>
                <w:webHidden/>
              </w:rPr>
              <w:t>3</w:t>
            </w:r>
            <w:r>
              <w:rPr>
                <w:noProof/>
                <w:webHidden/>
              </w:rPr>
              <w:fldChar w:fldCharType="end"/>
            </w:r>
          </w:hyperlink>
        </w:p>
        <w:p w14:paraId="2D5F5009" w14:textId="2A67FD8B" w:rsidR="004C59D2" w:rsidRDefault="004C59D2">
          <w:pPr>
            <w:pStyle w:val="TOC1"/>
            <w:tabs>
              <w:tab w:val="right" w:leader="dot" w:pos="8296"/>
            </w:tabs>
            <w:rPr>
              <w:rFonts w:eastAsiaTheme="minorEastAsia" w:cstheme="minorBidi"/>
              <w:b w:val="0"/>
              <w:bCs w:val="0"/>
              <w:i w:val="0"/>
              <w:iCs w:val="0"/>
              <w:noProof/>
              <w:sz w:val="21"/>
              <w:szCs w:val="24"/>
            </w:rPr>
          </w:pPr>
          <w:hyperlink w:anchor="_Toc217044366" w:history="1">
            <w:r w:rsidRPr="00DD466F">
              <w:rPr>
                <w:rStyle w:val="af1"/>
                <w:noProof/>
              </w:rPr>
              <w:t>Theoretical frameworks for intercultural analysis</w:t>
            </w:r>
            <w:r>
              <w:rPr>
                <w:noProof/>
                <w:webHidden/>
              </w:rPr>
              <w:tab/>
            </w:r>
            <w:r>
              <w:rPr>
                <w:noProof/>
                <w:webHidden/>
              </w:rPr>
              <w:fldChar w:fldCharType="begin"/>
            </w:r>
            <w:r>
              <w:rPr>
                <w:noProof/>
                <w:webHidden/>
              </w:rPr>
              <w:instrText xml:space="preserve"> PAGEREF _Toc217044366 \h </w:instrText>
            </w:r>
            <w:r>
              <w:rPr>
                <w:noProof/>
                <w:webHidden/>
              </w:rPr>
            </w:r>
            <w:r>
              <w:rPr>
                <w:noProof/>
                <w:webHidden/>
              </w:rPr>
              <w:fldChar w:fldCharType="separate"/>
            </w:r>
            <w:r>
              <w:rPr>
                <w:noProof/>
                <w:webHidden/>
              </w:rPr>
              <w:t>4</w:t>
            </w:r>
            <w:r>
              <w:rPr>
                <w:noProof/>
                <w:webHidden/>
              </w:rPr>
              <w:fldChar w:fldCharType="end"/>
            </w:r>
          </w:hyperlink>
        </w:p>
        <w:p w14:paraId="3C8E3D44" w14:textId="7B430884" w:rsidR="004C59D2" w:rsidRDefault="004C59D2">
          <w:pPr>
            <w:pStyle w:val="TOC1"/>
            <w:tabs>
              <w:tab w:val="right" w:leader="dot" w:pos="8296"/>
            </w:tabs>
            <w:rPr>
              <w:rFonts w:eastAsiaTheme="minorEastAsia" w:cstheme="minorBidi"/>
              <w:b w:val="0"/>
              <w:bCs w:val="0"/>
              <w:i w:val="0"/>
              <w:iCs w:val="0"/>
              <w:noProof/>
              <w:sz w:val="21"/>
              <w:szCs w:val="24"/>
            </w:rPr>
          </w:pPr>
          <w:hyperlink w:anchor="_Toc217044367" w:history="1">
            <w:r w:rsidRPr="00DD466F">
              <w:rPr>
                <w:rStyle w:val="af1"/>
                <w:noProof/>
              </w:rPr>
              <w:t>Key communication situations where intercultural sensitivity matters</w:t>
            </w:r>
            <w:r>
              <w:rPr>
                <w:noProof/>
                <w:webHidden/>
              </w:rPr>
              <w:tab/>
            </w:r>
            <w:r>
              <w:rPr>
                <w:noProof/>
                <w:webHidden/>
              </w:rPr>
              <w:fldChar w:fldCharType="begin"/>
            </w:r>
            <w:r>
              <w:rPr>
                <w:noProof/>
                <w:webHidden/>
              </w:rPr>
              <w:instrText xml:space="preserve"> PAGEREF _Toc217044367 \h </w:instrText>
            </w:r>
            <w:r>
              <w:rPr>
                <w:noProof/>
                <w:webHidden/>
              </w:rPr>
            </w:r>
            <w:r>
              <w:rPr>
                <w:noProof/>
                <w:webHidden/>
              </w:rPr>
              <w:fldChar w:fldCharType="separate"/>
            </w:r>
            <w:r>
              <w:rPr>
                <w:noProof/>
                <w:webHidden/>
              </w:rPr>
              <w:t>6</w:t>
            </w:r>
            <w:r>
              <w:rPr>
                <w:noProof/>
                <w:webHidden/>
              </w:rPr>
              <w:fldChar w:fldCharType="end"/>
            </w:r>
          </w:hyperlink>
        </w:p>
        <w:p w14:paraId="37D124EF" w14:textId="44D2964C" w:rsidR="004C59D2" w:rsidRDefault="004C59D2">
          <w:pPr>
            <w:pStyle w:val="TOC1"/>
            <w:tabs>
              <w:tab w:val="right" w:leader="dot" w:pos="8296"/>
            </w:tabs>
            <w:rPr>
              <w:rFonts w:eastAsiaTheme="minorEastAsia" w:cstheme="minorBidi"/>
              <w:b w:val="0"/>
              <w:bCs w:val="0"/>
              <w:i w:val="0"/>
              <w:iCs w:val="0"/>
              <w:noProof/>
              <w:sz w:val="21"/>
              <w:szCs w:val="24"/>
            </w:rPr>
          </w:pPr>
          <w:hyperlink w:anchor="_Toc217044368" w:history="1">
            <w:r w:rsidRPr="00DD466F">
              <w:rPr>
                <w:rStyle w:val="af1"/>
                <w:noProof/>
              </w:rPr>
              <w:t>Communication Failure</w:t>
            </w:r>
            <w:r>
              <w:rPr>
                <w:noProof/>
                <w:webHidden/>
              </w:rPr>
              <w:tab/>
            </w:r>
            <w:r>
              <w:rPr>
                <w:noProof/>
                <w:webHidden/>
              </w:rPr>
              <w:fldChar w:fldCharType="begin"/>
            </w:r>
            <w:r>
              <w:rPr>
                <w:noProof/>
                <w:webHidden/>
              </w:rPr>
              <w:instrText xml:space="preserve"> PAGEREF _Toc217044368 \h </w:instrText>
            </w:r>
            <w:r>
              <w:rPr>
                <w:noProof/>
                <w:webHidden/>
              </w:rPr>
            </w:r>
            <w:r>
              <w:rPr>
                <w:noProof/>
                <w:webHidden/>
              </w:rPr>
              <w:fldChar w:fldCharType="separate"/>
            </w:r>
            <w:r>
              <w:rPr>
                <w:noProof/>
                <w:webHidden/>
              </w:rPr>
              <w:t>7</w:t>
            </w:r>
            <w:r>
              <w:rPr>
                <w:noProof/>
                <w:webHidden/>
              </w:rPr>
              <w:fldChar w:fldCharType="end"/>
            </w:r>
          </w:hyperlink>
        </w:p>
        <w:p w14:paraId="6D82A662" w14:textId="0E177E36" w:rsidR="004C59D2" w:rsidRDefault="004C59D2">
          <w:pPr>
            <w:pStyle w:val="TOC1"/>
            <w:tabs>
              <w:tab w:val="right" w:leader="dot" w:pos="8296"/>
            </w:tabs>
            <w:rPr>
              <w:rFonts w:eastAsiaTheme="minorEastAsia" w:cstheme="minorBidi"/>
              <w:b w:val="0"/>
              <w:bCs w:val="0"/>
              <w:i w:val="0"/>
              <w:iCs w:val="0"/>
              <w:noProof/>
              <w:sz w:val="21"/>
              <w:szCs w:val="24"/>
            </w:rPr>
          </w:pPr>
          <w:hyperlink w:anchor="_Toc217044369" w:history="1">
            <w:r w:rsidRPr="00DD466F">
              <w:rPr>
                <w:rStyle w:val="af1"/>
                <w:noProof/>
              </w:rPr>
              <w:t>Critical evaluation of British–Danish cultural contrasts</w:t>
            </w:r>
            <w:r>
              <w:rPr>
                <w:noProof/>
                <w:webHidden/>
              </w:rPr>
              <w:tab/>
            </w:r>
            <w:r>
              <w:rPr>
                <w:noProof/>
                <w:webHidden/>
              </w:rPr>
              <w:fldChar w:fldCharType="begin"/>
            </w:r>
            <w:r>
              <w:rPr>
                <w:noProof/>
                <w:webHidden/>
              </w:rPr>
              <w:instrText xml:space="preserve"> PAGEREF _Toc217044369 \h </w:instrText>
            </w:r>
            <w:r>
              <w:rPr>
                <w:noProof/>
                <w:webHidden/>
              </w:rPr>
            </w:r>
            <w:r>
              <w:rPr>
                <w:noProof/>
                <w:webHidden/>
              </w:rPr>
              <w:fldChar w:fldCharType="separate"/>
            </w:r>
            <w:r>
              <w:rPr>
                <w:noProof/>
                <w:webHidden/>
              </w:rPr>
              <w:t>9</w:t>
            </w:r>
            <w:r>
              <w:rPr>
                <w:noProof/>
                <w:webHidden/>
              </w:rPr>
              <w:fldChar w:fldCharType="end"/>
            </w:r>
          </w:hyperlink>
        </w:p>
        <w:p w14:paraId="4835FB55" w14:textId="49B13EB6" w:rsidR="004C59D2" w:rsidRDefault="004C59D2">
          <w:pPr>
            <w:pStyle w:val="TOC1"/>
            <w:tabs>
              <w:tab w:val="right" w:leader="dot" w:pos="8296"/>
            </w:tabs>
            <w:rPr>
              <w:rFonts w:eastAsiaTheme="minorEastAsia" w:cstheme="minorBidi"/>
              <w:b w:val="0"/>
              <w:bCs w:val="0"/>
              <w:i w:val="0"/>
              <w:iCs w:val="0"/>
              <w:noProof/>
              <w:sz w:val="21"/>
              <w:szCs w:val="24"/>
            </w:rPr>
          </w:pPr>
          <w:hyperlink w:anchor="_Toc217044370" w:history="1">
            <w:r w:rsidRPr="00DD466F">
              <w:rPr>
                <w:rStyle w:val="af1"/>
                <w:noProof/>
              </w:rPr>
              <w:t>Prevent and repair communication fail</w:t>
            </w:r>
            <w:r>
              <w:rPr>
                <w:noProof/>
                <w:webHidden/>
              </w:rPr>
              <w:tab/>
            </w:r>
            <w:r>
              <w:rPr>
                <w:noProof/>
                <w:webHidden/>
              </w:rPr>
              <w:fldChar w:fldCharType="begin"/>
            </w:r>
            <w:r>
              <w:rPr>
                <w:noProof/>
                <w:webHidden/>
              </w:rPr>
              <w:instrText xml:space="preserve"> PAGEREF _Toc217044370 \h </w:instrText>
            </w:r>
            <w:r>
              <w:rPr>
                <w:noProof/>
                <w:webHidden/>
              </w:rPr>
            </w:r>
            <w:r>
              <w:rPr>
                <w:noProof/>
                <w:webHidden/>
              </w:rPr>
              <w:fldChar w:fldCharType="separate"/>
            </w:r>
            <w:r>
              <w:rPr>
                <w:noProof/>
                <w:webHidden/>
              </w:rPr>
              <w:t>11</w:t>
            </w:r>
            <w:r>
              <w:rPr>
                <w:noProof/>
                <w:webHidden/>
              </w:rPr>
              <w:fldChar w:fldCharType="end"/>
            </w:r>
          </w:hyperlink>
        </w:p>
        <w:p w14:paraId="59F7BDED" w14:textId="7EE1DE16" w:rsidR="004C59D2" w:rsidRDefault="004C59D2">
          <w:pPr>
            <w:pStyle w:val="TOC1"/>
            <w:tabs>
              <w:tab w:val="right" w:leader="dot" w:pos="8296"/>
            </w:tabs>
            <w:rPr>
              <w:rFonts w:eastAsiaTheme="minorEastAsia" w:cstheme="minorBidi"/>
              <w:b w:val="0"/>
              <w:bCs w:val="0"/>
              <w:i w:val="0"/>
              <w:iCs w:val="0"/>
              <w:noProof/>
              <w:sz w:val="21"/>
              <w:szCs w:val="24"/>
            </w:rPr>
          </w:pPr>
          <w:hyperlink w:anchor="_Toc217044371" w:history="1">
            <w:r w:rsidRPr="00DD466F">
              <w:rPr>
                <w:rStyle w:val="af1"/>
                <w:noProof/>
              </w:rPr>
              <w:t>Practical application</w:t>
            </w:r>
            <w:r>
              <w:rPr>
                <w:noProof/>
                <w:webHidden/>
              </w:rPr>
              <w:tab/>
            </w:r>
            <w:r>
              <w:rPr>
                <w:noProof/>
                <w:webHidden/>
              </w:rPr>
              <w:fldChar w:fldCharType="begin"/>
            </w:r>
            <w:r>
              <w:rPr>
                <w:noProof/>
                <w:webHidden/>
              </w:rPr>
              <w:instrText xml:space="preserve"> PAGEREF _Toc217044371 \h </w:instrText>
            </w:r>
            <w:r>
              <w:rPr>
                <w:noProof/>
                <w:webHidden/>
              </w:rPr>
            </w:r>
            <w:r>
              <w:rPr>
                <w:noProof/>
                <w:webHidden/>
              </w:rPr>
              <w:fldChar w:fldCharType="separate"/>
            </w:r>
            <w:r>
              <w:rPr>
                <w:noProof/>
                <w:webHidden/>
              </w:rPr>
              <w:t>13</w:t>
            </w:r>
            <w:r>
              <w:rPr>
                <w:noProof/>
                <w:webHidden/>
              </w:rPr>
              <w:fldChar w:fldCharType="end"/>
            </w:r>
          </w:hyperlink>
        </w:p>
        <w:p w14:paraId="103E02F8" w14:textId="5D14610B" w:rsidR="004C59D2" w:rsidRDefault="004C59D2">
          <w:pPr>
            <w:pStyle w:val="TOC1"/>
            <w:tabs>
              <w:tab w:val="right" w:leader="dot" w:pos="8296"/>
            </w:tabs>
            <w:rPr>
              <w:rFonts w:eastAsiaTheme="minorEastAsia" w:cstheme="minorBidi"/>
              <w:b w:val="0"/>
              <w:bCs w:val="0"/>
              <w:i w:val="0"/>
              <w:iCs w:val="0"/>
              <w:noProof/>
              <w:sz w:val="21"/>
              <w:szCs w:val="24"/>
            </w:rPr>
          </w:pPr>
          <w:hyperlink w:anchor="_Toc217044372" w:history="1">
            <w:r w:rsidRPr="00DD466F">
              <w:rPr>
                <w:rStyle w:val="af1"/>
                <w:noProof/>
              </w:rPr>
              <w:t>Limitations and critical reflections</w:t>
            </w:r>
            <w:r>
              <w:rPr>
                <w:noProof/>
                <w:webHidden/>
              </w:rPr>
              <w:tab/>
            </w:r>
            <w:r>
              <w:rPr>
                <w:noProof/>
                <w:webHidden/>
              </w:rPr>
              <w:fldChar w:fldCharType="begin"/>
            </w:r>
            <w:r>
              <w:rPr>
                <w:noProof/>
                <w:webHidden/>
              </w:rPr>
              <w:instrText xml:space="preserve"> PAGEREF _Toc217044372 \h </w:instrText>
            </w:r>
            <w:r>
              <w:rPr>
                <w:noProof/>
                <w:webHidden/>
              </w:rPr>
            </w:r>
            <w:r>
              <w:rPr>
                <w:noProof/>
                <w:webHidden/>
              </w:rPr>
              <w:fldChar w:fldCharType="separate"/>
            </w:r>
            <w:r>
              <w:rPr>
                <w:noProof/>
                <w:webHidden/>
              </w:rPr>
              <w:t>14</w:t>
            </w:r>
            <w:r>
              <w:rPr>
                <w:noProof/>
                <w:webHidden/>
              </w:rPr>
              <w:fldChar w:fldCharType="end"/>
            </w:r>
          </w:hyperlink>
        </w:p>
        <w:p w14:paraId="36049DB7" w14:textId="777DFFBE" w:rsidR="004C59D2" w:rsidRDefault="004C59D2">
          <w:pPr>
            <w:pStyle w:val="TOC1"/>
            <w:tabs>
              <w:tab w:val="right" w:leader="dot" w:pos="8296"/>
            </w:tabs>
            <w:rPr>
              <w:rFonts w:eastAsiaTheme="minorEastAsia" w:cstheme="minorBidi"/>
              <w:b w:val="0"/>
              <w:bCs w:val="0"/>
              <w:i w:val="0"/>
              <w:iCs w:val="0"/>
              <w:noProof/>
              <w:sz w:val="21"/>
              <w:szCs w:val="24"/>
            </w:rPr>
          </w:pPr>
          <w:hyperlink w:anchor="_Toc217044373" w:history="1">
            <w:r w:rsidRPr="00DD466F">
              <w:rPr>
                <w:rStyle w:val="af1"/>
                <w:noProof/>
              </w:rPr>
              <w:t>Conclusion and Recommendations</w:t>
            </w:r>
            <w:r>
              <w:rPr>
                <w:noProof/>
                <w:webHidden/>
              </w:rPr>
              <w:tab/>
            </w:r>
            <w:r>
              <w:rPr>
                <w:noProof/>
                <w:webHidden/>
              </w:rPr>
              <w:fldChar w:fldCharType="begin"/>
            </w:r>
            <w:r>
              <w:rPr>
                <w:noProof/>
                <w:webHidden/>
              </w:rPr>
              <w:instrText xml:space="preserve"> PAGEREF _Toc217044373 \h </w:instrText>
            </w:r>
            <w:r>
              <w:rPr>
                <w:noProof/>
                <w:webHidden/>
              </w:rPr>
            </w:r>
            <w:r>
              <w:rPr>
                <w:noProof/>
                <w:webHidden/>
              </w:rPr>
              <w:fldChar w:fldCharType="separate"/>
            </w:r>
            <w:r>
              <w:rPr>
                <w:noProof/>
                <w:webHidden/>
              </w:rPr>
              <w:t>15</w:t>
            </w:r>
            <w:r>
              <w:rPr>
                <w:noProof/>
                <w:webHidden/>
              </w:rPr>
              <w:fldChar w:fldCharType="end"/>
            </w:r>
          </w:hyperlink>
        </w:p>
        <w:p w14:paraId="6A23431B" w14:textId="2CAF5752" w:rsidR="004C59D2" w:rsidRDefault="004C59D2">
          <w:pPr>
            <w:pStyle w:val="TOC1"/>
            <w:tabs>
              <w:tab w:val="right" w:leader="dot" w:pos="8296"/>
            </w:tabs>
            <w:rPr>
              <w:rFonts w:eastAsiaTheme="minorEastAsia" w:cstheme="minorBidi"/>
              <w:b w:val="0"/>
              <w:bCs w:val="0"/>
              <w:i w:val="0"/>
              <w:iCs w:val="0"/>
              <w:noProof/>
              <w:sz w:val="21"/>
              <w:szCs w:val="24"/>
            </w:rPr>
          </w:pPr>
          <w:hyperlink w:anchor="_Toc217044374" w:history="1">
            <w:r w:rsidRPr="00DD466F">
              <w:rPr>
                <w:rStyle w:val="af1"/>
                <w:noProof/>
              </w:rPr>
              <w:t>Reference</w:t>
            </w:r>
            <w:r>
              <w:rPr>
                <w:noProof/>
                <w:webHidden/>
              </w:rPr>
              <w:tab/>
            </w:r>
            <w:r>
              <w:rPr>
                <w:noProof/>
                <w:webHidden/>
              </w:rPr>
              <w:fldChar w:fldCharType="begin"/>
            </w:r>
            <w:r>
              <w:rPr>
                <w:noProof/>
                <w:webHidden/>
              </w:rPr>
              <w:instrText xml:space="preserve"> PAGEREF _Toc217044374 \h </w:instrText>
            </w:r>
            <w:r>
              <w:rPr>
                <w:noProof/>
                <w:webHidden/>
              </w:rPr>
            </w:r>
            <w:r>
              <w:rPr>
                <w:noProof/>
                <w:webHidden/>
              </w:rPr>
              <w:fldChar w:fldCharType="separate"/>
            </w:r>
            <w:r>
              <w:rPr>
                <w:noProof/>
                <w:webHidden/>
              </w:rPr>
              <w:t>16</w:t>
            </w:r>
            <w:r>
              <w:rPr>
                <w:noProof/>
                <w:webHidden/>
              </w:rPr>
              <w:fldChar w:fldCharType="end"/>
            </w:r>
          </w:hyperlink>
        </w:p>
        <w:p w14:paraId="0CD1A595" w14:textId="65D2438A" w:rsidR="00DB32E8" w:rsidRDefault="00DB32E8">
          <w:r>
            <w:rPr>
              <w:b/>
              <w:bCs/>
              <w:noProof/>
            </w:rPr>
            <w:fldChar w:fldCharType="end"/>
          </w:r>
        </w:p>
      </w:sdtContent>
    </w:sdt>
    <w:p w14:paraId="3EB72195" w14:textId="77777777" w:rsidR="00DB32E8" w:rsidRPr="00DB32E8" w:rsidRDefault="00DB32E8" w:rsidP="00DB32E8"/>
    <w:p w14:paraId="27053FC6" w14:textId="5E1C7C42"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22AE8FC6" w14:textId="139E3D12" w:rsidR="00DB32E8" w:rsidRDefault="00DB32E8" w:rsidP="00DB32E8">
      <w:pPr>
        <w:pStyle w:val="a8"/>
      </w:pPr>
      <w:bookmarkStart w:id="2" w:name="_Toc217044365"/>
      <w:r>
        <w:lastRenderedPageBreak/>
        <w:t>Introduction</w:t>
      </w:r>
      <w:bookmarkEnd w:id="2"/>
    </w:p>
    <w:p w14:paraId="332A9DA4" w14:textId="77777777" w:rsidR="00DB32E8" w:rsidRP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International trade between the UK and Denmark is built on shared European trade links, but subtle differences in culture and communication styles can cause friction, affecting negotiations, project delivery, HR practices and long-term relationships (UK Government, 2025). From a British perspective - where business communications tend to be a blend of formal and tactful politeness - Denmark's unique model of egalitarianism, informal direct communication and consensus decision-making creates both synergies and sensitivities. Understanding cross-cultural theory and country cases can help increase the likelihood of constructive collaboration and reduce transactional and reputational risks (Hofstede, 2010; Meyer, 2014).</w:t>
      </w:r>
    </w:p>
    <w:p w14:paraId="04EE657D" w14:textId="77777777" w:rsidR="00DB32E8" w:rsidRPr="00DB32E8" w:rsidRDefault="00DB32E8" w:rsidP="00DB32E8">
      <w:pPr>
        <w:spacing w:line="360" w:lineRule="auto"/>
        <w:rPr>
          <w:rFonts w:asciiTheme="minorBidi" w:hAnsiTheme="minorBidi"/>
          <w:color w:val="000000"/>
          <w:sz w:val="24"/>
        </w:rPr>
      </w:pPr>
    </w:p>
    <w:p w14:paraId="3FCD3DC4" w14:textId="48B815C5"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The article begins with an overview of the Danish business and institutional environment and compares salient cultural dimensions between the UK and Denmark. The article then identifies typical international business situations that require effective communication, analyzes potential communication failures and their causes, and critically evaluates how these failures affect business relationships. The article concludes with strategic and practical recommendations to help UK businesses adapt to Danish business culture.</w:t>
      </w:r>
    </w:p>
    <w:p w14:paraId="5EF7D271" w14:textId="77777777" w:rsidR="00DB32E8" w:rsidRDefault="00DB32E8" w:rsidP="00DB32E8">
      <w:pPr>
        <w:spacing w:line="360" w:lineRule="auto"/>
        <w:rPr>
          <w:rFonts w:asciiTheme="minorBidi" w:hAnsiTheme="minorBidi"/>
          <w:color w:val="000000"/>
          <w:sz w:val="24"/>
        </w:rPr>
      </w:pPr>
    </w:p>
    <w:p w14:paraId="18F1DC9A" w14:textId="3899989B"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77804D91" w14:textId="7C6B8479" w:rsidR="00DB32E8" w:rsidRPr="00DB32E8" w:rsidRDefault="00DB32E8" w:rsidP="00DB32E8">
      <w:pPr>
        <w:pStyle w:val="a8"/>
      </w:pPr>
      <w:bookmarkStart w:id="3" w:name="_Toc217044366"/>
      <w:r w:rsidRPr="00DB32E8">
        <w:lastRenderedPageBreak/>
        <w:t>Theoretical frameworks for intercultural analysis</w:t>
      </w:r>
      <w:bookmarkEnd w:id="3"/>
    </w:p>
    <w:p w14:paraId="203E4F42" w14:textId="66B008FD" w:rsidR="00DB32E8" w:rsidRPr="00DB32E8" w:rsidRDefault="00DB32E8" w:rsidP="00DB32E8">
      <w:pPr>
        <w:spacing w:line="360" w:lineRule="auto"/>
        <w:rPr>
          <w:rFonts w:asciiTheme="minorBidi" w:hAnsiTheme="minorBidi"/>
          <w:color w:val="000000"/>
          <w:sz w:val="24"/>
        </w:rPr>
      </w:pPr>
      <w:proofErr w:type="gramStart"/>
      <w:r w:rsidRPr="00DB32E8">
        <w:rPr>
          <w:rFonts w:asciiTheme="minorBidi" w:hAnsiTheme="minorBidi"/>
          <w:color w:val="000000"/>
          <w:sz w:val="24"/>
        </w:rPr>
        <w:t>In order to</w:t>
      </w:r>
      <w:proofErr w:type="gramEnd"/>
      <w:r w:rsidRPr="00DB32E8">
        <w:rPr>
          <w:rFonts w:asciiTheme="minorBidi" w:hAnsiTheme="minorBidi"/>
          <w:color w:val="000000"/>
          <w:sz w:val="24"/>
        </w:rPr>
        <w:t xml:space="preserve"> interpret the subtleties of British-Danish interactions, five complementary frameworks are of great reference value: Hofstede's dimensional theory, Hall's contextual theory, Eileen Meyer's cultural map.</w:t>
      </w:r>
    </w:p>
    <w:p w14:paraId="117362CF" w14:textId="77777777" w:rsidR="00DB32E8" w:rsidRPr="00DB32E8" w:rsidRDefault="00DB32E8" w:rsidP="00DB32E8">
      <w:pPr>
        <w:spacing w:line="360" w:lineRule="auto"/>
        <w:rPr>
          <w:rFonts w:asciiTheme="minorBidi" w:hAnsiTheme="minorBidi"/>
          <w:color w:val="000000"/>
          <w:sz w:val="24"/>
        </w:rPr>
      </w:pPr>
    </w:p>
    <w:p w14:paraId="2BC125EF" w14:textId="1995BF6E"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Hofstede's model (power distance, individualism, masculinity</w:t>
      </w:r>
      <w:r>
        <w:rPr>
          <w:rFonts w:asciiTheme="minorBidi" w:hAnsiTheme="minorBidi"/>
          <w:color w:val="000000"/>
          <w:sz w:val="24"/>
        </w:rPr>
        <w:t>,</w:t>
      </w:r>
      <w:r w:rsidRPr="00DB32E8">
        <w:rPr>
          <w:rFonts w:asciiTheme="minorBidi" w:hAnsiTheme="minorBidi"/>
          <w:color w:val="000000"/>
          <w:sz w:val="24"/>
        </w:rPr>
        <w:t xml:space="preserve"> uncertainty avoidance, long-term orientation, indulgence) helps to compare the cultural characteristics of two countries and predict communication preferences (Hofstede, 2010). Denmark scores low on the power distance and masculinity </w:t>
      </w:r>
      <w:r w:rsidRPr="00DB32E8">
        <w:rPr>
          <w:rFonts w:asciiTheme="minorBidi" w:hAnsiTheme="minorBidi"/>
          <w:color w:val="000000"/>
          <w:sz w:val="24"/>
        </w:rPr>
        <w:t>dimensions and</w:t>
      </w:r>
      <w:r w:rsidRPr="00DB32E8">
        <w:rPr>
          <w:rFonts w:asciiTheme="minorBidi" w:hAnsiTheme="minorBidi"/>
          <w:color w:val="000000"/>
          <w:sz w:val="24"/>
        </w:rPr>
        <w:t xml:space="preserve"> is less uncertainty avoidant than many continental European countries</w:t>
      </w:r>
      <w:r>
        <w:rPr>
          <w:rFonts w:asciiTheme="minorBidi" w:hAnsiTheme="minorBidi"/>
          <w:color w:val="000000"/>
          <w:sz w:val="24"/>
        </w:rPr>
        <w:t xml:space="preserve">. </w:t>
      </w:r>
      <w:r w:rsidRPr="00DB32E8">
        <w:rPr>
          <w:rFonts w:asciiTheme="minorBidi" w:hAnsiTheme="minorBidi"/>
          <w:color w:val="000000"/>
          <w:sz w:val="24"/>
        </w:rPr>
        <w:t xml:space="preserve">UK is also at medium to low levels of power </w:t>
      </w:r>
      <w:r w:rsidRPr="00DB32E8">
        <w:rPr>
          <w:rFonts w:asciiTheme="minorBidi" w:hAnsiTheme="minorBidi"/>
          <w:color w:val="000000"/>
          <w:sz w:val="24"/>
        </w:rPr>
        <w:t>distance but</w:t>
      </w:r>
      <w:r w:rsidRPr="00DB32E8">
        <w:rPr>
          <w:rFonts w:asciiTheme="minorBidi" w:hAnsiTheme="minorBidi"/>
          <w:color w:val="000000"/>
          <w:sz w:val="24"/>
        </w:rPr>
        <w:t xml:space="preserve"> is more individualistic and (on some dimensions) more masculine (Hofstede Insights, 2024). These contrasts explain why the Danes tend to have egalitarian, consensus-driven conversations and prioritize quality of life, whereas British corporate culture may be more focused on individual achievement and status differences in some areas.</w:t>
      </w:r>
    </w:p>
    <w:p w14:paraId="6F86E183" w14:textId="501DD815" w:rsidR="00DB32E8" w:rsidRDefault="002E738C" w:rsidP="00DB32E8">
      <w:pPr>
        <w:spacing w:line="360" w:lineRule="auto"/>
        <w:rPr>
          <w:rFonts w:asciiTheme="minorBidi" w:hAnsiTheme="minorBidi"/>
          <w:color w:val="000000"/>
          <w:sz w:val="24"/>
        </w:rPr>
      </w:pPr>
      <w:r>
        <w:rPr>
          <w:rFonts w:asciiTheme="minorBidi" w:hAnsiTheme="minorBidi"/>
          <w:noProof/>
          <w:color w:val="000000"/>
          <w:sz w:val="24"/>
        </w:rPr>
        <w:drawing>
          <wp:inline distT="0" distB="0" distL="0" distR="0" wp14:anchorId="20775643" wp14:editId="47D84D64">
            <wp:extent cx="5274310" cy="3470910"/>
            <wp:effectExtent l="0" t="0" r="0" b="0"/>
            <wp:docPr id="2" name="图片 2"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表, 条形图&#10;&#10;描述已自动生成"/>
                    <pic:cNvPicPr/>
                  </pic:nvPicPr>
                  <pic:blipFill>
                    <a:blip r:embed="rId7">
                      <a:extLst>
                        <a:ext uri="{28A0092B-C50C-407E-A947-70E740481C1C}">
                          <a14:useLocalDpi xmlns:a14="http://schemas.microsoft.com/office/drawing/2010/main" val="0"/>
                        </a:ext>
                      </a:extLst>
                    </a:blip>
                    <a:stretch>
                      <a:fillRect/>
                    </a:stretch>
                  </pic:blipFill>
                  <pic:spPr>
                    <a:xfrm>
                      <a:off x="0" y="0"/>
                      <a:ext cx="5274310" cy="3470910"/>
                    </a:xfrm>
                    <a:prstGeom prst="rect">
                      <a:avLst/>
                    </a:prstGeom>
                  </pic:spPr>
                </pic:pic>
              </a:graphicData>
            </a:graphic>
          </wp:inline>
        </w:drawing>
      </w:r>
    </w:p>
    <w:p w14:paraId="69FF2D9F" w14:textId="4F57A70F" w:rsidR="002E738C" w:rsidRDefault="002E738C" w:rsidP="00DB32E8">
      <w:pPr>
        <w:spacing w:line="360" w:lineRule="auto"/>
        <w:rPr>
          <w:rFonts w:asciiTheme="minorBidi" w:hAnsiTheme="minorBidi"/>
          <w:color w:val="000000"/>
          <w:sz w:val="24"/>
        </w:rPr>
      </w:pPr>
      <w:r>
        <w:rPr>
          <w:rFonts w:asciiTheme="minorBidi" w:hAnsiTheme="minorBidi"/>
          <w:color w:val="000000"/>
          <w:sz w:val="24"/>
        </w:rPr>
        <w:t>(The Culture Factor,2025)</w:t>
      </w:r>
    </w:p>
    <w:p w14:paraId="3413F1AA" w14:textId="77777777" w:rsidR="00DB32E8" w:rsidRDefault="00DB32E8" w:rsidP="00DB32E8">
      <w:pPr>
        <w:spacing w:line="360" w:lineRule="auto"/>
        <w:rPr>
          <w:rFonts w:asciiTheme="minorBidi" w:hAnsiTheme="minorBidi"/>
          <w:color w:val="000000"/>
          <w:sz w:val="24"/>
        </w:rPr>
      </w:pPr>
    </w:p>
    <w:p w14:paraId="16C79F14" w14:textId="77777777" w:rsidR="00DB32E8" w:rsidRP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Hall distinguished between low-context (explicit, direct) culture and high-context (implicit, relationship-oriented) culture (Hall, 1976). Denmark is a low-context culture – communication emphasizes clarity – which is </w:t>
      </w:r>
      <w:proofErr w:type="gramStart"/>
      <w:r w:rsidRPr="00DB32E8">
        <w:rPr>
          <w:rFonts w:asciiTheme="minorBidi" w:hAnsiTheme="minorBidi"/>
          <w:color w:val="000000"/>
          <w:sz w:val="24"/>
        </w:rPr>
        <w:t>similar to</w:t>
      </w:r>
      <w:proofErr w:type="gramEnd"/>
      <w:r w:rsidRPr="00DB32E8">
        <w:rPr>
          <w:rFonts w:asciiTheme="minorBidi" w:hAnsiTheme="minorBidi"/>
          <w:color w:val="000000"/>
          <w:sz w:val="24"/>
        </w:rPr>
        <w:t xml:space="preserve"> the way business communicates in many industries in the UK. However, the Danish habituation to informal communication styles and preference for consensus may lead to different expectations of tone and level of directness: directness does not mean confrontation, and silence has a different meaning than in the UK (Hall &amp; Hall, 1990).</w:t>
      </w:r>
    </w:p>
    <w:p w14:paraId="032E7260" w14:textId="77777777" w:rsidR="00DB32E8" w:rsidRPr="00DB32E8" w:rsidRDefault="00DB32E8" w:rsidP="00DB32E8">
      <w:pPr>
        <w:spacing w:line="360" w:lineRule="auto"/>
        <w:rPr>
          <w:rFonts w:asciiTheme="minorBidi" w:hAnsiTheme="minorBidi"/>
          <w:color w:val="000000"/>
          <w:sz w:val="24"/>
        </w:rPr>
      </w:pPr>
    </w:p>
    <w:p w14:paraId="2872E2DC" w14:textId="27E67184"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Erin Meyer’s actionable dimensions—communication, evaluation (feedback), leadership, decision-making, trust, dissent, scheduling—are particularly useful for managers (Meyer, 2014). In Meyer's words, Denmark generally favors open communication and consultative decision-making, while the UK combines directness with a greater tolerance for hierarchical decision-making dynamics in certain industries. Mapping these dimensions can help pinpoint friction points that may arise in meetings and negotiations.</w:t>
      </w:r>
    </w:p>
    <w:p w14:paraId="1141F631" w14:textId="2A8E7D82"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3771B78C" w14:textId="5E522DA4" w:rsidR="00DB32E8" w:rsidRDefault="00DB32E8" w:rsidP="00DB32E8">
      <w:pPr>
        <w:pStyle w:val="a8"/>
        <w:jc w:val="center"/>
      </w:pPr>
      <w:bookmarkStart w:id="4" w:name="_Toc217044367"/>
      <w:r w:rsidRPr="00DB32E8">
        <w:lastRenderedPageBreak/>
        <w:t>Key communication situations where intercultural sensitivity matters</w:t>
      </w:r>
      <w:bookmarkEnd w:id="4"/>
    </w:p>
    <w:p w14:paraId="51B5CD07" w14:textId="300CEB3A" w:rsidR="00DB32E8" w:rsidRP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UK companies doing business with Danish partners often encounter critical business situations where poor communication can lead to serious misunderstandings and financial risks. These scenarios include contract negotiations and commercial due diligence, where clarity of legal terms and guarantees is critical. In addition, compliance requirements are essential, as are </w:t>
      </w:r>
      <w:r w:rsidRPr="00DB32E8">
        <w:rPr>
          <w:rFonts w:asciiTheme="minorBidi" w:hAnsiTheme="minorBidi"/>
          <w:color w:val="000000"/>
          <w:sz w:val="24"/>
        </w:rPr>
        <w:t>bored</w:t>
      </w:r>
      <w:r w:rsidRPr="00DB32E8">
        <w:rPr>
          <w:rFonts w:asciiTheme="minorBidi" w:hAnsiTheme="minorBidi"/>
          <w:color w:val="000000"/>
          <w:sz w:val="24"/>
        </w:rPr>
        <w:t xml:space="preserve"> and senior management discussions, as leadership style and decision-making authority can greatly influence the </w:t>
      </w:r>
      <w:r w:rsidRPr="00DB32E8">
        <w:rPr>
          <w:rFonts w:asciiTheme="minorBidi" w:hAnsiTheme="minorBidi"/>
          <w:color w:val="000000"/>
          <w:sz w:val="24"/>
        </w:rPr>
        <w:t>outcome</w:t>
      </w:r>
      <w:r w:rsidRPr="00DB32E8">
        <w:rPr>
          <w:rFonts w:asciiTheme="minorBidi" w:hAnsiTheme="minorBidi"/>
          <w:color w:val="000000"/>
          <w:sz w:val="24"/>
        </w:rPr>
        <w:t xml:space="preserve">. </w:t>
      </w:r>
    </w:p>
    <w:p w14:paraId="46877689" w14:textId="77777777" w:rsidR="00DB32E8" w:rsidRPr="00DB32E8" w:rsidRDefault="00DB32E8" w:rsidP="00DB32E8">
      <w:pPr>
        <w:spacing w:line="360" w:lineRule="auto"/>
        <w:rPr>
          <w:rFonts w:asciiTheme="minorBidi" w:hAnsiTheme="minorBidi"/>
          <w:color w:val="000000"/>
          <w:sz w:val="24"/>
        </w:rPr>
      </w:pPr>
    </w:p>
    <w:p w14:paraId="55DB3C50" w14:textId="77777777" w:rsidR="00DB32E8" w:rsidRP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There are also other challenges around HR interactions, such as recruitment, performance reviews and disciplinary processes, as different cultural expectations, such as perceptions of feedback and fairness, can impact employee relations. Communication is also crucial in sales, marketing and customer interactions, especially when it comes to product claims, sustainability messaging and public relations, as Danish stakeholders place a high value on transparency and ethics. Collaborative R&amp;D projects also bring additional complexities, requiring open knowledge sharing, clear intellectual property arrangements and ongoing feedback mechanisms.</w:t>
      </w:r>
    </w:p>
    <w:p w14:paraId="56A59B08" w14:textId="77777777" w:rsidR="00DB32E8" w:rsidRPr="00DB32E8" w:rsidRDefault="00DB32E8" w:rsidP="00DB32E8">
      <w:pPr>
        <w:spacing w:line="360" w:lineRule="auto"/>
        <w:rPr>
          <w:rFonts w:asciiTheme="minorBidi" w:hAnsiTheme="minorBidi"/>
          <w:color w:val="000000"/>
          <w:sz w:val="24"/>
        </w:rPr>
      </w:pPr>
    </w:p>
    <w:p w14:paraId="783E7E33" w14:textId="364BEBFE"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In all these scenarios, British companies will have to adapt their communications to align with Danish business values. Danish businesses generally expect open dialogue, equal participation and a strong commitment to sustainability and corporate responsibility. Therefore, developing a communication strategy based on these expectations is crucial to building trust, maintaining an effective partnership, and achieving long-term success in UK-Denmark business relationships (Business</w:t>
      </w:r>
      <w:r>
        <w:rPr>
          <w:rFonts w:asciiTheme="minorBidi" w:hAnsiTheme="minorBidi"/>
          <w:color w:val="000000"/>
          <w:sz w:val="24"/>
        </w:rPr>
        <w:t xml:space="preserve"> </w:t>
      </w:r>
      <w:r w:rsidRPr="00DB32E8">
        <w:rPr>
          <w:rFonts w:asciiTheme="minorBidi" w:hAnsiTheme="minorBidi"/>
          <w:color w:val="000000"/>
          <w:sz w:val="24"/>
        </w:rPr>
        <w:t>Europe, 2024; Invest in Denmark, 2024).</w:t>
      </w:r>
    </w:p>
    <w:p w14:paraId="19A930EA" w14:textId="77777777"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3A3FA28E" w14:textId="017B56C7" w:rsidR="00DB32E8" w:rsidRPr="00DB32E8" w:rsidRDefault="00DB32E8" w:rsidP="00DB32E8">
      <w:pPr>
        <w:pStyle w:val="a8"/>
        <w:jc w:val="center"/>
      </w:pPr>
      <w:bookmarkStart w:id="5" w:name="_Toc217044368"/>
      <w:r w:rsidRPr="00DB32E8">
        <w:lastRenderedPageBreak/>
        <w:t>Communication Failure</w:t>
      </w:r>
      <w:bookmarkEnd w:id="5"/>
    </w:p>
    <w:p w14:paraId="2DF0F43F" w14:textId="0DEDE0A0"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Communication barriers in British-Danish business interactions are often caused by multiple interrelated ways. Differences in communication styles may result in British euphemisms being viewed as vague or evasive by Danish partners, while Danish direct expressions may be interpreted as stiff or overly literal by British counterparts. There can also be differences in expectations around hierarchy, with the respect shown by Brits sometimes being misinterpreted as a lack of involvement by Danish colleagues who value equal participation and openness to contribution. Additionally, differences in decision-making styles and time management approaches may also create tensions, as the Danes' tendency toward consensus may be viewed by British companies as slow or indecisive. Language issues, such as poor translation or misuse of technical terms, can also further exacerbate communication barriers. Finally, insufficient attention is paid to sustainability and social governance (core elements of Danish corporate identity), which, if not handled properly, can damage trust and reputation, and thus undermine long-term business relationships (OECD, 2023).</w:t>
      </w:r>
    </w:p>
    <w:p w14:paraId="7373DFBF" w14:textId="77777777" w:rsidR="00DB32E8" w:rsidRDefault="00DB32E8" w:rsidP="00DB32E8">
      <w:pPr>
        <w:spacing w:line="360" w:lineRule="auto"/>
        <w:rPr>
          <w:rFonts w:asciiTheme="minorBidi" w:hAnsiTheme="minorBidi"/>
          <w:color w:val="000000"/>
          <w:sz w:val="24"/>
        </w:rPr>
      </w:pPr>
    </w:p>
    <w:p w14:paraId="38E3D354" w14:textId="72D29E7C"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Mismatches in cultural values, communication styles, and institutional differences are the root causes of these communication failures. For example, British managers, who are accustomed to being polite but often reserved, may use euphemisms to downplay negative information, while Danes, who value clarity and directness, may interpret this as a lack of commitment or ambiguity (Meyer, 2014). Conversely, British businesses that emphasize status markers (titles, seniority) may inadvertently offend Danish partners who expect informal interactions and </w:t>
      </w:r>
      <w:r w:rsidRPr="00DB32E8">
        <w:rPr>
          <w:rFonts w:asciiTheme="minorBidi" w:hAnsiTheme="minorBidi"/>
          <w:color w:val="000000"/>
          <w:sz w:val="24"/>
        </w:rPr>
        <w:t>first name</w:t>
      </w:r>
      <w:r w:rsidRPr="00DB32E8">
        <w:rPr>
          <w:rFonts w:asciiTheme="minorBidi" w:hAnsiTheme="minorBidi"/>
          <w:color w:val="000000"/>
          <w:sz w:val="24"/>
        </w:rPr>
        <w:t xml:space="preserve"> addressing (Hofstede Insights, 2024).</w:t>
      </w:r>
    </w:p>
    <w:p w14:paraId="7DFF4920" w14:textId="77777777" w:rsidR="00DB32E8" w:rsidRDefault="00DB32E8" w:rsidP="00DB32E8">
      <w:pPr>
        <w:spacing w:line="360" w:lineRule="auto"/>
        <w:rPr>
          <w:rFonts w:asciiTheme="minorBidi" w:hAnsiTheme="minorBidi"/>
          <w:color w:val="000000"/>
          <w:sz w:val="24"/>
        </w:rPr>
      </w:pPr>
    </w:p>
    <w:p w14:paraId="29A3E6C3" w14:textId="3EB2E4C5"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Institutional differences—labor law protections, environmental regulations, and governance expectations—also influence communication needs. Danish </w:t>
      </w:r>
      <w:r w:rsidRPr="00DB32E8">
        <w:rPr>
          <w:rFonts w:asciiTheme="minorBidi" w:hAnsiTheme="minorBidi"/>
          <w:color w:val="000000"/>
          <w:sz w:val="24"/>
        </w:rPr>
        <w:lastRenderedPageBreak/>
        <w:t>partners may require companies to provide more evidence of ESG compliance and long-term sustainability than their UK counterparts initially anticipated, creating friction if not proactively addressed (European Commission, 2023; World Bank, 2024).</w:t>
      </w:r>
    </w:p>
    <w:p w14:paraId="296A30BA" w14:textId="77777777" w:rsidR="00DB32E8" w:rsidRDefault="00DB32E8" w:rsidP="00DB32E8">
      <w:pPr>
        <w:spacing w:line="360" w:lineRule="auto"/>
        <w:rPr>
          <w:rFonts w:asciiTheme="minorBidi" w:hAnsiTheme="minorBidi"/>
          <w:color w:val="000000"/>
          <w:sz w:val="24"/>
        </w:rPr>
      </w:pPr>
    </w:p>
    <w:p w14:paraId="3B0E56C5" w14:textId="6C10DBD0"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The direct consequence of poor communication is delays: negotiations stall, project milestones are delayed, and transaction costs rise. Long-term effects include reduced trust, reputational damage within the Nordic cluster network, and potential loss of strategic opportunities – especially in areas where Danish network effects are strong (e.g. renewable energy). Furthermore, repeated communication missteps can promote stereotypes and reduce openness to collaboration (</w:t>
      </w:r>
      <w:proofErr w:type="spellStart"/>
      <w:r w:rsidRPr="00DB32E8">
        <w:rPr>
          <w:rFonts w:asciiTheme="minorBidi" w:hAnsiTheme="minorBidi"/>
          <w:color w:val="000000"/>
          <w:sz w:val="24"/>
        </w:rPr>
        <w:t>Deresky</w:t>
      </w:r>
      <w:proofErr w:type="spellEnd"/>
      <w:r w:rsidRPr="00DB32E8">
        <w:rPr>
          <w:rFonts w:asciiTheme="minorBidi" w:hAnsiTheme="minorBidi"/>
          <w:color w:val="000000"/>
          <w:sz w:val="24"/>
        </w:rPr>
        <w:t>, 2020).</w:t>
      </w:r>
    </w:p>
    <w:p w14:paraId="5DCD9899" w14:textId="77777777"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7C413165" w14:textId="159BB6B5" w:rsidR="00DB32E8" w:rsidRPr="00DB32E8" w:rsidRDefault="00DB32E8" w:rsidP="00DB32E8">
      <w:pPr>
        <w:pStyle w:val="a8"/>
        <w:jc w:val="center"/>
      </w:pPr>
      <w:bookmarkStart w:id="6" w:name="_Toc217044369"/>
      <w:r w:rsidRPr="00DB32E8">
        <w:lastRenderedPageBreak/>
        <w:t>Critical evaluation of British–Danish cultural contrasts</w:t>
      </w:r>
      <w:bookmarkEnd w:id="6"/>
    </w:p>
    <w:p w14:paraId="28379E03" w14:textId="61A8BA48"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Both countries score relatively low on the power distance dimension, but there are differences in practice. Denmark's day-to-day egalitarianism is often reflected in flat management structures and an open and critical leadership style. Power distance is also relatively low in the UK, although formal power deference may still be retained in certain industries, such as financial services and legal industries (Hofstede Insights, 2024). UK businesses must therefore avoid hierarchical meeting formats; </w:t>
      </w:r>
      <w:proofErr w:type="gramStart"/>
      <w:r w:rsidRPr="00DB32E8">
        <w:rPr>
          <w:rFonts w:asciiTheme="minorBidi" w:hAnsiTheme="minorBidi"/>
          <w:color w:val="000000"/>
          <w:sz w:val="24"/>
        </w:rPr>
        <w:t>instead</w:t>
      </w:r>
      <w:proofErr w:type="gramEnd"/>
      <w:r w:rsidRPr="00DB32E8">
        <w:rPr>
          <w:rFonts w:asciiTheme="minorBidi" w:hAnsiTheme="minorBidi"/>
          <w:color w:val="000000"/>
          <w:sz w:val="24"/>
        </w:rPr>
        <w:t xml:space="preserve"> they should design participatory agendas and invite participation from all levels.</w:t>
      </w:r>
    </w:p>
    <w:p w14:paraId="7380D1D4" w14:textId="77777777" w:rsidR="00DB32E8" w:rsidRDefault="00DB32E8" w:rsidP="00DB32E8">
      <w:pPr>
        <w:spacing w:line="360" w:lineRule="auto"/>
        <w:rPr>
          <w:rFonts w:asciiTheme="minorBidi" w:hAnsiTheme="minorBidi"/>
          <w:color w:val="000000"/>
          <w:sz w:val="24"/>
        </w:rPr>
      </w:pPr>
    </w:p>
    <w:p w14:paraId="7C4B2C56" w14:textId="0F5E0AE3"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Danes are pragmatic in their directness, not confrontational. In Meyer's theoretical framework, Danes are candid and calm; British professionals may use subtlety or humor when criticizing. People often misinterpret British humor as avoidance and Danish directness as rudeness; managers should distinguish between tone and intent (Meyer, 2014; Hall, 1976).</w:t>
      </w:r>
    </w:p>
    <w:p w14:paraId="5EADC2AB" w14:textId="77777777" w:rsidR="00DB32E8" w:rsidRDefault="00DB32E8" w:rsidP="00DB32E8">
      <w:pPr>
        <w:spacing w:line="360" w:lineRule="auto"/>
        <w:rPr>
          <w:rFonts w:asciiTheme="minorBidi" w:hAnsiTheme="minorBidi"/>
          <w:color w:val="000000"/>
          <w:sz w:val="24"/>
        </w:rPr>
      </w:pPr>
    </w:p>
    <w:p w14:paraId="0ECE07BE" w14:textId="5E3435BB"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According to Hofstede's cultural dimensions theory, both countries are individualistic countries</w:t>
      </w:r>
      <w:r>
        <w:rPr>
          <w:rFonts w:asciiTheme="minorBidi" w:hAnsiTheme="minorBidi"/>
          <w:color w:val="000000"/>
          <w:sz w:val="24"/>
        </w:rPr>
        <w:t xml:space="preserve"> </w:t>
      </w:r>
      <w:r w:rsidRPr="00DB32E8">
        <w:rPr>
          <w:rFonts w:asciiTheme="minorBidi" w:hAnsiTheme="minorBidi"/>
          <w:color w:val="000000"/>
          <w:sz w:val="24"/>
        </w:rPr>
        <w:t>emphasize that Denmark is more inclined to institutionalized collectivism (valuing social welfare and group harmony), which affects corporate expectations for employee participation and stakeholder negotiation (GLOBE project, 2020; OECD, 2023). UK businesses must therefore prioritize stakeholder engagement and collective impact when proposing change.</w:t>
      </w:r>
    </w:p>
    <w:p w14:paraId="18728FA3" w14:textId="77777777" w:rsidR="00DB32E8" w:rsidRDefault="00DB32E8" w:rsidP="00DB32E8">
      <w:pPr>
        <w:spacing w:line="360" w:lineRule="auto"/>
        <w:rPr>
          <w:rFonts w:asciiTheme="minorBidi" w:hAnsiTheme="minorBidi"/>
          <w:color w:val="000000"/>
          <w:sz w:val="24"/>
        </w:rPr>
      </w:pPr>
    </w:p>
    <w:p w14:paraId="7322655D" w14:textId="51C3AA3C"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Danes generally have a high tolerance for ambiguity and a preference for practicality and work-life balance; they value punctuality but are less concerned with status (Trompenaars &amp; Hampden-</w:t>
      </w:r>
      <w:proofErr w:type="spellStart"/>
      <w:r w:rsidRPr="00DB32E8">
        <w:rPr>
          <w:rFonts w:asciiTheme="minorBidi" w:hAnsiTheme="minorBidi"/>
          <w:color w:val="000000"/>
          <w:sz w:val="24"/>
        </w:rPr>
        <w:t>Turne</w:t>
      </w:r>
      <w:proofErr w:type="spellEnd"/>
      <w:r w:rsidRPr="00DB32E8">
        <w:rPr>
          <w:rFonts w:asciiTheme="minorBidi" w:hAnsiTheme="minorBidi"/>
          <w:color w:val="000000"/>
          <w:sz w:val="24"/>
        </w:rPr>
        <w:t xml:space="preserve"> R, 2012). UK businesses with rigid command-and-control scheduling may find that the Danish approach is more </w:t>
      </w:r>
      <w:r w:rsidRPr="00DB32E8">
        <w:rPr>
          <w:rFonts w:asciiTheme="minorBidi" w:hAnsiTheme="minorBidi"/>
          <w:color w:val="000000"/>
          <w:sz w:val="24"/>
        </w:rPr>
        <w:lastRenderedPageBreak/>
        <w:t>iterative and consultative; flexibility and early involvement of key stakeholders facilitate smoother collaboration.</w:t>
      </w:r>
    </w:p>
    <w:p w14:paraId="305F8E83" w14:textId="5CEB0F41"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40B51E62" w14:textId="6C05D629" w:rsidR="00DB32E8" w:rsidRPr="00DB32E8" w:rsidRDefault="00DB32E8" w:rsidP="00DB32E8">
      <w:pPr>
        <w:pStyle w:val="a8"/>
        <w:jc w:val="center"/>
      </w:pPr>
      <w:bookmarkStart w:id="7" w:name="_Toc217044370"/>
      <w:r>
        <w:lastRenderedPageBreak/>
        <w:t>P</w:t>
      </w:r>
      <w:r w:rsidRPr="00DB32E8">
        <w:t xml:space="preserve">revent and </w:t>
      </w:r>
      <w:r>
        <w:t>r</w:t>
      </w:r>
      <w:r w:rsidRPr="00DB32E8">
        <w:t>epair communicat</w:t>
      </w:r>
      <w:r>
        <w:t xml:space="preserve">ion </w:t>
      </w:r>
      <w:proofErr w:type="gramStart"/>
      <w:r>
        <w:t>fail</w:t>
      </w:r>
      <w:bookmarkEnd w:id="7"/>
      <w:proofErr w:type="gramEnd"/>
    </w:p>
    <w:p w14:paraId="72676CDE" w14:textId="5D3AAA1D"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UK institutions working with Danish partners should implement a multi-layered communication strategy that integrates upfront preparation, structured processes and ongoing cultural learning. Before formal negotiations, be sure to use frameworks such as Hofstede's cultural dimensions and combine them with local market information to conduct a targeted cultural assessment. The assessment should clarify how decisions are made, clarify regulatory requirements (including the General Data Protection Regulation and labor regulations), and highlight environmental, social and governance (ESG) expectations, all of which have a significant impact on business practices in Denmark (Hofstede Insights, 2024).</w:t>
      </w:r>
    </w:p>
    <w:p w14:paraId="56D932BA" w14:textId="77777777" w:rsidR="00DB32E8" w:rsidRDefault="00DB32E8" w:rsidP="00DB32E8">
      <w:pPr>
        <w:spacing w:line="360" w:lineRule="auto"/>
        <w:rPr>
          <w:rFonts w:asciiTheme="minorBidi" w:hAnsiTheme="minorBidi"/>
          <w:color w:val="000000"/>
          <w:sz w:val="24"/>
        </w:rPr>
      </w:pPr>
    </w:p>
    <w:p w14:paraId="5DB31A99" w14:textId="19C01219"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In practice, meetings should be well organized, clearly timed, and guided by a detailed agenda, reflecting the Danish preference for efficiency and directness, while also encouraging broad participation and collective decision-making. Distributing materials in advance can help facilitate informed discussion and consensus building. Communication should be clear and precise, using plain and understandable English, and avoiding the use of idioms or humor that may cause misunderstanding. Written follow-up documentation, such as meeting minutes and summaries, is crucial to ensure transparency and consensus, as Danish businesses place a high value on documentation and accountability (Hall, 1976; Invest Denmark, 2024). Furthermore, sustainability considerations should also be </w:t>
      </w:r>
      <w:r w:rsidRPr="00DB32E8">
        <w:rPr>
          <w:rFonts w:asciiTheme="minorBidi" w:hAnsiTheme="minorBidi"/>
          <w:color w:val="000000"/>
          <w:sz w:val="24"/>
        </w:rPr>
        <w:t>considered</w:t>
      </w:r>
      <w:r w:rsidRPr="00DB32E8">
        <w:rPr>
          <w:rFonts w:asciiTheme="minorBidi" w:hAnsiTheme="minorBidi"/>
          <w:color w:val="000000"/>
          <w:sz w:val="24"/>
        </w:rPr>
        <w:t xml:space="preserve"> at an early stage of the proposal, as Danish business culture places a strong emphasis on ethical behavior and long-term environmental responsibility (OECD, 2023).</w:t>
      </w:r>
    </w:p>
    <w:p w14:paraId="1DFB7F3E" w14:textId="77777777" w:rsidR="00DB32E8" w:rsidRDefault="00DB32E8" w:rsidP="00DB32E8">
      <w:pPr>
        <w:spacing w:line="360" w:lineRule="auto"/>
        <w:rPr>
          <w:rFonts w:asciiTheme="minorBidi" w:hAnsiTheme="minorBidi"/>
          <w:color w:val="000000"/>
          <w:sz w:val="24"/>
        </w:rPr>
      </w:pPr>
    </w:p>
    <w:p w14:paraId="319844E7" w14:textId="0FFED671"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In addition to the procedural measures mentioned above, UK businesses should also invest in improving the cultural intelligence of employees involved in the Danish collaboration. Practical training that includes role-playing, </w:t>
      </w:r>
      <w:r w:rsidRPr="00DB32E8">
        <w:rPr>
          <w:rFonts w:asciiTheme="minorBidi" w:hAnsiTheme="minorBidi"/>
          <w:color w:val="000000"/>
          <w:sz w:val="24"/>
        </w:rPr>
        <w:lastRenderedPageBreak/>
        <w:t>common business scenarios and negotiation skills, as well as an understanding of the Danish legal and human resources framework, can significantly improve communication effectiveness (</w:t>
      </w:r>
      <w:proofErr w:type="spellStart"/>
      <w:r w:rsidRPr="00DB32E8">
        <w:rPr>
          <w:rFonts w:asciiTheme="minorBidi" w:hAnsiTheme="minorBidi"/>
          <w:color w:val="000000"/>
          <w:sz w:val="24"/>
        </w:rPr>
        <w:t>Earley</w:t>
      </w:r>
      <w:proofErr w:type="spellEnd"/>
      <w:r w:rsidRPr="00DB32E8">
        <w:rPr>
          <w:rFonts w:asciiTheme="minorBidi" w:hAnsiTheme="minorBidi"/>
          <w:color w:val="000000"/>
          <w:sz w:val="24"/>
        </w:rPr>
        <w:t xml:space="preserve"> and Ang, 2003; Schneider and </w:t>
      </w:r>
      <w:proofErr w:type="spellStart"/>
      <w:r w:rsidRPr="00DB32E8">
        <w:rPr>
          <w:rFonts w:asciiTheme="minorBidi" w:hAnsiTheme="minorBidi"/>
          <w:color w:val="000000"/>
          <w:sz w:val="24"/>
        </w:rPr>
        <w:t>Barsoux</w:t>
      </w:r>
      <w:proofErr w:type="spellEnd"/>
      <w:r w:rsidRPr="00DB32E8">
        <w:rPr>
          <w:rFonts w:asciiTheme="minorBidi" w:hAnsiTheme="minorBidi"/>
          <w:color w:val="000000"/>
          <w:sz w:val="24"/>
        </w:rPr>
        <w:t>, 2019). For complex legal or technical issues, hiring Danish legal counsel and using bilingual contracts can reduce misunderstandings, while local intermediaries can help decipher underlying cultural expectations (</w:t>
      </w:r>
      <w:proofErr w:type="spellStart"/>
      <w:r w:rsidRPr="00DB32E8">
        <w:rPr>
          <w:rFonts w:asciiTheme="minorBidi" w:hAnsiTheme="minorBidi"/>
          <w:color w:val="000000"/>
          <w:sz w:val="24"/>
        </w:rPr>
        <w:t>BusinessEurope</w:t>
      </w:r>
      <w:proofErr w:type="spellEnd"/>
      <w:r w:rsidRPr="00DB32E8">
        <w:rPr>
          <w:rFonts w:asciiTheme="minorBidi" w:hAnsiTheme="minorBidi"/>
          <w:color w:val="000000"/>
          <w:sz w:val="24"/>
        </w:rPr>
        <w:t>, 2024). Finally, feedback should be given in a direct, concise and constructive manner, and businesses should aim to build long-term relationships through ongoing interaction and joint action, as trust and consistency are key to successful collaboration in the Nordic business environment (Meyer, 2014; GLOBE Project, 2020).</w:t>
      </w:r>
    </w:p>
    <w:p w14:paraId="3A69312B" w14:textId="70901C94"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63A5516D" w14:textId="00CD3E5C" w:rsidR="00DB32E8" w:rsidRPr="00DB32E8" w:rsidRDefault="00DB32E8" w:rsidP="00DB32E8">
      <w:pPr>
        <w:pStyle w:val="a8"/>
        <w:jc w:val="center"/>
      </w:pPr>
      <w:bookmarkStart w:id="8" w:name="_Toc217044371"/>
      <w:r w:rsidRPr="00DB32E8">
        <w:lastRenderedPageBreak/>
        <w:t>Practical application</w:t>
      </w:r>
      <w:bookmarkEnd w:id="8"/>
    </w:p>
    <w:p w14:paraId="02C400EF" w14:textId="42AD3397"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UK companies seeking to partner with Danish start-ups must prioritize demonstrating strong sustainability credentials and credible life cycle assessments when negotiating joint ventures in the renewable energy sector. Danish companies attach great importance to environmental responsibility and ethical governance and expect inclusive management structures to reflect their egalitarian business culture. Transparent profit-sharing mechanisms and effective consultation with employees are also key elements in building trust. If British companies fail to demonstrate strong ESG (environmental, social and governance) commitments or adopt a hierarchical governance model, negotiations are likely to reach a deadlock or even break down. To reduce these risks, the following measures can be taken: providing independent sustainability audit reports; establishing joint decision-making committees with equal representation; and providing a clear and well-established governance framework to support openness and accountability (Invest Denmark, 2024).</w:t>
      </w:r>
    </w:p>
    <w:p w14:paraId="7F638B80" w14:textId="77777777" w:rsidR="00DB32E8" w:rsidRDefault="00DB32E8" w:rsidP="00DB32E8">
      <w:pPr>
        <w:spacing w:line="360" w:lineRule="auto"/>
        <w:rPr>
          <w:rFonts w:asciiTheme="minorBidi" w:hAnsiTheme="minorBidi"/>
          <w:color w:val="000000"/>
          <w:sz w:val="24"/>
        </w:rPr>
      </w:pPr>
    </w:p>
    <w:p w14:paraId="71182ABA" w14:textId="7FD2AFE6"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Likewise, in cross-border product launches and marketing campaigns, cultural differences can impact business success. Marketing strategies that rely on British </w:t>
      </w:r>
      <w:proofErr w:type="spellStart"/>
      <w:r w:rsidRPr="00DB32E8">
        <w:rPr>
          <w:rFonts w:asciiTheme="minorBidi" w:hAnsiTheme="minorBidi"/>
          <w:color w:val="000000"/>
          <w:sz w:val="24"/>
        </w:rPr>
        <w:t>humour</w:t>
      </w:r>
      <w:proofErr w:type="spellEnd"/>
      <w:r w:rsidRPr="00DB32E8">
        <w:rPr>
          <w:rFonts w:asciiTheme="minorBidi" w:hAnsiTheme="minorBidi"/>
          <w:color w:val="000000"/>
          <w:sz w:val="24"/>
        </w:rPr>
        <w:t>, status or status-oriented marketing strategies may struggle to resonate with Danish consumers, who are more oriented towards ideas of humility, authenticity and sustainability. Without adjustments, such marketing campaigns may risk poor market acceptance or negative media coverage. To address this challenge, UK businesses should invest in local consumer research, work with Danish creative agencies and adapt messaging to align with Danish values ​​of equality, social responsibility and environmental protection. This culturally focused strategy can enhance brand credibility and increase the likelihood of successful entry into the Danish market.</w:t>
      </w:r>
    </w:p>
    <w:p w14:paraId="4239F008" w14:textId="43BA2F8F"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58BF53D2" w14:textId="28F52421" w:rsidR="00DB32E8" w:rsidRDefault="00DB32E8" w:rsidP="00DB32E8">
      <w:pPr>
        <w:pStyle w:val="a8"/>
        <w:jc w:val="center"/>
      </w:pPr>
      <w:bookmarkStart w:id="9" w:name="_Toc217044372"/>
      <w:r w:rsidRPr="00DB32E8">
        <w:lastRenderedPageBreak/>
        <w:t>Limitations and critical reflections</w:t>
      </w:r>
      <w:bookmarkEnd w:id="9"/>
    </w:p>
    <w:p w14:paraId="1BDB3454" w14:textId="5371E194"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The cross-cultural framework is an analytical tool, not a deterministic predictor. Hofstede and GLOBE provide average national tendencies, and there is a risk of stereotypes; differences within countries (industry subculture, generational replacement) are crucial (Hofstede Insights, 2024; Meyer, 2014). UK managers must therefore combine a general cultural map with organization-specific intelligence. In addition, the changing geopolitical environment (post-Brexit trade adjustments) will alter institutional incentives and require continuous updates of market intelligence (UK Government, 2025). Finally, ethical sensitivity is crucial: trying to “manipulate” cultural norms for personal gain is extremely dangerous; mutual respect and reciprocity should guide adaptation strategies (Crane et al., 2019).</w:t>
      </w:r>
    </w:p>
    <w:p w14:paraId="727C8CA2" w14:textId="2F2C21C8"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4B18C41B" w14:textId="0AC71DA7" w:rsidR="00DB32E8" w:rsidRPr="00DB32E8" w:rsidRDefault="00DB32E8" w:rsidP="00DB32E8">
      <w:pPr>
        <w:pStyle w:val="a8"/>
      </w:pPr>
      <w:bookmarkStart w:id="10" w:name="_Toc217044373"/>
      <w:r w:rsidRPr="00DB32E8">
        <w:lastRenderedPageBreak/>
        <w:t>Conclusion</w:t>
      </w:r>
      <w:r>
        <w:t xml:space="preserve"> and Recommendations</w:t>
      </w:r>
      <w:bookmarkEnd w:id="10"/>
    </w:p>
    <w:p w14:paraId="74B1A5E6" w14:textId="17E67244"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From a British manager's perspective, Denmark exhibits understandable yet distinctive communication expectations: egalitarianism, pragmatic directness, consensus orientation, and a strong focus on sustainability. These qualities create both opportunities for collaboration (shared low power distance and directness) and potential friction (different interpretations of directness, and higher expectations for stakeholder consultation and ESG). Cross-cultural theories</w:t>
      </w:r>
      <w:r>
        <w:rPr>
          <w:rFonts w:asciiTheme="minorBidi" w:hAnsiTheme="minorBidi"/>
          <w:color w:val="000000"/>
          <w:sz w:val="24"/>
        </w:rPr>
        <w:t xml:space="preserve"> </w:t>
      </w:r>
      <w:r w:rsidRPr="00DB32E8">
        <w:rPr>
          <w:rFonts w:asciiTheme="minorBidi" w:hAnsiTheme="minorBidi"/>
          <w:color w:val="000000"/>
          <w:sz w:val="24"/>
        </w:rPr>
        <w:t>offer complementary perspectives to predict and manage these dynamics.</w:t>
      </w:r>
    </w:p>
    <w:p w14:paraId="4EBD30B5" w14:textId="77777777" w:rsidR="00DB32E8" w:rsidRDefault="00DB32E8" w:rsidP="00DB32E8">
      <w:pPr>
        <w:spacing w:line="360" w:lineRule="auto"/>
        <w:rPr>
          <w:rFonts w:asciiTheme="minorBidi" w:hAnsiTheme="minorBidi"/>
          <w:color w:val="000000"/>
          <w:sz w:val="24"/>
        </w:rPr>
      </w:pPr>
    </w:p>
    <w:p w14:paraId="3699BDE4" w14:textId="322DE880"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Before </w:t>
      </w:r>
      <w:r w:rsidRPr="00DB32E8">
        <w:rPr>
          <w:rFonts w:asciiTheme="minorBidi" w:hAnsiTheme="minorBidi"/>
          <w:color w:val="000000"/>
          <w:sz w:val="24"/>
        </w:rPr>
        <w:t>entering</w:t>
      </w:r>
      <w:r w:rsidRPr="00DB32E8">
        <w:rPr>
          <w:rFonts w:asciiTheme="minorBidi" w:hAnsiTheme="minorBidi"/>
          <w:color w:val="000000"/>
          <w:sz w:val="24"/>
        </w:rPr>
        <w:t xml:space="preserve"> a business relationship with a Danish partner, UK businesses should conduct comprehensive cultural due diligence to anticipate differences in communication, leadership and decision-making</w:t>
      </w:r>
      <w:r>
        <w:rPr>
          <w:rFonts w:asciiTheme="minorBidi" w:hAnsiTheme="minorBidi"/>
          <w:color w:val="000000"/>
          <w:sz w:val="24"/>
        </w:rPr>
        <w:t xml:space="preserve">. </w:t>
      </w:r>
      <w:r w:rsidRPr="00DB32E8">
        <w:rPr>
          <w:rFonts w:asciiTheme="minorBidi" w:hAnsiTheme="minorBidi"/>
          <w:color w:val="000000"/>
          <w:sz w:val="24"/>
        </w:rPr>
        <w:t>Meetings should be well planned with a clear agenda while remaining inclusive and participatory, and key documents should be shared in advance to ensure transparency and consensus. Communication should be in plain and understandable English, with bilingual documentation where appropriate, and reinforced with written confirmation to minimize misunderstandings.</w:t>
      </w:r>
    </w:p>
    <w:p w14:paraId="2E71F2E3" w14:textId="77777777" w:rsidR="00DB32E8" w:rsidRDefault="00DB32E8" w:rsidP="00DB32E8">
      <w:pPr>
        <w:spacing w:line="360" w:lineRule="auto"/>
        <w:rPr>
          <w:rFonts w:asciiTheme="minorBidi" w:hAnsiTheme="minorBidi"/>
          <w:color w:val="000000"/>
          <w:sz w:val="24"/>
        </w:rPr>
      </w:pPr>
    </w:p>
    <w:p w14:paraId="07A821E9" w14:textId="484481B2" w:rsidR="00DB32E8" w:rsidRDefault="00DB32E8" w:rsidP="00DB32E8">
      <w:pPr>
        <w:spacing w:line="360" w:lineRule="auto"/>
        <w:rPr>
          <w:rFonts w:asciiTheme="minorBidi" w:hAnsiTheme="minorBidi"/>
          <w:color w:val="000000"/>
          <w:sz w:val="24"/>
        </w:rPr>
      </w:pPr>
      <w:r w:rsidRPr="00DB32E8">
        <w:rPr>
          <w:rFonts w:asciiTheme="minorBidi" w:hAnsiTheme="minorBidi"/>
          <w:color w:val="000000"/>
          <w:sz w:val="24"/>
        </w:rPr>
        <w:t xml:space="preserve">Furthermore, British businesses should clearly demonstrate their strong commitment to sustainability and good governance as early as possible, as these values ​​are at the heart of Danish business culture. Investing in cultural intelligence training and working with local intermediaries can further facilitate effective communication, especially in complex or high-stakes negotiations. In the long term, businesses should focus on building relationship capital through consistent </w:t>
      </w:r>
      <w:proofErr w:type="spellStart"/>
      <w:r w:rsidRPr="00DB32E8">
        <w:rPr>
          <w:rFonts w:asciiTheme="minorBidi" w:hAnsiTheme="minorBidi"/>
          <w:color w:val="000000"/>
          <w:sz w:val="24"/>
        </w:rPr>
        <w:t>behaviour</w:t>
      </w:r>
      <w:proofErr w:type="spellEnd"/>
      <w:r w:rsidRPr="00DB32E8">
        <w:rPr>
          <w:rFonts w:asciiTheme="minorBidi" w:hAnsiTheme="minorBidi"/>
          <w:color w:val="000000"/>
          <w:sz w:val="24"/>
        </w:rPr>
        <w:t>, ethical business practices and collaborative initiatives, as trust and reliability are key cornerstones of successful partnerships in Denmark.</w:t>
      </w:r>
    </w:p>
    <w:p w14:paraId="073057D1" w14:textId="77777777" w:rsidR="00DB32E8" w:rsidRDefault="00DB32E8">
      <w:pPr>
        <w:widowControl/>
        <w:jc w:val="left"/>
        <w:rPr>
          <w:rFonts w:asciiTheme="minorBidi" w:hAnsiTheme="minorBidi"/>
          <w:color w:val="000000"/>
          <w:sz w:val="24"/>
        </w:rPr>
      </w:pPr>
      <w:r>
        <w:rPr>
          <w:rFonts w:asciiTheme="minorBidi" w:hAnsiTheme="minorBidi"/>
          <w:color w:val="000000"/>
          <w:sz w:val="24"/>
        </w:rPr>
        <w:br w:type="page"/>
      </w:r>
    </w:p>
    <w:p w14:paraId="65F377B7" w14:textId="0EE7E98F" w:rsidR="00DB32E8" w:rsidRDefault="00DB32E8" w:rsidP="00DB32E8">
      <w:pPr>
        <w:pStyle w:val="a8"/>
      </w:pPr>
      <w:bookmarkStart w:id="11" w:name="_Toc217044374"/>
      <w:r w:rsidRPr="00DB32E8">
        <w:lastRenderedPageBreak/>
        <w:t>Reference</w:t>
      </w:r>
      <w:bookmarkEnd w:id="11"/>
    </w:p>
    <w:p w14:paraId="36CCD8BE"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Business</w:t>
      </w:r>
      <w:r>
        <w:rPr>
          <w:rFonts w:asciiTheme="minorBidi" w:eastAsia="宋体" w:hAnsiTheme="minorBidi"/>
          <w:kern w:val="0"/>
          <w:sz w:val="24"/>
          <w14:ligatures w14:val="none"/>
        </w:rPr>
        <w:t xml:space="preserve"> </w:t>
      </w:r>
      <w:r w:rsidRPr="00DB32E8">
        <w:rPr>
          <w:rFonts w:asciiTheme="minorBidi" w:eastAsia="宋体" w:hAnsiTheme="minorBidi"/>
          <w:kern w:val="0"/>
          <w:sz w:val="24"/>
          <w14:ligatures w14:val="none"/>
        </w:rPr>
        <w:t>Europe (2024) </w:t>
      </w:r>
      <w:r w:rsidRPr="00DB32E8">
        <w:rPr>
          <w:rFonts w:asciiTheme="minorBidi" w:eastAsia="宋体" w:hAnsiTheme="minorBidi"/>
          <w:i/>
          <w:iCs/>
          <w:kern w:val="0"/>
          <w:sz w:val="24"/>
          <w14:ligatures w14:val="none"/>
        </w:rPr>
        <w:t>Equality and flat structures in Danish workplaces</w:t>
      </w:r>
      <w:r w:rsidRPr="00DB32E8">
        <w:rPr>
          <w:rFonts w:asciiTheme="minorBidi" w:eastAsia="宋体" w:hAnsiTheme="minorBidi"/>
          <w:kern w:val="0"/>
          <w:sz w:val="24"/>
          <w14:ligatures w14:val="none"/>
        </w:rPr>
        <w:t>. Available at: </w:t>
      </w:r>
      <w:hyperlink r:id="rId8" w:tgtFrame="_new" w:history="1">
        <w:r w:rsidRPr="00DB32E8">
          <w:rPr>
            <w:rFonts w:asciiTheme="minorBidi" w:eastAsia="宋体" w:hAnsiTheme="minorBidi"/>
            <w:color w:val="0000FF"/>
            <w:kern w:val="0"/>
            <w:sz w:val="24"/>
            <w:u w:val="single"/>
            <w14:ligatures w14:val="none"/>
          </w:rPr>
          <w:t>https://www.businesseurope.uk</w:t>
        </w:r>
      </w:hyperlink>
    </w:p>
    <w:p w14:paraId="6BA3C1DE"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Business</w:t>
      </w:r>
      <w:r>
        <w:rPr>
          <w:rFonts w:asciiTheme="minorBidi" w:eastAsia="宋体" w:hAnsiTheme="minorBidi"/>
          <w:kern w:val="0"/>
          <w:sz w:val="24"/>
          <w14:ligatures w14:val="none"/>
        </w:rPr>
        <w:t xml:space="preserve"> </w:t>
      </w:r>
      <w:r w:rsidRPr="00DB32E8">
        <w:rPr>
          <w:rFonts w:asciiTheme="minorBidi" w:eastAsia="宋体" w:hAnsiTheme="minorBidi"/>
          <w:kern w:val="0"/>
          <w:sz w:val="24"/>
          <w14:ligatures w14:val="none"/>
        </w:rPr>
        <w:t>Europe (2024) </w:t>
      </w:r>
      <w:r w:rsidRPr="00DB32E8">
        <w:rPr>
          <w:rFonts w:asciiTheme="minorBidi" w:eastAsia="宋体" w:hAnsiTheme="minorBidi"/>
          <w:i/>
          <w:iCs/>
          <w:kern w:val="0"/>
          <w:sz w:val="24"/>
          <w14:ligatures w14:val="none"/>
        </w:rPr>
        <w:t>Practical guide to Nordic corporate culture</w:t>
      </w:r>
      <w:r w:rsidRPr="00DB32E8">
        <w:rPr>
          <w:rFonts w:asciiTheme="minorBidi" w:eastAsia="宋体" w:hAnsiTheme="minorBidi"/>
          <w:kern w:val="0"/>
          <w:sz w:val="24"/>
          <w14:ligatures w14:val="none"/>
        </w:rPr>
        <w:t>. Available at: </w:t>
      </w:r>
      <w:hyperlink r:id="rId9" w:tgtFrame="_new" w:history="1">
        <w:r w:rsidRPr="00DB32E8">
          <w:rPr>
            <w:rFonts w:asciiTheme="minorBidi" w:eastAsia="宋体" w:hAnsiTheme="minorBidi"/>
            <w:color w:val="0000FF"/>
            <w:kern w:val="0"/>
            <w:sz w:val="24"/>
            <w:u w:val="single"/>
            <w14:ligatures w14:val="none"/>
          </w:rPr>
          <w:t>https://www.businesseurope.eu</w:t>
        </w:r>
      </w:hyperlink>
    </w:p>
    <w:p w14:paraId="0451617B"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Business</w:t>
      </w:r>
      <w:r>
        <w:rPr>
          <w:rFonts w:asciiTheme="minorBidi" w:hAnsiTheme="minorBidi" w:cstheme="minorBidi"/>
        </w:rPr>
        <w:t xml:space="preserve"> </w:t>
      </w:r>
      <w:r w:rsidRPr="00DB32E8">
        <w:rPr>
          <w:rFonts w:asciiTheme="minorBidi" w:hAnsiTheme="minorBidi" w:cstheme="minorBidi"/>
        </w:rPr>
        <w:t>Europe (2024) </w:t>
      </w:r>
      <w:r w:rsidRPr="00DB32E8">
        <w:rPr>
          <w:rFonts w:asciiTheme="minorBidi" w:hAnsiTheme="minorBidi" w:cstheme="minorBidi"/>
          <w:i/>
          <w:iCs/>
        </w:rPr>
        <w:t>Understanding business culture in Denmark</w:t>
      </w:r>
      <w:r w:rsidRPr="00DB32E8">
        <w:rPr>
          <w:rFonts w:asciiTheme="minorBidi" w:hAnsiTheme="minorBidi" w:cstheme="minorBidi"/>
        </w:rPr>
        <w:t>. Available at: </w:t>
      </w:r>
      <w:hyperlink r:id="rId10" w:tgtFrame="_new" w:history="1">
        <w:r w:rsidRPr="00DB32E8">
          <w:rPr>
            <w:rFonts w:asciiTheme="minorBidi" w:hAnsiTheme="minorBidi" w:cstheme="minorBidi"/>
          </w:rPr>
          <w:t>https://www.businesseurope.uk/denmark/business-culture-in-denmark/</w:t>
        </w:r>
      </w:hyperlink>
    </w:p>
    <w:p w14:paraId="41155AAA"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Business.GOV.UK (2024) </w:t>
      </w:r>
      <w:r w:rsidRPr="00DB32E8">
        <w:rPr>
          <w:rStyle w:val="a7"/>
          <w:rFonts w:asciiTheme="minorBidi" w:hAnsiTheme="minorBidi" w:cstheme="minorBidi"/>
        </w:rPr>
        <w:t>Exporting from the UK to Denmark: A market guide</w:t>
      </w:r>
      <w:r w:rsidRPr="00DB32E8">
        <w:rPr>
          <w:rFonts w:asciiTheme="minorBidi" w:hAnsiTheme="minorBidi" w:cstheme="minorBidi"/>
        </w:rPr>
        <w:t>. Available at: </w:t>
      </w:r>
      <w:hyperlink r:id="rId11" w:tgtFrame="_new" w:history="1">
        <w:r w:rsidRPr="00DB32E8">
          <w:rPr>
            <w:rStyle w:val="af1"/>
            <w:rFonts w:asciiTheme="minorBidi" w:hAnsiTheme="minorBidi" w:cstheme="minorBidi"/>
          </w:rPr>
          <w:t>https://www.business.gov.uk/export-from-uk/markets/denmark/</w:t>
        </w:r>
      </w:hyperlink>
    </w:p>
    <w:p w14:paraId="6B440153"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Crane, A., Matten, D. and Spence, L. (2019) </w:t>
      </w:r>
      <w:r w:rsidRPr="00DB32E8">
        <w:rPr>
          <w:rFonts w:asciiTheme="minorBidi" w:hAnsiTheme="minorBidi" w:cstheme="minorBidi"/>
          <w:i/>
          <w:iCs/>
        </w:rPr>
        <w:t xml:space="preserve">Business Ethics: Managing corporate citizenship and sustainability in the age of </w:t>
      </w:r>
      <w:proofErr w:type="spellStart"/>
      <w:r w:rsidRPr="00DB32E8">
        <w:rPr>
          <w:rFonts w:asciiTheme="minorBidi" w:hAnsiTheme="minorBidi" w:cstheme="minorBidi"/>
          <w:i/>
          <w:iCs/>
        </w:rPr>
        <w:t>globalizatio</w:t>
      </w:r>
      <w:proofErr w:type="spellEnd"/>
      <w:r w:rsidRPr="00DB32E8">
        <w:rPr>
          <w:rFonts w:asciiTheme="minorBidi" w:hAnsiTheme="minorBidi" w:cstheme="minorBidi"/>
          <w:i/>
          <w:iCs/>
        </w:rPr>
        <w:t xml:space="preserve"> n</w:t>
      </w:r>
      <w:r w:rsidRPr="00DB32E8">
        <w:rPr>
          <w:rFonts w:asciiTheme="minorBidi" w:hAnsiTheme="minorBidi" w:cstheme="minorBidi"/>
        </w:rPr>
        <w:t xml:space="preserve">. 5th </w:t>
      </w:r>
      <w:proofErr w:type="spellStart"/>
      <w:r w:rsidRPr="00DB32E8">
        <w:rPr>
          <w:rFonts w:asciiTheme="minorBidi" w:hAnsiTheme="minorBidi" w:cstheme="minorBidi"/>
        </w:rPr>
        <w:t>edn</w:t>
      </w:r>
      <w:proofErr w:type="spellEnd"/>
      <w:r w:rsidRPr="00DB32E8">
        <w:rPr>
          <w:rFonts w:asciiTheme="minorBidi" w:hAnsiTheme="minorBidi" w:cstheme="minorBidi"/>
        </w:rPr>
        <w:t>. Oxford: Oxford University Press.</w:t>
      </w:r>
    </w:p>
    <w:p w14:paraId="2AF3B7A1" w14:textId="77777777" w:rsidR="00DB32E8" w:rsidRPr="00DB32E8" w:rsidRDefault="00DB32E8" w:rsidP="00DB32E8">
      <w:pPr>
        <w:pStyle w:val="a5"/>
        <w:spacing w:line="480" w:lineRule="auto"/>
        <w:ind w:left="480" w:hangingChars="200" w:hanging="480"/>
        <w:rPr>
          <w:rFonts w:asciiTheme="minorBidi" w:hAnsiTheme="minorBidi" w:cstheme="minorBidi"/>
        </w:rPr>
      </w:pPr>
      <w:proofErr w:type="spellStart"/>
      <w:r w:rsidRPr="00DB32E8">
        <w:rPr>
          <w:rFonts w:asciiTheme="minorBidi" w:hAnsiTheme="minorBidi" w:cstheme="minorBidi"/>
        </w:rPr>
        <w:t>Deresky</w:t>
      </w:r>
      <w:proofErr w:type="spellEnd"/>
      <w:r w:rsidRPr="00DB32E8">
        <w:rPr>
          <w:rFonts w:asciiTheme="minorBidi" w:hAnsiTheme="minorBidi" w:cstheme="minorBidi"/>
        </w:rPr>
        <w:t>, H. (2020) </w:t>
      </w:r>
      <w:r w:rsidRPr="00DB32E8">
        <w:rPr>
          <w:rFonts w:asciiTheme="minorBidi" w:hAnsiTheme="minorBidi" w:cstheme="minorBidi"/>
          <w:i/>
          <w:iCs/>
        </w:rPr>
        <w:t>International Management: Managing across borders and cultures</w:t>
      </w:r>
      <w:r w:rsidRPr="00DB32E8">
        <w:rPr>
          <w:rFonts w:asciiTheme="minorBidi" w:hAnsiTheme="minorBidi" w:cstheme="minorBidi"/>
        </w:rPr>
        <w:t xml:space="preserve">. 9th </w:t>
      </w:r>
      <w:proofErr w:type="spellStart"/>
      <w:r w:rsidRPr="00DB32E8">
        <w:rPr>
          <w:rFonts w:asciiTheme="minorBidi" w:hAnsiTheme="minorBidi" w:cstheme="minorBidi"/>
        </w:rPr>
        <w:t>edn</w:t>
      </w:r>
      <w:proofErr w:type="spellEnd"/>
      <w:r w:rsidRPr="00DB32E8">
        <w:rPr>
          <w:rFonts w:asciiTheme="minorBidi" w:hAnsiTheme="minorBidi" w:cstheme="minorBidi"/>
        </w:rPr>
        <w:t>. Harlow: Pearson.</w:t>
      </w:r>
    </w:p>
    <w:p w14:paraId="62D8534F" w14:textId="77777777" w:rsidR="00DB32E8" w:rsidRPr="00DB32E8" w:rsidRDefault="00DB32E8" w:rsidP="00DB32E8">
      <w:pPr>
        <w:pStyle w:val="a5"/>
        <w:spacing w:line="480" w:lineRule="auto"/>
        <w:ind w:left="480" w:hangingChars="200" w:hanging="480"/>
        <w:rPr>
          <w:rFonts w:asciiTheme="minorBidi" w:hAnsiTheme="minorBidi" w:cstheme="minorBidi"/>
        </w:rPr>
      </w:pPr>
      <w:proofErr w:type="spellStart"/>
      <w:r w:rsidRPr="00DB32E8">
        <w:rPr>
          <w:rFonts w:asciiTheme="minorBidi" w:hAnsiTheme="minorBidi" w:cstheme="minorBidi"/>
        </w:rPr>
        <w:t>Earley</w:t>
      </w:r>
      <w:proofErr w:type="spellEnd"/>
      <w:r w:rsidRPr="00DB32E8">
        <w:rPr>
          <w:rFonts w:asciiTheme="minorBidi" w:hAnsiTheme="minorBidi" w:cstheme="minorBidi"/>
        </w:rPr>
        <w:t>, P.C. and Ang, S. (2003) </w:t>
      </w:r>
      <w:r w:rsidRPr="00DB32E8">
        <w:rPr>
          <w:rFonts w:asciiTheme="minorBidi" w:hAnsiTheme="minorBidi" w:cstheme="minorBidi"/>
          <w:i/>
          <w:iCs/>
        </w:rPr>
        <w:t>Cultural Intelligence: Individual interactions across cultures</w:t>
      </w:r>
      <w:r w:rsidRPr="00DB32E8">
        <w:rPr>
          <w:rFonts w:asciiTheme="minorBidi" w:hAnsiTheme="minorBidi" w:cstheme="minorBidi"/>
        </w:rPr>
        <w:t>. Stanford, CA: Stanford University Press.</w:t>
      </w:r>
    </w:p>
    <w:p w14:paraId="2000E3E7"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lastRenderedPageBreak/>
        <w:t>GLOBE Project (2020) </w:t>
      </w:r>
      <w:r w:rsidRPr="00DB32E8">
        <w:rPr>
          <w:rStyle w:val="a7"/>
          <w:rFonts w:asciiTheme="minorBidi" w:hAnsiTheme="minorBidi" w:cstheme="minorBidi"/>
        </w:rPr>
        <w:t>GLOBE results: Nordic Europe cluster</w:t>
      </w:r>
      <w:r w:rsidRPr="00DB32E8">
        <w:rPr>
          <w:rFonts w:asciiTheme="minorBidi" w:hAnsiTheme="minorBidi" w:cstheme="minorBidi"/>
        </w:rPr>
        <w:t>. Available at: https://globeproject.com/results/clusters/nordic-europe</w:t>
      </w:r>
    </w:p>
    <w:p w14:paraId="5D33E577" w14:textId="77777777" w:rsid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Hall, E.T. and Hall, M.R. (1990) </w:t>
      </w:r>
      <w:r w:rsidRPr="00DB32E8">
        <w:rPr>
          <w:rFonts w:asciiTheme="minorBidi" w:eastAsia="宋体" w:hAnsiTheme="minorBidi"/>
          <w:i/>
          <w:iCs/>
          <w:kern w:val="0"/>
          <w:sz w:val="24"/>
          <w14:ligatures w14:val="none"/>
        </w:rPr>
        <w:t>Understanding cultural differences: Germans, French and Americans</w:t>
      </w:r>
      <w:r w:rsidRPr="00DB32E8">
        <w:rPr>
          <w:rFonts w:asciiTheme="minorBidi" w:eastAsia="宋体" w:hAnsiTheme="minorBidi"/>
          <w:kern w:val="0"/>
          <w:sz w:val="24"/>
          <w14:ligatures w14:val="none"/>
        </w:rPr>
        <w:t>. Yarmouth: Intercultural Press.</w:t>
      </w:r>
    </w:p>
    <w:p w14:paraId="2AF6EA30"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Hall, E.T. and Hall, M.R. (1990) </w:t>
      </w:r>
      <w:r w:rsidRPr="00DB32E8">
        <w:rPr>
          <w:rFonts w:asciiTheme="minorBidi" w:hAnsiTheme="minorBidi" w:cstheme="minorBidi"/>
          <w:i/>
          <w:iCs/>
        </w:rPr>
        <w:t>Understanding cultural differences: Germans, French and Americans</w:t>
      </w:r>
      <w:r w:rsidRPr="00DB32E8">
        <w:rPr>
          <w:rFonts w:asciiTheme="minorBidi" w:hAnsiTheme="minorBidi" w:cstheme="minorBidi"/>
        </w:rPr>
        <w:t>. Yarmouth: Intercultural Press.</w:t>
      </w:r>
    </w:p>
    <w:p w14:paraId="5D82F2C0"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Harvard Business Review (2022) </w:t>
      </w:r>
      <w:r w:rsidRPr="00DB32E8">
        <w:rPr>
          <w:rFonts w:asciiTheme="minorBidi" w:eastAsia="宋体" w:hAnsiTheme="minorBidi"/>
          <w:i/>
          <w:iCs/>
          <w:kern w:val="0"/>
          <w:sz w:val="24"/>
          <w14:ligatures w14:val="none"/>
        </w:rPr>
        <w:t>How to give feedback across cultures</w:t>
      </w:r>
      <w:r w:rsidRPr="00DB32E8">
        <w:rPr>
          <w:rFonts w:asciiTheme="minorBidi" w:eastAsia="宋体" w:hAnsiTheme="minorBidi"/>
          <w:kern w:val="0"/>
          <w:sz w:val="24"/>
          <w14:ligatures w14:val="none"/>
        </w:rPr>
        <w:t>. Available at: https://hbr.org</w:t>
      </w:r>
    </w:p>
    <w:p w14:paraId="03A79C40"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Hofstede Insights (2024) </w:t>
      </w:r>
      <w:r w:rsidRPr="00DB32E8">
        <w:rPr>
          <w:rStyle w:val="a7"/>
          <w:rFonts w:asciiTheme="minorBidi" w:hAnsiTheme="minorBidi" w:cstheme="minorBidi"/>
        </w:rPr>
        <w:t>Country comparison tool: Denmark and United Kingdom</w:t>
      </w:r>
      <w:r w:rsidRPr="00DB32E8">
        <w:rPr>
          <w:rFonts w:asciiTheme="minorBidi" w:hAnsiTheme="minorBidi" w:cstheme="minorBidi"/>
        </w:rPr>
        <w:t>. Available at: </w:t>
      </w:r>
      <w:hyperlink r:id="rId12" w:tgtFrame="_new" w:history="1">
        <w:r w:rsidRPr="00DB32E8">
          <w:rPr>
            <w:rStyle w:val="af1"/>
            <w:rFonts w:asciiTheme="minorBidi" w:hAnsiTheme="minorBidi" w:cstheme="minorBidi"/>
          </w:rPr>
          <w:t>https://www.hofstede-insights.com/country-comparison-tool</w:t>
        </w:r>
      </w:hyperlink>
    </w:p>
    <w:p w14:paraId="5021F753"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Hofstede, G. (2010) </w:t>
      </w:r>
      <w:r w:rsidRPr="00DB32E8">
        <w:rPr>
          <w:rStyle w:val="a7"/>
          <w:rFonts w:asciiTheme="minorBidi" w:hAnsiTheme="minorBidi" w:cstheme="minorBidi"/>
        </w:rPr>
        <w:t xml:space="preserve">Cultures and </w:t>
      </w:r>
      <w:r w:rsidRPr="00DB32E8">
        <w:rPr>
          <w:rStyle w:val="a7"/>
          <w:rFonts w:asciiTheme="minorBidi" w:hAnsiTheme="minorBidi" w:cstheme="minorBidi"/>
        </w:rPr>
        <w:t>organizations</w:t>
      </w:r>
      <w:r w:rsidRPr="00DB32E8">
        <w:rPr>
          <w:rStyle w:val="a7"/>
          <w:rFonts w:asciiTheme="minorBidi" w:hAnsiTheme="minorBidi" w:cstheme="minorBidi"/>
        </w:rPr>
        <w:t>: Software of the mind</w:t>
      </w:r>
      <w:r w:rsidRPr="00DB32E8">
        <w:rPr>
          <w:rFonts w:asciiTheme="minorBidi" w:hAnsiTheme="minorBidi" w:cstheme="minorBidi"/>
        </w:rPr>
        <w:t xml:space="preserve">. 3rd </w:t>
      </w:r>
      <w:proofErr w:type="spellStart"/>
      <w:r w:rsidRPr="00DB32E8">
        <w:rPr>
          <w:rFonts w:asciiTheme="minorBidi" w:hAnsiTheme="minorBidi" w:cstheme="minorBidi"/>
        </w:rPr>
        <w:t>edn</w:t>
      </w:r>
      <w:proofErr w:type="spellEnd"/>
      <w:r w:rsidRPr="00DB32E8">
        <w:rPr>
          <w:rFonts w:asciiTheme="minorBidi" w:hAnsiTheme="minorBidi" w:cstheme="minorBidi"/>
        </w:rPr>
        <w:t>. New York: McGraw-Hill.</w:t>
      </w:r>
    </w:p>
    <w:p w14:paraId="421A0E35"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Invest in Denmark (2024) </w:t>
      </w:r>
      <w:r w:rsidRPr="00DB32E8">
        <w:rPr>
          <w:rFonts w:asciiTheme="minorBidi" w:hAnsiTheme="minorBidi" w:cstheme="minorBidi"/>
          <w:i/>
          <w:iCs/>
        </w:rPr>
        <w:t>Why Denmark: business and investment guides</w:t>
      </w:r>
      <w:r w:rsidRPr="00DB32E8">
        <w:rPr>
          <w:rFonts w:asciiTheme="minorBidi" w:hAnsiTheme="minorBidi" w:cstheme="minorBidi"/>
        </w:rPr>
        <w:t>. Available at: </w:t>
      </w:r>
      <w:hyperlink r:id="rId13" w:tgtFrame="_new" w:history="1">
        <w:r w:rsidRPr="00DB32E8">
          <w:rPr>
            <w:rFonts w:asciiTheme="minorBidi" w:hAnsiTheme="minorBidi" w:cstheme="minorBidi"/>
          </w:rPr>
          <w:t>https://investindk.com</w:t>
        </w:r>
      </w:hyperlink>
    </w:p>
    <w:p w14:paraId="7C9FE609"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Lewis, R.D. (2018) </w:t>
      </w:r>
      <w:r w:rsidRPr="00DB32E8">
        <w:rPr>
          <w:rFonts w:asciiTheme="minorBidi" w:eastAsia="宋体" w:hAnsiTheme="minorBidi"/>
          <w:i/>
          <w:iCs/>
          <w:kern w:val="0"/>
          <w:sz w:val="24"/>
          <w14:ligatures w14:val="none"/>
        </w:rPr>
        <w:t>When Cultures Collide: Leading across cultures</w:t>
      </w:r>
      <w:r w:rsidRPr="00DB32E8">
        <w:rPr>
          <w:rFonts w:asciiTheme="minorBidi" w:eastAsia="宋体" w:hAnsiTheme="minorBidi"/>
          <w:kern w:val="0"/>
          <w:sz w:val="24"/>
          <w14:ligatures w14:val="none"/>
        </w:rPr>
        <w:t xml:space="preserve">. 4th </w:t>
      </w:r>
      <w:proofErr w:type="spellStart"/>
      <w:r w:rsidRPr="00DB32E8">
        <w:rPr>
          <w:rFonts w:asciiTheme="minorBidi" w:eastAsia="宋体" w:hAnsiTheme="minorBidi"/>
          <w:kern w:val="0"/>
          <w:sz w:val="24"/>
          <w14:ligatures w14:val="none"/>
        </w:rPr>
        <w:t>edn</w:t>
      </w:r>
      <w:proofErr w:type="spellEnd"/>
      <w:r w:rsidRPr="00DB32E8">
        <w:rPr>
          <w:rFonts w:asciiTheme="minorBidi" w:eastAsia="宋体" w:hAnsiTheme="minorBidi"/>
          <w:kern w:val="0"/>
          <w:sz w:val="24"/>
          <w14:ligatures w14:val="none"/>
        </w:rPr>
        <w:t>. London: Nicholas Brealey.</w:t>
      </w:r>
    </w:p>
    <w:p w14:paraId="1D48DEDC"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McKinsey &amp; Company (2023) </w:t>
      </w:r>
      <w:r w:rsidRPr="00DB32E8">
        <w:rPr>
          <w:rFonts w:asciiTheme="minorBidi" w:eastAsia="宋体" w:hAnsiTheme="minorBidi"/>
          <w:i/>
          <w:iCs/>
          <w:kern w:val="0"/>
          <w:sz w:val="24"/>
          <w14:ligatures w14:val="none"/>
        </w:rPr>
        <w:t>Nordic leadership insights: Collaboration and innovation</w:t>
      </w:r>
      <w:r w:rsidRPr="00DB32E8">
        <w:rPr>
          <w:rFonts w:asciiTheme="minorBidi" w:eastAsia="宋体" w:hAnsiTheme="minorBidi"/>
          <w:kern w:val="0"/>
          <w:sz w:val="24"/>
          <w14:ligatures w14:val="none"/>
        </w:rPr>
        <w:t>. Available at: </w:t>
      </w:r>
      <w:hyperlink r:id="rId14" w:tgtFrame="_new" w:history="1">
        <w:r w:rsidRPr="00DB32E8">
          <w:rPr>
            <w:rFonts w:asciiTheme="minorBidi" w:eastAsia="宋体" w:hAnsiTheme="minorBidi"/>
            <w:color w:val="0000FF"/>
            <w:kern w:val="0"/>
            <w:sz w:val="24"/>
            <w:u w:val="single"/>
            <w14:ligatures w14:val="none"/>
          </w:rPr>
          <w:t>https://www.mckinsey.com</w:t>
        </w:r>
      </w:hyperlink>
    </w:p>
    <w:p w14:paraId="0F9A4D81"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lastRenderedPageBreak/>
        <w:t>Meyer, E. (2014) </w:t>
      </w:r>
      <w:r w:rsidRPr="00DB32E8">
        <w:rPr>
          <w:rStyle w:val="a7"/>
          <w:rFonts w:asciiTheme="minorBidi" w:hAnsiTheme="minorBidi" w:cstheme="minorBidi"/>
        </w:rPr>
        <w:t>The Culture Map: Decoding how people think, lead, and get things done across cultures</w:t>
      </w:r>
      <w:r w:rsidRPr="00DB32E8">
        <w:rPr>
          <w:rFonts w:asciiTheme="minorBidi" w:hAnsiTheme="minorBidi" w:cstheme="minorBidi"/>
        </w:rPr>
        <w:t>. New York: Public Affairs.</w:t>
      </w:r>
    </w:p>
    <w:p w14:paraId="2D9C0E74"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OECD (2023) </w:t>
      </w:r>
      <w:r w:rsidRPr="00DB32E8">
        <w:rPr>
          <w:rFonts w:asciiTheme="minorBidi" w:hAnsiTheme="minorBidi" w:cstheme="minorBidi"/>
          <w:i/>
          <w:iCs/>
        </w:rPr>
        <w:t>Denmark 2023: Country review and policy insights</w:t>
      </w:r>
      <w:r w:rsidRPr="00DB32E8">
        <w:rPr>
          <w:rFonts w:asciiTheme="minorBidi" w:hAnsiTheme="minorBidi" w:cstheme="minorBidi"/>
        </w:rPr>
        <w:t>. Available at:</w:t>
      </w:r>
      <w:hyperlink r:id="rId15" w:tgtFrame="_new" w:history="1">
        <w:r w:rsidRPr="00DB32E8">
          <w:rPr>
            <w:rFonts w:asciiTheme="minorBidi" w:hAnsiTheme="minorBidi" w:cstheme="minorBidi"/>
          </w:rPr>
          <w:t>https://www.oecd.org/en/publications/denmark-2023_755105d6-en.html</w:t>
        </w:r>
      </w:hyperlink>
    </w:p>
    <w:p w14:paraId="56E341A5"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Office for National Statistics (ONS) / UK trade bulletins (2024) </w:t>
      </w:r>
      <w:r w:rsidRPr="00DB32E8">
        <w:rPr>
          <w:rFonts w:asciiTheme="minorBidi" w:eastAsia="宋体" w:hAnsiTheme="minorBidi"/>
          <w:i/>
          <w:iCs/>
          <w:kern w:val="0"/>
          <w:sz w:val="24"/>
          <w14:ligatures w14:val="none"/>
        </w:rPr>
        <w:t>UK trade data and trends</w:t>
      </w:r>
      <w:r w:rsidRPr="00DB32E8">
        <w:rPr>
          <w:rFonts w:asciiTheme="minorBidi" w:eastAsia="宋体" w:hAnsiTheme="minorBidi"/>
          <w:kern w:val="0"/>
          <w:sz w:val="24"/>
          <w14:ligatures w14:val="none"/>
        </w:rPr>
        <w:t>. Available at: </w:t>
      </w:r>
      <w:hyperlink r:id="rId16" w:tgtFrame="_new" w:history="1">
        <w:r w:rsidRPr="00DB32E8">
          <w:rPr>
            <w:rFonts w:asciiTheme="minorBidi" w:eastAsia="宋体" w:hAnsiTheme="minorBidi"/>
            <w:color w:val="0000FF"/>
            <w:kern w:val="0"/>
            <w:sz w:val="24"/>
            <w:u w:val="single"/>
            <w14:ligatures w14:val="none"/>
          </w:rPr>
          <w:t>https://www.ons.gov.uk</w:t>
        </w:r>
      </w:hyperlink>
    </w:p>
    <w:p w14:paraId="675A380C"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 xml:space="preserve">Schneider, S. and </w:t>
      </w:r>
      <w:proofErr w:type="spellStart"/>
      <w:r w:rsidRPr="00DB32E8">
        <w:rPr>
          <w:rFonts w:asciiTheme="minorBidi" w:eastAsia="宋体" w:hAnsiTheme="minorBidi"/>
          <w:kern w:val="0"/>
          <w:sz w:val="24"/>
          <w14:ligatures w14:val="none"/>
        </w:rPr>
        <w:t>Barsoux</w:t>
      </w:r>
      <w:proofErr w:type="spellEnd"/>
      <w:r w:rsidRPr="00DB32E8">
        <w:rPr>
          <w:rFonts w:asciiTheme="minorBidi" w:eastAsia="宋体" w:hAnsiTheme="minorBidi"/>
          <w:kern w:val="0"/>
          <w:sz w:val="24"/>
          <w14:ligatures w14:val="none"/>
        </w:rPr>
        <w:t>, J.L. (2019) </w:t>
      </w:r>
      <w:r w:rsidRPr="00DB32E8">
        <w:rPr>
          <w:rFonts w:asciiTheme="minorBidi" w:eastAsia="宋体" w:hAnsiTheme="minorBidi"/>
          <w:i/>
          <w:iCs/>
          <w:kern w:val="0"/>
          <w:sz w:val="24"/>
          <w14:ligatures w14:val="none"/>
        </w:rPr>
        <w:t>Managing Across Cultures</w:t>
      </w:r>
      <w:r w:rsidRPr="00DB32E8">
        <w:rPr>
          <w:rFonts w:asciiTheme="minorBidi" w:eastAsia="宋体" w:hAnsiTheme="minorBidi"/>
          <w:kern w:val="0"/>
          <w:sz w:val="24"/>
          <w14:ligatures w14:val="none"/>
        </w:rPr>
        <w:t xml:space="preserve">. 4th </w:t>
      </w:r>
      <w:proofErr w:type="spellStart"/>
      <w:r w:rsidRPr="00DB32E8">
        <w:rPr>
          <w:rFonts w:asciiTheme="minorBidi" w:eastAsia="宋体" w:hAnsiTheme="minorBidi"/>
          <w:kern w:val="0"/>
          <w:sz w:val="24"/>
          <w14:ligatures w14:val="none"/>
        </w:rPr>
        <w:t>edn</w:t>
      </w:r>
      <w:proofErr w:type="spellEnd"/>
      <w:r w:rsidRPr="00DB32E8">
        <w:rPr>
          <w:rFonts w:asciiTheme="minorBidi" w:eastAsia="宋体" w:hAnsiTheme="minorBidi"/>
          <w:kern w:val="0"/>
          <w:sz w:val="24"/>
          <w14:ligatures w14:val="none"/>
        </w:rPr>
        <w:t>. Harlow: Pearson.</w:t>
      </w:r>
    </w:p>
    <w:p w14:paraId="0B250DC9" w14:textId="77777777" w:rsidR="00DB32E8" w:rsidRP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Statista (2024) </w:t>
      </w:r>
      <w:r w:rsidRPr="00DB32E8">
        <w:rPr>
          <w:rFonts w:asciiTheme="minorBidi" w:eastAsia="宋体" w:hAnsiTheme="minorBidi"/>
          <w:i/>
          <w:iCs/>
          <w:kern w:val="0"/>
          <w:sz w:val="24"/>
          <w14:ligatures w14:val="none"/>
        </w:rPr>
        <w:t>Digitalization and remote work adoption in Denmark</w:t>
      </w:r>
      <w:r w:rsidRPr="00DB32E8">
        <w:rPr>
          <w:rFonts w:asciiTheme="minorBidi" w:eastAsia="宋体" w:hAnsiTheme="minorBidi"/>
          <w:kern w:val="0"/>
          <w:sz w:val="24"/>
          <w14:ligatures w14:val="none"/>
        </w:rPr>
        <w:t>. Available at: </w:t>
      </w:r>
      <w:hyperlink r:id="rId17" w:tgtFrame="_new" w:history="1">
        <w:r w:rsidRPr="00DB32E8">
          <w:rPr>
            <w:rFonts w:asciiTheme="minorBidi" w:eastAsia="宋体" w:hAnsiTheme="minorBidi"/>
            <w:color w:val="0000FF"/>
            <w:kern w:val="0"/>
            <w:sz w:val="24"/>
            <w:u w:val="single"/>
            <w14:ligatures w14:val="none"/>
          </w:rPr>
          <w:t>https://www.statista.com</w:t>
        </w:r>
      </w:hyperlink>
    </w:p>
    <w:p w14:paraId="278EA14D" w14:textId="77777777" w:rsidR="00DB32E8" w:rsidRDefault="00DB32E8"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sidRPr="00DB32E8">
        <w:rPr>
          <w:rFonts w:asciiTheme="minorBidi" w:eastAsia="宋体" w:hAnsiTheme="minorBidi"/>
          <w:kern w:val="0"/>
          <w:sz w:val="24"/>
          <w14:ligatures w14:val="none"/>
        </w:rPr>
        <w:t>The Culture Factor / Hofstede Insights (2023) </w:t>
      </w:r>
      <w:r w:rsidRPr="00DB32E8">
        <w:rPr>
          <w:rFonts w:asciiTheme="minorBidi" w:eastAsia="宋体" w:hAnsiTheme="minorBidi"/>
          <w:i/>
          <w:iCs/>
          <w:kern w:val="0"/>
          <w:sz w:val="24"/>
          <w14:ligatures w14:val="none"/>
        </w:rPr>
        <w:t>Global Report: Cultural differences and workplace dyna mics</w:t>
      </w:r>
      <w:r w:rsidRPr="00DB32E8">
        <w:rPr>
          <w:rFonts w:asciiTheme="minorBidi" w:eastAsia="宋体" w:hAnsiTheme="minorBidi"/>
          <w:kern w:val="0"/>
          <w:sz w:val="24"/>
          <w14:ligatures w14:val="none"/>
        </w:rPr>
        <w:t>. Available at: </w:t>
      </w:r>
      <w:hyperlink r:id="rId18" w:tgtFrame="_new" w:history="1">
        <w:r w:rsidRPr="00DB32E8">
          <w:rPr>
            <w:rFonts w:asciiTheme="minorBidi" w:eastAsia="宋体" w:hAnsiTheme="minorBidi"/>
            <w:color w:val="0000FF"/>
            <w:kern w:val="0"/>
            <w:sz w:val="24"/>
            <w:u w:val="single"/>
            <w14:ligatures w14:val="none"/>
          </w:rPr>
          <w:t>https://www.hofstede-insights.com/resources/report/global-report-2024</w:t>
        </w:r>
      </w:hyperlink>
    </w:p>
    <w:p w14:paraId="49195489" w14:textId="3B3DFCAB" w:rsidR="002E738C" w:rsidRPr="00DB32E8" w:rsidRDefault="002E738C" w:rsidP="00DB32E8">
      <w:pPr>
        <w:widowControl/>
        <w:spacing w:before="100" w:beforeAutospacing="1" w:after="100" w:afterAutospacing="1" w:line="480" w:lineRule="auto"/>
        <w:ind w:left="480" w:hangingChars="200" w:hanging="480"/>
        <w:jc w:val="left"/>
        <w:rPr>
          <w:rFonts w:asciiTheme="minorBidi" w:eastAsia="宋体" w:hAnsiTheme="minorBidi"/>
          <w:kern w:val="0"/>
          <w:sz w:val="24"/>
          <w14:ligatures w14:val="none"/>
        </w:rPr>
      </w:pPr>
      <w:r>
        <w:rPr>
          <w:rFonts w:asciiTheme="minorBidi" w:eastAsia="宋体" w:hAnsiTheme="minorBidi"/>
          <w:kern w:val="0"/>
          <w:sz w:val="24"/>
          <w14:ligatures w14:val="none"/>
        </w:rPr>
        <w:t xml:space="preserve">The Culture Factor (2025) Country Comparison Tool. </w:t>
      </w:r>
      <w:r w:rsidRPr="002E738C">
        <w:rPr>
          <w:rFonts w:asciiTheme="minorBidi" w:eastAsia="宋体" w:hAnsiTheme="minorBidi"/>
          <w:kern w:val="0"/>
          <w:sz w:val="24"/>
          <w14:ligatures w14:val="none"/>
        </w:rPr>
        <w:t xml:space="preserve">Available at: </w:t>
      </w:r>
      <w:r w:rsidRPr="002E738C">
        <w:rPr>
          <w:rFonts w:asciiTheme="minorBidi" w:eastAsia="宋体" w:hAnsiTheme="minorBidi"/>
          <w:kern w:val="0"/>
          <w:sz w:val="24"/>
          <w14:ligatures w14:val="none"/>
        </w:rPr>
        <w:t>https://www.theculturefactor.com/country-comparison-tool?countries=denmark%2Cunited+kingdom</w:t>
      </w:r>
    </w:p>
    <w:p w14:paraId="25CED32D" w14:textId="77777777"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UK Government (2025) </w:t>
      </w:r>
      <w:r w:rsidRPr="00DB32E8">
        <w:rPr>
          <w:rStyle w:val="a7"/>
          <w:rFonts w:asciiTheme="minorBidi" w:hAnsiTheme="minorBidi" w:cstheme="minorBidi"/>
        </w:rPr>
        <w:t>Denmark - UK Trade and Investment Factsheet </w:t>
      </w:r>
      <w:r w:rsidRPr="00DB32E8">
        <w:rPr>
          <w:rFonts w:asciiTheme="minorBidi" w:hAnsiTheme="minorBidi" w:cstheme="minorBidi"/>
        </w:rPr>
        <w:t xml:space="preserve">(PDF). Available </w:t>
      </w:r>
      <w:r w:rsidRPr="00DB32E8">
        <w:rPr>
          <w:rFonts w:asciiTheme="minorBidi" w:hAnsiTheme="minorBidi" w:cstheme="minorBidi"/>
        </w:rPr>
        <w:lastRenderedPageBreak/>
        <w:t>at:</w:t>
      </w:r>
      <w:hyperlink r:id="rId19" w:tgtFrame="_new" w:history="1">
        <w:r w:rsidRPr="00DB32E8">
          <w:rPr>
            <w:rStyle w:val="af1"/>
            <w:rFonts w:asciiTheme="minorBidi" w:hAnsiTheme="minorBidi" w:cstheme="minorBidi"/>
          </w:rPr>
          <w:t>https://assets.publishing.service.gov.uk/media/691348035dec0071ce4963b0/denmark-trade-a nd-investment-factsheet-2025-10-31.pdf</w:t>
        </w:r>
      </w:hyperlink>
    </w:p>
    <w:p w14:paraId="0A8834C6" w14:textId="265D5816" w:rsidR="00DB32E8" w:rsidRPr="00DB32E8" w:rsidRDefault="00DB32E8" w:rsidP="00DB32E8">
      <w:pPr>
        <w:pStyle w:val="a5"/>
        <w:spacing w:line="480" w:lineRule="auto"/>
        <w:ind w:left="480" w:hangingChars="200" w:hanging="480"/>
        <w:rPr>
          <w:rFonts w:asciiTheme="minorBidi" w:hAnsiTheme="minorBidi" w:cstheme="minorBidi"/>
        </w:rPr>
      </w:pPr>
      <w:r w:rsidRPr="00DB32E8">
        <w:rPr>
          <w:rFonts w:asciiTheme="minorBidi" w:hAnsiTheme="minorBidi" w:cstheme="minorBidi"/>
        </w:rPr>
        <w:t>World Bank (2024) </w:t>
      </w:r>
      <w:r w:rsidRPr="00DB32E8">
        <w:rPr>
          <w:rFonts w:asciiTheme="minorBidi" w:hAnsiTheme="minorBidi" w:cstheme="minorBidi"/>
          <w:i/>
          <w:iCs/>
        </w:rPr>
        <w:t>Denmark country data</w:t>
      </w:r>
      <w:r w:rsidRPr="00DB32E8">
        <w:rPr>
          <w:rFonts w:asciiTheme="minorBidi" w:hAnsiTheme="minorBidi" w:cstheme="minorBidi"/>
        </w:rPr>
        <w:t>. Available at: </w:t>
      </w:r>
      <w:hyperlink r:id="rId20" w:tgtFrame="_new" w:history="1">
        <w:r w:rsidRPr="00DB32E8">
          <w:rPr>
            <w:rFonts w:asciiTheme="minorBidi" w:hAnsiTheme="minorBidi" w:cstheme="minorBidi"/>
          </w:rPr>
          <w:t>https://www.worldbank.org</w:t>
        </w:r>
      </w:hyperlink>
    </w:p>
    <w:sectPr w:rsidR="00DB32E8" w:rsidRPr="00DB32E8" w:rsidSect="000107DB">
      <w:footerReference w:type="even" r:id="rId21"/>
      <w:footerReference w:type="default" r:id="rId22"/>
      <w:footerReference w:type="first" r:id="rId23"/>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BA19F" w14:textId="77777777" w:rsidR="000107DB" w:rsidRDefault="000107DB" w:rsidP="007C1906">
      <w:r>
        <w:separator/>
      </w:r>
    </w:p>
  </w:endnote>
  <w:endnote w:type="continuationSeparator" w:id="0">
    <w:p w14:paraId="36754F1F" w14:textId="77777777" w:rsidR="000107DB" w:rsidRDefault="000107DB" w:rsidP="007C19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正文 CS)">
    <w:altName w:val="宋体"/>
    <w:panose1 w:val="020B0604020202020204"/>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0"/>
      </w:rPr>
      <w:id w:val="1807580772"/>
      <w:docPartObj>
        <w:docPartGallery w:val="Page Numbers (Bottom of Page)"/>
        <w:docPartUnique/>
      </w:docPartObj>
    </w:sdtPr>
    <w:sdtContent>
      <w:p w14:paraId="1EE41727" w14:textId="779017B1" w:rsidR="007C1906" w:rsidRDefault="007C1906" w:rsidP="00CB0AEB">
        <w:pPr>
          <w:pStyle w:val="ae"/>
          <w:framePr w:wrap="none" w:vAnchor="text" w:hAnchor="margin" w:xAlign="right" w:y="1"/>
          <w:rPr>
            <w:rStyle w:val="af0"/>
          </w:rPr>
        </w:pPr>
        <w:r>
          <w:rPr>
            <w:rStyle w:val="af0"/>
          </w:rPr>
          <w:fldChar w:fldCharType="begin"/>
        </w:r>
        <w:r>
          <w:rPr>
            <w:rStyle w:val="af0"/>
          </w:rPr>
          <w:instrText xml:space="preserve"> PAGE </w:instrText>
        </w:r>
        <w:r>
          <w:rPr>
            <w:rStyle w:val="af0"/>
          </w:rPr>
          <w:fldChar w:fldCharType="separate"/>
        </w:r>
        <w:r w:rsidR="00CF1BDA">
          <w:rPr>
            <w:rStyle w:val="af0"/>
            <w:noProof/>
          </w:rPr>
          <w:t>2</w:t>
        </w:r>
        <w:r>
          <w:rPr>
            <w:rStyle w:val="af0"/>
          </w:rPr>
          <w:fldChar w:fldCharType="end"/>
        </w:r>
      </w:p>
    </w:sdtContent>
  </w:sdt>
  <w:p w14:paraId="25BA243C" w14:textId="77777777" w:rsidR="007C1906" w:rsidRDefault="007C1906" w:rsidP="007C1906">
    <w:pPr>
      <w:pStyle w:val="a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0"/>
      </w:rPr>
      <w:id w:val="1906636617"/>
      <w:docPartObj>
        <w:docPartGallery w:val="Page Numbers (Bottom of Page)"/>
        <w:docPartUnique/>
      </w:docPartObj>
    </w:sdtPr>
    <w:sdtContent>
      <w:p w14:paraId="11C277CC" w14:textId="643C218D" w:rsidR="007C1906" w:rsidRDefault="007C1906" w:rsidP="00CB0AEB">
        <w:pPr>
          <w:pStyle w:val="ae"/>
          <w:framePr w:wrap="none" w:vAnchor="text" w:hAnchor="margin" w:xAlign="right" w:y="1"/>
          <w:rPr>
            <w:rStyle w:val="af0"/>
          </w:rPr>
        </w:pPr>
        <w:r>
          <w:rPr>
            <w:rStyle w:val="af0"/>
          </w:rPr>
          <w:fldChar w:fldCharType="begin"/>
        </w:r>
        <w:r>
          <w:rPr>
            <w:rStyle w:val="af0"/>
          </w:rPr>
          <w:instrText xml:space="preserve"> PAGE </w:instrText>
        </w:r>
        <w:r>
          <w:rPr>
            <w:rStyle w:val="af0"/>
          </w:rPr>
          <w:fldChar w:fldCharType="separate"/>
        </w:r>
        <w:r>
          <w:rPr>
            <w:rStyle w:val="af0"/>
            <w:noProof/>
          </w:rPr>
          <w:t>4</w:t>
        </w:r>
        <w:r>
          <w:rPr>
            <w:rStyle w:val="af0"/>
          </w:rPr>
          <w:fldChar w:fldCharType="end"/>
        </w:r>
      </w:p>
    </w:sdtContent>
  </w:sdt>
  <w:p w14:paraId="14B6408D" w14:textId="77777777" w:rsidR="007C1906" w:rsidRDefault="007C1906" w:rsidP="007C1906">
    <w:pPr>
      <w:pStyle w:val="ae"/>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26463" w14:textId="77777777" w:rsidR="007C1906" w:rsidRDefault="007C1906" w:rsidP="007C1906">
    <w:pPr>
      <w:pStyle w:val="a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57924" w14:textId="77777777" w:rsidR="000107DB" w:rsidRDefault="000107DB" w:rsidP="007C1906">
      <w:r>
        <w:separator/>
      </w:r>
    </w:p>
  </w:footnote>
  <w:footnote w:type="continuationSeparator" w:id="0">
    <w:p w14:paraId="63E8869E" w14:textId="77777777" w:rsidR="000107DB" w:rsidRDefault="000107DB" w:rsidP="007C190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AFF"/>
    <w:rsid w:val="000107DB"/>
    <w:rsid w:val="00055253"/>
    <w:rsid w:val="000A26A4"/>
    <w:rsid w:val="002E738C"/>
    <w:rsid w:val="004C59D2"/>
    <w:rsid w:val="007C1906"/>
    <w:rsid w:val="008E6AFF"/>
    <w:rsid w:val="00B52ADA"/>
    <w:rsid w:val="00CF1BDA"/>
    <w:rsid w:val="00DB32E8"/>
    <w:rsid w:val="00FB0FA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C07F"/>
  <w15:chartTrackingRefBased/>
  <w15:docId w15:val="{CBD2BD2A-256E-8B4A-80DA-CC46BD21A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C190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B52ADA"/>
    <w:rPr>
      <w:rFonts w:eastAsia="Microsoft YaHei UI"/>
      <w:kern w:val="0"/>
      <w:sz w:val="22"/>
      <w:szCs w:val="22"/>
      <w14:ligatures w14:val="none"/>
    </w:rPr>
  </w:style>
  <w:style w:type="character" w:customStyle="1" w:styleId="a4">
    <w:name w:val="无间隔 字符"/>
    <w:basedOn w:val="a0"/>
    <w:link w:val="a3"/>
    <w:uiPriority w:val="1"/>
    <w:rsid w:val="00B52ADA"/>
    <w:rPr>
      <w:rFonts w:eastAsia="Microsoft YaHei UI"/>
      <w:kern w:val="0"/>
      <w:sz w:val="22"/>
      <w:szCs w:val="22"/>
      <w14:ligatures w14:val="none"/>
    </w:rPr>
  </w:style>
  <w:style w:type="paragraph" w:styleId="a5">
    <w:name w:val="Normal (Web)"/>
    <w:basedOn w:val="a"/>
    <w:uiPriority w:val="99"/>
    <w:unhideWhenUsed/>
    <w:rsid w:val="00B52ADA"/>
    <w:pPr>
      <w:widowControl/>
      <w:spacing w:before="100" w:beforeAutospacing="1" w:after="100" w:afterAutospacing="1"/>
      <w:jc w:val="left"/>
    </w:pPr>
    <w:rPr>
      <w:rFonts w:ascii="宋体" w:eastAsia="宋体" w:hAnsi="宋体" w:cs="宋体"/>
      <w:kern w:val="0"/>
      <w:sz w:val="24"/>
      <w14:ligatures w14:val="none"/>
    </w:rPr>
  </w:style>
  <w:style w:type="character" w:styleId="a6">
    <w:name w:val="Strong"/>
    <w:basedOn w:val="a0"/>
    <w:uiPriority w:val="22"/>
    <w:qFormat/>
    <w:rsid w:val="00B52ADA"/>
    <w:rPr>
      <w:b/>
      <w:bCs/>
    </w:rPr>
  </w:style>
  <w:style w:type="character" w:customStyle="1" w:styleId="apple-converted-space">
    <w:name w:val="apple-converted-space"/>
    <w:basedOn w:val="a0"/>
    <w:rsid w:val="00B52ADA"/>
  </w:style>
  <w:style w:type="character" w:styleId="a7">
    <w:name w:val="Emphasis"/>
    <w:basedOn w:val="a0"/>
    <w:uiPriority w:val="20"/>
    <w:qFormat/>
    <w:rsid w:val="00FB0FA8"/>
    <w:rPr>
      <w:i/>
      <w:iCs/>
    </w:rPr>
  </w:style>
  <w:style w:type="paragraph" w:styleId="a8">
    <w:name w:val="Title"/>
    <w:basedOn w:val="a"/>
    <w:next w:val="a"/>
    <w:link w:val="a9"/>
    <w:uiPriority w:val="10"/>
    <w:qFormat/>
    <w:rsid w:val="00FB0FA8"/>
    <w:pPr>
      <w:spacing w:before="240" w:after="60"/>
      <w:jc w:val="left"/>
      <w:outlineLvl w:val="0"/>
    </w:pPr>
    <w:rPr>
      <w:rFonts w:asciiTheme="majorHAnsi" w:eastAsiaTheme="majorEastAsia" w:hAnsiTheme="majorHAnsi" w:cstheme="majorBidi"/>
      <w:b/>
      <w:bCs/>
      <w:sz w:val="40"/>
      <w:szCs w:val="32"/>
    </w:rPr>
  </w:style>
  <w:style w:type="character" w:customStyle="1" w:styleId="a9">
    <w:name w:val="标题 字符"/>
    <w:basedOn w:val="a0"/>
    <w:link w:val="a8"/>
    <w:uiPriority w:val="10"/>
    <w:rsid w:val="00FB0FA8"/>
    <w:rPr>
      <w:rFonts w:asciiTheme="majorHAnsi" w:eastAsiaTheme="majorEastAsia" w:hAnsiTheme="majorHAnsi" w:cstheme="majorBidi"/>
      <w:b/>
      <w:bCs/>
      <w:sz w:val="40"/>
      <w:szCs w:val="32"/>
    </w:rPr>
  </w:style>
  <w:style w:type="paragraph" w:styleId="aa">
    <w:name w:val="Subtitle"/>
    <w:basedOn w:val="a"/>
    <w:next w:val="a"/>
    <w:link w:val="ab"/>
    <w:uiPriority w:val="11"/>
    <w:qFormat/>
    <w:rsid w:val="00FB0FA8"/>
    <w:pPr>
      <w:spacing w:before="240" w:after="60" w:line="312" w:lineRule="auto"/>
      <w:jc w:val="center"/>
      <w:outlineLvl w:val="1"/>
    </w:pPr>
    <w:rPr>
      <w:rFonts w:eastAsia="Arial (正文 CS)"/>
      <w:b/>
      <w:bCs/>
      <w:kern w:val="28"/>
      <w:sz w:val="28"/>
      <w:szCs w:val="32"/>
    </w:rPr>
  </w:style>
  <w:style w:type="character" w:customStyle="1" w:styleId="ab">
    <w:name w:val="副标题 字符"/>
    <w:basedOn w:val="a0"/>
    <w:link w:val="aa"/>
    <w:uiPriority w:val="11"/>
    <w:rsid w:val="00FB0FA8"/>
    <w:rPr>
      <w:rFonts w:eastAsia="Arial (正文 CS)"/>
      <w:b/>
      <w:bCs/>
      <w:kern w:val="28"/>
      <w:sz w:val="28"/>
      <w:szCs w:val="32"/>
    </w:rPr>
  </w:style>
  <w:style w:type="paragraph" w:styleId="ac">
    <w:name w:val="header"/>
    <w:basedOn w:val="a"/>
    <w:link w:val="ad"/>
    <w:uiPriority w:val="99"/>
    <w:unhideWhenUsed/>
    <w:rsid w:val="007C1906"/>
    <w:pPr>
      <w:tabs>
        <w:tab w:val="center" w:pos="4153"/>
        <w:tab w:val="right" w:pos="8306"/>
      </w:tabs>
      <w:snapToGrid w:val="0"/>
      <w:jc w:val="center"/>
    </w:pPr>
    <w:rPr>
      <w:sz w:val="18"/>
      <w:szCs w:val="18"/>
    </w:rPr>
  </w:style>
  <w:style w:type="character" w:customStyle="1" w:styleId="ad">
    <w:name w:val="页眉 字符"/>
    <w:basedOn w:val="a0"/>
    <w:link w:val="ac"/>
    <w:uiPriority w:val="99"/>
    <w:rsid w:val="007C1906"/>
    <w:rPr>
      <w:sz w:val="18"/>
      <w:szCs w:val="18"/>
    </w:rPr>
  </w:style>
  <w:style w:type="paragraph" w:styleId="ae">
    <w:name w:val="footer"/>
    <w:basedOn w:val="a"/>
    <w:link w:val="af"/>
    <w:uiPriority w:val="99"/>
    <w:unhideWhenUsed/>
    <w:rsid w:val="007C1906"/>
    <w:pPr>
      <w:tabs>
        <w:tab w:val="center" w:pos="4153"/>
        <w:tab w:val="right" w:pos="8306"/>
      </w:tabs>
      <w:snapToGrid w:val="0"/>
      <w:jc w:val="left"/>
    </w:pPr>
    <w:rPr>
      <w:sz w:val="18"/>
      <w:szCs w:val="18"/>
    </w:rPr>
  </w:style>
  <w:style w:type="character" w:customStyle="1" w:styleId="af">
    <w:name w:val="页脚 字符"/>
    <w:basedOn w:val="a0"/>
    <w:link w:val="ae"/>
    <w:uiPriority w:val="99"/>
    <w:rsid w:val="007C1906"/>
    <w:rPr>
      <w:sz w:val="18"/>
      <w:szCs w:val="18"/>
    </w:rPr>
  </w:style>
  <w:style w:type="character" w:styleId="af0">
    <w:name w:val="page number"/>
    <w:basedOn w:val="a0"/>
    <w:uiPriority w:val="99"/>
    <w:semiHidden/>
    <w:unhideWhenUsed/>
    <w:rsid w:val="007C1906"/>
  </w:style>
  <w:style w:type="character" w:customStyle="1" w:styleId="10">
    <w:name w:val="标题 1 字符"/>
    <w:basedOn w:val="a0"/>
    <w:link w:val="1"/>
    <w:uiPriority w:val="9"/>
    <w:rsid w:val="007C1906"/>
    <w:rPr>
      <w:b/>
      <w:bCs/>
      <w:kern w:val="44"/>
      <w:sz w:val="44"/>
      <w:szCs w:val="44"/>
    </w:rPr>
  </w:style>
  <w:style w:type="paragraph" w:styleId="TOC">
    <w:name w:val="TOC Heading"/>
    <w:basedOn w:val="1"/>
    <w:next w:val="a"/>
    <w:uiPriority w:val="39"/>
    <w:unhideWhenUsed/>
    <w:qFormat/>
    <w:rsid w:val="007C1906"/>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14:ligatures w14:val="none"/>
    </w:rPr>
  </w:style>
  <w:style w:type="paragraph" w:styleId="TOC1">
    <w:name w:val="toc 1"/>
    <w:basedOn w:val="a"/>
    <w:next w:val="a"/>
    <w:autoRedefine/>
    <w:uiPriority w:val="39"/>
    <w:unhideWhenUsed/>
    <w:rsid w:val="007C1906"/>
    <w:pPr>
      <w:spacing w:before="120"/>
      <w:jc w:val="left"/>
    </w:pPr>
    <w:rPr>
      <w:rFonts w:eastAsiaTheme="minorHAnsi" w:cs="Times New Roman"/>
      <w:b/>
      <w:bCs/>
      <w:i/>
      <w:iCs/>
      <w:sz w:val="24"/>
      <w:szCs w:val="28"/>
    </w:rPr>
  </w:style>
  <w:style w:type="paragraph" w:styleId="TOC2">
    <w:name w:val="toc 2"/>
    <w:basedOn w:val="a"/>
    <w:next w:val="a"/>
    <w:autoRedefine/>
    <w:uiPriority w:val="39"/>
    <w:unhideWhenUsed/>
    <w:rsid w:val="007C1906"/>
    <w:pPr>
      <w:spacing w:before="120"/>
      <w:ind w:left="210"/>
      <w:jc w:val="left"/>
    </w:pPr>
    <w:rPr>
      <w:rFonts w:eastAsiaTheme="minorHAnsi" w:cs="Times New Roman"/>
      <w:b/>
      <w:bCs/>
      <w:sz w:val="22"/>
      <w:szCs w:val="26"/>
    </w:rPr>
  </w:style>
  <w:style w:type="paragraph" w:styleId="TOC3">
    <w:name w:val="toc 3"/>
    <w:basedOn w:val="a"/>
    <w:next w:val="a"/>
    <w:autoRedefine/>
    <w:uiPriority w:val="39"/>
    <w:unhideWhenUsed/>
    <w:rsid w:val="007C1906"/>
    <w:pPr>
      <w:ind w:left="420"/>
      <w:jc w:val="left"/>
    </w:pPr>
    <w:rPr>
      <w:rFonts w:eastAsiaTheme="minorHAnsi" w:cs="Times New Roman"/>
      <w:sz w:val="20"/>
    </w:rPr>
  </w:style>
  <w:style w:type="paragraph" w:styleId="TOC4">
    <w:name w:val="toc 4"/>
    <w:basedOn w:val="a"/>
    <w:next w:val="a"/>
    <w:autoRedefine/>
    <w:uiPriority w:val="39"/>
    <w:semiHidden/>
    <w:unhideWhenUsed/>
    <w:rsid w:val="007C1906"/>
    <w:pPr>
      <w:ind w:left="630"/>
      <w:jc w:val="left"/>
    </w:pPr>
    <w:rPr>
      <w:rFonts w:eastAsiaTheme="minorHAnsi" w:cs="Times New Roman"/>
      <w:sz w:val="20"/>
    </w:rPr>
  </w:style>
  <w:style w:type="paragraph" w:styleId="TOC5">
    <w:name w:val="toc 5"/>
    <w:basedOn w:val="a"/>
    <w:next w:val="a"/>
    <w:autoRedefine/>
    <w:uiPriority w:val="39"/>
    <w:semiHidden/>
    <w:unhideWhenUsed/>
    <w:rsid w:val="007C1906"/>
    <w:pPr>
      <w:ind w:left="840"/>
      <w:jc w:val="left"/>
    </w:pPr>
    <w:rPr>
      <w:rFonts w:eastAsiaTheme="minorHAnsi" w:cs="Times New Roman"/>
      <w:sz w:val="20"/>
    </w:rPr>
  </w:style>
  <w:style w:type="paragraph" w:styleId="TOC6">
    <w:name w:val="toc 6"/>
    <w:basedOn w:val="a"/>
    <w:next w:val="a"/>
    <w:autoRedefine/>
    <w:uiPriority w:val="39"/>
    <w:semiHidden/>
    <w:unhideWhenUsed/>
    <w:rsid w:val="007C1906"/>
    <w:pPr>
      <w:ind w:left="1050"/>
      <w:jc w:val="left"/>
    </w:pPr>
    <w:rPr>
      <w:rFonts w:eastAsiaTheme="minorHAnsi" w:cs="Times New Roman"/>
      <w:sz w:val="20"/>
    </w:rPr>
  </w:style>
  <w:style w:type="paragraph" w:styleId="TOC7">
    <w:name w:val="toc 7"/>
    <w:basedOn w:val="a"/>
    <w:next w:val="a"/>
    <w:autoRedefine/>
    <w:uiPriority w:val="39"/>
    <w:semiHidden/>
    <w:unhideWhenUsed/>
    <w:rsid w:val="007C1906"/>
    <w:pPr>
      <w:ind w:left="1260"/>
      <w:jc w:val="left"/>
    </w:pPr>
    <w:rPr>
      <w:rFonts w:eastAsiaTheme="minorHAnsi" w:cs="Times New Roman"/>
      <w:sz w:val="20"/>
    </w:rPr>
  </w:style>
  <w:style w:type="paragraph" w:styleId="TOC8">
    <w:name w:val="toc 8"/>
    <w:basedOn w:val="a"/>
    <w:next w:val="a"/>
    <w:autoRedefine/>
    <w:uiPriority w:val="39"/>
    <w:semiHidden/>
    <w:unhideWhenUsed/>
    <w:rsid w:val="007C1906"/>
    <w:pPr>
      <w:ind w:left="1470"/>
      <w:jc w:val="left"/>
    </w:pPr>
    <w:rPr>
      <w:rFonts w:eastAsiaTheme="minorHAnsi" w:cs="Times New Roman"/>
      <w:sz w:val="20"/>
    </w:rPr>
  </w:style>
  <w:style w:type="paragraph" w:styleId="TOC9">
    <w:name w:val="toc 9"/>
    <w:basedOn w:val="a"/>
    <w:next w:val="a"/>
    <w:autoRedefine/>
    <w:uiPriority w:val="39"/>
    <w:semiHidden/>
    <w:unhideWhenUsed/>
    <w:rsid w:val="007C1906"/>
    <w:pPr>
      <w:ind w:left="1680"/>
      <w:jc w:val="left"/>
    </w:pPr>
    <w:rPr>
      <w:rFonts w:eastAsiaTheme="minorHAnsi" w:cs="Times New Roman"/>
      <w:sz w:val="20"/>
    </w:rPr>
  </w:style>
  <w:style w:type="character" w:styleId="af1">
    <w:name w:val="Hyperlink"/>
    <w:basedOn w:val="a0"/>
    <w:uiPriority w:val="99"/>
    <w:unhideWhenUsed/>
    <w:rsid w:val="00CF1B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735586">
      <w:bodyDiv w:val="1"/>
      <w:marLeft w:val="0"/>
      <w:marRight w:val="0"/>
      <w:marTop w:val="0"/>
      <w:marBottom w:val="0"/>
      <w:divBdr>
        <w:top w:val="none" w:sz="0" w:space="0" w:color="auto"/>
        <w:left w:val="none" w:sz="0" w:space="0" w:color="auto"/>
        <w:bottom w:val="none" w:sz="0" w:space="0" w:color="auto"/>
        <w:right w:val="none" w:sz="0" w:space="0" w:color="auto"/>
      </w:divBdr>
      <w:divsChild>
        <w:div w:id="1153722386">
          <w:marLeft w:val="0"/>
          <w:marRight w:val="0"/>
          <w:marTop w:val="0"/>
          <w:marBottom w:val="0"/>
          <w:divBdr>
            <w:top w:val="none" w:sz="0" w:space="0" w:color="auto"/>
            <w:left w:val="none" w:sz="0" w:space="0" w:color="auto"/>
            <w:bottom w:val="none" w:sz="0" w:space="0" w:color="auto"/>
            <w:right w:val="none" w:sz="0" w:space="0" w:color="auto"/>
          </w:divBdr>
          <w:divsChild>
            <w:div w:id="1613128456">
              <w:marLeft w:val="0"/>
              <w:marRight w:val="0"/>
              <w:marTop w:val="0"/>
              <w:marBottom w:val="0"/>
              <w:divBdr>
                <w:top w:val="none" w:sz="0" w:space="0" w:color="auto"/>
                <w:left w:val="none" w:sz="0" w:space="0" w:color="auto"/>
                <w:bottom w:val="none" w:sz="0" w:space="0" w:color="auto"/>
                <w:right w:val="none" w:sz="0" w:space="0" w:color="auto"/>
              </w:divBdr>
              <w:divsChild>
                <w:div w:id="195998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424260">
      <w:bodyDiv w:val="1"/>
      <w:marLeft w:val="0"/>
      <w:marRight w:val="0"/>
      <w:marTop w:val="0"/>
      <w:marBottom w:val="0"/>
      <w:divBdr>
        <w:top w:val="none" w:sz="0" w:space="0" w:color="auto"/>
        <w:left w:val="none" w:sz="0" w:space="0" w:color="auto"/>
        <w:bottom w:val="none" w:sz="0" w:space="0" w:color="auto"/>
        <w:right w:val="none" w:sz="0" w:space="0" w:color="auto"/>
      </w:divBdr>
    </w:div>
    <w:div w:id="1010832032">
      <w:bodyDiv w:val="1"/>
      <w:marLeft w:val="0"/>
      <w:marRight w:val="0"/>
      <w:marTop w:val="0"/>
      <w:marBottom w:val="0"/>
      <w:divBdr>
        <w:top w:val="none" w:sz="0" w:space="0" w:color="auto"/>
        <w:left w:val="none" w:sz="0" w:space="0" w:color="auto"/>
        <w:bottom w:val="none" w:sz="0" w:space="0" w:color="auto"/>
        <w:right w:val="none" w:sz="0" w:space="0" w:color="auto"/>
      </w:divBdr>
      <w:divsChild>
        <w:div w:id="914362120">
          <w:marLeft w:val="0"/>
          <w:marRight w:val="0"/>
          <w:marTop w:val="0"/>
          <w:marBottom w:val="0"/>
          <w:divBdr>
            <w:top w:val="none" w:sz="0" w:space="0" w:color="auto"/>
            <w:left w:val="none" w:sz="0" w:space="0" w:color="auto"/>
            <w:bottom w:val="none" w:sz="0" w:space="0" w:color="auto"/>
            <w:right w:val="none" w:sz="0" w:space="0" w:color="auto"/>
          </w:divBdr>
          <w:divsChild>
            <w:div w:id="181600881">
              <w:marLeft w:val="0"/>
              <w:marRight w:val="0"/>
              <w:marTop w:val="0"/>
              <w:marBottom w:val="0"/>
              <w:divBdr>
                <w:top w:val="none" w:sz="0" w:space="0" w:color="auto"/>
                <w:left w:val="none" w:sz="0" w:space="0" w:color="auto"/>
                <w:bottom w:val="none" w:sz="0" w:space="0" w:color="auto"/>
                <w:right w:val="none" w:sz="0" w:space="0" w:color="auto"/>
              </w:divBdr>
              <w:divsChild>
                <w:div w:id="190024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946536">
      <w:bodyDiv w:val="1"/>
      <w:marLeft w:val="0"/>
      <w:marRight w:val="0"/>
      <w:marTop w:val="0"/>
      <w:marBottom w:val="0"/>
      <w:divBdr>
        <w:top w:val="none" w:sz="0" w:space="0" w:color="auto"/>
        <w:left w:val="none" w:sz="0" w:space="0" w:color="auto"/>
        <w:bottom w:val="none" w:sz="0" w:space="0" w:color="auto"/>
        <w:right w:val="none" w:sz="0" w:space="0" w:color="auto"/>
      </w:divBdr>
    </w:div>
    <w:div w:id="1286690041">
      <w:bodyDiv w:val="1"/>
      <w:marLeft w:val="0"/>
      <w:marRight w:val="0"/>
      <w:marTop w:val="0"/>
      <w:marBottom w:val="0"/>
      <w:divBdr>
        <w:top w:val="none" w:sz="0" w:space="0" w:color="auto"/>
        <w:left w:val="none" w:sz="0" w:space="0" w:color="auto"/>
        <w:bottom w:val="none" w:sz="0" w:space="0" w:color="auto"/>
        <w:right w:val="none" w:sz="0" w:space="0" w:color="auto"/>
      </w:divBdr>
    </w:div>
    <w:div w:id="1364403617">
      <w:bodyDiv w:val="1"/>
      <w:marLeft w:val="0"/>
      <w:marRight w:val="0"/>
      <w:marTop w:val="0"/>
      <w:marBottom w:val="0"/>
      <w:divBdr>
        <w:top w:val="none" w:sz="0" w:space="0" w:color="auto"/>
        <w:left w:val="none" w:sz="0" w:space="0" w:color="auto"/>
        <w:bottom w:val="none" w:sz="0" w:space="0" w:color="auto"/>
        <w:right w:val="none" w:sz="0" w:space="0" w:color="auto"/>
      </w:divBdr>
      <w:divsChild>
        <w:div w:id="943197050">
          <w:marLeft w:val="0"/>
          <w:marRight w:val="0"/>
          <w:marTop w:val="0"/>
          <w:marBottom w:val="0"/>
          <w:divBdr>
            <w:top w:val="none" w:sz="0" w:space="0" w:color="auto"/>
            <w:left w:val="none" w:sz="0" w:space="0" w:color="auto"/>
            <w:bottom w:val="none" w:sz="0" w:space="0" w:color="auto"/>
            <w:right w:val="none" w:sz="0" w:space="0" w:color="auto"/>
          </w:divBdr>
          <w:divsChild>
            <w:div w:id="1251502269">
              <w:marLeft w:val="0"/>
              <w:marRight w:val="0"/>
              <w:marTop w:val="0"/>
              <w:marBottom w:val="0"/>
              <w:divBdr>
                <w:top w:val="none" w:sz="0" w:space="0" w:color="auto"/>
                <w:left w:val="none" w:sz="0" w:space="0" w:color="auto"/>
                <w:bottom w:val="none" w:sz="0" w:space="0" w:color="auto"/>
                <w:right w:val="none" w:sz="0" w:space="0" w:color="auto"/>
              </w:divBdr>
              <w:divsChild>
                <w:div w:id="799764456">
                  <w:marLeft w:val="0"/>
                  <w:marRight w:val="0"/>
                  <w:marTop w:val="0"/>
                  <w:marBottom w:val="0"/>
                  <w:divBdr>
                    <w:top w:val="none" w:sz="0" w:space="0" w:color="auto"/>
                    <w:left w:val="none" w:sz="0" w:space="0" w:color="auto"/>
                    <w:bottom w:val="none" w:sz="0" w:space="0" w:color="auto"/>
                    <w:right w:val="none" w:sz="0" w:space="0" w:color="auto"/>
                  </w:divBdr>
                  <w:divsChild>
                    <w:div w:id="198419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908262">
      <w:bodyDiv w:val="1"/>
      <w:marLeft w:val="0"/>
      <w:marRight w:val="0"/>
      <w:marTop w:val="0"/>
      <w:marBottom w:val="0"/>
      <w:divBdr>
        <w:top w:val="none" w:sz="0" w:space="0" w:color="auto"/>
        <w:left w:val="none" w:sz="0" w:space="0" w:color="auto"/>
        <w:bottom w:val="none" w:sz="0" w:space="0" w:color="auto"/>
        <w:right w:val="none" w:sz="0" w:space="0" w:color="auto"/>
      </w:divBdr>
    </w:div>
    <w:div w:id="147850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europe.uk/" TargetMode="External"/><Relationship Id="rId13" Type="http://schemas.openxmlformats.org/officeDocument/2006/relationships/hyperlink" Target="https://investindk.com/" TargetMode="External"/><Relationship Id="rId18" Type="http://schemas.openxmlformats.org/officeDocument/2006/relationships/hyperlink" Target="https://www.hofstede-insights.com/resources/report/global-report-2024?utm_source=chatgpt.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hofstede-insights.com/country-comparison-tool?utm_source=chatgpt.com" TargetMode="External"/><Relationship Id="rId17" Type="http://schemas.openxmlformats.org/officeDocument/2006/relationships/hyperlink" Target="https://www.statista.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ns.gov.uk/" TargetMode="External"/><Relationship Id="rId20" Type="http://schemas.openxmlformats.org/officeDocument/2006/relationships/hyperlink" Target="https://www.worldbank.or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gov.uk/export-from-uk/markets/denmark/?utm_source=chatgpt.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ecd.org/en/publications/denmark-2023_755105d6-en.html?utm_source=chatgpt.com" TargetMode="External"/><Relationship Id="rId23" Type="http://schemas.openxmlformats.org/officeDocument/2006/relationships/footer" Target="footer3.xml"/><Relationship Id="rId10" Type="http://schemas.openxmlformats.org/officeDocument/2006/relationships/hyperlink" Target="https://www.businesseurope.uk/denmark/business-culture-in-denmark/?utm_source=chatgpt.com" TargetMode="External"/><Relationship Id="rId19" Type="http://schemas.openxmlformats.org/officeDocument/2006/relationships/hyperlink" Target="https://assets.publishing.service.gov.uk/media/691348035dec0071ce4963b0/denmark-trade-and-investment-factsheet-2025-10-31.pdf?utm_source=chatgpt.com" TargetMode="External"/><Relationship Id="rId4" Type="http://schemas.openxmlformats.org/officeDocument/2006/relationships/webSettings" Target="webSettings.xml"/><Relationship Id="rId9" Type="http://schemas.openxmlformats.org/officeDocument/2006/relationships/hyperlink" Target="https://www.businesseurope.eu/" TargetMode="External"/><Relationship Id="rId14" Type="http://schemas.openxmlformats.org/officeDocument/2006/relationships/hyperlink" Target="https://www.mckinsey.com/" TargetMode="External"/><Relationship Id="rId22"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A45AD-4353-114B-AC70-BED4F4EA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20</Pages>
  <Words>3633</Words>
  <Characters>20713</Characters>
  <Application>Microsoft Office Word</Application>
  <DocSecurity>0</DocSecurity>
  <Lines>172</Lines>
  <Paragraphs>48</Paragraphs>
  <ScaleCrop>false</ScaleCrop>
  <Company/>
  <LinksUpToDate>false</LinksUpToDate>
  <CharactersWithSpaces>24298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Communication and cultural</dc:title>
  <dc:subject>BMBM6021 International Business Communication</dc:subject>
  <dc:creator>Lecturer: Jaliya de Silva</dc:creator>
  <cp:keywords/>
  <dc:description/>
  <cp:lastModifiedBy>Yuwei Liu (2414567)</cp:lastModifiedBy>
  <cp:revision>8</cp:revision>
  <dcterms:created xsi:type="dcterms:W3CDTF">2025-11-07T14:38:00Z</dcterms:created>
  <dcterms:modified xsi:type="dcterms:W3CDTF">2025-12-19T13:45:00Z</dcterms:modified>
</cp:coreProperties>
</file>