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2D1FD" w14:textId="2B57A449" w:rsidR="0022414E" w:rsidRDefault="0022414E" w:rsidP="0022414E">
      <w:pPr>
        <w:rPr>
          <w:lang w:val="en-US"/>
        </w:rPr>
      </w:pPr>
      <w:r>
        <w:rPr>
          <w:lang w:val="en-US"/>
        </w:rPr>
        <w:t>Ashley Mc Fee</w:t>
      </w:r>
    </w:p>
    <w:p w14:paraId="0DC21918" w14:textId="577E270D" w:rsidR="0022414E" w:rsidRDefault="0022414E" w:rsidP="0022414E">
      <w:pPr>
        <w:rPr>
          <w:lang w:val="en-US"/>
        </w:rPr>
      </w:pPr>
      <w:r>
        <w:rPr>
          <w:lang w:val="en-US"/>
        </w:rPr>
        <w:t>How Soon is then? Thatcher and Reagan</w:t>
      </w:r>
    </w:p>
    <w:p w14:paraId="13A732B0" w14:textId="55FD00B1" w:rsidR="0022414E" w:rsidRDefault="0022414E" w:rsidP="0022414E">
      <w:pPr>
        <w:rPr>
          <w:lang w:val="en-US"/>
        </w:rPr>
      </w:pPr>
      <w:r>
        <w:rPr>
          <w:lang w:val="en-US"/>
        </w:rPr>
        <w:t xml:space="preserve">Dr </w:t>
      </w:r>
      <w:proofErr w:type="spellStart"/>
      <w:r>
        <w:rPr>
          <w:lang w:val="en-US"/>
        </w:rPr>
        <w:t>Janek</w:t>
      </w:r>
      <w:proofErr w:type="spellEnd"/>
      <w:r>
        <w:rPr>
          <w:lang w:val="en-US"/>
        </w:rPr>
        <w:t xml:space="preserve"> </w:t>
      </w:r>
      <w:proofErr w:type="spellStart"/>
      <w:r>
        <w:rPr>
          <w:lang w:val="en-US"/>
        </w:rPr>
        <w:t>Gryta</w:t>
      </w:r>
      <w:proofErr w:type="spellEnd"/>
    </w:p>
    <w:p w14:paraId="1F759D89" w14:textId="6BC7E158" w:rsidR="0022414E" w:rsidRDefault="0022414E" w:rsidP="0022414E">
      <w:pPr>
        <w:rPr>
          <w:lang w:val="en-US"/>
        </w:rPr>
      </w:pPr>
      <w:r>
        <w:rPr>
          <w:lang w:val="en-US"/>
        </w:rPr>
        <w:t>May 5, 2023</w:t>
      </w:r>
    </w:p>
    <w:p w14:paraId="087853A0" w14:textId="34E426AA" w:rsidR="0022414E" w:rsidRPr="0022414E" w:rsidRDefault="0022414E" w:rsidP="0022414E">
      <w:pPr>
        <w:jc w:val="center"/>
        <w:rPr>
          <w:b/>
          <w:bCs/>
          <w:u w:val="single"/>
          <w:lang w:val="en-US"/>
        </w:rPr>
      </w:pPr>
      <w:r w:rsidRPr="0022414E">
        <w:rPr>
          <w:b/>
          <w:bCs/>
          <w:u w:val="single"/>
          <w:lang w:val="en-US"/>
        </w:rPr>
        <w:t>Expressing the 1980s Social Affairs through The Handmaid’s Tale: The Reagan Era, A Historical Reflection and Social Speculation</w:t>
      </w:r>
    </w:p>
    <w:p w14:paraId="638D72A6" w14:textId="6DFB9249" w:rsidR="008D7DA3" w:rsidRDefault="00C21A14" w:rsidP="00AB6A14">
      <w:pPr>
        <w:ind w:firstLine="720"/>
      </w:pPr>
      <w:r>
        <w:rPr>
          <w:lang w:val="en-US"/>
        </w:rPr>
        <w:t xml:space="preserve">The consideration of women’s rights and LGBTQ+ rights are often </w:t>
      </w:r>
      <w:r w:rsidR="00C16157">
        <w:rPr>
          <w:lang w:val="en-US"/>
        </w:rPr>
        <w:t>intertwined</w:t>
      </w:r>
      <w:r>
        <w:rPr>
          <w:lang w:val="en-US"/>
        </w:rPr>
        <w:t xml:space="preserve"> </w:t>
      </w:r>
      <w:r w:rsidR="00C16157">
        <w:rPr>
          <w:lang w:val="en-US"/>
        </w:rPr>
        <w:t xml:space="preserve">and examined within </w:t>
      </w:r>
      <w:r>
        <w:rPr>
          <w:lang w:val="en-US"/>
        </w:rPr>
        <w:t>the context of religions and the</w:t>
      </w:r>
      <w:r w:rsidR="00C16157">
        <w:rPr>
          <w:lang w:val="en-US"/>
        </w:rPr>
        <w:t>ir</w:t>
      </w:r>
      <w:r>
        <w:rPr>
          <w:lang w:val="en-US"/>
        </w:rPr>
        <w:t xml:space="preserve"> beliefs. Governments and societies have throughout history largely relied on theocracy as the guiding light of political</w:t>
      </w:r>
      <w:r w:rsidR="00C16157">
        <w:rPr>
          <w:lang w:val="en-US"/>
        </w:rPr>
        <w:t>, moral,</w:t>
      </w:r>
      <w:r>
        <w:rPr>
          <w:lang w:val="en-US"/>
        </w:rPr>
        <w:t xml:space="preserve"> </w:t>
      </w:r>
      <w:r w:rsidR="00C16157">
        <w:rPr>
          <w:lang w:val="en-US"/>
        </w:rPr>
        <w:t xml:space="preserve">and social </w:t>
      </w:r>
      <w:r>
        <w:rPr>
          <w:lang w:val="en-US"/>
        </w:rPr>
        <w:t>discourse. True to this notion is the American political</w:t>
      </w:r>
      <w:r w:rsidR="00C16157">
        <w:rPr>
          <w:lang w:val="en-US"/>
        </w:rPr>
        <w:t xml:space="preserve"> and social</w:t>
      </w:r>
      <w:r>
        <w:rPr>
          <w:lang w:val="en-US"/>
        </w:rPr>
        <w:t xml:space="preserve"> sphere, where theocracy has consistently impacted the way governments </w:t>
      </w:r>
      <w:r w:rsidR="00C16157">
        <w:rPr>
          <w:lang w:val="en-US"/>
        </w:rPr>
        <w:t xml:space="preserve">have </w:t>
      </w:r>
      <w:r>
        <w:rPr>
          <w:lang w:val="en-US"/>
        </w:rPr>
        <w:t>functioned on a cellular level.</w:t>
      </w:r>
      <w:r w:rsidR="00210AA6">
        <w:rPr>
          <w:lang w:val="en-US"/>
        </w:rPr>
        <w:t xml:space="preserve"> As it were, American culture has had vast dependence on religion before the eighteenth century</w:t>
      </w:r>
      <w:r w:rsidR="00210AA6">
        <w:rPr>
          <w:rStyle w:val="FootnoteReference"/>
          <w:lang w:val="en-US"/>
        </w:rPr>
        <w:footnoteReference w:id="1"/>
      </w:r>
      <w:r w:rsidR="00210AA6">
        <w:rPr>
          <w:lang w:val="en-US"/>
        </w:rPr>
        <w:t xml:space="preserve"> and consistently so for the following three centuries.</w:t>
      </w:r>
      <w:r w:rsidR="00AB6A14">
        <w:rPr>
          <w:lang w:val="en-US"/>
        </w:rPr>
        <w:t xml:space="preserve"> Ronald Reagan’s administration adapted the same notion of religion as an influence on the governing of America</w:t>
      </w:r>
      <w:r w:rsidR="00C16157">
        <w:rPr>
          <w:lang w:val="en-US"/>
        </w:rPr>
        <w:t xml:space="preserve">. While the fundamental platform of his bid to secure the White House was the restoration of the economic structure of the country, the subplots involved his alignment with the Christian Right movement and other Christian coalitions, like the Moral Majority and their central values. These central values included </w:t>
      </w:r>
      <w:r w:rsidR="00B57992">
        <w:rPr>
          <w:lang w:val="en-US"/>
        </w:rPr>
        <w:t xml:space="preserve">the opposition of abortion, which completely disregards a woman’s right to bodily autonomy, opposition of LGBTQ+ rights, the inclusion of Christian prayers in schools and advocating for religious conversion to Christianity. Although vocal on a few of </w:t>
      </w:r>
      <w:r w:rsidR="001A59AE">
        <w:rPr>
          <w:lang w:val="en-US"/>
        </w:rPr>
        <w:t>this rhetoric</w:t>
      </w:r>
      <w:r w:rsidR="00B57992">
        <w:rPr>
          <w:lang w:val="en-US"/>
        </w:rPr>
        <w:t xml:space="preserve">, like a true politician, Reagan thinly veiled his </w:t>
      </w:r>
      <w:r w:rsidR="00EC1EB7">
        <w:rPr>
          <w:lang w:val="en-US"/>
        </w:rPr>
        <w:t xml:space="preserve">beliefs </w:t>
      </w:r>
      <w:r w:rsidR="00BE4490">
        <w:rPr>
          <w:lang w:val="en-US"/>
        </w:rPr>
        <w:t>behind</w:t>
      </w:r>
      <w:r w:rsidR="00EC1EB7">
        <w:rPr>
          <w:lang w:val="en-US"/>
        </w:rPr>
        <w:t xml:space="preserve"> expressions like “traditional values” and “traditional family.”</w:t>
      </w:r>
      <w:r w:rsidR="001A59AE">
        <w:rPr>
          <w:rStyle w:val="FootnoteReference"/>
          <w:lang w:val="en-US"/>
        </w:rPr>
        <w:footnoteReference w:id="2"/>
      </w:r>
      <w:r w:rsidR="00EC1EB7">
        <w:rPr>
          <w:lang w:val="en-US"/>
        </w:rPr>
        <w:t xml:space="preserve"> </w:t>
      </w:r>
      <w:r w:rsidR="00B57992">
        <w:rPr>
          <w:lang w:val="en-US"/>
        </w:rPr>
        <w:t xml:space="preserve"> </w:t>
      </w:r>
      <w:r w:rsidR="00BE4490">
        <w:rPr>
          <w:lang w:val="en-US"/>
        </w:rPr>
        <w:t xml:space="preserve">Margaret Atwood discusses these ideas presented as traditional values in her popular novel, </w:t>
      </w:r>
      <w:r w:rsidR="00BE4490">
        <w:rPr>
          <w:i/>
          <w:iCs/>
          <w:lang w:val="en-US"/>
        </w:rPr>
        <w:t xml:space="preserve">The Handmaid’s Tale. </w:t>
      </w:r>
      <w:r w:rsidR="00BE4490">
        <w:rPr>
          <w:lang w:val="en-US"/>
        </w:rPr>
        <w:t xml:space="preserve">Published in 1985, the novel thematically </w:t>
      </w:r>
      <w:r w:rsidR="007B13CC">
        <w:rPr>
          <w:lang w:val="en-US"/>
        </w:rPr>
        <w:t xml:space="preserve">focuses on the dissolution of the American government and the domination of </w:t>
      </w:r>
      <w:r w:rsidR="00D27657">
        <w:rPr>
          <w:lang w:val="en-US"/>
        </w:rPr>
        <w:t>Christianity, and it’s influence on the lives of women and the society in general. This is in the</w:t>
      </w:r>
      <w:r w:rsidR="007B13CC">
        <w:rPr>
          <w:lang w:val="en-US"/>
        </w:rPr>
        <w:t xml:space="preserve"> </w:t>
      </w:r>
      <w:r w:rsidR="00D27657">
        <w:rPr>
          <w:lang w:val="en-US"/>
        </w:rPr>
        <w:t>context of</w:t>
      </w:r>
      <w:r w:rsidR="007B13CC">
        <w:rPr>
          <w:lang w:val="en-US"/>
        </w:rPr>
        <w:t xml:space="preserve"> its </w:t>
      </w:r>
      <w:r w:rsidR="00D27657">
        <w:rPr>
          <w:lang w:val="en-US"/>
        </w:rPr>
        <w:t>principal</w:t>
      </w:r>
      <w:r w:rsidR="007B13CC">
        <w:rPr>
          <w:lang w:val="en-US"/>
        </w:rPr>
        <w:t xml:space="preserve"> influence on the 1980s and how society would </w:t>
      </w:r>
      <w:r w:rsidR="003C6DC1">
        <w:rPr>
          <w:lang w:val="en-US"/>
        </w:rPr>
        <w:t xml:space="preserve">conceivably work out due to such a prevalent impact. Although a work of fiction, the novel as a primary source permits a critical analysis of the cultural and historical ideas of the 1980s, illuminating real world situations in a creative way, without the typical direct approach of non-fiction sources. In </w:t>
      </w:r>
      <w:r w:rsidR="00AD532F">
        <w:rPr>
          <w:lang w:val="en-US"/>
        </w:rPr>
        <w:t>underscoring</w:t>
      </w:r>
      <w:r w:rsidR="003C6DC1">
        <w:rPr>
          <w:lang w:val="en-US"/>
        </w:rPr>
        <w:t xml:space="preserve"> the accuracy of </w:t>
      </w:r>
      <w:r w:rsidR="0033735D">
        <w:rPr>
          <w:lang w:val="en-US"/>
        </w:rPr>
        <w:t xml:space="preserve">fiction film’s reflection of history and the past, </w:t>
      </w:r>
      <w:proofErr w:type="spellStart"/>
      <w:r w:rsidR="0033735D">
        <w:rPr>
          <w:lang w:val="en-US"/>
        </w:rPr>
        <w:t>Engelen</w:t>
      </w:r>
      <w:proofErr w:type="spellEnd"/>
      <w:r w:rsidR="0033735D">
        <w:rPr>
          <w:lang w:val="en-US"/>
        </w:rPr>
        <w:t xml:space="preserve"> suggests that “</w:t>
      </w:r>
      <w:r w:rsidR="0033735D">
        <w:t>Cinematic history has its own idiom, favouring a poetic-symbolic encounter over historiography’s rational-scientific encounter with the past.”</w:t>
      </w:r>
      <w:r w:rsidR="0033735D">
        <w:rPr>
          <w:rStyle w:val="FootnoteReference"/>
        </w:rPr>
        <w:footnoteReference w:id="3"/>
      </w:r>
      <w:r w:rsidR="0033735D">
        <w:t xml:space="preserve"> The same consideration could be given to fictional novels as a means of exploring the past. </w:t>
      </w:r>
      <w:r w:rsidR="00395EA0">
        <w:t xml:space="preserve">In analysing </w:t>
      </w:r>
      <w:r w:rsidR="00395EA0">
        <w:rPr>
          <w:i/>
          <w:iCs/>
        </w:rPr>
        <w:t>The Handmaid’s Tale</w:t>
      </w:r>
      <w:r w:rsidR="00395EA0">
        <w:t xml:space="preserve"> as a primary source, emphasis is placed on Christianity and traditional values as the foundational system, the</w:t>
      </w:r>
      <w:r w:rsidR="00EA03A9">
        <w:t xml:space="preserve"> abnormal obsession of the </w:t>
      </w:r>
      <w:r w:rsidR="00EA03A9">
        <w:lastRenderedPageBreak/>
        <w:t>control of women</w:t>
      </w:r>
      <w:r w:rsidR="00437BE6">
        <w:t xml:space="preserve"> and their bodies</w:t>
      </w:r>
      <w:r w:rsidR="00EA03A9">
        <w:t xml:space="preserve"> and the lack of LGBTQ+ rights as it relates to 1980s America under the Reagan regime</w:t>
      </w:r>
      <w:r w:rsidR="00F437E8">
        <w:t xml:space="preserve"> </w:t>
      </w:r>
      <w:r w:rsidR="00D27657">
        <w:t>as well as</w:t>
      </w:r>
      <w:r w:rsidR="00F437E8">
        <w:t xml:space="preserve"> the significance of the source in this current social climate</w:t>
      </w:r>
      <w:r w:rsidR="00EA03A9">
        <w:t>.</w:t>
      </w:r>
    </w:p>
    <w:p w14:paraId="2644A0DF" w14:textId="1FB2C64D" w:rsidR="007E5C19" w:rsidRDefault="00337F87" w:rsidP="00AB6A14">
      <w:pPr>
        <w:ind w:firstLine="720"/>
      </w:pPr>
      <w:r>
        <w:t>One of Atwood’s</w:t>
      </w:r>
      <w:r w:rsidR="00804A28">
        <w:t xml:space="preserve"> preoccupation</w:t>
      </w:r>
      <w:r w:rsidR="000B7BFB">
        <w:t>s</w:t>
      </w:r>
      <w:r w:rsidR="00804A28">
        <w:t xml:space="preserve"> in this novel is the placement of Christianity in the society, it is the foundation of the novel. Her dystopian world</w:t>
      </w:r>
      <w:r w:rsidR="00EC53CD">
        <w:t>, Gilead,</w:t>
      </w:r>
      <w:r w:rsidR="00804A28">
        <w:t xml:space="preserve"> is in fact a theocratic society</w:t>
      </w:r>
      <w:r w:rsidR="00EC53CD">
        <w:t xml:space="preserve"> </w:t>
      </w:r>
      <w:r w:rsidR="00804A28">
        <w:t>where Christianity dictates the natural order</w:t>
      </w:r>
      <w:r w:rsidR="00D27657">
        <w:t>,</w:t>
      </w:r>
      <w:r w:rsidR="00804A28">
        <w:t xml:space="preserve"> from the people who live in this society to the justification of social structure and behaviour.  </w:t>
      </w:r>
      <w:r w:rsidR="00EC53CD">
        <w:t>Atwood</w:t>
      </w:r>
      <w:r w:rsidR="00C3784B">
        <w:t xml:space="preserve"> </w:t>
      </w:r>
      <w:r w:rsidR="00EC53CD">
        <w:t>presents Christianity as a dominant power which destroy</w:t>
      </w:r>
      <w:r w:rsidR="00C3784B">
        <w:t>s</w:t>
      </w:r>
      <w:r w:rsidR="00EC53CD">
        <w:t xml:space="preserve"> the democratic freedoms of American society, replacing it with a theocratic and chauvinistic dominion. This expression of Christianity stemmed from the growing in influence of Christian groups in the USA during the Reagan administration. With the support of Reagan, they had infiltrated the political atmosphere, influencing electoral votes, </w:t>
      </w:r>
      <w:r w:rsidR="009C6424">
        <w:t>lobbying</w:t>
      </w:r>
      <w:r w:rsidR="00EC53CD">
        <w:t xml:space="preserve"> legislations, and pushing rhetoric which aligned with their </w:t>
      </w:r>
      <w:r w:rsidR="009C6424">
        <w:t>agendas,</w:t>
      </w:r>
      <w:r w:rsidR="00EC53CD">
        <w:t xml:space="preserve"> making them</w:t>
      </w:r>
      <w:r w:rsidR="009C6424">
        <w:t xml:space="preserve"> somewhat</w:t>
      </w:r>
      <w:r w:rsidR="00EC53CD">
        <w:t xml:space="preserve"> indispensable in the political </w:t>
      </w:r>
      <w:r w:rsidR="009C6424">
        <w:t>circles. It d</w:t>
      </w:r>
      <w:r w:rsidR="007E5C19">
        <w:t>id</w:t>
      </w:r>
      <w:r w:rsidR="009C6424">
        <w:t xml:space="preserve"> not help that there was </w:t>
      </w:r>
      <w:r w:rsidR="007E5C19">
        <w:t>exponential</w:t>
      </w:r>
      <w:r w:rsidR="009C6424">
        <w:t xml:space="preserve"> growth in</w:t>
      </w:r>
      <w:r w:rsidR="00175166">
        <w:t xml:space="preserve"> the</w:t>
      </w:r>
      <w:r w:rsidR="009C6424">
        <w:t xml:space="preserve"> televangelism</w:t>
      </w:r>
      <w:r w:rsidR="007E5C19">
        <w:t xml:space="preserve"> and televangelist during that period</w:t>
      </w:r>
      <w:r w:rsidR="00175166">
        <w:t xml:space="preserve"> which directly influenced the increase audience</w:t>
      </w:r>
      <w:r w:rsidR="007E5C19">
        <w:t>.</w:t>
      </w:r>
      <w:r w:rsidR="007E5C19">
        <w:rPr>
          <w:rStyle w:val="FootnoteReference"/>
        </w:rPr>
        <w:footnoteReference w:id="4"/>
      </w:r>
      <w:r w:rsidR="007E5C19">
        <w:t xml:space="preserve"> Numbers grew from within the thousands to millions over the course of the Reagan administration, </w:t>
      </w:r>
      <w:r w:rsidR="009C6424">
        <w:t>which helped to push the narratives of Conservative Christians and the Moral Morality</w:t>
      </w:r>
      <w:r w:rsidR="007E5C19">
        <w:t>. According to Hadden:</w:t>
      </w:r>
    </w:p>
    <w:p w14:paraId="40D2F0DC" w14:textId="31BB3104" w:rsidR="00D549A2" w:rsidRDefault="007E5C19" w:rsidP="00D549A2">
      <w:pPr>
        <w:ind w:left="720" w:firstLine="60"/>
      </w:pPr>
      <w:r>
        <w:t>Televangelists forged a coalition that provided critical electoral support for Ronal Reagan and George Bush while also playing a significant role in defining the social agenda of the decade.</w:t>
      </w:r>
      <w:r>
        <w:rPr>
          <w:rStyle w:val="FootnoteReference"/>
        </w:rPr>
        <w:footnoteReference w:id="5"/>
      </w:r>
    </w:p>
    <w:p w14:paraId="2410E8D4" w14:textId="286E4659" w:rsidR="004A1F3F" w:rsidRDefault="00D549A2" w:rsidP="007E5C19">
      <w:r>
        <w:t xml:space="preserve">Tennant argues that the sole purpose of religion in </w:t>
      </w:r>
      <w:r>
        <w:rPr>
          <w:i/>
          <w:iCs/>
        </w:rPr>
        <w:t>The Handmaid’s Tale</w:t>
      </w:r>
      <w:r>
        <w:t xml:space="preserve"> is to maintain a sense of control</w:t>
      </w:r>
      <w:r w:rsidR="00832F25">
        <w:t xml:space="preserve"> rather than to “actually practice any form of sincere faith.”</w:t>
      </w:r>
      <w:r w:rsidR="00832F25">
        <w:rPr>
          <w:rStyle w:val="FootnoteReference"/>
        </w:rPr>
        <w:footnoteReference w:id="6"/>
      </w:r>
      <w:r>
        <w:t xml:space="preserve"> </w:t>
      </w:r>
      <w:r w:rsidR="004D057E">
        <w:t xml:space="preserve">The same could be said about Reagan’s religious beliefs and the choice to follow through with the social agenda of the conservative Christians. It becomes less about worshipping God and more about satisfying a need to control the autonomy of people within the American society; dictating what is morally just and unjust. </w:t>
      </w:r>
      <w:r w:rsidR="00175166">
        <w:t>From Atwood’s perspective, the newfound power that the Christian rights and Moral Majority had inherited</w:t>
      </w:r>
      <w:r w:rsidR="004D057E">
        <w:t xml:space="preserve"> in America</w:t>
      </w:r>
      <w:r w:rsidR="00175166">
        <w:t xml:space="preserve"> was far too much</w:t>
      </w:r>
      <w:r w:rsidR="00DD03B8">
        <w:t>. This is the basis of her argument; that the supplying of such power would provide these groups with the opportunity to one day overthrow democracy and to rely solely on the religious doctrines as the guiding principles of American politics, creating an independent theocratic nation.</w:t>
      </w:r>
      <w:r>
        <w:t xml:space="preserve"> </w:t>
      </w:r>
      <w:r w:rsidR="00127B94">
        <w:t xml:space="preserve"> </w:t>
      </w:r>
      <w:r w:rsidR="007B145C">
        <w:t>Atwood regards all the ways in which this possibility would have been detrimental to the American society</w:t>
      </w:r>
      <w:r>
        <w:t>,</w:t>
      </w:r>
      <w:r w:rsidR="007B145C">
        <w:t xml:space="preserve"> as she points out how the dystopi</w:t>
      </w:r>
      <w:r w:rsidR="00437BE6">
        <w:t>an</w:t>
      </w:r>
      <w:r w:rsidR="007B145C">
        <w:t xml:space="preserve"> </w:t>
      </w:r>
      <w:r w:rsidR="00437BE6">
        <w:t>world</w:t>
      </w:r>
      <w:r w:rsidR="007B145C">
        <w:t xml:space="preserve"> she create</w:t>
      </w:r>
      <w:r>
        <w:t xml:space="preserve">d </w:t>
      </w:r>
      <w:r w:rsidR="00437BE6">
        <w:t>alter</w:t>
      </w:r>
      <w:r w:rsidR="007B145C">
        <w:t>s biblical references</w:t>
      </w:r>
      <w:r w:rsidR="00437BE6">
        <w:t>, using them as tools for</w:t>
      </w:r>
      <w:r w:rsidR="007B145C">
        <w:t xml:space="preserve"> justification </w:t>
      </w:r>
      <w:r w:rsidR="00437BE6">
        <w:t>of</w:t>
      </w:r>
      <w:r w:rsidR="007B145C">
        <w:t xml:space="preserve"> social norms</w:t>
      </w:r>
      <w:r w:rsidR="00437BE6">
        <w:t>. Offred, the narrator</w:t>
      </w:r>
      <w:r w:rsidR="00C3784B">
        <w:t>,</w:t>
      </w:r>
      <w:r w:rsidR="00437BE6">
        <w:t xml:space="preserve"> recounts a moment </w:t>
      </w:r>
      <w:r w:rsidR="00736942">
        <w:t>where Aunt Lydia dissuades her from becoming attached to the material world by quoting an abbreviated version of Matthew 5:5:</w:t>
      </w:r>
    </w:p>
    <w:p w14:paraId="3F3319F0" w14:textId="22E895A5" w:rsidR="00736942" w:rsidRDefault="00736942" w:rsidP="00736942">
      <w:pPr>
        <w:ind w:left="720"/>
      </w:pPr>
      <w:r>
        <w:t xml:space="preserve">I’ve learned to do without a lot of things. If you have a lot of things, said Aunt Lydia, you get too attached to this material world and you forget about spiritual values. You must </w:t>
      </w:r>
      <w:r>
        <w:lastRenderedPageBreak/>
        <w:t xml:space="preserve">cultivate poverty of spirit. Blessed are the meek. She didn’t </w:t>
      </w:r>
      <w:r w:rsidR="002358C1">
        <w:t xml:space="preserve">go </w:t>
      </w:r>
      <w:r>
        <w:t>on to say anything about inheriting the world.</w:t>
      </w:r>
      <w:r w:rsidR="002358C1">
        <w:rPr>
          <w:rStyle w:val="FootnoteReference"/>
        </w:rPr>
        <w:footnoteReference w:id="7"/>
      </w:r>
    </w:p>
    <w:p w14:paraId="17A0EFD2" w14:textId="312B4F01" w:rsidR="00EB5994" w:rsidRDefault="00736942" w:rsidP="00736942">
      <w:r>
        <w:t xml:space="preserve">The entire scripture verse is fashioned, “Blessed are the meek, for they will inherit the </w:t>
      </w:r>
      <w:r w:rsidR="00EB5994">
        <w:t>world.” To abbreviate the scripture meant th</w:t>
      </w:r>
      <w:r w:rsidR="00C3784B">
        <w:t xml:space="preserve">at </w:t>
      </w:r>
      <w:r w:rsidR="00EB5994">
        <w:t xml:space="preserve">Aunt Lydia was trying to make a point without the </w:t>
      </w:r>
      <w:r w:rsidR="00C3784B">
        <w:t xml:space="preserve">true </w:t>
      </w:r>
      <w:r w:rsidR="00EB5994">
        <w:t>context; it fit the narrative</w:t>
      </w:r>
      <w:r w:rsidR="00F165BC">
        <w:t xml:space="preserve">. </w:t>
      </w:r>
      <w:r w:rsidR="002358C1" w:rsidRPr="002358C1">
        <w:t xml:space="preserve">In this case, Atwood presented how she saw Christianity advancing in the 1980s, where they had total authority to do what they wanted without anyone opposing them or causing any </w:t>
      </w:r>
      <w:r w:rsidR="00832F25" w:rsidRPr="002358C1">
        <w:t>repercussions.</w:t>
      </w:r>
      <w:r w:rsidR="004B23CF">
        <w:t xml:space="preserve"> </w:t>
      </w:r>
      <w:r w:rsidR="004D057E">
        <w:t xml:space="preserve">Christianity and traditional values converged in the minds of Ronald Reagan’s administration and many conservatives in the </w:t>
      </w:r>
      <w:r w:rsidR="00337F87">
        <w:t>1980s and</w:t>
      </w:r>
      <w:r w:rsidR="00C3784B">
        <w:t xml:space="preserve">, </w:t>
      </w:r>
      <w:r w:rsidR="00337F87">
        <w:t xml:space="preserve">it was with the idea that to be Christian was to uphold certain </w:t>
      </w:r>
      <w:r w:rsidR="00C3784B">
        <w:t>values, moreover, traditional values</w:t>
      </w:r>
      <w:r w:rsidR="00337F87">
        <w:t>; re-establishing that men were to work whereas women were to procreate. This becomes another focal point in Atwood’s depiction of the 1980s in the novel.</w:t>
      </w:r>
      <w:r w:rsidR="00A97B54">
        <w:t xml:space="preserve"> </w:t>
      </w:r>
    </w:p>
    <w:p w14:paraId="563C9D10" w14:textId="62BFBC73" w:rsidR="00A97B54" w:rsidRDefault="00A97B54" w:rsidP="00736942">
      <w:r>
        <w:tab/>
        <w:t>Women’s bodies had become “a national resource”</w:t>
      </w:r>
      <w:r w:rsidR="00EA260A">
        <w:rPr>
          <w:rStyle w:val="FootnoteReference"/>
        </w:rPr>
        <w:footnoteReference w:id="8"/>
      </w:r>
      <w:r>
        <w:t xml:space="preserve"> in this totalitarian society. It was meant to claim that their bodies were valuable only for procreation and nothing else. The very term “handmaid” suggested this idea. In Gilead there was an abnormal obsession with controlling women and their bodies, dictating who they had sexual relationships with, what they ate and what they did. It was a similar occurrence in 1980s America where the government and the Christian movements believed that women should only be confined to the stereotypical roles of womanhood. Throughout the novel</w:t>
      </w:r>
      <w:r w:rsidR="00C3784B">
        <w:t>,</w:t>
      </w:r>
      <w:r>
        <w:t xml:space="preserve"> Atwood makes mention of it in an elaborate</w:t>
      </w:r>
      <w:r w:rsidR="00EA260A">
        <w:t xml:space="preserve"> yet compelling manner,</w:t>
      </w:r>
      <w:r>
        <w:t xml:space="preserve"> bringing an awareness to it in the fictional society and the real world. </w:t>
      </w:r>
      <w:r w:rsidR="00EA260A">
        <w:t xml:space="preserve">In the novel, we see one of the </w:t>
      </w:r>
      <w:r w:rsidR="00C16FF8">
        <w:t>handmaids</w:t>
      </w:r>
      <w:r w:rsidR="00EA260A">
        <w:t xml:space="preserve"> give birth and the child is immediately given to the Commander’s wife </w:t>
      </w:r>
      <w:r w:rsidR="00C16FF8">
        <w:t>and</w:t>
      </w:r>
      <w:r w:rsidR="00C3784B">
        <w:t>,</w:t>
      </w:r>
      <w:r w:rsidR="00C16FF8">
        <w:t xml:space="preserve"> the narrator, Offred, expresses the continuation of a society:</w:t>
      </w:r>
    </w:p>
    <w:p w14:paraId="3B294FF2" w14:textId="62494BDE" w:rsidR="00C16FF8" w:rsidRDefault="00C16FF8" w:rsidP="00C16FF8">
      <w:pPr>
        <w:ind w:left="720"/>
      </w:pPr>
      <w:r>
        <w:t xml:space="preserve">She’ll be allowed to nurse the baby, for a few months, they believe in mother’s milk. After that she’ll be transferred, to </w:t>
      </w:r>
      <w:r w:rsidR="00C3784B">
        <w:t xml:space="preserve">see </w:t>
      </w:r>
      <w:r>
        <w:t>if she can do it again, with someone else who needs a turn.</w:t>
      </w:r>
      <w:r>
        <w:rPr>
          <w:rStyle w:val="FootnoteReference"/>
        </w:rPr>
        <w:footnoteReference w:id="9"/>
      </w:r>
    </w:p>
    <w:p w14:paraId="4B418DB7" w14:textId="54FCD559" w:rsidR="00C16FF8" w:rsidRDefault="00C16FF8" w:rsidP="00C16FF8">
      <w:r>
        <w:t>While the extreme nature of this scene is not an accurate representation, it is still symbolic in outlining the way that women were portrayed and their purpose as it pertains to upholding traditional values; that they were only significant to the creation of new generations, that they were incapable of doing anything else; they were not in the same stratosphere as men. The symbolism runs deeper than just the offering of women as</w:t>
      </w:r>
      <w:r w:rsidR="00A22FC5">
        <w:t xml:space="preserve"> merely “containers”</w:t>
      </w:r>
      <w:r w:rsidR="00A22FC5">
        <w:rPr>
          <w:rStyle w:val="FootnoteReference"/>
        </w:rPr>
        <w:footnoteReference w:id="10"/>
      </w:r>
      <w:r w:rsidR="00C3784B">
        <w:t xml:space="preserve">. </w:t>
      </w:r>
      <w:r w:rsidR="00A22FC5">
        <w:t xml:space="preserve">It is a statement on the </w:t>
      </w:r>
      <w:r w:rsidR="001C1EF4">
        <w:t>reservation of governments and society to acknowledge women’s bodily autonomy; that women are entitled to the same rights</w:t>
      </w:r>
      <w:r w:rsidR="00C3784B">
        <w:t xml:space="preserve"> as men and should be able to</w:t>
      </w:r>
      <w:r w:rsidR="001C1EF4">
        <w:t xml:space="preserve"> do as they wanted with their bodies. Under the Reagan, </w:t>
      </w:r>
      <w:r w:rsidR="00C3784B">
        <w:t xml:space="preserve">the </w:t>
      </w:r>
      <w:r w:rsidR="001C1EF4">
        <w:t>acknowledgement of women’s right during that period</w:t>
      </w:r>
      <w:r w:rsidR="00C3784B">
        <w:t xml:space="preserve"> was met with the need to repeal any form of progress in second wave feminism</w:t>
      </w:r>
      <w:r w:rsidR="001C1EF4">
        <w:t xml:space="preserve">. </w:t>
      </w:r>
      <w:proofErr w:type="spellStart"/>
      <w:r w:rsidR="001C1EF4">
        <w:t>Bashevkin</w:t>
      </w:r>
      <w:proofErr w:type="spellEnd"/>
      <w:r w:rsidR="001C1EF4">
        <w:t xml:space="preserve"> highlights Reagan’s unwillingness to view women as more than just domesticated people:</w:t>
      </w:r>
    </w:p>
    <w:p w14:paraId="3C2E9905" w14:textId="4D84DA79" w:rsidR="001C1EF4" w:rsidRDefault="001C1EF4" w:rsidP="001C1EF4">
      <w:pPr>
        <w:ind w:left="720"/>
      </w:pPr>
      <w:r>
        <w:t xml:space="preserve">What marked the Republican transformation in 1980 was an official party platform that, first, rejected the Equal Rights Amendment, second, endorsed a constitutional </w:t>
      </w:r>
      <w:r>
        <w:lastRenderedPageBreak/>
        <w:t>amendment banning abortion and, third, believed positions on the federal judiciary should be awarded only to anti-abortion nominees.</w:t>
      </w:r>
      <w:r>
        <w:rPr>
          <w:rStyle w:val="FootnoteReference"/>
        </w:rPr>
        <w:footnoteReference w:id="11"/>
      </w:r>
    </w:p>
    <w:p w14:paraId="547F18A4" w14:textId="5D76FC95" w:rsidR="00DC2685" w:rsidRDefault="00432806" w:rsidP="00717EE6">
      <w:pPr>
        <w:spacing w:line="240" w:lineRule="auto"/>
      </w:pPr>
      <w:r>
        <w:t>It was clear that Reagan and leftist movements did not believe that women were warrant bodily autonomy and that they would instead support the people who had the same mindset as they did.</w:t>
      </w:r>
      <w:r w:rsidR="00125494">
        <w:t xml:space="preserve"> Atwood articulates the sentiments of the conservative throughout the novel. Although, her </w:t>
      </w:r>
      <w:r>
        <w:t xml:space="preserve">work presents the topics in an almost morbid and extreme style, the truth of the matter is accessible. </w:t>
      </w:r>
      <w:r w:rsidR="00825113">
        <w:t>She describes a biblical ceremony in Gilead where men are brutally murdered for committing morally corrupt crimes against the society. These morally corrupt crimes included being an accomplice in an abortio</w:t>
      </w:r>
      <w:r w:rsidR="00D75CC2">
        <w:t>n. Their deaths are justified according to Atwood because they were like ‘war criminals.”</w:t>
      </w:r>
      <w:r w:rsidR="00D75CC2">
        <w:rPr>
          <w:rStyle w:val="FootnoteReference"/>
        </w:rPr>
        <w:footnoteReference w:id="12"/>
      </w:r>
      <w:r w:rsidR="00D75CC2">
        <w:t xml:space="preserve"> In retrospect, Reagan probably saw the women who chose abortions as war criminals</w:t>
      </w:r>
      <w:r w:rsidR="003E0643">
        <w:t>,</w:t>
      </w:r>
      <w:r w:rsidR="00D75CC2">
        <w:t xml:space="preserve"> because he was very clear in his disdain for this action. According to </w:t>
      </w:r>
      <w:proofErr w:type="spellStart"/>
      <w:r w:rsidR="00D75CC2">
        <w:t>Coste</w:t>
      </w:r>
      <w:proofErr w:type="spellEnd"/>
      <w:r w:rsidR="00D75CC2">
        <w:t>, Reagan was firmly against abortions as he deemed “interrupting a pregnancy means taking of a human life.”</w:t>
      </w:r>
      <w:r w:rsidR="00F437E8">
        <w:rPr>
          <w:rStyle w:val="FootnoteReference"/>
        </w:rPr>
        <w:footnoteReference w:id="13"/>
      </w:r>
      <w:r w:rsidR="000C6A01">
        <w:t xml:space="preserve"> Therefore, it came as no surprise that Reagan was firmly behind the overthrowing of Roe v Wade</w:t>
      </w:r>
      <w:r w:rsidR="006622D7">
        <w:t>.</w:t>
      </w:r>
      <w:r w:rsidR="00F437E8">
        <w:t xml:space="preserve"> This novel as a primary source is also significant to the period</w:t>
      </w:r>
      <w:r w:rsidR="0033359B">
        <w:t>,</w:t>
      </w:r>
      <w:r w:rsidR="00F437E8">
        <w:t xml:space="preserve"> </w:t>
      </w:r>
      <w:r w:rsidR="006622D7">
        <w:t>as America was still in</w:t>
      </w:r>
      <w:r w:rsidR="0033359B">
        <w:t xml:space="preserve"> the</w:t>
      </w:r>
      <w:r w:rsidR="006622D7">
        <w:t xml:space="preserve"> time of </w:t>
      </w:r>
      <w:r w:rsidR="000C6A01">
        <w:t>second wave femini</w:t>
      </w:r>
      <w:r w:rsidR="006622D7">
        <w:t>sm</w:t>
      </w:r>
      <w:r w:rsidR="000C6A01">
        <w:t>. It was the period where activists were “strongly committed to institutional change and legislative action.”</w:t>
      </w:r>
      <w:r w:rsidR="000C6A01">
        <w:rPr>
          <w:rStyle w:val="FootnoteReference"/>
        </w:rPr>
        <w:footnoteReference w:id="14"/>
      </w:r>
      <w:r w:rsidR="0033359B">
        <w:t>It meant giving women the opportunity to make an impact in the development of the American society through less means that promoted the patriarchy.</w:t>
      </w:r>
      <w:r w:rsidR="00C47175">
        <w:t xml:space="preserve"> </w:t>
      </w:r>
      <w:r w:rsidR="00BE3C63">
        <w:t xml:space="preserve">Atwood articulates the positioning of women in Gilead as valuable objects with no free will. </w:t>
      </w:r>
      <w:proofErr w:type="spellStart"/>
      <w:r w:rsidR="00DC2685">
        <w:t>Eisentein</w:t>
      </w:r>
      <w:proofErr w:type="spellEnd"/>
      <w:r w:rsidR="00DC2685">
        <w:t xml:space="preserve"> reflects these ideas in the context of Reagan’s America during that period, supporting Atwood’s perspective on women and their rights.</w:t>
      </w:r>
    </w:p>
    <w:p w14:paraId="1D95A6D1" w14:textId="449BABF0" w:rsidR="00DC2685" w:rsidRDefault="00DC2685" w:rsidP="00DC2685">
      <w:pPr>
        <w:spacing w:line="240" w:lineRule="auto"/>
        <w:ind w:left="720"/>
      </w:pPr>
      <w:r>
        <w:t>The Reagan administration has developed a covert antifeminist politics that seeks to reconstruct patriarchal privilege through the destruction of the welfare state and affirmative action law. … Meanwhile, the Reagan administration argues overtly against the ERA and against abortion.</w:t>
      </w:r>
      <w:r>
        <w:rPr>
          <w:rStyle w:val="FootnoteReference"/>
        </w:rPr>
        <w:footnoteReference w:id="15"/>
      </w:r>
      <w:r>
        <w:tab/>
      </w:r>
    </w:p>
    <w:p w14:paraId="0FA03E3A" w14:textId="02C35FD3" w:rsidR="00432806" w:rsidRDefault="00BE3C63" w:rsidP="00717EE6">
      <w:pPr>
        <w:spacing w:line="240" w:lineRule="auto"/>
        <w:rPr>
          <w:sz w:val="22"/>
          <w:szCs w:val="20"/>
        </w:rPr>
      </w:pPr>
      <w:r>
        <w:t xml:space="preserve">However, she mentions another group of people who were seen as morally corrupt, homosexuals. Like the men who are </w:t>
      </w:r>
      <w:r w:rsidR="00B43FD2">
        <w:t>executed for their role in assisting women in the abortion procedures, homosexuality is seen as a crime and</w:t>
      </w:r>
      <w:r w:rsidR="003E0643">
        <w:t>,</w:t>
      </w:r>
      <w:r w:rsidR="00B43FD2">
        <w:t xml:space="preserve"> more than a crime, it is punishable by death. Atwood’s characterization of homosexuality and gender identity i</w:t>
      </w:r>
      <w:r w:rsidR="00EA38AB">
        <w:t>s evident in the way that it is labelled, referring to it in the term “Gender Treachery”</w:t>
      </w:r>
      <w:r w:rsidR="004A7AF8">
        <w:rPr>
          <w:rStyle w:val="FootnoteReference"/>
        </w:rPr>
        <w:footnoteReference w:id="16"/>
      </w:r>
      <w:r w:rsidR="00EA38AB">
        <w:t xml:space="preserve">. It suggests an immoral act according to the biblical construction the </w:t>
      </w:r>
      <w:r w:rsidR="00717EE6">
        <w:t xml:space="preserve">Gilead society adapted. Again, Atwood’s depiction is </w:t>
      </w:r>
      <w:r w:rsidR="00717EE6">
        <w:rPr>
          <w:sz w:val="22"/>
          <w:szCs w:val="20"/>
        </w:rPr>
        <w:t xml:space="preserve">radical yet important in conveying the way absolute power could cause </w:t>
      </w:r>
      <w:r w:rsidR="00175B86">
        <w:rPr>
          <w:sz w:val="22"/>
          <w:szCs w:val="20"/>
        </w:rPr>
        <w:t xml:space="preserve">a problem. She captures the lack of rights to </w:t>
      </w:r>
      <w:r w:rsidR="003E0643">
        <w:rPr>
          <w:sz w:val="22"/>
          <w:szCs w:val="20"/>
        </w:rPr>
        <w:t>identify their sexuality</w:t>
      </w:r>
      <w:r w:rsidR="00175B86">
        <w:rPr>
          <w:sz w:val="22"/>
          <w:szCs w:val="20"/>
        </w:rPr>
        <w:t xml:space="preserve"> the citizens of Gilead had </w:t>
      </w:r>
      <w:r w:rsidR="003E0643">
        <w:rPr>
          <w:sz w:val="22"/>
          <w:szCs w:val="20"/>
        </w:rPr>
        <w:t xml:space="preserve">been faced with. It is a symbolic </w:t>
      </w:r>
      <w:r w:rsidR="00175B86">
        <w:rPr>
          <w:sz w:val="22"/>
          <w:szCs w:val="20"/>
        </w:rPr>
        <w:t xml:space="preserve">representation of the 1980s America and Reagan’s social policies or lack thereof. His economic policies overshadowed his ability to affect any operational change in the social aspect of the society. He did not have a firm position on the rights of both women and the LGBTQ+ movements under his administration. This was affected by </w:t>
      </w:r>
      <w:r w:rsidR="00175B86">
        <w:rPr>
          <w:sz w:val="22"/>
          <w:szCs w:val="20"/>
        </w:rPr>
        <w:lastRenderedPageBreak/>
        <w:t xml:space="preserve">his decision to align his social policies with the agendas of the Christian rights movement and the Moral Majority. </w:t>
      </w:r>
    </w:p>
    <w:p w14:paraId="6F4E796D" w14:textId="7FB6AE5E" w:rsidR="00F92A53" w:rsidRDefault="00F92A53" w:rsidP="00717EE6">
      <w:pPr>
        <w:spacing w:line="240" w:lineRule="auto"/>
        <w:rPr>
          <w:sz w:val="22"/>
          <w:szCs w:val="20"/>
        </w:rPr>
      </w:pPr>
      <w:r>
        <w:rPr>
          <w:sz w:val="22"/>
          <w:szCs w:val="20"/>
        </w:rPr>
        <w:tab/>
        <w:t>Atwood’s novel had an enormous significance in the 1980s period whereby it was not a direct commentary on the time but written from the perspective of what could possibly happen in an alternate America. It identifies periods of the Reagan administration and the decade where society was severely impacted by the choice of its leadership and allegiances to certain rhetoric were becoming increasingly candid.</w:t>
      </w:r>
      <w:r w:rsidR="007D37EB">
        <w:rPr>
          <w:sz w:val="22"/>
          <w:szCs w:val="20"/>
        </w:rPr>
        <w:t xml:space="preserve"> Reagan chose to focus on the economic gain of the country and how enacting certain policies would protect the US from stagnation and decrease in economic value. </w:t>
      </w:r>
      <w:r w:rsidR="00893253">
        <w:rPr>
          <w:sz w:val="22"/>
          <w:szCs w:val="20"/>
        </w:rPr>
        <w:t>Consequently</w:t>
      </w:r>
      <w:r w:rsidR="007D37EB">
        <w:rPr>
          <w:sz w:val="22"/>
          <w:szCs w:val="20"/>
        </w:rPr>
        <w:t>, many of the social affairs became background objectives</w:t>
      </w:r>
      <w:r w:rsidR="00893253">
        <w:rPr>
          <w:sz w:val="22"/>
          <w:szCs w:val="20"/>
        </w:rPr>
        <w:t xml:space="preserve"> and, in some cases, merely a talking point</w:t>
      </w:r>
      <w:r w:rsidR="007D37EB">
        <w:rPr>
          <w:sz w:val="22"/>
          <w:szCs w:val="20"/>
        </w:rPr>
        <w:t>.</w:t>
      </w:r>
      <w:r>
        <w:rPr>
          <w:sz w:val="22"/>
          <w:szCs w:val="20"/>
        </w:rPr>
        <w:t xml:space="preserve"> Atwood takes a radical approach to underscore her perception</w:t>
      </w:r>
      <w:r w:rsidR="00893253">
        <w:rPr>
          <w:sz w:val="22"/>
          <w:szCs w:val="20"/>
        </w:rPr>
        <w:t xml:space="preserve"> of the inaction of Reagan and </w:t>
      </w:r>
      <w:r>
        <w:rPr>
          <w:sz w:val="22"/>
          <w:szCs w:val="20"/>
        </w:rPr>
        <w:t xml:space="preserve">of what a modern America would look like </w:t>
      </w:r>
      <w:r w:rsidR="00893253">
        <w:rPr>
          <w:sz w:val="22"/>
          <w:szCs w:val="20"/>
        </w:rPr>
        <w:t>due to</w:t>
      </w:r>
      <w:r>
        <w:rPr>
          <w:sz w:val="22"/>
          <w:szCs w:val="20"/>
        </w:rPr>
        <w:t xml:space="preserve"> </w:t>
      </w:r>
      <w:r w:rsidR="00893253">
        <w:rPr>
          <w:sz w:val="22"/>
          <w:szCs w:val="20"/>
        </w:rPr>
        <w:t xml:space="preserve">the choices </w:t>
      </w:r>
      <w:r w:rsidR="003E0643">
        <w:rPr>
          <w:sz w:val="22"/>
          <w:szCs w:val="20"/>
        </w:rPr>
        <w:t>he</w:t>
      </w:r>
      <w:r w:rsidR="00893253">
        <w:rPr>
          <w:sz w:val="22"/>
          <w:szCs w:val="20"/>
        </w:rPr>
        <w:t xml:space="preserve"> had made and the groups he had associated with and allowed to have increased sentiments during his presidential reign</w:t>
      </w:r>
      <w:r>
        <w:rPr>
          <w:sz w:val="22"/>
          <w:szCs w:val="20"/>
        </w:rPr>
        <w:t>. Although a work of fiction and from a speculative standpoint, the ideas that she was portraying have taken root in the modern social landscape. Scenes from her work have manifested themselves in</w:t>
      </w:r>
      <w:r w:rsidR="007D37EB">
        <w:rPr>
          <w:sz w:val="22"/>
          <w:szCs w:val="20"/>
        </w:rPr>
        <w:t xml:space="preserve"> the current social climate</w:t>
      </w:r>
      <w:r w:rsidR="003E0643">
        <w:rPr>
          <w:sz w:val="22"/>
          <w:szCs w:val="20"/>
        </w:rPr>
        <w:t>.</w:t>
      </w:r>
      <w:r w:rsidR="00893253">
        <w:rPr>
          <w:sz w:val="22"/>
          <w:szCs w:val="20"/>
        </w:rPr>
        <w:t xml:space="preserve"> </w:t>
      </w:r>
      <w:r w:rsidR="003E0643">
        <w:rPr>
          <w:sz w:val="22"/>
          <w:szCs w:val="20"/>
        </w:rPr>
        <w:t>F</w:t>
      </w:r>
      <w:r w:rsidR="00893253">
        <w:rPr>
          <w:sz w:val="22"/>
          <w:szCs w:val="20"/>
        </w:rPr>
        <w:t>or example, the thought that “No woman in her right mind, these days, would seek to prevent a birth, should she be so luck as to conceive.”</w:t>
      </w:r>
      <w:r w:rsidR="00DA400B">
        <w:rPr>
          <w:rStyle w:val="FootnoteReference"/>
          <w:sz w:val="22"/>
          <w:szCs w:val="20"/>
        </w:rPr>
        <w:footnoteReference w:id="17"/>
      </w:r>
      <w:r w:rsidR="003230AD">
        <w:rPr>
          <w:sz w:val="22"/>
          <w:szCs w:val="20"/>
        </w:rPr>
        <w:t xml:space="preserve">was a comment on the positions of women in the fictional world. </w:t>
      </w:r>
      <w:r w:rsidR="00893253">
        <w:rPr>
          <w:sz w:val="22"/>
          <w:szCs w:val="20"/>
        </w:rPr>
        <w:t xml:space="preserve"> A statement as such, seems archaic in the sense that women should be allowed to have free will to decide what she wanted to do with her body. However, it seems accurate in the context of this current political and social climate, whereby</w:t>
      </w:r>
      <w:r w:rsidR="00DA400B">
        <w:rPr>
          <w:sz w:val="22"/>
          <w:szCs w:val="20"/>
        </w:rPr>
        <w:t xml:space="preserve">, the systems are still rooted in patriarchal ideas, much like the ones of Reagan’s time in office. </w:t>
      </w:r>
      <w:r w:rsidR="007D37EB">
        <w:rPr>
          <w:sz w:val="22"/>
          <w:szCs w:val="20"/>
        </w:rPr>
        <w:t xml:space="preserve"> </w:t>
      </w:r>
      <w:r w:rsidR="00B75213">
        <w:rPr>
          <w:sz w:val="22"/>
          <w:szCs w:val="20"/>
        </w:rPr>
        <w:t>Most recently, the US supreme court overturned the Roe V Wade c</w:t>
      </w:r>
      <w:r w:rsidR="00937D3C">
        <w:rPr>
          <w:sz w:val="22"/>
          <w:szCs w:val="20"/>
        </w:rPr>
        <w:t>ase, which meant that women no longer have a constitutional right to seek an abortion, instead it is dependent on state legislatives. In an Independent new article, reference is made to the comments made by Justice Alito:</w:t>
      </w:r>
    </w:p>
    <w:p w14:paraId="1D951DE0" w14:textId="7D69BF72" w:rsidR="00937D3C" w:rsidRDefault="00937D3C" w:rsidP="00937D3C">
      <w:pPr>
        <w:spacing w:line="240" w:lineRule="auto"/>
        <w:ind w:left="720"/>
        <w:rPr>
          <w:sz w:val="22"/>
          <w:szCs w:val="20"/>
        </w:rPr>
      </w:pPr>
      <w:r w:rsidRPr="00937D3C">
        <w:rPr>
          <w:sz w:val="22"/>
          <w:szCs w:val="20"/>
        </w:rPr>
        <w:t>“We hold that </w:t>
      </w:r>
      <w:r w:rsidRPr="00937D3C">
        <w:rPr>
          <w:i/>
          <w:iCs/>
          <w:sz w:val="22"/>
          <w:szCs w:val="20"/>
        </w:rPr>
        <w:t>Roe</w:t>
      </w:r>
      <w:r w:rsidRPr="00937D3C">
        <w:rPr>
          <w:sz w:val="22"/>
          <w:szCs w:val="20"/>
        </w:rPr>
        <w:t> and </w:t>
      </w:r>
      <w:r w:rsidRPr="00937D3C">
        <w:rPr>
          <w:i/>
          <w:iCs/>
          <w:sz w:val="22"/>
          <w:szCs w:val="20"/>
        </w:rPr>
        <w:t>Casey </w:t>
      </w:r>
      <w:r w:rsidRPr="00937D3C">
        <w:rPr>
          <w:sz w:val="22"/>
          <w:szCs w:val="20"/>
        </w:rPr>
        <w:t>must be overruled,” he wrote in a draft of an opinion dated 10 February. “It is time to heed the Constitution and return the issue of abortion to the people’s elected representatives”.</w:t>
      </w:r>
      <w:r w:rsidR="00BC7681">
        <w:rPr>
          <w:rStyle w:val="FootnoteReference"/>
          <w:sz w:val="22"/>
          <w:szCs w:val="20"/>
        </w:rPr>
        <w:footnoteReference w:id="18"/>
      </w:r>
    </w:p>
    <w:p w14:paraId="3F07C5AE" w14:textId="33992BD0" w:rsidR="00F92A53" w:rsidRDefault="00BC7681" w:rsidP="00717EE6">
      <w:pPr>
        <w:spacing w:line="240" w:lineRule="auto"/>
        <w:rPr>
          <w:sz w:val="22"/>
          <w:szCs w:val="20"/>
        </w:rPr>
      </w:pPr>
      <w:r>
        <w:rPr>
          <w:sz w:val="22"/>
          <w:szCs w:val="20"/>
        </w:rPr>
        <w:t xml:space="preserve">Therefore, in a time that should be considered </w:t>
      </w:r>
      <w:r w:rsidR="003230AD">
        <w:rPr>
          <w:sz w:val="22"/>
          <w:szCs w:val="20"/>
        </w:rPr>
        <w:t>a</w:t>
      </w:r>
      <w:r>
        <w:rPr>
          <w:sz w:val="22"/>
          <w:szCs w:val="20"/>
        </w:rPr>
        <w:t xml:space="preserve"> step away from patriarchal and archaic ideals, women’s choices</w:t>
      </w:r>
      <w:r w:rsidR="003230AD">
        <w:rPr>
          <w:sz w:val="22"/>
          <w:szCs w:val="20"/>
        </w:rPr>
        <w:t xml:space="preserve"> and</w:t>
      </w:r>
      <w:r>
        <w:rPr>
          <w:sz w:val="22"/>
          <w:szCs w:val="20"/>
        </w:rPr>
        <w:t xml:space="preserve"> rights are once again subjected to scrutiny by a system that wants to keep operating under misogyny. Atwood’s work is classed as a work of </w:t>
      </w:r>
      <w:r w:rsidR="004C074B">
        <w:rPr>
          <w:sz w:val="22"/>
          <w:szCs w:val="20"/>
        </w:rPr>
        <w:t>fiction;</w:t>
      </w:r>
      <w:r>
        <w:rPr>
          <w:sz w:val="22"/>
          <w:szCs w:val="20"/>
        </w:rPr>
        <w:t xml:space="preserve"> however, she understood the society that she was living </w:t>
      </w:r>
      <w:r w:rsidR="003230AD">
        <w:rPr>
          <w:sz w:val="22"/>
          <w:szCs w:val="20"/>
        </w:rPr>
        <w:t xml:space="preserve">in </w:t>
      </w:r>
      <w:r>
        <w:rPr>
          <w:sz w:val="22"/>
          <w:szCs w:val="20"/>
        </w:rPr>
        <w:t>and used her novel to express her concerns with the operation of leadership and their choice</w:t>
      </w:r>
      <w:r w:rsidR="003230AD">
        <w:rPr>
          <w:sz w:val="22"/>
          <w:szCs w:val="20"/>
        </w:rPr>
        <w:t>s</w:t>
      </w:r>
      <w:r>
        <w:rPr>
          <w:sz w:val="22"/>
          <w:szCs w:val="20"/>
        </w:rPr>
        <w:t xml:space="preserve">. </w:t>
      </w:r>
    </w:p>
    <w:p w14:paraId="04411B51" w14:textId="4FA0B918" w:rsidR="00DE55EC" w:rsidRDefault="004C074B" w:rsidP="00717EE6">
      <w:pPr>
        <w:spacing w:line="240" w:lineRule="auto"/>
        <w:rPr>
          <w:sz w:val="22"/>
          <w:szCs w:val="20"/>
        </w:rPr>
      </w:pPr>
      <w:r>
        <w:rPr>
          <w:sz w:val="22"/>
          <w:szCs w:val="20"/>
        </w:rPr>
        <w:tab/>
        <w:t>In conclusion, Margaret Atwood’s novel, “</w:t>
      </w:r>
      <w:r>
        <w:rPr>
          <w:i/>
          <w:iCs/>
          <w:sz w:val="22"/>
          <w:szCs w:val="20"/>
        </w:rPr>
        <w:t xml:space="preserve">The Handmaid’s Tale” </w:t>
      </w:r>
      <w:r>
        <w:rPr>
          <w:sz w:val="22"/>
          <w:szCs w:val="20"/>
        </w:rPr>
        <w:t xml:space="preserve">is </w:t>
      </w:r>
      <w:r w:rsidR="003230AD">
        <w:rPr>
          <w:sz w:val="22"/>
          <w:szCs w:val="20"/>
        </w:rPr>
        <w:t xml:space="preserve">a </w:t>
      </w:r>
      <w:r>
        <w:rPr>
          <w:sz w:val="22"/>
          <w:szCs w:val="20"/>
        </w:rPr>
        <w:t>good example of a primary source that details the inner workings of the political and social affairs of the 1980s. Although a work of fiction, it focuses on the effects of</w:t>
      </w:r>
      <w:r w:rsidR="000B6DAD">
        <w:rPr>
          <w:sz w:val="22"/>
          <w:szCs w:val="20"/>
        </w:rPr>
        <w:t xml:space="preserve"> power development and the way in which absolute power can have a toll on any society. The novel speaks to the ideas of “traditional values” and “family values” Reagan had adapted from his decision to lean into the politics of Conservative Christians during his presidential reign. The idea of traditional families in the Reagan administration meant that women were to uphold the stereotypical views of what womanhood was; procreation and tending to the household. It meant that Christianity would become that based religion in the country. These traditional values also contained having heterosexual families, meaning homosexuality was against moral code in the context of religious viewing. Atwood develops these ideas in her novel in a </w:t>
      </w:r>
      <w:r w:rsidR="003230AD">
        <w:rPr>
          <w:sz w:val="22"/>
          <w:szCs w:val="20"/>
        </w:rPr>
        <w:t>profound and</w:t>
      </w:r>
      <w:r w:rsidR="000B6DAD">
        <w:rPr>
          <w:sz w:val="22"/>
          <w:szCs w:val="20"/>
        </w:rPr>
        <w:t xml:space="preserve"> </w:t>
      </w:r>
      <w:r w:rsidR="003230AD">
        <w:rPr>
          <w:sz w:val="22"/>
          <w:szCs w:val="20"/>
        </w:rPr>
        <w:t>gripping</w:t>
      </w:r>
      <w:r w:rsidR="000B6DAD">
        <w:rPr>
          <w:sz w:val="22"/>
          <w:szCs w:val="20"/>
        </w:rPr>
        <w:t xml:space="preserve"> </w:t>
      </w:r>
      <w:r w:rsidR="003230AD">
        <w:rPr>
          <w:sz w:val="22"/>
          <w:szCs w:val="20"/>
        </w:rPr>
        <w:t>mode and</w:t>
      </w:r>
      <w:r w:rsidR="000B6DAD">
        <w:rPr>
          <w:sz w:val="22"/>
          <w:szCs w:val="20"/>
        </w:rPr>
        <w:t xml:space="preserve"> is symbolic in the way she utilizes different aspects of her work to represent her view on America in the 1980s. Although unorthodox, her work is signi</w:t>
      </w:r>
      <w:r w:rsidR="00DE55EC">
        <w:rPr>
          <w:sz w:val="22"/>
          <w:szCs w:val="20"/>
        </w:rPr>
        <w:t xml:space="preserve">ficant because it was used to </w:t>
      </w:r>
      <w:r w:rsidR="003230AD">
        <w:rPr>
          <w:sz w:val="22"/>
          <w:szCs w:val="20"/>
        </w:rPr>
        <w:t>comment</w:t>
      </w:r>
      <w:r w:rsidR="00DE55EC">
        <w:rPr>
          <w:sz w:val="22"/>
          <w:szCs w:val="20"/>
        </w:rPr>
        <w:t xml:space="preserve"> o</w:t>
      </w:r>
      <w:r w:rsidR="003230AD">
        <w:rPr>
          <w:sz w:val="22"/>
          <w:szCs w:val="20"/>
        </w:rPr>
        <w:t>n</w:t>
      </w:r>
      <w:r w:rsidR="00DE55EC">
        <w:rPr>
          <w:sz w:val="22"/>
          <w:szCs w:val="20"/>
        </w:rPr>
        <w:t xml:space="preserve"> a time that could possibly be created based on the events of which were prevalent in America during that period. There are aspects of </w:t>
      </w:r>
      <w:r w:rsidR="00DE55EC">
        <w:rPr>
          <w:sz w:val="22"/>
          <w:szCs w:val="20"/>
        </w:rPr>
        <w:lastRenderedPageBreak/>
        <w:t xml:space="preserve">the novel which continue to play out in the modern America, </w:t>
      </w:r>
      <w:r w:rsidR="003230AD">
        <w:rPr>
          <w:sz w:val="22"/>
          <w:szCs w:val="20"/>
        </w:rPr>
        <w:t>though</w:t>
      </w:r>
      <w:r w:rsidR="00DE55EC">
        <w:rPr>
          <w:sz w:val="22"/>
          <w:szCs w:val="20"/>
        </w:rPr>
        <w:t xml:space="preserve"> not in the same way that Atwood writes of it but in some ways representative of what she was pointing out.</w:t>
      </w:r>
    </w:p>
    <w:p w14:paraId="7E3FAF8F" w14:textId="50CEC7D0" w:rsidR="004C074B" w:rsidRDefault="004C074B" w:rsidP="00DE55EC">
      <w:pPr>
        <w:rPr>
          <w:sz w:val="22"/>
          <w:szCs w:val="20"/>
        </w:rPr>
      </w:pPr>
    </w:p>
    <w:p w14:paraId="16AA5644" w14:textId="77777777" w:rsidR="00DE55EC" w:rsidRDefault="00DE55EC" w:rsidP="00DE55EC">
      <w:pPr>
        <w:rPr>
          <w:sz w:val="22"/>
          <w:szCs w:val="20"/>
        </w:rPr>
      </w:pPr>
    </w:p>
    <w:p w14:paraId="111BBD81" w14:textId="77777777" w:rsidR="00DE55EC" w:rsidRDefault="00DE55EC" w:rsidP="00DE55EC">
      <w:pPr>
        <w:rPr>
          <w:sz w:val="22"/>
          <w:szCs w:val="20"/>
        </w:rPr>
      </w:pPr>
    </w:p>
    <w:p w14:paraId="24FD941B" w14:textId="2F278C47" w:rsidR="00DE55EC" w:rsidRDefault="00DE55EC">
      <w:pPr>
        <w:rPr>
          <w:sz w:val="22"/>
          <w:szCs w:val="20"/>
        </w:rPr>
      </w:pPr>
      <w:r>
        <w:rPr>
          <w:sz w:val="22"/>
          <w:szCs w:val="20"/>
        </w:rPr>
        <w:br w:type="page"/>
      </w:r>
    </w:p>
    <w:p w14:paraId="1B3D49AD" w14:textId="1B9F2FDE" w:rsidR="00DE55EC" w:rsidRDefault="00DE55EC" w:rsidP="00DE55EC">
      <w:pPr>
        <w:rPr>
          <w:b/>
          <w:bCs/>
          <w:sz w:val="22"/>
          <w:szCs w:val="20"/>
          <w:u w:val="single"/>
        </w:rPr>
      </w:pPr>
      <w:r w:rsidRPr="00DE55EC">
        <w:rPr>
          <w:b/>
          <w:bCs/>
          <w:sz w:val="22"/>
          <w:szCs w:val="20"/>
          <w:u w:val="single"/>
        </w:rPr>
        <w:lastRenderedPageBreak/>
        <w:t>References</w:t>
      </w:r>
    </w:p>
    <w:p w14:paraId="1FD3B2BE" w14:textId="77777777" w:rsidR="00DE55EC" w:rsidRDefault="00DE55EC" w:rsidP="00DE55EC">
      <w:pPr>
        <w:pStyle w:val="NormalWeb"/>
        <w:spacing w:before="0" w:beforeAutospacing="0" w:after="240" w:afterAutospacing="0" w:line="360" w:lineRule="auto"/>
        <w:ind w:left="720" w:hanging="720"/>
      </w:pPr>
      <w:r>
        <w:t xml:space="preserve">Atwood, Margaret, </w:t>
      </w:r>
      <w:r>
        <w:rPr>
          <w:i/>
          <w:iCs/>
        </w:rPr>
        <w:t>The Handmaid’s Tale</w:t>
      </w:r>
      <w:r>
        <w:t xml:space="preserve"> (London Vintage, 2017)</w:t>
      </w:r>
    </w:p>
    <w:p w14:paraId="177CEE1B" w14:textId="77777777" w:rsidR="00DE55EC" w:rsidRDefault="00DE55EC" w:rsidP="00DE55EC">
      <w:pPr>
        <w:pStyle w:val="NormalWeb"/>
        <w:spacing w:before="0" w:beforeAutospacing="0" w:after="240" w:afterAutospacing="0" w:line="360" w:lineRule="auto"/>
        <w:ind w:left="720" w:hanging="720"/>
      </w:pPr>
      <w:proofErr w:type="spellStart"/>
      <w:r>
        <w:t>Bashevkin</w:t>
      </w:r>
      <w:proofErr w:type="spellEnd"/>
      <w:r>
        <w:t xml:space="preserve">, Sylvia, ‘Facing a Renewed Right: American Feminism and the Reagan/Bush Challenge’, </w:t>
      </w:r>
      <w:r>
        <w:rPr>
          <w:i/>
          <w:iCs/>
        </w:rPr>
        <w:t>Canadian Journal of Political Science</w:t>
      </w:r>
      <w:r>
        <w:t>, 27.4 (1994), 669–98 &lt;https://doi.org/10.1017/s0008423900021983&gt;</w:t>
      </w:r>
    </w:p>
    <w:p w14:paraId="2EC73570" w14:textId="77777777" w:rsidR="00DE55EC" w:rsidRDefault="00DE55EC" w:rsidP="00DE55EC">
      <w:pPr>
        <w:pStyle w:val="NormalWeb"/>
        <w:spacing w:before="0" w:beforeAutospacing="0" w:after="240" w:afterAutospacing="0" w:line="360" w:lineRule="auto"/>
        <w:ind w:left="720" w:hanging="720"/>
      </w:pPr>
      <w:proofErr w:type="spellStart"/>
      <w:r>
        <w:t>Coste</w:t>
      </w:r>
      <w:proofErr w:type="spellEnd"/>
      <w:r>
        <w:t xml:space="preserve">, Françoise, ‘“Women, Ladies, Girls, Gals…”: Ronald Reagan and the Evolution of Gender Roles in the United States’, </w:t>
      </w:r>
      <w:r>
        <w:rPr>
          <w:i/>
          <w:iCs/>
        </w:rPr>
        <w:t>Miranda</w:t>
      </w:r>
      <w:r>
        <w:t>, 4.12 (2016) &lt;https://doi.org/10.4000/miranda.8602&gt;</w:t>
      </w:r>
    </w:p>
    <w:p w14:paraId="2B59C2EF" w14:textId="77777777" w:rsidR="00DE55EC" w:rsidRDefault="00DE55EC" w:rsidP="00DE55EC">
      <w:pPr>
        <w:pStyle w:val="NormalWeb"/>
        <w:spacing w:before="0" w:beforeAutospacing="0" w:after="240" w:afterAutospacing="0" w:line="360" w:lineRule="auto"/>
        <w:ind w:left="720" w:hanging="720"/>
      </w:pPr>
      <w:r>
        <w:t xml:space="preserve">Eisenstein, Zillah R., ‘The Patriarchal Relations of the Reagan State’, </w:t>
      </w:r>
      <w:r>
        <w:rPr>
          <w:i/>
          <w:iCs/>
        </w:rPr>
        <w:t>Signs: Journal of Women in Culture and Society</w:t>
      </w:r>
      <w:r>
        <w:t>, 10.2 (1984), 329–37 &lt;https://doi.org/10.1086/494140&gt;</w:t>
      </w:r>
    </w:p>
    <w:p w14:paraId="2D981BF9" w14:textId="77777777" w:rsidR="00DE55EC" w:rsidRDefault="00DE55EC" w:rsidP="00DE55EC">
      <w:pPr>
        <w:pStyle w:val="NormalWeb"/>
        <w:spacing w:before="0" w:beforeAutospacing="0" w:after="240" w:afterAutospacing="0" w:line="360" w:lineRule="auto"/>
        <w:ind w:left="720" w:hanging="720"/>
      </w:pPr>
      <w:proofErr w:type="spellStart"/>
      <w:r>
        <w:t>Engelen</w:t>
      </w:r>
      <w:proofErr w:type="spellEnd"/>
      <w:r>
        <w:t xml:space="preserve">, Leen, ‘Back to the Future, </w:t>
      </w:r>
      <w:proofErr w:type="gramStart"/>
      <w:r>
        <w:t>Ahead</w:t>
      </w:r>
      <w:proofErr w:type="gramEnd"/>
      <w:r>
        <w:t xml:space="preserve"> to the Past. Film and History: A Status </w:t>
      </w:r>
      <w:proofErr w:type="spellStart"/>
      <w:r>
        <w:t>Quaestionis</w:t>
      </w:r>
      <w:proofErr w:type="spellEnd"/>
      <w:r>
        <w:t xml:space="preserve">’, </w:t>
      </w:r>
      <w:r>
        <w:rPr>
          <w:i/>
          <w:iCs/>
        </w:rPr>
        <w:t>Rethinking History</w:t>
      </w:r>
      <w:r>
        <w:t>, 11.4 (2007), 555–63 &lt;https://doi.org/10.1080/13642520701652087&gt;</w:t>
      </w:r>
    </w:p>
    <w:p w14:paraId="3F75EE6F" w14:textId="77777777" w:rsidR="00DE55EC" w:rsidRDefault="00DE55EC" w:rsidP="00DE55EC">
      <w:pPr>
        <w:pStyle w:val="NormalWeb"/>
        <w:spacing w:before="0" w:beforeAutospacing="0" w:after="240" w:afterAutospacing="0" w:line="360" w:lineRule="auto"/>
        <w:ind w:left="720" w:hanging="720"/>
      </w:pPr>
      <w:r>
        <w:t xml:space="preserve">HADDEN, JEFFREY K., ‘The Rise and Fall of American Televangelism’, </w:t>
      </w:r>
      <w:r>
        <w:rPr>
          <w:i/>
          <w:iCs/>
        </w:rPr>
        <w:t>The ANNALS of the American Academy of Political and Social Science</w:t>
      </w:r>
      <w:r>
        <w:t>, 527.1 (1993), 113–30 &lt;https://doi.org/10.1177/0002716293527001009&gt;</w:t>
      </w:r>
    </w:p>
    <w:p w14:paraId="2A48DD09" w14:textId="77777777" w:rsidR="00DE55EC" w:rsidRDefault="00DE55EC" w:rsidP="00DE55EC">
      <w:pPr>
        <w:pStyle w:val="NormalWeb"/>
        <w:spacing w:before="0" w:beforeAutospacing="0" w:after="240" w:afterAutospacing="0" w:line="360" w:lineRule="auto"/>
        <w:ind w:left="720" w:hanging="720"/>
      </w:pPr>
      <w:r>
        <w:t xml:space="preserve">Independent Staff, ‘What Was Roe v Wade Case and Why It Was Overturned’, </w:t>
      </w:r>
      <w:r>
        <w:rPr>
          <w:i/>
          <w:iCs/>
        </w:rPr>
        <w:t>The Independent</w:t>
      </w:r>
      <w:r>
        <w:t>, 2022 &lt;https://www.independent.co.uk/news/world/americas/roe-v-wade-overturned-supreme-court-justices-b2116042.html&gt;</w:t>
      </w:r>
    </w:p>
    <w:p w14:paraId="48546B66" w14:textId="77777777" w:rsidR="00DE55EC" w:rsidRDefault="00DE55EC" w:rsidP="00DE55EC">
      <w:pPr>
        <w:pStyle w:val="NormalWeb"/>
        <w:spacing w:before="0" w:beforeAutospacing="0" w:after="240" w:afterAutospacing="0" w:line="360" w:lineRule="auto"/>
        <w:ind w:left="720" w:hanging="720"/>
      </w:pPr>
      <w:proofErr w:type="spellStart"/>
      <w:r>
        <w:t>Kloppenberg</w:t>
      </w:r>
      <w:proofErr w:type="spellEnd"/>
      <w:r>
        <w:t xml:space="preserve">, James T., ‘The Virtues of Liberalism: Christianity, Republicanism, and Ethics in Early American Political Discourse’, </w:t>
      </w:r>
      <w:r>
        <w:rPr>
          <w:i/>
          <w:iCs/>
        </w:rPr>
        <w:t>The Journal of American History</w:t>
      </w:r>
      <w:r>
        <w:t>, 74.1 (1987), 9 &lt;https://doi.org/10.2307/1908503&gt;</w:t>
      </w:r>
    </w:p>
    <w:p w14:paraId="69A90CAE" w14:textId="77777777" w:rsidR="00DE55EC" w:rsidRDefault="00DE55EC" w:rsidP="00DE55EC">
      <w:pPr>
        <w:pStyle w:val="NormalWeb"/>
        <w:spacing w:before="0" w:beforeAutospacing="0" w:after="240" w:afterAutospacing="0" w:line="360" w:lineRule="auto"/>
        <w:ind w:left="720" w:hanging="720"/>
      </w:pPr>
      <w:proofErr w:type="spellStart"/>
      <w:r>
        <w:t>Lienesch</w:t>
      </w:r>
      <w:proofErr w:type="spellEnd"/>
      <w:r>
        <w:t xml:space="preserve">, Michael, ‘Right-Wing Religion: Christian Conservatism as a Political Movement’, </w:t>
      </w:r>
      <w:r>
        <w:rPr>
          <w:i/>
          <w:iCs/>
        </w:rPr>
        <w:t>Political Science Quarterly</w:t>
      </w:r>
      <w:r>
        <w:t>, 97.3 (1982), 403 &lt;https://doi.org/10.2307/2149992&gt;</w:t>
      </w:r>
    </w:p>
    <w:p w14:paraId="15586D3E" w14:textId="77777777" w:rsidR="00DE55EC" w:rsidRDefault="00DE55EC" w:rsidP="00DE55EC">
      <w:pPr>
        <w:pStyle w:val="NormalWeb"/>
        <w:spacing w:before="0" w:beforeAutospacing="0" w:after="240" w:afterAutospacing="0" w:line="360" w:lineRule="auto"/>
        <w:ind w:left="720" w:hanging="720"/>
      </w:pPr>
      <w:r>
        <w:t xml:space="preserve">Reagan Library, ‘President Reagan’s Remarks to Traditional Values Coalition on July 9, 1984’, </w:t>
      </w:r>
      <w:r>
        <w:rPr>
          <w:i/>
          <w:iCs/>
        </w:rPr>
        <w:t>Www.youtube.com</w:t>
      </w:r>
      <w:r>
        <w:t>, 2018 &lt;https://www.youtube.com/watch?v=mh5r8rbgUAY&gt; [accessed 4 May 2023]</w:t>
      </w:r>
    </w:p>
    <w:p w14:paraId="7C63AAED" w14:textId="77777777" w:rsidR="00DE55EC" w:rsidRDefault="00DE55EC" w:rsidP="00DE55EC">
      <w:pPr>
        <w:pStyle w:val="NormalWeb"/>
        <w:spacing w:before="0" w:beforeAutospacing="0" w:after="240" w:afterAutospacing="0" w:line="360" w:lineRule="auto"/>
        <w:ind w:left="720" w:hanging="720"/>
      </w:pPr>
      <w:r>
        <w:lastRenderedPageBreak/>
        <w:t xml:space="preserve">Tennant, Colette, </w:t>
      </w:r>
      <w:r>
        <w:rPr>
          <w:i/>
          <w:iCs/>
        </w:rPr>
        <w:t xml:space="preserve">Religion in the Handmaid’s </w:t>
      </w:r>
      <w:proofErr w:type="gramStart"/>
      <w:r>
        <w:rPr>
          <w:i/>
          <w:iCs/>
        </w:rPr>
        <w:t>Tale :</w:t>
      </w:r>
      <w:proofErr w:type="gramEnd"/>
      <w:r>
        <w:rPr>
          <w:i/>
          <w:iCs/>
        </w:rPr>
        <w:t xml:space="preserve"> A Brief Guide</w:t>
      </w:r>
      <w:r>
        <w:t xml:space="preserve"> (Minneapolis, MN: Fortress Press, 2019)</w:t>
      </w:r>
    </w:p>
    <w:p w14:paraId="15CD6A95" w14:textId="77777777" w:rsidR="00DE55EC" w:rsidRPr="00DE55EC" w:rsidRDefault="00DE55EC" w:rsidP="00DE55EC">
      <w:pPr>
        <w:rPr>
          <w:sz w:val="22"/>
          <w:szCs w:val="20"/>
        </w:rPr>
      </w:pPr>
    </w:p>
    <w:sectPr w:rsidR="00DE55EC" w:rsidRPr="00DE55E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AED00" w14:textId="77777777" w:rsidR="00911996" w:rsidRDefault="00911996" w:rsidP="00210AA6">
      <w:pPr>
        <w:spacing w:after="0" w:line="240" w:lineRule="auto"/>
      </w:pPr>
      <w:r>
        <w:separator/>
      </w:r>
    </w:p>
  </w:endnote>
  <w:endnote w:type="continuationSeparator" w:id="0">
    <w:p w14:paraId="56BFE645" w14:textId="77777777" w:rsidR="00911996" w:rsidRDefault="00911996" w:rsidP="00210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5410D" w14:textId="77777777" w:rsidR="00911996" w:rsidRDefault="00911996" w:rsidP="00210AA6">
      <w:pPr>
        <w:spacing w:after="0" w:line="240" w:lineRule="auto"/>
      </w:pPr>
      <w:r>
        <w:separator/>
      </w:r>
    </w:p>
  </w:footnote>
  <w:footnote w:type="continuationSeparator" w:id="0">
    <w:p w14:paraId="71D19FBB" w14:textId="77777777" w:rsidR="00911996" w:rsidRDefault="00911996" w:rsidP="00210AA6">
      <w:pPr>
        <w:spacing w:after="0" w:line="240" w:lineRule="auto"/>
      </w:pPr>
      <w:r>
        <w:continuationSeparator/>
      </w:r>
    </w:p>
  </w:footnote>
  <w:footnote w:id="1">
    <w:p w14:paraId="6E578C04" w14:textId="40B063E1" w:rsidR="00210AA6" w:rsidRPr="00210AA6" w:rsidRDefault="00210AA6">
      <w:pPr>
        <w:pStyle w:val="FootnoteText"/>
        <w:rPr>
          <w:lang w:val="en-US"/>
        </w:rPr>
      </w:pPr>
      <w:r>
        <w:rPr>
          <w:rStyle w:val="FootnoteReference"/>
        </w:rPr>
        <w:footnoteRef/>
      </w:r>
      <w:r>
        <w:t xml:space="preserve"> </w:t>
      </w:r>
      <w:r w:rsidR="00AB6A14">
        <w:t xml:space="preserve">James T. </w:t>
      </w:r>
      <w:proofErr w:type="spellStart"/>
      <w:r w:rsidR="00AB6A14">
        <w:t>Kloppenberg</w:t>
      </w:r>
      <w:proofErr w:type="spellEnd"/>
      <w:r w:rsidR="00AB6A14">
        <w:t xml:space="preserve">, ‘The Virtues of Liberalism: Christianity, Republicanism, and Ethics in Early American Political Discourse’, </w:t>
      </w:r>
      <w:r w:rsidR="00AB6A14">
        <w:rPr>
          <w:i/>
          <w:iCs/>
        </w:rPr>
        <w:t>The Journal of American History</w:t>
      </w:r>
      <w:r w:rsidR="00AB6A14">
        <w:t>, 74.1 (1987), 9 &lt;</w:t>
      </w:r>
      <w:hyperlink r:id="rId1" w:history="1">
        <w:r w:rsidR="00AB6A14">
          <w:rPr>
            <w:rStyle w:val="Hyperlink"/>
          </w:rPr>
          <w:t>https://doi.org/10.2307/1908503</w:t>
        </w:r>
      </w:hyperlink>
      <w:r w:rsidR="00AB6A14">
        <w:t>&gt;.</w:t>
      </w:r>
    </w:p>
  </w:footnote>
  <w:footnote w:id="2">
    <w:p w14:paraId="7692EED2" w14:textId="2369D7DF" w:rsidR="001A59AE" w:rsidRPr="001A59AE" w:rsidRDefault="001A59AE">
      <w:pPr>
        <w:pStyle w:val="FootnoteText"/>
        <w:rPr>
          <w:lang w:val="en-US"/>
        </w:rPr>
      </w:pPr>
      <w:r>
        <w:rPr>
          <w:rStyle w:val="FootnoteReference"/>
        </w:rPr>
        <w:footnoteRef/>
      </w:r>
      <w:r>
        <w:t xml:space="preserve"> Reagan Library, ‘President Reagan’s Remarks to Traditional Values Coalition on July 9, 1984’, </w:t>
      </w:r>
      <w:r>
        <w:rPr>
          <w:i/>
          <w:iCs/>
        </w:rPr>
        <w:t>Www.youtube.com</w:t>
      </w:r>
      <w:r>
        <w:t>, 2018 &lt;</w:t>
      </w:r>
      <w:hyperlink r:id="rId2" w:history="1">
        <w:r>
          <w:rPr>
            <w:rStyle w:val="Hyperlink"/>
          </w:rPr>
          <w:t>https://www.youtube.com/watch?v=mh5r8rbgUAY</w:t>
        </w:r>
      </w:hyperlink>
      <w:r>
        <w:t>&gt; [accessed 4 May 2023].</w:t>
      </w:r>
    </w:p>
  </w:footnote>
  <w:footnote w:id="3">
    <w:p w14:paraId="684E7E28" w14:textId="4E4719E0" w:rsidR="0033735D" w:rsidRPr="0033735D" w:rsidRDefault="0033735D">
      <w:pPr>
        <w:pStyle w:val="FootnoteText"/>
        <w:rPr>
          <w:lang w:val="en-US"/>
        </w:rPr>
      </w:pPr>
      <w:r>
        <w:rPr>
          <w:rStyle w:val="FootnoteReference"/>
        </w:rPr>
        <w:footnoteRef/>
      </w:r>
      <w:r>
        <w:t xml:space="preserve"> Leen </w:t>
      </w:r>
      <w:proofErr w:type="spellStart"/>
      <w:r>
        <w:t>Engelen</w:t>
      </w:r>
      <w:proofErr w:type="spellEnd"/>
      <w:r>
        <w:t xml:space="preserve">, ‘Back to the Future, </w:t>
      </w:r>
      <w:proofErr w:type="gramStart"/>
      <w:r>
        <w:t>Ahead</w:t>
      </w:r>
      <w:proofErr w:type="gramEnd"/>
      <w:r>
        <w:t xml:space="preserve"> to the Past. Film and History: A Status </w:t>
      </w:r>
      <w:proofErr w:type="spellStart"/>
      <w:r>
        <w:t>Quaestionis</w:t>
      </w:r>
      <w:proofErr w:type="spellEnd"/>
      <w:r>
        <w:t xml:space="preserve">’, </w:t>
      </w:r>
      <w:r>
        <w:rPr>
          <w:i/>
          <w:iCs/>
        </w:rPr>
        <w:t>Rethinking History</w:t>
      </w:r>
      <w:r>
        <w:t>, 11.4 (2007), 555–63 &lt;</w:t>
      </w:r>
      <w:hyperlink r:id="rId3" w:history="1">
        <w:r>
          <w:rPr>
            <w:rStyle w:val="Hyperlink"/>
          </w:rPr>
          <w:t>https://doi.org/10.1080/13642520701652087</w:t>
        </w:r>
      </w:hyperlink>
      <w:r>
        <w:t>&gt;.</w:t>
      </w:r>
    </w:p>
  </w:footnote>
  <w:footnote w:id="4">
    <w:p w14:paraId="15F3D9D4" w14:textId="6A6F092F" w:rsidR="007E5C19" w:rsidRPr="007E5C19" w:rsidRDefault="007E5C19">
      <w:pPr>
        <w:pStyle w:val="FootnoteText"/>
        <w:rPr>
          <w:lang w:val="en-US"/>
        </w:rPr>
      </w:pPr>
      <w:r>
        <w:rPr>
          <w:rStyle w:val="FootnoteReference"/>
        </w:rPr>
        <w:footnoteRef/>
      </w:r>
      <w:r>
        <w:t xml:space="preserve"> </w:t>
      </w:r>
      <w:r w:rsidR="00175166">
        <w:t xml:space="preserve">Michael </w:t>
      </w:r>
      <w:proofErr w:type="spellStart"/>
      <w:r w:rsidR="00175166">
        <w:t>Lienesch</w:t>
      </w:r>
      <w:proofErr w:type="spellEnd"/>
      <w:r w:rsidR="00175166">
        <w:t xml:space="preserve">, ‘Right-Wing Religion: Christian Conservatism as a Political Movement’, </w:t>
      </w:r>
      <w:r w:rsidR="00175166">
        <w:rPr>
          <w:i/>
          <w:iCs/>
        </w:rPr>
        <w:t>Political Science Quarterly</w:t>
      </w:r>
      <w:r w:rsidR="00175166">
        <w:t>, 97.3 (1982), 403 &lt;</w:t>
      </w:r>
      <w:hyperlink r:id="rId4" w:history="1">
        <w:r w:rsidR="00175166">
          <w:rPr>
            <w:rStyle w:val="Hyperlink"/>
          </w:rPr>
          <w:t>https://doi.org/10.2307/2149992</w:t>
        </w:r>
      </w:hyperlink>
      <w:r w:rsidR="00175166">
        <w:t>&gt;.</w:t>
      </w:r>
    </w:p>
  </w:footnote>
  <w:footnote w:id="5">
    <w:p w14:paraId="07CAE647" w14:textId="6BFCF1E1" w:rsidR="007E5C19" w:rsidRPr="007E5C19" w:rsidRDefault="007E5C19">
      <w:pPr>
        <w:pStyle w:val="FootnoteText"/>
        <w:rPr>
          <w:lang w:val="en-US"/>
        </w:rPr>
      </w:pPr>
      <w:r>
        <w:rPr>
          <w:rStyle w:val="FootnoteReference"/>
        </w:rPr>
        <w:footnoteRef/>
      </w:r>
      <w:r>
        <w:t xml:space="preserve"> Jeffrey </w:t>
      </w:r>
      <w:r w:rsidR="00175166">
        <w:t xml:space="preserve">K. Hadden, </w:t>
      </w:r>
      <w:r>
        <w:t xml:space="preserve">‘The Rise and Fall of American Televangelism’, </w:t>
      </w:r>
      <w:r>
        <w:rPr>
          <w:i/>
          <w:iCs/>
        </w:rPr>
        <w:t>The ANNALS of the American Academy of Political and Social Science</w:t>
      </w:r>
      <w:r>
        <w:t>, 527.1 (1993), 113–30 &lt;</w:t>
      </w:r>
      <w:hyperlink r:id="rId5" w:history="1">
        <w:r>
          <w:rPr>
            <w:rStyle w:val="Hyperlink"/>
          </w:rPr>
          <w:t>https://doi.org/10.1177/0002716293527001009</w:t>
        </w:r>
      </w:hyperlink>
      <w:r>
        <w:t>&gt;.</w:t>
      </w:r>
    </w:p>
  </w:footnote>
  <w:footnote w:id="6">
    <w:p w14:paraId="3E13EFF6" w14:textId="5E5D0FE5" w:rsidR="00832F25" w:rsidRPr="00832F25" w:rsidRDefault="00832F25">
      <w:pPr>
        <w:pStyle w:val="FootnoteText"/>
        <w:rPr>
          <w:lang w:val="en-US"/>
        </w:rPr>
      </w:pPr>
      <w:r>
        <w:rPr>
          <w:rStyle w:val="FootnoteReference"/>
        </w:rPr>
        <w:footnoteRef/>
      </w:r>
      <w:r>
        <w:t xml:space="preserve"> Colette Tennant, </w:t>
      </w:r>
      <w:r>
        <w:rPr>
          <w:i/>
          <w:iCs/>
        </w:rPr>
        <w:t xml:space="preserve">Religion in the Handmaid’s </w:t>
      </w:r>
      <w:proofErr w:type="gramStart"/>
      <w:r>
        <w:rPr>
          <w:i/>
          <w:iCs/>
        </w:rPr>
        <w:t>Tale :</w:t>
      </w:r>
      <w:proofErr w:type="gramEnd"/>
      <w:r>
        <w:rPr>
          <w:i/>
          <w:iCs/>
        </w:rPr>
        <w:t xml:space="preserve"> A Brief Guide</w:t>
      </w:r>
      <w:r>
        <w:t xml:space="preserve"> (Minneapolis, MN: Fortress Press, 2019).</w:t>
      </w:r>
    </w:p>
  </w:footnote>
  <w:footnote w:id="7">
    <w:p w14:paraId="546A3D65" w14:textId="61860AAD" w:rsidR="002358C1" w:rsidRPr="002358C1" w:rsidRDefault="002358C1">
      <w:pPr>
        <w:pStyle w:val="FootnoteText"/>
        <w:rPr>
          <w:lang w:val="en-US"/>
        </w:rPr>
      </w:pPr>
      <w:r>
        <w:rPr>
          <w:rStyle w:val="FootnoteReference"/>
        </w:rPr>
        <w:footnoteRef/>
      </w:r>
      <w:r>
        <w:t xml:space="preserve"> </w:t>
      </w:r>
      <w:bookmarkStart w:id="0" w:name="_Hlk134141253"/>
      <w:r>
        <w:t xml:space="preserve">Margaret Atwood, </w:t>
      </w:r>
      <w:r>
        <w:rPr>
          <w:i/>
          <w:iCs/>
        </w:rPr>
        <w:t>The Handmaid’s Tale</w:t>
      </w:r>
      <w:r>
        <w:t xml:space="preserve"> (London Vintage, 2017)</w:t>
      </w:r>
      <w:r w:rsidR="00A22FC5">
        <w:t>, p.64.</w:t>
      </w:r>
    </w:p>
    <w:bookmarkEnd w:id="0"/>
  </w:footnote>
  <w:footnote w:id="8">
    <w:p w14:paraId="311AC803" w14:textId="56BBD22D" w:rsidR="00EA260A" w:rsidRPr="00EA260A" w:rsidRDefault="00EA260A">
      <w:pPr>
        <w:pStyle w:val="FootnoteText"/>
        <w:rPr>
          <w:lang w:val="en-US"/>
        </w:rPr>
      </w:pPr>
      <w:r>
        <w:rPr>
          <w:rStyle w:val="FootnoteReference"/>
        </w:rPr>
        <w:footnoteRef/>
      </w:r>
      <w:r>
        <w:t xml:space="preserve"> </w:t>
      </w:r>
      <w:r w:rsidR="00A22FC5">
        <w:t>Atwood, p.65.</w:t>
      </w:r>
    </w:p>
  </w:footnote>
  <w:footnote w:id="9">
    <w:p w14:paraId="242CF859" w14:textId="76251EE0" w:rsidR="00C16FF8" w:rsidRPr="00C16FF8" w:rsidRDefault="00C16FF8">
      <w:pPr>
        <w:pStyle w:val="FootnoteText"/>
        <w:rPr>
          <w:lang w:val="en-US"/>
        </w:rPr>
      </w:pPr>
      <w:r>
        <w:rPr>
          <w:rStyle w:val="FootnoteReference"/>
        </w:rPr>
        <w:footnoteRef/>
      </w:r>
      <w:r>
        <w:t xml:space="preserve"> </w:t>
      </w:r>
      <w:r w:rsidR="00A22FC5">
        <w:t>Atwood, p.127.</w:t>
      </w:r>
    </w:p>
  </w:footnote>
  <w:footnote w:id="10">
    <w:p w14:paraId="1BBCF8C8" w14:textId="163C5366" w:rsidR="00A22FC5" w:rsidRPr="00A22FC5" w:rsidRDefault="00A22FC5">
      <w:pPr>
        <w:pStyle w:val="FootnoteText"/>
        <w:rPr>
          <w:lang w:val="en-US"/>
        </w:rPr>
      </w:pPr>
      <w:r>
        <w:rPr>
          <w:rStyle w:val="FootnoteReference"/>
        </w:rPr>
        <w:footnoteRef/>
      </w:r>
      <w:r>
        <w:t xml:space="preserve"> Atwood, p.97.</w:t>
      </w:r>
    </w:p>
  </w:footnote>
  <w:footnote w:id="11">
    <w:p w14:paraId="7CBE4505" w14:textId="7867E6D1" w:rsidR="001C1EF4" w:rsidRPr="001C1EF4" w:rsidRDefault="00432806">
      <w:pPr>
        <w:pStyle w:val="FootnoteText"/>
        <w:rPr>
          <w:lang w:val="en-US"/>
        </w:rPr>
      </w:pPr>
      <w:r>
        <w:rPr>
          <w:rStyle w:val="FootnoteReference"/>
        </w:rPr>
        <w:footnoteRef/>
      </w:r>
      <w:r>
        <w:t xml:space="preserve">Sylvia </w:t>
      </w:r>
      <w:proofErr w:type="spellStart"/>
      <w:r>
        <w:t>Bashevkin</w:t>
      </w:r>
      <w:proofErr w:type="spellEnd"/>
      <w:r>
        <w:t xml:space="preserve">, ‘Facing a Renewed Right: American Feminism and the Reagan/Bush Challenge’, </w:t>
      </w:r>
      <w:r>
        <w:rPr>
          <w:i/>
          <w:iCs/>
        </w:rPr>
        <w:t>Canadian Journal of Political Science</w:t>
      </w:r>
      <w:r>
        <w:t>, 27.4 (1994), 669–98 &lt;</w:t>
      </w:r>
      <w:hyperlink r:id="rId6" w:history="1">
        <w:r>
          <w:rPr>
            <w:rStyle w:val="Hyperlink"/>
          </w:rPr>
          <w:t>https://doi.org/10.1017/s0008423900021983</w:t>
        </w:r>
      </w:hyperlink>
      <w:r>
        <w:t>&gt;.</w:t>
      </w:r>
    </w:p>
  </w:footnote>
  <w:footnote w:id="12">
    <w:p w14:paraId="63AD6C33" w14:textId="058E6CBC" w:rsidR="00D75CC2" w:rsidRPr="00D75CC2" w:rsidRDefault="00D75CC2">
      <w:pPr>
        <w:pStyle w:val="FootnoteText"/>
        <w:rPr>
          <w:lang w:val="en-US"/>
        </w:rPr>
      </w:pPr>
      <w:r>
        <w:rPr>
          <w:rStyle w:val="FootnoteReference"/>
        </w:rPr>
        <w:footnoteRef/>
      </w:r>
      <w:r>
        <w:t xml:space="preserve"> Atwood, p.33.</w:t>
      </w:r>
    </w:p>
  </w:footnote>
  <w:footnote w:id="13">
    <w:p w14:paraId="10BFD3BE" w14:textId="6F1E85A5" w:rsidR="00F437E8" w:rsidRPr="00F437E8" w:rsidRDefault="00F437E8">
      <w:pPr>
        <w:pStyle w:val="FootnoteText"/>
        <w:rPr>
          <w:lang w:val="en-US"/>
        </w:rPr>
      </w:pPr>
      <w:r>
        <w:rPr>
          <w:rStyle w:val="FootnoteReference"/>
        </w:rPr>
        <w:footnoteRef/>
      </w:r>
      <w:r>
        <w:t xml:space="preserve"> Françoise </w:t>
      </w:r>
      <w:proofErr w:type="spellStart"/>
      <w:r>
        <w:t>Coste</w:t>
      </w:r>
      <w:proofErr w:type="spellEnd"/>
      <w:r>
        <w:t xml:space="preserve">, ‘“Women, Ladies, Girls, Gals…”: Ronald Reagan and the Evolution of Gender Roles in the United States’, </w:t>
      </w:r>
      <w:r>
        <w:rPr>
          <w:i/>
          <w:iCs/>
        </w:rPr>
        <w:t>Miranda</w:t>
      </w:r>
      <w:r>
        <w:t>, 4.12 (2016) &lt;</w:t>
      </w:r>
      <w:hyperlink r:id="rId7" w:history="1">
        <w:r>
          <w:rPr>
            <w:rStyle w:val="Hyperlink"/>
          </w:rPr>
          <w:t>https://doi.org/10.4000/miranda.8602</w:t>
        </w:r>
      </w:hyperlink>
      <w:r>
        <w:t>&gt;.</w:t>
      </w:r>
    </w:p>
  </w:footnote>
  <w:footnote w:id="14">
    <w:p w14:paraId="1F2CE878" w14:textId="03575B4B" w:rsidR="000C6A01" w:rsidRPr="000C6A01" w:rsidRDefault="000C6A01">
      <w:pPr>
        <w:pStyle w:val="FootnoteText"/>
        <w:rPr>
          <w:lang w:val="en-US"/>
        </w:rPr>
      </w:pPr>
      <w:r>
        <w:rPr>
          <w:rStyle w:val="FootnoteReference"/>
        </w:rPr>
        <w:footnoteRef/>
      </w:r>
      <w:r>
        <w:t xml:space="preserve"> </w:t>
      </w:r>
      <w:proofErr w:type="spellStart"/>
      <w:r w:rsidR="006622D7">
        <w:t>Basshevkin</w:t>
      </w:r>
      <w:proofErr w:type="spellEnd"/>
      <w:r w:rsidR="006622D7">
        <w:t>, p.673</w:t>
      </w:r>
    </w:p>
  </w:footnote>
  <w:footnote w:id="15">
    <w:p w14:paraId="231FF2A7" w14:textId="78975DD9" w:rsidR="00DC2685" w:rsidRPr="00DC2685" w:rsidRDefault="00DC2685">
      <w:pPr>
        <w:pStyle w:val="FootnoteText"/>
        <w:rPr>
          <w:lang w:val="en-US"/>
        </w:rPr>
      </w:pPr>
      <w:r>
        <w:rPr>
          <w:rStyle w:val="FootnoteReference"/>
        </w:rPr>
        <w:footnoteRef/>
      </w:r>
      <w:r>
        <w:t xml:space="preserve"> Zillah R. Eisenstein, ‘The Patriarchal Relations of the Reagan State’, </w:t>
      </w:r>
      <w:r>
        <w:rPr>
          <w:i/>
          <w:iCs/>
        </w:rPr>
        <w:t>Signs: Journal of Women in Culture and Society</w:t>
      </w:r>
      <w:r>
        <w:t>, 10.2 (1984), 329–37 &lt;</w:t>
      </w:r>
      <w:hyperlink r:id="rId8" w:history="1">
        <w:r>
          <w:rPr>
            <w:rStyle w:val="Hyperlink"/>
          </w:rPr>
          <w:t>https://doi.org/10.1086/494140</w:t>
        </w:r>
      </w:hyperlink>
      <w:r>
        <w:t>&gt;.</w:t>
      </w:r>
    </w:p>
  </w:footnote>
  <w:footnote w:id="16">
    <w:p w14:paraId="33ECAB8D" w14:textId="1D1D8964" w:rsidR="004A7AF8" w:rsidRPr="004A7AF8" w:rsidRDefault="004A7AF8">
      <w:pPr>
        <w:pStyle w:val="FootnoteText"/>
        <w:rPr>
          <w:lang w:val="en-US"/>
        </w:rPr>
      </w:pPr>
      <w:r>
        <w:rPr>
          <w:rStyle w:val="FootnoteReference"/>
        </w:rPr>
        <w:footnoteRef/>
      </w:r>
      <w:r>
        <w:t xml:space="preserve"> </w:t>
      </w:r>
      <w:r>
        <w:rPr>
          <w:lang w:val="en-US"/>
        </w:rPr>
        <w:t>Atwood, p.43.</w:t>
      </w:r>
    </w:p>
  </w:footnote>
  <w:footnote w:id="17">
    <w:p w14:paraId="7BEF48A8" w14:textId="3BBA77CC" w:rsidR="00DA400B" w:rsidRPr="00DA400B" w:rsidRDefault="00DA400B">
      <w:pPr>
        <w:pStyle w:val="FootnoteText"/>
        <w:rPr>
          <w:lang w:val="en-US"/>
        </w:rPr>
      </w:pPr>
      <w:r>
        <w:rPr>
          <w:rStyle w:val="FootnoteReference"/>
        </w:rPr>
        <w:footnoteRef/>
      </w:r>
      <w:r>
        <w:t xml:space="preserve"> </w:t>
      </w:r>
      <w:r>
        <w:rPr>
          <w:lang w:val="en-US"/>
        </w:rPr>
        <w:t>Atwood, p.33</w:t>
      </w:r>
    </w:p>
  </w:footnote>
  <w:footnote w:id="18">
    <w:p w14:paraId="5CE27205" w14:textId="6339089C" w:rsidR="00BC7681" w:rsidRPr="00BC7681" w:rsidRDefault="00BC7681">
      <w:pPr>
        <w:pStyle w:val="FootnoteText"/>
        <w:rPr>
          <w:lang w:val="en-US"/>
        </w:rPr>
      </w:pPr>
      <w:r>
        <w:rPr>
          <w:rStyle w:val="FootnoteReference"/>
        </w:rPr>
        <w:footnoteRef/>
      </w:r>
      <w:r>
        <w:t xml:space="preserve"> Independent Staff, ‘What Was Roe v Wade Case and Why It Was Overturned’, </w:t>
      </w:r>
      <w:r>
        <w:rPr>
          <w:i/>
          <w:iCs/>
        </w:rPr>
        <w:t>The Independent</w:t>
      </w:r>
      <w:r>
        <w:t>, 2022 &lt;</w:t>
      </w:r>
      <w:hyperlink r:id="rId9" w:history="1">
        <w:r>
          <w:rPr>
            <w:rStyle w:val="Hyperlink"/>
          </w:rPr>
          <w:t>https://www.independent.co.uk/news/world/americas/roe-v-wade-overturned-supreme-court-justices-b2116042.html</w:t>
        </w:r>
      </w:hyperlink>
      <w:r>
        <w:t>&gt;.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A14"/>
    <w:rsid w:val="00073F46"/>
    <w:rsid w:val="000A3D19"/>
    <w:rsid w:val="000A5452"/>
    <w:rsid w:val="000B6DAD"/>
    <w:rsid w:val="000B7BFB"/>
    <w:rsid w:val="000C6A01"/>
    <w:rsid w:val="00125494"/>
    <w:rsid w:val="00127B94"/>
    <w:rsid w:val="00175166"/>
    <w:rsid w:val="00175B86"/>
    <w:rsid w:val="00185DD2"/>
    <w:rsid w:val="001A59AE"/>
    <w:rsid w:val="001C1EF4"/>
    <w:rsid w:val="00210AA6"/>
    <w:rsid w:val="0022414E"/>
    <w:rsid w:val="002358C1"/>
    <w:rsid w:val="00285BCC"/>
    <w:rsid w:val="002F2E84"/>
    <w:rsid w:val="0030377C"/>
    <w:rsid w:val="003230AD"/>
    <w:rsid w:val="0033359B"/>
    <w:rsid w:val="0033735D"/>
    <w:rsid w:val="00337F87"/>
    <w:rsid w:val="00395EA0"/>
    <w:rsid w:val="003C6DC1"/>
    <w:rsid w:val="003E0643"/>
    <w:rsid w:val="00432806"/>
    <w:rsid w:val="00437BE6"/>
    <w:rsid w:val="00440659"/>
    <w:rsid w:val="004A1F3F"/>
    <w:rsid w:val="004A7AF8"/>
    <w:rsid w:val="004B23CF"/>
    <w:rsid w:val="004C074B"/>
    <w:rsid w:val="004D057E"/>
    <w:rsid w:val="00502A05"/>
    <w:rsid w:val="006622D7"/>
    <w:rsid w:val="00717EE6"/>
    <w:rsid w:val="00736942"/>
    <w:rsid w:val="007B13CC"/>
    <w:rsid w:val="007B145C"/>
    <w:rsid w:val="007D37EB"/>
    <w:rsid w:val="007E5C19"/>
    <w:rsid w:val="00804A28"/>
    <w:rsid w:val="00825113"/>
    <w:rsid w:val="00832F25"/>
    <w:rsid w:val="00893253"/>
    <w:rsid w:val="008B0533"/>
    <w:rsid w:val="008D7DA3"/>
    <w:rsid w:val="00911996"/>
    <w:rsid w:val="00937D3C"/>
    <w:rsid w:val="009C6424"/>
    <w:rsid w:val="00A22FC5"/>
    <w:rsid w:val="00A97B54"/>
    <w:rsid w:val="00AB6A14"/>
    <w:rsid w:val="00AD532F"/>
    <w:rsid w:val="00AE7F6B"/>
    <w:rsid w:val="00B43FD2"/>
    <w:rsid w:val="00B57992"/>
    <w:rsid w:val="00B75213"/>
    <w:rsid w:val="00BC7681"/>
    <w:rsid w:val="00BE3C63"/>
    <w:rsid w:val="00BE4490"/>
    <w:rsid w:val="00C16157"/>
    <w:rsid w:val="00C16FF8"/>
    <w:rsid w:val="00C21A14"/>
    <w:rsid w:val="00C3784B"/>
    <w:rsid w:val="00C47175"/>
    <w:rsid w:val="00D27657"/>
    <w:rsid w:val="00D549A2"/>
    <w:rsid w:val="00D70F11"/>
    <w:rsid w:val="00D75CC2"/>
    <w:rsid w:val="00DA400B"/>
    <w:rsid w:val="00DC2685"/>
    <w:rsid w:val="00DD03B8"/>
    <w:rsid w:val="00DE55EC"/>
    <w:rsid w:val="00E0715D"/>
    <w:rsid w:val="00EA03A9"/>
    <w:rsid w:val="00EA260A"/>
    <w:rsid w:val="00EA38AB"/>
    <w:rsid w:val="00EB5994"/>
    <w:rsid w:val="00EC1EB7"/>
    <w:rsid w:val="00EC53CD"/>
    <w:rsid w:val="00F165BC"/>
    <w:rsid w:val="00F437E8"/>
    <w:rsid w:val="00F705E5"/>
    <w:rsid w:val="00F76F61"/>
    <w:rsid w:val="00F92A53"/>
    <w:rsid w:val="00FF60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C3836"/>
  <w15:chartTrackingRefBased/>
  <w15:docId w15:val="{313C1EDF-8632-42CC-8F5B-0AAB6585E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0A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0AA6"/>
    <w:rPr>
      <w:sz w:val="20"/>
      <w:szCs w:val="20"/>
      <w:lang w:val="en-GB"/>
    </w:rPr>
  </w:style>
  <w:style w:type="character" w:styleId="FootnoteReference">
    <w:name w:val="footnote reference"/>
    <w:basedOn w:val="DefaultParagraphFont"/>
    <w:uiPriority w:val="99"/>
    <w:semiHidden/>
    <w:unhideWhenUsed/>
    <w:rsid w:val="00210AA6"/>
    <w:rPr>
      <w:vertAlign w:val="superscript"/>
    </w:rPr>
  </w:style>
  <w:style w:type="character" w:styleId="Hyperlink">
    <w:name w:val="Hyperlink"/>
    <w:basedOn w:val="DefaultParagraphFont"/>
    <w:uiPriority w:val="99"/>
    <w:semiHidden/>
    <w:unhideWhenUsed/>
    <w:rsid w:val="00AB6A14"/>
    <w:rPr>
      <w:color w:val="0000FF"/>
      <w:u w:val="single"/>
    </w:rPr>
  </w:style>
  <w:style w:type="paragraph" w:styleId="NormalWeb">
    <w:name w:val="Normal (Web)"/>
    <w:basedOn w:val="Normal"/>
    <w:uiPriority w:val="99"/>
    <w:semiHidden/>
    <w:unhideWhenUsed/>
    <w:rsid w:val="00DE55EC"/>
    <w:pPr>
      <w:spacing w:before="100" w:beforeAutospacing="1" w:after="100" w:afterAutospacing="1" w:line="240" w:lineRule="auto"/>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240128">
      <w:bodyDiv w:val="1"/>
      <w:marLeft w:val="0"/>
      <w:marRight w:val="0"/>
      <w:marTop w:val="0"/>
      <w:marBottom w:val="0"/>
      <w:divBdr>
        <w:top w:val="none" w:sz="0" w:space="0" w:color="auto"/>
        <w:left w:val="none" w:sz="0" w:space="0" w:color="auto"/>
        <w:bottom w:val="none" w:sz="0" w:space="0" w:color="auto"/>
        <w:right w:val="none" w:sz="0" w:space="0" w:color="auto"/>
      </w:divBdr>
      <w:divsChild>
        <w:div w:id="4315585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86/494140" TargetMode="External"/><Relationship Id="rId3" Type="http://schemas.openxmlformats.org/officeDocument/2006/relationships/hyperlink" Target="https://doi.org/10.1080/13642520701652087" TargetMode="External"/><Relationship Id="rId7" Type="http://schemas.openxmlformats.org/officeDocument/2006/relationships/hyperlink" Target="https://doi.org/10.4000/miranda.8602" TargetMode="External"/><Relationship Id="rId2" Type="http://schemas.openxmlformats.org/officeDocument/2006/relationships/hyperlink" Target="https://www.youtube.com/watch?v=mh5r8rbgUAY" TargetMode="External"/><Relationship Id="rId1" Type="http://schemas.openxmlformats.org/officeDocument/2006/relationships/hyperlink" Target="https://doi.org/10.2307/1908503" TargetMode="External"/><Relationship Id="rId6" Type="http://schemas.openxmlformats.org/officeDocument/2006/relationships/hyperlink" Target="https://doi.org/10.1017/s0008423900021983" TargetMode="External"/><Relationship Id="rId5" Type="http://schemas.openxmlformats.org/officeDocument/2006/relationships/hyperlink" Target="https://doi.org/10.1177/0002716293527001009" TargetMode="External"/><Relationship Id="rId4" Type="http://schemas.openxmlformats.org/officeDocument/2006/relationships/hyperlink" Target="https://doi.org/10.2307/2149992" TargetMode="External"/><Relationship Id="rId9" Type="http://schemas.openxmlformats.org/officeDocument/2006/relationships/hyperlink" Target="https://www.independent.co.uk/news/world/americas/roe-v-wade-overturned-supreme-court-justices-b211604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2429</TotalTime>
  <Pages>1</Pages>
  <Words>2743</Words>
  <Characters>15637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12</cp:revision>
  <dcterms:created xsi:type="dcterms:W3CDTF">2023-05-03T23:19:00Z</dcterms:created>
  <dcterms:modified xsi:type="dcterms:W3CDTF">2023-05-05T16:19:00Z</dcterms:modified>
</cp:coreProperties>
</file>