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B7221" w14:textId="77777777" w:rsidR="00436A7F" w:rsidRPr="002D55CF" w:rsidRDefault="00436A7F" w:rsidP="00EB377C">
      <w:pPr>
        <w:jc w:val="center"/>
        <w:rPr>
          <w:rFonts w:cs="Times New Roman"/>
          <w:b/>
          <w:bCs/>
          <w:noProof/>
          <w:sz w:val="32"/>
          <w:szCs w:val="32"/>
          <w:lang w:val="en-GB"/>
        </w:rPr>
      </w:pPr>
      <w:r w:rsidRPr="002D55CF">
        <w:rPr>
          <w:rFonts w:cs="Times New Roman"/>
          <w:b/>
          <w:bCs/>
          <w:noProof/>
          <w:sz w:val="32"/>
          <w:szCs w:val="32"/>
          <w:lang w:val="en-GB"/>
        </w:rPr>
        <w:t>Programme: BA Business Management</w:t>
      </w:r>
    </w:p>
    <w:p w14:paraId="03362FC3" w14:textId="77777777" w:rsidR="00436A7F" w:rsidRPr="002D55CF" w:rsidRDefault="00436A7F" w:rsidP="00EB377C">
      <w:pPr>
        <w:jc w:val="center"/>
        <w:rPr>
          <w:rFonts w:cs="Times New Roman"/>
          <w:b/>
          <w:bCs/>
          <w:noProof/>
          <w:sz w:val="32"/>
          <w:szCs w:val="32"/>
          <w:lang w:val="en-GB"/>
        </w:rPr>
      </w:pPr>
      <w:r w:rsidRPr="002D55CF">
        <w:rPr>
          <w:rFonts w:cs="Times New Roman"/>
          <w:b/>
          <w:bCs/>
          <w:noProof/>
          <w:sz w:val="32"/>
          <w:szCs w:val="32"/>
          <w:lang w:val="en-GB"/>
        </w:rPr>
        <w:t>Module: Managing People</w:t>
      </w:r>
    </w:p>
    <w:p w14:paraId="16014F13" w14:textId="4A06D32F" w:rsidR="00A22A53" w:rsidRPr="002D55CF" w:rsidRDefault="00436A7F" w:rsidP="00EB377C">
      <w:pPr>
        <w:jc w:val="center"/>
        <w:rPr>
          <w:rFonts w:cs="Times New Roman"/>
          <w:b/>
          <w:bCs/>
          <w:noProof/>
          <w:sz w:val="32"/>
          <w:szCs w:val="32"/>
          <w:lang w:val="en-GB"/>
        </w:rPr>
      </w:pPr>
      <w:r w:rsidRPr="002D55CF">
        <w:rPr>
          <w:rFonts w:cs="Times New Roman"/>
          <w:b/>
          <w:bCs/>
          <w:noProof/>
          <w:sz w:val="32"/>
          <w:szCs w:val="32"/>
          <w:lang w:val="en-GB"/>
        </w:rPr>
        <w:t>Module code: LCBB5004</w:t>
      </w:r>
    </w:p>
    <w:p w14:paraId="02E09F53" w14:textId="30A02634" w:rsidR="00436A7F" w:rsidRDefault="00436A7F" w:rsidP="00EB377C">
      <w:pPr>
        <w:jc w:val="center"/>
        <w:rPr>
          <w:rFonts w:cs="Times New Roman"/>
          <w:b/>
          <w:bCs/>
          <w:noProof/>
          <w:sz w:val="32"/>
          <w:szCs w:val="32"/>
          <w:lang w:val="en-GB"/>
        </w:rPr>
      </w:pPr>
      <w:r w:rsidRPr="002D55CF">
        <w:rPr>
          <w:rFonts w:cs="Times New Roman"/>
          <w:b/>
          <w:bCs/>
          <w:noProof/>
          <w:sz w:val="32"/>
          <w:szCs w:val="32"/>
          <w:lang w:val="en-GB"/>
        </w:rPr>
        <w:t>Assignment Title: Assessment 1</w:t>
      </w:r>
    </w:p>
    <w:p w14:paraId="4EBDB04E" w14:textId="77777777" w:rsidR="00006763" w:rsidRDefault="00006763" w:rsidP="00006763">
      <w:pPr>
        <w:rPr>
          <w:b/>
          <w:sz w:val="32"/>
          <w:szCs w:val="32"/>
          <w:lang w:val="en-GB"/>
        </w:rPr>
      </w:pPr>
    </w:p>
    <w:p w14:paraId="4400564C" w14:textId="2259166A" w:rsidR="00006763" w:rsidRPr="0041792B" w:rsidRDefault="00006763" w:rsidP="00006763">
      <w:pPr>
        <w:rPr>
          <w:b/>
          <w:sz w:val="32"/>
          <w:szCs w:val="32"/>
          <w:lang w:val="en-GB"/>
        </w:rPr>
      </w:pPr>
      <w:r w:rsidRPr="0041792B">
        <w:rPr>
          <w:b/>
          <w:sz w:val="32"/>
          <w:szCs w:val="32"/>
          <w:lang w:val="en-GB"/>
        </w:rPr>
        <w:t>Module tutor:</w:t>
      </w:r>
      <w:r w:rsidRPr="00006763">
        <w:rPr>
          <w:b/>
          <w:bCs/>
          <w:sz w:val="28"/>
          <w:szCs w:val="28"/>
          <w:lang w:val="en-GB"/>
        </w:rPr>
        <w:t xml:space="preserve"> </w:t>
      </w:r>
      <w:proofErr w:type="spellStart"/>
      <w:r w:rsidRPr="00006763">
        <w:rPr>
          <w:rFonts w:ascii="Segoe UI" w:hAnsi="Segoe UI" w:cs="Segoe UI"/>
          <w:b/>
          <w:bCs/>
          <w:color w:val="373A3C"/>
          <w:sz w:val="28"/>
          <w:szCs w:val="28"/>
          <w:shd w:val="clear" w:color="auto" w:fill="F9F9F9"/>
        </w:rPr>
        <w:t>Olusoyi</w:t>
      </w:r>
      <w:proofErr w:type="spellEnd"/>
      <w:r w:rsidRPr="00006763">
        <w:rPr>
          <w:rFonts w:ascii="Segoe UI" w:hAnsi="Segoe UI" w:cs="Segoe UI"/>
          <w:b/>
          <w:bCs/>
          <w:color w:val="373A3C"/>
          <w:sz w:val="28"/>
          <w:szCs w:val="28"/>
          <w:shd w:val="clear" w:color="auto" w:fill="F9F9F9"/>
        </w:rPr>
        <w:t xml:space="preserve"> </w:t>
      </w:r>
      <w:proofErr w:type="spellStart"/>
      <w:r w:rsidRPr="00006763">
        <w:rPr>
          <w:rFonts w:ascii="Segoe UI" w:hAnsi="Segoe UI" w:cs="Segoe UI"/>
          <w:b/>
          <w:bCs/>
          <w:color w:val="373A3C"/>
          <w:sz w:val="28"/>
          <w:szCs w:val="28"/>
          <w:shd w:val="clear" w:color="auto" w:fill="F9F9F9"/>
        </w:rPr>
        <w:t>Ashaye</w:t>
      </w:r>
      <w:proofErr w:type="spellEnd"/>
    </w:p>
    <w:p w14:paraId="435B5859" w14:textId="77777777" w:rsidR="00006763" w:rsidRDefault="00006763" w:rsidP="00006763">
      <w:pPr>
        <w:rPr>
          <w:sz w:val="28"/>
          <w:lang w:val="en-GB"/>
        </w:rPr>
      </w:pPr>
    </w:p>
    <w:p w14:paraId="56FA9B53" w14:textId="179ED4ED" w:rsidR="00006763" w:rsidRPr="00833634" w:rsidRDefault="00006763" w:rsidP="00006763">
      <w:pPr>
        <w:rPr>
          <w:b/>
          <w:sz w:val="28"/>
          <w:lang w:val="en-GB"/>
        </w:rPr>
      </w:pPr>
      <w:r w:rsidRPr="00833634">
        <w:rPr>
          <w:b/>
          <w:sz w:val="28"/>
          <w:lang w:val="en-GB"/>
        </w:rPr>
        <w:t xml:space="preserve">Student </w:t>
      </w:r>
      <w:proofErr w:type="spellStart"/>
      <w:proofErr w:type="gramStart"/>
      <w:r w:rsidRPr="00833634">
        <w:rPr>
          <w:b/>
          <w:sz w:val="28"/>
          <w:lang w:val="en-GB"/>
        </w:rPr>
        <w:t>Name:</w:t>
      </w:r>
      <w:r>
        <w:rPr>
          <w:b/>
          <w:sz w:val="28"/>
          <w:lang w:val="en-GB"/>
        </w:rPr>
        <w:t>Adelina</w:t>
      </w:r>
      <w:proofErr w:type="spellEnd"/>
      <w:proofErr w:type="gramEnd"/>
      <w:r>
        <w:rPr>
          <w:b/>
          <w:sz w:val="28"/>
          <w:lang w:val="en-GB"/>
        </w:rPr>
        <w:t xml:space="preserve"> Camelia Perva</w:t>
      </w:r>
    </w:p>
    <w:p w14:paraId="6725AF18" w14:textId="5F06E9A3" w:rsidR="00006763" w:rsidRDefault="00006763" w:rsidP="00006763">
      <w:pPr>
        <w:rPr>
          <w:b/>
          <w:sz w:val="28"/>
          <w:lang w:val="en-GB"/>
        </w:rPr>
      </w:pPr>
      <w:r>
        <w:rPr>
          <w:sz w:val="28"/>
          <w:lang w:val="en-GB"/>
        </w:rPr>
        <w:tab/>
      </w:r>
      <w:r>
        <w:rPr>
          <w:sz w:val="28"/>
          <w:lang w:val="en-GB"/>
        </w:rPr>
        <w:tab/>
      </w:r>
      <w:r>
        <w:rPr>
          <w:sz w:val="28"/>
          <w:lang w:val="en-GB"/>
        </w:rPr>
        <w:t xml:space="preserve">         </w:t>
      </w:r>
      <w:r w:rsidRPr="00833634">
        <w:rPr>
          <w:b/>
          <w:sz w:val="28"/>
          <w:lang w:val="en-GB"/>
        </w:rPr>
        <w:t>Student ID:</w:t>
      </w:r>
      <w:r>
        <w:rPr>
          <w:b/>
          <w:sz w:val="28"/>
          <w:lang w:val="en-GB"/>
        </w:rPr>
        <w:t>2020310</w:t>
      </w:r>
    </w:p>
    <w:p w14:paraId="0AE666BF" w14:textId="77777777" w:rsidR="00006763" w:rsidRPr="002D55CF" w:rsidRDefault="00006763" w:rsidP="00EB377C">
      <w:pPr>
        <w:jc w:val="center"/>
        <w:rPr>
          <w:rFonts w:cs="Times New Roman"/>
          <w:b/>
          <w:bCs/>
          <w:noProof/>
          <w:sz w:val="32"/>
          <w:szCs w:val="32"/>
          <w:lang w:val="en-GB"/>
        </w:rPr>
      </w:pPr>
    </w:p>
    <w:p w14:paraId="6E75D750" w14:textId="39D20575" w:rsidR="00A22A53" w:rsidRPr="002D55CF" w:rsidRDefault="00A22A53" w:rsidP="00EB377C">
      <w:pPr>
        <w:rPr>
          <w:rFonts w:cs="Times New Roman"/>
          <w:noProof/>
          <w:lang w:val="en-GB"/>
        </w:rPr>
      </w:pPr>
    </w:p>
    <w:p w14:paraId="49283AD6" w14:textId="2765FBB6" w:rsidR="00A22A53" w:rsidRPr="002D55CF" w:rsidRDefault="00A22A53" w:rsidP="00EB377C">
      <w:pPr>
        <w:rPr>
          <w:rFonts w:cs="Times New Roman"/>
          <w:noProof/>
          <w:lang w:val="en-GB"/>
        </w:rPr>
      </w:pPr>
    </w:p>
    <w:p w14:paraId="0E76320A" w14:textId="676A5098" w:rsidR="00A22A53" w:rsidRPr="002D55CF" w:rsidRDefault="00A22A53" w:rsidP="00EB377C">
      <w:pPr>
        <w:rPr>
          <w:rFonts w:cs="Times New Roman"/>
          <w:noProof/>
          <w:lang w:val="en-GB"/>
        </w:rPr>
      </w:pPr>
    </w:p>
    <w:p w14:paraId="74A2C270" w14:textId="230A401F" w:rsidR="00A22A53" w:rsidRPr="002D55CF" w:rsidRDefault="00A22A53" w:rsidP="00EB377C">
      <w:pPr>
        <w:rPr>
          <w:rFonts w:cs="Times New Roman"/>
          <w:noProof/>
          <w:lang w:val="en-GB"/>
        </w:rPr>
      </w:pPr>
    </w:p>
    <w:p w14:paraId="5B4A9B6F" w14:textId="5839D7AD" w:rsidR="00A22A53" w:rsidRPr="002D55CF" w:rsidRDefault="00A22A53" w:rsidP="00EB377C">
      <w:pPr>
        <w:rPr>
          <w:rFonts w:cs="Times New Roman"/>
          <w:noProof/>
          <w:lang w:val="en-GB"/>
        </w:rPr>
      </w:pPr>
    </w:p>
    <w:p w14:paraId="3E13E655" w14:textId="1C782698" w:rsidR="00A22A53" w:rsidRPr="002D55CF" w:rsidRDefault="00A22A53" w:rsidP="00EB377C">
      <w:pPr>
        <w:rPr>
          <w:rFonts w:cs="Times New Roman"/>
          <w:noProof/>
          <w:lang w:val="en-GB"/>
        </w:rPr>
      </w:pPr>
    </w:p>
    <w:p w14:paraId="486D5548" w14:textId="256D909C" w:rsidR="00A22A53" w:rsidRPr="002D55CF" w:rsidRDefault="00A22A53" w:rsidP="00EB377C">
      <w:pPr>
        <w:rPr>
          <w:rFonts w:cs="Times New Roman"/>
          <w:noProof/>
          <w:lang w:val="en-GB"/>
        </w:rPr>
      </w:pPr>
    </w:p>
    <w:p w14:paraId="77518843" w14:textId="0DE55925" w:rsidR="00A22A53" w:rsidRPr="002D55CF" w:rsidRDefault="00A22A53" w:rsidP="00EB377C">
      <w:pPr>
        <w:rPr>
          <w:rFonts w:cs="Times New Roman"/>
          <w:noProof/>
          <w:lang w:val="en-GB"/>
        </w:rPr>
      </w:pPr>
    </w:p>
    <w:p w14:paraId="32999C03" w14:textId="4A02E213" w:rsidR="00A22A53" w:rsidRPr="002D55CF" w:rsidRDefault="00A22A53" w:rsidP="00EB377C">
      <w:pPr>
        <w:rPr>
          <w:rFonts w:cs="Times New Roman"/>
          <w:noProof/>
          <w:lang w:val="en-GB"/>
        </w:rPr>
      </w:pPr>
    </w:p>
    <w:p w14:paraId="6BA7DB93" w14:textId="219F8D17" w:rsidR="00A22A53" w:rsidRPr="002D55CF" w:rsidRDefault="00A22A53" w:rsidP="00EB377C">
      <w:pPr>
        <w:rPr>
          <w:rFonts w:cs="Times New Roman"/>
          <w:noProof/>
          <w:lang w:val="en-GB"/>
        </w:rPr>
      </w:pPr>
    </w:p>
    <w:p w14:paraId="00F47A69" w14:textId="3E08B376" w:rsidR="00A22A53" w:rsidRPr="002D55CF" w:rsidRDefault="00A22A53" w:rsidP="00EB377C">
      <w:pPr>
        <w:rPr>
          <w:rFonts w:cs="Times New Roman"/>
          <w:noProof/>
          <w:lang w:val="en-GB"/>
        </w:rPr>
      </w:pPr>
    </w:p>
    <w:p w14:paraId="6ED97AE0" w14:textId="284BD3D8" w:rsidR="00A22A53" w:rsidRPr="002D55CF" w:rsidRDefault="00A22A53" w:rsidP="00EB377C">
      <w:pPr>
        <w:rPr>
          <w:rFonts w:cs="Times New Roman"/>
          <w:noProof/>
          <w:lang w:val="en-GB"/>
        </w:rPr>
      </w:pPr>
    </w:p>
    <w:p w14:paraId="000AD1AD" w14:textId="3A1A82E9" w:rsidR="00A22A53" w:rsidRPr="002D55CF" w:rsidRDefault="00A22A53" w:rsidP="00EB377C">
      <w:pPr>
        <w:rPr>
          <w:rFonts w:cs="Times New Roman"/>
          <w:noProof/>
          <w:lang w:val="en-GB"/>
        </w:rPr>
      </w:pPr>
    </w:p>
    <w:p w14:paraId="261CECCE" w14:textId="3EB558E1" w:rsidR="00A22A53" w:rsidRPr="002D55CF" w:rsidRDefault="00A22A53" w:rsidP="00EB377C">
      <w:pPr>
        <w:rPr>
          <w:rFonts w:cs="Times New Roman"/>
          <w:noProof/>
          <w:lang w:val="en-GB"/>
        </w:rPr>
      </w:pPr>
    </w:p>
    <w:p w14:paraId="4E1F7280" w14:textId="27786C46" w:rsidR="00A22A53" w:rsidRPr="002D55CF" w:rsidRDefault="00A22A53" w:rsidP="00EB377C">
      <w:pPr>
        <w:rPr>
          <w:rFonts w:cs="Times New Roman"/>
          <w:noProof/>
          <w:lang w:val="en-GB"/>
        </w:rPr>
      </w:pPr>
    </w:p>
    <w:p w14:paraId="51DE6FC0" w14:textId="5D720D0A" w:rsidR="00A22A53" w:rsidRPr="002D55CF" w:rsidRDefault="00A22A53" w:rsidP="00EB377C">
      <w:pPr>
        <w:rPr>
          <w:rFonts w:cs="Times New Roman"/>
          <w:noProof/>
          <w:lang w:val="en-GB"/>
        </w:rPr>
      </w:pPr>
    </w:p>
    <w:p w14:paraId="7B6B0EDF" w14:textId="552683D6" w:rsidR="00A22A53" w:rsidRPr="002D55CF" w:rsidRDefault="00A22A53" w:rsidP="00EB377C">
      <w:pPr>
        <w:rPr>
          <w:rFonts w:cs="Times New Roman"/>
          <w:noProof/>
          <w:lang w:val="en-GB"/>
        </w:rPr>
      </w:pPr>
    </w:p>
    <w:p w14:paraId="3684CD63" w14:textId="77777777" w:rsidR="00A22A53" w:rsidRPr="002D55CF" w:rsidRDefault="00A22A53" w:rsidP="00EB377C">
      <w:pPr>
        <w:rPr>
          <w:rFonts w:eastAsiaTheme="majorEastAsia" w:cs="Times New Roman"/>
          <w:b/>
          <w:bCs/>
          <w:noProof/>
          <w:sz w:val="32"/>
          <w:szCs w:val="28"/>
          <w:lang w:val="en-GB"/>
        </w:rPr>
      </w:pPr>
    </w:p>
    <w:sdt>
      <w:sdtPr>
        <w:rPr>
          <w:rFonts w:cs="Times New Roman"/>
          <w:b/>
          <w:bCs/>
          <w:noProof/>
          <w:lang w:val="en-GB"/>
        </w:rPr>
        <w:id w:val="1204375026"/>
        <w:docPartObj>
          <w:docPartGallery w:val="Table of Contents"/>
          <w:docPartUnique/>
        </w:docPartObj>
      </w:sdtPr>
      <w:sdtEndPr>
        <w:rPr>
          <w:b w:val="0"/>
          <w:bCs w:val="0"/>
          <w:szCs w:val="24"/>
        </w:rPr>
      </w:sdtEndPr>
      <w:sdtContent>
        <w:p w14:paraId="66D7F60F" w14:textId="30E1F8C8" w:rsidR="0072139F" w:rsidRPr="002D55CF" w:rsidRDefault="00A22A53" w:rsidP="00EB377C">
          <w:pPr>
            <w:rPr>
              <w:rFonts w:cs="Times New Roman"/>
              <w:noProof/>
              <w:sz w:val="32"/>
              <w:szCs w:val="32"/>
              <w:lang w:val="en-GB"/>
            </w:rPr>
          </w:pPr>
          <w:r w:rsidRPr="002D55CF">
            <w:rPr>
              <w:rFonts w:cs="Times New Roman"/>
              <w:b/>
              <w:bCs/>
              <w:noProof/>
              <w:sz w:val="32"/>
              <w:szCs w:val="32"/>
              <w:lang w:val="en-GB"/>
            </w:rPr>
            <w:t xml:space="preserve">Table of </w:t>
          </w:r>
          <w:r w:rsidR="0072139F" w:rsidRPr="002D55CF">
            <w:rPr>
              <w:rFonts w:cs="Times New Roman"/>
              <w:b/>
              <w:bCs/>
              <w:noProof/>
              <w:sz w:val="32"/>
              <w:szCs w:val="32"/>
              <w:lang w:val="en-GB"/>
            </w:rPr>
            <w:t>Contents</w:t>
          </w:r>
        </w:p>
        <w:p w14:paraId="101B09FD" w14:textId="06459E49" w:rsidR="00EB377C" w:rsidRPr="002D55CF" w:rsidRDefault="0072139F">
          <w:pPr>
            <w:pStyle w:val="TOC1"/>
            <w:tabs>
              <w:tab w:val="right" w:leader="dot" w:pos="9016"/>
            </w:tabs>
            <w:rPr>
              <w:rFonts w:asciiTheme="minorHAnsi" w:eastAsiaTheme="minorEastAsia" w:hAnsiTheme="minorHAnsi"/>
              <w:noProof/>
              <w:sz w:val="22"/>
              <w:lang w:val="en-GB" w:eastAsia="en-GB"/>
            </w:rPr>
          </w:pPr>
          <w:r w:rsidRPr="002D55CF">
            <w:rPr>
              <w:rFonts w:cs="Times New Roman"/>
              <w:noProof/>
              <w:szCs w:val="24"/>
              <w:lang w:val="en-GB"/>
            </w:rPr>
            <w:fldChar w:fldCharType="begin"/>
          </w:r>
          <w:r w:rsidRPr="002D55CF">
            <w:rPr>
              <w:rFonts w:cs="Times New Roman"/>
              <w:noProof/>
              <w:szCs w:val="24"/>
              <w:lang w:val="en-GB"/>
            </w:rPr>
            <w:instrText xml:space="preserve"> TOC \o "1-3" \h \z \u </w:instrText>
          </w:r>
          <w:r w:rsidRPr="002D55CF">
            <w:rPr>
              <w:rFonts w:cs="Times New Roman"/>
              <w:noProof/>
              <w:szCs w:val="24"/>
              <w:lang w:val="en-GB"/>
            </w:rPr>
            <w:fldChar w:fldCharType="separate"/>
          </w:r>
          <w:hyperlink w:anchor="_Toc100236477" w:history="1">
            <w:r w:rsidR="00EB377C" w:rsidRPr="002D55CF">
              <w:rPr>
                <w:rStyle w:val="Hyperlink"/>
                <w:noProof/>
                <w:lang w:val="en-GB"/>
              </w:rPr>
              <w:t>Introduction</w:t>
            </w:r>
            <w:r w:rsidR="00EB377C" w:rsidRPr="002D55CF">
              <w:rPr>
                <w:noProof/>
                <w:webHidden/>
                <w:lang w:val="en-GB"/>
              </w:rPr>
              <w:tab/>
            </w:r>
            <w:r w:rsidR="00EB377C" w:rsidRPr="002D55CF">
              <w:rPr>
                <w:noProof/>
                <w:webHidden/>
                <w:lang w:val="en-GB"/>
              </w:rPr>
              <w:fldChar w:fldCharType="begin"/>
            </w:r>
            <w:r w:rsidR="00EB377C" w:rsidRPr="002D55CF">
              <w:rPr>
                <w:noProof/>
                <w:webHidden/>
                <w:lang w:val="en-GB"/>
              </w:rPr>
              <w:instrText xml:space="preserve"> PAGEREF _Toc100236477 \h </w:instrText>
            </w:r>
            <w:r w:rsidR="00EB377C" w:rsidRPr="002D55CF">
              <w:rPr>
                <w:noProof/>
                <w:webHidden/>
                <w:lang w:val="en-GB"/>
              </w:rPr>
            </w:r>
            <w:r w:rsidR="00EB377C" w:rsidRPr="002D55CF">
              <w:rPr>
                <w:noProof/>
                <w:webHidden/>
                <w:lang w:val="en-GB"/>
              </w:rPr>
              <w:fldChar w:fldCharType="separate"/>
            </w:r>
            <w:r w:rsidR="00EB377C" w:rsidRPr="002D55CF">
              <w:rPr>
                <w:noProof/>
                <w:webHidden/>
                <w:lang w:val="en-GB"/>
              </w:rPr>
              <w:t>2</w:t>
            </w:r>
            <w:r w:rsidR="00EB377C" w:rsidRPr="002D55CF">
              <w:rPr>
                <w:noProof/>
                <w:webHidden/>
                <w:lang w:val="en-GB"/>
              </w:rPr>
              <w:fldChar w:fldCharType="end"/>
            </w:r>
          </w:hyperlink>
        </w:p>
        <w:p w14:paraId="785AF7AA" w14:textId="3CDEE3EB" w:rsidR="00EB377C" w:rsidRPr="002D55CF" w:rsidRDefault="00946C89">
          <w:pPr>
            <w:pStyle w:val="TOC1"/>
            <w:tabs>
              <w:tab w:val="right" w:leader="dot" w:pos="9016"/>
            </w:tabs>
            <w:rPr>
              <w:rFonts w:asciiTheme="minorHAnsi" w:eastAsiaTheme="minorEastAsia" w:hAnsiTheme="minorHAnsi"/>
              <w:noProof/>
              <w:sz w:val="22"/>
              <w:lang w:val="en-GB" w:eastAsia="en-GB"/>
            </w:rPr>
          </w:pPr>
          <w:hyperlink w:anchor="_Toc100236478" w:history="1">
            <w:r w:rsidR="00EB377C" w:rsidRPr="002D55CF">
              <w:rPr>
                <w:rStyle w:val="Hyperlink"/>
                <w:noProof/>
                <w:lang w:val="en-GB"/>
              </w:rPr>
              <w:t>Impact of flexible working about diversity and inclusion at work</w:t>
            </w:r>
            <w:r w:rsidR="00EB377C" w:rsidRPr="002D55CF">
              <w:rPr>
                <w:noProof/>
                <w:webHidden/>
                <w:lang w:val="en-GB"/>
              </w:rPr>
              <w:tab/>
            </w:r>
            <w:r w:rsidR="00EB377C" w:rsidRPr="002D55CF">
              <w:rPr>
                <w:noProof/>
                <w:webHidden/>
                <w:lang w:val="en-GB"/>
              </w:rPr>
              <w:fldChar w:fldCharType="begin"/>
            </w:r>
            <w:r w:rsidR="00EB377C" w:rsidRPr="002D55CF">
              <w:rPr>
                <w:noProof/>
                <w:webHidden/>
                <w:lang w:val="en-GB"/>
              </w:rPr>
              <w:instrText xml:space="preserve"> PAGEREF _Toc100236478 \h </w:instrText>
            </w:r>
            <w:r w:rsidR="00EB377C" w:rsidRPr="002D55CF">
              <w:rPr>
                <w:noProof/>
                <w:webHidden/>
                <w:lang w:val="en-GB"/>
              </w:rPr>
            </w:r>
            <w:r w:rsidR="00EB377C" w:rsidRPr="002D55CF">
              <w:rPr>
                <w:noProof/>
                <w:webHidden/>
                <w:lang w:val="en-GB"/>
              </w:rPr>
              <w:fldChar w:fldCharType="separate"/>
            </w:r>
            <w:r w:rsidR="00EB377C" w:rsidRPr="002D55CF">
              <w:rPr>
                <w:noProof/>
                <w:webHidden/>
                <w:lang w:val="en-GB"/>
              </w:rPr>
              <w:t>2</w:t>
            </w:r>
            <w:r w:rsidR="00EB377C" w:rsidRPr="002D55CF">
              <w:rPr>
                <w:noProof/>
                <w:webHidden/>
                <w:lang w:val="en-GB"/>
              </w:rPr>
              <w:fldChar w:fldCharType="end"/>
            </w:r>
          </w:hyperlink>
        </w:p>
        <w:p w14:paraId="54DC1CE8" w14:textId="7A3050F9" w:rsidR="00EB377C" w:rsidRPr="002D55CF" w:rsidRDefault="00946C89">
          <w:pPr>
            <w:pStyle w:val="TOC1"/>
            <w:tabs>
              <w:tab w:val="right" w:leader="dot" w:pos="9016"/>
            </w:tabs>
            <w:rPr>
              <w:rFonts w:asciiTheme="minorHAnsi" w:eastAsiaTheme="minorEastAsia" w:hAnsiTheme="minorHAnsi"/>
              <w:noProof/>
              <w:sz w:val="22"/>
              <w:lang w:val="en-GB" w:eastAsia="en-GB"/>
            </w:rPr>
          </w:pPr>
          <w:hyperlink w:anchor="_Toc100236479" w:history="1">
            <w:r w:rsidR="00EB377C" w:rsidRPr="002D55CF">
              <w:rPr>
                <w:rStyle w:val="Hyperlink"/>
                <w:noProof/>
                <w:lang w:val="en-GB"/>
              </w:rPr>
              <w:t>The role of Human Resources in promoting diversity and inclusion</w:t>
            </w:r>
            <w:r w:rsidR="00EB377C" w:rsidRPr="002D55CF">
              <w:rPr>
                <w:noProof/>
                <w:webHidden/>
                <w:lang w:val="en-GB"/>
              </w:rPr>
              <w:tab/>
            </w:r>
            <w:r w:rsidR="00EB377C" w:rsidRPr="002D55CF">
              <w:rPr>
                <w:noProof/>
                <w:webHidden/>
                <w:lang w:val="en-GB"/>
              </w:rPr>
              <w:fldChar w:fldCharType="begin"/>
            </w:r>
            <w:r w:rsidR="00EB377C" w:rsidRPr="002D55CF">
              <w:rPr>
                <w:noProof/>
                <w:webHidden/>
                <w:lang w:val="en-GB"/>
              </w:rPr>
              <w:instrText xml:space="preserve"> PAGEREF _Toc100236479 \h </w:instrText>
            </w:r>
            <w:r w:rsidR="00EB377C" w:rsidRPr="002D55CF">
              <w:rPr>
                <w:noProof/>
                <w:webHidden/>
                <w:lang w:val="en-GB"/>
              </w:rPr>
            </w:r>
            <w:r w:rsidR="00EB377C" w:rsidRPr="002D55CF">
              <w:rPr>
                <w:noProof/>
                <w:webHidden/>
                <w:lang w:val="en-GB"/>
              </w:rPr>
              <w:fldChar w:fldCharType="separate"/>
            </w:r>
            <w:r w:rsidR="00EB377C" w:rsidRPr="002D55CF">
              <w:rPr>
                <w:noProof/>
                <w:webHidden/>
                <w:lang w:val="en-GB"/>
              </w:rPr>
              <w:t>4</w:t>
            </w:r>
            <w:r w:rsidR="00EB377C" w:rsidRPr="002D55CF">
              <w:rPr>
                <w:noProof/>
                <w:webHidden/>
                <w:lang w:val="en-GB"/>
              </w:rPr>
              <w:fldChar w:fldCharType="end"/>
            </w:r>
          </w:hyperlink>
        </w:p>
        <w:p w14:paraId="1B4DDCB4" w14:textId="09F87F7B" w:rsidR="00EB377C" w:rsidRPr="002D55CF" w:rsidRDefault="00946C89">
          <w:pPr>
            <w:pStyle w:val="TOC2"/>
            <w:tabs>
              <w:tab w:val="right" w:leader="dot" w:pos="9016"/>
            </w:tabs>
            <w:rPr>
              <w:rFonts w:asciiTheme="minorHAnsi" w:eastAsiaTheme="minorEastAsia" w:hAnsiTheme="minorHAnsi"/>
              <w:noProof/>
              <w:sz w:val="22"/>
              <w:lang w:val="en-GB" w:eastAsia="en-GB"/>
            </w:rPr>
          </w:pPr>
          <w:hyperlink w:anchor="_Toc100236480" w:history="1">
            <w:r w:rsidR="00EB377C" w:rsidRPr="002D55CF">
              <w:rPr>
                <w:rStyle w:val="Hyperlink"/>
                <w:noProof/>
                <w:lang w:val="en-GB"/>
              </w:rPr>
              <w:t>Against flexible working about inequality at work</w:t>
            </w:r>
            <w:r w:rsidR="00EB377C" w:rsidRPr="002D55CF">
              <w:rPr>
                <w:noProof/>
                <w:webHidden/>
                <w:lang w:val="en-GB"/>
              </w:rPr>
              <w:tab/>
            </w:r>
            <w:r w:rsidR="00EB377C" w:rsidRPr="002D55CF">
              <w:rPr>
                <w:noProof/>
                <w:webHidden/>
                <w:lang w:val="en-GB"/>
              </w:rPr>
              <w:fldChar w:fldCharType="begin"/>
            </w:r>
            <w:r w:rsidR="00EB377C" w:rsidRPr="002D55CF">
              <w:rPr>
                <w:noProof/>
                <w:webHidden/>
                <w:lang w:val="en-GB"/>
              </w:rPr>
              <w:instrText xml:space="preserve"> PAGEREF _Toc100236480 \h </w:instrText>
            </w:r>
            <w:r w:rsidR="00EB377C" w:rsidRPr="002D55CF">
              <w:rPr>
                <w:noProof/>
                <w:webHidden/>
                <w:lang w:val="en-GB"/>
              </w:rPr>
            </w:r>
            <w:r w:rsidR="00EB377C" w:rsidRPr="002D55CF">
              <w:rPr>
                <w:noProof/>
                <w:webHidden/>
                <w:lang w:val="en-GB"/>
              </w:rPr>
              <w:fldChar w:fldCharType="separate"/>
            </w:r>
            <w:r w:rsidR="00EB377C" w:rsidRPr="002D55CF">
              <w:rPr>
                <w:noProof/>
                <w:webHidden/>
                <w:lang w:val="en-GB"/>
              </w:rPr>
              <w:t>6</w:t>
            </w:r>
            <w:r w:rsidR="00EB377C" w:rsidRPr="002D55CF">
              <w:rPr>
                <w:noProof/>
                <w:webHidden/>
                <w:lang w:val="en-GB"/>
              </w:rPr>
              <w:fldChar w:fldCharType="end"/>
            </w:r>
          </w:hyperlink>
        </w:p>
        <w:p w14:paraId="1518B8DD" w14:textId="738CBE10" w:rsidR="00EB377C" w:rsidRPr="002D55CF" w:rsidRDefault="00946C89">
          <w:pPr>
            <w:pStyle w:val="TOC1"/>
            <w:tabs>
              <w:tab w:val="right" w:leader="dot" w:pos="9016"/>
            </w:tabs>
            <w:rPr>
              <w:rFonts w:asciiTheme="minorHAnsi" w:eastAsiaTheme="minorEastAsia" w:hAnsiTheme="minorHAnsi"/>
              <w:noProof/>
              <w:sz w:val="22"/>
              <w:lang w:val="en-GB" w:eastAsia="en-GB"/>
            </w:rPr>
          </w:pPr>
          <w:hyperlink w:anchor="_Toc100236481" w:history="1">
            <w:r w:rsidR="00EB377C" w:rsidRPr="002D55CF">
              <w:rPr>
                <w:rStyle w:val="Hyperlink"/>
                <w:noProof/>
                <w:lang w:val="en-GB"/>
              </w:rPr>
              <w:t>The role of Human Resources in addressing the concerns of inequality</w:t>
            </w:r>
            <w:r w:rsidR="00EB377C" w:rsidRPr="002D55CF">
              <w:rPr>
                <w:noProof/>
                <w:webHidden/>
                <w:lang w:val="en-GB"/>
              </w:rPr>
              <w:tab/>
            </w:r>
            <w:r w:rsidR="00EB377C" w:rsidRPr="002D55CF">
              <w:rPr>
                <w:noProof/>
                <w:webHidden/>
                <w:lang w:val="en-GB"/>
              </w:rPr>
              <w:fldChar w:fldCharType="begin"/>
            </w:r>
            <w:r w:rsidR="00EB377C" w:rsidRPr="002D55CF">
              <w:rPr>
                <w:noProof/>
                <w:webHidden/>
                <w:lang w:val="en-GB"/>
              </w:rPr>
              <w:instrText xml:space="preserve"> PAGEREF _Toc100236481 \h </w:instrText>
            </w:r>
            <w:r w:rsidR="00EB377C" w:rsidRPr="002D55CF">
              <w:rPr>
                <w:noProof/>
                <w:webHidden/>
                <w:lang w:val="en-GB"/>
              </w:rPr>
            </w:r>
            <w:r w:rsidR="00EB377C" w:rsidRPr="002D55CF">
              <w:rPr>
                <w:noProof/>
                <w:webHidden/>
                <w:lang w:val="en-GB"/>
              </w:rPr>
              <w:fldChar w:fldCharType="separate"/>
            </w:r>
            <w:r w:rsidR="00EB377C" w:rsidRPr="002D55CF">
              <w:rPr>
                <w:noProof/>
                <w:webHidden/>
                <w:lang w:val="en-GB"/>
              </w:rPr>
              <w:t>7</w:t>
            </w:r>
            <w:r w:rsidR="00EB377C" w:rsidRPr="002D55CF">
              <w:rPr>
                <w:noProof/>
                <w:webHidden/>
                <w:lang w:val="en-GB"/>
              </w:rPr>
              <w:fldChar w:fldCharType="end"/>
            </w:r>
          </w:hyperlink>
        </w:p>
        <w:p w14:paraId="7078B718" w14:textId="0595C65E" w:rsidR="00EB377C" w:rsidRPr="002D55CF" w:rsidRDefault="00946C89">
          <w:pPr>
            <w:pStyle w:val="TOC1"/>
            <w:tabs>
              <w:tab w:val="right" w:leader="dot" w:pos="9016"/>
            </w:tabs>
            <w:rPr>
              <w:rFonts w:asciiTheme="minorHAnsi" w:eastAsiaTheme="minorEastAsia" w:hAnsiTheme="minorHAnsi"/>
              <w:noProof/>
              <w:sz w:val="22"/>
              <w:lang w:val="en-GB" w:eastAsia="en-GB"/>
            </w:rPr>
          </w:pPr>
          <w:hyperlink w:anchor="_Toc100236482" w:history="1">
            <w:r w:rsidR="00EB377C" w:rsidRPr="002D55CF">
              <w:rPr>
                <w:rStyle w:val="Hyperlink"/>
                <w:noProof/>
                <w:lang w:val="en-GB"/>
              </w:rPr>
              <w:t>Conclusion</w:t>
            </w:r>
            <w:r w:rsidR="00EB377C" w:rsidRPr="002D55CF">
              <w:rPr>
                <w:noProof/>
                <w:webHidden/>
                <w:lang w:val="en-GB"/>
              </w:rPr>
              <w:tab/>
            </w:r>
            <w:r w:rsidR="00EB377C" w:rsidRPr="002D55CF">
              <w:rPr>
                <w:noProof/>
                <w:webHidden/>
                <w:lang w:val="en-GB"/>
              </w:rPr>
              <w:fldChar w:fldCharType="begin"/>
            </w:r>
            <w:r w:rsidR="00EB377C" w:rsidRPr="002D55CF">
              <w:rPr>
                <w:noProof/>
                <w:webHidden/>
                <w:lang w:val="en-GB"/>
              </w:rPr>
              <w:instrText xml:space="preserve"> PAGEREF _Toc100236482 \h </w:instrText>
            </w:r>
            <w:r w:rsidR="00EB377C" w:rsidRPr="002D55CF">
              <w:rPr>
                <w:noProof/>
                <w:webHidden/>
                <w:lang w:val="en-GB"/>
              </w:rPr>
            </w:r>
            <w:r w:rsidR="00EB377C" w:rsidRPr="002D55CF">
              <w:rPr>
                <w:noProof/>
                <w:webHidden/>
                <w:lang w:val="en-GB"/>
              </w:rPr>
              <w:fldChar w:fldCharType="separate"/>
            </w:r>
            <w:r w:rsidR="00EB377C" w:rsidRPr="002D55CF">
              <w:rPr>
                <w:noProof/>
                <w:webHidden/>
                <w:lang w:val="en-GB"/>
              </w:rPr>
              <w:t>8</w:t>
            </w:r>
            <w:r w:rsidR="00EB377C" w:rsidRPr="002D55CF">
              <w:rPr>
                <w:noProof/>
                <w:webHidden/>
                <w:lang w:val="en-GB"/>
              </w:rPr>
              <w:fldChar w:fldCharType="end"/>
            </w:r>
          </w:hyperlink>
        </w:p>
        <w:p w14:paraId="6215187D" w14:textId="392F4ECB" w:rsidR="00EB377C" w:rsidRPr="002D55CF" w:rsidRDefault="00946C89">
          <w:pPr>
            <w:pStyle w:val="TOC1"/>
            <w:tabs>
              <w:tab w:val="right" w:leader="dot" w:pos="9016"/>
            </w:tabs>
            <w:rPr>
              <w:rFonts w:asciiTheme="minorHAnsi" w:eastAsiaTheme="minorEastAsia" w:hAnsiTheme="minorHAnsi"/>
              <w:noProof/>
              <w:sz w:val="22"/>
              <w:lang w:val="en-GB" w:eastAsia="en-GB"/>
            </w:rPr>
          </w:pPr>
          <w:hyperlink w:anchor="_Toc100236483" w:history="1">
            <w:r w:rsidR="00EB377C" w:rsidRPr="002D55CF">
              <w:rPr>
                <w:rStyle w:val="Hyperlink"/>
                <w:noProof/>
                <w:lang w:val="en-GB"/>
              </w:rPr>
              <w:t>References</w:t>
            </w:r>
            <w:r w:rsidR="00EB377C" w:rsidRPr="002D55CF">
              <w:rPr>
                <w:noProof/>
                <w:webHidden/>
                <w:lang w:val="en-GB"/>
              </w:rPr>
              <w:tab/>
            </w:r>
            <w:r w:rsidR="00EB377C" w:rsidRPr="002D55CF">
              <w:rPr>
                <w:noProof/>
                <w:webHidden/>
                <w:lang w:val="en-GB"/>
              </w:rPr>
              <w:fldChar w:fldCharType="begin"/>
            </w:r>
            <w:r w:rsidR="00EB377C" w:rsidRPr="002D55CF">
              <w:rPr>
                <w:noProof/>
                <w:webHidden/>
                <w:lang w:val="en-GB"/>
              </w:rPr>
              <w:instrText xml:space="preserve"> PAGEREF _Toc100236483 \h </w:instrText>
            </w:r>
            <w:r w:rsidR="00EB377C" w:rsidRPr="002D55CF">
              <w:rPr>
                <w:noProof/>
                <w:webHidden/>
                <w:lang w:val="en-GB"/>
              </w:rPr>
            </w:r>
            <w:r w:rsidR="00EB377C" w:rsidRPr="002D55CF">
              <w:rPr>
                <w:noProof/>
                <w:webHidden/>
                <w:lang w:val="en-GB"/>
              </w:rPr>
              <w:fldChar w:fldCharType="separate"/>
            </w:r>
            <w:r w:rsidR="00EB377C" w:rsidRPr="002D55CF">
              <w:rPr>
                <w:noProof/>
                <w:webHidden/>
                <w:lang w:val="en-GB"/>
              </w:rPr>
              <w:t>9</w:t>
            </w:r>
            <w:r w:rsidR="00EB377C" w:rsidRPr="002D55CF">
              <w:rPr>
                <w:noProof/>
                <w:webHidden/>
                <w:lang w:val="en-GB"/>
              </w:rPr>
              <w:fldChar w:fldCharType="end"/>
            </w:r>
          </w:hyperlink>
        </w:p>
        <w:p w14:paraId="1598A409" w14:textId="5E596E84" w:rsidR="0072139F" w:rsidRPr="002D55CF" w:rsidRDefault="0072139F" w:rsidP="00EB377C">
          <w:pPr>
            <w:rPr>
              <w:rFonts w:cs="Times New Roman"/>
              <w:noProof/>
              <w:szCs w:val="24"/>
              <w:lang w:val="en-GB"/>
            </w:rPr>
            <w:sectPr w:rsidR="0072139F" w:rsidRPr="002D55CF" w:rsidSect="00436A7F">
              <w:footerReference w:type="default" r:id="rId8"/>
              <w:type w:val="continuous"/>
              <w:pgSz w:w="11906" w:h="16838" w:code="9"/>
              <w:pgMar w:top="1440" w:right="1440" w:bottom="1440" w:left="1440" w:header="720" w:footer="720" w:gutter="0"/>
              <w:pgNumType w:start="1"/>
              <w:cols w:space="720"/>
              <w:docGrid w:linePitch="360"/>
            </w:sectPr>
          </w:pPr>
          <w:r w:rsidRPr="002D55CF">
            <w:rPr>
              <w:rFonts w:cs="Times New Roman"/>
              <w:b/>
              <w:bCs/>
              <w:noProof/>
              <w:szCs w:val="24"/>
              <w:lang w:val="en-GB"/>
            </w:rPr>
            <w:fldChar w:fldCharType="end"/>
          </w:r>
        </w:p>
      </w:sdtContent>
    </w:sdt>
    <w:p w14:paraId="52059AFB" w14:textId="18BED3E1" w:rsidR="00436A7F" w:rsidRPr="002D55CF" w:rsidRDefault="00436A7F" w:rsidP="00EB377C">
      <w:pPr>
        <w:pStyle w:val="Heading1"/>
        <w:rPr>
          <w:noProof/>
          <w:sz w:val="22"/>
          <w:lang w:val="en-GB"/>
        </w:rPr>
      </w:pPr>
    </w:p>
    <w:p w14:paraId="6BD30C5E" w14:textId="1A8E63BE" w:rsidR="00000A6D" w:rsidRPr="002D55CF" w:rsidRDefault="00000A6D" w:rsidP="00EB377C">
      <w:pPr>
        <w:rPr>
          <w:noProof/>
          <w:lang w:val="en-GB"/>
        </w:rPr>
      </w:pPr>
    </w:p>
    <w:p w14:paraId="63953195" w14:textId="6D9C1EDB" w:rsidR="00000A6D" w:rsidRPr="002D55CF" w:rsidRDefault="00000A6D" w:rsidP="00EB377C">
      <w:pPr>
        <w:rPr>
          <w:noProof/>
          <w:lang w:val="en-GB"/>
        </w:rPr>
      </w:pPr>
    </w:p>
    <w:p w14:paraId="1958AFD2" w14:textId="7A5DD34B" w:rsidR="00000A6D" w:rsidRPr="002D55CF" w:rsidRDefault="00000A6D" w:rsidP="00EB377C">
      <w:pPr>
        <w:rPr>
          <w:noProof/>
          <w:lang w:val="en-GB"/>
        </w:rPr>
      </w:pPr>
    </w:p>
    <w:p w14:paraId="7C7FD370" w14:textId="4EDF5ECE" w:rsidR="00000A6D" w:rsidRPr="002D55CF" w:rsidRDefault="00000A6D" w:rsidP="00EB377C">
      <w:pPr>
        <w:rPr>
          <w:noProof/>
          <w:lang w:val="en-GB"/>
        </w:rPr>
      </w:pPr>
    </w:p>
    <w:p w14:paraId="6A44ED0F" w14:textId="71474BB0" w:rsidR="00000A6D" w:rsidRPr="002D55CF" w:rsidRDefault="00000A6D" w:rsidP="00EB377C">
      <w:pPr>
        <w:rPr>
          <w:noProof/>
          <w:lang w:val="en-GB"/>
        </w:rPr>
      </w:pPr>
    </w:p>
    <w:p w14:paraId="572F86B6" w14:textId="554FE3FC" w:rsidR="00000A6D" w:rsidRPr="002D55CF" w:rsidRDefault="00000A6D" w:rsidP="00EB377C">
      <w:pPr>
        <w:rPr>
          <w:noProof/>
          <w:lang w:val="en-GB"/>
        </w:rPr>
      </w:pPr>
    </w:p>
    <w:p w14:paraId="74EA1BA7" w14:textId="77777777" w:rsidR="00000A6D" w:rsidRPr="002D55CF" w:rsidRDefault="00000A6D" w:rsidP="00EB377C">
      <w:pPr>
        <w:rPr>
          <w:noProof/>
          <w:lang w:val="en-GB"/>
        </w:rPr>
      </w:pPr>
    </w:p>
    <w:p w14:paraId="68E59FB2" w14:textId="77777777" w:rsidR="00436A7F" w:rsidRPr="002D55CF" w:rsidRDefault="00436A7F" w:rsidP="00EB377C">
      <w:pPr>
        <w:pStyle w:val="Heading1"/>
        <w:rPr>
          <w:noProof/>
          <w:sz w:val="22"/>
          <w:lang w:val="en-GB"/>
        </w:rPr>
      </w:pPr>
    </w:p>
    <w:p w14:paraId="5C121441" w14:textId="02146A2B" w:rsidR="00436A7F" w:rsidRPr="002D55CF" w:rsidRDefault="00436A7F" w:rsidP="00EB377C">
      <w:pPr>
        <w:pStyle w:val="Heading1"/>
        <w:rPr>
          <w:noProof/>
          <w:sz w:val="22"/>
          <w:lang w:val="en-GB"/>
        </w:rPr>
      </w:pPr>
    </w:p>
    <w:p w14:paraId="64399650" w14:textId="104858BA" w:rsidR="00436A7F" w:rsidRPr="002D55CF" w:rsidRDefault="00436A7F" w:rsidP="00EB377C">
      <w:pPr>
        <w:rPr>
          <w:noProof/>
          <w:lang w:val="en-GB"/>
        </w:rPr>
      </w:pPr>
    </w:p>
    <w:p w14:paraId="4280A3FF" w14:textId="77777777" w:rsidR="00436A7F" w:rsidRPr="002D55CF" w:rsidRDefault="00436A7F" w:rsidP="00EB377C">
      <w:pPr>
        <w:rPr>
          <w:noProof/>
          <w:lang w:val="en-GB"/>
        </w:rPr>
      </w:pPr>
    </w:p>
    <w:p w14:paraId="6F66148A" w14:textId="1E7B21A6" w:rsidR="00510E6E" w:rsidRPr="002D55CF" w:rsidRDefault="00510E6E" w:rsidP="00EB377C">
      <w:pPr>
        <w:pStyle w:val="Heading1"/>
        <w:rPr>
          <w:noProof/>
          <w:lang w:val="en-GB"/>
        </w:rPr>
      </w:pPr>
      <w:bookmarkStart w:id="0" w:name="_Toc100236477"/>
      <w:r w:rsidRPr="002D55CF">
        <w:rPr>
          <w:noProof/>
          <w:lang w:val="en-GB"/>
        </w:rPr>
        <w:t>Introduction</w:t>
      </w:r>
      <w:bookmarkEnd w:id="0"/>
    </w:p>
    <w:p w14:paraId="34C34E32" w14:textId="5F2B3C8D" w:rsidR="00510E6E" w:rsidRPr="002D55CF" w:rsidRDefault="00510E6E" w:rsidP="00EB377C">
      <w:pPr>
        <w:rPr>
          <w:rFonts w:cs="Times New Roman"/>
          <w:noProof/>
          <w:lang w:val="en-GB"/>
        </w:rPr>
      </w:pPr>
      <w:r w:rsidRPr="002D55CF">
        <w:rPr>
          <w:rFonts w:cs="Times New Roman"/>
          <w:noProof/>
          <w:lang w:val="en-GB"/>
        </w:rPr>
        <w:t xml:space="preserve">This report has demonstrated the deployment of flexible work arrangements contributes to employment diversity enhancement in </w:t>
      </w:r>
      <w:r w:rsidR="00000A6D" w:rsidRPr="002D55CF">
        <w:rPr>
          <w:rFonts w:cs="Times New Roman"/>
          <w:noProof/>
          <w:lang w:val="en-GB"/>
        </w:rPr>
        <w:t>organizations</w:t>
      </w:r>
      <w:r w:rsidRPr="002D55CF">
        <w:rPr>
          <w:rFonts w:cs="Times New Roman"/>
          <w:noProof/>
          <w:lang w:val="en-GB"/>
        </w:rPr>
        <w:t xml:space="preserve"> in the UK. The first part of this report has covered the impact of flexible working arrangements on diversity and inclusion at work and depicted the role of Human Resources in promoting diversity and inclusion through flexible working. This part also discussed the improvements of an </w:t>
      </w:r>
      <w:r w:rsidR="00000A6D" w:rsidRPr="002D55CF">
        <w:rPr>
          <w:rFonts w:cs="Times New Roman"/>
          <w:noProof/>
          <w:lang w:val="en-GB"/>
        </w:rPr>
        <w:t>organization’s</w:t>
      </w:r>
      <w:r w:rsidRPr="002D55CF">
        <w:rPr>
          <w:rFonts w:cs="Times New Roman"/>
          <w:noProof/>
          <w:lang w:val="en-GB"/>
        </w:rPr>
        <w:t xml:space="preserve"> flexibility, recruiting, retention, and economic stability and how HR creates equality in every position, promoting an accessible environment and promoting diversification. In the next part, this report showed the impact of flexible working on inequality at work and the role of Human Resources in addressing the concerns of inequality. Balancing freedom and security for all employees, minimum wage legislation, and retirement savings distributions have also been discussed in this section.</w:t>
      </w:r>
    </w:p>
    <w:p w14:paraId="5DA0BB4E" w14:textId="77777777" w:rsidR="00F40BFB" w:rsidRPr="002D55CF" w:rsidRDefault="00F40BFB">
      <w:pPr>
        <w:spacing w:line="276" w:lineRule="auto"/>
        <w:jc w:val="left"/>
        <w:rPr>
          <w:rFonts w:eastAsiaTheme="majorEastAsia" w:cs="Times New Roman"/>
          <w:b/>
          <w:bCs/>
          <w:noProof/>
          <w:sz w:val="32"/>
          <w:lang w:val="en-GB"/>
        </w:rPr>
      </w:pPr>
      <w:bookmarkStart w:id="1" w:name="_Toc100236478"/>
      <w:r w:rsidRPr="002D55CF">
        <w:rPr>
          <w:noProof/>
          <w:lang w:val="en-GB"/>
        </w:rPr>
        <w:br w:type="page"/>
      </w:r>
    </w:p>
    <w:p w14:paraId="439BAAEE" w14:textId="48577142" w:rsidR="00510E6E" w:rsidRPr="002D55CF" w:rsidRDefault="00510E6E" w:rsidP="00EB377C">
      <w:pPr>
        <w:pStyle w:val="Heading1"/>
        <w:rPr>
          <w:noProof/>
          <w:lang w:val="en-GB"/>
        </w:rPr>
      </w:pPr>
      <w:r w:rsidRPr="002D55CF">
        <w:rPr>
          <w:noProof/>
          <w:lang w:val="en-GB"/>
        </w:rPr>
        <w:lastRenderedPageBreak/>
        <w:t>Impact of flexible working about diversity and inclusion at work</w:t>
      </w:r>
      <w:bookmarkEnd w:id="1"/>
    </w:p>
    <w:p w14:paraId="45F95356" w14:textId="41D7B681" w:rsidR="00510E6E" w:rsidRPr="002D55CF" w:rsidRDefault="00510E6E" w:rsidP="00EB377C">
      <w:pPr>
        <w:rPr>
          <w:rFonts w:cs="Times New Roman"/>
          <w:noProof/>
          <w:lang w:val="en-GB"/>
        </w:rPr>
      </w:pPr>
      <w:r w:rsidRPr="002D55CF">
        <w:rPr>
          <w:rFonts w:cs="Times New Roman"/>
          <w:noProof/>
          <w:lang w:val="en-GB"/>
        </w:rPr>
        <w:t>Flexibility is crucial for certain types of people in the United Kingdom. Many women, older employees, single parents, and individuals with physical handicaps or psychological issues could only work in part-time or flexible positions</w:t>
      </w:r>
      <w:r w:rsidR="002D55CF" w:rsidRPr="002D55CF">
        <w:rPr>
          <w:rFonts w:cs="Times New Roman"/>
          <w:noProof/>
          <w:lang w:val="en-GB"/>
        </w:rPr>
        <w:t xml:space="preserve"> (</w:t>
      </w:r>
      <w:r w:rsidR="002D55CF" w:rsidRPr="002D55CF">
        <w:rPr>
          <w:rFonts w:eastAsia="Times New Roman" w:cs="Times New Roman"/>
          <w:noProof/>
          <w:szCs w:val="24"/>
          <w:lang w:val="en-GB" w:eastAsia="en-GB"/>
        </w:rPr>
        <w:t>Stewart and Brown, 2019)</w:t>
      </w:r>
      <w:r w:rsidRPr="002D55CF">
        <w:rPr>
          <w:rFonts w:cs="Times New Roman"/>
          <w:noProof/>
          <w:lang w:val="en-GB"/>
        </w:rPr>
        <w:t xml:space="preserve">. As a result, they may become trapped in low-wage jobs or find themselves was unable to operate at all. </w:t>
      </w:r>
    </w:p>
    <w:p w14:paraId="08FEF325" w14:textId="0D170CEC" w:rsidR="00510E6E" w:rsidRPr="002D55CF" w:rsidRDefault="00510E6E" w:rsidP="00EB377C">
      <w:pPr>
        <w:rPr>
          <w:rFonts w:cs="Times New Roman"/>
          <w:noProof/>
          <w:lang w:val="en-GB"/>
        </w:rPr>
      </w:pPr>
      <w:r w:rsidRPr="002D55CF">
        <w:rPr>
          <w:rFonts w:cs="Times New Roman"/>
          <w:noProof/>
          <w:lang w:val="en-GB"/>
        </w:rPr>
        <w:t xml:space="preserve">Diversification, according to research, improves an </w:t>
      </w:r>
      <w:r w:rsidR="00000A6D" w:rsidRPr="002D55CF">
        <w:rPr>
          <w:rFonts w:cs="Times New Roman"/>
          <w:noProof/>
          <w:lang w:val="en-GB"/>
        </w:rPr>
        <w:t>organization’s</w:t>
      </w:r>
      <w:r w:rsidRPr="002D55CF">
        <w:rPr>
          <w:rFonts w:cs="Times New Roman"/>
          <w:noProof/>
          <w:lang w:val="en-GB"/>
        </w:rPr>
        <w:t xml:space="preserve"> flexibility, recruiting, retention, and economic stability. Workforce diversity may provide competition and improve an </w:t>
      </w:r>
      <w:r w:rsidR="00000A6D" w:rsidRPr="002D55CF">
        <w:rPr>
          <w:rFonts w:cs="Times New Roman"/>
          <w:noProof/>
          <w:lang w:val="en-GB"/>
        </w:rPr>
        <w:t>organization’s</w:t>
      </w:r>
      <w:r w:rsidRPr="002D55CF">
        <w:rPr>
          <w:rFonts w:cs="Times New Roman"/>
          <w:noProof/>
          <w:lang w:val="en-GB"/>
        </w:rPr>
        <w:t xml:space="preserve"> adjustment to changing industries (Bleasdale, 2020). Thus, such advantages may be facilitated by fostering optimal working circumstances for a variety of skills, along with the provision of flexible work arrangements. Nonetheless, the numerous definitions and manifestations of flexible work arrangements make it difficult to generalize their scope, impact, and support to diversity management. The phrase is imprecise, while some clarity is offered by categorizing flexibility as per its primary beneficiary – as in the difference between "selected" and "restricted" part-time work, as well as between "</w:t>
      </w:r>
      <w:r w:rsidR="00000A6D" w:rsidRPr="002D55CF">
        <w:rPr>
          <w:rFonts w:cs="Times New Roman"/>
          <w:noProof/>
          <w:lang w:val="en-GB"/>
        </w:rPr>
        <w:t>customization</w:t>
      </w:r>
      <w:r w:rsidRPr="002D55CF">
        <w:rPr>
          <w:rFonts w:cs="Times New Roman"/>
          <w:noProof/>
          <w:lang w:val="en-GB"/>
        </w:rPr>
        <w:t xml:space="preserve">" (beneficial to the worker) and "flexibility" (to benefit the employer) (Ellis, 2019). The argument over flexible work arrangements has evolved over the last few generations from a social commentary on the bad characteristics of work processes associated with the "flexible firm" to one focused on the good aspects of a human resource framework. The discussion has shifted away from </w:t>
      </w:r>
      <w:r w:rsidR="00000A6D" w:rsidRPr="002D55CF">
        <w:rPr>
          <w:rFonts w:cs="Times New Roman"/>
          <w:noProof/>
          <w:lang w:val="en-GB"/>
        </w:rPr>
        <w:t>organizational</w:t>
      </w:r>
      <w:r w:rsidRPr="002D55CF">
        <w:rPr>
          <w:rFonts w:cs="Times New Roman"/>
          <w:noProof/>
          <w:lang w:val="en-GB"/>
        </w:rPr>
        <w:t xml:space="preserve"> and statistical flexibility (where company needs are crucial) and toward spatial and, more specifically, temporal flexibility (partial working, decreased hours, etc.) with employee benefits and, concurrently, for employers – recruiting and keeping quality employees as a function of intention to leave and WLB (Htun, 2019).</w:t>
      </w:r>
      <w:r w:rsidR="00036B2E" w:rsidRPr="002D55CF">
        <w:rPr>
          <w:rFonts w:cs="Times New Roman"/>
          <w:noProof/>
          <w:lang w:val="en-GB"/>
        </w:rPr>
        <w:t xml:space="preserve"> </w:t>
      </w:r>
      <w:r w:rsidRPr="002D55CF">
        <w:rPr>
          <w:rFonts w:cs="Times New Roman"/>
          <w:noProof/>
          <w:lang w:val="en-GB"/>
        </w:rPr>
        <w:t xml:space="preserve">Decision-makers may also support flexible work arrangements based on the "business case" concept that diverse employees offer value to an </w:t>
      </w:r>
      <w:r w:rsidR="00000A6D" w:rsidRPr="002D55CF">
        <w:rPr>
          <w:rFonts w:cs="Times New Roman"/>
          <w:noProof/>
          <w:lang w:val="en-GB"/>
        </w:rPr>
        <w:t>organization</w:t>
      </w:r>
      <w:r w:rsidRPr="002D55CF">
        <w:rPr>
          <w:rFonts w:cs="Times New Roman"/>
          <w:noProof/>
          <w:lang w:val="en-GB"/>
        </w:rPr>
        <w:t xml:space="preserve"> in terms of </w:t>
      </w:r>
      <w:r w:rsidR="00000A6D" w:rsidRPr="002D55CF">
        <w:rPr>
          <w:rFonts w:cs="Times New Roman"/>
          <w:noProof/>
          <w:lang w:val="en-GB"/>
        </w:rPr>
        <w:t>organizational</w:t>
      </w:r>
      <w:r w:rsidRPr="002D55CF">
        <w:rPr>
          <w:rFonts w:cs="Times New Roman"/>
          <w:noProof/>
          <w:lang w:val="en-GB"/>
        </w:rPr>
        <w:t xml:space="preserve"> efficiency. Flexibility in work methods is considered to promote fairness and social inclusion; as a result, </w:t>
      </w:r>
      <w:r w:rsidR="00000A6D" w:rsidRPr="002D55CF">
        <w:rPr>
          <w:rFonts w:cs="Times New Roman"/>
          <w:noProof/>
          <w:lang w:val="en-GB"/>
        </w:rPr>
        <w:t>organizations</w:t>
      </w:r>
      <w:r w:rsidRPr="002D55CF">
        <w:rPr>
          <w:rFonts w:cs="Times New Roman"/>
          <w:noProof/>
          <w:lang w:val="en-GB"/>
        </w:rPr>
        <w:t xml:space="preserve"> adopt human resource methods that help and appreciate variety by resolving WLB Nonetheless, the data to support the flexible work arrangements business analysis thesis remain unclear. Diversification and flexible work arrangements conflict with the idea of the "ideal person," in which job devotion is emphasized as if people have no more duties beyond the work</w:t>
      </w:r>
      <w:r w:rsidR="00F40BFB" w:rsidRPr="002D55CF">
        <w:rPr>
          <w:rFonts w:cs="Times New Roman"/>
          <w:noProof/>
          <w:lang w:val="en-GB"/>
        </w:rPr>
        <w:t xml:space="preserve"> (Paolillo, et al., 2016)</w:t>
      </w:r>
      <w:r w:rsidRPr="002D55CF">
        <w:rPr>
          <w:rFonts w:cs="Times New Roman"/>
          <w:noProof/>
          <w:lang w:val="en-GB"/>
        </w:rPr>
        <w:t>. Where companies, for instance, utilize elevated, greater labo</w:t>
      </w:r>
      <w:r w:rsidR="00347D71" w:rsidRPr="002D55CF">
        <w:rPr>
          <w:rFonts w:cs="Times New Roman"/>
          <w:noProof/>
          <w:lang w:val="en-GB"/>
        </w:rPr>
        <w:t>u</w:t>
      </w:r>
      <w:r w:rsidRPr="002D55CF">
        <w:rPr>
          <w:rFonts w:cs="Times New Roman"/>
          <w:noProof/>
          <w:lang w:val="en-GB"/>
        </w:rPr>
        <w:t xml:space="preserve">r practices, mobility is about "management," about the ability to exercise "personality" functioning as a deterrent rather than a facilitator of diversity. Moreover, it has been stated that flexible work arrangements rarely result in improvements to </w:t>
      </w:r>
      <w:r w:rsidR="00000A6D" w:rsidRPr="002D55CF">
        <w:rPr>
          <w:rFonts w:cs="Times New Roman"/>
          <w:noProof/>
          <w:lang w:val="en-GB"/>
        </w:rPr>
        <w:t>organizational</w:t>
      </w:r>
      <w:r w:rsidRPr="002D55CF">
        <w:rPr>
          <w:rFonts w:cs="Times New Roman"/>
          <w:noProof/>
          <w:lang w:val="en-GB"/>
        </w:rPr>
        <w:t xml:space="preserve"> equity and that an adverse </w:t>
      </w:r>
      <w:r w:rsidRPr="002D55CF">
        <w:rPr>
          <w:rFonts w:cs="Times New Roman"/>
          <w:noProof/>
          <w:lang w:val="en-GB"/>
        </w:rPr>
        <w:lastRenderedPageBreak/>
        <w:t xml:space="preserve">consequence may marginalize people who do not fit the framework establish a relationship between activities that perpetuate gender disparities and </w:t>
      </w:r>
      <w:r w:rsidR="00000A6D" w:rsidRPr="002D55CF">
        <w:rPr>
          <w:rFonts w:cs="Times New Roman"/>
          <w:noProof/>
          <w:lang w:val="en-GB"/>
        </w:rPr>
        <w:t>organization</w:t>
      </w:r>
      <w:r w:rsidR="00347D71" w:rsidRPr="002D55CF">
        <w:rPr>
          <w:rFonts w:cs="Times New Roman"/>
          <w:noProof/>
          <w:lang w:val="en-GB"/>
        </w:rPr>
        <w:t>al</w:t>
      </w:r>
      <w:r w:rsidRPr="002D55CF">
        <w:rPr>
          <w:rFonts w:cs="Times New Roman"/>
          <w:noProof/>
          <w:lang w:val="en-GB"/>
        </w:rPr>
        <w:t xml:space="preserve"> </w:t>
      </w:r>
      <w:r w:rsidR="00000A6D" w:rsidRPr="002D55CF">
        <w:rPr>
          <w:rFonts w:cs="Times New Roman"/>
          <w:noProof/>
          <w:lang w:val="en-GB"/>
        </w:rPr>
        <w:t>performance and</w:t>
      </w:r>
      <w:r w:rsidRPr="002D55CF">
        <w:rPr>
          <w:rFonts w:cs="Times New Roman"/>
          <w:noProof/>
          <w:lang w:val="en-GB"/>
        </w:rPr>
        <w:t xml:space="preserve"> develop a dual-action strategy for structural reforms that </w:t>
      </w:r>
      <w:r w:rsidR="00000A6D" w:rsidRPr="002D55CF">
        <w:rPr>
          <w:rFonts w:cs="Times New Roman"/>
          <w:noProof/>
          <w:lang w:val="en-GB"/>
        </w:rPr>
        <w:t>emphasize</w:t>
      </w:r>
      <w:r w:rsidRPr="002D55CF">
        <w:rPr>
          <w:rFonts w:cs="Times New Roman"/>
          <w:noProof/>
          <w:lang w:val="en-GB"/>
        </w:rPr>
        <w:t xml:space="preserve"> the importance of the </w:t>
      </w:r>
      <w:r w:rsidR="00000A6D" w:rsidRPr="002D55CF">
        <w:rPr>
          <w:rFonts w:cs="Times New Roman"/>
          <w:noProof/>
          <w:lang w:val="en-GB"/>
        </w:rPr>
        <w:t>organizational</w:t>
      </w:r>
      <w:r w:rsidRPr="002D55CF">
        <w:rPr>
          <w:rFonts w:cs="Times New Roman"/>
          <w:noProof/>
          <w:lang w:val="en-GB"/>
        </w:rPr>
        <w:t xml:space="preserve"> context (Bleasdale, 2020). Their work emphasizes the critical need of gaining a better knowledge of background and conduct variation, a subject important to our study and borne out by outcomes.</w:t>
      </w:r>
    </w:p>
    <w:p w14:paraId="37C2914F" w14:textId="5D13EEA4" w:rsidR="00510E6E" w:rsidRPr="002D55CF" w:rsidRDefault="00510E6E" w:rsidP="00EB377C">
      <w:pPr>
        <w:rPr>
          <w:rFonts w:cs="Times New Roman"/>
          <w:noProof/>
          <w:lang w:val="en-GB"/>
        </w:rPr>
      </w:pPr>
      <w:r w:rsidRPr="002D55CF">
        <w:rPr>
          <w:rFonts w:cs="Times New Roman"/>
          <w:noProof/>
          <w:lang w:val="en-GB"/>
        </w:rPr>
        <w:t xml:space="preserve">The </w:t>
      </w:r>
      <w:r w:rsidR="00837792" w:rsidRPr="002D55CF">
        <w:rPr>
          <w:rFonts w:cs="Times New Roman"/>
          <w:noProof/>
          <w:lang w:val="en-GB"/>
        </w:rPr>
        <w:t>n</w:t>
      </w:r>
      <w:r w:rsidRPr="002D55CF">
        <w:rPr>
          <w:rFonts w:cs="Times New Roman"/>
          <w:noProof/>
          <w:lang w:val="en-GB"/>
        </w:rPr>
        <w:t xml:space="preserve">umerous </w:t>
      </w:r>
      <w:r w:rsidR="00837792" w:rsidRPr="002D55CF">
        <w:rPr>
          <w:rFonts w:cs="Times New Roman"/>
          <w:noProof/>
          <w:lang w:val="en-GB"/>
        </w:rPr>
        <w:t>v</w:t>
      </w:r>
      <w:r w:rsidRPr="002D55CF">
        <w:rPr>
          <w:rFonts w:cs="Times New Roman"/>
          <w:noProof/>
          <w:lang w:val="en-GB"/>
        </w:rPr>
        <w:t xml:space="preserve">isions of </w:t>
      </w:r>
      <w:r w:rsidR="00F40BFB" w:rsidRPr="002D55CF">
        <w:rPr>
          <w:rFonts w:cs="Times New Roman"/>
          <w:noProof/>
          <w:lang w:val="en-GB"/>
        </w:rPr>
        <w:t>j</w:t>
      </w:r>
      <w:r w:rsidRPr="002D55CF">
        <w:rPr>
          <w:rFonts w:cs="Times New Roman"/>
          <w:noProof/>
          <w:lang w:val="en-GB"/>
        </w:rPr>
        <w:t>ob demonstrates the effect of racial prejudice on a systemic level, the loss of relatives’ occupations, and the loss of relatives’ occupations</w:t>
      </w:r>
      <w:r w:rsidR="00F40BFB" w:rsidRPr="002D55CF">
        <w:rPr>
          <w:rFonts w:cs="Times New Roman"/>
          <w:noProof/>
          <w:lang w:val="en-GB"/>
        </w:rPr>
        <w:t xml:space="preserve"> (Paolillo et al., 2016)</w:t>
      </w:r>
      <w:r w:rsidRPr="002D55CF">
        <w:rPr>
          <w:rFonts w:cs="Times New Roman"/>
          <w:noProof/>
          <w:lang w:val="en-GB"/>
        </w:rPr>
        <w:t>. Together with COVID, those variables resulted in societal changes in opinion regarding employment, and we are now in the era of the vast departure, with over 4 million UK workers abandoning their respective positions each month in search of a less hectic, better productive job. Unfortunately, the ones most badly affected by the pandemic's strains are females and individuals of minority, and we potentially lose years of work toward establishing a different management line if they leave or "decelerate." The following are five ways in which managers can leverage the advantages offered by a mixed environment to advance DEI.</w:t>
      </w:r>
    </w:p>
    <w:p w14:paraId="3E4D4663" w14:textId="61D7E7DF" w:rsidR="00510E6E" w:rsidRPr="002D55CF" w:rsidRDefault="00510E6E" w:rsidP="00EB377C">
      <w:pPr>
        <w:rPr>
          <w:rFonts w:cs="Times New Roman"/>
          <w:noProof/>
          <w:lang w:val="en-GB"/>
        </w:rPr>
      </w:pPr>
      <w:r w:rsidRPr="002D55CF">
        <w:rPr>
          <w:rFonts w:cs="Times New Roman"/>
          <w:noProof/>
          <w:lang w:val="en-GB"/>
        </w:rPr>
        <w:t>Employee Representative Teams, which are non-profit non-profits with a common interest or orientation, such as females in the industry or LGBTQ proud teams, can generate great insight, and recommendations, and are regarded as an essential tool for hiring, mentorship, and engagement (Armstrong</w:t>
      </w:r>
      <w:r w:rsidR="00000A6D" w:rsidRPr="002D55CF">
        <w:rPr>
          <w:rFonts w:cs="Times New Roman"/>
          <w:noProof/>
          <w:lang w:val="en-GB"/>
        </w:rPr>
        <w:t xml:space="preserve"> </w:t>
      </w:r>
      <w:r w:rsidRPr="002D55CF">
        <w:rPr>
          <w:rFonts w:cs="Times New Roman"/>
          <w:noProof/>
          <w:lang w:val="en-GB"/>
        </w:rPr>
        <w:t xml:space="preserve">and Taylor, 2020). Families can pool their money for </w:t>
      </w:r>
      <w:r w:rsidR="00000A6D" w:rsidRPr="002D55CF">
        <w:rPr>
          <w:rFonts w:cs="Times New Roman"/>
          <w:noProof/>
          <w:lang w:val="en-GB"/>
        </w:rPr>
        <w:t>childcare</w:t>
      </w:r>
      <w:r w:rsidRPr="002D55CF">
        <w:rPr>
          <w:rFonts w:cs="Times New Roman"/>
          <w:noProof/>
          <w:lang w:val="en-GB"/>
        </w:rPr>
        <w:t xml:space="preserve"> and racial heritage. ERGs can connect to job applicants and new employees to assist them in establishing local ties, such as belief programs provided in their languages.</w:t>
      </w:r>
    </w:p>
    <w:p w14:paraId="3F9A1003" w14:textId="4A2AB7E2" w:rsidR="00510E6E" w:rsidRPr="002D55CF" w:rsidRDefault="00510E6E" w:rsidP="00EB377C">
      <w:pPr>
        <w:rPr>
          <w:rFonts w:cs="Times New Roman"/>
          <w:noProof/>
          <w:lang w:val="en-GB"/>
        </w:rPr>
      </w:pPr>
      <w:r w:rsidRPr="002D55CF">
        <w:rPr>
          <w:rFonts w:cs="Times New Roman"/>
          <w:noProof/>
          <w:lang w:val="en-GB"/>
        </w:rPr>
        <w:t xml:space="preserve">Additionally, leaders can establish </w:t>
      </w:r>
      <w:r w:rsidR="00036B2E" w:rsidRPr="002D55CF">
        <w:rPr>
          <w:rFonts w:cs="Times New Roman"/>
          <w:noProof/>
          <w:lang w:val="en-GB"/>
        </w:rPr>
        <w:t xml:space="preserve">a </w:t>
      </w:r>
      <w:r w:rsidRPr="002D55CF">
        <w:rPr>
          <w:rFonts w:cs="Times New Roman"/>
          <w:noProof/>
          <w:lang w:val="en-GB"/>
        </w:rPr>
        <w:t>variety of advisory boards and "safe places" for people to express their problems and concerns, which can be supplemented with an online conference and asynchronously discussion groups</w:t>
      </w:r>
      <w:r w:rsidR="00F40BFB" w:rsidRPr="002D55CF">
        <w:rPr>
          <w:rFonts w:cs="Times New Roman"/>
          <w:noProof/>
          <w:lang w:val="en-GB"/>
        </w:rPr>
        <w:t xml:space="preserve"> (Paolillo et al., 2016)</w:t>
      </w:r>
      <w:r w:rsidRPr="002D55CF">
        <w:rPr>
          <w:rFonts w:cs="Times New Roman"/>
          <w:noProof/>
          <w:lang w:val="en-GB"/>
        </w:rPr>
        <w:t xml:space="preserve">. Keep an eye out for: Staff may feel prejudiced if they are not invited to join a select population or function, or if </w:t>
      </w:r>
      <w:r w:rsidR="00036B2E" w:rsidRPr="002D55CF">
        <w:rPr>
          <w:rFonts w:cs="Times New Roman"/>
          <w:noProof/>
          <w:lang w:val="en-GB"/>
        </w:rPr>
        <w:t xml:space="preserve">no </w:t>
      </w:r>
      <w:r w:rsidR="00000A6D" w:rsidRPr="002D55CF">
        <w:rPr>
          <w:rFonts w:cs="Times New Roman"/>
          <w:noProof/>
          <w:lang w:val="en-GB"/>
        </w:rPr>
        <w:t>organization</w:t>
      </w:r>
      <w:r w:rsidRPr="002D55CF">
        <w:rPr>
          <w:rFonts w:cs="Times New Roman"/>
          <w:noProof/>
          <w:lang w:val="en-GB"/>
        </w:rPr>
        <w:t xml:space="preserve"> fits their interests. Clarify to workers how they can develop new chances that match their requirements and ensure everybody has access to online platforms or conferences.</w:t>
      </w:r>
    </w:p>
    <w:p w14:paraId="146510A5" w14:textId="77777777" w:rsidR="00510E6E" w:rsidRPr="002D55CF" w:rsidRDefault="00510E6E" w:rsidP="00EB377C">
      <w:pPr>
        <w:pStyle w:val="Heading1"/>
        <w:rPr>
          <w:noProof/>
          <w:lang w:val="en-GB"/>
        </w:rPr>
      </w:pPr>
      <w:bookmarkStart w:id="2" w:name="_Toc100236479"/>
      <w:r w:rsidRPr="002D55CF">
        <w:rPr>
          <w:noProof/>
          <w:lang w:val="en-GB"/>
        </w:rPr>
        <w:t>The role of Human Resources in promoting diversity and inclusion</w:t>
      </w:r>
      <w:bookmarkEnd w:id="2"/>
    </w:p>
    <w:p w14:paraId="160A23AD" w14:textId="1EF80D31" w:rsidR="00510E6E" w:rsidRPr="002D55CF" w:rsidRDefault="00510E6E" w:rsidP="00EB377C">
      <w:pPr>
        <w:rPr>
          <w:rFonts w:cs="Times New Roman"/>
          <w:noProof/>
          <w:lang w:val="en-GB"/>
        </w:rPr>
      </w:pPr>
      <w:r w:rsidRPr="002D55CF">
        <w:rPr>
          <w:rFonts w:cs="Times New Roman"/>
          <w:noProof/>
          <w:lang w:val="en-GB"/>
        </w:rPr>
        <w:t>Variety is more important than ever in the new workplace. The younger generation is incredibly diverse, which means that the employment of the coming would be comprised of individuals of many males and females and nationalities</w:t>
      </w:r>
      <w:r w:rsidR="002D55CF" w:rsidRPr="002D55CF">
        <w:rPr>
          <w:rFonts w:cs="Times New Roman"/>
          <w:noProof/>
          <w:lang w:val="en-GB"/>
        </w:rPr>
        <w:t xml:space="preserve"> (</w:t>
      </w:r>
      <w:r w:rsidR="002D55CF" w:rsidRPr="002D55CF">
        <w:rPr>
          <w:rFonts w:eastAsia="Times New Roman" w:cs="Times New Roman"/>
          <w:noProof/>
          <w:szCs w:val="24"/>
          <w:lang w:val="en-GB" w:eastAsia="en-GB"/>
        </w:rPr>
        <w:t>Hamouche, 2021)</w:t>
      </w:r>
      <w:r w:rsidRPr="002D55CF">
        <w:rPr>
          <w:rFonts w:cs="Times New Roman"/>
          <w:noProof/>
          <w:lang w:val="en-GB"/>
        </w:rPr>
        <w:t xml:space="preserve">. Additionally, diversity can </w:t>
      </w:r>
      <w:r w:rsidRPr="002D55CF">
        <w:rPr>
          <w:rFonts w:cs="Times New Roman"/>
          <w:noProof/>
          <w:lang w:val="en-GB"/>
        </w:rPr>
        <w:lastRenderedPageBreak/>
        <w:t>help your company. Creating a wider crew enables the development of new techniques and innovations which would not be feasible normally.</w:t>
      </w:r>
    </w:p>
    <w:p w14:paraId="1E075AFF" w14:textId="63DD26BA" w:rsidR="00510E6E" w:rsidRPr="002D55CF" w:rsidRDefault="00510E6E" w:rsidP="00EB377C">
      <w:pPr>
        <w:rPr>
          <w:rFonts w:cs="Times New Roman"/>
          <w:noProof/>
          <w:lang w:val="en-GB"/>
        </w:rPr>
      </w:pPr>
      <w:r w:rsidRPr="002D55CF">
        <w:rPr>
          <w:rFonts w:cs="Times New Roman"/>
          <w:noProof/>
          <w:lang w:val="en-GB"/>
        </w:rPr>
        <w:t xml:space="preserve">Human resources (HR) could have a direct impact on an </w:t>
      </w:r>
      <w:r w:rsidR="00000A6D" w:rsidRPr="002D55CF">
        <w:rPr>
          <w:rFonts w:cs="Times New Roman"/>
          <w:noProof/>
          <w:lang w:val="en-GB"/>
        </w:rPr>
        <w:t>organization’s</w:t>
      </w:r>
      <w:r w:rsidRPr="002D55CF">
        <w:rPr>
          <w:rFonts w:cs="Times New Roman"/>
          <w:noProof/>
          <w:lang w:val="en-GB"/>
        </w:rPr>
        <w:t xml:space="preserve"> diversity attempts. The following information highlights many critical aspects of the human resources area and explains the ways HR may embrace and increase inclusion within each of them (Paolillo et al., 2016).</w:t>
      </w:r>
    </w:p>
    <w:p w14:paraId="3677A8AF" w14:textId="77777777" w:rsidR="00510E6E" w:rsidRPr="002D55CF" w:rsidRDefault="00510E6E" w:rsidP="00EB377C">
      <w:pPr>
        <w:rPr>
          <w:rFonts w:cs="Times New Roman"/>
          <w:b/>
          <w:bCs/>
          <w:noProof/>
          <w:lang w:val="en-GB"/>
        </w:rPr>
      </w:pPr>
      <w:r w:rsidRPr="002D55CF">
        <w:rPr>
          <w:rFonts w:cs="Times New Roman"/>
          <w:b/>
          <w:bCs/>
          <w:noProof/>
          <w:lang w:val="en-GB"/>
        </w:rPr>
        <w:t xml:space="preserve">Creating equality in every position </w:t>
      </w:r>
    </w:p>
    <w:p w14:paraId="391E378B" w14:textId="6B4A35BA" w:rsidR="00510E6E" w:rsidRPr="002D55CF" w:rsidRDefault="00510E6E" w:rsidP="00EB377C">
      <w:pPr>
        <w:rPr>
          <w:rFonts w:cs="Times New Roman"/>
          <w:noProof/>
          <w:lang w:val="en-GB"/>
        </w:rPr>
      </w:pPr>
      <w:r w:rsidRPr="002D55CF">
        <w:rPr>
          <w:rFonts w:cs="Times New Roman"/>
          <w:noProof/>
          <w:lang w:val="en-GB"/>
        </w:rPr>
        <w:t>One of the most common errors that many businesses make is employing one or two different individuals and pretending that the corporation is accessible rather than conveying a sense of concern to the HR team, this technique frequently comes back to bite and comes across as condescending at good and rude at bad</w:t>
      </w:r>
      <w:r w:rsidR="00F40BFB" w:rsidRPr="002D55CF">
        <w:rPr>
          <w:rFonts w:cs="Times New Roman"/>
          <w:noProof/>
          <w:lang w:val="en-GB"/>
        </w:rPr>
        <w:t xml:space="preserve"> (Thoms and Burton, 2018)</w:t>
      </w:r>
      <w:r w:rsidRPr="002D55CF">
        <w:rPr>
          <w:rFonts w:cs="Times New Roman"/>
          <w:noProof/>
          <w:lang w:val="en-GB"/>
        </w:rPr>
        <w:t>. If HR wants to ensure an adequate position of employees' happiness, they must get more than the minimum. It is not sufficient to get a symbolic worker in a limited role; you must also remain committed to variety in the prominent position.</w:t>
      </w:r>
    </w:p>
    <w:p w14:paraId="57458F42" w14:textId="261201E3" w:rsidR="00510E6E" w:rsidRPr="002D55CF" w:rsidRDefault="00510E6E" w:rsidP="00EB377C">
      <w:pPr>
        <w:rPr>
          <w:rFonts w:cs="Times New Roman"/>
          <w:b/>
          <w:bCs/>
          <w:noProof/>
          <w:lang w:val="en-GB"/>
        </w:rPr>
      </w:pPr>
      <w:r w:rsidRPr="002D55CF">
        <w:rPr>
          <w:rFonts w:cs="Times New Roman"/>
          <w:b/>
          <w:bCs/>
          <w:noProof/>
          <w:lang w:val="en-GB"/>
        </w:rPr>
        <w:t xml:space="preserve">Providing an accessible atmosphere </w:t>
      </w:r>
    </w:p>
    <w:p w14:paraId="66FD0D72" w14:textId="0BB79606" w:rsidR="00510E6E" w:rsidRPr="002D55CF" w:rsidRDefault="00510E6E" w:rsidP="00EB377C">
      <w:pPr>
        <w:rPr>
          <w:rFonts w:cs="Times New Roman"/>
          <w:noProof/>
          <w:lang w:val="en-GB"/>
        </w:rPr>
      </w:pPr>
      <w:r w:rsidRPr="002D55CF">
        <w:rPr>
          <w:rFonts w:cs="Times New Roman"/>
          <w:noProof/>
          <w:lang w:val="en-GB"/>
        </w:rPr>
        <w:t>Establishing such a kind of workplace is a fundamental responsibility of the human resources section</w:t>
      </w:r>
      <w:r w:rsidR="002D55CF" w:rsidRPr="002D55CF">
        <w:rPr>
          <w:rFonts w:cs="Times New Roman"/>
          <w:noProof/>
          <w:lang w:val="en-GB"/>
        </w:rPr>
        <w:t xml:space="preserve"> (</w:t>
      </w:r>
      <w:r w:rsidR="002D55CF" w:rsidRPr="002D55CF">
        <w:rPr>
          <w:rFonts w:eastAsia="Times New Roman" w:cs="Times New Roman"/>
          <w:noProof/>
          <w:szCs w:val="24"/>
          <w:lang w:val="en-GB" w:eastAsia="en-GB"/>
        </w:rPr>
        <w:t>Hamouche, 2021)</w:t>
      </w:r>
      <w:r w:rsidRPr="002D55CF">
        <w:rPr>
          <w:rFonts w:cs="Times New Roman"/>
          <w:noProof/>
          <w:lang w:val="en-GB"/>
        </w:rPr>
        <w:t>. Whether resolving conflicts or negotiating contracts, human resources must be there to make sure that all workers are safeguarded, considered equal, and actively engage. Staff that is productive and produces results (Torrington, 2020). In a perfect scenario, your staff would already be accustomed to diversity but make no such assumption. Host education and careers to teach people about new employment procedures and changing the business.</w:t>
      </w:r>
    </w:p>
    <w:p w14:paraId="54A5EE2E" w14:textId="1F3FB03E" w:rsidR="00510E6E" w:rsidRPr="002D55CF" w:rsidRDefault="00510E6E" w:rsidP="00EB377C">
      <w:pPr>
        <w:rPr>
          <w:rFonts w:cs="Times New Roman"/>
          <w:noProof/>
          <w:lang w:val="en-GB"/>
        </w:rPr>
      </w:pPr>
      <w:r w:rsidRPr="002D55CF">
        <w:rPr>
          <w:rFonts w:cs="Times New Roman"/>
          <w:noProof/>
          <w:lang w:val="en-GB"/>
        </w:rPr>
        <w:t>Dedication to worker engagement is critical to fostering a different workforce Managers can improve staff communication through worker questionnaires, group discussions, and one-on-one conferences</w:t>
      </w:r>
      <w:r w:rsidR="00F40BFB" w:rsidRPr="002D55CF">
        <w:rPr>
          <w:rFonts w:cs="Times New Roman"/>
          <w:noProof/>
          <w:lang w:val="en-GB"/>
        </w:rPr>
        <w:t xml:space="preserve"> (Thoms and Burton, 2018)</w:t>
      </w:r>
      <w:r w:rsidRPr="002D55CF">
        <w:rPr>
          <w:rFonts w:cs="Times New Roman"/>
          <w:noProof/>
          <w:lang w:val="en-GB"/>
        </w:rPr>
        <w:t>. This communicator facilitation of more effective conversations. The following are some suggestions for improving conferences. Providing documents in advance benefits personnel whose first language is not English involved remote staff, which requires acquiring the technology necessary to ensure their full participation</w:t>
      </w:r>
      <w:r w:rsidR="00036B2E" w:rsidRPr="002D55CF">
        <w:rPr>
          <w:rFonts w:cs="Times New Roman"/>
          <w:noProof/>
          <w:lang w:val="en-GB"/>
        </w:rPr>
        <w:t xml:space="preserve"> (Torrington, 2020)</w:t>
      </w:r>
      <w:r w:rsidRPr="002D55CF">
        <w:rPr>
          <w:rFonts w:cs="Times New Roman"/>
          <w:noProof/>
          <w:lang w:val="en-GB"/>
        </w:rPr>
        <w:t xml:space="preserve">. Additionally, vary conference schedules to facilitate employees in various timeslots. Conference organizers should avoid presuming to know more than attendees (dubbed </w:t>
      </w:r>
      <w:r w:rsidRPr="002D55CF">
        <w:rPr>
          <w:rFonts w:cs="Times New Roman"/>
          <w:noProof/>
          <w:lang w:val="en-GB"/>
        </w:rPr>
        <w:lastRenderedPageBreak/>
        <w:t>"misandry" when males do this to females). Encourage vigorously, civil discourse - cannot let either one or few persons talk over the rest.</w:t>
      </w:r>
    </w:p>
    <w:p w14:paraId="7CAF3BE4" w14:textId="32FEEF58" w:rsidR="00510E6E" w:rsidRPr="002D55CF" w:rsidRDefault="00510E6E" w:rsidP="00EB377C">
      <w:pPr>
        <w:rPr>
          <w:rFonts w:cs="Times New Roman"/>
          <w:b/>
          <w:bCs/>
          <w:noProof/>
          <w:lang w:val="en-GB"/>
        </w:rPr>
      </w:pPr>
      <w:r w:rsidRPr="002D55CF">
        <w:rPr>
          <w:rFonts w:cs="Times New Roman"/>
          <w:b/>
          <w:bCs/>
          <w:noProof/>
          <w:lang w:val="en-GB"/>
        </w:rPr>
        <w:t xml:space="preserve">Commence with </w:t>
      </w:r>
      <w:r w:rsidR="00036B2E" w:rsidRPr="002D55CF">
        <w:rPr>
          <w:rFonts w:cs="Times New Roman"/>
          <w:b/>
          <w:bCs/>
          <w:noProof/>
          <w:lang w:val="en-GB"/>
        </w:rPr>
        <w:t xml:space="preserve">a </w:t>
      </w:r>
      <w:r w:rsidRPr="002D55CF">
        <w:rPr>
          <w:rFonts w:cs="Times New Roman"/>
          <w:b/>
          <w:bCs/>
          <w:noProof/>
          <w:lang w:val="en-GB"/>
        </w:rPr>
        <w:t>higher position</w:t>
      </w:r>
    </w:p>
    <w:p w14:paraId="425871DE" w14:textId="1761006E" w:rsidR="00510E6E" w:rsidRPr="002D55CF" w:rsidRDefault="00000A6D" w:rsidP="00EB377C">
      <w:pPr>
        <w:rPr>
          <w:rFonts w:cs="Times New Roman"/>
          <w:noProof/>
          <w:lang w:val="en-GB"/>
        </w:rPr>
      </w:pPr>
      <w:r w:rsidRPr="002D55CF">
        <w:rPr>
          <w:rFonts w:cs="Times New Roman"/>
          <w:noProof/>
          <w:lang w:val="en-GB"/>
        </w:rPr>
        <w:t>Organizational</w:t>
      </w:r>
      <w:r w:rsidR="00510E6E" w:rsidRPr="002D55CF">
        <w:rPr>
          <w:rFonts w:cs="Times New Roman"/>
          <w:noProof/>
          <w:lang w:val="en-GB"/>
        </w:rPr>
        <w:t xml:space="preserve"> leaders must be passionate about equality and diversity</w:t>
      </w:r>
      <w:r w:rsidR="00F40BFB" w:rsidRPr="002D55CF">
        <w:rPr>
          <w:rFonts w:cs="Times New Roman"/>
          <w:noProof/>
          <w:lang w:val="en-GB"/>
        </w:rPr>
        <w:t xml:space="preserve"> (Thoms and Burton, 2018)</w:t>
      </w:r>
      <w:r w:rsidR="00510E6E" w:rsidRPr="002D55CF">
        <w:rPr>
          <w:rFonts w:cs="Times New Roman"/>
          <w:noProof/>
          <w:lang w:val="en-GB"/>
        </w:rPr>
        <w:t xml:space="preserve">. </w:t>
      </w:r>
      <w:r w:rsidR="00036B2E" w:rsidRPr="002D55CF">
        <w:rPr>
          <w:rFonts w:cs="Times New Roman"/>
          <w:noProof/>
          <w:lang w:val="en-GB"/>
        </w:rPr>
        <w:t>T</w:t>
      </w:r>
      <w:r w:rsidR="00510E6E" w:rsidRPr="002D55CF">
        <w:rPr>
          <w:rFonts w:cs="Times New Roman"/>
          <w:noProof/>
          <w:lang w:val="en-GB"/>
        </w:rPr>
        <w:t xml:space="preserve">he PMI </w:t>
      </w:r>
      <w:r w:rsidR="00036B2E" w:rsidRPr="002D55CF">
        <w:rPr>
          <w:rFonts w:cs="Times New Roman"/>
          <w:noProof/>
          <w:lang w:val="en-GB"/>
        </w:rPr>
        <w:t xml:space="preserve">research </w:t>
      </w:r>
      <w:r w:rsidR="00510E6E" w:rsidRPr="002D55CF">
        <w:rPr>
          <w:rFonts w:cs="Times New Roman"/>
          <w:noProof/>
          <w:lang w:val="en-GB"/>
        </w:rPr>
        <w:t>showed it is both moral and prudent from a business standpoint. Numerous businesses begin with fundamental training for managers to educate them about how "unconscious prejudice" can lead them to make sub-cons judgments based on coupon gender and ethnicity.</w:t>
      </w:r>
    </w:p>
    <w:p w14:paraId="56151E39" w14:textId="77777777" w:rsidR="00510E6E" w:rsidRPr="002D55CF" w:rsidRDefault="00510E6E" w:rsidP="00EB377C">
      <w:pPr>
        <w:rPr>
          <w:rFonts w:cs="Times New Roman"/>
          <w:b/>
          <w:bCs/>
          <w:noProof/>
          <w:lang w:val="en-GB"/>
        </w:rPr>
      </w:pPr>
      <w:r w:rsidRPr="002D55CF">
        <w:rPr>
          <w:rFonts w:cs="Times New Roman"/>
          <w:b/>
          <w:bCs/>
          <w:noProof/>
          <w:lang w:val="en-GB"/>
        </w:rPr>
        <w:t>Establish a committee</w:t>
      </w:r>
    </w:p>
    <w:p w14:paraId="3222C45F" w14:textId="32379EA0" w:rsidR="00510E6E" w:rsidRPr="002D55CF" w:rsidRDefault="00510E6E" w:rsidP="00EB377C">
      <w:pPr>
        <w:rPr>
          <w:rFonts w:cs="Times New Roman"/>
          <w:noProof/>
          <w:lang w:val="en-GB"/>
        </w:rPr>
      </w:pPr>
      <w:r w:rsidRPr="002D55CF">
        <w:rPr>
          <w:rFonts w:cs="Times New Roman"/>
          <w:noProof/>
          <w:lang w:val="en-GB"/>
        </w:rPr>
        <w:t xml:space="preserve">Establishing an inclusion committee can help direct an </w:t>
      </w:r>
      <w:r w:rsidR="00000A6D" w:rsidRPr="002D55CF">
        <w:rPr>
          <w:rFonts w:cs="Times New Roman"/>
          <w:noProof/>
          <w:lang w:val="en-GB"/>
        </w:rPr>
        <w:t>organization’s</w:t>
      </w:r>
      <w:r w:rsidRPr="002D55CF">
        <w:rPr>
          <w:rFonts w:cs="Times New Roman"/>
          <w:noProof/>
          <w:lang w:val="en-GB"/>
        </w:rPr>
        <w:t xml:space="preserve"> ability</w:t>
      </w:r>
      <w:r w:rsidR="00F40BFB" w:rsidRPr="002D55CF">
        <w:rPr>
          <w:rFonts w:cs="Times New Roman"/>
          <w:noProof/>
          <w:lang w:val="en-GB"/>
        </w:rPr>
        <w:t xml:space="preserve"> (Armstrong and Taylor, 2020)</w:t>
      </w:r>
      <w:r w:rsidRPr="002D55CF">
        <w:rPr>
          <w:rFonts w:cs="Times New Roman"/>
          <w:noProof/>
          <w:lang w:val="en-GB"/>
        </w:rPr>
        <w:t xml:space="preserve">. They assist in setting objectives for recruiting and retaining a diversified staff and provide avenues for underprivileged staff groups to communicate their concerns. </w:t>
      </w:r>
    </w:p>
    <w:p w14:paraId="7AD44927" w14:textId="77777777" w:rsidR="00510E6E" w:rsidRPr="002D55CF" w:rsidRDefault="00510E6E" w:rsidP="00EB377C">
      <w:pPr>
        <w:rPr>
          <w:rFonts w:cs="Times New Roman"/>
          <w:b/>
          <w:bCs/>
          <w:noProof/>
          <w:lang w:val="en-GB"/>
        </w:rPr>
      </w:pPr>
      <w:r w:rsidRPr="002D55CF">
        <w:rPr>
          <w:rFonts w:cs="Times New Roman"/>
          <w:b/>
          <w:bCs/>
          <w:noProof/>
          <w:lang w:val="en-GB"/>
        </w:rPr>
        <w:t>Promoting Diversification</w:t>
      </w:r>
    </w:p>
    <w:p w14:paraId="5B9939A8" w14:textId="1CF34ED2" w:rsidR="00510E6E" w:rsidRPr="002D55CF" w:rsidRDefault="00510E6E" w:rsidP="00EB377C">
      <w:pPr>
        <w:rPr>
          <w:rFonts w:cs="Times New Roman"/>
          <w:noProof/>
          <w:lang w:val="en-GB"/>
        </w:rPr>
      </w:pPr>
      <w:r w:rsidRPr="002D55CF">
        <w:rPr>
          <w:rFonts w:cs="Times New Roman"/>
          <w:noProof/>
          <w:lang w:val="en-GB"/>
        </w:rPr>
        <w:t>Human resources must take a leadership role in this sector, organizing activities that highlight staff variety and how regional diversity contribute to a healthier workplace</w:t>
      </w:r>
      <w:r w:rsidR="00F40BFB" w:rsidRPr="002D55CF">
        <w:rPr>
          <w:rFonts w:cs="Times New Roman"/>
          <w:noProof/>
          <w:lang w:val="en-GB"/>
        </w:rPr>
        <w:t xml:space="preserve"> (Thoms and Burton, 2018)</w:t>
      </w:r>
      <w:r w:rsidRPr="002D55CF">
        <w:rPr>
          <w:rFonts w:cs="Times New Roman"/>
          <w:noProof/>
          <w:lang w:val="en-GB"/>
        </w:rPr>
        <w:t>. SHRM also recommends that employers establish a yoga or prayer area and concentrate HR efforts on solitary workers who work split shifts or online.</w:t>
      </w:r>
    </w:p>
    <w:p w14:paraId="2045D86C" w14:textId="4EFBE17A" w:rsidR="00510E6E" w:rsidRPr="002D55CF" w:rsidRDefault="00510E6E" w:rsidP="00EB377C">
      <w:pPr>
        <w:rPr>
          <w:rFonts w:cs="Times New Roman"/>
          <w:noProof/>
          <w:lang w:val="en-GB"/>
        </w:rPr>
      </w:pPr>
      <w:r w:rsidRPr="002D55CF">
        <w:rPr>
          <w:rFonts w:cs="Times New Roman"/>
          <w:noProof/>
          <w:lang w:val="en-GB"/>
        </w:rPr>
        <w:t>HRM systems that address how various population categories are reflected in HRM strategic planning are connected to a larger representation of females and ethnicities in executive positions</w:t>
      </w:r>
      <w:r w:rsidR="00F40BFB" w:rsidRPr="002D55CF">
        <w:rPr>
          <w:rFonts w:cs="Times New Roman"/>
          <w:noProof/>
          <w:lang w:val="en-GB"/>
        </w:rPr>
        <w:t xml:space="preserve"> (Armstrong and Taylor, 2020)</w:t>
      </w:r>
      <w:r w:rsidRPr="002D55CF">
        <w:rPr>
          <w:rFonts w:cs="Times New Roman"/>
          <w:noProof/>
          <w:lang w:val="en-GB"/>
        </w:rPr>
        <w:t>. Equality is beneficial when structured HR processes are in place contemporary racism’, typified by dread and anxiety rather than over dislike, creates difficulties for HR, culminating in a diminished probability of engagement to company diversification by people of colo</w:t>
      </w:r>
      <w:r w:rsidR="00347D71" w:rsidRPr="002D55CF">
        <w:rPr>
          <w:rFonts w:cs="Times New Roman"/>
          <w:noProof/>
          <w:lang w:val="en-GB"/>
        </w:rPr>
        <w:t>u</w:t>
      </w:r>
      <w:r w:rsidRPr="002D55CF">
        <w:rPr>
          <w:rFonts w:cs="Times New Roman"/>
          <w:noProof/>
          <w:lang w:val="en-GB"/>
        </w:rPr>
        <w:t>r. When handled effectively variety can lead to great effects. The impact of training courses is varied. Systematically undertaking training evaluations may enhance the levels of training (Armstrong</w:t>
      </w:r>
      <w:r w:rsidR="00837792" w:rsidRPr="002D55CF">
        <w:rPr>
          <w:rFonts w:cs="Times New Roman"/>
          <w:noProof/>
          <w:lang w:val="en-GB"/>
        </w:rPr>
        <w:t xml:space="preserve"> </w:t>
      </w:r>
      <w:r w:rsidRPr="002D55CF">
        <w:rPr>
          <w:rFonts w:cs="Times New Roman"/>
          <w:noProof/>
          <w:lang w:val="en-GB"/>
        </w:rPr>
        <w:t xml:space="preserve">and Taylor, 2020). </w:t>
      </w:r>
      <w:r w:rsidR="00000A6D" w:rsidRPr="002D55CF">
        <w:rPr>
          <w:rFonts w:cs="Times New Roman"/>
          <w:noProof/>
          <w:lang w:val="en-GB"/>
        </w:rPr>
        <w:t>Organization</w:t>
      </w:r>
      <w:r w:rsidRPr="002D55CF">
        <w:rPr>
          <w:rFonts w:cs="Times New Roman"/>
          <w:noProof/>
          <w:lang w:val="en-GB"/>
        </w:rPr>
        <w:t xml:space="preserve"> assessment is vital to perceive diversity effectively along with activities and policies which satisfy those demands, rather than only paying to variety. Comprehensive, accessible policies and initiatives are essential to facilitate the beneficial features of managing variety.</w:t>
      </w:r>
    </w:p>
    <w:p w14:paraId="4D754A4E" w14:textId="77777777" w:rsidR="00510E6E" w:rsidRPr="002D55CF" w:rsidRDefault="00510E6E" w:rsidP="00EB377C">
      <w:pPr>
        <w:pStyle w:val="Heading2"/>
        <w:rPr>
          <w:noProof/>
          <w:lang w:val="en-GB"/>
        </w:rPr>
      </w:pPr>
      <w:bookmarkStart w:id="3" w:name="_Toc100236480"/>
      <w:r w:rsidRPr="002D55CF">
        <w:rPr>
          <w:noProof/>
          <w:lang w:val="en-GB"/>
        </w:rPr>
        <w:lastRenderedPageBreak/>
        <w:t>Against flexible working about inequality at work</w:t>
      </w:r>
      <w:bookmarkEnd w:id="3"/>
    </w:p>
    <w:p w14:paraId="3899F058" w14:textId="255905E8" w:rsidR="00510E6E" w:rsidRPr="002D55CF" w:rsidRDefault="00510E6E" w:rsidP="00EB377C">
      <w:pPr>
        <w:rPr>
          <w:rFonts w:cs="Times New Roman"/>
          <w:noProof/>
          <w:lang w:val="en-GB"/>
        </w:rPr>
      </w:pPr>
      <w:r w:rsidRPr="002D55CF">
        <w:rPr>
          <w:rFonts w:cs="Times New Roman"/>
          <w:noProof/>
          <w:lang w:val="en-GB"/>
        </w:rPr>
        <w:t>Over the year, people will be commemorating the centennial of woman’s liberation and showcasing the projects and strategies that are assisting our neighbo</w:t>
      </w:r>
      <w:r w:rsidR="00347D71" w:rsidRPr="002D55CF">
        <w:rPr>
          <w:rFonts w:cs="Times New Roman"/>
          <w:noProof/>
          <w:lang w:val="en-GB"/>
        </w:rPr>
        <w:t>u</w:t>
      </w:r>
      <w:r w:rsidRPr="002D55CF">
        <w:rPr>
          <w:rFonts w:cs="Times New Roman"/>
          <w:noProof/>
          <w:lang w:val="en-GB"/>
        </w:rPr>
        <w:t>rhoods in combating injustice</w:t>
      </w:r>
      <w:r w:rsidR="002D55CF" w:rsidRPr="002D55CF">
        <w:rPr>
          <w:rFonts w:cs="Times New Roman"/>
          <w:noProof/>
          <w:lang w:val="en-GB"/>
        </w:rPr>
        <w:t xml:space="preserve"> (</w:t>
      </w:r>
      <w:r w:rsidR="002D55CF" w:rsidRPr="002D55CF">
        <w:rPr>
          <w:rFonts w:eastAsia="Times New Roman" w:cs="Times New Roman"/>
          <w:noProof/>
          <w:szCs w:val="24"/>
          <w:lang w:val="en-GB" w:eastAsia="en-GB"/>
        </w:rPr>
        <w:t>Michael, 2019)</w:t>
      </w:r>
      <w:r w:rsidRPr="002D55CF">
        <w:rPr>
          <w:rFonts w:cs="Times New Roman"/>
          <w:noProof/>
          <w:lang w:val="en-GB"/>
        </w:rPr>
        <w:t xml:space="preserve">. Females continue to struggle for equality of the sexes in the UK, especially when it comes to income and top roles in enterprises. Nationwide, females earn just 81p for every £1 earned by men, but only seven of the FTSE 100 companies are led by women (Thoms and Burton, 2018). The outlook is brighter for females living in Hackney, in which the wage gap is far smaller - in general, women and men earn approximately the same as in the borough. Nevertheless, pay disparities fluctuate frequently, and we cannot manage to be naïve. Hackney Council has flipped the gender wage gap on its head, with women earning an average of 8% more than males (Bleasdale, 2020). We will document our sexual identity pay gap in the following month's full Committee conference. As per a 2016 report by the Gender Equity Commission, "a significant portion of the gender wage gap is due to women's focus on half work that does not utilize their skills." The Timewise </w:t>
      </w:r>
      <w:r w:rsidR="00000A6D" w:rsidRPr="002D55CF">
        <w:rPr>
          <w:rFonts w:cs="Times New Roman"/>
          <w:noProof/>
          <w:lang w:val="en-GB"/>
        </w:rPr>
        <w:t>Organization</w:t>
      </w:r>
      <w:r w:rsidRPr="002D55CF">
        <w:rPr>
          <w:rFonts w:cs="Times New Roman"/>
          <w:noProof/>
          <w:lang w:val="en-GB"/>
        </w:rPr>
        <w:t xml:space="preserve"> is one of the </w:t>
      </w:r>
      <w:r w:rsidR="00000A6D" w:rsidRPr="002D55CF">
        <w:rPr>
          <w:rFonts w:cs="Times New Roman"/>
          <w:noProof/>
          <w:lang w:val="en-GB"/>
        </w:rPr>
        <w:t>organizations</w:t>
      </w:r>
      <w:r w:rsidRPr="002D55CF">
        <w:rPr>
          <w:rFonts w:cs="Times New Roman"/>
          <w:noProof/>
          <w:lang w:val="en-GB"/>
        </w:rPr>
        <w:t xml:space="preserve"> that assist women in obtaining higher-quality jobs via flexible work schedules, so assisting in closing the gender wage gap</w:t>
      </w:r>
      <w:r w:rsidR="00F40BFB" w:rsidRPr="002D55CF">
        <w:rPr>
          <w:rFonts w:cs="Times New Roman"/>
          <w:noProof/>
          <w:lang w:val="en-GB"/>
        </w:rPr>
        <w:t xml:space="preserve"> (Armstrong and Taylor, 2020)</w:t>
      </w:r>
      <w:r w:rsidRPr="002D55CF">
        <w:rPr>
          <w:rFonts w:cs="Times New Roman"/>
          <w:noProof/>
          <w:lang w:val="en-GB"/>
        </w:rPr>
        <w:t>. We became a Groupings committee in October 2015 and were re-accredited annually since then, recognizing our continued progress in expanding flexible job possibilities within the town. Although being a Conducted for determining council, we've made a point of advertising all jobs we recruit for as flexible unless there are compelling business reasons not to - and we're pushing other local firms to do so as well.</w:t>
      </w:r>
    </w:p>
    <w:p w14:paraId="78048BDE" w14:textId="3182920A" w:rsidR="00510E6E" w:rsidRPr="002D55CF" w:rsidRDefault="00510E6E" w:rsidP="00EB377C">
      <w:pPr>
        <w:rPr>
          <w:rFonts w:cs="Times New Roman"/>
          <w:noProof/>
          <w:lang w:val="en-GB"/>
        </w:rPr>
      </w:pPr>
      <w:r w:rsidRPr="002D55CF">
        <w:rPr>
          <w:rFonts w:cs="Times New Roman"/>
          <w:noProof/>
          <w:lang w:val="en-GB"/>
        </w:rPr>
        <w:t xml:space="preserve">By providing flexible workplace choices such as section, flexible start and stop times, compacted hours, and remote work, </w:t>
      </w:r>
      <w:r w:rsidR="002D55CF" w:rsidRPr="002D55CF">
        <w:rPr>
          <w:rFonts w:cs="Times New Roman"/>
          <w:noProof/>
          <w:lang w:val="en-GB"/>
        </w:rPr>
        <w:t>people</w:t>
      </w:r>
      <w:r w:rsidRPr="002D55CF">
        <w:rPr>
          <w:rFonts w:cs="Times New Roman"/>
          <w:noProof/>
          <w:lang w:val="en-GB"/>
        </w:rPr>
        <w:t xml:space="preserve"> gain access to a larger talent pool of individuals who might not have applied for job jobs normally</w:t>
      </w:r>
      <w:r w:rsidR="002D55CF" w:rsidRPr="002D55CF">
        <w:rPr>
          <w:rFonts w:cs="Times New Roman"/>
          <w:noProof/>
          <w:lang w:val="en-GB"/>
        </w:rPr>
        <w:t xml:space="preserve"> (</w:t>
      </w:r>
      <w:r w:rsidR="002D55CF" w:rsidRPr="002D55CF">
        <w:rPr>
          <w:rFonts w:eastAsia="Times New Roman" w:cs="Times New Roman"/>
          <w:noProof/>
          <w:szCs w:val="24"/>
          <w:lang w:val="en-GB" w:eastAsia="en-GB"/>
        </w:rPr>
        <w:t>Michael, 2019)</w:t>
      </w:r>
      <w:r w:rsidRPr="002D55CF">
        <w:rPr>
          <w:rFonts w:cs="Times New Roman"/>
          <w:noProof/>
          <w:lang w:val="en-GB"/>
        </w:rPr>
        <w:t xml:space="preserve">. </w:t>
      </w:r>
      <w:r w:rsidR="00F40BFB" w:rsidRPr="002D55CF">
        <w:rPr>
          <w:rFonts w:cs="Times New Roman"/>
          <w:noProof/>
          <w:lang w:val="en-GB"/>
        </w:rPr>
        <w:t>W</w:t>
      </w:r>
      <w:r w:rsidRPr="002D55CF">
        <w:rPr>
          <w:rFonts w:cs="Times New Roman"/>
          <w:noProof/>
          <w:lang w:val="en-GB"/>
        </w:rPr>
        <w:t>omen are less likely than males to be employed. In June 2017, 68 percent of Hackney's working-age women were employed, compared to 78 percent of men, while educational standards were comparable, with men and women achieving the same level of education (Torrington, 2020). And, as per recent Statistics, females are more probable to be single parents, accounting for over 90% of all lone parent households.</w:t>
      </w:r>
    </w:p>
    <w:p w14:paraId="6176C366" w14:textId="1496C560" w:rsidR="00510E6E" w:rsidRPr="002D55CF" w:rsidRDefault="00510E6E" w:rsidP="00EB377C">
      <w:pPr>
        <w:rPr>
          <w:rFonts w:cs="Times New Roman"/>
          <w:noProof/>
          <w:lang w:val="en-GB"/>
        </w:rPr>
      </w:pPr>
      <w:r w:rsidRPr="002D55CF">
        <w:rPr>
          <w:rFonts w:cs="Times New Roman"/>
          <w:noProof/>
          <w:lang w:val="en-GB"/>
        </w:rPr>
        <w:t xml:space="preserve">Allowing freedom in decent jobs will </w:t>
      </w:r>
      <w:r w:rsidR="00A22A53" w:rsidRPr="002D55CF">
        <w:rPr>
          <w:rFonts w:cs="Times New Roman"/>
          <w:noProof/>
          <w:lang w:val="en-GB"/>
        </w:rPr>
        <w:t xml:space="preserve">ensure </w:t>
      </w:r>
      <w:r w:rsidR="00036B2E" w:rsidRPr="002D55CF">
        <w:rPr>
          <w:rFonts w:cs="Times New Roman"/>
          <w:noProof/>
          <w:lang w:val="en-GB"/>
        </w:rPr>
        <w:t xml:space="preserve">a </w:t>
      </w:r>
      <w:r w:rsidR="00A22A53" w:rsidRPr="002D55CF">
        <w:rPr>
          <w:rFonts w:cs="Times New Roman"/>
          <w:noProof/>
          <w:lang w:val="en-GB"/>
        </w:rPr>
        <w:t>brighter</w:t>
      </w:r>
      <w:r w:rsidRPr="002D55CF">
        <w:rPr>
          <w:rFonts w:cs="Times New Roman"/>
          <w:noProof/>
          <w:lang w:val="en-GB"/>
        </w:rPr>
        <w:t xml:space="preserve"> </w:t>
      </w:r>
      <w:r w:rsidR="00A22A53" w:rsidRPr="002D55CF">
        <w:rPr>
          <w:rFonts w:cs="Times New Roman"/>
          <w:noProof/>
          <w:lang w:val="en-GB"/>
        </w:rPr>
        <w:t>opportunity for people</w:t>
      </w:r>
      <w:r w:rsidRPr="002D55CF">
        <w:rPr>
          <w:rFonts w:cs="Times New Roman"/>
          <w:noProof/>
          <w:lang w:val="en-GB"/>
        </w:rPr>
        <w:t xml:space="preserve"> to put their talent to work rather than being imprisoned beneath their level of skill in low-paying sections or adaptable jobs are given the lack of freedom in higher-quality jobs</w:t>
      </w:r>
      <w:r w:rsidR="002D55CF" w:rsidRPr="002D55CF">
        <w:rPr>
          <w:rFonts w:cs="Times New Roman"/>
          <w:noProof/>
          <w:lang w:val="en-GB"/>
        </w:rPr>
        <w:t xml:space="preserve"> (</w:t>
      </w:r>
      <w:r w:rsidR="002D55CF" w:rsidRPr="002D55CF">
        <w:rPr>
          <w:rFonts w:eastAsia="Times New Roman" w:cs="Times New Roman"/>
          <w:noProof/>
          <w:szCs w:val="24"/>
          <w:lang w:val="en-GB" w:eastAsia="en-GB"/>
        </w:rPr>
        <w:t>Bratton et al., 2021)</w:t>
      </w:r>
      <w:r w:rsidRPr="002D55CF">
        <w:rPr>
          <w:rFonts w:cs="Times New Roman"/>
          <w:noProof/>
          <w:lang w:val="en-GB"/>
        </w:rPr>
        <w:t xml:space="preserve">. Not </w:t>
      </w:r>
      <w:r w:rsidRPr="002D55CF">
        <w:rPr>
          <w:rFonts w:cs="Times New Roman"/>
          <w:noProof/>
          <w:lang w:val="en-GB"/>
        </w:rPr>
        <w:lastRenderedPageBreak/>
        <w:t>only would this benefit women with family commitments in terms of earnings, career advancement, and employment options, but it would also benefit older workers, caregivers, and disabled people. As a result, you will be assisting us in addressing not only gender wage disparities, but also inequality caused by child poverty, unemployed, and family poverty in the area.</w:t>
      </w:r>
    </w:p>
    <w:p w14:paraId="243314B8" w14:textId="77777777" w:rsidR="00510E6E" w:rsidRPr="002D55CF" w:rsidRDefault="00510E6E" w:rsidP="00EB377C">
      <w:pPr>
        <w:rPr>
          <w:rFonts w:cs="Times New Roman"/>
          <w:noProof/>
          <w:lang w:val="en-GB"/>
        </w:rPr>
      </w:pPr>
      <w:r w:rsidRPr="002D55CF">
        <w:rPr>
          <w:rFonts w:cs="Times New Roman"/>
          <w:noProof/>
          <w:lang w:val="en-GB"/>
        </w:rPr>
        <w:t>In the following year, we'll continue to collaborate effectively with the Groupings Association to advance the cause of flexible employment. We also will keep monitoring our disparity, aiming to gain a better understanding of intersectional inequalities among our personnel, like race.</w:t>
      </w:r>
    </w:p>
    <w:p w14:paraId="56AEA990" w14:textId="77777777" w:rsidR="00510E6E" w:rsidRPr="002D55CF" w:rsidRDefault="00510E6E" w:rsidP="00EB377C">
      <w:pPr>
        <w:pStyle w:val="Heading1"/>
        <w:rPr>
          <w:noProof/>
          <w:lang w:val="en-GB"/>
        </w:rPr>
      </w:pPr>
      <w:bookmarkStart w:id="4" w:name="_Toc100236481"/>
      <w:r w:rsidRPr="002D55CF">
        <w:rPr>
          <w:noProof/>
          <w:lang w:val="en-GB"/>
        </w:rPr>
        <w:t>The role of Human Resources in addressing the concerns of inequality</w:t>
      </w:r>
      <w:bookmarkEnd w:id="4"/>
    </w:p>
    <w:p w14:paraId="2EDE2DAA" w14:textId="568752B0" w:rsidR="00510E6E" w:rsidRPr="002D55CF" w:rsidRDefault="00510E6E" w:rsidP="00EB377C">
      <w:pPr>
        <w:rPr>
          <w:rFonts w:cs="Times New Roman"/>
          <w:noProof/>
          <w:lang w:val="en-GB"/>
        </w:rPr>
      </w:pPr>
      <w:r w:rsidRPr="002D55CF">
        <w:rPr>
          <w:rFonts w:cs="Times New Roman"/>
          <w:noProof/>
          <w:lang w:val="en-GB"/>
        </w:rPr>
        <w:t>Balancing labo</w:t>
      </w:r>
      <w:r w:rsidR="00347D71" w:rsidRPr="002D55CF">
        <w:rPr>
          <w:rFonts w:cs="Times New Roman"/>
          <w:noProof/>
          <w:lang w:val="en-GB"/>
        </w:rPr>
        <w:t>u</w:t>
      </w:r>
      <w:r w:rsidRPr="002D55CF">
        <w:rPr>
          <w:rFonts w:cs="Times New Roman"/>
          <w:noProof/>
          <w:lang w:val="en-GB"/>
        </w:rPr>
        <w:t>r allocation to the most profitable uses while worker's rights is a top challenge for legislators</w:t>
      </w:r>
      <w:r w:rsidR="002D55CF" w:rsidRPr="002D55CF">
        <w:rPr>
          <w:rFonts w:cs="Times New Roman"/>
          <w:noProof/>
          <w:lang w:val="en-GB"/>
        </w:rPr>
        <w:t xml:space="preserve"> (</w:t>
      </w:r>
      <w:r w:rsidR="002D55CF" w:rsidRPr="002D55CF">
        <w:rPr>
          <w:rFonts w:eastAsia="Times New Roman" w:cs="Times New Roman"/>
          <w:noProof/>
          <w:szCs w:val="24"/>
          <w:lang w:val="en-GB" w:eastAsia="en-GB"/>
        </w:rPr>
        <w:t>Bratton et al., 2021)</w:t>
      </w:r>
      <w:r w:rsidRPr="002D55CF">
        <w:rPr>
          <w:rFonts w:cs="Times New Roman"/>
          <w:noProof/>
          <w:lang w:val="en-GB"/>
        </w:rPr>
        <w:t>. This can be accomplished through a variety of policy options, but most notably through employee protection – the regulations surrounding employee termination and the use of short</w:t>
      </w:r>
      <w:r w:rsidR="00036B2E" w:rsidRPr="002D55CF">
        <w:rPr>
          <w:rFonts w:cs="Times New Roman"/>
          <w:noProof/>
          <w:lang w:val="en-GB"/>
        </w:rPr>
        <w:t>-</w:t>
      </w:r>
      <w:r w:rsidRPr="002D55CF">
        <w:rPr>
          <w:rFonts w:cs="Times New Roman"/>
          <w:noProof/>
          <w:lang w:val="en-GB"/>
        </w:rPr>
        <w:t>term contracts – and labo</w:t>
      </w:r>
      <w:r w:rsidR="00347D71" w:rsidRPr="002D55CF">
        <w:rPr>
          <w:rFonts w:cs="Times New Roman"/>
          <w:noProof/>
          <w:lang w:val="en-GB"/>
        </w:rPr>
        <w:t>u</w:t>
      </w:r>
      <w:r w:rsidRPr="002D55CF">
        <w:rPr>
          <w:rFonts w:cs="Times New Roman"/>
          <w:noProof/>
          <w:lang w:val="en-GB"/>
        </w:rPr>
        <w:t>r market regulations that provide financial assistance (Torrington, 2020). In places with large imbalances, job insecurity, and poor working conditions, such as the majority of economic growth, authorities have tended to favo</w:t>
      </w:r>
      <w:r w:rsidR="00347D71" w:rsidRPr="002D55CF">
        <w:rPr>
          <w:rFonts w:cs="Times New Roman"/>
          <w:noProof/>
          <w:lang w:val="en-GB"/>
        </w:rPr>
        <w:t>u</w:t>
      </w:r>
      <w:r w:rsidRPr="002D55CF">
        <w:rPr>
          <w:rFonts w:cs="Times New Roman"/>
          <w:noProof/>
          <w:lang w:val="en-GB"/>
        </w:rPr>
        <w:t>r the very first form of shield to ensure workers from the risk of being fired (by making rejection more complicated and trying to offer redundancy pay instalments), so although active labo</w:t>
      </w:r>
      <w:r w:rsidR="00347D71" w:rsidRPr="002D55CF">
        <w:rPr>
          <w:rFonts w:cs="Times New Roman"/>
          <w:noProof/>
          <w:lang w:val="en-GB"/>
        </w:rPr>
        <w:t>u</w:t>
      </w:r>
      <w:r w:rsidRPr="002D55CF">
        <w:rPr>
          <w:rFonts w:cs="Times New Roman"/>
          <w:noProof/>
          <w:lang w:val="en-GB"/>
        </w:rPr>
        <w:t>r market laws aimed at assisting job seekers and trying to improve employees' job prospects have received less attention.</w:t>
      </w:r>
    </w:p>
    <w:p w14:paraId="1C8AA3C2" w14:textId="33E07625" w:rsidR="00510E6E" w:rsidRPr="002D55CF" w:rsidRDefault="00510E6E" w:rsidP="00EB377C">
      <w:pPr>
        <w:rPr>
          <w:rFonts w:cs="Times New Roman"/>
          <w:noProof/>
          <w:lang w:val="en-GB"/>
        </w:rPr>
      </w:pPr>
      <w:r w:rsidRPr="002D55CF">
        <w:rPr>
          <w:rFonts w:cs="Times New Roman"/>
          <w:noProof/>
          <w:lang w:val="en-GB"/>
        </w:rPr>
        <w:t>Basic salary policies can be viewed as a mechanism for providing culturally approved pay to low-skilled workers, and other authors view them as an appealing kind of social welfare. They are conscious, require less supervision, have little permeability, and do not incur large labo</w:t>
      </w:r>
      <w:r w:rsidR="00347D71" w:rsidRPr="002D55CF">
        <w:rPr>
          <w:rFonts w:cs="Times New Roman"/>
          <w:noProof/>
          <w:lang w:val="en-GB"/>
        </w:rPr>
        <w:t>u</w:t>
      </w:r>
      <w:r w:rsidRPr="002D55CF">
        <w:rPr>
          <w:rFonts w:cs="Times New Roman"/>
          <w:noProof/>
          <w:lang w:val="en-GB"/>
        </w:rPr>
        <w:t xml:space="preserve">r costs in comparison to other policy approaches (Cunningham, 2007). However, the effect of wage levels on jobs and the allocation of income and revenue is not equal and has generated debate in the literature. On the one side, when wage rates are implemented, they play a critical function in assuring that "fair" pay </w:t>
      </w:r>
      <w:r w:rsidR="00036B2E" w:rsidRPr="002D55CF">
        <w:rPr>
          <w:rFonts w:cs="Times New Roman"/>
          <w:noProof/>
          <w:lang w:val="en-GB"/>
        </w:rPr>
        <w:t>is</w:t>
      </w:r>
      <w:r w:rsidRPr="002D55CF">
        <w:rPr>
          <w:rFonts w:cs="Times New Roman"/>
          <w:noProof/>
          <w:lang w:val="en-GB"/>
        </w:rPr>
        <w:t xml:space="preserve"> paid to low-skilled workers. On the other side, the minimum level of pay is significant, as relatively high salaries might hinder employment development, disproportionately harming the very employees they are supposed to defend, so limiting its influence on hardship.</w:t>
      </w:r>
    </w:p>
    <w:p w14:paraId="26D25C02" w14:textId="55752986" w:rsidR="00A22A53" w:rsidRPr="002D55CF" w:rsidRDefault="00510E6E" w:rsidP="00EB377C">
      <w:pPr>
        <w:rPr>
          <w:rFonts w:cs="Times New Roman"/>
          <w:noProof/>
          <w:lang w:val="en-GB"/>
        </w:rPr>
      </w:pPr>
      <w:r w:rsidRPr="002D55CF">
        <w:rPr>
          <w:rFonts w:cs="Times New Roman"/>
          <w:noProof/>
          <w:lang w:val="en-GB"/>
        </w:rPr>
        <w:lastRenderedPageBreak/>
        <w:t>Income in retirement transfers – that are intended to assist the aged p</w:t>
      </w:r>
      <w:r w:rsidR="00036B2E" w:rsidRPr="002D55CF">
        <w:rPr>
          <w:rFonts w:cs="Times New Roman"/>
          <w:noProof/>
          <w:lang w:val="en-GB"/>
        </w:rPr>
        <w:t>eo</w:t>
      </w:r>
      <w:r w:rsidRPr="002D55CF">
        <w:rPr>
          <w:rFonts w:cs="Times New Roman"/>
          <w:noProof/>
          <w:lang w:val="en-GB"/>
        </w:rPr>
        <w:t>ple and, by extension, the family wherein the</w:t>
      </w:r>
      <w:r w:rsidR="00036B2E" w:rsidRPr="002D55CF">
        <w:rPr>
          <w:rFonts w:cs="Times New Roman"/>
          <w:noProof/>
          <w:lang w:val="en-GB"/>
        </w:rPr>
        <w:t xml:space="preserve"> </w:t>
      </w:r>
      <w:r w:rsidRPr="002D55CF">
        <w:rPr>
          <w:rFonts w:cs="Times New Roman"/>
          <w:noProof/>
          <w:lang w:val="en-GB"/>
        </w:rPr>
        <w:t>elderly li</w:t>
      </w:r>
      <w:r w:rsidR="00036B2E" w:rsidRPr="002D55CF">
        <w:rPr>
          <w:rFonts w:cs="Times New Roman"/>
          <w:noProof/>
          <w:lang w:val="en-GB"/>
        </w:rPr>
        <w:t>v</w:t>
      </w:r>
      <w:r w:rsidRPr="002D55CF">
        <w:rPr>
          <w:rFonts w:cs="Times New Roman"/>
          <w:noProof/>
          <w:lang w:val="en-GB"/>
        </w:rPr>
        <w:t>e– is a crucial part of social security</w:t>
      </w:r>
      <w:r w:rsidR="002D55CF" w:rsidRPr="002D55CF">
        <w:rPr>
          <w:rFonts w:cs="Times New Roman"/>
          <w:noProof/>
          <w:lang w:val="en-GB"/>
        </w:rPr>
        <w:t xml:space="preserve"> (</w:t>
      </w:r>
      <w:r w:rsidR="002D55CF" w:rsidRPr="002D55CF">
        <w:rPr>
          <w:rFonts w:eastAsia="Times New Roman" w:cs="Times New Roman"/>
          <w:noProof/>
          <w:szCs w:val="24"/>
          <w:lang w:val="en-GB" w:eastAsia="en-GB"/>
        </w:rPr>
        <w:t>Stone, Cox and Gavin, 2020)</w:t>
      </w:r>
      <w:r w:rsidRPr="002D55CF">
        <w:rPr>
          <w:rFonts w:cs="Times New Roman"/>
          <w:noProof/>
          <w:lang w:val="en-GB"/>
        </w:rPr>
        <w:t>. Moreover, old age is often connected with a decline in living conditions, which is exacerbated in nations wherein public safety systems do not cover a sizable proportion of people.</w:t>
      </w:r>
    </w:p>
    <w:p w14:paraId="0ED536E8" w14:textId="77777777" w:rsidR="00510E6E" w:rsidRPr="002D55CF" w:rsidRDefault="00510E6E" w:rsidP="00EB377C">
      <w:pPr>
        <w:pStyle w:val="Heading1"/>
        <w:rPr>
          <w:noProof/>
          <w:lang w:val="en-GB"/>
        </w:rPr>
      </w:pPr>
      <w:bookmarkStart w:id="5" w:name="_Toc100236482"/>
      <w:r w:rsidRPr="002D55CF">
        <w:rPr>
          <w:noProof/>
          <w:lang w:val="en-GB"/>
        </w:rPr>
        <w:t>Conclusion</w:t>
      </w:r>
      <w:bookmarkEnd w:id="5"/>
    </w:p>
    <w:p w14:paraId="62798111" w14:textId="518888E3" w:rsidR="00510E6E" w:rsidRPr="002D55CF" w:rsidRDefault="00510E6E" w:rsidP="00EB377C">
      <w:pPr>
        <w:rPr>
          <w:rFonts w:cs="Times New Roman"/>
          <w:noProof/>
          <w:lang w:val="en-GB"/>
        </w:rPr>
      </w:pPr>
      <w:r w:rsidRPr="002D55CF">
        <w:rPr>
          <w:rFonts w:cs="Times New Roman"/>
          <w:noProof/>
          <w:lang w:val="en-GB"/>
        </w:rPr>
        <w:t xml:space="preserve">This report indicated that utilizing flexible work arrangements to encourage and strengthen </w:t>
      </w:r>
      <w:r w:rsidR="00000A6D" w:rsidRPr="002D55CF">
        <w:rPr>
          <w:rFonts w:cs="Times New Roman"/>
          <w:noProof/>
          <w:lang w:val="en-GB"/>
        </w:rPr>
        <w:t>organizational</w:t>
      </w:r>
      <w:r w:rsidRPr="002D55CF">
        <w:rPr>
          <w:rFonts w:cs="Times New Roman"/>
          <w:noProof/>
          <w:lang w:val="en-GB"/>
        </w:rPr>
        <w:t xml:space="preserve"> diversity is difficult when management prioritizes financial imperatives over flexible work arrangements (FWA). This report also demonstrated that corporation conversation, with its explicit business orientation, demonstrates the limitations of relying on FWA to transform the climate for diversity. Further investigation is necessary on the problems and issues associated with granting freedom and, in particular, its possible effect on career advancement.</w:t>
      </w:r>
    </w:p>
    <w:p w14:paraId="6A5943B0" w14:textId="6F20793D" w:rsidR="00510E6E" w:rsidRPr="002D55CF" w:rsidRDefault="00510E6E" w:rsidP="00EB377C">
      <w:pPr>
        <w:rPr>
          <w:rFonts w:cs="Times New Roman"/>
          <w:noProof/>
          <w:lang w:val="en-GB"/>
        </w:rPr>
      </w:pPr>
    </w:p>
    <w:p w14:paraId="4BD8020F" w14:textId="38D3DEAE" w:rsidR="00A22A53" w:rsidRPr="002D55CF" w:rsidRDefault="00A22A53" w:rsidP="00EB377C">
      <w:pPr>
        <w:rPr>
          <w:rFonts w:cs="Times New Roman"/>
          <w:noProof/>
          <w:lang w:val="en-GB"/>
        </w:rPr>
      </w:pPr>
    </w:p>
    <w:p w14:paraId="33127BE6" w14:textId="6727F35B" w:rsidR="00A22A53" w:rsidRPr="002D55CF" w:rsidRDefault="00A22A53" w:rsidP="00EB377C">
      <w:pPr>
        <w:rPr>
          <w:rFonts w:cs="Times New Roman"/>
          <w:noProof/>
          <w:lang w:val="en-GB"/>
        </w:rPr>
      </w:pPr>
    </w:p>
    <w:p w14:paraId="02AFCADF" w14:textId="2D067433" w:rsidR="00A22A53" w:rsidRPr="002D55CF" w:rsidRDefault="00A22A53" w:rsidP="00EB377C">
      <w:pPr>
        <w:rPr>
          <w:rFonts w:cs="Times New Roman"/>
          <w:noProof/>
          <w:lang w:val="en-GB"/>
        </w:rPr>
      </w:pPr>
    </w:p>
    <w:p w14:paraId="3FE72962" w14:textId="77777777" w:rsidR="00A22A53" w:rsidRPr="002D55CF" w:rsidRDefault="00A22A53" w:rsidP="00EB377C">
      <w:pPr>
        <w:rPr>
          <w:rFonts w:cs="Times New Roman"/>
          <w:noProof/>
          <w:lang w:val="en-GB"/>
        </w:rPr>
      </w:pPr>
    </w:p>
    <w:p w14:paraId="43E17009" w14:textId="77777777" w:rsidR="00F40BFB" w:rsidRPr="002D55CF" w:rsidRDefault="00F40BFB">
      <w:pPr>
        <w:spacing w:line="276" w:lineRule="auto"/>
        <w:jc w:val="left"/>
        <w:rPr>
          <w:rFonts w:eastAsiaTheme="majorEastAsia" w:cs="Times New Roman"/>
          <w:b/>
          <w:bCs/>
          <w:noProof/>
          <w:sz w:val="32"/>
          <w:lang w:val="en-GB"/>
        </w:rPr>
      </w:pPr>
      <w:bookmarkStart w:id="6" w:name="_Toc100236483"/>
      <w:r w:rsidRPr="002D55CF">
        <w:rPr>
          <w:noProof/>
          <w:lang w:val="en-GB"/>
        </w:rPr>
        <w:br w:type="page"/>
      </w:r>
    </w:p>
    <w:p w14:paraId="4EE056A5" w14:textId="18E08399" w:rsidR="002D55CF" w:rsidRPr="002D55CF" w:rsidRDefault="00510E6E" w:rsidP="002D55CF">
      <w:pPr>
        <w:pStyle w:val="Heading1"/>
        <w:rPr>
          <w:noProof/>
          <w:lang w:val="en-GB"/>
        </w:rPr>
      </w:pPr>
      <w:r w:rsidRPr="002D55CF">
        <w:rPr>
          <w:noProof/>
          <w:lang w:val="en-GB"/>
        </w:rPr>
        <w:lastRenderedPageBreak/>
        <w:t>Reference</w:t>
      </w:r>
      <w:r w:rsidR="00EB377C" w:rsidRPr="002D55CF">
        <w:rPr>
          <w:noProof/>
          <w:lang w:val="en-GB"/>
        </w:rPr>
        <w:t>s</w:t>
      </w:r>
      <w:bookmarkEnd w:id="6"/>
    </w:p>
    <w:p w14:paraId="0F68C8B8" w14:textId="77777777" w:rsidR="002D55CF" w:rsidRPr="002D55CF" w:rsidRDefault="002D55CF" w:rsidP="00EB377C">
      <w:pPr>
        <w:rPr>
          <w:rFonts w:cs="Times New Roman"/>
          <w:noProof/>
          <w:lang w:val="en-GB"/>
        </w:rPr>
      </w:pPr>
      <w:r w:rsidRPr="002D55CF">
        <w:rPr>
          <w:rFonts w:cs="Times New Roman"/>
          <w:noProof/>
          <w:lang w:val="en-GB"/>
        </w:rPr>
        <w:t xml:space="preserve">Armstrong, M. and Taylor, S., 2020. </w:t>
      </w:r>
      <w:r w:rsidRPr="002D55CF">
        <w:rPr>
          <w:rFonts w:cs="Times New Roman"/>
          <w:i/>
          <w:iCs/>
          <w:noProof/>
          <w:lang w:val="en-GB"/>
        </w:rPr>
        <w:t>Armstrong’s handbook of human resource management practice.</w:t>
      </w:r>
      <w:r w:rsidRPr="002D55CF">
        <w:rPr>
          <w:rFonts w:cs="Times New Roman"/>
          <w:noProof/>
          <w:lang w:val="en-GB"/>
        </w:rPr>
        <w:t xml:space="preserve"> 15th ed.</w:t>
      </w:r>
    </w:p>
    <w:p w14:paraId="41E8F271" w14:textId="77777777" w:rsidR="002D55CF" w:rsidRPr="002D55CF" w:rsidRDefault="002D55CF" w:rsidP="00EB377C">
      <w:pPr>
        <w:rPr>
          <w:rFonts w:cs="Times New Roman"/>
          <w:noProof/>
          <w:lang w:val="en-GB"/>
        </w:rPr>
      </w:pPr>
      <w:r w:rsidRPr="002D55CF">
        <w:rPr>
          <w:rFonts w:cs="Times New Roman"/>
          <w:noProof/>
          <w:lang w:val="en-GB"/>
        </w:rPr>
        <w:t xml:space="preserve">Bleasdale, J., 2020. Moving from Tolerance to Inclusion through Critical Collaboration. </w:t>
      </w:r>
      <w:r w:rsidRPr="002D55CF">
        <w:rPr>
          <w:rFonts w:cs="Times New Roman"/>
          <w:i/>
          <w:iCs/>
          <w:noProof/>
          <w:lang w:val="en-GB"/>
        </w:rPr>
        <w:t>Journal of Education Human Resources</w:t>
      </w:r>
      <w:r w:rsidRPr="002D55CF">
        <w:rPr>
          <w:rFonts w:cs="Times New Roman"/>
          <w:noProof/>
          <w:lang w:val="en-GB"/>
        </w:rPr>
        <w:t>, 38(4),</w:t>
      </w:r>
    </w:p>
    <w:p w14:paraId="20A9AA5A" w14:textId="77777777" w:rsidR="002D55CF" w:rsidRPr="002D55CF" w:rsidRDefault="002D55CF" w:rsidP="002D55CF">
      <w:pPr>
        <w:rPr>
          <w:rFonts w:cs="Times New Roman"/>
          <w:noProof/>
          <w:lang w:val="en-GB"/>
        </w:rPr>
      </w:pPr>
      <w:r w:rsidRPr="002D55CF">
        <w:rPr>
          <w:rFonts w:eastAsia="Times New Roman" w:cs="Times New Roman"/>
          <w:noProof/>
          <w:szCs w:val="24"/>
          <w:lang w:val="en-GB" w:eastAsia="en-GB"/>
        </w:rPr>
        <w:t xml:space="preserve">Bratton, J., Gold, J., Bratton, A. and Steele, L., 2021. </w:t>
      </w:r>
      <w:r w:rsidRPr="002D55CF">
        <w:rPr>
          <w:rFonts w:eastAsia="Times New Roman" w:cs="Times New Roman"/>
          <w:i/>
          <w:iCs/>
          <w:noProof/>
          <w:szCs w:val="24"/>
          <w:lang w:val="en-GB" w:eastAsia="en-GB"/>
        </w:rPr>
        <w:t>Human resource management</w:t>
      </w:r>
      <w:r w:rsidRPr="002D55CF">
        <w:rPr>
          <w:rFonts w:eastAsia="Times New Roman" w:cs="Times New Roman"/>
          <w:noProof/>
          <w:szCs w:val="24"/>
          <w:lang w:val="en-GB" w:eastAsia="en-GB"/>
        </w:rPr>
        <w:t>. Bloomsbury Publishing.</w:t>
      </w:r>
    </w:p>
    <w:p w14:paraId="27F8F53F" w14:textId="77777777" w:rsidR="002D55CF" w:rsidRPr="002D55CF" w:rsidRDefault="002D55CF" w:rsidP="00EB377C">
      <w:pPr>
        <w:rPr>
          <w:rFonts w:cs="Times New Roman"/>
          <w:noProof/>
          <w:lang w:val="en-GB"/>
        </w:rPr>
      </w:pPr>
      <w:r w:rsidRPr="002D55CF">
        <w:rPr>
          <w:rFonts w:cs="Times New Roman"/>
          <w:noProof/>
          <w:lang w:val="en-GB"/>
        </w:rPr>
        <w:t xml:space="preserve">Ellis, M., 2019. Promoting Gender Diversity in the Classroom Through Drag. </w:t>
      </w:r>
      <w:r w:rsidRPr="002D55CF">
        <w:rPr>
          <w:rFonts w:cs="Times New Roman"/>
          <w:i/>
          <w:iCs/>
          <w:noProof/>
          <w:lang w:val="en-GB"/>
        </w:rPr>
        <w:t>Diversity and Inclusion,</w:t>
      </w:r>
      <w:r w:rsidRPr="002D55CF">
        <w:rPr>
          <w:rFonts w:cs="Times New Roman"/>
          <w:noProof/>
          <w:lang w:val="en-GB"/>
        </w:rPr>
        <w:t xml:space="preserve"> 2018(1), </w:t>
      </w:r>
    </w:p>
    <w:p w14:paraId="14E52E5B" w14:textId="77777777" w:rsidR="002D55CF" w:rsidRPr="002D55CF" w:rsidRDefault="002D55CF" w:rsidP="002D55CF">
      <w:pPr>
        <w:rPr>
          <w:rFonts w:cs="Times New Roman"/>
          <w:noProof/>
          <w:lang w:val="en-GB"/>
        </w:rPr>
      </w:pPr>
      <w:r w:rsidRPr="002D55CF">
        <w:rPr>
          <w:rFonts w:eastAsia="Times New Roman" w:cs="Times New Roman"/>
          <w:noProof/>
          <w:szCs w:val="24"/>
          <w:lang w:val="en-GB" w:eastAsia="en-GB"/>
        </w:rPr>
        <w:t xml:space="preserve">Hamouche, S., 2021. Human resource management and the COVID-19 crisis: implications, challenges, opportunities, and future organizational directions. </w:t>
      </w:r>
      <w:r w:rsidRPr="002D55CF">
        <w:rPr>
          <w:rFonts w:eastAsia="Times New Roman" w:cs="Times New Roman"/>
          <w:i/>
          <w:iCs/>
          <w:noProof/>
          <w:szCs w:val="24"/>
          <w:lang w:val="en-GB" w:eastAsia="en-GB"/>
        </w:rPr>
        <w:t>Journal of Management &amp; Organization</w:t>
      </w:r>
      <w:r w:rsidRPr="002D55CF">
        <w:rPr>
          <w:rFonts w:eastAsia="Times New Roman" w:cs="Times New Roman"/>
          <w:noProof/>
          <w:szCs w:val="24"/>
          <w:lang w:val="en-GB" w:eastAsia="en-GB"/>
        </w:rPr>
        <w:t xml:space="preserve">, </w:t>
      </w:r>
      <w:r w:rsidRPr="002D55CF">
        <w:rPr>
          <w:rFonts w:eastAsia="Times New Roman" w:cs="Times New Roman"/>
          <w:i/>
          <w:iCs/>
          <w:noProof/>
          <w:szCs w:val="24"/>
          <w:lang w:val="en-GB" w:eastAsia="en-GB"/>
        </w:rPr>
        <w:t>1</w:t>
      </w:r>
      <w:r w:rsidRPr="002D55CF">
        <w:rPr>
          <w:rFonts w:eastAsia="Times New Roman" w:cs="Times New Roman"/>
          <w:noProof/>
          <w:szCs w:val="24"/>
          <w:lang w:val="en-GB" w:eastAsia="en-GB"/>
        </w:rPr>
        <w:t>, p.16.</w:t>
      </w:r>
    </w:p>
    <w:p w14:paraId="373022F0" w14:textId="77777777" w:rsidR="002D55CF" w:rsidRPr="002D55CF" w:rsidRDefault="002D55CF" w:rsidP="00EB377C">
      <w:pPr>
        <w:rPr>
          <w:rFonts w:cs="Times New Roman"/>
          <w:noProof/>
          <w:lang w:val="en-GB"/>
        </w:rPr>
      </w:pPr>
      <w:r w:rsidRPr="002D55CF">
        <w:rPr>
          <w:rFonts w:cs="Times New Roman"/>
          <w:noProof/>
          <w:lang w:val="en-GB"/>
        </w:rPr>
        <w:t xml:space="preserve">Htun, M., 2019. Promoting Diversity and Inclusion through Engagement: The APSA 2018 Hackathon. </w:t>
      </w:r>
      <w:r w:rsidRPr="002D55CF">
        <w:rPr>
          <w:rFonts w:cs="Times New Roman"/>
          <w:i/>
          <w:iCs/>
          <w:noProof/>
          <w:lang w:val="en-GB"/>
        </w:rPr>
        <w:t>PS: Political Science and</w:t>
      </w:r>
      <w:r w:rsidRPr="002D55CF">
        <w:rPr>
          <w:rFonts w:cs="Times New Roman"/>
          <w:noProof/>
          <w:lang w:val="en-GB"/>
        </w:rPr>
        <w:t xml:space="preserve"> Politics, 52(4), </w:t>
      </w:r>
    </w:p>
    <w:p w14:paraId="4CB92EC6" w14:textId="77777777" w:rsidR="002D55CF" w:rsidRPr="002D55CF" w:rsidRDefault="002D55CF" w:rsidP="002D55CF">
      <w:pPr>
        <w:rPr>
          <w:rFonts w:cs="Times New Roman"/>
          <w:noProof/>
          <w:lang w:val="en-GB"/>
        </w:rPr>
      </w:pPr>
      <w:r w:rsidRPr="002D55CF">
        <w:rPr>
          <w:rFonts w:eastAsia="Times New Roman" w:cs="Times New Roman"/>
          <w:noProof/>
          <w:szCs w:val="24"/>
          <w:lang w:val="en-GB" w:eastAsia="en-GB"/>
        </w:rPr>
        <w:t xml:space="preserve">Michael, A., 2019. </w:t>
      </w:r>
      <w:r w:rsidRPr="002D55CF">
        <w:rPr>
          <w:rFonts w:eastAsia="Times New Roman" w:cs="Times New Roman"/>
          <w:i/>
          <w:iCs/>
          <w:noProof/>
          <w:szCs w:val="24"/>
          <w:lang w:val="en-GB" w:eastAsia="en-GB"/>
        </w:rPr>
        <w:t>A handbook of human resource management practice</w:t>
      </w:r>
      <w:r w:rsidRPr="002D55CF">
        <w:rPr>
          <w:rFonts w:eastAsia="Times New Roman" w:cs="Times New Roman"/>
          <w:noProof/>
          <w:szCs w:val="24"/>
          <w:lang w:val="en-GB" w:eastAsia="en-GB"/>
        </w:rPr>
        <w:t>. bookboon. com.</w:t>
      </w:r>
    </w:p>
    <w:p w14:paraId="774436BF" w14:textId="77777777" w:rsidR="002D55CF" w:rsidRPr="002D55CF" w:rsidRDefault="002D55CF" w:rsidP="00EB377C">
      <w:pPr>
        <w:rPr>
          <w:rFonts w:cs="Times New Roman"/>
          <w:noProof/>
          <w:lang w:val="en-GB"/>
        </w:rPr>
      </w:pPr>
      <w:r w:rsidRPr="002D55CF">
        <w:rPr>
          <w:rFonts w:cs="Times New Roman"/>
          <w:noProof/>
          <w:lang w:val="en-GB"/>
        </w:rPr>
        <w:t xml:space="preserve">Paolillo, A., Silva, S. and Pasini, M., 2016. Promoting safety participation through diversity and inclusion climates. </w:t>
      </w:r>
      <w:r w:rsidRPr="002D55CF">
        <w:rPr>
          <w:rFonts w:cs="Times New Roman"/>
          <w:i/>
          <w:iCs/>
          <w:noProof/>
          <w:lang w:val="en-GB"/>
        </w:rPr>
        <w:t>International Journal of Workplace Health Management</w:t>
      </w:r>
      <w:r w:rsidRPr="002D55CF">
        <w:rPr>
          <w:rFonts w:cs="Times New Roman"/>
          <w:noProof/>
          <w:lang w:val="en-GB"/>
        </w:rPr>
        <w:t xml:space="preserve">, 9(3), </w:t>
      </w:r>
    </w:p>
    <w:p w14:paraId="0EF52EE8" w14:textId="77777777" w:rsidR="002D55CF" w:rsidRPr="002D55CF" w:rsidRDefault="002D55CF" w:rsidP="002D55CF">
      <w:pPr>
        <w:rPr>
          <w:rFonts w:cs="Times New Roman"/>
          <w:noProof/>
          <w:lang w:val="en-GB"/>
        </w:rPr>
      </w:pPr>
      <w:r w:rsidRPr="002D55CF">
        <w:rPr>
          <w:rFonts w:eastAsia="Times New Roman" w:cs="Times New Roman"/>
          <w:noProof/>
          <w:szCs w:val="24"/>
          <w:lang w:val="en-GB" w:eastAsia="en-GB"/>
        </w:rPr>
        <w:t xml:space="preserve">Stewart, G.L. and Brown, K.G., 2019. </w:t>
      </w:r>
      <w:r w:rsidRPr="002D55CF">
        <w:rPr>
          <w:rFonts w:eastAsia="Times New Roman" w:cs="Times New Roman"/>
          <w:i/>
          <w:iCs/>
          <w:noProof/>
          <w:szCs w:val="24"/>
          <w:lang w:val="en-GB" w:eastAsia="en-GB"/>
        </w:rPr>
        <w:t>Human resource management</w:t>
      </w:r>
      <w:r w:rsidRPr="002D55CF">
        <w:rPr>
          <w:rFonts w:eastAsia="Times New Roman" w:cs="Times New Roman"/>
          <w:noProof/>
          <w:szCs w:val="24"/>
          <w:lang w:val="en-GB" w:eastAsia="en-GB"/>
        </w:rPr>
        <w:t>. John Wiley &amp; Sons.</w:t>
      </w:r>
    </w:p>
    <w:p w14:paraId="6F1534F3" w14:textId="77777777" w:rsidR="002D55CF" w:rsidRPr="002D55CF" w:rsidRDefault="002D55CF" w:rsidP="002D55CF">
      <w:pPr>
        <w:rPr>
          <w:rFonts w:cs="Times New Roman"/>
          <w:noProof/>
          <w:lang w:val="en-GB"/>
        </w:rPr>
      </w:pPr>
      <w:r w:rsidRPr="002D55CF">
        <w:rPr>
          <w:rFonts w:eastAsia="Times New Roman" w:cs="Times New Roman"/>
          <w:noProof/>
          <w:szCs w:val="24"/>
          <w:lang w:val="en-GB" w:eastAsia="en-GB"/>
        </w:rPr>
        <w:t xml:space="preserve">Stone, R.J., Cox, A. and Gavin, M., 2020. </w:t>
      </w:r>
      <w:r w:rsidRPr="002D55CF">
        <w:rPr>
          <w:rFonts w:eastAsia="Times New Roman" w:cs="Times New Roman"/>
          <w:i/>
          <w:iCs/>
          <w:noProof/>
          <w:szCs w:val="24"/>
          <w:lang w:val="en-GB" w:eastAsia="en-GB"/>
        </w:rPr>
        <w:t>Human resource management</w:t>
      </w:r>
      <w:r w:rsidRPr="002D55CF">
        <w:rPr>
          <w:rFonts w:eastAsia="Times New Roman" w:cs="Times New Roman"/>
          <w:noProof/>
          <w:szCs w:val="24"/>
          <w:lang w:val="en-GB" w:eastAsia="en-GB"/>
        </w:rPr>
        <w:t>. John Wiley &amp; Sons.</w:t>
      </w:r>
    </w:p>
    <w:p w14:paraId="1B9D30BC" w14:textId="77777777" w:rsidR="002D55CF" w:rsidRPr="002D55CF" w:rsidRDefault="002D55CF" w:rsidP="00EB377C">
      <w:pPr>
        <w:rPr>
          <w:rFonts w:cs="Times New Roman"/>
          <w:noProof/>
          <w:lang w:val="en-GB"/>
        </w:rPr>
      </w:pPr>
      <w:r w:rsidRPr="002D55CF">
        <w:rPr>
          <w:rFonts w:cs="Times New Roman"/>
          <w:noProof/>
          <w:lang w:val="en-GB"/>
        </w:rPr>
        <w:t xml:space="preserve">Thoms, C. and Burton, S., 2018. Transculturalized Diversity and Inclusion Model: A New Framework for Disabilities. </w:t>
      </w:r>
      <w:r w:rsidRPr="002D55CF">
        <w:rPr>
          <w:rFonts w:cs="Times New Roman"/>
          <w:i/>
          <w:iCs/>
          <w:noProof/>
          <w:lang w:val="en-GB"/>
        </w:rPr>
        <w:t>Advances in Developing Human Resources</w:t>
      </w:r>
      <w:r w:rsidRPr="002D55CF">
        <w:rPr>
          <w:rFonts w:cs="Times New Roman"/>
          <w:noProof/>
          <w:lang w:val="en-GB"/>
        </w:rPr>
        <w:t>, 20(3).</w:t>
      </w:r>
    </w:p>
    <w:p w14:paraId="1DF4D452" w14:textId="78254F6F" w:rsidR="002D55CF" w:rsidRPr="002D55CF" w:rsidRDefault="002D55CF" w:rsidP="00EB377C">
      <w:pPr>
        <w:rPr>
          <w:rFonts w:cs="Times New Roman"/>
          <w:noProof/>
          <w:lang w:val="en-GB"/>
        </w:rPr>
      </w:pPr>
      <w:r w:rsidRPr="002D55CF">
        <w:rPr>
          <w:rFonts w:cs="Times New Roman"/>
          <w:noProof/>
          <w:lang w:val="en-GB"/>
        </w:rPr>
        <w:t xml:space="preserve">Torrington, D., 2020. </w:t>
      </w:r>
      <w:r w:rsidRPr="002D55CF">
        <w:rPr>
          <w:rFonts w:cs="Times New Roman"/>
          <w:i/>
          <w:iCs/>
          <w:noProof/>
          <w:lang w:val="en-GB"/>
        </w:rPr>
        <w:t>Human Resource Management</w:t>
      </w:r>
      <w:r w:rsidRPr="002D55CF">
        <w:rPr>
          <w:rFonts w:cs="Times New Roman"/>
          <w:noProof/>
          <w:lang w:val="en-GB"/>
        </w:rPr>
        <w:t>. 11th ed. Harlow, England: Pearson,</w:t>
      </w:r>
    </w:p>
    <w:sectPr w:rsidR="002D55CF" w:rsidRPr="002D55CF" w:rsidSect="00436A7F">
      <w:type w:val="continuous"/>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D6327" w14:textId="77777777" w:rsidR="00946C89" w:rsidRDefault="00946C89" w:rsidP="0072139F">
      <w:pPr>
        <w:spacing w:after="0" w:line="240" w:lineRule="auto"/>
      </w:pPr>
      <w:r>
        <w:separator/>
      </w:r>
    </w:p>
  </w:endnote>
  <w:endnote w:type="continuationSeparator" w:id="0">
    <w:p w14:paraId="5CCB1581" w14:textId="77777777" w:rsidR="00946C89" w:rsidRDefault="00946C89" w:rsidP="00721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305190"/>
      <w:docPartObj>
        <w:docPartGallery w:val="Page Numbers (Bottom of Page)"/>
        <w:docPartUnique/>
      </w:docPartObj>
    </w:sdtPr>
    <w:sdtEndPr>
      <w:rPr>
        <w:noProof/>
      </w:rPr>
    </w:sdtEndPr>
    <w:sdtContent>
      <w:p w14:paraId="7AA84EB8" w14:textId="594087E4" w:rsidR="00436A7F" w:rsidRDefault="00436A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943C95" w14:textId="77777777" w:rsidR="0072139F" w:rsidRDefault="00721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868D7" w14:textId="77777777" w:rsidR="00946C89" w:rsidRDefault="00946C89" w:rsidP="0072139F">
      <w:pPr>
        <w:spacing w:after="0" w:line="240" w:lineRule="auto"/>
      </w:pPr>
      <w:r>
        <w:separator/>
      </w:r>
    </w:p>
  </w:footnote>
  <w:footnote w:type="continuationSeparator" w:id="0">
    <w:p w14:paraId="21F2057D" w14:textId="77777777" w:rsidR="00946C89" w:rsidRDefault="00946C89" w:rsidP="007213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238B"/>
    <w:multiLevelType w:val="hybridMultilevel"/>
    <w:tmpl w:val="01043E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D65EE"/>
    <w:multiLevelType w:val="hybridMultilevel"/>
    <w:tmpl w:val="2B3E3A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A1358"/>
    <w:multiLevelType w:val="hybridMultilevel"/>
    <w:tmpl w:val="77D826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601EB1"/>
    <w:multiLevelType w:val="hybridMultilevel"/>
    <w:tmpl w:val="5EF09E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360CD1"/>
    <w:multiLevelType w:val="hybridMultilevel"/>
    <w:tmpl w:val="9EC20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E351CC"/>
    <w:multiLevelType w:val="hybridMultilevel"/>
    <w:tmpl w:val="88D250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E72BCE"/>
    <w:multiLevelType w:val="hybridMultilevel"/>
    <w:tmpl w:val="FEF80E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A136F2"/>
    <w:multiLevelType w:val="hybridMultilevel"/>
    <w:tmpl w:val="4B08DF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7527F1"/>
    <w:multiLevelType w:val="hybridMultilevel"/>
    <w:tmpl w:val="2B466D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0679498">
    <w:abstractNumId w:val="8"/>
  </w:num>
  <w:num w:numId="2" w16cid:durableId="973873754">
    <w:abstractNumId w:val="6"/>
  </w:num>
  <w:num w:numId="3" w16cid:durableId="505093002">
    <w:abstractNumId w:val="0"/>
  </w:num>
  <w:num w:numId="4" w16cid:durableId="1118378726">
    <w:abstractNumId w:val="2"/>
  </w:num>
  <w:num w:numId="5" w16cid:durableId="791704170">
    <w:abstractNumId w:val="5"/>
  </w:num>
  <w:num w:numId="6" w16cid:durableId="2048872058">
    <w:abstractNumId w:val="3"/>
  </w:num>
  <w:num w:numId="7" w16cid:durableId="985470337">
    <w:abstractNumId w:val="7"/>
  </w:num>
  <w:num w:numId="8" w16cid:durableId="318996363">
    <w:abstractNumId w:val="1"/>
  </w:num>
  <w:num w:numId="9" w16cid:durableId="10293775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2NzYwtjQxNDI3NjJW0lEKTi0uzszPAykwrQUAHvnqASwAAAA="/>
  </w:docVars>
  <w:rsids>
    <w:rsidRoot w:val="00B71602"/>
    <w:rsid w:val="00000A6D"/>
    <w:rsid w:val="00000B6E"/>
    <w:rsid w:val="00006763"/>
    <w:rsid w:val="00036B2E"/>
    <w:rsid w:val="000A79DA"/>
    <w:rsid w:val="000C111A"/>
    <w:rsid w:val="000D402B"/>
    <w:rsid w:val="000D5F3D"/>
    <w:rsid w:val="000E1AF5"/>
    <w:rsid w:val="00156B55"/>
    <w:rsid w:val="00193755"/>
    <w:rsid w:val="001B74E7"/>
    <w:rsid w:val="002377D2"/>
    <w:rsid w:val="002B4F40"/>
    <w:rsid w:val="002D2BFD"/>
    <w:rsid w:val="002D55CF"/>
    <w:rsid w:val="002E77D6"/>
    <w:rsid w:val="00347D71"/>
    <w:rsid w:val="003571BB"/>
    <w:rsid w:val="00362D16"/>
    <w:rsid w:val="004169CA"/>
    <w:rsid w:val="00421767"/>
    <w:rsid w:val="00436A7F"/>
    <w:rsid w:val="004475C4"/>
    <w:rsid w:val="00463D93"/>
    <w:rsid w:val="004B2953"/>
    <w:rsid w:val="004B4309"/>
    <w:rsid w:val="00504FBE"/>
    <w:rsid w:val="00510E6E"/>
    <w:rsid w:val="00542DB3"/>
    <w:rsid w:val="00555103"/>
    <w:rsid w:val="0057319E"/>
    <w:rsid w:val="005B2899"/>
    <w:rsid w:val="005C6CBB"/>
    <w:rsid w:val="00611899"/>
    <w:rsid w:val="006B1C06"/>
    <w:rsid w:val="006B7C04"/>
    <w:rsid w:val="006C71C8"/>
    <w:rsid w:val="0072139F"/>
    <w:rsid w:val="00735C6B"/>
    <w:rsid w:val="007A5B41"/>
    <w:rsid w:val="007C1C58"/>
    <w:rsid w:val="007E72F1"/>
    <w:rsid w:val="00837792"/>
    <w:rsid w:val="00885219"/>
    <w:rsid w:val="008C7626"/>
    <w:rsid w:val="00946C89"/>
    <w:rsid w:val="009E5B52"/>
    <w:rsid w:val="00A22A53"/>
    <w:rsid w:val="00A6080F"/>
    <w:rsid w:val="00A66C1D"/>
    <w:rsid w:val="00AD1AD9"/>
    <w:rsid w:val="00B304C0"/>
    <w:rsid w:val="00B71602"/>
    <w:rsid w:val="00BA6567"/>
    <w:rsid w:val="00BF1D63"/>
    <w:rsid w:val="00C701FA"/>
    <w:rsid w:val="00C92359"/>
    <w:rsid w:val="00CE324B"/>
    <w:rsid w:val="00CF228B"/>
    <w:rsid w:val="00D2217F"/>
    <w:rsid w:val="00D66776"/>
    <w:rsid w:val="00DA6D44"/>
    <w:rsid w:val="00E215D5"/>
    <w:rsid w:val="00E56855"/>
    <w:rsid w:val="00EB30C4"/>
    <w:rsid w:val="00EB377C"/>
    <w:rsid w:val="00EE3791"/>
    <w:rsid w:val="00F40BFB"/>
    <w:rsid w:val="00F65CDA"/>
    <w:rsid w:val="00FB1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A2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A7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36A7F"/>
    <w:pPr>
      <w:keepNext/>
      <w:keepLines/>
      <w:spacing w:before="480" w:after="0"/>
      <w:outlineLvl w:val="0"/>
    </w:pPr>
    <w:rPr>
      <w:rFonts w:eastAsiaTheme="majorEastAsia" w:cs="Times New Roman"/>
      <w:b/>
      <w:bCs/>
      <w:sz w:val="32"/>
    </w:rPr>
  </w:style>
  <w:style w:type="paragraph" w:styleId="Heading2">
    <w:name w:val="heading 2"/>
    <w:basedOn w:val="Normal"/>
    <w:next w:val="Normal"/>
    <w:link w:val="Heading2Char"/>
    <w:autoRedefine/>
    <w:uiPriority w:val="9"/>
    <w:unhideWhenUsed/>
    <w:qFormat/>
    <w:rsid w:val="00B71602"/>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A7F"/>
    <w:rPr>
      <w:rFonts w:ascii="Times New Roman" w:eastAsiaTheme="majorEastAsia" w:hAnsi="Times New Roman" w:cs="Times New Roman"/>
      <w:b/>
      <w:bCs/>
      <w:sz w:val="32"/>
    </w:rPr>
  </w:style>
  <w:style w:type="character" w:customStyle="1" w:styleId="Heading2Char">
    <w:name w:val="Heading 2 Char"/>
    <w:basedOn w:val="DefaultParagraphFont"/>
    <w:link w:val="Heading2"/>
    <w:uiPriority w:val="9"/>
    <w:rsid w:val="00B71602"/>
    <w:rPr>
      <w:rFonts w:ascii="Times New Roman" w:eastAsiaTheme="majorEastAsia" w:hAnsi="Times New Roman" w:cstheme="majorBidi"/>
      <w:b/>
      <w:bCs/>
      <w:sz w:val="28"/>
      <w:szCs w:val="26"/>
      <w:lang w:val="en-GB"/>
    </w:rPr>
  </w:style>
  <w:style w:type="paragraph" w:styleId="ListParagraph">
    <w:name w:val="List Paragraph"/>
    <w:basedOn w:val="Normal"/>
    <w:uiPriority w:val="34"/>
    <w:qFormat/>
    <w:rsid w:val="00463D93"/>
    <w:pPr>
      <w:ind w:left="720"/>
      <w:contextualSpacing/>
    </w:pPr>
  </w:style>
  <w:style w:type="paragraph" w:styleId="BalloonText">
    <w:name w:val="Balloon Text"/>
    <w:basedOn w:val="Normal"/>
    <w:link w:val="BalloonTextChar"/>
    <w:uiPriority w:val="99"/>
    <w:semiHidden/>
    <w:unhideWhenUsed/>
    <w:rsid w:val="00C923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359"/>
    <w:rPr>
      <w:rFonts w:ascii="Tahoma" w:hAnsi="Tahoma" w:cs="Tahoma"/>
      <w:sz w:val="16"/>
      <w:szCs w:val="16"/>
      <w:lang w:val="en-GB"/>
    </w:rPr>
  </w:style>
  <w:style w:type="paragraph" w:styleId="Caption">
    <w:name w:val="caption"/>
    <w:basedOn w:val="Normal"/>
    <w:next w:val="Normal"/>
    <w:uiPriority w:val="35"/>
    <w:unhideWhenUsed/>
    <w:qFormat/>
    <w:rsid w:val="00C92359"/>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72139F"/>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72139F"/>
    <w:pPr>
      <w:spacing w:after="100"/>
    </w:pPr>
  </w:style>
  <w:style w:type="paragraph" w:styleId="TOC2">
    <w:name w:val="toc 2"/>
    <w:basedOn w:val="Normal"/>
    <w:next w:val="Normal"/>
    <w:autoRedefine/>
    <w:uiPriority w:val="39"/>
    <w:unhideWhenUsed/>
    <w:rsid w:val="0072139F"/>
    <w:pPr>
      <w:spacing w:after="100"/>
      <w:ind w:left="240"/>
    </w:pPr>
  </w:style>
  <w:style w:type="character" w:styleId="Hyperlink">
    <w:name w:val="Hyperlink"/>
    <w:basedOn w:val="DefaultParagraphFont"/>
    <w:uiPriority w:val="99"/>
    <w:unhideWhenUsed/>
    <w:rsid w:val="0072139F"/>
    <w:rPr>
      <w:color w:val="0000FF" w:themeColor="hyperlink"/>
      <w:u w:val="single"/>
    </w:rPr>
  </w:style>
  <w:style w:type="paragraph" w:styleId="Header">
    <w:name w:val="header"/>
    <w:basedOn w:val="Normal"/>
    <w:link w:val="HeaderChar"/>
    <w:uiPriority w:val="99"/>
    <w:unhideWhenUsed/>
    <w:rsid w:val="007213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39F"/>
    <w:rPr>
      <w:rFonts w:ascii="Times New Roman" w:hAnsi="Times New Roman"/>
      <w:sz w:val="24"/>
      <w:lang w:val="en-GB"/>
    </w:rPr>
  </w:style>
  <w:style w:type="paragraph" w:styleId="Footer">
    <w:name w:val="footer"/>
    <w:basedOn w:val="Normal"/>
    <w:link w:val="FooterChar"/>
    <w:uiPriority w:val="99"/>
    <w:unhideWhenUsed/>
    <w:rsid w:val="007213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39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518787">
      <w:bodyDiv w:val="1"/>
      <w:marLeft w:val="0"/>
      <w:marRight w:val="0"/>
      <w:marTop w:val="0"/>
      <w:marBottom w:val="0"/>
      <w:divBdr>
        <w:top w:val="none" w:sz="0" w:space="0" w:color="auto"/>
        <w:left w:val="none" w:sz="0" w:space="0" w:color="auto"/>
        <w:bottom w:val="none" w:sz="0" w:space="0" w:color="auto"/>
        <w:right w:val="none" w:sz="0" w:space="0" w:color="auto"/>
      </w:divBdr>
      <w:divsChild>
        <w:div w:id="1966160587">
          <w:marLeft w:val="0"/>
          <w:marRight w:val="0"/>
          <w:marTop w:val="0"/>
          <w:marBottom w:val="0"/>
          <w:divBdr>
            <w:top w:val="none" w:sz="0" w:space="0" w:color="auto"/>
            <w:left w:val="none" w:sz="0" w:space="0" w:color="auto"/>
            <w:bottom w:val="none" w:sz="0" w:space="0" w:color="auto"/>
            <w:right w:val="none" w:sz="0" w:space="0" w:color="auto"/>
          </w:divBdr>
        </w:div>
      </w:divsChild>
    </w:div>
    <w:div w:id="874536630">
      <w:bodyDiv w:val="1"/>
      <w:marLeft w:val="0"/>
      <w:marRight w:val="0"/>
      <w:marTop w:val="0"/>
      <w:marBottom w:val="0"/>
      <w:divBdr>
        <w:top w:val="none" w:sz="0" w:space="0" w:color="auto"/>
        <w:left w:val="none" w:sz="0" w:space="0" w:color="auto"/>
        <w:bottom w:val="none" w:sz="0" w:space="0" w:color="auto"/>
        <w:right w:val="none" w:sz="0" w:space="0" w:color="auto"/>
      </w:divBdr>
    </w:div>
    <w:div w:id="1167938682">
      <w:bodyDiv w:val="1"/>
      <w:marLeft w:val="0"/>
      <w:marRight w:val="0"/>
      <w:marTop w:val="0"/>
      <w:marBottom w:val="0"/>
      <w:divBdr>
        <w:top w:val="none" w:sz="0" w:space="0" w:color="auto"/>
        <w:left w:val="none" w:sz="0" w:space="0" w:color="auto"/>
        <w:bottom w:val="none" w:sz="0" w:space="0" w:color="auto"/>
        <w:right w:val="none" w:sz="0" w:space="0" w:color="auto"/>
      </w:divBdr>
      <w:divsChild>
        <w:div w:id="1275134848">
          <w:marLeft w:val="0"/>
          <w:marRight w:val="0"/>
          <w:marTop w:val="0"/>
          <w:marBottom w:val="0"/>
          <w:divBdr>
            <w:top w:val="none" w:sz="0" w:space="0" w:color="auto"/>
            <w:left w:val="none" w:sz="0" w:space="0" w:color="auto"/>
            <w:bottom w:val="none" w:sz="0" w:space="0" w:color="auto"/>
            <w:right w:val="none" w:sz="0" w:space="0" w:color="auto"/>
          </w:divBdr>
        </w:div>
      </w:divsChild>
    </w:div>
    <w:div w:id="1312826523">
      <w:bodyDiv w:val="1"/>
      <w:marLeft w:val="0"/>
      <w:marRight w:val="0"/>
      <w:marTop w:val="0"/>
      <w:marBottom w:val="0"/>
      <w:divBdr>
        <w:top w:val="none" w:sz="0" w:space="0" w:color="auto"/>
        <w:left w:val="none" w:sz="0" w:space="0" w:color="auto"/>
        <w:bottom w:val="none" w:sz="0" w:space="0" w:color="auto"/>
        <w:right w:val="none" w:sz="0" w:space="0" w:color="auto"/>
      </w:divBdr>
      <w:divsChild>
        <w:div w:id="379481334">
          <w:marLeft w:val="0"/>
          <w:marRight w:val="0"/>
          <w:marTop w:val="0"/>
          <w:marBottom w:val="0"/>
          <w:divBdr>
            <w:top w:val="none" w:sz="0" w:space="0" w:color="auto"/>
            <w:left w:val="none" w:sz="0" w:space="0" w:color="auto"/>
            <w:bottom w:val="none" w:sz="0" w:space="0" w:color="auto"/>
            <w:right w:val="none" w:sz="0" w:space="0" w:color="auto"/>
          </w:divBdr>
        </w:div>
      </w:divsChild>
    </w:div>
    <w:div w:id="1514301658">
      <w:bodyDiv w:val="1"/>
      <w:marLeft w:val="0"/>
      <w:marRight w:val="0"/>
      <w:marTop w:val="0"/>
      <w:marBottom w:val="0"/>
      <w:divBdr>
        <w:top w:val="none" w:sz="0" w:space="0" w:color="auto"/>
        <w:left w:val="none" w:sz="0" w:space="0" w:color="auto"/>
        <w:bottom w:val="none" w:sz="0" w:space="0" w:color="auto"/>
        <w:right w:val="none" w:sz="0" w:space="0" w:color="auto"/>
      </w:divBdr>
    </w:div>
    <w:div w:id="1639187652">
      <w:bodyDiv w:val="1"/>
      <w:marLeft w:val="0"/>
      <w:marRight w:val="0"/>
      <w:marTop w:val="0"/>
      <w:marBottom w:val="0"/>
      <w:divBdr>
        <w:top w:val="none" w:sz="0" w:space="0" w:color="auto"/>
        <w:left w:val="none" w:sz="0" w:space="0" w:color="auto"/>
        <w:bottom w:val="none" w:sz="0" w:space="0" w:color="auto"/>
        <w:right w:val="none" w:sz="0" w:space="0" w:color="auto"/>
      </w:divBdr>
      <w:divsChild>
        <w:div w:id="561326823">
          <w:marLeft w:val="0"/>
          <w:marRight w:val="0"/>
          <w:marTop w:val="0"/>
          <w:marBottom w:val="0"/>
          <w:divBdr>
            <w:top w:val="none" w:sz="0" w:space="0" w:color="auto"/>
            <w:left w:val="none" w:sz="0" w:space="0" w:color="auto"/>
            <w:bottom w:val="none" w:sz="0" w:space="0" w:color="auto"/>
            <w:right w:val="none" w:sz="0" w:space="0" w:color="auto"/>
          </w:divBdr>
        </w:div>
      </w:divsChild>
    </w:div>
    <w:div w:id="1944410788">
      <w:bodyDiv w:val="1"/>
      <w:marLeft w:val="0"/>
      <w:marRight w:val="0"/>
      <w:marTop w:val="0"/>
      <w:marBottom w:val="0"/>
      <w:divBdr>
        <w:top w:val="none" w:sz="0" w:space="0" w:color="auto"/>
        <w:left w:val="none" w:sz="0" w:space="0" w:color="auto"/>
        <w:bottom w:val="none" w:sz="0" w:space="0" w:color="auto"/>
        <w:right w:val="none" w:sz="0" w:space="0" w:color="auto"/>
      </w:divBdr>
      <w:divsChild>
        <w:div w:id="834145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73EA1-89EF-47FC-A904-CC6A392AB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2976</Words>
  <Characters>16968</Characters>
  <Application>Microsoft Office Word</Application>
  <DocSecurity>0</DocSecurity>
  <Lines>141</Lines>
  <Paragraphs>39</Paragraphs>
  <ScaleCrop>false</ScaleCrop>
  <Company/>
  <LinksUpToDate>false</LinksUpToDate>
  <CharactersWithSpaces>19905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2022-04-07T21:11:00Z</dcterms:created>
  <dcterms:modified xsi:type="dcterms:W3CDTF">2022-05-01T10:32:00Z</dcterms:modified>
</cp:coreProperties>
</file>