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87E4A" w:rsidRDefault="00A554F5" w:rsidP="00A554F5">
      <w:pPr>
        <w:jc w:val="center"/>
        <w:rPr>
          <w:rFonts w:ascii="Times New Roman" w:hAnsi="Times New Roman" w:cs="Times New Roman"/>
          <w:sz w:val="28"/>
          <w:szCs w:val="28"/>
          <w:u w:val="single"/>
        </w:rPr>
      </w:pPr>
      <w:r>
        <w:rPr>
          <w:rFonts w:ascii="Times New Roman" w:hAnsi="Times New Roman" w:cs="Times New Roman"/>
          <w:sz w:val="28"/>
          <w:szCs w:val="28"/>
          <w:u w:val="single"/>
        </w:rPr>
        <w:t xml:space="preserve">Consecrated Virginity and Slut-Shaming: How Christian Viewpoints Influenced the </w:t>
      </w:r>
      <w:r w:rsidR="00CF37FC">
        <w:rPr>
          <w:rFonts w:ascii="Times New Roman" w:hAnsi="Times New Roman" w:cs="Times New Roman"/>
          <w:sz w:val="28"/>
          <w:szCs w:val="28"/>
          <w:u w:val="single"/>
        </w:rPr>
        <w:t>Modern</w:t>
      </w:r>
      <w:r>
        <w:rPr>
          <w:rFonts w:ascii="Times New Roman" w:hAnsi="Times New Roman" w:cs="Times New Roman"/>
          <w:sz w:val="28"/>
          <w:szCs w:val="28"/>
          <w:u w:val="single"/>
        </w:rPr>
        <w:t xml:space="preserve"> Interpretation of Female Sexuality </w:t>
      </w:r>
    </w:p>
    <w:p w:rsidR="00A554F5" w:rsidRDefault="00A554F5" w:rsidP="00A554F5">
      <w:pPr>
        <w:rPr>
          <w:rFonts w:ascii="Times New Roman" w:hAnsi="Times New Roman" w:cs="Times New Roman"/>
          <w:sz w:val="24"/>
          <w:szCs w:val="28"/>
        </w:rPr>
      </w:pPr>
      <w:r>
        <w:rPr>
          <w:rFonts w:ascii="Times New Roman" w:hAnsi="Times New Roman" w:cs="Times New Roman"/>
          <w:sz w:val="24"/>
          <w:szCs w:val="28"/>
        </w:rPr>
        <w:t>Throughout history, the topic of female sexuality and the ways in which it should be displayed has always been a controversial topic. There is no doubt that within Christianity, anything sexual related to women was an incredible sin.</w:t>
      </w:r>
      <w:r>
        <w:rPr>
          <w:rStyle w:val="FootnoteReference"/>
          <w:rFonts w:ascii="Times New Roman" w:hAnsi="Times New Roman" w:cs="Times New Roman"/>
          <w:sz w:val="24"/>
          <w:szCs w:val="28"/>
        </w:rPr>
        <w:footnoteReference w:id="1"/>
      </w:r>
      <w:r>
        <w:rPr>
          <w:rFonts w:ascii="Times New Roman" w:hAnsi="Times New Roman" w:cs="Times New Roman"/>
          <w:sz w:val="24"/>
          <w:szCs w:val="28"/>
        </w:rPr>
        <w:t xml:space="preserve"> Some may expect that over time into the modern world, this view would have decreased. And it has somewhat – modern attitudes to sexuality have become a lot more complex and relate to a lot more factors than simply religion as they once did.</w:t>
      </w:r>
      <w:r>
        <w:rPr>
          <w:rStyle w:val="FootnoteReference"/>
          <w:rFonts w:ascii="Times New Roman" w:hAnsi="Times New Roman" w:cs="Times New Roman"/>
          <w:sz w:val="24"/>
          <w:szCs w:val="28"/>
        </w:rPr>
        <w:footnoteReference w:id="2"/>
      </w:r>
      <w:r>
        <w:rPr>
          <w:rFonts w:ascii="Times New Roman" w:hAnsi="Times New Roman" w:cs="Times New Roman"/>
          <w:sz w:val="24"/>
          <w:szCs w:val="28"/>
        </w:rPr>
        <w:t xml:space="preserve"> But it cannot be denied that even in the modern day, slut-shaming (the act of diminishing a woman to nothing but her sexual desires, likening her to a ‘prostitute’ or a ‘whore’</w:t>
      </w:r>
      <w:r>
        <w:rPr>
          <w:rStyle w:val="FootnoteReference"/>
          <w:rFonts w:ascii="Times New Roman" w:hAnsi="Times New Roman" w:cs="Times New Roman"/>
          <w:sz w:val="24"/>
          <w:szCs w:val="28"/>
        </w:rPr>
        <w:footnoteReference w:id="3"/>
      </w:r>
      <w:r>
        <w:rPr>
          <w:rFonts w:ascii="Times New Roman" w:hAnsi="Times New Roman" w:cs="Times New Roman"/>
          <w:sz w:val="24"/>
          <w:szCs w:val="28"/>
        </w:rPr>
        <w:t>) is still used by men to control women’s sexuality.</w:t>
      </w:r>
      <w:r>
        <w:rPr>
          <w:rStyle w:val="FootnoteReference"/>
          <w:rFonts w:ascii="Times New Roman" w:hAnsi="Times New Roman" w:cs="Times New Roman"/>
          <w:sz w:val="24"/>
          <w:szCs w:val="28"/>
        </w:rPr>
        <w:footnoteReference w:id="4"/>
      </w:r>
      <w:r w:rsidR="00A64611">
        <w:rPr>
          <w:rFonts w:ascii="Times New Roman" w:hAnsi="Times New Roman" w:cs="Times New Roman"/>
          <w:sz w:val="24"/>
          <w:szCs w:val="28"/>
        </w:rPr>
        <w:t xml:space="preserve"> T</w:t>
      </w:r>
      <w:r>
        <w:rPr>
          <w:rFonts w:ascii="Times New Roman" w:hAnsi="Times New Roman" w:cs="Times New Roman"/>
          <w:sz w:val="24"/>
          <w:szCs w:val="28"/>
        </w:rPr>
        <w:t>hese acts can also be linked to the value of consecrated virgins (women who vow to live a celibate and chaste life, persevering in a state of everlasting virginity)</w:t>
      </w:r>
      <w:r>
        <w:rPr>
          <w:rStyle w:val="FootnoteReference"/>
          <w:rFonts w:ascii="Times New Roman" w:hAnsi="Times New Roman" w:cs="Times New Roman"/>
          <w:sz w:val="24"/>
          <w:szCs w:val="28"/>
        </w:rPr>
        <w:footnoteReference w:id="5"/>
      </w:r>
      <w:r>
        <w:rPr>
          <w:rFonts w:ascii="Times New Roman" w:hAnsi="Times New Roman" w:cs="Times New Roman"/>
          <w:sz w:val="24"/>
          <w:szCs w:val="28"/>
        </w:rPr>
        <w:t xml:space="preserve"> in the medieval Christian world. </w:t>
      </w:r>
      <w:r w:rsidR="00A64611">
        <w:rPr>
          <w:rFonts w:ascii="Times New Roman" w:hAnsi="Times New Roman" w:cs="Times New Roman"/>
          <w:sz w:val="24"/>
          <w:szCs w:val="28"/>
        </w:rPr>
        <w:t>Consecration of virginity was seen as a ‘divine gift’,</w:t>
      </w:r>
      <w:r w:rsidR="00A64611">
        <w:rPr>
          <w:rStyle w:val="FootnoteReference"/>
          <w:rFonts w:ascii="Times New Roman" w:hAnsi="Times New Roman" w:cs="Times New Roman"/>
          <w:sz w:val="24"/>
          <w:szCs w:val="28"/>
        </w:rPr>
        <w:footnoteReference w:id="6"/>
      </w:r>
      <w:r w:rsidR="00A64611">
        <w:rPr>
          <w:rFonts w:ascii="Times New Roman" w:hAnsi="Times New Roman" w:cs="Times New Roman"/>
          <w:sz w:val="24"/>
          <w:szCs w:val="28"/>
        </w:rPr>
        <w:t xml:space="preserve"> and is said by Saint Augustine to be much more holy than any other type of chastity</w:t>
      </w:r>
      <w:r w:rsidR="00A64611">
        <w:rPr>
          <w:rStyle w:val="FootnoteReference"/>
          <w:rFonts w:ascii="Times New Roman" w:hAnsi="Times New Roman" w:cs="Times New Roman"/>
          <w:sz w:val="24"/>
          <w:szCs w:val="28"/>
        </w:rPr>
        <w:footnoteReference w:id="7"/>
      </w:r>
      <w:r w:rsidR="00A64611">
        <w:rPr>
          <w:rFonts w:ascii="Times New Roman" w:hAnsi="Times New Roman" w:cs="Times New Roman"/>
          <w:sz w:val="24"/>
          <w:szCs w:val="28"/>
        </w:rPr>
        <w:t xml:space="preserve"> as it is preserved in religious devotion.</w:t>
      </w:r>
      <w:r w:rsidR="00A64611">
        <w:rPr>
          <w:rStyle w:val="FootnoteReference"/>
          <w:rFonts w:ascii="Times New Roman" w:hAnsi="Times New Roman" w:cs="Times New Roman"/>
          <w:sz w:val="24"/>
          <w:szCs w:val="28"/>
        </w:rPr>
        <w:footnoteReference w:id="8"/>
      </w:r>
      <w:r w:rsidR="00A64611">
        <w:rPr>
          <w:rFonts w:ascii="Times New Roman" w:hAnsi="Times New Roman" w:cs="Times New Roman"/>
          <w:sz w:val="24"/>
          <w:szCs w:val="28"/>
        </w:rPr>
        <w:br/>
        <w:t xml:space="preserve">In this essay I aim to use examples of holy women who have taken vows of chastity, and to take the views exemplified in these texts and link them to the opinions on views that are prevalent </w:t>
      </w:r>
      <w:r w:rsidR="00CF37FC">
        <w:rPr>
          <w:rFonts w:ascii="Times New Roman" w:hAnsi="Times New Roman" w:cs="Times New Roman"/>
          <w:sz w:val="24"/>
          <w:szCs w:val="28"/>
        </w:rPr>
        <w:t>in the</w:t>
      </w:r>
      <w:r w:rsidR="00A64611">
        <w:rPr>
          <w:rFonts w:ascii="Times New Roman" w:hAnsi="Times New Roman" w:cs="Times New Roman"/>
          <w:sz w:val="24"/>
          <w:szCs w:val="28"/>
        </w:rPr>
        <w:t xml:space="preserve"> western world in the modern day, using them to explain why these views exist. </w:t>
      </w:r>
    </w:p>
    <w:p w:rsidR="00A64611" w:rsidRDefault="00494829" w:rsidP="00A554F5">
      <w:pPr>
        <w:rPr>
          <w:rFonts w:ascii="Times New Roman" w:hAnsi="Times New Roman" w:cs="Times New Roman"/>
          <w:sz w:val="24"/>
          <w:szCs w:val="28"/>
        </w:rPr>
      </w:pPr>
      <w:r>
        <w:rPr>
          <w:rFonts w:ascii="Times New Roman" w:hAnsi="Times New Roman" w:cs="Times New Roman"/>
          <w:sz w:val="24"/>
          <w:szCs w:val="28"/>
        </w:rPr>
        <w:t>The story of the ‘repentant harlot’</w:t>
      </w:r>
      <w:r>
        <w:rPr>
          <w:rStyle w:val="FootnoteReference"/>
          <w:rFonts w:ascii="Times New Roman" w:hAnsi="Times New Roman" w:cs="Times New Roman"/>
          <w:sz w:val="24"/>
          <w:szCs w:val="28"/>
        </w:rPr>
        <w:footnoteReference w:id="9"/>
      </w:r>
      <w:r>
        <w:rPr>
          <w:rFonts w:ascii="Times New Roman" w:hAnsi="Times New Roman" w:cs="Times New Roman"/>
          <w:sz w:val="24"/>
          <w:szCs w:val="28"/>
        </w:rPr>
        <w:t xml:space="preserve"> is a type of tale that became incredibly popular in the Middle Ages.</w:t>
      </w:r>
      <w:r>
        <w:rPr>
          <w:rStyle w:val="FootnoteReference"/>
          <w:rFonts w:ascii="Times New Roman" w:hAnsi="Times New Roman" w:cs="Times New Roman"/>
          <w:sz w:val="24"/>
          <w:szCs w:val="28"/>
        </w:rPr>
        <w:footnoteReference w:id="10"/>
      </w:r>
      <w:r>
        <w:rPr>
          <w:rFonts w:ascii="Times New Roman" w:hAnsi="Times New Roman" w:cs="Times New Roman"/>
          <w:sz w:val="24"/>
          <w:szCs w:val="28"/>
        </w:rPr>
        <w:t xml:space="preserve"> Many viewed these types of stories as some of the most compelling for the power that was held by Christianity.</w:t>
      </w:r>
      <w:r>
        <w:rPr>
          <w:rStyle w:val="FootnoteReference"/>
          <w:rFonts w:ascii="Times New Roman" w:hAnsi="Times New Roman" w:cs="Times New Roman"/>
          <w:sz w:val="24"/>
          <w:szCs w:val="28"/>
        </w:rPr>
        <w:footnoteReference w:id="11"/>
      </w:r>
      <w:r>
        <w:rPr>
          <w:rFonts w:ascii="Times New Roman" w:hAnsi="Times New Roman" w:cs="Times New Roman"/>
          <w:sz w:val="24"/>
          <w:szCs w:val="28"/>
        </w:rPr>
        <w:t xml:space="preserve"> If a prostitute was able to repent her sins and become a follower of God, anyone could.</w:t>
      </w:r>
      <w:r>
        <w:rPr>
          <w:rStyle w:val="FootnoteReference"/>
          <w:rFonts w:ascii="Times New Roman" w:hAnsi="Times New Roman" w:cs="Times New Roman"/>
          <w:sz w:val="24"/>
          <w:szCs w:val="28"/>
        </w:rPr>
        <w:footnoteReference w:id="12"/>
      </w:r>
      <w:r>
        <w:rPr>
          <w:rFonts w:ascii="Times New Roman" w:hAnsi="Times New Roman" w:cs="Times New Roman"/>
          <w:sz w:val="24"/>
          <w:szCs w:val="28"/>
        </w:rPr>
        <w:t xml:space="preserve"> The first example of a prostitute</w:t>
      </w:r>
      <w:r>
        <w:rPr>
          <w:rStyle w:val="FootnoteReference"/>
          <w:rFonts w:ascii="Times New Roman" w:hAnsi="Times New Roman" w:cs="Times New Roman"/>
          <w:sz w:val="24"/>
          <w:szCs w:val="28"/>
        </w:rPr>
        <w:footnoteReference w:id="13"/>
      </w:r>
      <w:r>
        <w:rPr>
          <w:rFonts w:ascii="Times New Roman" w:hAnsi="Times New Roman" w:cs="Times New Roman"/>
          <w:sz w:val="24"/>
          <w:szCs w:val="28"/>
        </w:rPr>
        <w:t>-come-chaste woman that is going to be used in this essay is the example of Mary of Egypt. Mary began her life of prostitution at twelve, and worked seventeen years.</w:t>
      </w:r>
      <w:r>
        <w:rPr>
          <w:rStyle w:val="FootnoteReference"/>
          <w:rFonts w:ascii="Times New Roman" w:hAnsi="Times New Roman" w:cs="Times New Roman"/>
          <w:sz w:val="24"/>
          <w:szCs w:val="28"/>
        </w:rPr>
        <w:footnoteReference w:id="14"/>
      </w:r>
      <w:r>
        <w:rPr>
          <w:rFonts w:ascii="Times New Roman" w:hAnsi="Times New Roman" w:cs="Times New Roman"/>
          <w:sz w:val="24"/>
          <w:szCs w:val="28"/>
        </w:rPr>
        <w:t xml:space="preserve"> She had an insatiable sexual desire, using it as payment to gain passage to Jerusalem.</w:t>
      </w:r>
      <w:r>
        <w:rPr>
          <w:rStyle w:val="FootnoteReference"/>
          <w:rFonts w:ascii="Times New Roman" w:hAnsi="Times New Roman" w:cs="Times New Roman"/>
          <w:sz w:val="24"/>
          <w:szCs w:val="28"/>
        </w:rPr>
        <w:footnoteReference w:id="15"/>
      </w:r>
      <w:r>
        <w:rPr>
          <w:rFonts w:ascii="Times New Roman" w:hAnsi="Times New Roman" w:cs="Times New Roman"/>
          <w:sz w:val="24"/>
          <w:szCs w:val="28"/>
        </w:rPr>
        <w:t xml:space="preserve"> It was here that she </w:t>
      </w:r>
      <w:r w:rsidR="00DD104E">
        <w:rPr>
          <w:rFonts w:ascii="Times New Roman" w:hAnsi="Times New Roman" w:cs="Times New Roman"/>
          <w:sz w:val="24"/>
          <w:szCs w:val="28"/>
        </w:rPr>
        <w:t xml:space="preserve">inadvertently </w:t>
      </w:r>
      <w:r>
        <w:rPr>
          <w:rFonts w:ascii="Times New Roman" w:hAnsi="Times New Roman" w:cs="Times New Roman"/>
          <w:sz w:val="24"/>
          <w:szCs w:val="28"/>
        </w:rPr>
        <w:t>discovered the power of Christianity and began to regret her life choices – looking for forgiveness for her sins, and vowing to live an ascetic and solitary life in order to find her salvation.</w:t>
      </w:r>
      <w:r>
        <w:rPr>
          <w:rStyle w:val="FootnoteReference"/>
          <w:rFonts w:ascii="Times New Roman" w:hAnsi="Times New Roman" w:cs="Times New Roman"/>
          <w:sz w:val="24"/>
          <w:szCs w:val="28"/>
        </w:rPr>
        <w:footnoteReference w:id="16"/>
      </w:r>
      <w:r>
        <w:rPr>
          <w:rFonts w:ascii="Times New Roman" w:hAnsi="Times New Roman" w:cs="Times New Roman"/>
          <w:sz w:val="24"/>
          <w:szCs w:val="28"/>
        </w:rPr>
        <w:br/>
        <w:t xml:space="preserve">Perhaps the most important parts of this text in allowing us an insight to the views on female sexuality that were held in the middle ages are the ways in which Mary describes herself and her former occupation to </w:t>
      </w:r>
      <w:r w:rsidR="00DD104E">
        <w:rPr>
          <w:rFonts w:ascii="Times New Roman" w:hAnsi="Times New Roman" w:cs="Times New Roman"/>
          <w:sz w:val="24"/>
          <w:szCs w:val="28"/>
        </w:rPr>
        <w:t xml:space="preserve">St. </w:t>
      </w:r>
      <w:r>
        <w:rPr>
          <w:rFonts w:ascii="Times New Roman" w:hAnsi="Times New Roman" w:cs="Times New Roman"/>
          <w:sz w:val="24"/>
          <w:szCs w:val="28"/>
        </w:rPr>
        <w:t>Zosimas</w:t>
      </w:r>
      <w:r w:rsidR="00DD104E">
        <w:rPr>
          <w:rFonts w:ascii="Times New Roman" w:hAnsi="Times New Roman" w:cs="Times New Roman"/>
          <w:sz w:val="24"/>
          <w:szCs w:val="28"/>
        </w:rPr>
        <w:t xml:space="preserve"> who finds her living as a hermit in the desert. </w:t>
      </w:r>
      <w:r w:rsidR="00DD104E">
        <w:rPr>
          <w:rStyle w:val="FootnoteReference"/>
          <w:rFonts w:ascii="Times New Roman" w:hAnsi="Times New Roman" w:cs="Times New Roman"/>
          <w:sz w:val="24"/>
          <w:szCs w:val="28"/>
        </w:rPr>
        <w:footnoteReference w:id="17"/>
      </w:r>
      <w:r w:rsidR="00DD104E">
        <w:rPr>
          <w:rFonts w:ascii="Times New Roman" w:hAnsi="Times New Roman" w:cs="Times New Roman"/>
          <w:sz w:val="24"/>
          <w:szCs w:val="28"/>
        </w:rPr>
        <w:t xml:space="preserve"> </w:t>
      </w:r>
      <w:r>
        <w:rPr>
          <w:rFonts w:ascii="Times New Roman" w:hAnsi="Times New Roman" w:cs="Times New Roman"/>
          <w:sz w:val="24"/>
          <w:szCs w:val="28"/>
        </w:rPr>
        <w:t xml:space="preserve">She </w:t>
      </w:r>
      <w:r>
        <w:rPr>
          <w:rFonts w:ascii="Times New Roman" w:hAnsi="Times New Roman" w:cs="Times New Roman"/>
          <w:sz w:val="24"/>
          <w:szCs w:val="28"/>
        </w:rPr>
        <w:lastRenderedPageBreak/>
        <w:t>claims she is a “sinful woman”,</w:t>
      </w:r>
      <w:r>
        <w:rPr>
          <w:rStyle w:val="FootnoteReference"/>
          <w:rFonts w:ascii="Times New Roman" w:hAnsi="Times New Roman" w:cs="Times New Roman"/>
          <w:sz w:val="24"/>
          <w:szCs w:val="28"/>
        </w:rPr>
        <w:footnoteReference w:id="18"/>
      </w:r>
      <w:r>
        <w:rPr>
          <w:rFonts w:ascii="Times New Roman" w:hAnsi="Times New Roman" w:cs="Times New Roman"/>
          <w:sz w:val="24"/>
          <w:szCs w:val="28"/>
        </w:rPr>
        <w:t xml:space="preserve"> “deprived of every virtue”</w:t>
      </w:r>
      <w:r>
        <w:rPr>
          <w:rStyle w:val="FootnoteReference"/>
          <w:rFonts w:ascii="Times New Roman" w:hAnsi="Times New Roman" w:cs="Times New Roman"/>
          <w:sz w:val="24"/>
          <w:szCs w:val="28"/>
        </w:rPr>
        <w:footnoteReference w:id="19"/>
      </w:r>
      <w:r w:rsidR="00274A15">
        <w:rPr>
          <w:rFonts w:ascii="Times New Roman" w:hAnsi="Times New Roman" w:cs="Times New Roman"/>
          <w:sz w:val="24"/>
          <w:szCs w:val="28"/>
        </w:rPr>
        <w:t xml:space="preserve"> and even “an instrument of the devil”,</w:t>
      </w:r>
      <w:r w:rsidR="00274A15">
        <w:rPr>
          <w:rStyle w:val="FootnoteReference"/>
          <w:rFonts w:ascii="Times New Roman" w:hAnsi="Times New Roman" w:cs="Times New Roman"/>
          <w:sz w:val="24"/>
          <w:szCs w:val="28"/>
        </w:rPr>
        <w:footnoteReference w:id="20"/>
      </w:r>
      <w:r w:rsidR="00274A15">
        <w:rPr>
          <w:rFonts w:ascii="Times New Roman" w:hAnsi="Times New Roman" w:cs="Times New Roman"/>
          <w:sz w:val="24"/>
          <w:szCs w:val="28"/>
        </w:rPr>
        <w:t xml:space="preserve"> which is perhaps the most telling claim as to the views on indulgent female sexuality. On the very basic topic of sexual intercourse, Christianity rejects any positives of sex and sexual pleasure,</w:t>
      </w:r>
      <w:r w:rsidR="00274A15">
        <w:rPr>
          <w:rStyle w:val="FootnoteReference"/>
          <w:rFonts w:ascii="Times New Roman" w:hAnsi="Times New Roman" w:cs="Times New Roman"/>
          <w:sz w:val="24"/>
          <w:szCs w:val="28"/>
        </w:rPr>
        <w:footnoteReference w:id="21"/>
      </w:r>
      <w:r w:rsidR="00274A15">
        <w:rPr>
          <w:rFonts w:ascii="Times New Roman" w:hAnsi="Times New Roman" w:cs="Times New Roman"/>
          <w:sz w:val="24"/>
          <w:szCs w:val="28"/>
        </w:rPr>
        <w:t xml:space="preserve"> so if a woman simply seeks out sex for pleasure, the fact she is likened to Satan is no surprise. The Canon Laws</w:t>
      </w:r>
      <w:r w:rsidR="00DD104E">
        <w:rPr>
          <w:rFonts w:ascii="Times New Roman" w:hAnsi="Times New Roman" w:cs="Times New Roman"/>
          <w:sz w:val="24"/>
          <w:szCs w:val="28"/>
        </w:rPr>
        <w:t xml:space="preserve"> of Elvira</w:t>
      </w:r>
      <w:r w:rsidR="00274A15">
        <w:rPr>
          <w:rFonts w:ascii="Times New Roman" w:hAnsi="Times New Roman" w:cs="Times New Roman"/>
          <w:sz w:val="24"/>
          <w:szCs w:val="28"/>
        </w:rPr>
        <w:t xml:space="preserve"> state that one of the only ways that premarital sex can be repented is if the (ex) virgin marries the man she first had sex with, but only after a year’s penance.</w:t>
      </w:r>
      <w:r w:rsidR="00274A15">
        <w:rPr>
          <w:rStyle w:val="FootnoteReference"/>
          <w:rFonts w:ascii="Times New Roman" w:hAnsi="Times New Roman" w:cs="Times New Roman"/>
          <w:sz w:val="24"/>
          <w:szCs w:val="28"/>
        </w:rPr>
        <w:footnoteReference w:id="22"/>
      </w:r>
      <w:r w:rsidR="00274A15">
        <w:rPr>
          <w:rFonts w:ascii="Times New Roman" w:hAnsi="Times New Roman" w:cs="Times New Roman"/>
          <w:sz w:val="24"/>
          <w:szCs w:val="28"/>
        </w:rPr>
        <w:t xml:space="preserve"> But, Canon 14 continues to state that if a woman sleeps with multiple men, they can only have communion after five years of penance.</w:t>
      </w:r>
      <w:r w:rsidR="00274A15">
        <w:rPr>
          <w:rStyle w:val="FootnoteReference"/>
          <w:rFonts w:ascii="Times New Roman" w:hAnsi="Times New Roman" w:cs="Times New Roman"/>
          <w:sz w:val="24"/>
          <w:szCs w:val="28"/>
        </w:rPr>
        <w:footnoteReference w:id="23"/>
      </w:r>
      <w:r w:rsidR="00274A15">
        <w:rPr>
          <w:rFonts w:ascii="Times New Roman" w:hAnsi="Times New Roman" w:cs="Times New Roman"/>
          <w:sz w:val="24"/>
          <w:szCs w:val="28"/>
        </w:rPr>
        <w:t xml:space="preserve"> And thus, if Mary has slept with hundreds of men as the story tells, the ways that she condemns herself as a Christian do make sense, and these opinions can still be viewed in modern societies today (which will be explained later in the essay)</w:t>
      </w:r>
      <w:r w:rsidR="00DD104E">
        <w:rPr>
          <w:rFonts w:ascii="Times New Roman" w:hAnsi="Times New Roman" w:cs="Times New Roman"/>
          <w:sz w:val="24"/>
          <w:szCs w:val="28"/>
        </w:rPr>
        <w:t>.</w:t>
      </w:r>
    </w:p>
    <w:p w:rsidR="008723F3" w:rsidRDefault="008723F3" w:rsidP="00A554F5">
      <w:pPr>
        <w:rPr>
          <w:rFonts w:ascii="Times New Roman" w:hAnsi="Times New Roman" w:cs="Times New Roman"/>
          <w:sz w:val="24"/>
          <w:szCs w:val="28"/>
        </w:rPr>
      </w:pPr>
      <w:r>
        <w:rPr>
          <w:rFonts w:ascii="Times New Roman" w:hAnsi="Times New Roman" w:cs="Times New Roman"/>
          <w:sz w:val="24"/>
          <w:szCs w:val="28"/>
        </w:rPr>
        <w:t>A second woman that fits within the theme of “repentant harlot”</w:t>
      </w:r>
      <w:r>
        <w:rPr>
          <w:rStyle w:val="FootnoteReference"/>
          <w:rFonts w:ascii="Times New Roman" w:hAnsi="Times New Roman" w:cs="Times New Roman"/>
          <w:sz w:val="24"/>
          <w:szCs w:val="28"/>
        </w:rPr>
        <w:footnoteReference w:id="24"/>
      </w:r>
      <w:r w:rsidR="00AE06A1">
        <w:rPr>
          <w:rFonts w:ascii="Times New Roman" w:hAnsi="Times New Roman" w:cs="Times New Roman"/>
          <w:sz w:val="24"/>
          <w:szCs w:val="28"/>
        </w:rPr>
        <w:t xml:space="preserve"> is Pelagia</w:t>
      </w:r>
      <w:r>
        <w:rPr>
          <w:rFonts w:ascii="Times New Roman" w:hAnsi="Times New Roman" w:cs="Times New Roman"/>
          <w:sz w:val="24"/>
          <w:szCs w:val="28"/>
        </w:rPr>
        <w:t>. Pelagia was also a prostitute, known by her beauty and the mass of finery which she adorned herself with.</w:t>
      </w:r>
      <w:r>
        <w:rPr>
          <w:rStyle w:val="FootnoteReference"/>
          <w:rFonts w:ascii="Times New Roman" w:hAnsi="Times New Roman" w:cs="Times New Roman"/>
          <w:sz w:val="24"/>
          <w:szCs w:val="28"/>
        </w:rPr>
        <w:footnoteReference w:id="25"/>
      </w:r>
      <w:r>
        <w:rPr>
          <w:rFonts w:ascii="Times New Roman" w:hAnsi="Times New Roman" w:cs="Times New Roman"/>
          <w:sz w:val="24"/>
          <w:szCs w:val="28"/>
        </w:rPr>
        <w:t xml:space="preserve"> She seemed so sinful, many of the bishops who saw her could not even handle looking at her and staying without sin.</w:t>
      </w:r>
      <w:r>
        <w:rPr>
          <w:rStyle w:val="FootnoteReference"/>
          <w:rFonts w:ascii="Times New Roman" w:hAnsi="Times New Roman" w:cs="Times New Roman"/>
          <w:sz w:val="24"/>
          <w:szCs w:val="28"/>
        </w:rPr>
        <w:footnoteReference w:id="26"/>
      </w:r>
      <w:r>
        <w:rPr>
          <w:rFonts w:ascii="Times New Roman" w:hAnsi="Times New Roman" w:cs="Times New Roman"/>
          <w:sz w:val="24"/>
          <w:szCs w:val="28"/>
        </w:rPr>
        <w:t xml:space="preserve"> The Bishop Nonnos (who was believed to live a perfect and celibate life</w:t>
      </w:r>
      <w:r>
        <w:rPr>
          <w:rStyle w:val="FootnoteReference"/>
          <w:rFonts w:ascii="Times New Roman" w:hAnsi="Times New Roman" w:cs="Times New Roman"/>
          <w:sz w:val="24"/>
          <w:szCs w:val="28"/>
        </w:rPr>
        <w:footnoteReference w:id="27"/>
      </w:r>
      <w:r>
        <w:rPr>
          <w:rFonts w:ascii="Times New Roman" w:hAnsi="Times New Roman" w:cs="Times New Roman"/>
          <w:sz w:val="24"/>
          <w:szCs w:val="28"/>
        </w:rPr>
        <w:t>) described her as having “Zeal trying to please Satan”</w:t>
      </w:r>
      <w:r>
        <w:rPr>
          <w:rStyle w:val="FootnoteReference"/>
          <w:rFonts w:ascii="Times New Roman" w:hAnsi="Times New Roman" w:cs="Times New Roman"/>
          <w:sz w:val="24"/>
          <w:szCs w:val="28"/>
        </w:rPr>
        <w:footnoteReference w:id="28"/>
      </w:r>
      <w:r>
        <w:rPr>
          <w:rFonts w:ascii="Times New Roman" w:hAnsi="Times New Roman" w:cs="Times New Roman"/>
          <w:sz w:val="24"/>
          <w:szCs w:val="28"/>
        </w:rPr>
        <w:t xml:space="preserve"> (Similar to the way Mary of Egypt viewed herself). Though, after seeing the Bishops, Pelagia had the thought to enter into a church, and there she was overcome with the guilt of her sins</w:t>
      </w:r>
      <w:r>
        <w:rPr>
          <w:rStyle w:val="FootnoteReference"/>
          <w:rFonts w:ascii="Times New Roman" w:hAnsi="Times New Roman" w:cs="Times New Roman"/>
          <w:sz w:val="24"/>
          <w:szCs w:val="28"/>
        </w:rPr>
        <w:footnoteReference w:id="29"/>
      </w:r>
      <w:r>
        <w:rPr>
          <w:rFonts w:ascii="Times New Roman" w:hAnsi="Times New Roman" w:cs="Times New Roman"/>
          <w:sz w:val="24"/>
          <w:szCs w:val="28"/>
        </w:rPr>
        <w:t xml:space="preserve"> (once again, similar to how this also happened in the story of Mary of Egypt). </w:t>
      </w:r>
      <w:r w:rsidR="00AE06A1">
        <w:rPr>
          <w:rFonts w:ascii="Times New Roman" w:hAnsi="Times New Roman" w:cs="Times New Roman"/>
          <w:sz w:val="24"/>
          <w:szCs w:val="28"/>
        </w:rPr>
        <w:t>An interesting aspect of Pelagia’s guilt is how she describes herself as a “disgusting stone upon many people have tripped up and gone into perdition”.</w:t>
      </w:r>
      <w:r w:rsidR="00AE06A1">
        <w:rPr>
          <w:rStyle w:val="FootnoteReference"/>
          <w:rFonts w:ascii="Times New Roman" w:hAnsi="Times New Roman" w:cs="Times New Roman"/>
          <w:sz w:val="24"/>
          <w:szCs w:val="28"/>
        </w:rPr>
        <w:footnoteReference w:id="30"/>
      </w:r>
      <w:r w:rsidR="00AE06A1">
        <w:rPr>
          <w:rFonts w:ascii="Times New Roman" w:hAnsi="Times New Roman" w:cs="Times New Roman"/>
          <w:sz w:val="24"/>
          <w:szCs w:val="28"/>
        </w:rPr>
        <w:t xml:space="preserve"> This aspect of women being to blame for men’s sexual desires is also something that can still be a topic of conversation today, which will also be discussed later in this essay. </w:t>
      </w:r>
    </w:p>
    <w:p w:rsidR="00AE06A1" w:rsidRDefault="00AE06A1" w:rsidP="00A554F5">
      <w:pPr>
        <w:rPr>
          <w:rFonts w:ascii="Times New Roman" w:hAnsi="Times New Roman" w:cs="Times New Roman"/>
          <w:sz w:val="24"/>
          <w:szCs w:val="28"/>
        </w:rPr>
      </w:pPr>
      <w:r>
        <w:rPr>
          <w:rFonts w:ascii="Times New Roman" w:hAnsi="Times New Roman" w:cs="Times New Roman"/>
          <w:sz w:val="24"/>
          <w:szCs w:val="28"/>
        </w:rPr>
        <w:t>The third woman is one that isn’t seen as sexually indulgent, but one that is the exact opposite. Thecla is a woman who hears the teachings of the Apostle Paul, and is captivated by them, going to all ends to make sure she can leave her fiancé and follow Paul.</w:t>
      </w:r>
      <w:r>
        <w:rPr>
          <w:rStyle w:val="FootnoteReference"/>
          <w:rFonts w:ascii="Times New Roman" w:hAnsi="Times New Roman" w:cs="Times New Roman"/>
          <w:sz w:val="24"/>
          <w:szCs w:val="28"/>
        </w:rPr>
        <w:footnoteReference w:id="31"/>
      </w:r>
      <w:r>
        <w:rPr>
          <w:rFonts w:ascii="Times New Roman" w:hAnsi="Times New Roman" w:cs="Times New Roman"/>
          <w:sz w:val="24"/>
          <w:szCs w:val="28"/>
        </w:rPr>
        <w:br/>
        <w:t>Paul has a goal of converting women to lives of sexual repudiation and asceticism.</w:t>
      </w:r>
      <w:r>
        <w:rPr>
          <w:rStyle w:val="FootnoteReference"/>
          <w:rFonts w:ascii="Times New Roman" w:hAnsi="Times New Roman" w:cs="Times New Roman"/>
          <w:sz w:val="24"/>
          <w:szCs w:val="28"/>
        </w:rPr>
        <w:footnoteReference w:id="32"/>
      </w:r>
      <w:r w:rsidR="00FE72CD">
        <w:rPr>
          <w:rFonts w:ascii="Times New Roman" w:hAnsi="Times New Roman" w:cs="Times New Roman"/>
          <w:sz w:val="24"/>
          <w:szCs w:val="28"/>
        </w:rPr>
        <w:t xml:space="preserve"> When Thecla hears of this message she feel liberated that a life of chastity is an option for her.</w:t>
      </w:r>
      <w:r w:rsidR="00FE72CD">
        <w:rPr>
          <w:rStyle w:val="FootnoteReference"/>
          <w:rFonts w:ascii="Times New Roman" w:hAnsi="Times New Roman" w:cs="Times New Roman"/>
          <w:sz w:val="24"/>
          <w:szCs w:val="28"/>
        </w:rPr>
        <w:footnoteReference w:id="33"/>
      </w:r>
      <w:r w:rsidR="00FE72CD">
        <w:rPr>
          <w:rFonts w:ascii="Times New Roman" w:hAnsi="Times New Roman" w:cs="Times New Roman"/>
          <w:sz w:val="24"/>
          <w:szCs w:val="28"/>
        </w:rPr>
        <w:t xml:space="preserve"> She</w:t>
      </w:r>
      <w:r w:rsidR="00DD104E">
        <w:rPr>
          <w:rFonts w:ascii="Times New Roman" w:hAnsi="Times New Roman" w:cs="Times New Roman"/>
          <w:sz w:val="24"/>
          <w:szCs w:val="28"/>
        </w:rPr>
        <w:t xml:space="preserve"> had</w:t>
      </w:r>
      <w:r w:rsidR="00FE72CD">
        <w:rPr>
          <w:rFonts w:ascii="Times New Roman" w:hAnsi="Times New Roman" w:cs="Times New Roman"/>
          <w:sz w:val="24"/>
          <w:szCs w:val="28"/>
        </w:rPr>
        <w:t xml:space="preserve"> always been such a devout virgin, that once this option is opened to her, marriage just seems unrealistic and wrong.</w:t>
      </w:r>
      <w:r w:rsidR="00FE72CD">
        <w:rPr>
          <w:rStyle w:val="FootnoteReference"/>
          <w:rFonts w:ascii="Times New Roman" w:hAnsi="Times New Roman" w:cs="Times New Roman"/>
          <w:sz w:val="24"/>
          <w:szCs w:val="28"/>
        </w:rPr>
        <w:footnoteReference w:id="34"/>
      </w:r>
      <w:r w:rsidR="00FE72CD">
        <w:rPr>
          <w:rFonts w:ascii="Times New Roman" w:hAnsi="Times New Roman" w:cs="Times New Roman"/>
          <w:sz w:val="24"/>
          <w:szCs w:val="28"/>
        </w:rPr>
        <w:t xml:space="preserve"> This is a concept that many people seem to overlook on the topic of virginity in the medieval Christian world – the option of chastity and celibacy gives </w:t>
      </w:r>
      <w:r w:rsidR="00FE72CD">
        <w:rPr>
          <w:rFonts w:ascii="Times New Roman" w:hAnsi="Times New Roman" w:cs="Times New Roman"/>
          <w:sz w:val="24"/>
          <w:szCs w:val="28"/>
        </w:rPr>
        <w:lastRenderedPageBreak/>
        <w:t>the option for women to govern themselves within a dedication to God. It allows for a type of freedom that would never be seen in the realms of marriage –</w:t>
      </w:r>
      <w:r w:rsidR="00CF37FC">
        <w:rPr>
          <w:rFonts w:ascii="Times New Roman" w:hAnsi="Times New Roman" w:cs="Times New Roman"/>
          <w:sz w:val="24"/>
          <w:szCs w:val="28"/>
        </w:rPr>
        <w:t xml:space="preserve"> </w:t>
      </w:r>
      <w:r w:rsidR="00FE72CD">
        <w:rPr>
          <w:rFonts w:ascii="Times New Roman" w:hAnsi="Times New Roman" w:cs="Times New Roman"/>
          <w:sz w:val="24"/>
          <w:szCs w:val="28"/>
        </w:rPr>
        <w:t xml:space="preserve">as this was seen as a holier option than any mortal marriage – </w:t>
      </w:r>
      <w:r w:rsidR="00DD104E">
        <w:rPr>
          <w:rFonts w:ascii="Times New Roman" w:hAnsi="Times New Roman" w:cs="Times New Roman"/>
          <w:sz w:val="24"/>
          <w:szCs w:val="28"/>
        </w:rPr>
        <w:t xml:space="preserve">consecration of virginity being </w:t>
      </w:r>
      <w:r w:rsidR="00FE72CD">
        <w:rPr>
          <w:rFonts w:ascii="Times New Roman" w:hAnsi="Times New Roman" w:cs="Times New Roman"/>
          <w:sz w:val="24"/>
          <w:szCs w:val="28"/>
        </w:rPr>
        <w:t xml:space="preserve">a marriage to Christ. </w:t>
      </w:r>
      <w:r w:rsidR="00FE72CD">
        <w:rPr>
          <w:rStyle w:val="FootnoteReference"/>
          <w:rFonts w:ascii="Times New Roman" w:hAnsi="Times New Roman" w:cs="Times New Roman"/>
          <w:sz w:val="24"/>
          <w:szCs w:val="28"/>
        </w:rPr>
        <w:footnoteReference w:id="35"/>
      </w:r>
      <w:r w:rsidR="00FE72CD">
        <w:rPr>
          <w:rFonts w:ascii="Times New Roman" w:hAnsi="Times New Roman" w:cs="Times New Roman"/>
          <w:sz w:val="24"/>
          <w:szCs w:val="28"/>
        </w:rPr>
        <w:t xml:space="preserve"> One of the teachings of Paul declares “There is no resurrection for you unless you remain chaste and do not pollute the flesh […] I may rescue [The women] from corruption and uncleanness and from all pleasure, and from death, so that they may sin no more.”,</w:t>
      </w:r>
      <w:r w:rsidR="00FE72CD">
        <w:rPr>
          <w:rStyle w:val="FootnoteReference"/>
          <w:rFonts w:ascii="Times New Roman" w:hAnsi="Times New Roman" w:cs="Times New Roman"/>
          <w:sz w:val="24"/>
          <w:szCs w:val="28"/>
        </w:rPr>
        <w:footnoteReference w:id="36"/>
      </w:r>
      <w:r w:rsidR="00FE72CD">
        <w:rPr>
          <w:rFonts w:ascii="Times New Roman" w:hAnsi="Times New Roman" w:cs="Times New Roman"/>
          <w:sz w:val="24"/>
          <w:szCs w:val="28"/>
        </w:rPr>
        <w:t xml:space="preserve"> so, not only a holier mortal life is a positive for her, but the reality of a perceived immortal life hangs in the balance of Thecla staying a virgin. </w:t>
      </w:r>
      <w:r w:rsidR="00FE72CD">
        <w:rPr>
          <w:rFonts w:ascii="Times New Roman" w:hAnsi="Times New Roman" w:cs="Times New Roman"/>
          <w:sz w:val="24"/>
          <w:szCs w:val="28"/>
        </w:rPr>
        <w:br/>
        <w:t>Yet in this story, Thecla faces many consequences from her choice to follow Paul and remain celibate. She is tried and put to death many times, yet God saves her each time.</w:t>
      </w:r>
      <w:r w:rsidR="00FE72CD">
        <w:rPr>
          <w:rStyle w:val="FootnoteReference"/>
          <w:rFonts w:ascii="Times New Roman" w:hAnsi="Times New Roman" w:cs="Times New Roman"/>
          <w:sz w:val="24"/>
          <w:szCs w:val="28"/>
        </w:rPr>
        <w:footnoteReference w:id="37"/>
      </w:r>
      <w:r w:rsidR="00FE72CD">
        <w:rPr>
          <w:rFonts w:ascii="Times New Roman" w:hAnsi="Times New Roman" w:cs="Times New Roman"/>
          <w:sz w:val="24"/>
          <w:szCs w:val="28"/>
        </w:rPr>
        <w:t xml:space="preserve"> The reasoning for this is that she was a “servant of the living God”</w:t>
      </w:r>
      <w:r w:rsidR="00DD104E">
        <w:rPr>
          <w:rFonts w:ascii="Times New Roman" w:hAnsi="Times New Roman" w:cs="Times New Roman"/>
          <w:sz w:val="24"/>
          <w:szCs w:val="28"/>
        </w:rPr>
        <w:t>.</w:t>
      </w:r>
      <w:r w:rsidR="00FE72CD">
        <w:rPr>
          <w:rStyle w:val="FootnoteReference"/>
          <w:rFonts w:ascii="Times New Roman" w:hAnsi="Times New Roman" w:cs="Times New Roman"/>
          <w:sz w:val="24"/>
          <w:szCs w:val="28"/>
        </w:rPr>
        <w:footnoteReference w:id="38"/>
      </w:r>
      <w:r w:rsidR="008133FD">
        <w:rPr>
          <w:rFonts w:ascii="Times New Roman" w:hAnsi="Times New Roman" w:cs="Times New Roman"/>
          <w:sz w:val="24"/>
          <w:szCs w:val="28"/>
        </w:rPr>
        <w:br/>
        <w:t xml:space="preserve">In this text, the value of virginity is further exemplified of having value not only to save a woman from damnation, but to also allow her an immortal life. Though this viewpoint is not common in the modern world, virginity is still held with such value, so the idea of the virgin as the ideal way to be can still be seen in examples of modern thought around virginity. </w:t>
      </w:r>
    </w:p>
    <w:p w:rsidR="008133FD" w:rsidRDefault="008133FD" w:rsidP="00A554F5">
      <w:pPr>
        <w:rPr>
          <w:rFonts w:ascii="Times New Roman" w:hAnsi="Times New Roman" w:cs="Times New Roman"/>
          <w:sz w:val="24"/>
          <w:szCs w:val="28"/>
        </w:rPr>
      </w:pPr>
      <w:r>
        <w:rPr>
          <w:rFonts w:ascii="Times New Roman" w:hAnsi="Times New Roman" w:cs="Times New Roman"/>
          <w:sz w:val="24"/>
          <w:szCs w:val="28"/>
        </w:rPr>
        <w:t>Moving onto the central discussion about modern points of view concerning female sexuality, there are many topics that have been wea</w:t>
      </w:r>
      <w:r w:rsidR="00CF37FC">
        <w:rPr>
          <w:rFonts w:ascii="Times New Roman" w:hAnsi="Times New Roman" w:cs="Times New Roman"/>
          <w:sz w:val="24"/>
          <w:szCs w:val="28"/>
        </w:rPr>
        <w:t>ved into the western world through</w:t>
      </w:r>
      <w:r>
        <w:rPr>
          <w:rFonts w:ascii="Times New Roman" w:hAnsi="Times New Roman" w:cs="Times New Roman"/>
          <w:sz w:val="24"/>
          <w:szCs w:val="28"/>
        </w:rPr>
        <w:t xml:space="preserve"> Christian religious perspectives. One of the aspects of change that has been seen is that the gap between the opinions of ma</w:t>
      </w:r>
      <w:r w:rsidR="00DD104E">
        <w:rPr>
          <w:rFonts w:ascii="Times New Roman" w:hAnsi="Times New Roman" w:cs="Times New Roman"/>
          <w:sz w:val="24"/>
          <w:szCs w:val="28"/>
        </w:rPr>
        <w:t>le and female sexual activity may still be</w:t>
      </w:r>
      <w:r>
        <w:rPr>
          <w:rFonts w:ascii="Times New Roman" w:hAnsi="Times New Roman" w:cs="Times New Roman"/>
          <w:sz w:val="24"/>
          <w:szCs w:val="28"/>
        </w:rPr>
        <w:t xml:space="preserve"> there, </w:t>
      </w:r>
      <w:r w:rsidR="00DD104E">
        <w:rPr>
          <w:rFonts w:ascii="Times New Roman" w:hAnsi="Times New Roman" w:cs="Times New Roman"/>
          <w:sz w:val="24"/>
          <w:szCs w:val="28"/>
        </w:rPr>
        <w:t>but nevertheless,</w:t>
      </w:r>
      <w:r>
        <w:rPr>
          <w:rFonts w:ascii="Times New Roman" w:hAnsi="Times New Roman" w:cs="Times New Roman"/>
          <w:sz w:val="24"/>
          <w:szCs w:val="28"/>
        </w:rPr>
        <w:t xml:space="preserve"> is closing.</w:t>
      </w:r>
      <w:r>
        <w:rPr>
          <w:rStyle w:val="FootnoteReference"/>
          <w:rFonts w:ascii="Times New Roman" w:hAnsi="Times New Roman" w:cs="Times New Roman"/>
          <w:sz w:val="24"/>
          <w:szCs w:val="28"/>
        </w:rPr>
        <w:footnoteReference w:id="39"/>
      </w:r>
      <w:r>
        <w:rPr>
          <w:rFonts w:ascii="Times New Roman" w:hAnsi="Times New Roman" w:cs="Times New Roman"/>
          <w:sz w:val="24"/>
          <w:szCs w:val="28"/>
        </w:rPr>
        <w:t xml:space="preserve"> A modern</w:t>
      </w:r>
      <w:r w:rsidR="0038024A">
        <w:rPr>
          <w:rFonts w:ascii="Times New Roman" w:hAnsi="Times New Roman" w:cs="Times New Roman"/>
          <w:sz w:val="24"/>
          <w:szCs w:val="28"/>
        </w:rPr>
        <w:t xml:space="preserve"> study </w:t>
      </w:r>
      <w:r w:rsidR="0038024A" w:rsidRPr="0038024A">
        <w:rPr>
          <w:rFonts w:ascii="Times New Roman" w:hAnsi="Times New Roman" w:cs="Times New Roman"/>
          <w:sz w:val="24"/>
          <w:szCs w:val="24"/>
        </w:rPr>
        <w:t xml:space="preserve">(undertaken in 2014 by </w:t>
      </w:r>
      <w:r w:rsidR="0038024A" w:rsidRPr="0038024A">
        <w:rPr>
          <w:rFonts w:ascii="Times New Roman" w:eastAsia="Times New Roman" w:hAnsi="Times New Roman" w:cs="Times New Roman"/>
          <w:sz w:val="24"/>
          <w:szCs w:val="24"/>
          <w:lang w:eastAsia="en-GB"/>
        </w:rPr>
        <w:t>Hatipoğlu Sümer on a group of students)</w:t>
      </w:r>
      <w:r w:rsidR="0038024A">
        <w:rPr>
          <w:rFonts w:ascii="Times New Roman" w:hAnsi="Times New Roman" w:cs="Times New Roman"/>
          <w:sz w:val="24"/>
          <w:szCs w:val="28"/>
        </w:rPr>
        <w:t xml:space="preserve"> on gendered opinions of</w:t>
      </w:r>
      <w:r>
        <w:rPr>
          <w:rFonts w:ascii="Times New Roman" w:hAnsi="Times New Roman" w:cs="Times New Roman"/>
          <w:sz w:val="24"/>
          <w:szCs w:val="28"/>
        </w:rPr>
        <w:t xml:space="preserve"> a range of sexual activities found that more often than not, women were very conservative in their opinions towards their sexual expression.</w:t>
      </w:r>
      <w:r>
        <w:rPr>
          <w:rStyle w:val="FootnoteReference"/>
          <w:rFonts w:ascii="Times New Roman" w:hAnsi="Times New Roman" w:cs="Times New Roman"/>
          <w:sz w:val="24"/>
          <w:szCs w:val="28"/>
        </w:rPr>
        <w:footnoteReference w:id="40"/>
      </w:r>
      <w:r>
        <w:rPr>
          <w:rFonts w:ascii="Times New Roman" w:hAnsi="Times New Roman" w:cs="Times New Roman"/>
          <w:sz w:val="24"/>
          <w:szCs w:val="28"/>
        </w:rPr>
        <w:t xml:space="preserve"> Men were also more likely to</w:t>
      </w:r>
      <w:r w:rsidR="0038024A">
        <w:rPr>
          <w:rFonts w:ascii="Times New Roman" w:hAnsi="Times New Roman" w:cs="Times New Roman"/>
          <w:sz w:val="24"/>
          <w:szCs w:val="28"/>
        </w:rPr>
        <w:t xml:space="preserve"> support sexual activity in</w:t>
      </w:r>
      <w:r>
        <w:rPr>
          <w:rFonts w:ascii="Times New Roman" w:hAnsi="Times New Roman" w:cs="Times New Roman"/>
          <w:sz w:val="24"/>
          <w:szCs w:val="28"/>
        </w:rPr>
        <w:t xml:space="preserve"> casual sex than women.</w:t>
      </w:r>
      <w:r>
        <w:rPr>
          <w:rStyle w:val="FootnoteReference"/>
          <w:rFonts w:ascii="Times New Roman" w:hAnsi="Times New Roman" w:cs="Times New Roman"/>
          <w:sz w:val="24"/>
          <w:szCs w:val="28"/>
        </w:rPr>
        <w:footnoteReference w:id="41"/>
      </w:r>
      <w:r>
        <w:rPr>
          <w:rFonts w:ascii="Times New Roman" w:hAnsi="Times New Roman" w:cs="Times New Roman"/>
          <w:sz w:val="24"/>
          <w:szCs w:val="28"/>
        </w:rPr>
        <w:t xml:space="preserve"> The only ways in which women seemed to have differing and more liberal </w:t>
      </w:r>
      <w:r w:rsidR="0038024A">
        <w:rPr>
          <w:rFonts w:ascii="Times New Roman" w:hAnsi="Times New Roman" w:cs="Times New Roman"/>
          <w:sz w:val="24"/>
          <w:szCs w:val="28"/>
        </w:rPr>
        <w:t>views on sexuality</w:t>
      </w:r>
      <w:r>
        <w:rPr>
          <w:rFonts w:ascii="Times New Roman" w:hAnsi="Times New Roman" w:cs="Times New Roman"/>
          <w:sz w:val="24"/>
          <w:szCs w:val="28"/>
        </w:rPr>
        <w:t xml:space="preserve"> was when they received comprehensive sexual education.</w:t>
      </w:r>
      <w:r>
        <w:rPr>
          <w:rStyle w:val="FootnoteReference"/>
          <w:rFonts w:ascii="Times New Roman" w:hAnsi="Times New Roman" w:cs="Times New Roman"/>
          <w:sz w:val="24"/>
          <w:szCs w:val="28"/>
        </w:rPr>
        <w:footnoteReference w:id="42"/>
      </w:r>
      <w:r>
        <w:rPr>
          <w:rFonts w:ascii="Times New Roman" w:hAnsi="Times New Roman" w:cs="Times New Roman"/>
          <w:sz w:val="24"/>
          <w:szCs w:val="28"/>
        </w:rPr>
        <w:t xml:space="preserve"> So, the question here is, is the general Christian view on female sexuality something that is innate, and is only changed when education is put into place? If secular education allows for liberal thinking, it seems that church teaching is an extreme opposite, as it was recorded that attendance at Church for many people is what fostered a negative view to female sexuality, and even sexuality as a whole.</w:t>
      </w:r>
      <w:r>
        <w:rPr>
          <w:rStyle w:val="FootnoteReference"/>
          <w:rFonts w:ascii="Times New Roman" w:hAnsi="Times New Roman" w:cs="Times New Roman"/>
          <w:sz w:val="24"/>
          <w:szCs w:val="28"/>
        </w:rPr>
        <w:footnoteReference w:id="43"/>
      </w:r>
      <w:r>
        <w:rPr>
          <w:rFonts w:ascii="Times New Roman" w:hAnsi="Times New Roman" w:cs="Times New Roman"/>
          <w:sz w:val="24"/>
          <w:szCs w:val="28"/>
        </w:rPr>
        <w:t xml:space="preserve"> This once again, makes a lot of sense, as many of the monotheistic religions have very similar opinions on sexuality.</w:t>
      </w:r>
      <w:r>
        <w:rPr>
          <w:rStyle w:val="FootnoteReference"/>
          <w:rFonts w:ascii="Times New Roman" w:hAnsi="Times New Roman" w:cs="Times New Roman"/>
          <w:sz w:val="24"/>
          <w:szCs w:val="28"/>
        </w:rPr>
        <w:footnoteReference w:id="44"/>
      </w:r>
      <w:r>
        <w:rPr>
          <w:rFonts w:ascii="Times New Roman" w:hAnsi="Times New Roman" w:cs="Times New Roman"/>
          <w:sz w:val="24"/>
          <w:szCs w:val="28"/>
        </w:rPr>
        <w:t xml:space="preserve"> </w:t>
      </w:r>
      <w:r>
        <w:rPr>
          <w:rFonts w:ascii="Times New Roman" w:hAnsi="Times New Roman" w:cs="Times New Roman"/>
          <w:sz w:val="24"/>
          <w:szCs w:val="28"/>
        </w:rPr>
        <w:br/>
        <w:t xml:space="preserve">So, in this study it does seem that some views of virginity and sexuality are innate, and only enhanced by religious teachings. </w:t>
      </w:r>
      <w:r w:rsidR="0038024A">
        <w:rPr>
          <w:rFonts w:ascii="Times New Roman" w:hAnsi="Times New Roman" w:cs="Times New Roman"/>
          <w:sz w:val="24"/>
          <w:szCs w:val="28"/>
        </w:rPr>
        <w:t xml:space="preserve">As well as this, the study found that there are a plethora of double standards for men and women surrounding sexuality and virginity - </w:t>
      </w:r>
      <w:r w:rsidR="0038024A">
        <w:rPr>
          <w:rStyle w:val="FootnoteReference"/>
          <w:rFonts w:ascii="Times New Roman" w:hAnsi="Times New Roman" w:cs="Times New Roman"/>
          <w:sz w:val="24"/>
          <w:szCs w:val="28"/>
        </w:rPr>
        <w:footnoteReference w:id="45"/>
      </w:r>
      <w:r w:rsidR="0038024A">
        <w:rPr>
          <w:rFonts w:ascii="Times New Roman" w:hAnsi="Times New Roman" w:cs="Times New Roman"/>
          <w:sz w:val="24"/>
          <w:szCs w:val="28"/>
        </w:rPr>
        <w:t xml:space="preserve"> an example being that male premarital sex was a lot more readily accepted than for females.</w:t>
      </w:r>
      <w:r w:rsidR="0038024A">
        <w:rPr>
          <w:rStyle w:val="FootnoteReference"/>
          <w:rFonts w:ascii="Times New Roman" w:hAnsi="Times New Roman" w:cs="Times New Roman"/>
          <w:sz w:val="24"/>
          <w:szCs w:val="28"/>
        </w:rPr>
        <w:footnoteReference w:id="46"/>
      </w:r>
    </w:p>
    <w:p w:rsidR="0038024A" w:rsidRPr="00E30D2A" w:rsidRDefault="0038024A" w:rsidP="00E30D2A">
      <w:pPr>
        <w:rPr>
          <w:rFonts w:ascii="Times New Roman" w:hAnsi="Times New Roman" w:cs="Times New Roman"/>
          <w:sz w:val="24"/>
          <w:szCs w:val="28"/>
        </w:rPr>
      </w:pPr>
      <w:r w:rsidRPr="00E30D2A">
        <w:rPr>
          <w:rFonts w:ascii="Times New Roman" w:hAnsi="Times New Roman" w:cs="Times New Roman"/>
          <w:sz w:val="24"/>
          <w:szCs w:val="28"/>
        </w:rPr>
        <w:lastRenderedPageBreak/>
        <w:t>The idea that premarital and sex in general is more acceptable for males comes from the idea that women are the ones to blame for leading men into sexual temptation. This is seen in Mary of Egypt’s reasoning for moving to the desert – to avoid leading men into temptation.</w:t>
      </w:r>
      <w:r>
        <w:rPr>
          <w:rStyle w:val="FootnoteReference"/>
          <w:rFonts w:ascii="Times New Roman" w:hAnsi="Times New Roman" w:cs="Times New Roman"/>
          <w:sz w:val="24"/>
          <w:szCs w:val="28"/>
        </w:rPr>
        <w:footnoteReference w:id="47"/>
      </w:r>
      <w:r w:rsidRPr="00E30D2A">
        <w:rPr>
          <w:rFonts w:ascii="Times New Roman" w:hAnsi="Times New Roman" w:cs="Times New Roman"/>
          <w:sz w:val="24"/>
          <w:szCs w:val="28"/>
        </w:rPr>
        <w:t xml:space="preserve"> Another modern study (undertaken by Papp, Hagerman, Gnoleba </w:t>
      </w:r>
      <w:r w:rsidRPr="00E30D2A">
        <w:rPr>
          <w:rFonts w:ascii="Times New Roman" w:hAnsi="Times New Roman" w:cs="Times New Roman"/>
          <w:i/>
          <w:sz w:val="24"/>
          <w:szCs w:val="28"/>
        </w:rPr>
        <w:t>et al</w:t>
      </w:r>
      <w:r w:rsidRPr="00E30D2A">
        <w:rPr>
          <w:rFonts w:ascii="Times New Roman" w:hAnsi="Times New Roman" w:cs="Times New Roman"/>
          <w:sz w:val="24"/>
          <w:szCs w:val="28"/>
        </w:rPr>
        <w:t xml:space="preserve"> in 2015 on young people aged 18-25) stated that a commonly thought view was that men are often socially allowed more sexual freedom in both premarital and extramarital sex</w:t>
      </w:r>
      <w:r w:rsidR="006D56BE" w:rsidRPr="00E30D2A">
        <w:rPr>
          <w:rFonts w:ascii="Times New Roman" w:hAnsi="Times New Roman" w:cs="Times New Roman"/>
          <w:sz w:val="24"/>
          <w:szCs w:val="28"/>
        </w:rPr>
        <w:t>,</w:t>
      </w:r>
      <w:r>
        <w:rPr>
          <w:rStyle w:val="FootnoteReference"/>
          <w:rFonts w:ascii="Times New Roman" w:hAnsi="Times New Roman" w:cs="Times New Roman"/>
          <w:sz w:val="24"/>
          <w:szCs w:val="28"/>
        </w:rPr>
        <w:footnoteReference w:id="48"/>
      </w:r>
      <w:r w:rsidR="006D56BE" w:rsidRPr="00E30D2A">
        <w:rPr>
          <w:rFonts w:ascii="Times New Roman" w:hAnsi="Times New Roman" w:cs="Times New Roman"/>
          <w:sz w:val="24"/>
          <w:szCs w:val="28"/>
        </w:rPr>
        <w:t xml:space="preserve"> whereas women are often still marginalised for similar behaviour.</w:t>
      </w:r>
      <w:r w:rsidR="006D56BE">
        <w:rPr>
          <w:rStyle w:val="FootnoteReference"/>
          <w:rFonts w:ascii="Times New Roman" w:hAnsi="Times New Roman" w:cs="Times New Roman"/>
          <w:sz w:val="24"/>
          <w:szCs w:val="28"/>
        </w:rPr>
        <w:footnoteReference w:id="49"/>
      </w:r>
      <w:r w:rsidR="006D56BE" w:rsidRPr="00E30D2A">
        <w:rPr>
          <w:rFonts w:ascii="Times New Roman" w:hAnsi="Times New Roman" w:cs="Times New Roman"/>
          <w:sz w:val="24"/>
          <w:szCs w:val="28"/>
        </w:rPr>
        <w:t xml:space="preserve"> The way this marginalisation often takes place is in the form of “slut-shaming”, attacking the woman on her supposed sexuality. One of the findings of the study was the fact that this view was still in effect in social circles around the western world, </w:t>
      </w:r>
      <w:r w:rsidR="006D56BE">
        <w:rPr>
          <w:rStyle w:val="FootnoteReference"/>
          <w:rFonts w:ascii="Times New Roman" w:hAnsi="Times New Roman" w:cs="Times New Roman"/>
          <w:sz w:val="24"/>
          <w:szCs w:val="28"/>
        </w:rPr>
        <w:footnoteReference w:id="50"/>
      </w:r>
      <w:r w:rsidR="006D56BE" w:rsidRPr="00E30D2A">
        <w:rPr>
          <w:rFonts w:ascii="Times New Roman" w:hAnsi="Times New Roman" w:cs="Times New Roman"/>
          <w:sz w:val="24"/>
          <w:szCs w:val="28"/>
        </w:rPr>
        <w:t xml:space="preserve"> an example of this being that in the study undertaken, the participants believed it was more acceptable for a man to engage in casual and premarital sex than a woman</w:t>
      </w:r>
      <w:r w:rsidR="00DD104E" w:rsidRPr="00E30D2A">
        <w:rPr>
          <w:rFonts w:ascii="Times New Roman" w:hAnsi="Times New Roman" w:cs="Times New Roman"/>
          <w:sz w:val="24"/>
          <w:szCs w:val="28"/>
        </w:rPr>
        <w:t>.</w:t>
      </w:r>
      <w:r w:rsidR="006D56BE">
        <w:rPr>
          <w:rStyle w:val="FootnoteReference"/>
          <w:rFonts w:ascii="Times New Roman" w:hAnsi="Times New Roman" w:cs="Times New Roman"/>
          <w:sz w:val="24"/>
          <w:szCs w:val="28"/>
        </w:rPr>
        <w:footnoteReference w:id="51"/>
      </w:r>
      <w:r w:rsidR="00DD104E" w:rsidRPr="00E30D2A">
        <w:rPr>
          <w:rFonts w:ascii="Times New Roman" w:hAnsi="Times New Roman" w:cs="Times New Roman"/>
          <w:sz w:val="24"/>
          <w:szCs w:val="28"/>
        </w:rPr>
        <w:t xml:space="preserve"> This way of thinking is even known to affect the ways in which women are viewed socially as it was found that sexually permissive women are likely to suffer socially</w:t>
      </w:r>
      <w:r w:rsidR="003975C7" w:rsidRPr="00E30D2A">
        <w:rPr>
          <w:rFonts w:ascii="Times New Roman" w:hAnsi="Times New Roman" w:cs="Times New Roman"/>
          <w:sz w:val="24"/>
          <w:szCs w:val="28"/>
        </w:rPr>
        <w:t xml:space="preserve"> and even be marginalised</w:t>
      </w:r>
      <w:r w:rsidR="003975C7">
        <w:rPr>
          <w:rStyle w:val="FootnoteReference"/>
          <w:rFonts w:ascii="Times New Roman" w:hAnsi="Times New Roman" w:cs="Times New Roman"/>
          <w:sz w:val="24"/>
          <w:szCs w:val="28"/>
        </w:rPr>
        <w:footnoteReference w:id="52"/>
      </w:r>
      <w:r w:rsidR="00DD104E" w:rsidRPr="00E30D2A">
        <w:rPr>
          <w:rFonts w:ascii="Times New Roman" w:hAnsi="Times New Roman" w:cs="Times New Roman"/>
          <w:sz w:val="24"/>
          <w:szCs w:val="28"/>
        </w:rPr>
        <w:t xml:space="preserve"> due to the modern-day prevalence of slut-shaming</w:t>
      </w:r>
      <w:r w:rsidR="003975C7" w:rsidRPr="00E30D2A">
        <w:rPr>
          <w:rFonts w:ascii="Times New Roman" w:hAnsi="Times New Roman" w:cs="Times New Roman"/>
          <w:sz w:val="24"/>
          <w:szCs w:val="28"/>
        </w:rPr>
        <w:t>.</w:t>
      </w:r>
      <w:r w:rsidR="00DD104E">
        <w:rPr>
          <w:rStyle w:val="FootnoteReference"/>
          <w:rFonts w:ascii="Times New Roman" w:hAnsi="Times New Roman" w:cs="Times New Roman"/>
          <w:sz w:val="24"/>
          <w:szCs w:val="28"/>
        </w:rPr>
        <w:footnoteReference w:id="53"/>
      </w:r>
      <w:r w:rsidR="003975C7" w:rsidRPr="00E30D2A">
        <w:rPr>
          <w:rFonts w:ascii="Times New Roman" w:hAnsi="Times New Roman" w:cs="Times New Roman"/>
          <w:sz w:val="24"/>
          <w:szCs w:val="28"/>
        </w:rPr>
        <w:t xml:space="preserve"> When these opinions are related to the social groups of adolescents, boys with larger numbers of sexual partners had greater peer acceptance, compared to the complete opposite being the reality for girls.</w:t>
      </w:r>
      <w:r w:rsidR="003975C7">
        <w:rPr>
          <w:rStyle w:val="FootnoteReference"/>
          <w:rFonts w:ascii="Times New Roman" w:hAnsi="Times New Roman" w:cs="Times New Roman"/>
          <w:sz w:val="24"/>
          <w:szCs w:val="28"/>
        </w:rPr>
        <w:footnoteReference w:id="54"/>
      </w:r>
      <w:r w:rsidR="003975C7" w:rsidRPr="00E30D2A">
        <w:rPr>
          <w:rFonts w:ascii="Times New Roman" w:hAnsi="Times New Roman" w:cs="Times New Roman"/>
          <w:sz w:val="24"/>
          <w:szCs w:val="28"/>
        </w:rPr>
        <w:t xml:space="preserve"> One of the most interesting pieces of information found in this study is relating to marriage, as it was found that men found women who were less sexually permissive as better candidates for marriage compared to women who had previously engaged in casual sex.</w:t>
      </w:r>
      <w:r w:rsidR="003975C7">
        <w:rPr>
          <w:rStyle w:val="FootnoteReference"/>
          <w:rFonts w:ascii="Times New Roman" w:hAnsi="Times New Roman" w:cs="Times New Roman"/>
          <w:sz w:val="24"/>
          <w:szCs w:val="28"/>
        </w:rPr>
        <w:footnoteReference w:id="55"/>
      </w:r>
      <w:r w:rsidR="003975C7" w:rsidRPr="00E30D2A">
        <w:rPr>
          <w:rFonts w:ascii="Times New Roman" w:hAnsi="Times New Roman" w:cs="Times New Roman"/>
          <w:sz w:val="24"/>
          <w:szCs w:val="28"/>
        </w:rPr>
        <w:t xml:space="preserve"> Th</w:t>
      </w:r>
      <w:r w:rsidR="00EA529D" w:rsidRPr="00E30D2A">
        <w:rPr>
          <w:rFonts w:ascii="Times New Roman" w:hAnsi="Times New Roman" w:cs="Times New Roman"/>
          <w:sz w:val="24"/>
          <w:szCs w:val="28"/>
        </w:rPr>
        <w:t xml:space="preserve">is piece of information may show </w:t>
      </w:r>
      <w:r w:rsidR="003975C7" w:rsidRPr="00E30D2A">
        <w:rPr>
          <w:rFonts w:ascii="Times New Roman" w:hAnsi="Times New Roman" w:cs="Times New Roman"/>
          <w:sz w:val="24"/>
          <w:szCs w:val="28"/>
        </w:rPr>
        <w:t xml:space="preserve">how close some modern opinions are to that of medieval Christianity. Though these men are not </w:t>
      </w:r>
      <w:r w:rsidR="003975C7" w:rsidRPr="00E30D2A">
        <w:rPr>
          <w:rFonts w:ascii="Times New Roman" w:hAnsi="Times New Roman" w:cs="Times New Roman"/>
          <w:i/>
          <w:sz w:val="24"/>
          <w:szCs w:val="28"/>
        </w:rPr>
        <w:t>demanding</w:t>
      </w:r>
      <w:r w:rsidR="003975C7" w:rsidRPr="00E30D2A">
        <w:rPr>
          <w:rFonts w:ascii="Times New Roman" w:hAnsi="Times New Roman" w:cs="Times New Roman"/>
          <w:sz w:val="24"/>
          <w:szCs w:val="28"/>
        </w:rPr>
        <w:t xml:space="preserve"> a woman be a virgin (with no note to the male’s sexual status), this is not exactly the case (though it is the case for some parts of the world in the modern day</w:t>
      </w:r>
      <w:r w:rsidR="003975C7">
        <w:rPr>
          <w:rStyle w:val="FootnoteReference"/>
          <w:rFonts w:ascii="Times New Roman" w:hAnsi="Times New Roman" w:cs="Times New Roman"/>
          <w:sz w:val="24"/>
          <w:szCs w:val="28"/>
        </w:rPr>
        <w:footnoteReference w:id="56"/>
      </w:r>
      <w:r w:rsidR="003975C7" w:rsidRPr="00E30D2A">
        <w:rPr>
          <w:rFonts w:ascii="Times New Roman" w:hAnsi="Times New Roman" w:cs="Times New Roman"/>
          <w:sz w:val="24"/>
          <w:szCs w:val="28"/>
        </w:rPr>
        <w:t>) – it can still be linked. In the life of Thecla, one of the reasons that Thamyris wishes to marry her is very probably the fact that she is still a virgin, and this may have added to her value as a prospective wife.</w:t>
      </w:r>
      <w:r w:rsidR="003975C7">
        <w:rPr>
          <w:rStyle w:val="FootnoteReference"/>
          <w:rFonts w:ascii="Times New Roman" w:hAnsi="Times New Roman" w:cs="Times New Roman"/>
          <w:sz w:val="24"/>
          <w:szCs w:val="28"/>
        </w:rPr>
        <w:footnoteReference w:id="57"/>
      </w:r>
      <w:r w:rsidR="005D5856" w:rsidRPr="00E30D2A">
        <w:rPr>
          <w:rFonts w:ascii="Times New Roman" w:hAnsi="Times New Roman" w:cs="Times New Roman"/>
          <w:sz w:val="24"/>
          <w:szCs w:val="28"/>
        </w:rPr>
        <w:t xml:space="preserve"> As well as this, it is thought that the reasons for the want of a virgin wife maybe similar to the ones in medieval times – the study finding that men are more concerned about </w:t>
      </w:r>
      <w:r w:rsidR="00F30F3B" w:rsidRPr="00E30D2A">
        <w:rPr>
          <w:rFonts w:ascii="Times New Roman" w:hAnsi="Times New Roman" w:cs="Times New Roman"/>
          <w:sz w:val="24"/>
          <w:szCs w:val="28"/>
        </w:rPr>
        <w:t>the paternity of their offspring, (very obviously) than compared to women</w:t>
      </w:r>
      <w:r w:rsidR="00F30F3B">
        <w:rPr>
          <w:rStyle w:val="FootnoteReference"/>
          <w:rFonts w:ascii="Times New Roman" w:hAnsi="Times New Roman" w:cs="Times New Roman"/>
          <w:sz w:val="24"/>
          <w:szCs w:val="28"/>
        </w:rPr>
        <w:footnoteReference w:id="58"/>
      </w:r>
      <w:r w:rsidR="00F30F3B" w:rsidRPr="00E30D2A">
        <w:rPr>
          <w:rFonts w:ascii="Times New Roman" w:hAnsi="Times New Roman" w:cs="Times New Roman"/>
          <w:sz w:val="24"/>
          <w:szCs w:val="28"/>
        </w:rPr>
        <w:t xml:space="preserve"> and thus, in modern times, a way of attempting to control this may be the creation of slut-shaming</w:t>
      </w:r>
      <w:r w:rsidR="00F30F3B">
        <w:rPr>
          <w:rStyle w:val="FootnoteReference"/>
          <w:rFonts w:ascii="Times New Roman" w:hAnsi="Times New Roman" w:cs="Times New Roman"/>
          <w:sz w:val="24"/>
          <w:szCs w:val="28"/>
        </w:rPr>
        <w:footnoteReference w:id="59"/>
      </w:r>
      <w:r w:rsidR="00F30F3B" w:rsidRPr="00E30D2A">
        <w:rPr>
          <w:rFonts w:ascii="Times New Roman" w:hAnsi="Times New Roman" w:cs="Times New Roman"/>
          <w:sz w:val="24"/>
          <w:szCs w:val="28"/>
        </w:rPr>
        <w:t xml:space="preserve"> by men; compared to periods of penance and a lack of communion in the medieval church.</w:t>
      </w:r>
      <w:r w:rsidR="00F30F3B">
        <w:rPr>
          <w:rStyle w:val="FootnoteReference"/>
          <w:rFonts w:ascii="Times New Roman" w:hAnsi="Times New Roman" w:cs="Times New Roman"/>
          <w:sz w:val="24"/>
          <w:szCs w:val="28"/>
        </w:rPr>
        <w:footnoteReference w:id="60"/>
      </w:r>
    </w:p>
    <w:p w:rsidR="00CA6084" w:rsidRDefault="00CA6084" w:rsidP="00A554F5">
      <w:pPr>
        <w:rPr>
          <w:rFonts w:ascii="Times New Roman" w:hAnsi="Times New Roman" w:cs="Times New Roman"/>
          <w:sz w:val="24"/>
          <w:szCs w:val="28"/>
        </w:rPr>
      </w:pPr>
      <w:r>
        <w:rPr>
          <w:rFonts w:ascii="Times New Roman" w:hAnsi="Times New Roman" w:cs="Times New Roman"/>
          <w:sz w:val="24"/>
          <w:szCs w:val="28"/>
        </w:rPr>
        <w:t>T</w:t>
      </w:r>
      <w:r w:rsidR="00F30F3B">
        <w:rPr>
          <w:rFonts w:ascii="Times New Roman" w:hAnsi="Times New Roman" w:cs="Times New Roman"/>
          <w:sz w:val="24"/>
          <w:szCs w:val="28"/>
        </w:rPr>
        <w:t>hroughout the</w:t>
      </w:r>
      <w:r w:rsidR="00EA529D">
        <w:rPr>
          <w:rFonts w:ascii="Times New Roman" w:hAnsi="Times New Roman" w:cs="Times New Roman"/>
          <w:sz w:val="24"/>
          <w:szCs w:val="28"/>
        </w:rPr>
        <w:t xml:space="preserve"> lives of young women in</w:t>
      </w:r>
      <w:r w:rsidR="00F30F3B">
        <w:rPr>
          <w:rFonts w:ascii="Times New Roman" w:hAnsi="Times New Roman" w:cs="Times New Roman"/>
          <w:sz w:val="24"/>
          <w:szCs w:val="28"/>
        </w:rPr>
        <w:t xml:space="preserve"> history, virginity to a certain extent was either demanded, or seen as a virtue.</w:t>
      </w:r>
      <w:r w:rsidR="00F30F3B">
        <w:rPr>
          <w:rStyle w:val="FootnoteReference"/>
          <w:rFonts w:ascii="Times New Roman" w:hAnsi="Times New Roman" w:cs="Times New Roman"/>
          <w:sz w:val="24"/>
          <w:szCs w:val="28"/>
        </w:rPr>
        <w:footnoteReference w:id="61"/>
      </w:r>
      <w:r w:rsidR="00F30F3B">
        <w:rPr>
          <w:rFonts w:ascii="Times New Roman" w:hAnsi="Times New Roman" w:cs="Times New Roman"/>
          <w:sz w:val="24"/>
          <w:szCs w:val="28"/>
        </w:rPr>
        <w:t xml:space="preserve"> Virginity has almost always been seen to be “pure”,</w:t>
      </w:r>
      <w:r w:rsidR="00F30F3B">
        <w:rPr>
          <w:rStyle w:val="FootnoteReference"/>
          <w:rFonts w:ascii="Times New Roman" w:hAnsi="Times New Roman" w:cs="Times New Roman"/>
          <w:sz w:val="24"/>
          <w:szCs w:val="28"/>
        </w:rPr>
        <w:footnoteReference w:id="62"/>
      </w:r>
      <w:r w:rsidR="00F30F3B">
        <w:rPr>
          <w:rFonts w:ascii="Times New Roman" w:hAnsi="Times New Roman" w:cs="Times New Roman"/>
          <w:sz w:val="24"/>
          <w:szCs w:val="28"/>
        </w:rPr>
        <w:t xml:space="preserve"> this </w:t>
      </w:r>
      <w:r w:rsidR="00F30F3B">
        <w:rPr>
          <w:rFonts w:ascii="Times New Roman" w:hAnsi="Times New Roman" w:cs="Times New Roman"/>
          <w:sz w:val="24"/>
          <w:szCs w:val="28"/>
        </w:rPr>
        <w:lastRenderedPageBreak/>
        <w:t>purity being used to put wom</w:t>
      </w:r>
      <w:r w:rsidR="004751BB">
        <w:rPr>
          <w:rFonts w:ascii="Times New Roman" w:hAnsi="Times New Roman" w:cs="Times New Roman"/>
          <w:sz w:val="24"/>
          <w:szCs w:val="28"/>
        </w:rPr>
        <w:t>en in a certain social category</w:t>
      </w:r>
      <w:r w:rsidR="00F30F3B">
        <w:rPr>
          <w:rStyle w:val="FootnoteReference"/>
          <w:rFonts w:ascii="Times New Roman" w:hAnsi="Times New Roman" w:cs="Times New Roman"/>
          <w:sz w:val="24"/>
          <w:szCs w:val="28"/>
        </w:rPr>
        <w:footnoteReference w:id="63"/>
      </w:r>
      <w:r w:rsidR="004751BB">
        <w:rPr>
          <w:rFonts w:ascii="Times New Roman" w:hAnsi="Times New Roman" w:cs="Times New Roman"/>
          <w:sz w:val="24"/>
          <w:szCs w:val="28"/>
        </w:rPr>
        <w:t xml:space="preserve"> depending on their “social purity”;</w:t>
      </w:r>
      <w:r w:rsidR="004751BB">
        <w:rPr>
          <w:rStyle w:val="FootnoteReference"/>
          <w:rFonts w:ascii="Times New Roman" w:hAnsi="Times New Roman" w:cs="Times New Roman"/>
          <w:sz w:val="24"/>
          <w:szCs w:val="28"/>
        </w:rPr>
        <w:footnoteReference w:id="64"/>
      </w:r>
      <w:r w:rsidR="004751BB">
        <w:rPr>
          <w:rFonts w:ascii="Times New Roman" w:hAnsi="Times New Roman" w:cs="Times New Roman"/>
          <w:sz w:val="24"/>
          <w:szCs w:val="28"/>
        </w:rPr>
        <w:t xml:space="preserve"> this being exemplified</w:t>
      </w:r>
      <w:r w:rsidR="00F30F3B">
        <w:rPr>
          <w:rFonts w:ascii="Times New Roman" w:hAnsi="Times New Roman" w:cs="Times New Roman"/>
          <w:sz w:val="24"/>
          <w:szCs w:val="28"/>
        </w:rPr>
        <w:t xml:space="preserve"> in the Life of Mary and her self-identification as someone who is “shameful”</w:t>
      </w:r>
      <w:r w:rsidR="00F30F3B">
        <w:rPr>
          <w:rStyle w:val="FootnoteReference"/>
          <w:rFonts w:ascii="Times New Roman" w:hAnsi="Times New Roman" w:cs="Times New Roman"/>
          <w:sz w:val="24"/>
          <w:szCs w:val="28"/>
        </w:rPr>
        <w:footnoteReference w:id="65"/>
      </w:r>
      <w:r w:rsidR="00F30F3B">
        <w:rPr>
          <w:rFonts w:ascii="Times New Roman" w:hAnsi="Times New Roman" w:cs="Times New Roman"/>
          <w:sz w:val="24"/>
          <w:szCs w:val="28"/>
        </w:rPr>
        <w:t>, Pelagia as a “sinful object”</w:t>
      </w:r>
      <w:r w:rsidR="00F30F3B">
        <w:rPr>
          <w:rStyle w:val="FootnoteReference"/>
          <w:rFonts w:ascii="Times New Roman" w:hAnsi="Times New Roman" w:cs="Times New Roman"/>
          <w:sz w:val="24"/>
          <w:szCs w:val="28"/>
        </w:rPr>
        <w:footnoteReference w:id="66"/>
      </w:r>
      <w:r w:rsidR="00F30F3B">
        <w:rPr>
          <w:rFonts w:ascii="Times New Roman" w:hAnsi="Times New Roman" w:cs="Times New Roman"/>
          <w:sz w:val="24"/>
          <w:szCs w:val="28"/>
        </w:rPr>
        <w:t xml:space="preserve"> for their sexual indulgence; Thecla </w:t>
      </w:r>
      <w:r w:rsidR="004751BB">
        <w:rPr>
          <w:rFonts w:ascii="Times New Roman" w:hAnsi="Times New Roman" w:cs="Times New Roman"/>
          <w:sz w:val="24"/>
          <w:szCs w:val="28"/>
        </w:rPr>
        <w:t>being “blessed”</w:t>
      </w:r>
      <w:r w:rsidR="004751BB">
        <w:rPr>
          <w:rStyle w:val="FootnoteReference"/>
          <w:rFonts w:ascii="Times New Roman" w:hAnsi="Times New Roman" w:cs="Times New Roman"/>
          <w:sz w:val="24"/>
          <w:szCs w:val="28"/>
        </w:rPr>
        <w:footnoteReference w:id="67"/>
      </w:r>
      <w:r w:rsidR="004751BB">
        <w:rPr>
          <w:rFonts w:ascii="Times New Roman" w:hAnsi="Times New Roman" w:cs="Times New Roman"/>
          <w:sz w:val="24"/>
          <w:szCs w:val="28"/>
        </w:rPr>
        <w:t xml:space="preserve"> and “reward[ed] for their chastity”;</w:t>
      </w:r>
      <w:r w:rsidR="004751BB">
        <w:rPr>
          <w:rStyle w:val="FootnoteReference"/>
          <w:rFonts w:ascii="Times New Roman" w:hAnsi="Times New Roman" w:cs="Times New Roman"/>
          <w:sz w:val="24"/>
          <w:szCs w:val="28"/>
        </w:rPr>
        <w:footnoteReference w:id="68"/>
      </w:r>
      <w:r w:rsidR="004751BB">
        <w:rPr>
          <w:rFonts w:ascii="Times New Roman" w:hAnsi="Times New Roman" w:cs="Times New Roman"/>
          <w:sz w:val="24"/>
          <w:szCs w:val="28"/>
        </w:rPr>
        <w:t xml:space="preserve"> and modern women being less socially accepted by men for having casual sex</w:t>
      </w:r>
      <w:r w:rsidR="004751BB">
        <w:rPr>
          <w:rStyle w:val="FootnoteReference"/>
          <w:rFonts w:ascii="Times New Roman" w:hAnsi="Times New Roman" w:cs="Times New Roman"/>
          <w:sz w:val="24"/>
          <w:szCs w:val="28"/>
        </w:rPr>
        <w:footnoteReference w:id="69"/>
      </w:r>
      <w:r w:rsidR="00EA529D">
        <w:rPr>
          <w:rFonts w:ascii="Times New Roman" w:hAnsi="Times New Roman" w:cs="Times New Roman"/>
          <w:sz w:val="24"/>
          <w:szCs w:val="28"/>
        </w:rPr>
        <w:t xml:space="preserve"> and being viewed </w:t>
      </w:r>
      <w:r w:rsidR="004751BB">
        <w:rPr>
          <w:rFonts w:ascii="Times New Roman" w:hAnsi="Times New Roman" w:cs="Times New Roman"/>
          <w:sz w:val="24"/>
          <w:szCs w:val="28"/>
        </w:rPr>
        <w:t>as sluts.</w:t>
      </w:r>
      <w:r w:rsidR="004751BB">
        <w:rPr>
          <w:rStyle w:val="FootnoteReference"/>
          <w:rFonts w:ascii="Times New Roman" w:hAnsi="Times New Roman" w:cs="Times New Roman"/>
          <w:sz w:val="24"/>
          <w:szCs w:val="28"/>
        </w:rPr>
        <w:footnoteReference w:id="70"/>
      </w:r>
      <w:r w:rsidR="004751BB">
        <w:rPr>
          <w:rFonts w:ascii="Times New Roman" w:hAnsi="Times New Roman" w:cs="Times New Roman"/>
          <w:sz w:val="24"/>
          <w:szCs w:val="28"/>
        </w:rPr>
        <w:t xml:space="preserve"> In patriarchal societies (which have been the majority, if not all of societies in history) women have to agree to be social objects and play as a kind of currency which depends on their virginity.</w:t>
      </w:r>
      <w:r w:rsidR="004751BB">
        <w:rPr>
          <w:rStyle w:val="FootnoteReference"/>
          <w:rFonts w:ascii="Times New Roman" w:hAnsi="Times New Roman" w:cs="Times New Roman"/>
          <w:sz w:val="24"/>
          <w:szCs w:val="28"/>
        </w:rPr>
        <w:footnoteReference w:id="71"/>
      </w:r>
      <w:r w:rsidR="004751BB">
        <w:rPr>
          <w:rFonts w:ascii="Times New Roman" w:hAnsi="Times New Roman" w:cs="Times New Roman"/>
          <w:sz w:val="24"/>
          <w:szCs w:val="28"/>
        </w:rPr>
        <w:t xml:space="preserve"> Though this has changed as the world has become more accepting of the concept of virginity as a social</w:t>
      </w:r>
      <w:r w:rsidR="00EA529D">
        <w:rPr>
          <w:rFonts w:ascii="Times New Roman" w:hAnsi="Times New Roman" w:cs="Times New Roman"/>
          <w:sz w:val="24"/>
          <w:szCs w:val="28"/>
        </w:rPr>
        <w:t xml:space="preserve"> construct throughout the west </w:t>
      </w:r>
      <w:r w:rsidR="004751BB">
        <w:rPr>
          <w:rFonts w:ascii="Times New Roman" w:hAnsi="Times New Roman" w:cs="Times New Roman"/>
          <w:sz w:val="24"/>
          <w:szCs w:val="28"/>
        </w:rPr>
        <w:t>– as seen in the prevalence of the “Slut-Walk” movement,</w:t>
      </w:r>
      <w:r w:rsidR="004751BB">
        <w:rPr>
          <w:rStyle w:val="FootnoteReference"/>
          <w:rFonts w:ascii="Times New Roman" w:hAnsi="Times New Roman" w:cs="Times New Roman"/>
          <w:sz w:val="24"/>
          <w:szCs w:val="28"/>
        </w:rPr>
        <w:footnoteReference w:id="72"/>
      </w:r>
      <w:r w:rsidR="004751BB">
        <w:rPr>
          <w:rFonts w:ascii="Times New Roman" w:hAnsi="Times New Roman" w:cs="Times New Roman"/>
          <w:sz w:val="24"/>
          <w:szCs w:val="28"/>
        </w:rPr>
        <w:t xml:space="preserve"> I would argue that the importance of virginity has declined and now the importance is placed on the number of sexual partners a woman has had. </w:t>
      </w:r>
      <w:r>
        <w:rPr>
          <w:rFonts w:ascii="Times New Roman" w:hAnsi="Times New Roman" w:cs="Times New Roman"/>
          <w:sz w:val="24"/>
          <w:szCs w:val="28"/>
        </w:rPr>
        <w:t>In most texts pertaining to sexuality, men are seen as the default.</w:t>
      </w:r>
      <w:r>
        <w:rPr>
          <w:rStyle w:val="FootnoteReference"/>
          <w:rFonts w:ascii="Times New Roman" w:hAnsi="Times New Roman" w:cs="Times New Roman"/>
          <w:sz w:val="24"/>
          <w:szCs w:val="28"/>
        </w:rPr>
        <w:footnoteReference w:id="73"/>
      </w:r>
      <w:r>
        <w:rPr>
          <w:rFonts w:ascii="Times New Roman" w:hAnsi="Times New Roman" w:cs="Times New Roman"/>
          <w:sz w:val="24"/>
          <w:szCs w:val="28"/>
        </w:rPr>
        <w:t xml:space="preserve"> Because of the default, their sexual permissiveness is not scrutinised to the same extent.</w:t>
      </w:r>
      <w:r>
        <w:rPr>
          <w:rStyle w:val="FootnoteReference"/>
          <w:rFonts w:ascii="Times New Roman" w:hAnsi="Times New Roman" w:cs="Times New Roman"/>
          <w:sz w:val="24"/>
          <w:szCs w:val="28"/>
        </w:rPr>
        <w:footnoteReference w:id="74"/>
      </w:r>
      <w:r>
        <w:rPr>
          <w:rFonts w:ascii="Times New Roman" w:hAnsi="Times New Roman" w:cs="Times New Roman"/>
          <w:sz w:val="24"/>
          <w:szCs w:val="28"/>
        </w:rPr>
        <w:t xml:space="preserve"> In contrast, the blame is shifted onto women to hold all sexual morality</w:t>
      </w:r>
      <w:r>
        <w:rPr>
          <w:rStyle w:val="FootnoteReference"/>
          <w:rFonts w:ascii="Times New Roman" w:hAnsi="Times New Roman" w:cs="Times New Roman"/>
          <w:sz w:val="24"/>
          <w:szCs w:val="28"/>
        </w:rPr>
        <w:footnoteReference w:id="75"/>
      </w:r>
      <w:r>
        <w:rPr>
          <w:rFonts w:ascii="Times New Roman" w:hAnsi="Times New Roman" w:cs="Times New Roman"/>
          <w:sz w:val="24"/>
          <w:szCs w:val="28"/>
        </w:rPr>
        <w:t xml:space="preserve"> and to control themselves to ensure they don’t accidentally seduce</w:t>
      </w:r>
      <w:r>
        <w:rPr>
          <w:rStyle w:val="FootnoteReference"/>
          <w:rFonts w:ascii="Times New Roman" w:hAnsi="Times New Roman" w:cs="Times New Roman"/>
          <w:sz w:val="24"/>
          <w:szCs w:val="28"/>
        </w:rPr>
        <w:footnoteReference w:id="76"/>
      </w:r>
      <w:r>
        <w:rPr>
          <w:rFonts w:ascii="Times New Roman" w:hAnsi="Times New Roman" w:cs="Times New Roman"/>
          <w:sz w:val="24"/>
          <w:szCs w:val="28"/>
        </w:rPr>
        <w:t xml:space="preserve"> a man (This idea not only being seen in modern studies, but also in the story of Mary of Egypt, and a reason as to why she chose to live alone in the desert</w:t>
      </w:r>
      <w:r>
        <w:rPr>
          <w:rStyle w:val="FootnoteReference"/>
          <w:rFonts w:ascii="Times New Roman" w:hAnsi="Times New Roman" w:cs="Times New Roman"/>
          <w:sz w:val="24"/>
          <w:szCs w:val="28"/>
        </w:rPr>
        <w:footnoteReference w:id="77"/>
      </w:r>
      <w:r>
        <w:rPr>
          <w:rFonts w:ascii="Times New Roman" w:hAnsi="Times New Roman" w:cs="Times New Roman"/>
          <w:sz w:val="24"/>
          <w:szCs w:val="28"/>
        </w:rPr>
        <w:t>)</w:t>
      </w:r>
      <w:r>
        <w:rPr>
          <w:rFonts w:ascii="Times New Roman" w:hAnsi="Times New Roman" w:cs="Times New Roman"/>
          <w:sz w:val="24"/>
          <w:szCs w:val="28"/>
        </w:rPr>
        <w:br/>
      </w:r>
    </w:p>
    <w:p w:rsidR="00274A15" w:rsidRDefault="00CA6084" w:rsidP="00A554F5">
      <w:pPr>
        <w:rPr>
          <w:rFonts w:ascii="Times New Roman" w:hAnsi="Times New Roman" w:cs="Times New Roman"/>
          <w:sz w:val="24"/>
          <w:szCs w:val="28"/>
        </w:rPr>
      </w:pPr>
      <w:r>
        <w:rPr>
          <w:rFonts w:ascii="Times New Roman" w:hAnsi="Times New Roman" w:cs="Times New Roman"/>
          <w:sz w:val="24"/>
          <w:szCs w:val="28"/>
        </w:rPr>
        <w:t>In conclusion, though the significance of virginity in the western world may have lessened, women are still very much scrutinised depending on their sex</w:t>
      </w:r>
      <w:r w:rsidR="00CF37FC">
        <w:rPr>
          <w:rFonts w:ascii="Times New Roman" w:hAnsi="Times New Roman" w:cs="Times New Roman"/>
          <w:sz w:val="24"/>
          <w:szCs w:val="28"/>
        </w:rPr>
        <w:t>uality by the majority of people due to negative views being held throughout religious history. I believe t</w:t>
      </w:r>
      <w:r>
        <w:rPr>
          <w:rFonts w:ascii="Times New Roman" w:hAnsi="Times New Roman" w:cs="Times New Roman"/>
          <w:sz w:val="24"/>
          <w:szCs w:val="28"/>
        </w:rPr>
        <w:t>he only way to change this</w:t>
      </w:r>
      <w:r w:rsidR="00CF37FC">
        <w:rPr>
          <w:rFonts w:ascii="Times New Roman" w:hAnsi="Times New Roman" w:cs="Times New Roman"/>
          <w:sz w:val="24"/>
          <w:szCs w:val="28"/>
        </w:rPr>
        <w:t xml:space="preserve"> is by taking conscious steps</w:t>
      </w:r>
      <w:r>
        <w:rPr>
          <w:rFonts w:ascii="Times New Roman" w:hAnsi="Times New Roman" w:cs="Times New Roman"/>
          <w:sz w:val="24"/>
          <w:szCs w:val="28"/>
        </w:rPr>
        <w:t xml:space="preserve"> to unlearn these aspects of misogyny (also sometimes internalised misogyny </w:t>
      </w:r>
      <w:r w:rsidR="00CF37FC">
        <w:rPr>
          <w:rFonts w:ascii="Times New Roman" w:hAnsi="Times New Roman" w:cs="Times New Roman"/>
          <w:sz w:val="24"/>
          <w:szCs w:val="28"/>
        </w:rPr>
        <w:t xml:space="preserve">in </w:t>
      </w:r>
      <w:r>
        <w:rPr>
          <w:rFonts w:ascii="Times New Roman" w:hAnsi="Times New Roman" w:cs="Times New Roman"/>
          <w:sz w:val="24"/>
          <w:szCs w:val="28"/>
        </w:rPr>
        <w:t>women) and be critical of historical records and opinions of women who are viewed as sexually p</w:t>
      </w:r>
      <w:r w:rsidR="00CF37FC">
        <w:rPr>
          <w:rFonts w:ascii="Times New Roman" w:hAnsi="Times New Roman" w:cs="Times New Roman"/>
          <w:sz w:val="24"/>
          <w:szCs w:val="28"/>
        </w:rPr>
        <w:t xml:space="preserve">ermissive in their own context, and realise how our own human history has made these views innate in our socialisation, so this may change. </w:t>
      </w:r>
    </w:p>
    <w:p w:rsidR="00910B4D" w:rsidRDefault="00910B4D" w:rsidP="00A554F5">
      <w:pPr>
        <w:rPr>
          <w:rFonts w:ascii="Times New Roman" w:hAnsi="Times New Roman" w:cs="Times New Roman"/>
          <w:b/>
          <w:sz w:val="24"/>
          <w:szCs w:val="28"/>
        </w:rPr>
      </w:pPr>
    </w:p>
    <w:p w:rsidR="00910B4D" w:rsidRDefault="00910B4D" w:rsidP="00A554F5">
      <w:pPr>
        <w:rPr>
          <w:rFonts w:ascii="Times New Roman" w:hAnsi="Times New Roman" w:cs="Times New Roman"/>
          <w:b/>
          <w:sz w:val="24"/>
          <w:szCs w:val="28"/>
        </w:rPr>
      </w:pPr>
    </w:p>
    <w:p w:rsidR="00910B4D" w:rsidRDefault="00910B4D" w:rsidP="00A554F5">
      <w:pPr>
        <w:rPr>
          <w:rFonts w:ascii="Times New Roman" w:hAnsi="Times New Roman" w:cs="Times New Roman"/>
          <w:b/>
          <w:sz w:val="24"/>
          <w:szCs w:val="28"/>
        </w:rPr>
      </w:pPr>
    </w:p>
    <w:p w:rsidR="00910B4D" w:rsidRDefault="00910B4D" w:rsidP="00A554F5">
      <w:pPr>
        <w:rPr>
          <w:rFonts w:ascii="Times New Roman" w:hAnsi="Times New Roman" w:cs="Times New Roman"/>
          <w:b/>
          <w:sz w:val="24"/>
          <w:szCs w:val="28"/>
        </w:rPr>
      </w:pPr>
    </w:p>
    <w:p w:rsidR="00910B4D" w:rsidRDefault="00910B4D" w:rsidP="00A554F5">
      <w:pPr>
        <w:rPr>
          <w:rFonts w:ascii="Times New Roman" w:hAnsi="Times New Roman" w:cs="Times New Roman"/>
          <w:b/>
          <w:sz w:val="24"/>
          <w:szCs w:val="28"/>
        </w:rPr>
      </w:pPr>
    </w:p>
    <w:p w:rsidR="00910B4D" w:rsidRDefault="00910B4D" w:rsidP="00A554F5">
      <w:pPr>
        <w:pBdr>
          <w:bottom w:val="dotted" w:sz="24" w:space="1" w:color="auto"/>
        </w:pBdr>
        <w:rPr>
          <w:rFonts w:ascii="Times New Roman" w:hAnsi="Times New Roman" w:cs="Times New Roman"/>
          <w:b/>
          <w:sz w:val="24"/>
          <w:szCs w:val="28"/>
        </w:rPr>
      </w:pPr>
    </w:p>
    <w:p w:rsidR="00910B4D" w:rsidRPr="00910B4D" w:rsidRDefault="00910B4D" w:rsidP="00A554F5">
      <w:pPr>
        <w:rPr>
          <w:rFonts w:ascii="Times New Roman" w:hAnsi="Times New Roman" w:cs="Times New Roman"/>
          <w:sz w:val="24"/>
          <w:szCs w:val="28"/>
        </w:rPr>
      </w:pPr>
      <w:r>
        <w:rPr>
          <w:rFonts w:ascii="Times New Roman" w:hAnsi="Times New Roman" w:cs="Times New Roman"/>
          <w:b/>
          <w:sz w:val="24"/>
          <w:szCs w:val="28"/>
        </w:rPr>
        <w:t xml:space="preserve">Word Count: </w:t>
      </w:r>
      <w:r>
        <w:rPr>
          <w:rFonts w:ascii="Times New Roman" w:hAnsi="Times New Roman" w:cs="Times New Roman"/>
          <w:sz w:val="24"/>
          <w:szCs w:val="28"/>
        </w:rPr>
        <w:t>2,305</w:t>
      </w:r>
    </w:p>
    <w:p w:rsidR="00910B4D" w:rsidRDefault="00910B4D" w:rsidP="00A554F5">
      <w:pPr>
        <w:rPr>
          <w:rFonts w:ascii="Times New Roman" w:hAnsi="Times New Roman" w:cs="Times New Roman"/>
          <w:b/>
          <w:sz w:val="24"/>
          <w:szCs w:val="28"/>
        </w:rPr>
      </w:pPr>
    </w:p>
    <w:p w:rsidR="00EF123E" w:rsidRDefault="00EF123E" w:rsidP="00A554F5">
      <w:pPr>
        <w:rPr>
          <w:rFonts w:ascii="Times New Roman" w:hAnsi="Times New Roman" w:cs="Times New Roman"/>
          <w:b/>
          <w:sz w:val="24"/>
          <w:szCs w:val="28"/>
        </w:rPr>
      </w:pPr>
      <w:r>
        <w:rPr>
          <w:rFonts w:ascii="Times New Roman" w:hAnsi="Times New Roman" w:cs="Times New Roman"/>
          <w:b/>
          <w:sz w:val="24"/>
          <w:szCs w:val="28"/>
        </w:rPr>
        <w:t>Bibliography</w:t>
      </w:r>
    </w:p>
    <w:p w:rsidR="00465D40" w:rsidRDefault="00465D40" w:rsidP="00465D40">
      <w:pPr>
        <w:pStyle w:val="ListParagraph"/>
        <w:numPr>
          <w:ilvl w:val="0"/>
          <w:numId w:val="1"/>
        </w:numPr>
        <w:rPr>
          <w:rFonts w:ascii="Times New Roman" w:hAnsi="Times New Roman" w:cs="Times New Roman"/>
          <w:sz w:val="24"/>
          <w:szCs w:val="24"/>
        </w:rPr>
      </w:pPr>
      <w:r w:rsidRPr="00EF123E">
        <w:rPr>
          <w:rFonts w:ascii="Times New Roman" w:hAnsi="Times New Roman" w:cs="Times New Roman"/>
          <w:sz w:val="24"/>
          <w:szCs w:val="24"/>
        </w:rPr>
        <w:t xml:space="preserve">Ehrman. B. D, 1993, The “Acts of Thecla”, In: Elliott. J. K, (eds.) </w:t>
      </w:r>
      <w:r w:rsidRPr="00EF123E">
        <w:rPr>
          <w:rFonts w:ascii="Times New Roman" w:hAnsi="Times New Roman" w:cs="Times New Roman"/>
          <w:i/>
          <w:sz w:val="24"/>
          <w:szCs w:val="24"/>
        </w:rPr>
        <w:t>The Apocryphal New Testament</w:t>
      </w:r>
      <w:r w:rsidRPr="00EF123E">
        <w:rPr>
          <w:rFonts w:ascii="Times New Roman" w:hAnsi="Times New Roman" w:cs="Times New Roman"/>
          <w:sz w:val="24"/>
          <w:szCs w:val="24"/>
        </w:rPr>
        <w:t>, Oxford University Press, Oxford</w:t>
      </w:r>
      <w:r>
        <w:rPr>
          <w:rFonts w:ascii="Times New Roman" w:hAnsi="Times New Roman" w:cs="Times New Roman"/>
          <w:sz w:val="24"/>
          <w:szCs w:val="24"/>
        </w:rPr>
        <w:br/>
      </w:r>
    </w:p>
    <w:p w:rsidR="00465D40" w:rsidRDefault="00465D40" w:rsidP="00465D40">
      <w:pPr>
        <w:pStyle w:val="ListParagraph"/>
        <w:numPr>
          <w:ilvl w:val="0"/>
          <w:numId w:val="1"/>
        </w:numPr>
        <w:rPr>
          <w:rFonts w:ascii="Times New Roman" w:hAnsi="Times New Roman" w:cs="Times New Roman"/>
          <w:sz w:val="24"/>
          <w:szCs w:val="24"/>
        </w:rPr>
      </w:pPr>
      <w:r w:rsidRPr="00EF123E">
        <w:rPr>
          <w:rFonts w:ascii="Times New Roman" w:hAnsi="Times New Roman" w:cs="Times New Roman"/>
          <w:sz w:val="24"/>
          <w:szCs w:val="24"/>
        </w:rPr>
        <w:t xml:space="preserve">Ehrman. B. D, Jacobs. A. S, 2003, The Life of Pelagia, In: Brock. S, Ashbrook Harvey. S, (eds.) </w:t>
      </w:r>
      <w:r w:rsidRPr="00EF123E">
        <w:rPr>
          <w:rFonts w:ascii="Times New Roman" w:hAnsi="Times New Roman" w:cs="Times New Roman"/>
          <w:i/>
          <w:sz w:val="24"/>
          <w:szCs w:val="24"/>
        </w:rPr>
        <w:t>Holy Women of the Syrian Orient</w:t>
      </w:r>
      <w:r w:rsidRPr="00EF123E">
        <w:rPr>
          <w:rFonts w:ascii="Times New Roman" w:hAnsi="Times New Roman" w:cs="Times New Roman"/>
          <w:sz w:val="24"/>
          <w:szCs w:val="24"/>
        </w:rPr>
        <w:t>, University of California Press, Berkeley</w:t>
      </w:r>
      <w:r>
        <w:rPr>
          <w:rFonts w:ascii="Times New Roman" w:hAnsi="Times New Roman" w:cs="Times New Roman"/>
          <w:sz w:val="24"/>
          <w:szCs w:val="24"/>
        </w:rPr>
        <w:br/>
      </w:r>
    </w:p>
    <w:p w:rsidR="00465D40" w:rsidRPr="00465D40" w:rsidRDefault="00465D40" w:rsidP="00465D40">
      <w:pPr>
        <w:pStyle w:val="ListParagraph"/>
        <w:numPr>
          <w:ilvl w:val="0"/>
          <w:numId w:val="1"/>
        </w:numPr>
        <w:rPr>
          <w:rFonts w:ascii="Times New Roman" w:hAnsi="Times New Roman" w:cs="Times New Roman"/>
          <w:sz w:val="24"/>
          <w:szCs w:val="24"/>
        </w:rPr>
      </w:pPr>
      <w:r w:rsidRPr="00EF123E">
        <w:rPr>
          <w:rFonts w:ascii="Times New Roman" w:hAnsi="Times New Roman" w:cs="Times New Roman"/>
          <w:sz w:val="24"/>
          <w:szCs w:val="24"/>
        </w:rPr>
        <w:t xml:space="preserve">Elliott. D, 1993, </w:t>
      </w:r>
      <w:r w:rsidRPr="00EF123E">
        <w:rPr>
          <w:rFonts w:ascii="Times New Roman" w:hAnsi="Times New Roman" w:cs="Times New Roman"/>
          <w:i/>
          <w:sz w:val="24"/>
          <w:szCs w:val="24"/>
        </w:rPr>
        <w:t xml:space="preserve">Spiritual Marriage: Sexual Abstinence in Medieval Wedlock, </w:t>
      </w:r>
      <w:r w:rsidRPr="00EF123E">
        <w:rPr>
          <w:rFonts w:ascii="Times New Roman" w:hAnsi="Times New Roman" w:cs="Times New Roman"/>
          <w:sz w:val="24"/>
          <w:szCs w:val="24"/>
        </w:rPr>
        <w:t>Princeton, Princeton University Press</w:t>
      </w:r>
      <w:r w:rsidRPr="00465D40">
        <w:rPr>
          <w:rFonts w:ascii="Times New Roman" w:hAnsi="Times New Roman" w:cs="Times New Roman"/>
          <w:sz w:val="24"/>
          <w:szCs w:val="24"/>
        </w:rPr>
        <w:br/>
      </w:r>
    </w:p>
    <w:p w:rsidR="00465D40" w:rsidRDefault="00465D40" w:rsidP="00465D40">
      <w:pPr>
        <w:pStyle w:val="ListParagraph"/>
        <w:numPr>
          <w:ilvl w:val="0"/>
          <w:numId w:val="1"/>
        </w:numPr>
        <w:rPr>
          <w:rFonts w:ascii="Times New Roman" w:hAnsi="Times New Roman" w:cs="Times New Roman"/>
          <w:sz w:val="24"/>
          <w:szCs w:val="24"/>
        </w:rPr>
      </w:pPr>
      <w:r w:rsidRPr="00EF123E">
        <w:rPr>
          <w:rFonts w:ascii="Times New Roman" w:hAnsi="Times New Roman" w:cs="Times New Roman"/>
          <w:sz w:val="24"/>
          <w:szCs w:val="24"/>
        </w:rPr>
        <w:t xml:space="preserve">Hastrup. K, 1993, The Semantics of Biology: Virginity, In: Ardener. S, </w:t>
      </w:r>
      <w:r w:rsidRPr="00EF123E">
        <w:rPr>
          <w:rFonts w:ascii="Times New Roman" w:hAnsi="Times New Roman" w:cs="Times New Roman"/>
          <w:i/>
          <w:sz w:val="24"/>
          <w:szCs w:val="24"/>
        </w:rPr>
        <w:t>Defining Females, The Nature of Women in Society</w:t>
      </w:r>
      <w:r w:rsidRPr="00EF123E">
        <w:rPr>
          <w:rFonts w:ascii="Times New Roman" w:hAnsi="Times New Roman" w:cs="Times New Roman"/>
          <w:sz w:val="24"/>
          <w:szCs w:val="24"/>
        </w:rPr>
        <w:t>, Oxford, Berg Publishers Ltd.</w:t>
      </w:r>
      <w:r>
        <w:rPr>
          <w:rFonts w:ascii="Times New Roman" w:hAnsi="Times New Roman" w:cs="Times New Roman"/>
          <w:sz w:val="24"/>
          <w:szCs w:val="24"/>
        </w:rPr>
        <w:br/>
      </w:r>
    </w:p>
    <w:p w:rsidR="00465D40" w:rsidRPr="00465D40" w:rsidRDefault="00465D40" w:rsidP="00465D40">
      <w:pPr>
        <w:pStyle w:val="ListParagraph"/>
        <w:numPr>
          <w:ilvl w:val="0"/>
          <w:numId w:val="1"/>
        </w:numPr>
        <w:rPr>
          <w:rFonts w:ascii="Times New Roman" w:hAnsi="Times New Roman" w:cs="Times New Roman"/>
          <w:sz w:val="24"/>
          <w:szCs w:val="24"/>
        </w:rPr>
      </w:pPr>
      <w:r w:rsidRPr="00EF123E">
        <w:rPr>
          <w:rFonts w:ascii="Times New Roman" w:eastAsia="Times New Roman" w:hAnsi="Times New Roman" w:cs="Times New Roman"/>
          <w:sz w:val="24"/>
          <w:szCs w:val="24"/>
          <w:lang w:eastAsia="en-GB"/>
        </w:rPr>
        <w:t xml:space="preserve">Hatipoğlu Sümer. Z, 2014, Gender, Religiosity, Sexual Activity, Sexual Knowledge, and Attitudes Toward Controversial Aspects of Sexuality, In: </w:t>
      </w:r>
      <w:r w:rsidRPr="00EF123E">
        <w:rPr>
          <w:rFonts w:ascii="Times New Roman" w:eastAsia="Times New Roman" w:hAnsi="Times New Roman" w:cs="Times New Roman"/>
          <w:i/>
          <w:sz w:val="24"/>
          <w:szCs w:val="24"/>
          <w:lang w:eastAsia="en-GB"/>
        </w:rPr>
        <w:t>Journal of Religion and Health</w:t>
      </w:r>
      <w:r w:rsidRPr="00EF123E">
        <w:rPr>
          <w:rFonts w:ascii="Times New Roman" w:eastAsia="Times New Roman" w:hAnsi="Times New Roman" w:cs="Times New Roman"/>
          <w:sz w:val="24"/>
          <w:szCs w:val="24"/>
          <w:lang w:eastAsia="en-GB"/>
        </w:rPr>
        <w:t xml:space="preserve">, Vol. 54, Issue 6, Springer US, </w:t>
      </w:r>
      <w:hyperlink r:id="rId8" w:history="1">
        <w:r w:rsidRPr="00EF123E">
          <w:rPr>
            <w:rStyle w:val="Hyperlink"/>
            <w:rFonts w:ascii="Times New Roman" w:hAnsi="Times New Roman" w:cs="Times New Roman"/>
            <w:spacing w:val="4"/>
            <w:sz w:val="24"/>
            <w:szCs w:val="24"/>
            <w:shd w:val="clear" w:color="auto" w:fill="FFFFFF"/>
          </w:rPr>
          <w:t>https://doi.org/10.1007/s10943-014-9831-5</w:t>
        </w:r>
      </w:hyperlink>
      <w:r w:rsidRPr="00EF123E">
        <w:rPr>
          <w:rFonts w:ascii="Times New Roman" w:hAnsi="Times New Roman" w:cs="Times New Roman"/>
          <w:color w:val="333333"/>
          <w:spacing w:val="4"/>
          <w:sz w:val="24"/>
          <w:szCs w:val="24"/>
          <w:shd w:val="clear" w:color="auto" w:fill="FFFFFF"/>
        </w:rPr>
        <w:t xml:space="preserve"> </w:t>
      </w:r>
      <w:r w:rsidRPr="00EF123E">
        <w:rPr>
          <w:rFonts w:ascii="Times New Roman" w:hAnsi="Times New Roman" w:cs="Times New Roman"/>
          <w:spacing w:val="4"/>
          <w:sz w:val="24"/>
          <w:szCs w:val="24"/>
          <w:shd w:val="clear" w:color="auto" w:fill="FFFFFF"/>
        </w:rPr>
        <w:t>[Last Accessed: 16/11/2017]</w:t>
      </w:r>
      <w:r>
        <w:rPr>
          <w:rFonts w:ascii="Times New Roman" w:hAnsi="Times New Roman" w:cs="Times New Roman"/>
          <w:spacing w:val="4"/>
          <w:sz w:val="24"/>
          <w:szCs w:val="24"/>
          <w:shd w:val="clear" w:color="auto" w:fill="FFFFFF"/>
        </w:rPr>
        <w:br/>
      </w:r>
    </w:p>
    <w:p w:rsidR="00465D40" w:rsidRDefault="00465D40" w:rsidP="00465D40">
      <w:pPr>
        <w:pStyle w:val="ListParagraph"/>
        <w:numPr>
          <w:ilvl w:val="0"/>
          <w:numId w:val="1"/>
        </w:numPr>
        <w:rPr>
          <w:rFonts w:ascii="Times New Roman" w:hAnsi="Times New Roman" w:cs="Times New Roman"/>
          <w:sz w:val="24"/>
          <w:szCs w:val="24"/>
        </w:rPr>
      </w:pPr>
      <w:r w:rsidRPr="00EF123E">
        <w:rPr>
          <w:rFonts w:ascii="Times New Roman" w:hAnsi="Times New Roman" w:cs="Times New Roman"/>
          <w:sz w:val="24"/>
          <w:szCs w:val="24"/>
        </w:rPr>
        <w:t xml:space="preserve">Karras. R. M, 1990, Holy Harlots: Prostitute Saints in Medieval Legend, In: </w:t>
      </w:r>
      <w:r w:rsidRPr="00EF123E">
        <w:rPr>
          <w:rFonts w:ascii="Times New Roman" w:hAnsi="Times New Roman" w:cs="Times New Roman"/>
          <w:i/>
          <w:sz w:val="24"/>
          <w:szCs w:val="24"/>
        </w:rPr>
        <w:t>Journal of the History of Sexuality</w:t>
      </w:r>
      <w:r w:rsidRPr="00EF123E">
        <w:rPr>
          <w:rFonts w:ascii="Times New Roman" w:hAnsi="Times New Roman" w:cs="Times New Roman"/>
          <w:sz w:val="24"/>
          <w:szCs w:val="24"/>
        </w:rPr>
        <w:t xml:space="preserve">, Vol 1, #1, University of Texas Press, </w:t>
      </w:r>
      <w:hyperlink r:id="rId9" w:history="1">
        <w:r w:rsidRPr="00EF123E">
          <w:rPr>
            <w:rStyle w:val="Hyperlink"/>
            <w:rFonts w:ascii="Times New Roman" w:hAnsi="Times New Roman" w:cs="Times New Roman"/>
            <w:sz w:val="24"/>
            <w:szCs w:val="24"/>
          </w:rPr>
          <w:t>http://www.jstor.org/stable/3704459</w:t>
        </w:r>
      </w:hyperlink>
      <w:r w:rsidRPr="00EF123E">
        <w:rPr>
          <w:rFonts w:ascii="Times New Roman" w:hAnsi="Times New Roman" w:cs="Times New Roman"/>
          <w:sz w:val="24"/>
          <w:szCs w:val="24"/>
        </w:rPr>
        <w:t xml:space="preserve"> [Last Accessed: 16/11/2017]</w:t>
      </w:r>
      <w:r>
        <w:rPr>
          <w:rFonts w:ascii="Times New Roman" w:hAnsi="Times New Roman" w:cs="Times New Roman"/>
          <w:sz w:val="24"/>
          <w:szCs w:val="24"/>
        </w:rPr>
        <w:br/>
      </w:r>
    </w:p>
    <w:p w:rsidR="00465D40" w:rsidRPr="00465D40" w:rsidRDefault="00465D40" w:rsidP="00465D40">
      <w:pPr>
        <w:pStyle w:val="ListParagraph"/>
        <w:numPr>
          <w:ilvl w:val="0"/>
          <w:numId w:val="1"/>
        </w:numPr>
        <w:rPr>
          <w:rFonts w:ascii="Times New Roman" w:hAnsi="Times New Roman" w:cs="Times New Roman"/>
          <w:sz w:val="24"/>
          <w:szCs w:val="24"/>
        </w:rPr>
      </w:pPr>
      <w:r w:rsidRPr="00EF123E">
        <w:rPr>
          <w:rFonts w:ascii="Times New Roman" w:hAnsi="Times New Roman" w:cs="Times New Roman"/>
          <w:sz w:val="24"/>
          <w:szCs w:val="24"/>
        </w:rPr>
        <w:t xml:space="preserve">Kearney. R (trans.), 1999, </w:t>
      </w:r>
      <w:r w:rsidRPr="00EF123E">
        <w:rPr>
          <w:rFonts w:ascii="Times New Roman" w:hAnsi="Times New Roman" w:cs="Times New Roman"/>
          <w:i/>
          <w:sz w:val="24"/>
          <w:szCs w:val="24"/>
        </w:rPr>
        <w:t>The Works of Saint Augustine – Marriage and Virginity</w:t>
      </w:r>
      <w:r w:rsidRPr="00EF123E">
        <w:rPr>
          <w:rFonts w:ascii="Times New Roman" w:hAnsi="Times New Roman" w:cs="Times New Roman"/>
          <w:sz w:val="24"/>
          <w:szCs w:val="24"/>
        </w:rPr>
        <w:t>, New York, New City Press</w:t>
      </w:r>
      <w:r w:rsidRPr="00465D40">
        <w:rPr>
          <w:rFonts w:ascii="Times New Roman" w:hAnsi="Times New Roman" w:cs="Times New Roman"/>
          <w:spacing w:val="4"/>
          <w:sz w:val="24"/>
          <w:szCs w:val="24"/>
          <w:shd w:val="clear" w:color="auto" w:fill="FFFFFF"/>
        </w:rPr>
        <w:br/>
      </w:r>
    </w:p>
    <w:p w:rsidR="00EF123E" w:rsidRPr="00EF123E" w:rsidRDefault="00EF123E" w:rsidP="00EF123E">
      <w:pPr>
        <w:pStyle w:val="ListParagraph"/>
        <w:numPr>
          <w:ilvl w:val="0"/>
          <w:numId w:val="1"/>
        </w:numPr>
        <w:rPr>
          <w:rFonts w:ascii="Times New Roman" w:hAnsi="Times New Roman" w:cs="Times New Roman"/>
          <w:sz w:val="24"/>
          <w:szCs w:val="24"/>
        </w:rPr>
      </w:pPr>
      <w:r w:rsidRPr="00EF123E">
        <w:rPr>
          <w:rFonts w:ascii="Times New Roman" w:hAnsi="Times New Roman" w:cs="Times New Roman"/>
          <w:sz w:val="24"/>
          <w:szCs w:val="24"/>
        </w:rPr>
        <w:t xml:space="preserve">Kouli. M (trans.), 1996, Life of St. Mary of Egypt, In: Talbot. A. M (eds.), </w:t>
      </w:r>
      <w:r w:rsidRPr="00EF123E">
        <w:rPr>
          <w:rFonts w:ascii="Times New Roman" w:hAnsi="Times New Roman" w:cs="Times New Roman"/>
          <w:i/>
          <w:sz w:val="24"/>
          <w:szCs w:val="24"/>
        </w:rPr>
        <w:t>Holy Women of Byzantium: Ten Saint’s Lives in English Translation</w:t>
      </w:r>
      <w:r w:rsidRPr="00EF123E">
        <w:rPr>
          <w:rFonts w:ascii="Times New Roman" w:hAnsi="Times New Roman" w:cs="Times New Roman"/>
          <w:sz w:val="24"/>
          <w:szCs w:val="24"/>
        </w:rPr>
        <w:t>, Dumbarton Oaks Research Library and Collection, Washington D.C</w:t>
      </w:r>
      <w:r w:rsidRPr="00EF123E">
        <w:rPr>
          <w:rFonts w:ascii="Times New Roman" w:hAnsi="Times New Roman" w:cs="Times New Roman"/>
          <w:sz w:val="24"/>
          <w:szCs w:val="24"/>
        </w:rPr>
        <w:br/>
      </w:r>
    </w:p>
    <w:p w:rsidR="00EF123E" w:rsidRPr="00465D40" w:rsidRDefault="00EF123E" w:rsidP="00465D40">
      <w:pPr>
        <w:pStyle w:val="ListParagraph"/>
        <w:numPr>
          <w:ilvl w:val="0"/>
          <w:numId w:val="1"/>
        </w:numPr>
        <w:rPr>
          <w:rFonts w:ascii="Times New Roman" w:hAnsi="Times New Roman" w:cs="Times New Roman"/>
          <w:sz w:val="24"/>
          <w:szCs w:val="24"/>
        </w:rPr>
      </w:pPr>
      <w:r w:rsidRPr="00EF123E">
        <w:rPr>
          <w:rFonts w:ascii="Times New Roman" w:hAnsi="Times New Roman" w:cs="Times New Roman"/>
          <w:sz w:val="24"/>
          <w:szCs w:val="24"/>
        </w:rPr>
        <w:t xml:space="preserve">Laeuchli. S, 1972, </w:t>
      </w:r>
      <w:r w:rsidRPr="00EF123E">
        <w:rPr>
          <w:rFonts w:ascii="Times New Roman" w:hAnsi="Times New Roman" w:cs="Times New Roman"/>
          <w:i/>
          <w:sz w:val="24"/>
          <w:szCs w:val="24"/>
        </w:rPr>
        <w:t>The Emergence of Canon Law at the Synod of Elvira</w:t>
      </w:r>
      <w:r w:rsidRPr="00EF123E">
        <w:rPr>
          <w:rFonts w:ascii="Times New Roman" w:hAnsi="Times New Roman" w:cs="Times New Roman"/>
          <w:sz w:val="24"/>
          <w:szCs w:val="24"/>
        </w:rPr>
        <w:t>, Temple</w:t>
      </w:r>
      <w:r w:rsidR="00465D40">
        <w:rPr>
          <w:rFonts w:ascii="Times New Roman" w:hAnsi="Times New Roman" w:cs="Times New Roman"/>
          <w:sz w:val="24"/>
          <w:szCs w:val="24"/>
        </w:rPr>
        <w:t xml:space="preserve"> University Press, Philadelphia</w:t>
      </w:r>
      <w:bookmarkStart w:id="0" w:name="_GoBack"/>
      <w:bookmarkEnd w:id="0"/>
      <w:r w:rsidRPr="00465D40">
        <w:rPr>
          <w:rFonts w:ascii="Times New Roman" w:hAnsi="Times New Roman" w:cs="Times New Roman"/>
          <w:sz w:val="24"/>
          <w:szCs w:val="24"/>
        </w:rPr>
        <w:br/>
      </w:r>
    </w:p>
    <w:p w:rsidR="00465D40" w:rsidRDefault="00EF123E" w:rsidP="00465D40">
      <w:pPr>
        <w:pStyle w:val="ListParagraph"/>
        <w:numPr>
          <w:ilvl w:val="0"/>
          <w:numId w:val="1"/>
        </w:numPr>
        <w:rPr>
          <w:rFonts w:ascii="Times New Roman" w:hAnsi="Times New Roman" w:cs="Times New Roman"/>
          <w:sz w:val="24"/>
          <w:szCs w:val="24"/>
        </w:rPr>
      </w:pPr>
      <w:r w:rsidRPr="00EF123E">
        <w:rPr>
          <w:rFonts w:ascii="Times New Roman" w:hAnsi="Times New Roman" w:cs="Times New Roman"/>
          <w:sz w:val="24"/>
          <w:szCs w:val="24"/>
        </w:rPr>
        <w:t xml:space="preserve">Papp. L. J, Hagerman. C, Gnoleba. M. A, </w:t>
      </w:r>
      <w:r w:rsidRPr="00EF123E">
        <w:rPr>
          <w:rFonts w:ascii="Times New Roman" w:hAnsi="Times New Roman" w:cs="Times New Roman"/>
          <w:i/>
          <w:sz w:val="24"/>
          <w:szCs w:val="24"/>
        </w:rPr>
        <w:t>et al</w:t>
      </w:r>
      <w:r w:rsidRPr="00EF123E">
        <w:rPr>
          <w:rFonts w:ascii="Times New Roman" w:hAnsi="Times New Roman" w:cs="Times New Roman"/>
          <w:sz w:val="24"/>
          <w:szCs w:val="24"/>
        </w:rPr>
        <w:t>, 2015, Exploring Perceptions of Slut-Shaming on Facebook: Evidence for a Reverse Sexual Double Standard</w:t>
      </w:r>
      <w:r w:rsidRPr="00EF123E">
        <w:rPr>
          <w:rFonts w:ascii="Times New Roman" w:hAnsi="Times New Roman" w:cs="Times New Roman"/>
          <w:i/>
          <w:sz w:val="24"/>
          <w:szCs w:val="24"/>
        </w:rPr>
        <w:t xml:space="preserve">, </w:t>
      </w:r>
      <w:r w:rsidRPr="00EF123E">
        <w:rPr>
          <w:rFonts w:ascii="Times New Roman" w:hAnsi="Times New Roman" w:cs="Times New Roman"/>
          <w:sz w:val="24"/>
          <w:szCs w:val="24"/>
        </w:rPr>
        <w:t xml:space="preserve">In: </w:t>
      </w:r>
      <w:r w:rsidRPr="00EF123E">
        <w:rPr>
          <w:rFonts w:ascii="Times New Roman" w:hAnsi="Times New Roman" w:cs="Times New Roman"/>
          <w:i/>
          <w:sz w:val="24"/>
          <w:szCs w:val="24"/>
        </w:rPr>
        <w:t xml:space="preserve">Gender Issues, </w:t>
      </w:r>
      <w:r w:rsidRPr="00EF123E">
        <w:rPr>
          <w:rFonts w:ascii="Times New Roman" w:hAnsi="Times New Roman" w:cs="Times New Roman"/>
          <w:sz w:val="24"/>
          <w:szCs w:val="24"/>
        </w:rPr>
        <w:t xml:space="preserve">Vol. 32, Issue 1, Springer US, </w:t>
      </w:r>
      <w:hyperlink r:id="rId10" w:history="1">
        <w:r w:rsidRPr="00EF123E">
          <w:rPr>
            <w:rStyle w:val="Hyperlink"/>
            <w:rFonts w:ascii="Times New Roman" w:hAnsi="Times New Roman" w:cs="Times New Roman"/>
            <w:spacing w:val="4"/>
            <w:sz w:val="24"/>
            <w:szCs w:val="24"/>
            <w:shd w:val="clear" w:color="auto" w:fill="FFFFFF"/>
          </w:rPr>
          <w:t>https://doi.org/10.1007/s12147-014-9133-y</w:t>
        </w:r>
      </w:hyperlink>
      <w:r w:rsidRPr="00EF123E">
        <w:rPr>
          <w:rFonts w:ascii="Times New Roman" w:hAnsi="Times New Roman" w:cs="Times New Roman"/>
          <w:color w:val="333333"/>
          <w:spacing w:val="4"/>
          <w:sz w:val="24"/>
          <w:szCs w:val="24"/>
          <w:shd w:val="clear" w:color="auto" w:fill="FFFFFF"/>
        </w:rPr>
        <w:t xml:space="preserve"> </w:t>
      </w:r>
      <w:r w:rsidRPr="00EF123E">
        <w:rPr>
          <w:rFonts w:ascii="Times New Roman" w:hAnsi="Times New Roman" w:cs="Times New Roman"/>
          <w:sz w:val="24"/>
          <w:szCs w:val="24"/>
        </w:rPr>
        <w:t>[Last Accessed: 16/11/2017]</w:t>
      </w:r>
      <w:r w:rsidR="00465D40">
        <w:rPr>
          <w:rFonts w:ascii="Times New Roman" w:hAnsi="Times New Roman" w:cs="Times New Roman"/>
          <w:sz w:val="24"/>
          <w:szCs w:val="24"/>
        </w:rPr>
        <w:br/>
      </w:r>
    </w:p>
    <w:p w:rsidR="00EF123E" w:rsidRPr="00465D40" w:rsidRDefault="00465D40" w:rsidP="00465D40">
      <w:pPr>
        <w:pStyle w:val="ListParagraph"/>
        <w:numPr>
          <w:ilvl w:val="0"/>
          <w:numId w:val="1"/>
        </w:numPr>
        <w:rPr>
          <w:rFonts w:ascii="Times New Roman" w:hAnsi="Times New Roman" w:cs="Times New Roman"/>
          <w:sz w:val="24"/>
          <w:szCs w:val="24"/>
        </w:rPr>
      </w:pPr>
      <w:r w:rsidRPr="00EF123E">
        <w:rPr>
          <w:rFonts w:ascii="Times New Roman" w:hAnsi="Times New Roman" w:cs="Times New Roman"/>
          <w:sz w:val="24"/>
          <w:szCs w:val="24"/>
        </w:rPr>
        <w:t xml:space="preserve">Ringrose. J, Renold. E, 2011, Slut-shaming, girl power and ‘sexualisation’: thinking through the politics of the international SlutWalks with teen girls, In: </w:t>
      </w:r>
      <w:r w:rsidRPr="00EF123E">
        <w:rPr>
          <w:rFonts w:ascii="Times New Roman" w:hAnsi="Times New Roman" w:cs="Times New Roman"/>
          <w:i/>
          <w:sz w:val="24"/>
          <w:szCs w:val="24"/>
        </w:rPr>
        <w:t xml:space="preserve">Gender and </w:t>
      </w:r>
      <w:r w:rsidRPr="00EF123E">
        <w:rPr>
          <w:rFonts w:ascii="Times New Roman" w:hAnsi="Times New Roman" w:cs="Times New Roman"/>
          <w:i/>
          <w:sz w:val="24"/>
          <w:szCs w:val="24"/>
        </w:rPr>
        <w:lastRenderedPageBreak/>
        <w:t xml:space="preserve">Education, </w:t>
      </w:r>
      <w:r w:rsidRPr="00EF123E">
        <w:rPr>
          <w:rFonts w:ascii="Times New Roman" w:hAnsi="Times New Roman" w:cs="Times New Roman"/>
          <w:sz w:val="24"/>
          <w:szCs w:val="24"/>
        </w:rPr>
        <w:t xml:space="preserve">Vol. 24, #3, Routledge, </w:t>
      </w:r>
      <w:hyperlink r:id="rId11" w:history="1">
        <w:r w:rsidRPr="00EF123E">
          <w:rPr>
            <w:rStyle w:val="Hyperlink"/>
            <w:rFonts w:ascii="Times New Roman" w:hAnsi="Times New Roman" w:cs="Times New Roman"/>
            <w:sz w:val="24"/>
            <w:szCs w:val="24"/>
          </w:rPr>
          <w:t>http://dx.doi.org/10.1080/09540253.2011.645023</w:t>
        </w:r>
      </w:hyperlink>
      <w:r w:rsidRPr="00EF123E">
        <w:rPr>
          <w:rFonts w:ascii="Times New Roman" w:hAnsi="Times New Roman" w:cs="Times New Roman"/>
          <w:sz w:val="24"/>
          <w:szCs w:val="24"/>
        </w:rPr>
        <w:t xml:space="preserve"> [Last Accessed: 16/11/2017]</w:t>
      </w:r>
      <w:r w:rsidR="00EF123E" w:rsidRPr="00EF123E">
        <w:rPr>
          <w:rFonts w:ascii="Times New Roman" w:hAnsi="Times New Roman" w:cs="Times New Roman"/>
          <w:sz w:val="24"/>
          <w:szCs w:val="24"/>
        </w:rPr>
        <w:br/>
      </w:r>
    </w:p>
    <w:p w:rsidR="00EF123E" w:rsidRPr="00465D40" w:rsidRDefault="00EF123E" w:rsidP="00465D40">
      <w:pPr>
        <w:pStyle w:val="ListParagraph"/>
        <w:numPr>
          <w:ilvl w:val="0"/>
          <w:numId w:val="1"/>
        </w:numPr>
        <w:rPr>
          <w:rFonts w:ascii="Times New Roman" w:hAnsi="Times New Roman" w:cs="Times New Roman"/>
          <w:sz w:val="24"/>
          <w:szCs w:val="24"/>
        </w:rPr>
      </w:pPr>
      <w:r w:rsidRPr="00EF123E">
        <w:rPr>
          <w:rFonts w:ascii="Times New Roman" w:hAnsi="Times New Roman" w:cs="Times New Roman"/>
          <w:sz w:val="24"/>
          <w:szCs w:val="24"/>
        </w:rPr>
        <w:t xml:space="preserve">Sheridan. S. O, 2013, Consecrated Virgins and Hermits, In: </w:t>
      </w:r>
      <w:r w:rsidRPr="00EF123E">
        <w:rPr>
          <w:rFonts w:ascii="Times New Roman" w:hAnsi="Times New Roman" w:cs="Times New Roman"/>
          <w:i/>
          <w:sz w:val="24"/>
          <w:szCs w:val="24"/>
        </w:rPr>
        <w:t>The Jurist: Studies in Church Law and Ministry</w:t>
      </w:r>
      <w:r w:rsidRPr="00EF123E">
        <w:rPr>
          <w:rFonts w:ascii="Times New Roman" w:hAnsi="Times New Roman" w:cs="Times New Roman"/>
          <w:sz w:val="24"/>
          <w:szCs w:val="24"/>
        </w:rPr>
        <w:t xml:space="preserve">, Vol. 73, #2, </w:t>
      </w:r>
      <w:hyperlink r:id="rId12" w:history="1">
        <w:r w:rsidRPr="00EF123E">
          <w:rPr>
            <w:rStyle w:val="Hyperlink"/>
            <w:rFonts w:ascii="Times New Roman" w:hAnsi="Times New Roman" w:cs="Times New Roman"/>
            <w:sz w:val="24"/>
            <w:szCs w:val="24"/>
          </w:rPr>
          <w:t>http://doi.org/10.1353/jur.2013.0039</w:t>
        </w:r>
      </w:hyperlink>
      <w:r w:rsidR="00465D40">
        <w:rPr>
          <w:rFonts w:ascii="Times New Roman" w:hAnsi="Times New Roman" w:cs="Times New Roman"/>
          <w:sz w:val="24"/>
          <w:szCs w:val="24"/>
        </w:rPr>
        <w:t xml:space="preserve"> [Last Accessed: 16/11/2017]</w:t>
      </w:r>
      <w:r w:rsidRPr="00465D40">
        <w:rPr>
          <w:rFonts w:ascii="Times New Roman" w:hAnsi="Times New Roman" w:cs="Times New Roman"/>
          <w:sz w:val="24"/>
          <w:szCs w:val="24"/>
        </w:rPr>
        <w:br/>
      </w:r>
      <w:r w:rsidR="00465D40" w:rsidRPr="00465D40">
        <w:rPr>
          <w:rFonts w:ascii="Times New Roman" w:hAnsi="Times New Roman" w:cs="Times New Roman"/>
          <w:sz w:val="24"/>
          <w:szCs w:val="24"/>
        </w:rPr>
        <w:br/>
      </w:r>
    </w:p>
    <w:sectPr w:rsidR="00EF123E" w:rsidRPr="00465D40">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4067D" w:rsidRDefault="00F4067D" w:rsidP="00A554F5">
      <w:pPr>
        <w:spacing w:after="0" w:line="240" w:lineRule="auto"/>
      </w:pPr>
      <w:r>
        <w:separator/>
      </w:r>
    </w:p>
  </w:endnote>
  <w:endnote w:type="continuationSeparator" w:id="0">
    <w:p w:rsidR="00F4067D" w:rsidRDefault="00F4067D" w:rsidP="00A554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554F5" w:rsidRPr="00A554F5" w:rsidRDefault="00A554F5">
    <w:pPr>
      <w:pStyle w:val="Footer"/>
      <w:rPr>
        <w:rFonts w:ascii="Times New Roman" w:hAnsi="Times New Roman" w:cs="Times New Roman"/>
      </w:rPr>
    </w:pPr>
    <w:r w:rsidRPr="00A554F5">
      <w:rPr>
        <w:rFonts w:ascii="Times New Roman" w:hAnsi="Times New Roman" w:cs="Times New Roman"/>
      </w:rPr>
      <w:t>HPAH6001</w:t>
    </w:r>
  </w:p>
  <w:p w:rsidR="00A554F5" w:rsidRDefault="00A554F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4067D" w:rsidRDefault="00F4067D" w:rsidP="00A554F5">
      <w:pPr>
        <w:spacing w:after="0" w:line="240" w:lineRule="auto"/>
      </w:pPr>
      <w:r>
        <w:separator/>
      </w:r>
    </w:p>
  </w:footnote>
  <w:footnote w:type="continuationSeparator" w:id="0">
    <w:p w:rsidR="00F4067D" w:rsidRDefault="00F4067D" w:rsidP="00A554F5">
      <w:pPr>
        <w:spacing w:after="0" w:line="240" w:lineRule="auto"/>
      </w:pPr>
      <w:r>
        <w:continuationSeparator/>
      </w:r>
    </w:p>
  </w:footnote>
  <w:footnote w:id="1">
    <w:p w:rsidR="00A554F5" w:rsidRPr="00910B4D" w:rsidRDefault="00A554F5">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Elliott, 1993, 18</w:t>
      </w:r>
    </w:p>
  </w:footnote>
  <w:footnote w:id="2">
    <w:p w:rsidR="00A554F5" w:rsidRPr="00910B4D" w:rsidRDefault="00A554F5">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w:t>
      </w:r>
      <w:r w:rsidRPr="00910B4D">
        <w:rPr>
          <w:rFonts w:ascii="Times New Roman" w:eastAsia="Times New Roman" w:hAnsi="Times New Roman" w:cs="Times New Roman"/>
          <w:lang w:eastAsia="en-GB"/>
        </w:rPr>
        <w:t>Hatipoğlu Sümer, 2014, 2033</w:t>
      </w:r>
    </w:p>
  </w:footnote>
  <w:footnote w:id="3">
    <w:p w:rsidR="00A554F5" w:rsidRPr="00910B4D" w:rsidRDefault="00A554F5">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Ringrose, Renold, 2011, 335</w:t>
      </w:r>
    </w:p>
  </w:footnote>
  <w:footnote w:id="4">
    <w:p w:rsidR="00A554F5" w:rsidRPr="00910B4D" w:rsidRDefault="00A554F5">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Papp, Hagerman, Gnoleba </w:t>
      </w:r>
      <w:r w:rsidRPr="00910B4D">
        <w:rPr>
          <w:rFonts w:ascii="Times New Roman" w:hAnsi="Times New Roman" w:cs="Times New Roman"/>
          <w:i/>
        </w:rPr>
        <w:t>et al</w:t>
      </w:r>
      <w:r w:rsidRPr="00910B4D">
        <w:rPr>
          <w:rFonts w:ascii="Times New Roman" w:hAnsi="Times New Roman" w:cs="Times New Roman"/>
        </w:rPr>
        <w:t>, 2015, 66</w:t>
      </w:r>
    </w:p>
  </w:footnote>
  <w:footnote w:id="5">
    <w:p w:rsidR="00A554F5" w:rsidRPr="00910B4D" w:rsidRDefault="00A554F5">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Sheridan, 2013, 494</w:t>
      </w:r>
    </w:p>
  </w:footnote>
  <w:footnote w:id="6">
    <w:p w:rsidR="00A64611" w:rsidRPr="00910B4D" w:rsidRDefault="00A64611">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Sheridan, 2013, 494</w:t>
      </w:r>
    </w:p>
  </w:footnote>
  <w:footnote w:id="7">
    <w:p w:rsidR="00A64611" w:rsidRPr="00910B4D" w:rsidRDefault="00A64611">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Kearney, 1999, 54</w:t>
      </w:r>
    </w:p>
  </w:footnote>
  <w:footnote w:id="8">
    <w:p w:rsidR="00A64611" w:rsidRPr="00910B4D" w:rsidRDefault="00A64611">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Kearney, 1999, 72</w:t>
      </w:r>
    </w:p>
  </w:footnote>
  <w:footnote w:id="9">
    <w:p w:rsidR="00494829" w:rsidRPr="00910B4D" w:rsidRDefault="00494829">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Ehrman, Jacobs, 2003, 404</w:t>
      </w:r>
    </w:p>
  </w:footnote>
  <w:footnote w:id="10">
    <w:p w:rsidR="00494829" w:rsidRPr="00910B4D" w:rsidRDefault="00494829">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Ehrman, Jacobs, 2003, 404</w:t>
      </w:r>
    </w:p>
  </w:footnote>
  <w:footnote w:id="11">
    <w:p w:rsidR="00494829" w:rsidRPr="00910B4D" w:rsidRDefault="00494829">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Ehrman, Jacobs, 2003, 404</w:t>
      </w:r>
    </w:p>
  </w:footnote>
  <w:footnote w:id="12">
    <w:p w:rsidR="00494829" w:rsidRPr="00910B4D" w:rsidRDefault="00494829">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Kouli, 1999, 71</w:t>
      </w:r>
    </w:p>
  </w:footnote>
  <w:footnote w:id="13">
    <w:p w:rsidR="00494829" w:rsidRPr="00910B4D" w:rsidRDefault="00494829" w:rsidP="00494829">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Kouli, 1996, 65</w:t>
      </w:r>
    </w:p>
  </w:footnote>
  <w:footnote w:id="14">
    <w:p w:rsidR="00494829" w:rsidRPr="00910B4D" w:rsidRDefault="00494829">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Kouli, 1996, 67</w:t>
      </w:r>
    </w:p>
  </w:footnote>
  <w:footnote w:id="15">
    <w:p w:rsidR="00494829" w:rsidRPr="00910B4D" w:rsidRDefault="00494829">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Kouli, 1996, 67</w:t>
      </w:r>
    </w:p>
  </w:footnote>
  <w:footnote w:id="16">
    <w:p w:rsidR="00494829" w:rsidRPr="00910B4D" w:rsidRDefault="00494829">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Kouli, 1996, 65</w:t>
      </w:r>
    </w:p>
  </w:footnote>
  <w:footnote w:id="17">
    <w:p w:rsidR="00DD104E" w:rsidRDefault="00DD104E">
      <w:pPr>
        <w:pStyle w:val="FootnoteText"/>
      </w:pPr>
      <w:r w:rsidRPr="00910B4D">
        <w:rPr>
          <w:rStyle w:val="FootnoteReference"/>
          <w:rFonts w:ascii="Times New Roman" w:hAnsi="Times New Roman" w:cs="Times New Roman"/>
        </w:rPr>
        <w:footnoteRef/>
      </w:r>
      <w:r w:rsidRPr="00910B4D">
        <w:rPr>
          <w:rFonts w:ascii="Times New Roman" w:hAnsi="Times New Roman" w:cs="Times New Roman"/>
        </w:rPr>
        <w:t xml:space="preserve"> Kouli, 1996, 65</w:t>
      </w:r>
    </w:p>
  </w:footnote>
  <w:footnote w:id="18">
    <w:p w:rsidR="00494829" w:rsidRPr="00910B4D" w:rsidRDefault="00494829">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Kouli, 1996, 77</w:t>
      </w:r>
    </w:p>
  </w:footnote>
  <w:footnote w:id="19">
    <w:p w:rsidR="00494829" w:rsidRPr="00910B4D" w:rsidRDefault="00494829">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Kouli, 1996, 78</w:t>
      </w:r>
    </w:p>
  </w:footnote>
  <w:footnote w:id="20">
    <w:p w:rsidR="00274A15" w:rsidRPr="00910B4D" w:rsidRDefault="00274A15">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Kouli, 1996, 80</w:t>
      </w:r>
    </w:p>
  </w:footnote>
  <w:footnote w:id="21">
    <w:p w:rsidR="00274A15" w:rsidRPr="00910B4D" w:rsidRDefault="00274A15">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Karras, 1990, 3</w:t>
      </w:r>
    </w:p>
  </w:footnote>
  <w:footnote w:id="22">
    <w:p w:rsidR="00274A15" w:rsidRPr="00910B4D" w:rsidRDefault="00274A15">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Laeuchli, 1972, 245</w:t>
      </w:r>
    </w:p>
  </w:footnote>
  <w:footnote w:id="23">
    <w:p w:rsidR="00274A15" w:rsidRPr="00910B4D" w:rsidRDefault="00274A15">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Laeuchli, 1972, 245</w:t>
      </w:r>
    </w:p>
  </w:footnote>
  <w:footnote w:id="24">
    <w:p w:rsidR="008723F3" w:rsidRPr="00910B4D" w:rsidRDefault="008723F3">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Kouli, 1996, 65</w:t>
      </w:r>
    </w:p>
  </w:footnote>
  <w:footnote w:id="25">
    <w:p w:rsidR="008723F3" w:rsidRPr="00910B4D" w:rsidRDefault="008723F3">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Ehrman, Jacobs, 2003, 406</w:t>
      </w:r>
    </w:p>
  </w:footnote>
  <w:footnote w:id="26">
    <w:p w:rsidR="008723F3" w:rsidRPr="00910B4D" w:rsidRDefault="008723F3">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Ehrman, Jacobs, 2003, 406</w:t>
      </w:r>
    </w:p>
  </w:footnote>
  <w:footnote w:id="27">
    <w:p w:rsidR="008723F3" w:rsidRPr="00910B4D" w:rsidRDefault="008723F3">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Ehrman, Jacobs, 2003, 406</w:t>
      </w:r>
    </w:p>
  </w:footnote>
  <w:footnote w:id="28">
    <w:p w:rsidR="008723F3" w:rsidRPr="00910B4D" w:rsidRDefault="008723F3">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Ehrman, Jacobs, 2003, 407</w:t>
      </w:r>
    </w:p>
  </w:footnote>
  <w:footnote w:id="29">
    <w:p w:rsidR="008723F3" w:rsidRPr="00910B4D" w:rsidRDefault="008723F3">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Ehrman, Jacobs, 2003, 407</w:t>
      </w:r>
    </w:p>
  </w:footnote>
  <w:footnote w:id="30">
    <w:p w:rsidR="00AE06A1" w:rsidRPr="00910B4D" w:rsidRDefault="00AE06A1">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Ehrman, Jacobs, 2003, 409</w:t>
      </w:r>
    </w:p>
  </w:footnote>
  <w:footnote w:id="31">
    <w:p w:rsidR="00AE06A1" w:rsidRPr="00910B4D" w:rsidRDefault="00AE06A1">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Ehrman, 1993, 278</w:t>
      </w:r>
    </w:p>
  </w:footnote>
  <w:footnote w:id="32">
    <w:p w:rsidR="00AE06A1" w:rsidRPr="00910B4D" w:rsidRDefault="00AE06A1">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Ehrman, 1993, 278</w:t>
      </w:r>
    </w:p>
  </w:footnote>
  <w:footnote w:id="33">
    <w:p w:rsidR="00FE72CD" w:rsidRPr="00910B4D" w:rsidRDefault="00FE72CD">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Ehrman, 1993, 278</w:t>
      </w:r>
    </w:p>
  </w:footnote>
  <w:footnote w:id="34">
    <w:p w:rsidR="00FE72CD" w:rsidRDefault="00FE72CD">
      <w:pPr>
        <w:pStyle w:val="FootnoteText"/>
      </w:pPr>
      <w:r w:rsidRPr="00910B4D">
        <w:rPr>
          <w:rStyle w:val="FootnoteReference"/>
          <w:rFonts w:ascii="Times New Roman" w:hAnsi="Times New Roman" w:cs="Times New Roman"/>
        </w:rPr>
        <w:footnoteRef/>
      </w:r>
      <w:r w:rsidRPr="00910B4D">
        <w:rPr>
          <w:rFonts w:ascii="Times New Roman" w:hAnsi="Times New Roman" w:cs="Times New Roman"/>
        </w:rPr>
        <w:t xml:space="preserve"> Ehrman, 1993, 279</w:t>
      </w:r>
    </w:p>
  </w:footnote>
  <w:footnote w:id="35">
    <w:p w:rsidR="00FE72CD" w:rsidRPr="00465D40" w:rsidRDefault="00FE72CD">
      <w:pPr>
        <w:pStyle w:val="FootnoteText"/>
        <w:rPr>
          <w:rFonts w:ascii="Times New Roman" w:hAnsi="Times New Roman" w:cs="Times New Roman"/>
        </w:rPr>
      </w:pPr>
      <w:r w:rsidRPr="00465D40">
        <w:rPr>
          <w:rStyle w:val="FootnoteReference"/>
          <w:rFonts w:ascii="Times New Roman" w:hAnsi="Times New Roman" w:cs="Times New Roman"/>
        </w:rPr>
        <w:footnoteRef/>
      </w:r>
      <w:r w:rsidRPr="00465D40">
        <w:rPr>
          <w:rFonts w:ascii="Times New Roman" w:hAnsi="Times New Roman" w:cs="Times New Roman"/>
        </w:rPr>
        <w:t xml:space="preserve"> Kearney, 1999, 55</w:t>
      </w:r>
    </w:p>
  </w:footnote>
  <w:footnote w:id="36">
    <w:p w:rsidR="00FE72CD" w:rsidRPr="00465D40" w:rsidRDefault="00FE72CD">
      <w:pPr>
        <w:pStyle w:val="FootnoteText"/>
        <w:rPr>
          <w:rFonts w:ascii="Times New Roman" w:hAnsi="Times New Roman" w:cs="Times New Roman"/>
        </w:rPr>
      </w:pPr>
      <w:r w:rsidRPr="00465D40">
        <w:rPr>
          <w:rStyle w:val="FootnoteReference"/>
          <w:rFonts w:ascii="Times New Roman" w:hAnsi="Times New Roman" w:cs="Times New Roman"/>
        </w:rPr>
        <w:footnoteRef/>
      </w:r>
      <w:r w:rsidRPr="00465D40">
        <w:rPr>
          <w:rFonts w:ascii="Times New Roman" w:hAnsi="Times New Roman" w:cs="Times New Roman"/>
        </w:rPr>
        <w:t xml:space="preserve"> Ehrman, 1993, 280</w:t>
      </w:r>
    </w:p>
  </w:footnote>
  <w:footnote w:id="37">
    <w:p w:rsidR="00FE72CD" w:rsidRPr="00465D40" w:rsidRDefault="00FE72CD">
      <w:pPr>
        <w:pStyle w:val="FootnoteText"/>
        <w:rPr>
          <w:rFonts w:ascii="Times New Roman" w:hAnsi="Times New Roman" w:cs="Times New Roman"/>
        </w:rPr>
      </w:pPr>
      <w:r w:rsidRPr="00465D40">
        <w:rPr>
          <w:rStyle w:val="FootnoteReference"/>
          <w:rFonts w:ascii="Times New Roman" w:hAnsi="Times New Roman" w:cs="Times New Roman"/>
        </w:rPr>
        <w:footnoteRef/>
      </w:r>
      <w:r w:rsidRPr="00465D40">
        <w:rPr>
          <w:rFonts w:ascii="Times New Roman" w:hAnsi="Times New Roman" w:cs="Times New Roman"/>
        </w:rPr>
        <w:t xml:space="preserve"> Ehrman, 1993, 282</w:t>
      </w:r>
    </w:p>
  </w:footnote>
  <w:footnote w:id="38">
    <w:p w:rsidR="00FE72CD" w:rsidRPr="00465D40" w:rsidRDefault="00FE72CD">
      <w:pPr>
        <w:pStyle w:val="FootnoteText"/>
        <w:rPr>
          <w:rFonts w:ascii="Times New Roman" w:hAnsi="Times New Roman" w:cs="Times New Roman"/>
        </w:rPr>
      </w:pPr>
      <w:r w:rsidRPr="00465D40">
        <w:rPr>
          <w:rStyle w:val="FootnoteReference"/>
          <w:rFonts w:ascii="Times New Roman" w:hAnsi="Times New Roman" w:cs="Times New Roman"/>
        </w:rPr>
        <w:footnoteRef/>
      </w:r>
      <w:r w:rsidRPr="00465D40">
        <w:rPr>
          <w:rFonts w:ascii="Times New Roman" w:hAnsi="Times New Roman" w:cs="Times New Roman"/>
        </w:rPr>
        <w:t xml:space="preserve"> Ehrman, 1993, 282</w:t>
      </w:r>
    </w:p>
  </w:footnote>
  <w:footnote w:id="39">
    <w:p w:rsidR="008133FD" w:rsidRPr="00465D40" w:rsidRDefault="008133FD">
      <w:pPr>
        <w:pStyle w:val="FootnoteText"/>
        <w:rPr>
          <w:rFonts w:ascii="Times New Roman" w:hAnsi="Times New Roman" w:cs="Times New Roman"/>
        </w:rPr>
      </w:pPr>
      <w:r w:rsidRPr="00465D40">
        <w:rPr>
          <w:rStyle w:val="FootnoteReference"/>
          <w:rFonts w:ascii="Times New Roman" w:hAnsi="Times New Roman" w:cs="Times New Roman"/>
        </w:rPr>
        <w:footnoteRef/>
      </w:r>
      <w:r w:rsidRPr="00465D40">
        <w:rPr>
          <w:rFonts w:ascii="Times New Roman" w:hAnsi="Times New Roman" w:cs="Times New Roman"/>
        </w:rPr>
        <w:t xml:space="preserve"> </w:t>
      </w:r>
      <w:r w:rsidRPr="00465D40">
        <w:rPr>
          <w:rFonts w:ascii="Times New Roman" w:eastAsia="Times New Roman" w:hAnsi="Times New Roman" w:cs="Times New Roman"/>
          <w:lang w:eastAsia="en-GB"/>
        </w:rPr>
        <w:t>Hatipoğlu Sümer, 2014, 2034</w:t>
      </w:r>
    </w:p>
  </w:footnote>
  <w:footnote w:id="40">
    <w:p w:rsidR="008133FD" w:rsidRPr="00465D40" w:rsidRDefault="008133FD">
      <w:pPr>
        <w:pStyle w:val="FootnoteText"/>
        <w:rPr>
          <w:rFonts w:ascii="Times New Roman" w:hAnsi="Times New Roman" w:cs="Times New Roman"/>
        </w:rPr>
      </w:pPr>
      <w:r w:rsidRPr="00465D40">
        <w:rPr>
          <w:rStyle w:val="FootnoteReference"/>
          <w:rFonts w:ascii="Times New Roman" w:hAnsi="Times New Roman" w:cs="Times New Roman"/>
        </w:rPr>
        <w:footnoteRef/>
      </w:r>
      <w:r w:rsidRPr="00465D40">
        <w:rPr>
          <w:rFonts w:ascii="Times New Roman" w:hAnsi="Times New Roman" w:cs="Times New Roman"/>
        </w:rPr>
        <w:t xml:space="preserve"> </w:t>
      </w:r>
      <w:r w:rsidRPr="00465D40">
        <w:rPr>
          <w:rFonts w:ascii="Times New Roman" w:eastAsia="Times New Roman" w:hAnsi="Times New Roman" w:cs="Times New Roman"/>
          <w:lang w:eastAsia="en-GB"/>
        </w:rPr>
        <w:t>Hatipoğlu Sümer, 2014, 2034</w:t>
      </w:r>
    </w:p>
  </w:footnote>
  <w:footnote w:id="41">
    <w:p w:rsidR="008133FD" w:rsidRPr="00465D40" w:rsidRDefault="008133FD">
      <w:pPr>
        <w:pStyle w:val="FootnoteText"/>
        <w:rPr>
          <w:rFonts w:ascii="Times New Roman" w:hAnsi="Times New Roman" w:cs="Times New Roman"/>
        </w:rPr>
      </w:pPr>
      <w:r w:rsidRPr="00465D40">
        <w:rPr>
          <w:rStyle w:val="FootnoteReference"/>
          <w:rFonts w:ascii="Times New Roman" w:hAnsi="Times New Roman" w:cs="Times New Roman"/>
        </w:rPr>
        <w:footnoteRef/>
      </w:r>
      <w:r w:rsidRPr="00465D40">
        <w:rPr>
          <w:rFonts w:ascii="Times New Roman" w:hAnsi="Times New Roman" w:cs="Times New Roman"/>
        </w:rPr>
        <w:t xml:space="preserve"> </w:t>
      </w:r>
      <w:r w:rsidRPr="00465D40">
        <w:rPr>
          <w:rFonts w:ascii="Times New Roman" w:eastAsia="Times New Roman" w:hAnsi="Times New Roman" w:cs="Times New Roman"/>
          <w:lang w:eastAsia="en-GB"/>
        </w:rPr>
        <w:t>Hatipoğlu Sümer, 2014, 2034</w:t>
      </w:r>
    </w:p>
  </w:footnote>
  <w:footnote w:id="42">
    <w:p w:rsidR="008133FD" w:rsidRPr="00465D40" w:rsidRDefault="008133FD">
      <w:pPr>
        <w:pStyle w:val="FootnoteText"/>
        <w:rPr>
          <w:rFonts w:ascii="Times New Roman" w:hAnsi="Times New Roman" w:cs="Times New Roman"/>
        </w:rPr>
      </w:pPr>
      <w:r w:rsidRPr="00465D40">
        <w:rPr>
          <w:rStyle w:val="FootnoteReference"/>
          <w:rFonts w:ascii="Times New Roman" w:hAnsi="Times New Roman" w:cs="Times New Roman"/>
        </w:rPr>
        <w:footnoteRef/>
      </w:r>
      <w:r w:rsidRPr="00465D40">
        <w:rPr>
          <w:rFonts w:ascii="Times New Roman" w:hAnsi="Times New Roman" w:cs="Times New Roman"/>
        </w:rPr>
        <w:t xml:space="preserve"> </w:t>
      </w:r>
      <w:r w:rsidRPr="00465D40">
        <w:rPr>
          <w:rFonts w:ascii="Times New Roman" w:eastAsia="Times New Roman" w:hAnsi="Times New Roman" w:cs="Times New Roman"/>
          <w:lang w:eastAsia="en-GB"/>
        </w:rPr>
        <w:t>Hatipoğlu Sümer, 2014, 2034</w:t>
      </w:r>
    </w:p>
  </w:footnote>
  <w:footnote w:id="43">
    <w:p w:rsidR="008133FD" w:rsidRPr="00465D40" w:rsidRDefault="008133FD">
      <w:pPr>
        <w:pStyle w:val="FootnoteText"/>
        <w:rPr>
          <w:rFonts w:ascii="Times New Roman" w:hAnsi="Times New Roman" w:cs="Times New Roman"/>
        </w:rPr>
      </w:pPr>
      <w:r w:rsidRPr="00465D40">
        <w:rPr>
          <w:rStyle w:val="FootnoteReference"/>
          <w:rFonts w:ascii="Times New Roman" w:hAnsi="Times New Roman" w:cs="Times New Roman"/>
        </w:rPr>
        <w:footnoteRef/>
      </w:r>
      <w:r w:rsidRPr="00465D40">
        <w:rPr>
          <w:rFonts w:ascii="Times New Roman" w:hAnsi="Times New Roman" w:cs="Times New Roman"/>
        </w:rPr>
        <w:t xml:space="preserve"> </w:t>
      </w:r>
      <w:r w:rsidRPr="00465D40">
        <w:rPr>
          <w:rFonts w:ascii="Times New Roman" w:eastAsia="Times New Roman" w:hAnsi="Times New Roman" w:cs="Times New Roman"/>
          <w:lang w:eastAsia="en-GB"/>
        </w:rPr>
        <w:t>Hatipoğlu Sümer, 2014, 2034</w:t>
      </w:r>
    </w:p>
  </w:footnote>
  <w:footnote w:id="44">
    <w:p w:rsidR="008133FD" w:rsidRPr="00465D40" w:rsidRDefault="008133FD">
      <w:pPr>
        <w:pStyle w:val="FootnoteText"/>
        <w:rPr>
          <w:rFonts w:ascii="Times New Roman" w:hAnsi="Times New Roman" w:cs="Times New Roman"/>
        </w:rPr>
      </w:pPr>
      <w:r w:rsidRPr="00465D40">
        <w:rPr>
          <w:rStyle w:val="FootnoteReference"/>
          <w:rFonts w:ascii="Times New Roman" w:hAnsi="Times New Roman" w:cs="Times New Roman"/>
        </w:rPr>
        <w:footnoteRef/>
      </w:r>
      <w:r w:rsidRPr="00465D40">
        <w:rPr>
          <w:rFonts w:ascii="Times New Roman" w:hAnsi="Times New Roman" w:cs="Times New Roman"/>
        </w:rPr>
        <w:t xml:space="preserve"> </w:t>
      </w:r>
      <w:r w:rsidRPr="00465D40">
        <w:rPr>
          <w:rFonts w:ascii="Times New Roman" w:eastAsia="Times New Roman" w:hAnsi="Times New Roman" w:cs="Times New Roman"/>
          <w:lang w:eastAsia="en-GB"/>
        </w:rPr>
        <w:t>Hatipoğlu Sümer, 2014, 2034</w:t>
      </w:r>
    </w:p>
  </w:footnote>
  <w:footnote w:id="45">
    <w:p w:rsidR="0038024A" w:rsidRPr="00465D40" w:rsidRDefault="0038024A">
      <w:pPr>
        <w:pStyle w:val="FootnoteText"/>
        <w:rPr>
          <w:rFonts w:ascii="Times New Roman" w:hAnsi="Times New Roman" w:cs="Times New Roman"/>
        </w:rPr>
      </w:pPr>
      <w:r w:rsidRPr="00465D40">
        <w:rPr>
          <w:rStyle w:val="FootnoteReference"/>
          <w:rFonts w:ascii="Times New Roman" w:hAnsi="Times New Roman" w:cs="Times New Roman"/>
        </w:rPr>
        <w:footnoteRef/>
      </w:r>
      <w:r w:rsidRPr="00465D40">
        <w:rPr>
          <w:rFonts w:ascii="Times New Roman" w:hAnsi="Times New Roman" w:cs="Times New Roman"/>
        </w:rPr>
        <w:t xml:space="preserve"> </w:t>
      </w:r>
      <w:r w:rsidRPr="00465D40">
        <w:rPr>
          <w:rFonts w:ascii="Times New Roman" w:eastAsia="Times New Roman" w:hAnsi="Times New Roman" w:cs="Times New Roman"/>
          <w:lang w:eastAsia="en-GB"/>
        </w:rPr>
        <w:t>Hatipoğlu Sümer, 2014, 2035</w:t>
      </w:r>
    </w:p>
  </w:footnote>
  <w:footnote w:id="46">
    <w:p w:rsidR="0038024A" w:rsidRDefault="0038024A">
      <w:pPr>
        <w:pStyle w:val="FootnoteText"/>
      </w:pPr>
      <w:r w:rsidRPr="00465D40">
        <w:rPr>
          <w:rStyle w:val="FootnoteReference"/>
          <w:rFonts w:ascii="Times New Roman" w:hAnsi="Times New Roman" w:cs="Times New Roman"/>
        </w:rPr>
        <w:footnoteRef/>
      </w:r>
      <w:r w:rsidRPr="00465D40">
        <w:rPr>
          <w:rFonts w:ascii="Times New Roman" w:hAnsi="Times New Roman" w:cs="Times New Roman"/>
        </w:rPr>
        <w:t xml:space="preserve"> </w:t>
      </w:r>
      <w:r w:rsidRPr="00465D40">
        <w:rPr>
          <w:rFonts w:ascii="Times New Roman" w:eastAsia="Times New Roman" w:hAnsi="Times New Roman" w:cs="Times New Roman"/>
          <w:lang w:eastAsia="en-GB"/>
        </w:rPr>
        <w:t>Hatipoğlu Sümer, 2014, 2035</w:t>
      </w:r>
    </w:p>
  </w:footnote>
  <w:footnote w:id="47">
    <w:p w:rsidR="0038024A" w:rsidRPr="00910B4D" w:rsidRDefault="0038024A">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Kouli, 1996, 65</w:t>
      </w:r>
    </w:p>
  </w:footnote>
  <w:footnote w:id="48">
    <w:p w:rsidR="0038024A" w:rsidRPr="00910B4D" w:rsidRDefault="0038024A">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Papp, Hagerman, Gnoleba, </w:t>
      </w:r>
      <w:r w:rsidRPr="00910B4D">
        <w:rPr>
          <w:rFonts w:ascii="Times New Roman" w:hAnsi="Times New Roman" w:cs="Times New Roman"/>
          <w:i/>
        </w:rPr>
        <w:t>et al</w:t>
      </w:r>
      <w:r w:rsidRPr="00910B4D">
        <w:rPr>
          <w:rFonts w:ascii="Times New Roman" w:hAnsi="Times New Roman" w:cs="Times New Roman"/>
        </w:rPr>
        <w:t>, 2015, 57-58</w:t>
      </w:r>
    </w:p>
  </w:footnote>
  <w:footnote w:id="49">
    <w:p w:rsidR="006D56BE" w:rsidRPr="00910B4D" w:rsidRDefault="006D56BE">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Papp, Hagerman, Gnoleba, </w:t>
      </w:r>
      <w:r w:rsidRPr="00910B4D">
        <w:rPr>
          <w:rFonts w:ascii="Times New Roman" w:hAnsi="Times New Roman" w:cs="Times New Roman"/>
          <w:i/>
        </w:rPr>
        <w:t>et al</w:t>
      </w:r>
      <w:r w:rsidRPr="00910B4D">
        <w:rPr>
          <w:rFonts w:ascii="Times New Roman" w:hAnsi="Times New Roman" w:cs="Times New Roman"/>
        </w:rPr>
        <w:t>, 2015, 58</w:t>
      </w:r>
    </w:p>
  </w:footnote>
  <w:footnote w:id="50">
    <w:p w:rsidR="006D56BE" w:rsidRPr="00910B4D" w:rsidRDefault="006D56BE">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Papp, Hagerman, Gnoleba, </w:t>
      </w:r>
      <w:r w:rsidRPr="00910B4D">
        <w:rPr>
          <w:rFonts w:ascii="Times New Roman" w:hAnsi="Times New Roman" w:cs="Times New Roman"/>
          <w:i/>
        </w:rPr>
        <w:t>et al</w:t>
      </w:r>
      <w:r w:rsidRPr="00910B4D">
        <w:rPr>
          <w:rFonts w:ascii="Times New Roman" w:hAnsi="Times New Roman" w:cs="Times New Roman"/>
        </w:rPr>
        <w:t>, 2015, 58</w:t>
      </w:r>
    </w:p>
  </w:footnote>
  <w:footnote w:id="51">
    <w:p w:rsidR="006D56BE" w:rsidRPr="00910B4D" w:rsidRDefault="006D56BE">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Papp, Hagerman, Gnoleba, </w:t>
      </w:r>
      <w:r w:rsidRPr="00910B4D">
        <w:rPr>
          <w:rFonts w:ascii="Times New Roman" w:hAnsi="Times New Roman" w:cs="Times New Roman"/>
          <w:i/>
        </w:rPr>
        <w:t>et al</w:t>
      </w:r>
      <w:r w:rsidRPr="00910B4D">
        <w:rPr>
          <w:rFonts w:ascii="Times New Roman" w:hAnsi="Times New Roman" w:cs="Times New Roman"/>
        </w:rPr>
        <w:t>, 2015, 58</w:t>
      </w:r>
    </w:p>
  </w:footnote>
  <w:footnote w:id="52">
    <w:p w:rsidR="003975C7" w:rsidRPr="00910B4D" w:rsidRDefault="003975C7">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Papp, Hagerman, Gnoleba, </w:t>
      </w:r>
      <w:r w:rsidRPr="00910B4D">
        <w:rPr>
          <w:rFonts w:ascii="Times New Roman" w:hAnsi="Times New Roman" w:cs="Times New Roman"/>
          <w:i/>
        </w:rPr>
        <w:t>et al</w:t>
      </w:r>
      <w:r w:rsidRPr="00910B4D">
        <w:rPr>
          <w:rFonts w:ascii="Times New Roman" w:hAnsi="Times New Roman" w:cs="Times New Roman"/>
        </w:rPr>
        <w:t>, 2015, 60</w:t>
      </w:r>
    </w:p>
  </w:footnote>
  <w:footnote w:id="53">
    <w:p w:rsidR="00DD104E" w:rsidRPr="00910B4D" w:rsidRDefault="00DD104E">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Papp, Hagerman, Gnoleba</w:t>
      </w:r>
      <w:r w:rsidR="003975C7" w:rsidRPr="00910B4D">
        <w:rPr>
          <w:rFonts w:ascii="Times New Roman" w:hAnsi="Times New Roman" w:cs="Times New Roman"/>
        </w:rPr>
        <w:t>,</w:t>
      </w:r>
      <w:r w:rsidRPr="00910B4D">
        <w:rPr>
          <w:rFonts w:ascii="Times New Roman" w:hAnsi="Times New Roman" w:cs="Times New Roman"/>
        </w:rPr>
        <w:t xml:space="preserve"> </w:t>
      </w:r>
      <w:r w:rsidRPr="00910B4D">
        <w:rPr>
          <w:rFonts w:ascii="Times New Roman" w:hAnsi="Times New Roman" w:cs="Times New Roman"/>
          <w:i/>
        </w:rPr>
        <w:t xml:space="preserve">et al, </w:t>
      </w:r>
      <w:r w:rsidRPr="00910B4D">
        <w:rPr>
          <w:rFonts w:ascii="Times New Roman" w:hAnsi="Times New Roman" w:cs="Times New Roman"/>
        </w:rPr>
        <w:t>2015, 59</w:t>
      </w:r>
    </w:p>
  </w:footnote>
  <w:footnote w:id="54">
    <w:p w:rsidR="003975C7" w:rsidRPr="00910B4D" w:rsidRDefault="003975C7">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Papp, Hagerman, Gnoleba, </w:t>
      </w:r>
      <w:r w:rsidRPr="00910B4D">
        <w:rPr>
          <w:rFonts w:ascii="Times New Roman" w:hAnsi="Times New Roman" w:cs="Times New Roman"/>
          <w:i/>
        </w:rPr>
        <w:t>et al</w:t>
      </w:r>
      <w:r w:rsidRPr="00910B4D">
        <w:rPr>
          <w:rFonts w:ascii="Times New Roman" w:hAnsi="Times New Roman" w:cs="Times New Roman"/>
        </w:rPr>
        <w:t>, 2015, 59</w:t>
      </w:r>
    </w:p>
  </w:footnote>
  <w:footnote w:id="55">
    <w:p w:rsidR="003975C7" w:rsidRPr="00910B4D" w:rsidRDefault="003975C7">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Papp, Hagerman, Gnoleba, </w:t>
      </w:r>
      <w:r w:rsidRPr="00910B4D">
        <w:rPr>
          <w:rFonts w:ascii="Times New Roman" w:hAnsi="Times New Roman" w:cs="Times New Roman"/>
          <w:i/>
        </w:rPr>
        <w:t>et al</w:t>
      </w:r>
      <w:r w:rsidRPr="00910B4D">
        <w:rPr>
          <w:rFonts w:ascii="Times New Roman" w:hAnsi="Times New Roman" w:cs="Times New Roman"/>
        </w:rPr>
        <w:t>, 2015, 59</w:t>
      </w:r>
    </w:p>
  </w:footnote>
  <w:footnote w:id="56">
    <w:p w:rsidR="003975C7" w:rsidRPr="00910B4D" w:rsidRDefault="003975C7">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Hastrup, 1993, 41</w:t>
      </w:r>
    </w:p>
  </w:footnote>
  <w:footnote w:id="57">
    <w:p w:rsidR="003975C7" w:rsidRPr="00910B4D" w:rsidRDefault="003975C7">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Hastrup, 1993, 41</w:t>
      </w:r>
    </w:p>
  </w:footnote>
  <w:footnote w:id="58">
    <w:p w:rsidR="00F30F3B" w:rsidRPr="00910B4D" w:rsidRDefault="00F30F3B">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Papp, Hagerman, Gnoleba, </w:t>
      </w:r>
      <w:r w:rsidRPr="00910B4D">
        <w:rPr>
          <w:rFonts w:ascii="Times New Roman" w:hAnsi="Times New Roman" w:cs="Times New Roman"/>
          <w:i/>
        </w:rPr>
        <w:t>et al</w:t>
      </w:r>
      <w:r w:rsidRPr="00910B4D">
        <w:rPr>
          <w:rFonts w:ascii="Times New Roman" w:hAnsi="Times New Roman" w:cs="Times New Roman"/>
        </w:rPr>
        <w:t>, 2015, 60</w:t>
      </w:r>
    </w:p>
  </w:footnote>
  <w:footnote w:id="59">
    <w:p w:rsidR="00F30F3B" w:rsidRPr="00910B4D" w:rsidRDefault="00F30F3B">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Papp, Hagerman, Gnoleba, </w:t>
      </w:r>
      <w:r w:rsidRPr="00910B4D">
        <w:rPr>
          <w:rFonts w:ascii="Times New Roman" w:hAnsi="Times New Roman" w:cs="Times New Roman"/>
          <w:i/>
        </w:rPr>
        <w:t>et al</w:t>
      </w:r>
      <w:r w:rsidRPr="00910B4D">
        <w:rPr>
          <w:rFonts w:ascii="Times New Roman" w:hAnsi="Times New Roman" w:cs="Times New Roman"/>
        </w:rPr>
        <w:t>, 2015, 60</w:t>
      </w:r>
    </w:p>
  </w:footnote>
  <w:footnote w:id="60">
    <w:p w:rsidR="00F30F3B" w:rsidRPr="00910B4D" w:rsidRDefault="00F30F3B">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Laeuchli, 1972, 245</w:t>
      </w:r>
    </w:p>
  </w:footnote>
  <w:footnote w:id="61">
    <w:p w:rsidR="00F30F3B" w:rsidRPr="00910B4D" w:rsidRDefault="00F30F3B">
      <w:pPr>
        <w:pStyle w:val="FootnoteText"/>
        <w:rPr>
          <w:rFonts w:ascii="Times New Roman" w:hAnsi="Times New Roman" w:cs="Times New Roman"/>
        </w:rPr>
      </w:pPr>
      <w:r w:rsidRPr="00910B4D">
        <w:rPr>
          <w:rStyle w:val="FootnoteReference"/>
          <w:rFonts w:ascii="Times New Roman" w:hAnsi="Times New Roman" w:cs="Times New Roman"/>
        </w:rPr>
        <w:footnoteRef/>
      </w:r>
      <w:r w:rsidRPr="00910B4D">
        <w:rPr>
          <w:rFonts w:ascii="Times New Roman" w:hAnsi="Times New Roman" w:cs="Times New Roman"/>
        </w:rPr>
        <w:t xml:space="preserve"> Hastrup, 1993, 35</w:t>
      </w:r>
    </w:p>
  </w:footnote>
  <w:footnote w:id="62">
    <w:p w:rsidR="00F30F3B" w:rsidRDefault="00F30F3B">
      <w:pPr>
        <w:pStyle w:val="FootnoteText"/>
      </w:pPr>
      <w:r w:rsidRPr="00910B4D">
        <w:rPr>
          <w:rStyle w:val="FootnoteReference"/>
          <w:rFonts w:ascii="Times New Roman" w:hAnsi="Times New Roman" w:cs="Times New Roman"/>
        </w:rPr>
        <w:footnoteRef/>
      </w:r>
      <w:r w:rsidRPr="00910B4D">
        <w:rPr>
          <w:rFonts w:ascii="Times New Roman" w:hAnsi="Times New Roman" w:cs="Times New Roman"/>
        </w:rPr>
        <w:t xml:space="preserve"> Hastrup, 1993, 42</w:t>
      </w:r>
    </w:p>
  </w:footnote>
  <w:footnote w:id="63">
    <w:p w:rsidR="00F30F3B" w:rsidRPr="00C078BD" w:rsidRDefault="00F30F3B">
      <w:pPr>
        <w:pStyle w:val="FootnoteText"/>
        <w:rPr>
          <w:rFonts w:ascii="Times New Roman" w:hAnsi="Times New Roman" w:cs="Times New Roman"/>
        </w:rPr>
      </w:pPr>
      <w:r w:rsidRPr="00C078BD">
        <w:rPr>
          <w:rStyle w:val="FootnoteReference"/>
          <w:rFonts w:ascii="Times New Roman" w:hAnsi="Times New Roman" w:cs="Times New Roman"/>
        </w:rPr>
        <w:footnoteRef/>
      </w:r>
      <w:r w:rsidRPr="00C078BD">
        <w:rPr>
          <w:rFonts w:ascii="Times New Roman" w:hAnsi="Times New Roman" w:cs="Times New Roman"/>
        </w:rPr>
        <w:t xml:space="preserve"> Hastrup, 1993, 41</w:t>
      </w:r>
    </w:p>
  </w:footnote>
  <w:footnote w:id="64">
    <w:p w:rsidR="004751BB" w:rsidRPr="00C078BD" w:rsidRDefault="004751BB">
      <w:pPr>
        <w:pStyle w:val="FootnoteText"/>
        <w:rPr>
          <w:rFonts w:ascii="Times New Roman" w:hAnsi="Times New Roman" w:cs="Times New Roman"/>
        </w:rPr>
      </w:pPr>
      <w:r w:rsidRPr="00C078BD">
        <w:rPr>
          <w:rStyle w:val="FootnoteReference"/>
          <w:rFonts w:ascii="Times New Roman" w:hAnsi="Times New Roman" w:cs="Times New Roman"/>
        </w:rPr>
        <w:footnoteRef/>
      </w:r>
      <w:r w:rsidRPr="00C078BD">
        <w:rPr>
          <w:rFonts w:ascii="Times New Roman" w:hAnsi="Times New Roman" w:cs="Times New Roman"/>
        </w:rPr>
        <w:t xml:space="preserve"> Hastrup, 1993, 41</w:t>
      </w:r>
    </w:p>
  </w:footnote>
  <w:footnote w:id="65">
    <w:p w:rsidR="00F30F3B" w:rsidRPr="00C078BD" w:rsidRDefault="00F30F3B">
      <w:pPr>
        <w:pStyle w:val="FootnoteText"/>
        <w:rPr>
          <w:rFonts w:ascii="Times New Roman" w:hAnsi="Times New Roman" w:cs="Times New Roman"/>
        </w:rPr>
      </w:pPr>
      <w:r w:rsidRPr="00C078BD">
        <w:rPr>
          <w:rStyle w:val="FootnoteReference"/>
          <w:rFonts w:ascii="Times New Roman" w:hAnsi="Times New Roman" w:cs="Times New Roman"/>
        </w:rPr>
        <w:footnoteRef/>
      </w:r>
      <w:r w:rsidRPr="00C078BD">
        <w:rPr>
          <w:rFonts w:ascii="Times New Roman" w:hAnsi="Times New Roman" w:cs="Times New Roman"/>
        </w:rPr>
        <w:t xml:space="preserve"> Kouli, 1996, 83</w:t>
      </w:r>
    </w:p>
  </w:footnote>
  <w:footnote w:id="66">
    <w:p w:rsidR="00F30F3B" w:rsidRPr="00C078BD" w:rsidRDefault="00F30F3B">
      <w:pPr>
        <w:pStyle w:val="FootnoteText"/>
        <w:rPr>
          <w:rFonts w:ascii="Times New Roman" w:hAnsi="Times New Roman" w:cs="Times New Roman"/>
        </w:rPr>
      </w:pPr>
      <w:r w:rsidRPr="00C078BD">
        <w:rPr>
          <w:rStyle w:val="FootnoteReference"/>
          <w:rFonts w:ascii="Times New Roman" w:hAnsi="Times New Roman" w:cs="Times New Roman"/>
        </w:rPr>
        <w:footnoteRef/>
      </w:r>
      <w:r w:rsidR="004751BB" w:rsidRPr="00C078BD">
        <w:rPr>
          <w:rFonts w:ascii="Times New Roman" w:hAnsi="Times New Roman" w:cs="Times New Roman"/>
        </w:rPr>
        <w:t xml:space="preserve"> Ehr</w:t>
      </w:r>
      <w:r w:rsidRPr="00C078BD">
        <w:rPr>
          <w:rFonts w:ascii="Times New Roman" w:hAnsi="Times New Roman" w:cs="Times New Roman"/>
        </w:rPr>
        <w:t>man,</w:t>
      </w:r>
      <w:r w:rsidR="00EF123E" w:rsidRPr="00C078BD">
        <w:rPr>
          <w:rFonts w:ascii="Times New Roman" w:hAnsi="Times New Roman" w:cs="Times New Roman"/>
        </w:rPr>
        <w:t xml:space="preserve"> Jacobs,</w:t>
      </w:r>
      <w:r w:rsidRPr="00C078BD">
        <w:rPr>
          <w:rFonts w:ascii="Times New Roman" w:hAnsi="Times New Roman" w:cs="Times New Roman"/>
        </w:rPr>
        <w:t xml:space="preserve"> 2003, 36</w:t>
      </w:r>
    </w:p>
  </w:footnote>
  <w:footnote w:id="67">
    <w:p w:rsidR="004751BB" w:rsidRPr="00C078BD" w:rsidRDefault="004751BB">
      <w:pPr>
        <w:pStyle w:val="FootnoteText"/>
        <w:rPr>
          <w:rFonts w:ascii="Times New Roman" w:hAnsi="Times New Roman" w:cs="Times New Roman"/>
        </w:rPr>
      </w:pPr>
      <w:r w:rsidRPr="00C078BD">
        <w:rPr>
          <w:rStyle w:val="FootnoteReference"/>
          <w:rFonts w:ascii="Times New Roman" w:hAnsi="Times New Roman" w:cs="Times New Roman"/>
        </w:rPr>
        <w:footnoteRef/>
      </w:r>
      <w:r w:rsidRPr="00C078BD">
        <w:rPr>
          <w:rFonts w:ascii="Times New Roman" w:hAnsi="Times New Roman" w:cs="Times New Roman"/>
        </w:rPr>
        <w:t xml:space="preserve"> Ehrman, 1993, 279</w:t>
      </w:r>
    </w:p>
  </w:footnote>
  <w:footnote w:id="68">
    <w:p w:rsidR="004751BB" w:rsidRPr="00C078BD" w:rsidRDefault="004751BB">
      <w:pPr>
        <w:pStyle w:val="FootnoteText"/>
        <w:rPr>
          <w:rFonts w:ascii="Times New Roman" w:hAnsi="Times New Roman" w:cs="Times New Roman"/>
        </w:rPr>
      </w:pPr>
      <w:r w:rsidRPr="00C078BD">
        <w:rPr>
          <w:rStyle w:val="FootnoteReference"/>
          <w:rFonts w:ascii="Times New Roman" w:hAnsi="Times New Roman" w:cs="Times New Roman"/>
        </w:rPr>
        <w:footnoteRef/>
      </w:r>
      <w:r w:rsidRPr="00C078BD">
        <w:rPr>
          <w:rFonts w:ascii="Times New Roman" w:hAnsi="Times New Roman" w:cs="Times New Roman"/>
        </w:rPr>
        <w:t xml:space="preserve"> </w:t>
      </w:r>
      <w:r w:rsidR="00CF37FC" w:rsidRPr="00C078BD">
        <w:rPr>
          <w:rFonts w:ascii="Times New Roman" w:hAnsi="Times New Roman" w:cs="Times New Roman"/>
        </w:rPr>
        <w:t>Ehrman</w:t>
      </w:r>
      <w:r w:rsidRPr="00C078BD">
        <w:rPr>
          <w:rFonts w:ascii="Times New Roman" w:hAnsi="Times New Roman" w:cs="Times New Roman"/>
        </w:rPr>
        <w:t>, 1993, 279</w:t>
      </w:r>
    </w:p>
  </w:footnote>
  <w:footnote w:id="69">
    <w:p w:rsidR="004751BB" w:rsidRPr="00C078BD" w:rsidRDefault="004751BB">
      <w:pPr>
        <w:pStyle w:val="FootnoteText"/>
        <w:rPr>
          <w:rFonts w:ascii="Times New Roman" w:hAnsi="Times New Roman" w:cs="Times New Roman"/>
        </w:rPr>
      </w:pPr>
      <w:r w:rsidRPr="00C078BD">
        <w:rPr>
          <w:rStyle w:val="FootnoteReference"/>
          <w:rFonts w:ascii="Times New Roman" w:hAnsi="Times New Roman" w:cs="Times New Roman"/>
        </w:rPr>
        <w:footnoteRef/>
      </w:r>
      <w:r w:rsidRPr="00C078BD">
        <w:rPr>
          <w:rFonts w:ascii="Times New Roman" w:hAnsi="Times New Roman" w:cs="Times New Roman"/>
        </w:rPr>
        <w:t xml:space="preserve"> Papp, Hagerman, Gnoleba, </w:t>
      </w:r>
      <w:r w:rsidRPr="00C078BD">
        <w:rPr>
          <w:rFonts w:ascii="Times New Roman" w:hAnsi="Times New Roman" w:cs="Times New Roman"/>
          <w:i/>
        </w:rPr>
        <w:t>et al</w:t>
      </w:r>
      <w:r w:rsidRPr="00C078BD">
        <w:rPr>
          <w:rFonts w:ascii="Times New Roman" w:hAnsi="Times New Roman" w:cs="Times New Roman"/>
        </w:rPr>
        <w:t>, 2015, 59</w:t>
      </w:r>
    </w:p>
  </w:footnote>
  <w:footnote w:id="70">
    <w:p w:rsidR="004751BB" w:rsidRPr="00C078BD" w:rsidRDefault="004751BB">
      <w:pPr>
        <w:pStyle w:val="FootnoteText"/>
        <w:rPr>
          <w:rFonts w:ascii="Times New Roman" w:hAnsi="Times New Roman" w:cs="Times New Roman"/>
        </w:rPr>
      </w:pPr>
      <w:r w:rsidRPr="00C078BD">
        <w:rPr>
          <w:rStyle w:val="FootnoteReference"/>
          <w:rFonts w:ascii="Times New Roman" w:hAnsi="Times New Roman" w:cs="Times New Roman"/>
        </w:rPr>
        <w:footnoteRef/>
      </w:r>
      <w:r w:rsidRPr="00C078BD">
        <w:rPr>
          <w:rFonts w:ascii="Times New Roman" w:hAnsi="Times New Roman" w:cs="Times New Roman"/>
        </w:rPr>
        <w:t xml:space="preserve"> Papp, Hagerman, Gnoleba,</w:t>
      </w:r>
      <w:r w:rsidRPr="00C078BD">
        <w:rPr>
          <w:rFonts w:ascii="Times New Roman" w:hAnsi="Times New Roman" w:cs="Times New Roman"/>
          <w:i/>
        </w:rPr>
        <w:t xml:space="preserve"> et al</w:t>
      </w:r>
      <w:r w:rsidRPr="00C078BD">
        <w:rPr>
          <w:rFonts w:ascii="Times New Roman" w:hAnsi="Times New Roman" w:cs="Times New Roman"/>
        </w:rPr>
        <w:t>, 2015, 60</w:t>
      </w:r>
    </w:p>
  </w:footnote>
  <w:footnote w:id="71">
    <w:p w:rsidR="004751BB" w:rsidRPr="00C078BD" w:rsidRDefault="004751BB">
      <w:pPr>
        <w:pStyle w:val="FootnoteText"/>
        <w:rPr>
          <w:rFonts w:ascii="Times New Roman" w:hAnsi="Times New Roman" w:cs="Times New Roman"/>
        </w:rPr>
      </w:pPr>
      <w:r w:rsidRPr="00C078BD">
        <w:rPr>
          <w:rStyle w:val="FootnoteReference"/>
          <w:rFonts w:ascii="Times New Roman" w:hAnsi="Times New Roman" w:cs="Times New Roman"/>
        </w:rPr>
        <w:footnoteRef/>
      </w:r>
      <w:r w:rsidRPr="00C078BD">
        <w:rPr>
          <w:rFonts w:ascii="Times New Roman" w:hAnsi="Times New Roman" w:cs="Times New Roman"/>
        </w:rPr>
        <w:t xml:space="preserve"> Hastrup, 1993, 41</w:t>
      </w:r>
    </w:p>
  </w:footnote>
  <w:footnote w:id="72">
    <w:p w:rsidR="004751BB" w:rsidRPr="00C078BD" w:rsidRDefault="004751BB">
      <w:pPr>
        <w:pStyle w:val="FootnoteText"/>
        <w:rPr>
          <w:rFonts w:ascii="Times New Roman" w:hAnsi="Times New Roman" w:cs="Times New Roman"/>
        </w:rPr>
      </w:pPr>
      <w:r w:rsidRPr="00C078BD">
        <w:rPr>
          <w:rStyle w:val="FootnoteReference"/>
          <w:rFonts w:ascii="Times New Roman" w:hAnsi="Times New Roman" w:cs="Times New Roman"/>
        </w:rPr>
        <w:footnoteRef/>
      </w:r>
      <w:r w:rsidRPr="00C078BD">
        <w:rPr>
          <w:rFonts w:ascii="Times New Roman" w:hAnsi="Times New Roman" w:cs="Times New Roman"/>
        </w:rPr>
        <w:t xml:space="preserve"> Ringrose, Renold, 2011, 333</w:t>
      </w:r>
    </w:p>
  </w:footnote>
  <w:footnote w:id="73">
    <w:p w:rsidR="00CA6084" w:rsidRPr="00C078BD" w:rsidRDefault="00CA6084">
      <w:pPr>
        <w:pStyle w:val="FootnoteText"/>
        <w:rPr>
          <w:rFonts w:ascii="Times New Roman" w:hAnsi="Times New Roman" w:cs="Times New Roman"/>
        </w:rPr>
      </w:pPr>
      <w:r w:rsidRPr="00C078BD">
        <w:rPr>
          <w:rStyle w:val="FootnoteReference"/>
          <w:rFonts w:ascii="Times New Roman" w:hAnsi="Times New Roman" w:cs="Times New Roman"/>
        </w:rPr>
        <w:footnoteRef/>
      </w:r>
      <w:r w:rsidRPr="00C078BD">
        <w:rPr>
          <w:rFonts w:ascii="Times New Roman" w:hAnsi="Times New Roman" w:cs="Times New Roman"/>
        </w:rPr>
        <w:t xml:space="preserve"> Hastrup, 1993, 44</w:t>
      </w:r>
    </w:p>
  </w:footnote>
  <w:footnote w:id="74">
    <w:p w:rsidR="00CA6084" w:rsidRPr="00C078BD" w:rsidRDefault="00CA6084">
      <w:pPr>
        <w:pStyle w:val="FootnoteText"/>
        <w:rPr>
          <w:rFonts w:ascii="Times New Roman" w:hAnsi="Times New Roman" w:cs="Times New Roman"/>
        </w:rPr>
      </w:pPr>
      <w:r w:rsidRPr="00C078BD">
        <w:rPr>
          <w:rStyle w:val="FootnoteReference"/>
          <w:rFonts w:ascii="Times New Roman" w:hAnsi="Times New Roman" w:cs="Times New Roman"/>
        </w:rPr>
        <w:footnoteRef/>
      </w:r>
      <w:r w:rsidRPr="00C078BD">
        <w:rPr>
          <w:rFonts w:ascii="Times New Roman" w:hAnsi="Times New Roman" w:cs="Times New Roman"/>
        </w:rPr>
        <w:t xml:space="preserve"> Hastrup, 1993, 44</w:t>
      </w:r>
    </w:p>
  </w:footnote>
  <w:footnote w:id="75">
    <w:p w:rsidR="00CA6084" w:rsidRPr="00C078BD" w:rsidRDefault="00CA6084">
      <w:pPr>
        <w:pStyle w:val="FootnoteText"/>
        <w:rPr>
          <w:rFonts w:ascii="Times New Roman" w:hAnsi="Times New Roman" w:cs="Times New Roman"/>
        </w:rPr>
      </w:pPr>
      <w:r w:rsidRPr="00C078BD">
        <w:rPr>
          <w:rStyle w:val="FootnoteReference"/>
          <w:rFonts w:ascii="Times New Roman" w:hAnsi="Times New Roman" w:cs="Times New Roman"/>
        </w:rPr>
        <w:footnoteRef/>
      </w:r>
      <w:r w:rsidRPr="00C078BD">
        <w:rPr>
          <w:rFonts w:ascii="Times New Roman" w:hAnsi="Times New Roman" w:cs="Times New Roman"/>
        </w:rPr>
        <w:t xml:space="preserve"> Ringrose, Renold, 2011, 334</w:t>
      </w:r>
    </w:p>
  </w:footnote>
  <w:footnote w:id="76">
    <w:p w:rsidR="00CA6084" w:rsidRPr="00C078BD" w:rsidRDefault="00CA6084">
      <w:pPr>
        <w:pStyle w:val="FootnoteText"/>
        <w:rPr>
          <w:rFonts w:ascii="Times New Roman" w:hAnsi="Times New Roman" w:cs="Times New Roman"/>
        </w:rPr>
      </w:pPr>
      <w:r w:rsidRPr="00C078BD">
        <w:rPr>
          <w:rStyle w:val="FootnoteReference"/>
          <w:rFonts w:ascii="Times New Roman" w:hAnsi="Times New Roman" w:cs="Times New Roman"/>
        </w:rPr>
        <w:footnoteRef/>
      </w:r>
      <w:r w:rsidRPr="00C078BD">
        <w:rPr>
          <w:rFonts w:ascii="Times New Roman" w:hAnsi="Times New Roman" w:cs="Times New Roman"/>
        </w:rPr>
        <w:t xml:space="preserve"> Ringrose, Renold, 2011, 334</w:t>
      </w:r>
    </w:p>
  </w:footnote>
  <w:footnote w:id="77">
    <w:p w:rsidR="00CA6084" w:rsidRDefault="00CA6084">
      <w:pPr>
        <w:pStyle w:val="FootnoteText"/>
      </w:pPr>
      <w:r w:rsidRPr="00C078BD">
        <w:rPr>
          <w:rStyle w:val="FootnoteReference"/>
          <w:rFonts w:ascii="Times New Roman" w:hAnsi="Times New Roman" w:cs="Times New Roman"/>
        </w:rPr>
        <w:footnoteRef/>
      </w:r>
      <w:r w:rsidRPr="00C078BD">
        <w:rPr>
          <w:rFonts w:ascii="Times New Roman" w:hAnsi="Times New Roman" w:cs="Times New Roman"/>
        </w:rPr>
        <w:t xml:space="preserve"> Kouli, 1996, 65</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554F5" w:rsidRPr="00A554F5" w:rsidRDefault="00A554F5">
    <w:pPr>
      <w:pStyle w:val="Header"/>
      <w:rPr>
        <w:rFonts w:ascii="Times New Roman" w:hAnsi="Times New Roman" w:cs="Times New Roman"/>
      </w:rPr>
    </w:pPr>
    <w:r w:rsidRPr="00A554F5">
      <w:rPr>
        <w:rFonts w:ascii="Times New Roman" w:hAnsi="Times New Roman" w:cs="Times New Roman"/>
      </w:rPr>
      <w:t>Hannah Elise Pickering</w:t>
    </w:r>
    <w:r w:rsidRPr="00A554F5">
      <w:rPr>
        <w:rFonts w:ascii="Times New Roman" w:hAnsi="Times New Roman" w:cs="Times New Roman"/>
      </w:rPr>
      <w:tab/>
      <w:t>17/11/2017</w:t>
    </w:r>
    <w:r w:rsidRPr="00A554F5">
      <w:rPr>
        <w:rFonts w:ascii="Times New Roman" w:hAnsi="Times New Roman" w:cs="Times New Roman"/>
      </w:rPr>
      <w:tab/>
      <w:t>1500261</w:t>
    </w:r>
  </w:p>
  <w:p w:rsidR="00A554F5" w:rsidRDefault="00A554F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6185AA7"/>
    <w:multiLevelType w:val="hybridMultilevel"/>
    <w:tmpl w:val="13CCE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8C1BF5"/>
    <w:multiLevelType w:val="hybridMultilevel"/>
    <w:tmpl w:val="6C6E0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C1587C"/>
    <w:multiLevelType w:val="hybridMultilevel"/>
    <w:tmpl w:val="C1B83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54F5"/>
    <w:rsid w:val="00274A15"/>
    <w:rsid w:val="0038024A"/>
    <w:rsid w:val="003975C7"/>
    <w:rsid w:val="00465D40"/>
    <w:rsid w:val="004751BB"/>
    <w:rsid w:val="00494829"/>
    <w:rsid w:val="005156CE"/>
    <w:rsid w:val="005D5856"/>
    <w:rsid w:val="006D56BE"/>
    <w:rsid w:val="008133FD"/>
    <w:rsid w:val="008723F3"/>
    <w:rsid w:val="00910B4D"/>
    <w:rsid w:val="009C09E1"/>
    <w:rsid w:val="00A554F5"/>
    <w:rsid w:val="00A64611"/>
    <w:rsid w:val="00AE06A1"/>
    <w:rsid w:val="00B87E4A"/>
    <w:rsid w:val="00C078BD"/>
    <w:rsid w:val="00CA6084"/>
    <w:rsid w:val="00CF37FC"/>
    <w:rsid w:val="00DD104E"/>
    <w:rsid w:val="00E30D2A"/>
    <w:rsid w:val="00E46EC7"/>
    <w:rsid w:val="00EA529D"/>
    <w:rsid w:val="00EF123E"/>
    <w:rsid w:val="00F30F3B"/>
    <w:rsid w:val="00F4067D"/>
    <w:rsid w:val="00FE72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D956E6A-12FD-4534-A44F-B8DA01E1D6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54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54F5"/>
  </w:style>
  <w:style w:type="paragraph" w:styleId="Footer">
    <w:name w:val="footer"/>
    <w:basedOn w:val="Normal"/>
    <w:link w:val="FooterChar"/>
    <w:uiPriority w:val="99"/>
    <w:unhideWhenUsed/>
    <w:rsid w:val="00A554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54F5"/>
  </w:style>
  <w:style w:type="paragraph" w:styleId="FootnoteText">
    <w:name w:val="footnote text"/>
    <w:basedOn w:val="Normal"/>
    <w:link w:val="FootnoteTextChar"/>
    <w:uiPriority w:val="99"/>
    <w:semiHidden/>
    <w:unhideWhenUsed/>
    <w:rsid w:val="00A554F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554F5"/>
    <w:rPr>
      <w:sz w:val="20"/>
      <w:szCs w:val="20"/>
    </w:rPr>
  </w:style>
  <w:style w:type="character" w:styleId="FootnoteReference">
    <w:name w:val="footnote reference"/>
    <w:basedOn w:val="DefaultParagraphFont"/>
    <w:uiPriority w:val="99"/>
    <w:semiHidden/>
    <w:unhideWhenUsed/>
    <w:rsid w:val="00A554F5"/>
    <w:rPr>
      <w:vertAlign w:val="superscript"/>
    </w:rPr>
  </w:style>
  <w:style w:type="paragraph" w:styleId="ListParagraph">
    <w:name w:val="List Paragraph"/>
    <w:basedOn w:val="Normal"/>
    <w:uiPriority w:val="34"/>
    <w:qFormat/>
    <w:rsid w:val="00EF123E"/>
    <w:pPr>
      <w:ind w:left="720"/>
      <w:contextualSpacing/>
    </w:pPr>
  </w:style>
  <w:style w:type="character" w:styleId="Hyperlink">
    <w:name w:val="Hyperlink"/>
    <w:basedOn w:val="DefaultParagraphFont"/>
    <w:uiPriority w:val="99"/>
    <w:unhideWhenUsed/>
    <w:rsid w:val="00EF123E"/>
    <w:rPr>
      <w:color w:val="0563C1" w:themeColor="hyperlink"/>
      <w:u w:val="single"/>
    </w:rPr>
  </w:style>
  <w:style w:type="character" w:styleId="FollowedHyperlink">
    <w:name w:val="FollowedHyperlink"/>
    <w:basedOn w:val="DefaultParagraphFont"/>
    <w:uiPriority w:val="99"/>
    <w:semiHidden/>
    <w:unhideWhenUsed/>
    <w:rsid w:val="00EF123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0943-014-9831-5"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doi.org/10.1353/jur.2013.0039"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x.doi.org/10.1080/09540253.2011.645023"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1007/s12147-014-9133-y" TargetMode="External"/><Relationship Id="rId4" Type="http://schemas.openxmlformats.org/officeDocument/2006/relationships/settings" Target="settings.xml"/><Relationship Id="rId9" Type="http://schemas.openxmlformats.org/officeDocument/2006/relationships/hyperlink" Target="http://www.jstor.org/stable/3704459"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EFD5F4-41E9-44D1-B6B9-2D2EC441E0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3161</TotalTime>
  <Pages>7</Pages>
  <Words>2357</Words>
  <Characters>13438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Pickering</dc:creator>
  <cp:keywords/>
  <dc:description/>
  <cp:lastModifiedBy>Hannah Pickering</cp:lastModifiedBy>
  <cp:revision>6</cp:revision>
  <dcterms:created xsi:type="dcterms:W3CDTF">2017-11-17T14:46:00Z</dcterms:created>
  <dcterms:modified xsi:type="dcterms:W3CDTF">2017-12-08T13:52:00Z</dcterms:modified>
</cp:coreProperties>
</file>