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480"/>
        <w:jc w:val="center"/>
        <w:rPr>
          <w:b/>
          <w:bCs/>
          <w:sz w:val="32"/>
          <w:szCs w:val="32"/>
        </w:rPr>
      </w:pPr>
      <w:r>
        <w:rPr>
          <w:b/>
          <w:bCs/>
          <w:noProof/>
          <w:sz w:val="32"/>
          <w:szCs w:val="32"/>
        </w:rPr>
        <w:drawing>
          <wp:inline distL="0" distT="0" distB="0" distR="0">
            <wp:extent cx="2754351" cy="1530195"/>
            <wp:effectExtent l="0" t="0" r="1905"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2754351" cy="1530195"/>
                    </a:xfrm>
                    <a:prstGeom prst="rect"/>
                  </pic:spPr>
                </pic:pic>
              </a:graphicData>
            </a:graphic>
          </wp:inline>
        </w:drawing>
      </w:r>
    </w:p>
    <w:p>
      <w:pPr>
        <w:pStyle w:val="style0"/>
        <w:spacing w:lineRule="auto" w:line="480"/>
        <w:jc w:val="center"/>
        <w:rPr>
          <w:b/>
          <w:bCs/>
          <w:sz w:val="32"/>
          <w:szCs w:val="32"/>
        </w:rPr>
      </w:pPr>
      <w:r>
        <w:rPr>
          <w:b/>
          <w:bCs/>
          <w:sz w:val="32"/>
          <w:szCs w:val="32"/>
        </w:rPr>
        <w:t>Programme: MSc Public Health and Social Care in Practice</w:t>
      </w:r>
    </w:p>
    <w:p>
      <w:pPr>
        <w:pStyle w:val="style0"/>
        <w:spacing w:lineRule="auto" w:line="480"/>
        <w:jc w:val="center"/>
        <w:rPr>
          <w:b/>
          <w:bCs/>
          <w:sz w:val="32"/>
          <w:szCs w:val="32"/>
        </w:rPr>
      </w:pPr>
      <w:r>
        <w:rPr>
          <w:b/>
          <w:bCs/>
          <w:sz w:val="32"/>
          <w:szCs w:val="32"/>
        </w:rPr>
        <w:t>Module: Practice-Based Research</w:t>
      </w:r>
    </w:p>
    <w:p>
      <w:pPr>
        <w:pStyle w:val="style0"/>
        <w:spacing w:lineRule="auto" w:line="480"/>
        <w:jc w:val="center"/>
        <w:rPr>
          <w:b/>
          <w:bCs/>
          <w:sz w:val="32"/>
          <w:szCs w:val="32"/>
        </w:rPr>
      </w:pPr>
      <w:r>
        <w:rPr>
          <w:b/>
          <w:bCs/>
          <w:sz w:val="32"/>
          <w:szCs w:val="32"/>
        </w:rPr>
        <w:t>Module code: LCHS7008</w:t>
      </w:r>
    </w:p>
    <w:p>
      <w:pPr>
        <w:pStyle w:val="style0"/>
        <w:spacing w:lineRule="auto" w:line="480"/>
        <w:jc w:val="center"/>
        <w:rPr>
          <w:b/>
          <w:sz w:val="28"/>
          <w:szCs w:val="14"/>
        </w:rPr>
      </w:pPr>
      <w:r>
        <w:rPr>
          <w:b/>
          <w:sz w:val="28"/>
          <w:szCs w:val="14"/>
        </w:rPr>
        <w:t>Component 2</w:t>
      </w:r>
    </w:p>
    <w:p>
      <w:pPr>
        <w:pStyle w:val="style0"/>
        <w:spacing w:lineRule="auto" w:line="480"/>
        <w:jc w:val="center"/>
        <w:rPr>
          <w:b/>
          <w:sz w:val="28"/>
          <w:szCs w:val="14"/>
        </w:rPr>
      </w:pPr>
      <w:r>
        <w:rPr>
          <w:b/>
          <w:sz w:val="28"/>
          <w:szCs w:val="14"/>
        </w:rPr>
        <w:t>Written Research Proposal</w:t>
      </w:r>
    </w:p>
    <w:p>
      <w:pPr>
        <w:pStyle w:val="style0"/>
        <w:spacing w:lineRule="auto" w:line="480"/>
        <w:jc w:val="center"/>
        <w:rPr>
          <w:b/>
          <w:bCs/>
          <w:sz w:val="32"/>
          <w:szCs w:val="32"/>
        </w:rPr>
      </w:pPr>
    </w:p>
    <w:p>
      <w:pPr>
        <w:pStyle w:val="style0"/>
        <w:spacing w:lineRule="auto" w:line="480"/>
        <w:jc w:val="center"/>
        <w:rPr>
          <w:b/>
          <w:color w:val="222222"/>
          <w:sz w:val="28"/>
          <w:szCs w:val="20"/>
          <w:shd w:val="clear" w:color="auto" w:fill="ffffff"/>
        </w:rPr>
      </w:pPr>
      <w:r>
        <w:rPr>
          <w:b/>
          <w:sz w:val="28"/>
          <w:szCs w:val="20"/>
        </w:rPr>
        <w:t>Impact of Nurses' Hand Hygiene Compliance on Healthcare-Associated Infections in UK Hospitals</w:t>
      </w:r>
      <w:r>
        <w:rPr>
          <w:b/>
          <w:color w:val="222222"/>
          <w:sz w:val="28"/>
          <w:szCs w:val="20"/>
          <w:shd w:val="clear" w:color="auto" w:fill="ffffff"/>
        </w:rPr>
        <w:t>:</w:t>
      </w:r>
      <w:r>
        <w:rPr>
          <w:b/>
          <w:color w:val="222222"/>
          <w:sz w:val="28"/>
          <w:szCs w:val="20"/>
          <w:shd w:val="clear" w:color="auto" w:fill="ffffff"/>
        </w:rPr>
        <w:t xml:space="preserve"> </w:t>
      </w:r>
      <w:r>
        <w:rPr>
          <w:b/>
          <w:color w:val="222222"/>
          <w:sz w:val="28"/>
          <w:szCs w:val="20"/>
          <w:shd w:val="clear" w:color="auto" w:fill="ffffff"/>
        </w:rPr>
        <w:t>A Systematic Review</w:t>
      </w:r>
    </w:p>
    <w:p>
      <w:pPr>
        <w:pStyle w:val="style0"/>
        <w:spacing w:lineRule="auto" w:line="480"/>
        <w:jc w:val="center"/>
        <w:rPr>
          <w:b/>
          <w:color w:val="222222"/>
          <w:sz w:val="28"/>
          <w:szCs w:val="20"/>
          <w:shd w:val="clear" w:color="auto" w:fill="ffffff"/>
        </w:rPr>
      </w:pPr>
    </w:p>
    <w:p>
      <w:pPr>
        <w:pStyle w:val="style0"/>
        <w:spacing w:lineRule="auto" w:line="480"/>
        <w:jc w:val="center"/>
        <w:rPr>
          <w:b/>
          <w:color w:val="222222"/>
          <w:sz w:val="28"/>
          <w:szCs w:val="28"/>
          <w:shd w:val="clear" w:color="auto" w:fill="ffffff"/>
        </w:rPr>
      </w:pPr>
      <w:r>
        <w:rPr>
          <w:b/>
          <w:color w:val="222222"/>
          <w:sz w:val="28"/>
          <w:szCs w:val="28"/>
          <w:shd w:val="clear" w:color="auto" w:fill="ffffff"/>
        </w:rPr>
        <w:t>Lecturer: Dr Diola Bijlhout</w:t>
      </w:r>
    </w:p>
    <w:p>
      <w:pPr>
        <w:pStyle w:val="style0"/>
        <w:spacing w:lineRule="auto" w:line="480"/>
        <w:rPr>
          <w:sz w:val="28"/>
          <w:szCs w:val="28"/>
        </w:rPr>
      </w:pPr>
    </w:p>
    <w:p>
      <w:pPr>
        <w:pStyle w:val="style0"/>
        <w:spacing w:lineRule="auto" w:line="480"/>
        <w:jc w:val="center"/>
        <w:rPr>
          <w:b/>
          <w:bCs/>
          <w:sz w:val="28"/>
          <w:szCs w:val="28"/>
        </w:rPr>
      </w:pPr>
      <w:r>
        <w:rPr>
          <w:b/>
          <w:bCs/>
          <w:sz w:val="28"/>
          <w:szCs w:val="28"/>
        </w:rPr>
        <w:t>Student name - Shruti Patel</w:t>
      </w:r>
    </w:p>
    <w:p>
      <w:pPr>
        <w:pStyle w:val="style0"/>
        <w:spacing w:lineRule="auto" w:line="480"/>
        <w:jc w:val="center"/>
        <w:rPr>
          <w:b/>
          <w:bCs/>
          <w:sz w:val="28"/>
          <w:szCs w:val="28"/>
        </w:rPr>
      </w:pPr>
      <w:r>
        <w:rPr>
          <w:b/>
          <w:bCs/>
          <w:sz w:val="28"/>
          <w:szCs w:val="28"/>
        </w:rPr>
        <w:t>Student ID – 2436893</w:t>
      </w:r>
    </w:p>
    <w:p>
      <w:pPr>
        <w:pStyle w:val="style0"/>
        <w:spacing w:lineRule="auto" w:line="480"/>
        <w:rPr>
          <w:sz w:val="32"/>
        </w:rPr>
      </w:pPr>
    </w:p>
    <w:p>
      <w:pPr>
        <w:pStyle w:val="style266"/>
        <w:spacing w:lineRule="auto" w:line="360"/>
        <w:jc w:val="center"/>
        <w:rPr>
          <w:rFonts w:ascii="Arial" w:cs="Arial" w:hAnsi="Arial"/>
          <w:color w:val="auto"/>
          <w:sz w:val="32"/>
          <w:szCs w:val="24"/>
        </w:rPr>
      </w:pPr>
      <w:r>
        <w:rPr>
          <w:rFonts w:ascii="Arial" w:cs="Arial" w:hAnsi="Arial"/>
          <w:color w:val="auto"/>
          <w:sz w:val="32"/>
          <w:szCs w:val="24"/>
        </w:rPr>
        <w:t>Table of Contents</w:t>
      </w:r>
    </w:p>
    <w:p>
      <w:pPr>
        <w:pStyle w:val="style19"/>
        <w:tabs>
          <w:tab w:val="left" w:leader="none" w:pos="480"/>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TOC \o "1-3" \h \z \u </w:instrText>
      </w:r>
      <w:r>
        <w:rPr/>
        <w:fldChar w:fldCharType="separate"/>
      </w:r>
      <w:r>
        <w:rPr/>
        <w:fldChar w:fldCharType="begin"/>
      </w:r>
      <w:r>
        <w:instrText xml:space="preserve"> HYPERLINK \l "_Toc227397162" </w:instrText>
      </w:r>
      <w:r>
        <w:rPr/>
        <w:fldChar w:fldCharType="separate"/>
      </w:r>
      <w:r>
        <w:rPr>
          <w:rStyle w:val="style85"/>
          <w:noProof/>
          <w:sz w:val="24"/>
          <w:szCs w:val="24"/>
        </w:rPr>
        <w:t>1.</w:t>
      </w:r>
      <w:r>
        <w:rPr>
          <w:rFonts w:ascii="Cambria" w:cs="Shruti" w:eastAsia="宋体" w:hAnsi="Cambria"/>
          <w:noProof/>
          <w:kern w:val="2"/>
          <w:sz w:val="28"/>
          <w:szCs w:val="28"/>
          <w:lang w:val="en-GB" w:eastAsia="en-GB"/>
          <w14:ligatures xmlns:w14="http://schemas.microsoft.com/office/word/2010/wordml" w14:val="standardContextual"/>
        </w:rPr>
        <w:tab/>
      </w:r>
      <w:r>
        <w:rPr>
          <w:rStyle w:val="style85"/>
          <w:noProof/>
          <w:sz w:val="24"/>
          <w:szCs w:val="24"/>
        </w:rPr>
        <w:t>Prevalence of the problem identified in the area of health care</w:t>
      </w:r>
      <w:r>
        <w:rPr>
          <w:noProof/>
          <w:webHidden/>
          <w:sz w:val="24"/>
          <w:szCs w:val="24"/>
        </w:rPr>
        <w:tab/>
      </w:r>
      <w:r>
        <w:rPr>
          <w:noProof/>
          <w:webHidden/>
          <w:sz w:val="24"/>
          <w:szCs w:val="24"/>
        </w:rPr>
        <w:fldChar w:fldCharType="begin"/>
      </w:r>
      <w:r>
        <w:rPr>
          <w:noProof/>
          <w:webHidden/>
          <w:sz w:val="24"/>
          <w:szCs w:val="24"/>
        </w:rPr>
        <w:instrText xml:space="preserve"> PAGEREF _Toc227397162 \h </w:instrText>
      </w:r>
      <w:r>
        <w:rPr>
          <w:noProof/>
          <w:webHidden/>
          <w:sz w:val="24"/>
          <w:szCs w:val="24"/>
        </w:rPr>
        <w:fldChar w:fldCharType="separate"/>
      </w:r>
      <w:r>
        <w:rPr>
          <w:noProof/>
          <w:webHidden/>
          <w:sz w:val="24"/>
          <w:szCs w:val="24"/>
        </w:rPr>
        <w:t>3</w:t>
      </w:r>
      <w:r>
        <w:rPr>
          <w:noProof/>
          <w:webHidden/>
          <w:sz w:val="24"/>
          <w:szCs w:val="24"/>
        </w:rPr>
        <w:fldChar w:fldCharType="end"/>
      </w:r>
      <w:r>
        <w:rPr/>
        <w:fldChar w:fldCharType="end"/>
      </w:r>
    </w:p>
    <w:p>
      <w:pPr>
        <w:pStyle w:val="style19"/>
        <w:tabs>
          <w:tab w:val="left" w:leader="none" w:pos="480"/>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HYPERLINK \l "_Toc227397163" </w:instrText>
      </w:r>
      <w:r>
        <w:rPr/>
        <w:fldChar w:fldCharType="separate"/>
      </w:r>
      <w:r>
        <w:rPr>
          <w:rStyle w:val="style85"/>
          <w:noProof/>
          <w:sz w:val="24"/>
          <w:szCs w:val="24"/>
        </w:rPr>
        <w:t>2.</w:t>
      </w:r>
      <w:r>
        <w:rPr>
          <w:rFonts w:ascii="Cambria" w:cs="Shruti" w:eastAsia="宋体" w:hAnsi="Cambria"/>
          <w:noProof/>
          <w:kern w:val="2"/>
          <w:sz w:val="28"/>
          <w:szCs w:val="28"/>
          <w:lang w:val="en-GB" w:eastAsia="en-GB"/>
          <w14:ligatures xmlns:w14="http://schemas.microsoft.com/office/word/2010/wordml" w14:val="standardContextual"/>
        </w:rPr>
        <w:tab/>
      </w:r>
      <w:r>
        <w:rPr>
          <w:rStyle w:val="style85"/>
          <w:noProof/>
          <w:sz w:val="24"/>
          <w:szCs w:val="24"/>
        </w:rPr>
        <w:t>Introduction</w:t>
      </w:r>
      <w:r>
        <w:rPr>
          <w:noProof/>
          <w:webHidden/>
          <w:sz w:val="24"/>
          <w:szCs w:val="24"/>
        </w:rPr>
        <w:tab/>
      </w:r>
      <w:r>
        <w:rPr>
          <w:noProof/>
          <w:webHidden/>
          <w:sz w:val="24"/>
          <w:szCs w:val="24"/>
        </w:rPr>
        <w:fldChar w:fldCharType="begin"/>
      </w:r>
      <w:r>
        <w:rPr>
          <w:noProof/>
          <w:webHidden/>
          <w:sz w:val="24"/>
          <w:szCs w:val="24"/>
        </w:rPr>
        <w:instrText xml:space="preserve"> PAGEREF _Toc227397163 \h </w:instrText>
      </w:r>
      <w:r>
        <w:rPr>
          <w:noProof/>
          <w:webHidden/>
          <w:sz w:val="24"/>
          <w:szCs w:val="24"/>
        </w:rPr>
        <w:fldChar w:fldCharType="separate"/>
      </w:r>
      <w:r>
        <w:rPr>
          <w:noProof/>
          <w:webHidden/>
          <w:sz w:val="24"/>
          <w:szCs w:val="24"/>
        </w:rPr>
        <w:t>4</w:t>
      </w:r>
      <w:r>
        <w:rPr>
          <w:noProof/>
          <w:webHidden/>
          <w:sz w:val="24"/>
          <w:szCs w:val="24"/>
        </w:rPr>
        <w:fldChar w:fldCharType="end"/>
      </w:r>
      <w:r>
        <w:rPr/>
        <w:fldChar w:fldCharType="end"/>
      </w:r>
    </w:p>
    <w:p>
      <w:pPr>
        <w:pStyle w:val="style19"/>
        <w:tabs>
          <w:tab w:val="left" w:leader="none" w:pos="480"/>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HYPERLINK \l "_Toc227397164" </w:instrText>
      </w:r>
      <w:r>
        <w:rPr/>
        <w:fldChar w:fldCharType="separate"/>
      </w:r>
      <w:r>
        <w:rPr>
          <w:rStyle w:val="style85"/>
          <w:noProof/>
          <w:sz w:val="24"/>
          <w:szCs w:val="24"/>
        </w:rPr>
        <w:t>3.</w:t>
      </w:r>
      <w:r>
        <w:rPr>
          <w:rFonts w:ascii="Cambria" w:cs="Shruti" w:eastAsia="宋体" w:hAnsi="Cambria"/>
          <w:noProof/>
          <w:kern w:val="2"/>
          <w:sz w:val="28"/>
          <w:szCs w:val="28"/>
          <w:lang w:val="en-GB" w:eastAsia="en-GB"/>
          <w14:ligatures xmlns:w14="http://schemas.microsoft.com/office/word/2010/wordml" w14:val="standardContextual"/>
        </w:rPr>
        <w:tab/>
      </w:r>
      <w:r>
        <w:rPr>
          <w:rStyle w:val="style85"/>
          <w:noProof/>
          <w:sz w:val="24"/>
          <w:szCs w:val="24"/>
        </w:rPr>
        <w:t>Rationale &amp; Research Question/Aims</w:t>
      </w:r>
      <w:r>
        <w:rPr>
          <w:noProof/>
          <w:webHidden/>
          <w:sz w:val="24"/>
          <w:szCs w:val="24"/>
        </w:rPr>
        <w:tab/>
      </w:r>
      <w:r>
        <w:rPr>
          <w:noProof/>
          <w:webHidden/>
          <w:sz w:val="24"/>
          <w:szCs w:val="24"/>
        </w:rPr>
        <w:fldChar w:fldCharType="begin"/>
      </w:r>
      <w:r>
        <w:rPr>
          <w:noProof/>
          <w:webHidden/>
          <w:sz w:val="24"/>
          <w:szCs w:val="24"/>
        </w:rPr>
        <w:instrText xml:space="preserve"> PAGEREF _Toc227397164 \h </w:instrText>
      </w:r>
      <w:r>
        <w:rPr>
          <w:noProof/>
          <w:webHidden/>
          <w:sz w:val="24"/>
          <w:szCs w:val="24"/>
        </w:rPr>
        <w:fldChar w:fldCharType="separate"/>
      </w:r>
      <w:r>
        <w:rPr>
          <w:noProof/>
          <w:webHidden/>
          <w:sz w:val="24"/>
          <w:szCs w:val="24"/>
        </w:rPr>
        <w:t>5</w:t>
      </w:r>
      <w:r>
        <w:rPr>
          <w:noProof/>
          <w:webHidden/>
          <w:sz w:val="24"/>
          <w:szCs w:val="24"/>
        </w:rPr>
        <w:fldChar w:fldCharType="end"/>
      </w:r>
      <w:r>
        <w:rPr/>
        <w:fldChar w:fldCharType="end"/>
      </w:r>
    </w:p>
    <w:p>
      <w:pPr>
        <w:pStyle w:val="style20"/>
        <w:tabs>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HYPERLINK \l "_Toc227397165" </w:instrText>
      </w:r>
      <w:r>
        <w:rPr/>
        <w:fldChar w:fldCharType="separate"/>
      </w:r>
      <w:r>
        <w:rPr>
          <w:rStyle w:val="style85"/>
          <w:noProof/>
          <w:sz w:val="24"/>
          <w:szCs w:val="24"/>
        </w:rPr>
        <w:t>3.1 Rationale</w:t>
      </w:r>
      <w:r>
        <w:rPr>
          <w:noProof/>
          <w:webHidden/>
          <w:sz w:val="24"/>
          <w:szCs w:val="24"/>
        </w:rPr>
        <w:tab/>
      </w:r>
      <w:r>
        <w:rPr>
          <w:noProof/>
          <w:webHidden/>
          <w:sz w:val="24"/>
          <w:szCs w:val="24"/>
        </w:rPr>
        <w:fldChar w:fldCharType="begin"/>
      </w:r>
      <w:r>
        <w:rPr>
          <w:noProof/>
          <w:webHidden/>
          <w:sz w:val="24"/>
          <w:szCs w:val="24"/>
        </w:rPr>
        <w:instrText xml:space="preserve"> PAGEREF _Toc227397165 \h </w:instrText>
      </w:r>
      <w:r>
        <w:rPr>
          <w:noProof/>
          <w:webHidden/>
          <w:sz w:val="24"/>
          <w:szCs w:val="24"/>
        </w:rPr>
        <w:fldChar w:fldCharType="separate"/>
      </w:r>
      <w:r>
        <w:rPr>
          <w:noProof/>
          <w:webHidden/>
          <w:sz w:val="24"/>
          <w:szCs w:val="24"/>
        </w:rPr>
        <w:t>5</w:t>
      </w:r>
      <w:r>
        <w:rPr>
          <w:noProof/>
          <w:webHidden/>
          <w:sz w:val="24"/>
          <w:szCs w:val="24"/>
        </w:rPr>
        <w:fldChar w:fldCharType="end"/>
      </w:r>
      <w:r>
        <w:rPr/>
        <w:fldChar w:fldCharType="end"/>
      </w:r>
    </w:p>
    <w:p>
      <w:pPr>
        <w:pStyle w:val="style20"/>
        <w:tabs>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HYPERLINK \l "_Toc227397166" </w:instrText>
      </w:r>
      <w:r>
        <w:rPr/>
        <w:fldChar w:fldCharType="separate"/>
      </w:r>
      <w:r>
        <w:rPr>
          <w:rStyle w:val="style85"/>
          <w:noProof/>
          <w:sz w:val="24"/>
          <w:szCs w:val="24"/>
        </w:rPr>
        <w:t>3.2 Research aim</w:t>
      </w:r>
      <w:r>
        <w:rPr>
          <w:noProof/>
          <w:webHidden/>
          <w:sz w:val="24"/>
          <w:szCs w:val="24"/>
        </w:rPr>
        <w:tab/>
      </w:r>
      <w:r>
        <w:rPr>
          <w:noProof/>
          <w:webHidden/>
          <w:sz w:val="24"/>
          <w:szCs w:val="24"/>
        </w:rPr>
        <w:fldChar w:fldCharType="begin"/>
      </w:r>
      <w:r>
        <w:rPr>
          <w:noProof/>
          <w:webHidden/>
          <w:sz w:val="24"/>
          <w:szCs w:val="24"/>
        </w:rPr>
        <w:instrText xml:space="preserve"> PAGEREF _Toc227397166 \h </w:instrText>
      </w:r>
      <w:r>
        <w:rPr>
          <w:noProof/>
          <w:webHidden/>
          <w:sz w:val="24"/>
          <w:szCs w:val="24"/>
        </w:rPr>
        <w:fldChar w:fldCharType="separate"/>
      </w:r>
      <w:r>
        <w:rPr>
          <w:noProof/>
          <w:webHidden/>
          <w:sz w:val="24"/>
          <w:szCs w:val="24"/>
        </w:rPr>
        <w:t>6</w:t>
      </w:r>
      <w:r>
        <w:rPr>
          <w:noProof/>
          <w:webHidden/>
          <w:sz w:val="24"/>
          <w:szCs w:val="24"/>
        </w:rPr>
        <w:fldChar w:fldCharType="end"/>
      </w:r>
      <w:r>
        <w:rPr/>
        <w:fldChar w:fldCharType="end"/>
      </w:r>
    </w:p>
    <w:p>
      <w:pPr>
        <w:pStyle w:val="style20"/>
        <w:tabs>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HYPERLINK \l "_Toc227397167" </w:instrText>
      </w:r>
      <w:r>
        <w:rPr/>
        <w:fldChar w:fldCharType="separate"/>
      </w:r>
      <w:r>
        <w:rPr>
          <w:rStyle w:val="style85"/>
          <w:noProof/>
          <w:sz w:val="24"/>
          <w:szCs w:val="24"/>
        </w:rPr>
        <w:t>3.3 Research objectives</w:t>
      </w:r>
      <w:r>
        <w:rPr>
          <w:noProof/>
          <w:webHidden/>
          <w:sz w:val="24"/>
          <w:szCs w:val="24"/>
        </w:rPr>
        <w:tab/>
      </w:r>
      <w:r>
        <w:rPr>
          <w:noProof/>
          <w:webHidden/>
          <w:sz w:val="24"/>
          <w:szCs w:val="24"/>
        </w:rPr>
        <w:fldChar w:fldCharType="begin"/>
      </w:r>
      <w:r>
        <w:rPr>
          <w:noProof/>
          <w:webHidden/>
          <w:sz w:val="24"/>
          <w:szCs w:val="24"/>
        </w:rPr>
        <w:instrText xml:space="preserve"> PAGEREF _Toc227397167 \h </w:instrText>
      </w:r>
      <w:r>
        <w:rPr>
          <w:noProof/>
          <w:webHidden/>
          <w:sz w:val="24"/>
          <w:szCs w:val="24"/>
        </w:rPr>
        <w:fldChar w:fldCharType="separate"/>
      </w:r>
      <w:r>
        <w:rPr>
          <w:noProof/>
          <w:webHidden/>
          <w:sz w:val="24"/>
          <w:szCs w:val="24"/>
        </w:rPr>
        <w:t>6</w:t>
      </w:r>
      <w:r>
        <w:rPr>
          <w:noProof/>
          <w:webHidden/>
          <w:sz w:val="24"/>
          <w:szCs w:val="24"/>
        </w:rPr>
        <w:fldChar w:fldCharType="end"/>
      </w:r>
      <w:r>
        <w:rPr/>
        <w:fldChar w:fldCharType="end"/>
      </w:r>
    </w:p>
    <w:p>
      <w:pPr>
        <w:pStyle w:val="style20"/>
        <w:tabs>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HYPERLINK \l "_Toc227397168" </w:instrText>
      </w:r>
      <w:r>
        <w:rPr/>
        <w:fldChar w:fldCharType="separate"/>
      </w:r>
      <w:r>
        <w:rPr>
          <w:rStyle w:val="style85"/>
          <w:noProof/>
          <w:sz w:val="24"/>
          <w:szCs w:val="24"/>
        </w:rPr>
        <w:t>3.4 Research Questions</w:t>
      </w:r>
      <w:r>
        <w:rPr>
          <w:noProof/>
          <w:webHidden/>
          <w:sz w:val="24"/>
          <w:szCs w:val="24"/>
        </w:rPr>
        <w:tab/>
      </w:r>
      <w:r>
        <w:rPr>
          <w:noProof/>
          <w:webHidden/>
          <w:sz w:val="24"/>
          <w:szCs w:val="24"/>
        </w:rPr>
        <w:fldChar w:fldCharType="begin"/>
      </w:r>
      <w:r>
        <w:rPr>
          <w:noProof/>
          <w:webHidden/>
          <w:sz w:val="24"/>
          <w:szCs w:val="24"/>
        </w:rPr>
        <w:instrText xml:space="preserve"> PAGEREF _Toc227397168 \h </w:instrText>
      </w:r>
      <w:r>
        <w:rPr>
          <w:noProof/>
          <w:webHidden/>
          <w:sz w:val="24"/>
          <w:szCs w:val="24"/>
        </w:rPr>
        <w:fldChar w:fldCharType="separate"/>
      </w:r>
      <w:r>
        <w:rPr>
          <w:noProof/>
          <w:webHidden/>
          <w:sz w:val="24"/>
          <w:szCs w:val="24"/>
        </w:rPr>
        <w:t>6</w:t>
      </w:r>
      <w:r>
        <w:rPr>
          <w:noProof/>
          <w:webHidden/>
          <w:sz w:val="24"/>
          <w:szCs w:val="24"/>
        </w:rPr>
        <w:fldChar w:fldCharType="end"/>
      </w:r>
      <w:r>
        <w:rPr/>
        <w:fldChar w:fldCharType="end"/>
      </w:r>
    </w:p>
    <w:p>
      <w:pPr>
        <w:pStyle w:val="style19"/>
        <w:tabs>
          <w:tab w:val="left" w:leader="none" w:pos="480"/>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HYPERLINK \l "_Toc227397169" </w:instrText>
      </w:r>
      <w:r>
        <w:rPr/>
        <w:fldChar w:fldCharType="separate"/>
      </w:r>
      <w:r>
        <w:rPr>
          <w:rStyle w:val="style85"/>
          <w:noProof/>
          <w:sz w:val="24"/>
          <w:szCs w:val="24"/>
        </w:rPr>
        <w:t>4.</w:t>
      </w:r>
      <w:r>
        <w:rPr>
          <w:rFonts w:ascii="Cambria" w:cs="Shruti" w:eastAsia="宋体" w:hAnsi="Cambria"/>
          <w:noProof/>
          <w:kern w:val="2"/>
          <w:sz w:val="28"/>
          <w:szCs w:val="28"/>
          <w:lang w:val="en-GB" w:eastAsia="en-GB"/>
          <w14:ligatures xmlns:w14="http://schemas.microsoft.com/office/word/2010/wordml" w14:val="standardContextual"/>
        </w:rPr>
        <w:tab/>
      </w:r>
      <w:r>
        <w:rPr>
          <w:rStyle w:val="style85"/>
          <w:noProof/>
          <w:sz w:val="24"/>
          <w:szCs w:val="24"/>
        </w:rPr>
        <w:t>Research Methodology</w:t>
      </w:r>
      <w:r>
        <w:rPr>
          <w:noProof/>
          <w:webHidden/>
          <w:sz w:val="24"/>
          <w:szCs w:val="24"/>
        </w:rPr>
        <w:tab/>
      </w:r>
      <w:r>
        <w:rPr>
          <w:noProof/>
          <w:webHidden/>
          <w:sz w:val="24"/>
          <w:szCs w:val="24"/>
        </w:rPr>
        <w:fldChar w:fldCharType="begin"/>
      </w:r>
      <w:r>
        <w:rPr>
          <w:noProof/>
          <w:webHidden/>
          <w:sz w:val="24"/>
          <w:szCs w:val="24"/>
        </w:rPr>
        <w:instrText xml:space="preserve"> PAGEREF _Toc227397169 \h </w:instrText>
      </w:r>
      <w:r>
        <w:rPr>
          <w:noProof/>
          <w:webHidden/>
          <w:sz w:val="24"/>
          <w:szCs w:val="24"/>
        </w:rPr>
        <w:fldChar w:fldCharType="separate"/>
      </w:r>
      <w:r>
        <w:rPr>
          <w:noProof/>
          <w:webHidden/>
          <w:sz w:val="24"/>
          <w:szCs w:val="24"/>
        </w:rPr>
        <w:t>6</w:t>
      </w:r>
      <w:r>
        <w:rPr>
          <w:noProof/>
          <w:webHidden/>
          <w:sz w:val="24"/>
          <w:szCs w:val="24"/>
        </w:rPr>
        <w:fldChar w:fldCharType="end"/>
      </w:r>
      <w:r>
        <w:rPr/>
        <w:fldChar w:fldCharType="end"/>
      </w:r>
    </w:p>
    <w:p>
      <w:pPr>
        <w:pStyle w:val="style19"/>
        <w:tabs>
          <w:tab w:val="left" w:leader="none" w:pos="480"/>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HYPERLINK \l "_Toc227397170" </w:instrText>
      </w:r>
      <w:r>
        <w:rPr/>
        <w:fldChar w:fldCharType="separate"/>
      </w:r>
      <w:r>
        <w:rPr>
          <w:rStyle w:val="style85"/>
          <w:noProof/>
          <w:sz w:val="24"/>
          <w:szCs w:val="24"/>
        </w:rPr>
        <w:t>5.</w:t>
      </w:r>
      <w:r>
        <w:rPr>
          <w:rFonts w:ascii="Cambria" w:cs="Shruti" w:eastAsia="宋体" w:hAnsi="Cambria"/>
          <w:noProof/>
          <w:kern w:val="2"/>
          <w:sz w:val="28"/>
          <w:szCs w:val="28"/>
          <w:lang w:val="en-GB" w:eastAsia="en-GB"/>
          <w14:ligatures xmlns:w14="http://schemas.microsoft.com/office/word/2010/wordml" w14:val="standardContextual"/>
        </w:rPr>
        <w:tab/>
      </w:r>
      <w:r>
        <w:rPr>
          <w:rStyle w:val="style85"/>
          <w:noProof/>
          <w:sz w:val="24"/>
          <w:szCs w:val="24"/>
        </w:rPr>
        <w:t>Research Design</w:t>
      </w:r>
      <w:r>
        <w:rPr>
          <w:noProof/>
          <w:webHidden/>
          <w:sz w:val="24"/>
          <w:szCs w:val="24"/>
        </w:rPr>
        <w:tab/>
      </w:r>
      <w:r>
        <w:rPr>
          <w:noProof/>
          <w:webHidden/>
          <w:sz w:val="24"/>
          <w:szCs w:val="24"/>
        </w:rPr>
        <w:fldChar w:fldCharType="begin"/>
      </w:r>
      <w:r>
        <w:rPr>
          <w:noProof/>
          <w:webHidden/>
          <w:sz w:val="24"/>
          <w:szCs w:val="24"/>
        </w:rPr>
        <w:instrText xml:space="preserve"> PAGEREF _Toc227397170 \h </w:instrText>
      </w:r>
      <w:r>
        <w:rPr>
          <w:noProof/>
          <w:webHidden/>
          <w:sz w:val="24"/>
          <w:szCs w:val="24"/>
        </w:rPr>
        <w:fldChar w:fldCharType="separate"/>
      </w:r>
      <w:r>
        <w:rPr>
          <w:noProof/>
          <w:webHidden/>
          <w:sz w:val="24"/>
          <w:szCs w:val="24"/>
        </w:rPr>
        <w:t>7</w:t>
      </w:r>
      <w:r>
        <w:rPr>
          <w:noProof/>
          <w:webHidden/>
          <w:sz w:val="24"/>
          <w:szCs w:val="24"/>
        </w:rPr>
        <w:fldChar w:fldCharType="end"/>
      </w:r>
      <w:r>
        <w:rPr/>
        <w:fldChar w:fldCharType="end"/>
      </w:r>
    </w:p>
    <w:p>
      <w:pPr>
        <w:pStyle w:val="style19"/>
        <w:tabs>
          <w:tab w:val="left" w:leader="none" w:pos="480"/>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HYPERLINK \l "_Toc227397171" </w:instrText>
      </w:r>
      <w:r>
        <w:rPr/>
        <w:fldChar w:fldCharType="separate"/>
      </w:r>
      <w:r>
        <w:rPr>
          <w:rStyle w:val="style85"/>
          <w:noProof/>
          <w:sz w:val="24"/>
          <w:szCs w:val="24"/>
        </w:rPr>
        <w:t>6.</w:t>
      </w:r>
      <w:r>
        <w:rPr>
          <w:rFonts w:ascii="Cambria" w:cs="Shruti" w:eastAsia="宋体" w:hAnsi="Cambria"/>
          <w:noProof/>
          <w:kern w:val="2"/>
          <w:sz w:val="28"/>
          <w:szCs w:val="28"/>
          <w:lang w:val="en-GB" w:eastAsia="en-GB"/>
          <w14:ligatures xmlns:w14="http://schemas.microsoft.com/office/word/2010/wordml" w14:val="standardContextual"/>
        </w:rPr>
        <w:tab/>
      </w:r>
      <w:r>
        <w:rPr>
          <w:rStyle w:val="style85"/>
          <w:noProof/>
          <w:sz w:val="24"/>
          <w:szCs w:val="24"/>
        </w:rPr>
        <w:t>Data Collection Method</w:t>
      </w:r>
      <w:r>
        <w:rPr>
          <w:noProof/>
          <w:webHidden/>
          <w:sz w:val="24"/>
          <w:szCs w:val="24"/>
        </w:rPr>
        <w:tab/>
      </w:r>
      <w:r>
        <w:rPr>
          <w:noProof/>
          <w:webHidden/>
          <w:sz w:val="24"/>
          <w:szCs w:val="24"/>
        </w:rPr>
        <w:fldChar w:fldCharType="begin"/>
      </w:r>
      <w:r>
        <w:rPr>
          <w:noProof/>
          <w:webHidden/>
          <w:sz w:val="24"/>
          <w:szCs w:val="24"/>
        </w:rPr>
        <w:instrText xml:space="preserve"> PAGEREF _Toc227397171 \h </w:instrText>
      </w:r>
      <w:r>
        <w:rPr>
          <w:noProof/>
          <w:webHidden/>
          <w:sz w:val="24"/>
          <w:szCs w:val="24"/>
        </w:rPr>
        <w:fldChar w:fldCharType="separate"/>
      </w:r>
      <w:r>
        <w:rPr>
          <w:noProof/>
          <w:webHidden/>
          <w:sz w:val="24"/>
          <w:szCs w:val="24"/>
        </w:rPr>
        <w:t>8</w:t>
      </w:r>
      <w:r>
        <w:rPr>
          <w:noProof/>
          <w:webHidden/>
          <w:sz w:val="24"/>
          <w:szCs w:val="24"/>
        </w:rPr>
        <w:fldChar w:fldCharType="end"/>
      </w:r>
      <w:r>
        <w:rPr/>
        <w:fldChar w:fldCharType="end"/>
      </w:r>
    </w:p>
    <w:p>
      <w:pPr>
        <w:pStyle w:val="style19"/>
        <w:tabs>
          <w:tab w:val="left" w:leader="none" w:pos="480"/>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HYPERLINK \l "_Toc227397172" </w:instrText>
      </w:r>
      <w:r>
        <w:rPr/>
        <w:fldChar w:fldCharType="separate"/>
      </w:r>
      <w:r>
        <w:rPr>
          <w:rStyle w:val="style85"/>
          <w:noProof/>
          <w:sz w:val="24"/>
          <w:szCs w:val="24"/>
        </w:rPr>
        <w:t>7.</w:t>
      </w:r>
      <w:r>
        <w:rPr>
          <w:rFonts w:ascii="Cambria" w:cs="Shruti" w:eastAsia="宋体" w:hAnsi="Cambria"/>
          <w:noProof/>
          <w:kern w:val="2"/>
          <w:sz w:val="28"/>
          <w:szCs w:val="28"/>
          <w:lang w:val="en-GB" w:eastAsia="en-GB"/>
          <w14:ligatures xmlns:w14="http://schemas.microsoft.com/office/word/2010/wordml" w14:val="standardContextual"/>
        </w:rPr>
        <w:tab/>
      </w:r>
      <w:r>
        <w:rPr>
          <w:rStyle w:val="style85"/>
          <w:noProof/>
          <w:sz w:val="24"/>
          <w:szCs w:val="24"/>
        </w:rPr>
        <w:t>Proposed data analysis technique</w:t>
      </w:r>
      <w:r>
        <w:rPr>
          <w:noProof/>
          <w:webHidden/>
          <w:sz w:val="24"/>
          <w:szCs w:val="24"/>
        </w:rPr>
        <w:tab/>
      </w:r>
      <w:r>
        <w:rPr>
          <w:noProof/>
          <w:webHidden/>
          <w:sz w:val="24"/>
          <w:szCs w:val="24"/>
        </w:rPr>
        <w:fldChar w:fldCharType="begin"/>
      </w:r>
      <w:r>
        <w:rPr>
          <w:noProof/>
          <w:webHidden/>
          <w:sz w:val="24"/>
          <w:szCs w:val="24"/>
        </w:rPr>
        <w:instrText xml:space="preserve"> PAGEREF _Toc227397172 \h </w:instrText>
      </w:r>
      <w:r>
        <w:rPr>
          <w:noProof/>
          <w:webHidden/>
          <w:sz w:val="24"/>
          <w:szCs w:val="24"/>
        </w:rPr>
        <w:fldChar w:fldCharType="separate"/>
      </w:r>
      <w:r>
        <w:rPr>
          <w:noProof/>
          <w:webHidden/>
          <w:sz w:val="24"/>
          <w:szCs w:val="24"/>
        </w:rPr>
        <w:t>9</w:t>
      </w:r>
      <w:r>
        <w:rPr>
          <w:noProof/>
          <w:webHidden/>
          <w:sz w:val="24"/>
          <w:szCs w:val="24"/>
        </w:rPr>
        <w:fldChar w:fldCharType="end"/>
      </w:r>
      <w:r>
        <w:rPr/>
        <w:fldChar w:fldCharType="end"/>
      </w:r>
    </w:p>
    <w:p>
      <w:pPr>
        <w:pStyle w:val="style19"/>
        <w:tabs>
          <w:tab w:val="left" w:leader="none" w:pos="480"/>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HYPERLINK \l "_Toc227397173" </w:instrText>
      </w:r>
      <w:r>
        <w:rPr/>
        <w:fldChar w:fldCharType="separate"/>
      </w:r>
      <w:r>
        <w:rPr>
          <w:rStyle w:val="style85"/>
          <w:noProof/>
          <w:sz w:val="24"/>
          <w:szCs w:val="24"/>
        </w:rPr>
        <w:t>8.</w:t>
      </w:r>
      <w:r>
        <w:rPr>
          <w:rFonts w:ascii="Cambria" w:cs="Shruti" w:eastAsia="宋体" w:hAnsi="Cambria"/>
          <w:noProof/>
          <w:kern w:val="2"/>
          <w:sz w:val="28"/>
          <w:szCs w:val="28"/>
          <w:lang w:val="en-GB" w:eastAsia="en-GB"/>
          <w14:ligatures xmlns:w14="http://schemas.microsoft.com/office/word/2010/wordml" w14:val="standardContextual"/>
        </w:rPr>
        <w:tab/>
      </w:r>
      <w:r>
        <w:rPr>
          <w:rStyle w:val="style85"/>
          <w:noProof/>
          <w:sz w:val="24"/>
          <w:szCs w:val="24"/>
        </w:rPr>
        <w:t>Ethical considerations</w:t>
      </w:r>
      <w:r>
        <w:rPr>
          <w:noProof/>
          <w:webHidden/>
          <w:sz w:val="24"/>
          <w:szCs w:val="24"/>
        </w:rPr>
        <w:tab/>
      </w:r>
      <w:r>
        <w:rPr>
          <w:noProof/>
          <w:webHidden/>
          <w:sz w:val="24"/>
          <w:szCs w:val="24"/>
        </w:rPr>
        <w:fldChar w:fldCharType="begin"/>
      </w:r>
      <w:r>
        <w:rPr>
          <w:noProof/>
          <w:webHidden/>
          <w:sz w:val="24"/>
          <w:szCs w:val="24"/>
        </w:rPr>
        <w:instrText xml:space="preserve"> PAGEREF _Toc227397173 \h </w:instrText>
      </w:r>
      <w:r>
        <w:rPr>
          <w:noProof/>
          <w:webHidden/>
          <w:sz w:val="24"/>
          <w:szCs w:val="24"/>
        </w:rPr>
        <w:fldChar w:fldCharType="separate"/>
      </w:r>
      <w:r>
        <w:rPr>
          <w:noProof/>
          <w:webHidden/>
          <w:sz w:val="24"/>
          <w:szCs w:val="24"/>
        </w:rPr>
        <w:t>9</w:t>
      </w:r>
      <w:r>
        <w:rPr>
          <w:noProof/>
          <w:webHidden/>
          <w:sz w:val="24"/>
          <w:szCs w:val="24"/>
        </w:rPr>
        <w:fldChar w:fldCharType="end"/>
      </w:r>
      <w:r>
        <w:rPr/>
        <w:fldChar w:fldCharType="end"/>
      </w:r>
    </w:p>
    <w:p>
      <w:pPr>
        <w:pStyle w:val="style19"/>
        <w:tabs>
          <w:tab w:val="left" w:leader="none" w:pos="480"/>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HYPERLINK \l "_Toc227397174" </w:instrText>
      </w:r>
      <w:r>
        <w:rPr/>
        <w:fldChar w:fldCharType="separate"/>
      </w:r>
      <w:r>
        <w:rPr>
          <w:rStyle w:val="style85"/>
          <w:noProof/>
          <w:sz w:val="24"/>
          <w:szCs w:val="24"/>
        </w:rPr>
        <w:t>9.</w:t>
      </w:r>
      <w:r>
        <w:rPr>
          <w:rFonts w:ascii="Cambria" w:cs="Shruti" w:eastAsia="宋体" w:hAnsi="Cambria"/>
          <w:noProof/>
          <w:kern w:val="2"/>
          <w:sz w:val="28"/>
          <w:szCs w:val="28"/>
          <w:lang w:val="en-GB" w:eastAsia="en-GB"/>
          <w14:ligatures xmlns:w14="http://schemas.microsoft.com/office/word/2010/wordml" w14:val="standardContextual"/>
        </w:rPr>
        <w:tab/>
      </w:r>
      <w:r>
        <w:rPr>
          <w:rStyle w:val="style85"/>
          <w:noProof/>
          <w:sz w:val="24"/>
          <w:szCs w:val="24"/>
        </w:rPr>
        <w:t>Implications of</w:t>
      </w:r>
      <w:r>
        <w:rPr>
          <w:rStyle w:val="style85"/>
          <w:noProof/>
          <w:sz w:val="24"/>
          <w:szCs w:val="24"/>
        </w:rPr>
        <w:t xml:space="preserve"> </w:t>
      </w:r>
      <w:r>
        <w:rPr>
          <w:rStyle w:val="style85"/>
          <w:noProof/>
          <w:sz w:val="24"/>
          <w:szCs w:val="24"/>
        </w:rPr>
        <w:t>Research</w:t>
      </w:r>
      <w:r>
        <w:rPr>
          <w:noProof/>
          <w:webHidden/>
          <w:sz w:val="24"/>
          <w:szCs w:val="24"/>
        </w:rPr>
        <w:tab/>
      </w:r>
      <w:r>
        <w:rPr>
          <w:noProof/>
          <w:webHidden/>
          <w:sz w:val="24"/>
          <w:szCs w:val="24"/>
        </w:rPr>
        <w:fldChar w:fldCharType="begin"/>
      </w:r>
      <w:r>
        <w:rPr>
          <w:noProof/>
          <w:webHidden/>
          <w:sz w:val="24"/>
          <w:szCs w:val="24"/>
        </w:rPr>
        <w:instrText xml:space="preserve"> PAGEREF _Toc227397174 \h </w:instrText>
      </w:r>
      <w:r>
        <w:rPr>
          <w:noProof/>
          <w:webHidden/>
          <w:sz w:val="24"/>
          <w:szCs w:val="24"/>
        </w:rPr>
        <w:fldChar w:fldCharType="separate"/>
      </w:r>
      <w:r>
        <w:rPr>
          <w:noProof/>
          <w:webHidden/>
          <w:sz w:val="24"/>
          <w:szCs w:val="24"/>
        </w:rPr>
        <w:t>10</w:t>
      </w:r>
      <w:r>
        <w:rPr>
          <w:noProof/>
          <w:webHidden/>
          <w:sz w:val="24"/>
          <w:szCs w:val="24"/>
        </w:rPr>
        <w:fldChar w:fldCharType="end"/>
      </w:r>
      <w:r>
        <w:rPr/>
        <w:fldChar w:fldCharType="end"/>
      </w:r>
    </w:p>
    <w:p>
      <w:pPr>
        <w:pStyle w:val="style19"/>
        <w:tabs>
          <w:tab w:val="left" w:leader="none" w:pos="720"/>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HYPERLINK \l "_Toc227397175" </w:instrText>
      </w:r>
      <w:r>
        <w:rPr/>
        <w:fldChar w:fldCharType="separate"/>
      </w:r>
      <w:r>
        <w:rPr>
          <w:rStyle w:val="style85"/>
          <w:noProof/>
          <w:sz w:val="24"/>
          <w:szCs w:val="24"/>
        </w:rPr>
        <w:t>10.</w:t>
      </w:r>
      <w:r>
        <w:rPr>
          <w:rFonts w:ascii="Cambria" w:cs="Shruti" w:eastAsia="宋体" w:hAnsi="Cambria"/>
          <w:noProof/>
          <w:kern w:val="2"/>
          <w:sz w:val="28"/>
          <w:szCs w:val="28"/>
          <w:lang w:val="en-GB" w:eastAsia="en-GB"/>
          <w14:ligatures xmlns:w14="http://schemas.microsoft.com/office/word/2010/wordml" w14:val="standardContextual"/>
        </w:rPr>
        <w:tab/>
      </w:r>
      <w:r>
        <w:rPr>
          <w:rStyle w:val="style85"/>
          <w:noProof/>
          <w:sz w:val="24"/>
          <w:szCs w:val="24"/>
        </w:rPr>
        <w:t>Plan of work</w:t>
      </w:r>
      <w:r>
        <w:rPr>
          <w:noProof/>
          <w:webHidden/>
          <w:sz w:val="24"/>
          <w:szCs w:val="24"/>
        </w:rPr>
        <w:tab/>
      </w:r>
      <w:r>
        <w:rPr>
          <w:noProof/>
          <w:webHidden/>
          <w:sz w:val="24"/>
          <w:szCs w:val="24"/>
        </w:rPr>
        <w:fldChar w:fldCharType="begin"/>
      </w:r>
      <w:r>
        <w:rPr>
          <w:noProof/>
          <w:webHidden/>
          <w:sz w:val="24"/>
          <w:szCs w:val="24"/>
        </w:rPr>
        <w:instrText xml:space="preserve"> PAGEREF _Toc227397175 \h </w:instrText>
      </w:r>
      <w:r>
        <w:rPr>
          <w:noProof/>
          <w:webHidden/>
          <w:sz w:val="24"/>
          <w:szCs w:val="24"/>
        </w:rPr>
        <w:fldChar w:fldCharType="separate"/>
      </w:r>
      <w:r>
        <w:rPr>
          <w:noProof/>
          <w:webHidden/>
          <w:sz w:val="24"/>
          <w:szCs w:val="24"/>
        </w:rPr>
        <w:t>11</w:t>
      </w:r>
      <w:r>
        <w:rPr>
          <w:noProof/>
          <w:webHidden/>
          <w:sz w:val="24"/>
          <w:szCs w:val="24"/>
        </w:rPr>
        <w:fldChar w:fldCharType="end"/>
      </w:r>
      <w:r>
        <w:rPr/>
        <w:fldChar w:fldCharType="end"/>
      </w:r>
    </w:p>
    <w:p>
      <w:pPr>
        <w:pStyle w:val="style19"/>
        <w:tabs>
          <w:tab w:val="right" w:leader="dot" w:pos="9350"/>
        </w:tabs>
        <w:spacing w:lineRule="auto" w:line="360"/>
        <w:rPr>
          <w:rFonts w:ascii="Cambria" w:cs="Shruti" w:eastAsia="宋体" w:hAnsi="Cambria"/>
          <w:noProof/>
          <w:kern w:val="2"/>
          <w:sz w:val="28"/>
          <w:szCs w:val="28"/>
          <w:lang w:val="en-GB" w:eastAsia="en-GB"/>
          <w14:ligatures xmlns:w14="http://schemas.microsoft.com/office/word/2010/wordml" w14:val="standardContextual"/>
        </w:rPr>
      </w:pPr>
      <w:r>
        <w:rPr/>
        <w:fldChar w:fldCharType="begin"/>
      </w:r>
      <w:r>
        <w:instrText xml:space="preserve"> HYPERLINK \l "_Toc227397176" </w:instrText>
      </w:r>
      <w:r>
        <w:rPr/>
        <w:fldChar w:fldCharType="separate"/>
      </w:r>
      <w:r>
        <w:rPr>
          <w:rStyle w:val="style85"/>
          <w:noProof/>
          <w:sz w:val="24"/>
          <w:szCs w:val="24"/>
        </w:rPr>
        <w:t>References</w:t>
      </w:r>
      <w:r>
        <w:rPr>
          <w:noProof/>
          <w:webHidden/>
          <w:sz w:val="24"/>
          <w:szCs w:val="24"/>
        </w:rPr>
        <w:tab/>
      </w:r>
      <w:r>
        <w:rPr>
          <w:noProof/>
          <w:webHidden/>
          <w:sz w:val="24"/>
          <w:szCs w:val="24"/>
        </w:rPr>
        <w:fldChar w:fldCharType="begin"/>
      </w:r>
      <w:r>
        <w:rPr>
          <w:noProof/>
          <w:webHidden/>
          <w:sz w:val="24"/>
          <w:szCs w:val="24"/>
        </w:rPr>
        <w:instrText xml:space="preserve"> PAGEREF _Toc227397176 \h </w:instrText>
      </w:r>
      <w:r>
        <w:rPr>
          <w:noProof/>
          <w:webHidden/>
          <w:sz w:val="24"/>
          <w:szCs w:val="24"/>
        </w:rPr>
        <w:fldChar w:fldCharType="separate"/>
      </w:r>
      <w:r>
        <w:rPr>
          <w:noProof/>
          <w:webHidden/>
          <w:sz w:val="24"/>
          <w:szCs w:val="24"/>
        </w:rPr>
        <w:t>13</w:t>
      </w:r>
      <w:r>
        <w:rPr>
          <w:noProof/>
          <w:webHidden/>
          <w:sz w:val="24"/>
          <w:szCs w:val="24"/>
        </w:rPr>
        <w:fldChar w:fldCharType="end"/>
      </w:r>
      <w:r>
        <w:rPr/>
        <w:fldChar w:fldCharType="end"/>
      </w:r>
    </w:p>
    <w:p>
      <w:pPr>
        <w:pStyle w:val="style0"/>
        <w:spacing w:lineRule="auto" w:line="360"/>
        <w:jc w:val="both"/>
        <w:rPr/>
      </w:pPr>
      <w:r>
        <w:rPr>
          <w:b/>
          <w:bCs/>
          <w:noProof/>
        </w:rPr>
        <w:fldChar w:fldCharType="end"/>
      </w:r>
    </w:p>
    <w:p>
      <w:pPr>
        <w:pStyle w:val="style1"/>
        <w:numPr>
          <w:ilvl w:val="0"/>
          <w:numId w:val="1"/>
        </w:numPr>
        <w:spacing w:lineRule="auto" w:line="360"/>
        <w:rPr>
          <w:color w:val="000000"/>
        </w:rPr>
      </w:pPr>
      <w:r>
        <w:br w:type="page"/>
      </w:r>
      <w:bookmarkStart w:id="0" w:name="_3yctwoei2d7n" w:colFirst="0" w:colLast="0"/>
      <w:bookmarkStart w:id="1" w:name="_Toc227397162"/>
      <w:bookmarkEnd w:id="0"/>
      <w:r>
        <w:rPr>
          <w:color w:val="000000"/>
        </w:rPr>
        <w:t>Prevalence</w:t>
      </w:r>
      <w:r>
        <w:rPr>
          <w:color w:val="000000"/>
        </w:rPr>
        <w:t xml:space="preserve"> of the problem identified in the area of health care</w:t>
      </w:r>
      <w:bookmarkEnd w:id="1"/>
    </w:p>
    <w:p>
      <w:pPr>
        <w:pStyle w:val="style0"/>
        <w:spacing w:lineRule="auto" w:line="480"/>
        <w:jc w:val="both"/>
        <w:rPr/>
      </w:pPr>
      <w:r>
        <w:rPr>
          <w:color w:val="000000"/>
        </w:rPr>
        <w:t xml:space="preserve">Healthcare-associated infections (HAIs) remain a significant public health concern in UK hospitals, affecting approximately 6.4% of patients annually (GOV.UK, 2024). This highlights both the prevalence and ongoing relevance of the issue within healthcare systems. Hand hygiene (HH) compliance among nurses is widely recognised as one of the most effective and low-cost interventions to reduce HAIs (Harun et al., 2023). Despite established guidelines, compliance levels remain inconsistent, contributing to avoidable morbidity, mortality, and increased healthcare costs. The continued occurrence of HAIs indicates a gap between recommended practices and actual clinical behaviour, reinforcing the importance of examining HH compliance in UK hospital settings. According to </w:t>
      </w:r>
      <w:r>
        <w:rPr>
          <w:color w:val="000000"/>
          <w:highlight w:val="white"/>
        </w:rPr>
        <w:t>Anargh et al. (2013), 38% of nurses in the UK hospital consider high</w:t>
      </w:r>
      <w:r>
        <w:rPr>
          <w:color w:val="000000"/>
        </w:rPr>
        <w:t xml:space="preserve"> workloads, 9% considers shortages of staff, and 52% of numbers considers maintenance of nominal hand hygiene as the key factor to spread hand-associated infections in the emergency section, </w:t>
      </w:r>
      <w:r>
        <w:t>directly costing.</w:t>
      </w:r>
    </w:p>
    <w:p>
      <w:pPr>
        <w:pStyle w:val="style0"/>
        <w:spacing w:lineRule="auto" w:line="480"/>
        <w:jc w:val="both"/>
        <w:rPr>
          <w:color w:val="222222"/>
          <w:highlight w:val="white"/>
        </w:rPr>
      </w:pPr>
      <w:r>
        <w:t xml:space="preserve">Common pathogens associated with HAIs are </w:t>
      </w:r>
      <w:r>
        <w:rPr>
          <w:i/>
          <w:iCs/>
        </w:rPr>
        <w:t xml:space="preserve">methicillin-resistant Staphylococcus aureus (MRSA) and Clostridium difficile, </w:t>
      </w:r>
      <w:r>
        <w:t>which lead to the development of UTI</w:t>
      </w:r>
      <w:r>
        <w:t>s and SSI-type diseases (Otter et al.</w:t>
      </w:r>
      <w:r>
        <w:t xml:space="preserve">, 2021). According to Cassini et al. (2019), in 2025, infections from HAIs caused approximately 874,541 disability -adjusted life years (DALYs) and 5500 deaths in the entire EU. However, </w:t>
      </w:r>
      <w:r>
        <w:rPr>
          <w:color w:val="222222"/>
          <w:highlight w:val="white"/>
        </w:rPr>
        <w:t xml:space="preserve">Anargh et al. (2013) argue that maintaining the WHO guidelines, 90% of hand washing with soap and water and 64% of alcohol based rubs, while hand washing has been followed in the UK hospitals. </w:t>
      </w:r>
    </w:p>
    <w:p>
      <w:pPr>
        <w:pStyle w:val="style0"/>
        <w:spacing w:lineRule="auto" w:line="480"/>
        <w:jc w:val="both"/>
        <w:rPr>
          <w:rFonts w:ascii="Times New Roman" w:cs="Times New Roman" w:eastAsia="Times New Roman" w:hAnsi="Times New Roman"/>
          <w:sz w:val="24"/>
          <w:szCs w:val="24"/>
          <w:lang w:val="en-GB" w:eastAsia="en-GB"/>
        </w:rPr>
      </w:pPr>
      <w:r>
        <w:rPr>
          <w:color w:val="222222"/>
          <w:highlight w:val="white"/>
        </w:rPr>
        <w:t>Literature written by Loveday et al. (2014) addresses the evidence-based recommendations needed to prevent HAIs in UK hospitals. It highlights the usage of PPE in emergency areas, maintains standardised principles focusing on device-focused healthcare applications and regular cleaning in the surrounding areas of Healthcare to increase the safety of patients</w:t>
      </w:r>
      <w:r>
        <w:rPr>
          <w:color w:val="222222"/>
          <w:highlight w:val="white"/>
        </w:rPr>
        <w:t xml:space="preserve"> </w:t>
      </w:r>
      <w:r>
        <w:rPr>
          <w:rFonts w:eastAsia="Times New Roman"/>
          <w:lang w:val="en-GB" w:eastAsia="en-GB"/>
        </w:rPr>
        <w:t>(Cordeiro et al., 2022)</w:t>
      </w:r>
      <w:r>
        <w:rPr>
          <w:color w:val="222222"/>
          <w:highlight w:val="white"/>
        </w:rPr>
        <w:t xml:space="preserve">.  </w:t>
      </w:r>
    </w:p>
    <w:p>
      <w:pPr>
        <w:pStyle w:val="style0"/>
        <w:spacing w:lineRule="auto" w:line="480"/>
        <w:jc w:val="both"/>
        <w:rPr>
          <w:rFonts w:ascii="Times New Roman" w:cs="Times New Roman" w:eastAsia="Times New Roman" w:hAnsi="Times New Roman"/>
          <w:sz w:val="24"/>
          <w:szCs w:val="24"/>
          <w:lang w:val="en-GB" w:eastAsia="en-GB"/>
        </w:rPr>
      </w:pPr>
      <w:r>
        <w:t>Allegranzi et al. (2017) narrate that improper hand hygiene among healthcare workers and nurses is responsible for about 40% of nosocomial infections that result in prolonged illness,  unexpected high costs on patients and their families, long-term disability and hospital stays. It leads to a massive additional financial burden on the healthcare systems</w:t>
      </w:r>
      <w:r>
        <w:t xml:space="preserve"> </w:t>
      </w:r>
      <w:r>
        <w:rPr>
          <w:rFonts w:eastAsia="Times New Roman"/>
          <w:lang w:val="en-GB" w:eastAsia="en-GB"/>
        </w:rPr>
        <w:t>(Punzalan, 2021)</w:t>
      </w:r>
      <w:r>
        <w:t xml:space="preserve">. Therefore, it needs a multifaceted and diplomatic approach to tackle these issues of non-compliance. </w:t>
      </w:r>
    </w:p>
    <w:bookmarkStart w:id="2" w:name="_e0zwdgixf4ea" w:colFirst="0" w:colLast="0"/>
    <w:bookmarkStart w:id="3" w:name="_Toc227397163"/>
    <w:bookmarkEnd w:id="2"/>
    <w:p>
      <w:pPr>
        <w:pStyle w:val="style1"/>
        <w:numPr>
          <w:ilvl w:val="0"/>
          <w:numId w:val="1"/>
        </w:numPr>
        <w:rPr/>
      </w:pPr>
      <w:r>
        <w:t>Introduction</w:t>
      </w:r>
      <w:bookmarkEnd w:id="3"/>
      <w:r>
        <w:t xml:space="preserve"> </w:t>
      </w:r>
    </w:p>
    <w:p>
      <w:pPr>
        <w:pStyle w:val="style0"/>
        <w:spacing w:lineRule="auto" w:line="480"/>
        <w:jc w:val="both"/>
        <w:rPr>
          <w:rFonts w:ascii="Times New Roman" w:cs="Times New Roman" w:eastAsia="Times New Roman" w:hAnsi="Times New Roman"/>
          <w:sz w:val="24"/>
          <w:szCs w:val="24"/>
          <w:lang w:val="en-GB" w:eastAsia="en-GB"/>
        </w:rPr>
      </w:pPr>
      <w:r>
        <w:t>HH compliance is a critical and evidence-based intervention that helps to reduce HAIs in the UK hospitals</w:t>
      </w:r>
      <w:r>
        <w:t xml:space="preserve"> </w:t>
      </w:r>
      <w:r>
        <w:rPr>
          <w:rFonts w:eastAsia="Times New Roman"/>
          <w:lang w:val="en-GB" w:eastAsia="en-GB"/>
        </w:rPr>
        <w:t>(Gould et al., 2017)</w:t>
      </w:r>
      <w:r>
        <w:t>. Ensuring patient safety and wellness can be achieved through such interventions by promoting the best practitioners in infection control</w:t>
      </w:r>
      <w:r>
        <w:t xml:space="preserve"> </w:t>
      </w:r>
      <w:r>
        <w:rPr>
          <w:rFonts w:eastAsia="Times New Roman"/>
          <w:lang w:val="en-GB" w:eastAsia="en-GB"/>
        </w:rPr>
        <w:t>(Chakma et al., 2024)</w:t>
      </w:r>
      <w:r>
        <w:t xml:space="preserve">. According to </w:t>
      </w:r>
      <w:r>
        <w:rPr>
          <w:color w:val="222222"/>
          <w:highlight w:val="white"/>
        </w:rPr>
        <w:t>Akinsulie et al. (2024), poor hand hygiene contributes to high mortality rates in hospitals, as the connection between hand hygiene and disease transmission was not well maintained during the time of treatment. Akinsulie et al. (2024) underscore that maternal mortality in hospitals is connected to the inadequate following of washing guidelines and maintenance of hand hygiene among healthcare workers. In addition, HH compliance among nurses is highly considered as the most effective method to reduce the spread of hand-associated infections</w:t>
      </w:r>
      <w:r>
        <w:rPr>
          <w:color w:val="222222"/>
          <w:highlight w:val="white"/>
        </w:rPr>
        <w:t xml:space="preserve"> </w:t>
      </w:r>
      <w:r>
        <w:rPr>
          <w:rFonts w:eastAsia="Times New Roman"/>
          <w:lang w:val="en-GB" w:eastAsia="en-GB"/>
        </w:rPr>
        <w:t>(Anwar and Elareed, 2019)</w:t>
      </w:r>
      <w:r>
        <w:rPr>
          <w:color w:val="222222"/>
          <w:highlight w:val="white"/>
        </w:rPr>
        <w:t>. Due to the rapid close contact with patients, Nurses play a critical role in controlling such infections</w:t>
      </w:r>
      <w:r>
        <w:rPr>
          <w:color w:val="222222"/>
          <w:highlight w:val="white"/>
        </w:rPr>
        <w:t xml:space="preserve"> </w:t>
      </w:r>
      <w:r>
        <w:rPr>
          <w:rFonts w:eastAsia="Times New Roman"/>
          <w:lang w:val="en-GB" w:eastAsia="en-GB"/>
        </w:rPr>
        <w:t>(</w:t>
      </w:r>
      <w:r>
        <w:rPr>
          <w:rFonts w:eastAsia="Times New Roman"/>
          <w:lang w:val="en-GB" w:eastAsia="en-GB"/>
        </w:rPr>
        <w:t>Batran</w:t>
      </w:r>
      <w:r>
        <w:rPr>
          <w:rFonts w:eastAsia="Times New Roman"/>
          <w:lang w:val="en-GB" w:eastAsia="en-GB"/>
        </w:rPr>
        <w:t xml:space="preserve"> et al., 2025)</w:t>
      </w:r>
      <w:r>
        <w:rPr>
          <w:color w:val="222222"/>
          <w:highlight w:val="white"/>
        </w:rPr>
        <w:t>. However, studies by WHO (2022) shows that hygiene compliance is working nominal as approximately average hand hygiene in hospitals are noticing that there are not been any certain improvements in interventions. In high-income countries such as the UK, only 20% of hospitals have needed HH compliance. Supporting it, Boora et al. (2021) underscore that reduction of HAI</w:t>
      </w:r>
      <w:r>
        <w:rPr>
          <w:color w:val="222222"/>
          <w:highlight w:val="white"/>
        </w:rPr>
        <w:t>s</w:t>
      </w:r>
      <w:r>
        <w:rPr>
          <w:color w:val="222222"/>
          <w:highlight w:val="white"/>
        </w:rPr>
        <w:t xml:space="preserve"> rates can be possible by increasing the HH compliance, as in 2013,  the  HAI</w:t>
      </w:r>
      <w:r>
        <w:rPr>
          <w:color w:val="222222"/>
          <w:highlight w:val="white"/>
        </w:rPr>
        <w:t>s</w:t>
      </w:r>
      <w:r>
        <w:rPr>
          <w:color w:val="222222"/>
          <w:highlight w:val="white"/>
        </w:rPr>
        <w:t xml:space="preserve"> rate was 4.25% in the UK hospitals with the HH compliance of 63.65%. </w:t>
      </w:r>
    </w:p>
    <w:p>
      <w:pPr>
        <w:pStyle w:val="style0"/>
        <w:spacing w:lineRule="auto" w:line="480"/>
        <w:jc w:val="both"/>
        <w:rPr/>
      </w:pPr>
      <w:r>
        <w:rPr>
          <w:color w:val="222222"/>
          <w:highlight w:val="white"/>
        </w:rPr>
        <w:t xml:space="preserve">Vanesa et al. (2025) highlight that HH compliance significantly reduced during the COVID-19 pandemic, which addresses the adoption of preventive measures in healthcare facilities. Prabhu et al. (2023) stress that </w:t>
      </w:r>
      <w:r>
        <w:rPr>
          <w:color w:val="222222"/>
          <w:highlight w:val="white"/>
        </w:rPr>
        <w:t xml:space="preserve">shifting </w:t>
      </w:r>
      <w:r>
        <w:rPr>
          <w:color w:val="222222"/>
          <w:highlight w:val="white"/>
        </w:rPr>
        <w:t xml:space="preserve">to alcohol-based disinfection in the emergency areas will reduce approximately 17% of the entire nursing time to 4% of the entire nursing time. Existing literature addresses an effective link between reduced HAI rates and adaptations of hand hygiene actions (Allegranzi et al., 2017; </w:t>
      </w:r>
      <w:r>
        <w:t>Cassini et al., 2019</w:t>
      </w:r>
      <w:r>
        <w:rPr>
          <w:color w:val="222222"/>
          <w:highlight w:val="white"/>
        </w:rPr>
        <w:t xml:space="preserve">). However, </w:t>
      </w:r>
      <w:r>
        <w:t>Afework and Tamene (</w:t>
      </w:r>
      <w:r>
        <w:t>2025)</w:t>
      </w:r>
      <w:r>
        <w:t xml:space="preserve"> </w:t>
      </w:r>
      <w:r>
        <w:t>highlight diverse barriers such as organisational culture, high workload, and others that often hinder the effectiveness of such interventions. Examining these relationships through a systematic review is important to highlight the challenges and address evidence-based i</w:t>
      </w:r>
      <w:r>
        <w:t xml:space="preserve">mprovements in the UK hospitals. </w:t>
      </w:r>
      <w:r>
        <w:t xml:space="preserve">Therefore, this proposal will explore the impact of nurses' hand hygiene compliance on healthcare-associated infections in UK hospitals. </w:t>
      </w:r>
    </w:p>
    <w:bookmarkStart w:id="4" w:name="_wxd7jc9z1l2z" w:colFirst="0" w:colLast="0"/>
    <w:bookmarkStart w:id="5" w:name="_Toc227397164"/>
    <w:bookmarkEnd w:id="4"/>
    <w:p>
      <w:pPr>
        <w:pStyle w:val="style1"/>
        <w:numPr>
          <w:ilvl w:val="0"/>
          <w:numId w:val="1"/>
        </w:numPr>
        <w:rPr/>
      </w:pPr>
      <w:r>
        <w:t>Rationale &amp; Research Question/Aims</w:t>
      </w:r>
      <w:bookmarkEnd w:id="5"/>
    </w:p>
    <w:bookmarkStart w:id="6" w:name="_Toc227397165"/>
    <w:p>
      <w:pPr>
        <w:pStyle w:val="style2"/>
        <w:spacing w:before="0"/>
        <w:rPr/>
      </w:pPr>
      <w:r>
        <w:t xml:space="preserve">3.1 </w:t>
      </w:r>
      <w:r>
        <w:t>Rationale</w:t>
      </w:r>
      <w:bookmarkEnd w:id="6"/>
      <w:r>
        <w:t xml:space="preserve"> </w:t>
      </w:r>
    </w:p>
    <w:p>
      <w:pPr>
        <w:pStyle w:val="style0"/>
        <w:spacing w:lineRule="auto" w:line="480"/>
        <w:jc w:val="both"/>
        <w:rPr>
          <w:rFonts w:ascii="Times New Roman" w:cs="Times New Roman" w:eastAsia="Times New Roman" w:hAnsi="Times New Roman"/>
          <w:sz w:val="24"/>
          <w:szCs w:val="24"/>
          <w:lang w:val="en-GB" w:eastAsia="en-GB"/>
        </w:rPr>
      </w:pPr>
      <w:r>
        <w:t>HAIs have become a significant concern for the healthcare sector of the UK, contributing approximately 5500 deaths each year and leading to a higher time period to stay for affected people (Cassini et al.,2019; GOV.UK, 2024). Due to the increased cost of treatment and requirements for future care, the infections negatively compromise the safety of patients and bring a higher financial burden for patients' families</w:t>
      </w:r>
      <w:r>
        <w:t xml:space="preserve"> </w:t>
      </w:r>
      <w:r>
        <w:rPr>
          <w:rFonts w:eastAsia="Times New Roman"/>
          <w:lang w:val="en-GB" w:eastAsia="en-GB"/>
        </w:rPr>
        <w:t>(WHO, 2023)</w:t>
      </w:r>
      <w:r>
        <w:t>. Despite taking possible infraction prevention regulations, compliance with HH among nurses working in the UK hospitals, the possible result of such interventions is minimal</w:t>
      </w:r>
      <w:r>
        <w:t xml:space="preserve"> </w:t>
      </w:r>
      <w:r>
        <w:rPr>
          <w:rFonts w:eastAsia="Times New Roman"/>
          <w:lang w:val="en-GB" w:eastAsia="en-GB"/>
        </w:rPr>
        <w:t>(Sands and Aunger, 2020)</w:t>
      </w:r>
      <w:r>
        <w:t xml:space="preserve">. Studies by WHO (2022) address that HH compliance rates are mostly low in the entire UK, and it highlights a vital gap between the existing clinical behaviour of nurses and the needed practices for preventing HAIs. </w:t>
      </w:r>
    </w:p>
    <w:p>
      <w:pPr>
        <w:pStyle w:val="style0"/>
        <w:spacing w:lineRule="auto" w:line="480"/>
        <w:jc w:val="both"/>
        <w:rPr>
          <w:rFonts w:ascii="Times New Roman" w:cs="Times New Roman" w:eastAsia="Times New Roman" w:hAnsi="Times New Roman"/>
          <w:sz w:val="24"/>
          <w:szCs w:val="24"/>
          <w:lang w:val="en-GB" w:eastAsia="en-GB"/>
        </w:rPr>
      </w:pPr>
      <w:r>
        <w:t>The gap addresses an urgent requirement for evidence-based interventions that aim to improve HH protocols in UK hospitals. In the research by Zingg et al.</w:t>
      </w:r>
      <w:r>
        <w:t xml:space="preserve"> </w:t>
      </w:r>
      <w:r>
        <w:t xml:space="preserve">(2015), proper hand hygiene can </w:t>
      </w:r>
      <w:r>
        <w:t xml:space="preserve">positively reduce healthcare-related infection </w:t>
      </w:r>
      <w:r>
        <w:t>transmission. Other researcher</w:t>
      </w:r>
      <w:r>
        <w:t>s such as Allegranzi et al. (2017), demonstrate that appropriate use of WHO guidelines through Nurses, by giving training and edu</w:t>
      </w:r>
      <w:r>
        <w:t xml:space="preserve">cating them about HAIs. In adition, </w:t>
      </w:r>
      <w:r>
        <w:t>proper feedba</w:t>
      </w:r>
      <w:r>
        <w:t>ck giving, behavioural chang</w:t>
      </w:r>
      <w:r>
        <w:t>es and bringing positive organisational culture,e can reduce healthcare-related infections and improve the safety of patients</w:t>
      </w:r>
      <w:r>
        <w:t xml:space="preserve"> </w:t>
      </w:r>
      <w:r>
        <w:rPr>
          <w:rFonts w:eastAsia="Times New Roman"/>
          <w:lang w:val="en-GB" w:eastAsia="en-GB"/>
        </w:rPr>
        <w:t>(Lloyd et al., 2023)</w:t>
      </w:r>
    </w:p>
    <w:bookmarkStart w:id="7" w:name="_Toc227397166"/>
    <w:p>
      <w:pPr>
        <w:pStyle w:val="style2"/>
        <w:spacing w:before="0"/>
        <w:rPr/>
      </w:pPr>
      <w:r>
        <w:t xml:space="preserve">3.2 </w:t>
      </w:r>
      <w:r>
        <w:t>Research aim</w:t>
      </w:r>
      <w:bookmarkEnd w:id="7"/>
    </w:p>
    <w:p>
      <w:pPr>
        <w:pStyle w:val="style0"/>
        <w:spacing w:lineRule="auto" w:line="480"/>
        <w:jc w:val="both"/>
        <w:rPr/>
      </w:pPr>
      <w:r>
        <w:t>To examine the role of hand hygiene compliance in reducing healthcare- associated infections in UK Hospital settings</w:t>
      </w:r>
    </w:p>
    <w:bookmarkStart w:id="8" w:name="_Toc227397167"/>
    <w:p>
      <w:pPr>
        <w:pStyle w:val="style2"/>
        <w:spacing w:before="0"/>
        <w:rPr/>
      </w:pPr>
      <w:r>
        <w:t xml:space="preserve">3.3 </w:t>
      </w:r>
      <w:r>
        <w:t>Research objectives</w:t>
      </w:r>
      <w:bookmarkEnd w:id="8"/>
      <w:r>
        <w:t xml:space="preserve"> </w:t>
      </w:r>
    </w:p>
    <w:p>
      <w:pPr>
        <w:pStyle w:val="style0"/>
        <w:numPr>
          <w:ilvl w:val="0"/>
          <w:numId w:val="2"/>
        </w:numPr>
        <w:spacing w:lineRule="auto" w:line="480"/>
        <w:jc w:val="both"/>
        <w:rPr/>
      </w:pPr>
      <w:r>
        <w:t>To identify the most common healthcare-associated infections in UK hospitals.</w:t>
      </w:r>
    </w:p>
    <w:p>
      <w:pPr>
        <w:pStyle w:val="style0"/>
        <w:numPr>
          <w:ilvl w:val="0"/>
          <w:numId w:val="2"/>
        </w:numPr>
        <w:spacing w:lineRule="auto" w:line="480"/>
        <w:jc w:val="both"/>
        <w:rPr/>
      </w:pPr>
      <w:r>
        <w:t>To examine factors influencing hand hygiene compliance among healthcare workers.</w:t>
      </w:r>
    </w:p>
    <w:p>
      <w:pPr>
        <w:pStyle w:val="style0"/>
        <w:numPr>
          <w:ilvl w:val="0"/>
          <w:numId w:val="2"/>
        </w:numPr>
        <w:spacing w:lineRule="auto" w:line="480"/>
        <w:jc w:val="both"/>
        <w:rPr/>
      </w:pPr>
      <w:r>
        <w:t>To evaluate the effectiveness of hand hygiene interventions in reducing infection rates.</w:t>
      </w:r>
    </w:p>
    <w:bookmarkStart w:id="9" w:name="_Toc227397168"/>
    <w:p>
      <w:pPr>
        <w:pStyle w:val="style2"/>
        <w:spacing w:before="0"/>
        <w:rPr/>
      </w:pPr>
      <w:r>
        <w:t xml:space="preserve">3.4 </w:t>
      </w:r>
      <w:r>
        <w:t>Research Questions</w:t>
      </w:r>
      <w:bookmarkEnd w:id="9"/>
      <w:r>
        <w:t xml:space="preserve"> </w:t>
      </w:r>
    </w:p>
    <w:p>
      <w:pPr>
        <w:pStyle w:val="style0"/>
        <w:spacing w:lineRule="auto" w:line="480"/>
        <w:jc w:val="both"/>
        <w:rPr/>
      </w:pPr>
      <w:r>
        <w:t>How does hand hygiene compliance among healthcare workers influence the incidence of healthcare- associated infections in UK Hospitals?</w:t>
      </w:r>
    </w:p>
    <w:bookmarkStart w:id="10" w:name="_brxgsb27nl9s" w:colFirst="0" w:colLast="0"/>
    <w:bookmarkStart w:id="11" w:name="_Toc227397169"/>
    <w:bookmarkEnd w:id="10"/>
    <w:p>
      <w:pPr>
        <w:pStyle w:val="style1"/>
        <w:numPr>
          <w:ilvl w:val="0"/>
          <w:numId w:val="1"/>
        </w:numPr>
        <w:rPr/>
      </w:pPr>
      <w:r>
        <w:t xml:space="preserve">Research </w:t>
      </w:r>
      <w:r>
        <w:t>M</w:t>
      </w:r>
      <w:r>
        <w:t>ethodology</w:t>
      </w:r>
      <w:bookmarkEnd w:id="11"/>
      <w:r>
        <w:t xml:space="preserve"> </w:t>
      </w:r>
    </w:p>
    <w:p>
      <w:pPr>
        <w:pStyle w:val="style0"/>
        <w:spacing w:lineRule="auto" w:line="480"/>
        <w:jc w:val="both"/>
        <w:rPr>
          <w:color w:val="000000"/>
        </w:rPr>
      </w:pPr>
      <w:r>
        <w:rPr>
          <w:color w:val="000000"/>
        </w:rPr>
        <w:t>This study adopts an interpretivist research philosophy, which focuses on understanding and interpreting existing knowledge and meanings derived from previous studies. The research follows a secondary research approach, utilising existing peer-reviewed literature, government reports, and academic sources to explore the relationship between hand hygiene compliance and healthcare-associated infections in UK hospitals.</w:t>
      </w:r>
    </w:p>
    <w:p>
      <w:pPr>
        <w:pStyle w:val="style0"/>
        <w:spacing w:lineRule="auto" w:line="480"/>
        <w:jc w:val="both"/>
        <w:rPr/>
      </w:pPr>
      <w:r>
        <w:rPr>
          <w:color w:val="000000"/>
        </w:rPr>
        <w:t xml:space="preserve">A systematic review methodology is applied to ensure a structured, transparent, and reproducible process of identifying, selecting, and analysing relevant studies. The PRISMA framework (Page et al., 2021) will guide the screening and reporting process. This approach enables the synthesis of existing evidence, identification of trends, and recognition of research gaps related to HH compliance and HAIs. As this research </w:t>
      </w:r>
      <w:r>
        <w:t xml:space="preserve">is based on a systematic review of </w:t>
      </w:r>
      <w:r>
        <w:t xml:space="preserve">existing journals, no human recruitment will be allowed. Instead, the sampling process will focus on the selection of peer-reviewed secondary journals and academic articles. In addition, a purposive sampling method will be adopted to review the chosen studies to determine if they align with the research. Based on the relevance of hand hygiene actions of nurses working in the UK hospitals and their reported impact on the results of HAIs, the articles will be selected. </w:t>
      </w:r>
    </w:p>
    <w:bookmarkStart w:id="12" w:name="_stvh3nhhkdj" w:colFirst="0" w:colLast="0"/>
    <w:bookmarkStart w:id="13" w:name="_Toc227397170"/>
    <w:bookmarkEnd w:id="12"/>
    <w:p>
      <w:pPr>
        <w:pStyle w:val="style1"/>
        <w:numPr>
          <w:ilvl w:val="0"/>
          <w:numId w:val="1"/>
        </w:numPr>
        <w:rPr/>
      </w:pPr>
      <w:r>
        <w:t>Research Design</w:t>
      </w:r>
      <w:bookmarkEnd w:id="13"/>
      <w:r>
        <w:t xml:space="preserve"> </w:t>
      </w:r>
    </w:p>
    <w:p>
      <w:pPr>
        <w:pStyle w:val="style0"/>
        <w:spacing w:lineRule="auto" w:line="480"/>
        <w:jc w:val="both"/>
        <w:rPr/>
      </w:pPr>
      <w:r>
        <w:t xml:space="preserve">This proposal will utilise the systematic review method to address the impact of nurses' hand hygiene compliance on healthcare-associated infections in UK hospitals. The systematic review method has been chosen to allow arranging previous research findings, determine the level of strength in existing findings, and address the gaps in the literature. A search strategy will be carried out to reveal the peer-reviewed research articles with respect to the impact of nurses' hand hygiene compliance on healthcare-associated infections in UK hospitals. In the secondary sources, keywords will be followed based on the </w:t>
      </w:r>
      <w:r>
        <w:rPr>
          <w:i/>
          <w:iCs/>
        </w:rPr>
        <w:t xml:space="preserve">hand hygiene compliance, nurses </w:t>
      </w:r>
      <w:r>
        <w:t xml:space="preserve">and </w:t>
      </w:r>
      <w:r>
        <w:rPr>
          <w:i/>
          <w:iCs/>
        </w:rPr>
        <w:t xml:space="preserve">healthcare-associated infections in UK hospitals. </w:t>
      </w:r>
      <w:r>
        <w:t xml:space="preserve">Boolean operations such as AND and OR will be used. </w:t>
      </w:r>
    </w:p>
    <w:p>
      <w:pPr>
        <w:pStyle w:val="style0"/>
        <w:spacing w:lineRule="auto" w:line="480"/>
        <w:jc w:val="both"/>
        <w:rPr/>
      </w:pPr>
      <w:r>
        <w:t xml:space="preserve">In the research, diverse inclusion and exclusion criteria will be followed. The journals which have been conducted in the UK will be chosen to ensure relevance to the research context. It will focus on the Nurses, healthcare experts and healthcare workers to focus specifically on those populations who are associated with the UK healthcare sector. Studies that focus on HH compliance and HAIs expertise will be chosen to be relevant to the research aim. Peer-reviewed journals that will be chosen for this research should be between 2013 and 2025, as it will ensure the recent evidence about HH compliance and ensure academic credibility. </w:t>
      </w:r>
    </w:p>
    <w:p>
      <w:pPr>
        <w:pStyle w:val="style0"/>
        <w:spacing w:lineRule="auto" w:line="480"/>
        <w:jc w:val="both"/>
        <w:rPr/>
      </w:pPr>
      <w:r>
        <w:t xml:space="preserve">As the exclusion criteria, studies that are not related to HAIs or HH compliance will not be acceptable for this research. Moreover, studies that have been conducted outside the UK will not be taken for this research. Journals that focus on general populations will not be considered </w:t>
      </w:r>
      <w:r>
        <w:t xml:space="preserve">for the research, as these are outside the scope of the research objectives. In addition, conference abstracts, opinion articles and editorials will not be taken for this research due to the lack of empirical data. </w:t>
      </w:r>
    </w:p>
    <w:bookmarkStart w:id="14" w:name="_q6hi1c7lfvlc" w:colFirst="0" w:colLast="0"/>
    <w:bookmarkStart w:id="15" w:name="_9doeyu4nv1wc" w:colFirst="0" w:colLast="0"/>
    <w:bookmarkStart w:id="16" w:name="_Toc227397171"/>
    <w:bookmarkEnd w:id="14"/>
    <w:bookmarkEnd w:id="15"/>
    <w:p>
      <w:pPr>
        <w:pStyle w:val="style1"/>
        <w:numPr>
          <w:ilvl w:val="0"/>
          <w:numId w:val="1"/>
        </w:numPr>
        <w:rPr/>
      </w:pPr>
      <w:r>
        <w:t>Data Collection Method</w:t>
      </w:r>
      <w:bookmarkEnd w:id="16"/>
      <w:r>
        <w:t xml:space="preserve"> </w:t>
      </w:r>
    </w:p>
    <w:p>
      <w:pPr>
        <w:pStyle w:val="style0"/>
        <w:spacing w:lineRule="auto" w:line="480"/>
        <w:jc w:val="both"/>
        <w:rPr/>
      </w:pPr>
      <w:r>
        <w:t>It will follow a secondary  data collection process. It has been applied to reduce the utility of the existing research findings based on the impact of nurses' hand hygiene compliance on healthcare-associated infections in UK hospitals. Moreover, the secondar</w:t>
      </w:r>
      <w:r>
        <w:rPr>
          <w:lang w:val="en-US"/>
        </w:rPr>
        <w:t xml:space="preserve">y </w:t>
      </w:r>
      <w:r>
        <w:t xml:space="preserve"> data collection method offers a cost-effective process that will help the researchers to review the deeper insights based on the impact of HH compliance on reducing the spread of HAIs among UK healthcare nurses. Validating theories will help to generate new understandings based on the research topic. Academic databases such as PubMed, Google Scholar will be utilised. These databases have been chosen because they offer a wide range of medical, psychological and social science and population health-focused studies (Justesen et al., 2021). Studies which were published from 2013-2025 will be sought, as suc</w:t>
      </w:r>
      <w:r>
        <w:t>h a time period covers HH</w:t>
      </w:r>
      <w:r>
        <w:t xml:space="preserve"> compliance</w:t>
      </w:r>
      <w:r>
        <w:t xml:space="preserve"> and H</w:t>
      </w:r>
      <w:r>
        <w:t>AIs-focused</w:t>
      </w:r>
      <w:r>
        <w:t xml:space="preserve"> activities</w:t>
      </w:r>
      <w:r>
        <w:t xml:space="preserve">. Peer-reviewed articles that are written only in English will be considered for this research to ensure relevance and academic quality.   </w:t>
      </w:r>
    </w:p>
    <w:p>
      <w:pPr>
        <w:pStyle w:val="style0"/>
        <w:spacing w:lineRule="auto" w:line="480"/>
        <w:jc w:val="both"/>
        <w:rPr/>
      </w:pPr>
      <w:r>
        <w:t xml:space="preserve">The entire data collection will focus on the data extraction process in a systematic manner, where the core information was extracted from the selected journals and articles. Approximately </w:t>
      </w:r>
      <w:r>
        <w:t>10</w:t>
      </w:r>
      <w:r>
        <w:t xml:space="preserve"> peer-reviewed articles will be chosen. Each article will provide the following information:</w:t>
      </w:r>
    </w:p>
    <w:p>
      <w:pPr>
        <w:pStyle w:val="style0"/>
        <w:spacing w:lineRule="auto" w:line="480"/>
        <w:jc w:val="both"/>
        <w:rPr>
          <w:rFonts w:ascii="Times New Roman" w:cs="Times New Roman" w:eastAsia="Times New Roman" w:hAnsi="Times New Roman"/>
        </w:rPr>
      </w:pPr>
      <w:r>
        <w:t xml:space="preserve"> </w:t>
      </w:r>
    </w:p>
    <w:tbl>
      <w:tblPr>
        <w:tblStyle w:val="style4098"/>
        <w:tblW w:w="960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965"/>
        <w:gridCol w:w="4575"/>
        <w:gridCol w:w="3060"/>
      </w:tblGrid>
      <w:tr>
        <w:trPr>
          <w:trHeight w:val="735" w:hRule="atLeast"/>
        </w:trPr>
        <w:tc>
          <w:tcPr>
            <w:tcW w:w="1965"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pPr>
              <w:pStyle w:val="style0"/>
              <w:spacing w:before="200" w:after="240" w:lineRule="auto" w:line="480"/>
              <w:rPr>
                <w:b/>
                <w:bCs/>
              </w:rPr>
            </w:pPr>
            <w:r>
              <w:rPr>
                <w:b/>
                <w:bCs/>
              </w:rPr>
              <w:t>Data Category</w:t>
            </w:r>
          </w:p>
        </w:tc>
        <w:tc>
          <w:tcPr>
            <w:tcW w:w="457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pPr>
              <w:pStyle w:val="style0"/>
              <w:spacing w:before="200" w:after="240" w:lineRule="auto" w:line="480"/>
              <w:rPr>
                <w:b/>
                <w:bCs/>
              </w:rPr>
            </w:pPr>
            <w:r>
              <w:rPr>
                <w:b/>
                <w:bCs/>
              </w:rPr>
              <w:t>Information Extracted</w:t>
            </w:r>
          </w:p>
        </w:tc>
        <w:tc>
          <w:tcPr>
            <w:tcW w:w="306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pPr>
              <w:pStyle w:val="style0"/>
              <w:spacing w:before="200" w:after="240" w:lineRule="auto" w:line="480"/>
              <w:rPr>
                <w:b/>
                <w:bCs/>
              </w:rPr>
            </w:pPr>
            <w:r>
              <w:rPr>
                <w:b/>
                <w:bCs/>
              </w:rPr>
              <w:t xml:space="preserve">Example </w:t>
            </w:r>
          </w:p>
        </w:tc>
      </w:tr>
      <w:tr>
        <w:tblPrEx/>
        <w:trPr>
          <w:trHeight w:val="735" w:hRule="atLeast"/>
        </w:trPr>
        <w:tc>
          <w:tcPr>
            <w:tcW w:w="1965"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pPr>
              <w:pStyle w:val="style0"/>
              <w:spacing w:before="200" w:after="240" w:lineRule="auto" w:line="480"/>
              <w:rPr/>
            </w:pPr>
            <w:r>
              <w:t xml:space="preserve">Information of study </w:t>
            </w:r>
          </w:p>
        </w:tc>
        <w:tc>
          <w:tcPr>
            <w:tcW w:w="457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pPr>
              <w:pStyle w:val="style0"/>
              <w:spacing w:before="200" w:after="240" w:lineRule="auto" w:line="480"/>
              <w:rPr/>
            </w:pPr>
            <w:r>
              <w:t xml:space="preserve">The author's name and the publication year </w:t>
            </w:r>
          </w:p>
        </w:tc>
        <w:tc>
          <w:tcPr>
            <w:tcW w:w="306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pPr>
              <w:pStyle w:val="style0"/>
              <w:spacing w:before="200" w:after="240" w:lineRule="auto" w:line="480"/>
              <w:rPr/>
            </w:pPr>
            <w:r>
              <w:t>(</w:t>
            </w:r>
            <w:r>
              <w:rPr>
                <w:color w:val="222222"/>
                <w:highlight w:val="white"/>
              </w:rPr>
              <w:t>Vanesa et al. 2025)</w:t>
            </w:r>
          </w:p>
        </w:tc>
      </w:tr>
      <w:tr>
        <w:tblPrEx/>
        <w:trPr>
          <w:trHeight w:val="735" w:hRule="atLeast"/>
        </w:trPr>
        <w:tc>
          <w:tcPr>
            <w:tcW w:w="1965"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pPr>
              <w:pStyle w:val="style0"/>
              <w:spacing w:before="200" w:after="240" w:lineRule="auto" w:line="480"/>
              <w:rPr/>
            </w:pPr>
            <w:r>
              <w:t xml:space="preserve">Design of the study </w:t>
            </w:r>
          </w:p>
        </w:tc>
        <w:tc>
          <w:tcPr>
            <w:tcW w:w="457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pPr>
              <w:pStyle w:val="style0"/>
              <w:spacing w:before="200" w:after="240" w:lineRule="auto" w:line="480"/>
              <w:rPr/>
            </w:pPr>
            <w:r>
              <w:t xml:space="preserve">Type of study, such as Qualitative, longitudinal or survey </w:t>
            </w:r>
          </w:p>
        </w:tc>
        <w:tc>
          <w:tcPr>
            <w:tcW w:w="306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pPr>
              <w:pStyle w:val="style0"/>
              <w:spacing w:before="200" w:after="240" w:lineRule="auto" w:line="480"/>
              <w:rPr/>
            </w:pPr>
            <w:r>
              <w:t xml:space="preserve">Qualitative study </w:t>
            </w:r>
          </w:p>
        </w:tc>
      </w:tr>
      <w:tr>
        <w:tblPrEx/>
        <w:trPr>
          <w:trHeight w:val="735" w:hRule="atLeast"/>
        </w:trPr>
        <w:tc>
          <w:tcPr>
            <w:tcW w:w="1965"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pPr>
              <w:pStyle w:val="style0"/>
              <w:spacing w:before="200" w:after="240" w:lineRule="auto" w:line="480"/>
              <w:rPr/>
            </w:pPr>
            <w:r>
              <w:t xml:space="preserve">Key findings </w:t>
            </w:r>
          </w:p>
        </w:tc>
        <w:tc>
          <w:tcPr>
            <w:tcW w:w="457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pPr>
              <w:pStyle w:val="style0"/>
              <w:spacing w:before="200" w:after="240" w:lineRule="auto" w:line="480"/>
              <w:rPr/>
            </w:pPr>
            <w:r>
              <w:t xml:space="preserve">Outcomes report the main impact of HH compliance among UK nurses </w:t>
            </w:r>
          </w:p>
        </w:tc>
        <w:tc>
          <w:tcPr>
            <w:tcW w:w="306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pPr>
              <w:pStyle w:val="style0"/>
              <w:spacing w:before="200" w:after="240" w:lineRule="auto" w:line="480"/>
              <w:rPr/>
            </w:pPr>
            <w:r>
              <w:t xml:space="preserve">Advise the use of daily hand washing and behavioural changes </w:t>
            </w:r>
          </w:p>
        </w:tc>
      </w:tr>
    </w:tbl>
    <w:p>
      <w:pPr>
        <w:pStyle w:val="style0"/>
        <w:spacing w:before="200" w:after="240" w:lineRule="auto" w:line="480"/>
        <w:jc w:val="center"/>
        <w:rPr>
          <w:b/>
          <w:bCs/>
        </w:rPr>
      </w:pPr>
      <w:r>
        <w:rPr>
          <w:b/>
          <w:bCs/>
        </w:rPr>
        <w:t xml:space="preserve">Table 1: Criteria of systematic data extraction </w:t>
      </w:r>
    </w:p>
    <w:bookmarkStart w:id="17" w:name="_m7m8dhjx6qw5" w:colFirst="0" w:colLast="0"/>
    <w:bookmarkStart w:id="18" w:name="_Toc227397172"/>
    <w:bookmarkEnd w:id="17"/>
    <w:p>
      <w:pPr>
        <w:pStyle w:val="style1"/>
        <w:numPr>
          <w:ilvl w:val="0"/>
          <w:numId w:val="1"/>
        </w:numPr>
        <w:rPr/>
      </w:pPr>
      <w:r>
        <w:t>Proposed data analysis technique</w:t>
      </w:r>
      <w:bookmarkEnd w:id="18"/>
      <w:r>
        <w:t xml:space="preserve"> </w:t>
      </w:r>
    </w:p>
    <w:p>
      <w:pPr>
        <w:pStyle w:val="style0"/>
        <w:spacing w:lineRule="auto" w:line="480"/>
        <w:jc w:val="both"/>
        <w:rPr/>
      </w:pPr>
      <w:r>
        <w:t xml:space="preserve">It will adopt a thematic data analysis process from the selected studies. Thematic data analysis is suitable as a qualitative method for addressing, discussing and interpreting data patterns (Ahmed et al., 2025). It is suitable for such a systematic review as it allows the data synthesis from the existing research findings and facilitates a clear understanding of the connection between HAIs and HH compliance of UK nurses. The process will begin by reviewing the selected articles to understand their key findings. Based on the characteristics of the included studies, it will address codes per article based on the outcomes of the infections and HH practices. These codes will help to capture the reported reductions of infections, compliance rates and contextual factors. Moreover, the development of themes will be focused on the barriers of effective practices, practices such as lack of training, heavy workload and others, levels of hand hygiene compliance and effectiveness of interventions implemented to improve HH compliance.  </w:t>
      </w:r>
    </w:p>
    <w:bookmarkStart w:id="19" w:name="_shi6zejsfwi5" w:colFirst="0" w:colLast="0"/>
    <w:bookmarkStart w:id="20" w:name="_Toc227397173"/>
    <w:bookmarkEnd w:id="19"/>
    <w:p>
      <w:pPr>
        <w:pStyle w:val="style1"/>
        <w:numPr>
          <w:ilvl w:val="0"/>
          <w:numId w:val="1"/>
        </w:numPr>
        <w:rPr/>
      </w:pPr>
      <w:r>
        <w:t>Ethical considerations</w:t>
      </w:r>
      <w:bookmarkEnd w:id="20"/>
      <w:r>
        <w:t xml:space="preserve"> </w:t>
      </w:r>
    </w:p>
    <w:p>
      <w:pPr>
        <w:pStyle w:val="style0"/>
        <w:spacing w:lineRule="auto" w:line="480"/>
        <w:jc w:val="both"/>
        <w:rPr>
          <w:color w:val="000000"/>
        </w:rPr>
      </w:pPr>
      <w:r>
        <w:rPr>
          <w:color w:val="000000"/>
        </w:rPr>
        <w:t xml:space="preserve">As this study is based on secondary data, no direct involvement of human participants is required. Ethical considerations focus on maintaining research integrity, transparency, and </w:t>
      </w:r>
      <w:r>
        <w:rPr>
          <w:color w:val="000000"/>
        </w:rPr>
        <w:t>accuracy in reporting findings (</w:t>
      </w:r>
      <w:r>
        <w:rPr>
          <w:color w:val="000000"/>
          <w:highlight w:val="white"/>
        </w:rPr>
        <w:t>Suri, 2019)</w:t>
      </w:r>
      <w:r>
        <w:rPr>
          <w:color w:val="000000"/>
        </w:rPr>
        <w:t xml:space="preserve">. All sources will be appropriately cited to avoid plagiarism, and only credible, peer-reviewed studies will be included. The research will follow university ethical guidelines and ensure that findings are presented without bias or misinterpretation. </w:t>
      </w:r>
      <w:r>
        <w:rPr>
          <w:color w:val="000000"/>
        </w:rPr>
        <w:t xml:space="preserve">The data collected from the credible secondary sources will ensure data integrity and data reliability (Condon et al., 2022). Through strongly avoiding plagiarism, ethical responsibility will be followed successfully, and a suitable reflecting style will be chosen for the citation. Acknowledgement of all sources and their authentic researchers' names will be mentioned. </w:t>
      </w:r>
    </w:p>
    <w:p>
      <w:pPr>
        <w:pStyle w:val="style0"/>
        <w:spacing w:lineRule="auto" w:line="480"/>
        <w:jc w:val="both"/>
        <w:rPr>
          <w:rFonts w:ascii="Times New Roman" w:cs="Times New Roman" w:eastAsia="Times New Roman" w:hAnsi="Times New Roman"/>
          <w:sz w:val="24"/>
          <w:szCs w:val="24"/>
          <w:lang w:val="en-GB" w:eastAsia="en-GB"/>
        </w:rPr>
      </w:pPr>
      <w:r>
        <w:t>In addition, care will be taken to represent the findings from the selected sources, and it will not provide any kind of information interpretation or bias</w:t>
      </w:r>
      <w:r>
        <w:t xml:space="preserve"> </w:t>
      </w:r>
      <w:r>
        <w:rPr>
          <w:rFonts w:eastAsia="Times New Roman"/>
          <w:lang w:val="en-GB" w:eastAsia="en-GB"/>
        </w:rPr>
        <w:t>(Althubaiti, 2016)</w:t>
      </w:r>
      <w:r>
        <w:t xml:space="preserve">. Data will be reviewed and analysed shortly by following the credibility in the entire research process. Moreover, the research will follow the ethical guidelines of the university. It will ensure that while developing this research, the needed requirements and integrity standards have been followed. </w:t>
      </w:r>
    </w:p>
    <w:bookmarkStart w:id="21" w:name="_fr444xb9smju" w:colFirst="0" w:colLast="0"/>
    <w:bookmarkStart w:id="22" w:name="_Toc227397174"/>
    <w:bookmarkEnd w:id="21"/>
    <w:p>
      <w:pPr>
        <w:pStyle w:val="style1"/>
        <w:numPr>
          <w:ilvl w:val="0"/>
          <w:numId w:val="1"/>
        </w:numPr>
        <w:rPr/>
      </w:pPr>
      <w:r>
        <w:t>Implications of Research</w:t>
      </w:r>
      <w:bookmarkEnd w:id="22"/>
      <w:r>
        <w:t xml:space="preserve"> </w:t>
      </w:r>
    </w:p>
    <w:p>
      <w:pPr>
        <w:pStyle w:val="style0"/>
        <w:spacing w:lineRule="auto" w:line="480"/>
        <w:jc w:val="both"/>
        <w:rPr/>
      </w:pPr>
      <w:r>
        <w:t xml:space="preserve">This proposal has significant implications for healthcare policy settings and social support services. From a practical perspective, the data suggest that reduced HAIs improve the safety of patients and the quality of care in hospitals. Moreover, it highlights enhanced public health outcomes and reduced transmission within UK hospitals. It supports the importance of training and promotion of behavioural changes to increase hygiene guidelines within UK hospitals. From a perspective of policy implications, the data have offered evidence that will support stronger existing prevention strategies of HAIs through renowned UK healthcare settings such as the NHS. Moreover, this proposal may promote the significance of regular monitoring and raising accountability of UK healthcare workers by addressing the impact of hand hygiene to reduce the spread of HAIs. </w:t>
      </w:r>
    </w:p>
    <w:p>
      <w:pPr>
        <w:pStyle w:val="style0"/>
        <w:spacing w:lineRule="auto" w:line="480"/>
        <w:jc w:val="both"/>
        <w:rPr/>
      </w:pPr>
      <w:r>
        <w:t xml:space="preserve">Furthermore, academically, this proposal will highlight existing literature’s gaps in relation to evaluating the effectiveness of intervention strategies of HAIs, with the factors that influence compliance of HH. Therefore, it will help to analyse the future studies based on the control sttagies of HAIs in UK healthcare settings. </w:t>
      </w:r>
    </w:p>
    <w:bookmarkStart w:id="23" w:name="_tj8ylpaq3dvr" w:colFirst="0" w:colLast="0"/>
    <w:bookmarkStart w:id="24" w:name="_Toc227397175"/>
    <w:bookmarkEnd w:id="23"/>
    <w:p>
      <w:pPr>
        <w:pStyle w:val="style1"/>
        <w:numPr>
          <w:ilvl w:val="0"/>
          <w:numId w:val="1"/>
        </w:numPr>
        <w:rPr>
          <w:color w:val="000000"/>
        </w:rPr>
      </w:pPr>
      <w:r>
        <w:rPr>
          <w:color w:val="000000"/>
        </w:rPr>
        <w:t>Plan of work</w:t>
      </w:r>
      <w:bookmarkEnd w:id="24"/>
      <w:r>
        <w:rPr>
          <w:color w:val="000000"/>
        </w:rPr>
        <w:t xml:space="preserve"> </w:t>
      </w:r>
    </w:p>
    <w:tbl>
      <w:tblPr>
        <w:tblStyle w:val="style154"/>
        <w:tblW w:w="0" w:type="auto"/>
        <w:tblLook w:val="04A0" w:firstRow="1" w:lastRow="0" w:firstColumn="1" w:lastColumn="0" w:noHBand="0" w:noVBand="1"/>
      </w:tblPr>
      <w:tblGrid>
        <w:gridCol w:w="1839"/>
        <w:gridCol w:w="927"/>
        <w:gridCol w:w="944"/>
        <w:gridCol w:w="944"/>
        <w:gridCol w:w="941"/>
        <w:gridCol w:w="978"/>
        <w:gridCol w:w="989"/>
        <w:gridCol w:w="1006"/>
        <w:gridCol w:w="1006"/>
      </w:tblGrid>
      <w:tr>
        <w:trPr/>
        <w:tc>
          <w:tcPr>
            <w:tcW w:w="0" w:type="auto"/>
            <w:tcBorders/>
            <w:hideMark/>
          </w:tcPr>
          <w:p>
            <w:pPr>
              <w:pStyle w:val="style0"/>
              <w:spacing w:lineRule="auto" w:line="480"/>
              <w:rPr>
                <w:color w:val="000000"/>
                <w:lang w:val="en-GB"/>
              </w:rPr>
            </w:pPr>
            <w:r>
              <w:rPr>
                <w:color w:val="000000"/>
                <w:lang w:val="en-GB"/>
              </w:rPr>
              <w:t>Task</w:t>
            </w:r>
          </w:p>
        </w:tc>
        <w:tc>
          <w:tcPr>
            <w:tcW w:w="0" w:type="auto"/>
            <w:tcBorders/>
            <w:hideMark/>
          </w:tcPr>
          <w:p>
            <w:pPr>
              <w:pStyle w:val="style0"/>
              <w:spacing w:lineRule="auto" w:line="480"/>
              <w:rPr>
                <w:color w:val="000000"/>
                <w:lang w:val="en-GB"/>
              </w:rPr>
            </w:pPr>
            <w:r>
              <w:rPr>
                <w:color w:val="000000"/>
                <w:lang w:val="en-GB"/>
              </w:rPr>
              <w:t>Week 1–2</w:t>
            </w:r>
          </w:p>
        </w:tc>
        <w:tc>
          <w:tcPr>
            <w:tcW w:w="0" w:type="auto"/>
            <w:tcBorders/>
            <w:hideMark/>
          </w:tcPr>
          <w:p>
            <w:pPr>
              <w:pStyle w:val="style0"/>
              <w:spacing w:lineRule="auto" w:line="480"/>
              <w:rPr>
                <w:color w:val="000000"/>
                <w:lang w:val="en-GB"/>
              </w:rPr>
            </w:pPr>
            <w:r>
              <w:rPr>
                <w:color w:val="000000"/>
                <w:lang w:val="en-GB"/>
              </w:rPr>
              <w:t>Week 3–4</w:t>
            </w:r>
          </w:p>
        </w:tc>
        <w:tc>
          <w:tcPr>
            <w:tcW w:w="0" w:type="auto"/>
            <w:tcBorders/>
            <w:hideMark/>
          </w:tcPr>
          <w:p>
            <w:pPr>
              <w:pStyle w:val="style0"/>
              <w:spacing w:lineRule="auto" w:line="480"/>
              <w:rPr>
                <w:color w:val="000000"/>
                <w:lang w:val="en-GB"/>
              </w:rPr>
            </w:pPr>
            <w:r>
              <w:rPr>
                <w:color w:val="000000"/>
                <w:lang w:val="en-GB"/>
              </w:rPr>
              <w:t>Week 5–6</w:t>
            </w:r>
          </w:p>
        </w:tc>
        <w:tc>
          <w:tcPr>
            <w:tcW w:w="0" w:type="auto"/>
            <w:tcBorders/>
            <w:hideMark/>
          </w:tcPr>
          <w:p>
            <w:pPr>
              <w:pStyle w:val="style0"/>
              <w:spacing w:lineRule="auto" w:line="480"/>
              <w:rPr>
                <w:color w:val="000000"/>
                <w:lang w:val="en-GB"/>
              </w:rPr>
            </w:pPr>
            <w:r>
              <w:rPr>
                <w:color w:val="000000"/>
                <w:lang w:val="en-GB"/>
              </w:rPr>
              <w:t>Week 7–8</w:t>
            </w:r>
          </w:p>
        </w:tc>
        <w:tc>
          <w:tcPr>
            <w:tcW w:w="0" w:type="auto"/>
            <w:tcBorders/>
            <w:hideMark/>
          </w:tcPr>
          <w:p>
            <w:pPr>
              <w:pStyle w:val="style0"/>
              <w:spacing w:lineRule="auto" w:line="480"/>
              <w:rPr>
                <w:color w:val="000000"/>
                <w:lang w:val="en-GB"/>
              </w:rPr>
            </w:pPr>
            <w:r>
              <w:rPr>
                <w:color w:val="000000"/>
                <w:lang w:val="en-GB"/>
              </w:rPr>
              <w:t>Week 9–10</w:t>
            </w:r>
          </w:p>
        </w:tc>
        <w:tc>
          <w:tcPr>
            <w:tcW w:w="0" w:type="auto"/>
            <w:tcBorders/>
            <w:hideMark/>
          </w:tcPr>
          <w:p>
            <w:pPr>
              <w:pStyle w:val="style0"/>
              <w:spacing w:lineRule="auto" w:line="480"/>
              <w:rPr>
                <w:color w:val="000000"/>
                <w:lang w:val="en-GB"/>
              </w:rPr>
            </w:pPr>
            <w:r>
              <w:rPr>
                <w:color w:val="000000"/>
                <w:lang w:val="en-GB"/>
              </w:rPr>
              <w:t>Week 11–12</w:t>
            </w:r>
          </w:p>
        </w:tc>
        <w:tc>
          <w:tcPr>
            <w:tcW w:w="0" w:type="auto"/>
            <w:tcBorders/>
            <w:hideMark/>
          </w:tcPr>
          <w:p>
            <w:pPr>
              <w:pStyle w:val="style0"/>
              <w:spacing w:lineRule="auto" w:line="480"/>
              <w:rPr>
                <w:color w:val="000000"/>
                <w:lang w:val="en-GB"/>
              </w:rPr>
            </w:pPr>
            <w:r>
              <w:rPr>
                <w:color w:val="000000"/>
                <w:lang w:val="en-GB"/>
              </w:rPr>
              <w:t>Week 13–14</w:t>
            </w:r>
          </w:p>
        </w:tc>
        <w:tc>
          <w:tcPr>
            <w:tcW w:w="0" w:type="auto"/>
            <w:tcBorders/>
            <w:hideMark/>
          </w:tcPr>
          <w:p>
            <w:pPr>
              <w:pStyle w:val="style0"/>
              <w:spacing w:lineRule="auto" w:line="480"/>
              <w:rPr>
                <w:color w:val="000000"/>
                <w:lang w:val="en-GB"/>
              </w:rPr>
            </w:pPr>
            <w:r>
              <w:rPr>
                <w:color w:val="000000"/>
                <w:lang w:val="en-GB"/>
              </w:rPr>
              <w:t>Week 15–16</w:t>
            </w:r>
          </w:p>
        </w:tc>
      </w:tr>
      <w:tr>
        <w:tblPrEx/>
        <w:trPr/>
        <w:tc>
          <w:tcPr>
            <w:tcW w:w="0" w:type="auto"/>
            <w:tcBorders/>
            <w:hideMark/>
          </w:tcPr>
          <w:p>
            <w:pPr>
              <w:pStyle w:val="style0"/>
              <w:spacing w:lineRule="auto" w:line="480"/>
              <w:rPr>
                <w:color w:val="000000"/>
                <w:lang w:val="en-GB"/>
              </w:rPr>
            </w:pPr>
            <w:r>
              <w:rPr>
                <w:color w:val="000000"/>
                <w:lang w:val="en-GB"/>
              </w:rPr>
              <w:t>Proposal refinement</w:t>
            </w:r>
          </w:p>
        </w:tc>
        <w:tc>
          <w:tcPr>
            <w:tcW w:w="0" w:type="auto"/>
            <w:tcBorders/>
            <w:hideMark/>
          </w:tcPr>
          <w:p>
            <w:pPr>
              <w:pStyle w:val="style0"/>
              <w:spacing w:lineRule="auto" w:line="480"/>
              <w:rPr>
                <w:color w:val="000000"/>
                <w:lang w:val="en-GB"/>
              </w:rPr>
            </w:pPr>
            <w:r>
              <w:rPr>
                <w:rFonts w:ascii="Segoe UI Symbol" w:cs="Segoe UI Symbol" w:hAnsi="Segoe UI Symbol"/>
                <w:color w:val="000000"/>
                <w:lang w:val="en-GB"/>
              </w:rPr>
              <w:t>✔</w:t>
            </w: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r>
      <w:tr>
        <w:tblPrEx/>
        <w:trPr/>
        <w:tc>
          <w:tcPr>
            <w:tcW w:w="0" w:type="auto"/>
            <w:tcBorders/>
            <w:hideMark/>
          </w:tcPr>
          <w:p>
            <w:pPr>
              <w:pStyle w:val="style0"/>
              <w:spacing w:lineRule="auto" w:line="480"/>
              <w:rPr>
                <w:color w:val="000000"/>
                <w:lang w:val="en-GB"/>
              </w:rPr>
            </w:pPr>
            <w:r>
              <w:rPr>
                <w:color w:val="000000"/>
                <w:lang w:val="en-GB"/>
              </w:rPr>
              <w:t>Literature search</w:t>
            </w: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r>
              <w:rPr>
                <w:rFonts w:ascii="Segoe UI Symbol" w:cs="Segoe UI Symbol" w:hAnsi="Segoe UI Symbol"/>
                <w:color w:val="000000"/>
                <w:lang w:val="en-GB"/>
              </w:rPr>
              <w:t>✔</w:t>
            </w:r>
          </w:p>
        </w:tc>
        <w:tc>
          <w:tcPr>
            <w:tcW w:w="0" w:type="auto"/>
            <w:tcBorders/>
            <w:hideMark/>
          </w:tcPr>
          <w:p>
            <w:pPr>
              <w:pStyle w:val="style0"/>
              <w:spacing w:lineRule="auto" w:line="480"/>
              <w:rPr>
                <w:color w:val="000000"/>
                <w:lang w:val="en-GB"/>
              </w:rPr>
            </w:pPr>
            <w:r>
              <w:rPr>
                <w:rFonts w:ascii="Segoe UI Symbol" w:cs="Segoe UI Symbol" w:hAnsi="Segoe UI Symbol"/>
                <w:color w:val="000000"/>
                <w:lang w:val="en-GB"/>
              </w:rPr>
              <w:t>✔</w:t>
            </w: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r>
      <w:tr>
        <w:tblPrEx/>
        <w:trPr/>
        <w:tc>
          <w:tcPr>
            <w:tcW w:w="0" w:type="auto"/>
            <w:tcBorders/>
            <w:hideMark/>
          </w:tcPr>
          <w:p>
            <w:pPr>
              <w:pStyle w:val="style0"/>
              <w:spacing w:lineRule="auto" w:line="480"/>
              <w:rPr>
                <w:color w:val="000000"/>
                <w:lang w:val="en-GB"/>
              </w:rPr>
            </w:pPr>
            <w:r>
              <w:rPr>
                <w:color w:val="000000"/>
                <w:lang w:val="en-GB"/>
              </w:rPr>
              <w:t>Screening studies</w:t>
            </w: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r>
              <w:rPr>
                <w:rFonts w:ascii="Segoe UI Symbol" w:cs="Segoe UI Symbol" w:hAnsi="Segoe UI Symbol"/>
                <w:color w:val="000000"/>
                <w:lang w:val="en-GB"/>
              </w:rPr>
              <w:t>✔</w:t>
            </w:r>
          </w:p>
        </w:tc>
        <w:tc>
          <w:tcPr>
            <w:tcW w:w="0" w:type="auto"/>
            <w:tcBorders/>
            <w:hideMark/>
          </w:tcPr>
          <w:p>
            <w:pPr>
              <w:pStyle w:val="style0"/>
              <w:spacing w:lineRule="auto" w:line="480"/>
              <w:rPr>
                <w:color w:val="000000"/>
                <w:lang w:val="en-GB"/>
              </w:rPr>
            </w:pPr>
            <w:r>
              <w:rPr>
                <w:rFonts w:ascii="Segoe UI Symbol" w:cs="Segoe UI Symbol" w:hAnsi="Segoe UI Symbol"/>
                <w:color w:val="000000"/>
                <w:lang w:val="en-GB"/>
              </w:rPr>
              <w:t>✔</w:t>
            </w: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r>
      <w:tr>
        <w:tblPrEx/>
        <w:trPr/>
        <w:tc>
          <w:tcPr>
            <w:tcW w:w="0" w:type="auto"/>
            <w:tcBorders/>
            <w:hideMark/>
          </w:tcPr>
          <w:p>
            <w:pPr>
              <w:pStyle w:val="style0"/>
              <w:spacing w:lineRule="auto" w:line="480"/>
              <w:rPr>
                <w:color w:val="000000"/>
                <w:lang w:val="en-GB"/>
              </w:rPr>
            </w:pPr>
            <w:r>
              <w:rPr>
                <w:color w:val="000000"/>
                <w:lang w:val="en-GB"/>
              </w:rPr>
              <w:t>Data extraction</w:t>
            </w: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r>
              <w:rPr>
                <w:rFonts w:ascii="Segoe UI Symbol" w:cs="Segoe UI Symbol" w:hAnsi="Segoe UI Symbol"/>
                <w:color w:val="000000"/>
                <w:lang w:val="en-GB"/>
              </w:rPr>
              <w:t>✔</w:t>
            </w:r>
          </w:p>
        </w:tc>
        <w:tc>
          <w:tcPr>
            <w:tcW w:w="0" w:type="auto"/>
            <w:tcBorders/>
            <w:hideMark/>
          </w:tcPr>
          <w:p>
            <w:pPr>
              <w:pStyle w:val="style0"/>
              <w:spacing w:lineRule="auto" w:line="480"/>
              <w:rPr>
                <w:color w:val="000000"/>
                <w:lang w:val="en-GB"/>
              </w:rPr>
            </w:pPr>
            <w:r>
              <w:rPr>
                <w:rFonts w:ascii="Segoe UI Symbol" w:cs="Segoe UI Symbol" w:hAnsi="Segoe UI Symbol"/>
                <w:color w:val="000000"/>
                <w:lang w:val="en-GB"/>
              </w:rPr>
              <w:t>✔</w:t>
            </w: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r>
      <w:tr>
        <w:tblPrEx/>
        <w:trPr/>
        <w:tc>
          <w:tcPr>
            <w:tcW w:w="0" w:type="auto"/>
            <w:tcBorders/>
            <w:hideMark/>
          </w:tcPr>
          <w:p>
            <w:pPr>
              <w:pStyle w:val="style0"/>
              <w:spacing w:lineRule="auto" w:line="480"/>
              <w:rPr>
                <w:color w:val="000000"/>
                <w:lang w:val="en-GB"/>
              </w:rPr>
            </w:pPr>
            <w:r>
              <w:rPr>
                <w:color w:val="000000"/>
                <w:lang w:val="en-GB"/>
              </w:rPr>
              <w:t>Data analysis</w:t>
            </w: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r>
              <w:rPr>
                <w:rFonts w:ascii="Segoe UI Symbol" w:cs="Segoe UI Symbol" w:hAnsi="Segoe UI Symbol"/>
                <w:color w:val="000000"/>
                <w:lang w:val="en-GB"/>
              </w:rPr>
              <w:t>✔</w:t>
            </w:r>
          </w:p>
        </w:tc>
        <w:tc>
          <w:tcPr>
            <w:tcW w:w="0" w:type="auto"/>
            <w:tcBorders/>
            <w:hideMark/>
          </w:tcPr>
          <w:p>
            <w:pPr>
              <w:pStyle w:val="style0"/>
              <w:spacing w:lineRule="auto" w:line="480"/>
              <w:rPr>
                <w:color w:val="000000"/>
                <w:lang w:val="en-GB"/>
              </w:rPr>
            </w:pPr>
            <w:r>
              <w:rPr>
                <w:rFonts w:ascii="Segoe UI Symbol" w:cs="Segoe UI Symbol" w:hAnsi="Segoe UI Symbol"/>
                <w:color w:val="000000"/>
                <w:lang w:val="en-GB"/>
              </w:rPr>
              <w:t>✔</w:t>
            </w: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r>
      <w:tr>
        <w:tblPrEx/>
        <w:trPr/>
        <w:tc>
          <w:tcPr>
            <w:tcW w:w="0" w:type="auto"/>
            <w:tcBorders/>
            <w:hideMark/>
          </w:tcPr>
          <w:p>
            <w:pPr>
              <w:pStyle w:val="style0"/>
              <w:spacing w:lineRule="auto" w:line="480"/>
              <w:rPr>
                <w:color w:val="000000"/>
                <w:lang w:val="en-GB"/>
              </w:rPr>
            </w:pPr>
            <w:r>
              <w:rPr>
                <w:color w:val="000000"/>
                <w:lang w:val="en-GB"/>
              </w:rPr>
              <w:t>Writing chapters</w:t>
            </w: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r>
              <w:rPr>
                <w:rFonts w:ascii="Segoe UI Symbol" w:cs="Segoe UI Symbol" w:hAnsi="Segoe UI Symbol"/>
                <w:color w:val="000000"/>
                <w:lang w:val="en-GB"/>
              </w:rPr>
              <w:t>✔</w:t>
            </w:r>
          </w:p>
        </w:tc>
        <w:tc>
          <w:tcPr>
            <w:tcW w:w="0" w:type="auto"/>
            <w:tcBorders/>
            <w:hideMark/>
          </w:tcPr>
          <w:p>
            <w:pPr>
              <w:pStyle w:val="style0"/>
              <w:spacing w:lineRule="auto" w:line="480"/>
              <w:rPr>
                <w:color w:val="000000"/>
                <w:lang w:val="en-GB"/>
              </w:rPr>
            </w:pPr>
            <w:r>
              <w:rPr>
                <w:rFonts w:ascii="Segoe UI Symbol" w:cs="Segoe UI Symbol" w:hAnsi="Segoe UI Symbol"/>
                <w:color w:val="000000"/>
                <w:lang w:val="en-GB"/>
              </w:rPr>
              <w:t>✔</w:t>
            </w:r>
          </w:p>
        </w:tc>
        <w:tc>
          <w:tcPr>
            <w:tcW w:w="0" w:type="auto"/>
            <w:tcBorders/>
            <w:hideMark/>
          </w:tcPr>
          <w:p>
            <w:pPr>
              <w:pStyle w:val="style0"/>
              <w:spacing w:lineRule="auto" w:line="480"/>
              <w:rPr>
                <w:color w:val="000000"/>
                <w:lang w:val="en-GB"/>
              </w:rPr>
            </w:pPr>
          </w:p>
        </w:tc>
      </w:tr>
      <w:tr>
        <w:tblPrEx/>
        <w:trPr/>
        <w:tc>
          <w:tcPr>
            <w:tcW w:w="0" w:type="auto"/>
            <w:tcBorders/>
            <w:hideMark/>
          </w:tcPr>
          <w:p>
            <w:pPr>
              <w:pStyle w:val="style0"/>
              <w:spacing w:lineRule="auto" w:line="480"/>
              <w:rPr>
                <w:color w:val="000000"/>
                <w:lang w:val="en-GB"/>
              </w:rPr>
            </w:pPr>
            <w:r>
              <w:rPr>
                <w:color w:val="000000"/>
                <w:lang w:val="en-GB"/>
              </w:rPr>
              <w:t>Editing &amp; proofreading</w:t>
            </w: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r>
              <w:rPr>
                <w:rFonts w:ascii="Segoe UI Symbol" w:cs="Segoe UI Symbol" w:hAnsi="Segoe UI Symbol"/>
                <w:color w:val="000000"/>
                <w:lang w:val="en-GB"/>
              </w:rPr>
              <w:t>✔</w:t>
            </w:r>
          </w:p>
        </w:tc>
        <w:tc>
          <w:tcPr>
            <w:tcW w:w="0" w:type="auto"/>
            <w:tcBorders/>
            <w:hideMark/>
          </w:tcPr>
          <w:p>
            <w:pPr>
              <w:pStyle w:val="style0"/>
              <w:spacing w:lineRule="auto" w:line="480"/>
              <w:rPr>
                <w:color w:val="000000"/>
                <w:lang w:val="en-GB"/>
              </w:rPr>
            </w:pPr>
            <w:r>
              <w:rPr>
                <w:rFonts w:ascii="Segoe UI Symbol" w:cs="Segoe UI Symbol" w:hAnsi="Segoe UI Symbol"/>
                <w:color w:val="000000"/>
                <w:lang w:val="en-GB"/>
              </w:rPr>
              <w:t>✔</w:t>
            </w:r>
          </w:p>
        </w:tc>
      </w:tr>
      <w:tr>
        <w:tblPrEx/>
        <w:trPr/>
        <w:tc>
          <w:tcPr>
            <w:tcW w:w="0" w:type="auto"/>
            <w:tcBorders/>
            <w:hideMark/>
          </w:tcPr>
          <w:p>
            <w:pPr>
              <w:pStyle w:val="style0"/>
              <w:spacing w:lineRule="auto" w:line="480"/>
              <w:rPr>
                <w:color w:val="000000"/>
                <w:lang w:val="en-GB"/>
              </w:rPr>
            </w:pPr>
            <w:r>
              <w:rPr>
                <w:color w:val="000000"/>
                <w:lang w:val="en-GB"/>
              </w:rPr>
              <w:t>Final submission</w:t>
            </w: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p>
        </w:tc>
        <w:tc>
          <w:tcPr>
            <w:tcW w:w="0" w:type="auto"/>
            <w:tcBorders/>
            <w:hideMark/>
          </w:tcPr>
          <w:p>
            <w:pPr>
              <w:pStyle w:val="style0"/>
              <w:spacing w:lineRule="auto" w:line="480"/>
              <w:rPr>
                <w:color w:val="000000"/>
                <w:lang w:val="en-GB"/>
              </w:rPr>
            </w:pPr>
            <w:r>
              <w:rPr>
                <w:rFonts w:ascii="Segoe UI Symbol" w:cs="Segoe UI Symbol" w:hAnsi="Segoe UI Symbol"/>
                <w:color w:val="000000"/>
                <w:lang w:val="en-GB"/>
              </w:rPr>
              <w:t>✔</w:t>
            </w:r>
          </w:p>
        </w:tc>
      </w:tr>
    </w:tbl>
    <w:p>
      <w:pPr>
        <w:pStyle w:val="style1"/>
        <w:rPr>
          <w:color w:val="000000"/>
        </w:rPr>
      </w:pPr>
      <w:r>
        <w:rPr>
          <w:color w:val="000000"/>
        </w:rPr>
        <w:t xml:space="preserve"> </w:t>
      </w:r>
    </w:p>
    <w:p>
      <w:pPr>
        <w:pStyle w:val="style0"/>
        <w:spacing w:before="200" w:after="240" w:lineRule="auto" w:line="480"/>
        <w:jc w:val="center"/>
        <w:rPr>
          <w:b/>
          <w:bCs/>
        </w:rPr>
      </w:pPr>
      <w:r>
        <w:rPr>
          <w:b/>
          <w:bCs/>
        </w:rPr>
        <w:t xml:space="preserve">Table 2: </w:t>
      </w:r>
      <w:r>
        <w:rPr>
          <w:b/>
          <w:bCs/>
        </w:rPr>
        <w:t>Timeplan</w:t>
      </w:r>
      <w:r>
        <w:rPr>
          <w:b/>
          <w:bCs/>
        </w:rPr>
        <w:t xml:space="preserve"> </w:t>
      </w:r>
    </w:p>
    <w:p>
      <w:pPr>
        <w:pStyle w:val="style0"/>
        <w:spacing w:before="200" w:after="240" w:lineRule="auto" w:line="480"/>
        <w:jc w:val="both"/>
        <w:rPr/>
      </w:pPr>
      <w:r>
        <w:t>It addresses the plan of work based on the topic of the Impact of nurses' hand hygiene compliance on healthcare-associated infections in UK hospitals.</w:t>
      </w:r>
    </w:p>
    <w:bookmarkStart w:id="25" w:name="_gn0v7pb8kvg6" w:colFirst="0" w:colLast="0"/>
    <w:bookmarkEnd w:id="25"/>
    <w:p>
      <w:pPr>
        <w:pStyle w:val="style0"/>
        <w:spacing w:lineRule="auto" w:line="480"/>
        <w:rPr>
          <w:b/>
          <w:bCs/>
          <w:sz w:val="28"/>
          <w:szCs w:val="28"/>
        </w:rPr>
      </w:pPr>
      <w:r>
        <w:br w:type="page"/>
      </w:r>
    </w:p>
    <w:bookmarkStart w:id="26" w:name="_Toc227397176"/>
    <w:p>
      <w:pPr>
        <w:pStyle w:val="style1"/>
        <w:rPr/>
      </w:pPr>
      <w:r>
        <w:t>References</w:t>
      </w:r>
      <w:bookmarkEnd w:id="26"/>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Afework, A. and Tamene, A. (2025). Uncovering the obstacles: a comprehensive analysis of barriers to hand hygiene adherence among healthcare providers: a systematic review. </w:t>
      </w:r>
      <w:r>
        <w:rPr>
          <w:rFonts w:ascii="Arial" w:cs="Arial" w:hAnsi="Arial"/>
          <w:i/>
          <w:iCs/>
          <w:sz w:val="22"/>
          <w:szCs w:val="22"/>
        </w:rPr>
        <w:t>BMC Infectious Diseases</w:t>
      </w:r>
      <w:r>
        <w:rPr>
          <w:rFonts w:ascii="Arial" w:cs="Arial" w:hAnsi="Arial"/>
          <w:sz w:val="22"/>
          <w:szCs w:val="22"/>
        </w:rPr>
        <w:t>, [online] 25(1). doi:https://doi.org/10.1186/s12879-025-10924-4.</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Ahmed, S.K., Mohammed, R.A., Nashwan, A.J., Ibrahim, R.H., Abdalla, A.Q., Ameen, B.M.M. and Khidhir, R.M. (2025). Using Thematic Analysis in Qualitative Research. </w:t>
      </w:r>
      <w:r>
        <w:rPr>
          <w:rFonts w:ascii="Arial" w:cs="Arial" w:hAnsi="Arial"/>
          <w:i/>
          <w:iCs/>
          <w:sz w:val="22"/>
          <w:szCs w:val="22"/>
        </w:rPr>
        <w:t>Journal of Medicine, Surgery, and Public Health</w:t>
      </w:r>
      <w:r>
        <w:rPr>
          <w:rFonts w:ascii="Arial" w:cs="Arial" w:hAnsi="Arial"/>
          <w:sz w:val="22"/>
          <w:szCs w:val="22"/>
        </w:rPr>
        <w:t>, [online] 6(6), p.100198. doi:https://doi.org/10.1016/j.glmedi.2025.100198.</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Akinsulie, O.C., Aliyu, V.A., Idris, I., Ajulo, S., </w:t>
      </w:r>
      <w:r>
        <w:rPr>
          <w:rFonts w:ascii="Arial" w:cs="Arial" w:hAnsi="Arial"/>
          <w:sz w:val="22"/>
          <w:szCs w:val="22"/>
        </w:rPr>
        <w:t>Olukogbe</w:t>
      </w:r>
      <w:r>
        <w:rPr>
          <w:rFonts w:ascii="Arial" w:cs="Arial" w:hAnsi="Arial"/>
          <w:sz w:val="22"/>
          <w:szCs w:val="22"/>
        </w:rPr>
        <w:t xml:space="preserve">, O., </w:t>
      </w:r>
      <w:r>
        <w:rPr>
          <w:rFonts w:ascii="Arial" w:cs="Arial" w:hAnsi="Arial"/>
          <w:sz w:val="22"/>
          <w:szCs w:val="22"/>
        </w:rPr>
        <w:t>Ukauwa</w:t>
      </w:r>
      <w:r>
        <w:rPr>
          <w:rFonts w:ascii="Arial" w:cs="Arial" w:hAnsi="Arial"/>
          <w:sz w:val="22"/>
          <w:szCs w:val="22"/>
        </w:rPr>
        <w:t xml:space="preserve">, C. and Akinsulie, J.M. (2024). The Implications of Handwashing and Skin Hygiene on Infectious Disease Dynamics: The African Scenario. </w:t>
      </w:r>
      <w:r>
        <w:rPr>
          <w:rFonts w:ascii="Arial" w:cs="Arial" w:hAnsi="Arial"/>
          <w:i/>
          <w:iCs/>
          <w:sz w:val="22"/>
          <w:szCs w:val="22"/>
        </w:rPr>
        <w:t>Hygiene</w:t>
      </w:r>
      <w:r>
        <w:rPr>
          <w:rFonts w:ascii="Arial" w:cs="Arial" w:hAnsi="Arial"/>
          <w:sz w:val="22"/>
          <w:szCs w:val="22"/>
        </w:rPr>
        <w:t>, [online] 4(4), pp.483–499. doi:https://doi.org/10.3390/hygiene4040036.</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Allegranzi, B., Kilpatrick, C., Storr, J., Kelley, E., Park, B.J. and Donaldson, L. (2017). Global infection prevention and control priorities 2018–22: a call for action. </w:t>
      </w:r>
      <w:r>
        <w:rPr>
          <w:rFonts w:ascii="Arial" w:cs="Arial" w:hAnsi="Arial"/>
          <w:i/>
          <w:iCs/>
          <w:sz w:val="22"/>
          <w:szCs w:val="22"/>
        </w:rPr>
        <w:t>The Lancet Global Health</w:t>
      </w:r>
      <w:r>
        <w:rPr>
          <w:rFonts w:ascii="Arial" w:cs="Arial" w:hAnsi="Arial"/>
          <w:sz w:val="22"/>
          <w:szCs w:val="22"/>
        </w:rPr>
        <w:t>, [online] 5(12), pp.e1178–e1180. doi:https://doi.org/10.1016/s2214-109x(17)30427-8.</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Althubaiti, A. (2016). Information bias in health research: Definition, pitfalls, and adjustment methods. </w:t>
      </w:r>
      <w:r>
        <w:rPr>
          <w:rFonts w:ascii="Arial" w:cs="Arial" w:hAnsi="Arial"/>
          <w:i/>
          <w:iCs/>
          <w:sz w:val="22"/>
          <w:szCs w:val="22"/>
        </w:rPr>
        <w:t>Journal of Multidisciplinary Healthcare</w:t>
      </w:r>
      <w:r>
        <w:rPr>
          <w:rFonts w:ascii="Arial" w:cs="Arial" w:hAnsi="Arial"/>
          <w:sz w:val="22"/>
          <w:szCs w:val="22"/>
        </w:rPr>
        <w:t>, [online] 9(1), pp.211–217. doi:https://doi.org/10.2147%2FJMDH.S104807.</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Anargh, V., Singh, H., Kulkarni, A., Kotwal, A. and Mahen, A. (2013). Hand hygiene practices among health care workers (HCWs) in a tertiary care facility in Pune. </w:t>
      </w:r>
      <w:r>
        <w:rPr>
          <w:rFonts w:ascii="Arial" w:cs="Arial" w:hAnsi="Arial"/>
          <w:i/>
          <w:iCs/>
          <w:sz w:val="22"/>
          <w:szCs w:val="22"/>
        </w:rPr>
        <w:t>Medical Journal, Armed Forces India</w:t>
      </w:r>
      <w:r>
        <w:rPr>
          <w:rFonts w:ascii="Arial" w:cs="Arial" w:hAnsi="Arial"/>
          <w:sz w:val="22"/>
          <w:szCs w:val="22"/>
        </w:rPr>
        <w:t>, [online] 69(1), pp.54–56. doi:https://doi.org/10.1016/j.mjafi.2012.08.011.</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Anwar, M.M. and </w:t>
      </w:r>
      <w:r>
        <w:rPr>
          <w:rFonts w:ascii="Arial" w:cs="Arial" w:hAnsi="Arial"/>
          <w:sz w:val="22"/>
          <w:szCs w:val="22"/>
        </w:rPr>
        <w:t>Elareed</w:t>
      </w:r>
      <w:r>
        <w:rPr>
          <w:rFonts w:ascii="Arial" w:cs="Arial" w:hAnsi="Arial"/>
          <w:sz w:val="22"/>
          <w:szCs w:val="22"/>
        </w:rPr>
        <w:t xml:space="preserve">, H.R. (2019). Improvement of hand hygiene compliance among health care workers in intensive care units. </w:t>
      </w:r>
      <w:r>
        <w:rPr>
          <w:rFonts w:ascii="Arial" w:cs="Arial" w:hAnsi="Arial"/>
          <w:i/>
          <w:iCs/>
          <w:sz w:val="22"/>
          <w:szCs w:val="22"/>
        </w:rPr>
        <w:t>Journal of Preventive Medicine and Hygiene</w:t>
      </w:r>
      <w:r>
        <w:rPr>
          <w:rFonts w:ascii="Arial" w:cs="Arial" w:hAnsi="Arial"/>
          <w:sz w:val="22"/>
          <w:szCs w:val="22"/>
        </w:rPr>
        <w:t>, [online] 60(1), pp.E31–E35. doi:https://doi.org/10.15167/2421-4248/jpmh2019.60.1.918.</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Boora, S., Singh, P., Dhakal, R., Victor, D., </w:t>
      </w:r>
      <w:r>
        <w:rPr>
          <w:rFonts w:ascii="Arial" w:cs="Arial" w:hAnsi="Arial"/>
          <w:sz w:val="22"/>
          <w:szCs w:val="22"/>
        </w:rPr>
        <w:t>Gunjiyal</w:t>
      </w:r>
      <w:r>
        <w:rPr>
          <w:rFonts w:ascii="Arial" w:cs="Arial" w:hAnsi="Arial"/>
          <w:sz w:val="22"/>
          <w:szCs w:val="22"/>
        </w:rPr>
        <w:t xml:space="preserve">, J., </w:t>
      </w:r>
      <w:r>
        <w:rPr>
          <w:rFonts w:ascii="Arial" w:cs="Arial" w:hAnsi="Arial"/>
          <w:sz w:val="22"/>
          <w:szCs w:val="22"/>
        </w:rPr>
        <w:t>Lathwal</w:t>
      </w:r>
      <w:r>
        <w:rPr>
          <w:rFonts w:ascii="Arial" w:cs="Arial" w:hAnsi="Arial"/>
          <w:sz w:val="22"/>
          <w:szCs w:val="22"/>
        </w:rPr>
        <w:t xml:space="preserve">, A. and Mathur, P. (2021). Impact of Hand Hygiene on Hospital-Acquired Infection Rate in Neuro Trauma ICU at a Level 1 Trauma Center in the National Capital Region of India. </w:t>
      </w:r>
      <w:r>
        <w:rPr>
          <w:rFonts w:ascii="Arial" w:cs="Arial" w:hAnsi="Arial"/>
          <w:i/>
          <w:iCs/>
          <w:sz w:val="22"/>
          <w:szCs w:val="22"/>
        </w:rPr>
        <w:t>Journal of Laboratory Physicians</w:t>
      </w:r>
      <w:r>
        <w:rPr>
          <w:rFonts w:ascii="Arial" w:cs="Arial" w:hAnsi="Arial"/>
          <w:sz w:val="22"/>
          <w:szCs w:val="22"/>
        </w:rPr>
        <w:t>, [online] 13(02), pp.148–150. doi:https://doi.org/10.1055/s-0041-1730820.</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Cassini, A., </w:t>
      </w:r>
      <w:r>
        <w:rPr>
          <w:rFonts w:ascii="Arial" w:cs="Arial" w:hAnsi="Arial"/>
          <w:sz w:val="22"/>
          <w:szCs w:val="22"/>
        </w:rPr>
        <w:t>Högberg</w:t>
      </w:r>
      <w:r>
        <w:rPr>
          <w:rFonts w:ascii="Arial" w:cs="Arial" w:hAnsi="Arial"/>
          <w:sz w:val="22"/>
          <w:szCs w:val="22"/>
        </w:rPr>
        <w:t xml:space="preserve">, L.D., </w:t>
      </w:r>
      <w:r>
        <w:rPr>
          <w:rFonts w:ascii="Arial" w:cs="Arial" w:hAnsi="Arial"/>
          <w:sz w:val="22"/>
          <w:szCs w:val="22"/>
        </w:rPr>
        <w:t>Plachouras</w:t>
      </w:r>
      <w:r>
        <w:rPr>
          <w:rFonts w:ascii="Arial" w:cs="Arial" w:hAnsi="Arial"/>
          <w:sz w:val="22"/>
          <w:szCs w:val="22"/>
        </w:rPr>
        <w:t>, D., Quattrocchi, A., Hoxha, A., Simonsen, G.S., Colomb-</w:t>
      </w:r>
      <w:r>
        <w:rPr>
          <w:rFonts w:ascii="Arial" w:cs="Arial" w:hAnsi="Arial"/>
          <w:sz w:val="22"/>
          <w:szCs w:val="22"/>
        </w:rPr>
        <w:t>Cotinat</w:t>
      </w:r>
      <w:r>
        <w:rPr>
          <w:rFonts w:ascii="Arial" w:cs="Arial" w:hAnsi="Arial"/>
          <w:sz w:val="22"/>
          <w:szCs w:val="22"/>
        </w:rPr>
        <w:t xml:space="preserve">, M., Kretzschmar, M.E., </w:t>
      </w:r>
      <w:r>
        <w:rPr>
          <w:rFonts w:ascii="Arial" w:cs="Arial" w:hAnsi="Arial"/>
          <w:sz w:val="22"/>
          <w:szCs w:val="22"/>
        </w:rPr>
        <w:t>Devleesschauwer</w:t>
      </w:r>
      <w:r>
        <w:rPr>
          <w:rFonts w:ascii="Arial" w:cs="Arial" w:hAnsi="Arial"/>
          <w:sz w:val="22"/>
          <w:szCs w:val="22"/>
        </w:rPr>
        <w:t xml:space="preserve">, B., Cecchini, M., </w:t>
      </w:r>
      <w:r>
        <w:rPr>
          <w:rFonts w:ascii="Arial" w:cs="Arial" w:hAnsi="Arial"/>
          <w:sz w:val="22"/>
          <w:szCs w:val="22"/>
        </w:rPr>
        <w:t>Ouakrim</w:t>
      </w:r>
      <w:r>
        <w:rPr>
          <w:rFonts w:ascii="Arial" w:cs="Arial" w:hAnsi="Arial"/>
          <w:sz w:val="22"/>
          <w:szCs w:val="22"/>
        </w:rPr>
        <w:t xml:space="preserve">, D.A., Oliveira, T.C., </w:t>
      </w:r>
      <w:r>
        <w:rPr>
          <w:rFonts w:ascii="Arial" w:cs="Arial" w:hAnsi="Arial"/>
          <w:sz w:val="22"/>
          <w:szCs w:val="22"/>
        </w:rPr>
        <w:t>Struelens</w:t>
      </w:r>
      <w:r>
        <w:rPr>
          <w:rFonts w:ascii="Arial" w:cs="Arial" w:hAnsi="Arial"/>
          <w:sz w:val="22"/>
          <w:szCs w:val="22"/>
        </w:rPr>
        <w:t xml:space="preserve">, M.J., </w:t>
      </w:r>
      <w:r>
        <w:rPr>
          <w:rFonts w:ascii="Arial" w:cs="Arial" w:hAnsi="Arial"/>
          <w:sz w:val="22"/>
          <w:szCs w:val="22"/>
        </w:rPr>
        <w:t>Suetens</w:t>
      </w:r>
      <w:r>
        <w:rPr>
          <w:rFonts w:ascii="Arial" w:cs="Arial" w:hAnsi="Arial"/>
          <w:sz w:val="22"/>
          <w:szCs w:val="22"/>
        </w:rPr>
        <w:t xml:space="preserve">, C., Monnet, D.L., Strauss, R., Mertens, K., </w:t>
      </w:r>
      <w:r>
        <w:rPr>
          <w:rFonts w:ascii="Arial" w:cs="Arial" w:hAnsi="Arial"/>
          <w:sz w:val="22"/>
          <w:szCs w:val="22"/>
        </w:rPr>
        <w:t>Struyf</w:t>
      </w:r>
      <w:r>
        <w:rPr>
          <w:rFonts w:ascii="Arial" w:cs="Arial" w:hAnsi="Arial"/>
          <w:sz w:val="22"/>
          <w:szCs w:val="22"/>
        </w:rPr>
        <w:t xml:space="preserve">, T., </w:t>
      </w:r>
      <w:r>
        <w:rPr>
          <w:rFonts w:ascii="Arial" w:cs="Arial" w:hAnsi="Arial"/>
          <w:sz w:val="22"/>
          <w:szCs w:val="22"/>
        </w:rPr>
        <w:t>Catry</w:t>
      </w:r>
      <w:r>
        <w:rPr>
          <w:rFonts w:ascii="Arial" w:cs="Arial" w:hAnsi="Arial"/>
          <w:sz w:val="22"/>
          <w:szCs w:val="22"/>
        </w:rPr>
        <w:t xml:space="preserve">, B. and Latour, K. (2019). Attributable deaths and disability-adjusted life-years caused by infections with antibiotic-resistant bacteria in the EU and the European Economic Area in 2015: a population-level modelling analysis. </w:t>
      </w:r>
      <w:r>
        <w:rPr>
          <w:rFonts w:ascii="Arial" w:cs="Arial" w:hAnsi="Arial"/>
          <w:i/>
          <w:iCs/>
          <w:sz w:val="22"/>
          <w:szCs w:val="22"/>
        </w:rPr>
        <w:t>The Lancet Infectious Diseases</w:t>
      </w:r>
      <w:r>
        <w:rPr>
          <w:rFonts w:ascii="Arial" w:cs="Arial" w:hAnsi="Arial"/>
          <w:sz w:val="22"/>
          <w:szCs w:val="22"/>
        </w:rPr>
        <w:t>, [online] 19(1), pp.56–66. doi:https://doi.org/10.1016/s1473-3099(18)30605-4.</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Chakma, S.K., Hossen, S., Rakib, T.M., Hoque, S., Islam, R., Biswas, T., Islam, Z. and Islam, M.M. (2024). Effectiveness of a hand hygiene training intervention in improving knowledge and compliance rate among healthcare workers in a respiratory disease hospital. </w:t>
      </w:r>
      <w:r>
        <w:rPr>
          <w:rFonts w:ascii="Arial" w:cs="Arial" w:hAnsi="Arial"/>
          <w:i/>
          <w:iCs/>
          <w:sz w:val="22"/>
          <w:szCs w:val="22"/>
        </w:rPr>
        <w:t>Heliyon</w:t>
      </w:r>
      <w:r>
        <w:rPr>
          <w:rFonts w:ascii="Arial" w:cs="Arial" w:hAnsi="Arial"/>
          <w:sz w:val="22"/>
          <w:szCs w:val="22"/>
        </w:rPr>
        <w:t>, [online] 10(5), pp.e27286–e27286. doi:https://doi.org/10.1016/j.heliyon.2024.e27286.</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Condon, P., Simpson, J. and Emanuel, M. (2022). Research data integrity: A cornerstone of rigorous and reproducible research. </w:t>
      </w:r>
      <w:r>
        <w:rPr>
          <w:rFonts w:ascii="Arial" w:cs="Arial" w:hAnsi="Arial"/>
          <w:i/>
          <w:iCs/>
          <w:sz w:val="22"/>
          <w:szCs w:val="22"/>
        </w:rPr>
        <w:t>IASSIST Quarterly</w:t>
      </w:r>
      <w:r>
        <w:rPr>
          <w:rFonts w:ascii="Arial" w:cs="Arial" w:hAnsi="Arial"/>
          <w:sz w:val="22"/>
          <w:szCs w:val="22"/>
        </w:rPr>
        <w:t>, [online] 46(3). doi:https://doi.org/10.29173/iq1033.</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Cordeiro, L., </w:t>
      </w:r>
      <w:r>
        <w:rPr>
          <w:rFonts w:ascii="Arial" w:cs="Arial" w:hAnsi="Arial"/>
          <w:sz w:val="22"/>
          <w:szCs w:val="22"/>
        </w:rPr>
        <w:t>Gnatta</w:t>
      </w:r>
      <w:r>
        <w:rPr>
          <w:rFonts w:ascii="Arial" w:cs="Arial" w:hAnsi="Arial"/>
          <w:sz w:val="22"/>
          <w:szCs w:val="22"/>
        </w:rPr>
        <w:t xml:space="preserve">, J.R., Ciofi-Silva, C.L., Price, A., de Oliveira, N.A., Almeida, R.M.A., Mainardi, G.M., Srinivas, S., Chan, W., Levin, A.S.S. and </w:t>
      </w:r>
      <w:r>
        <w:rPr>
          <w:rFonts w:ascii="Arial" w:cs="Arial" w:hAnsi="Arial"/>
          <w:sz w:val="22"/>
          <w:szCs w:val="22"/>
        </w:rPr>
        <w:t>Padoveze</w:t>
      </w:r>
      <w:r>
        <w:rPr>
          <w:rFonts w:ascii="Arial" w:cs="Arial" w:hAnsi="Arial"/>
          <w:sz w:val="22"/>
          <w:szCs w:val="22"/>
        </w:rPr>
        <w:t xml:space="preserve">, M.C. (2022). Personal </w:t>
      </w:r>
      <w:r>
        <w:rPr>
          <w:rFonts w:ascii="Arial" w:cs="Arial" w:hAnsi="Arial"/>
          <w:sz w:val="22"/>
          <w:szCs w:val="22"/>
        </w:rPr>
        <w:t xml:space="preserve">protective equipment implementation in healthcare: A scoping review. </w:t>
      </w:r>
      <w:r>
        <w:rPr>
          <w:rFonts w:ascii="Arial" w:cs="Arial" w:hAnsi="Arial"/>
          <w:i/>
          <w:iCs/>
          <w:sz w:val="22"/>
          <w:szCs w:val="22"/>
        </w:rPr>
        <w:t>American Journal of Infection Control</w:t>
      </w:r>
      <w:r>
        <w:rPr>
          <w:rFonts w:ascii="Arial" w:cs="Arial" w:hAnsi="Arial"/>
          <w:sz w:val="22"/>
          <w:szCs w:val="22"/>
        </w:rPr>
        <w:t>, [online] 50(8), pp.898–905. doi:https://doi.org/10.1016/j.ajic.2022.01.013.</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Gould, D.J., </w:t>
      </w:r>
      <w:r>
        <w:rPr>
          <w:rFonts w:ascii="Arial" w:cs="Arial" w:hAnsi="Arial"/>
          <w:sz w:val="22"/>
          <w:szCs w:val="22"/>
        </w:rPr>
        <w:t>Moralejo</w:t>
      </w:r>
      <w:r>
        <w:rPr>
          <w:rFonts w:ascii="Arial" w:cs="Arial" w:hAnsi="Arial"/>
          <w:sz w:val="22"/>
          <w:szCs w:val="22"/>
        </w:rPr>
        <w:t xml:space="preserve">, D., Drey, N., Chudleigh, J.H. and Taljaard, M. (2017). Interventions to Improve Hand Hygiene Compliance in Patient Care. </w:t>
      </w:r>
      <w:r>
        <w:rPr>
          <w:rFonts w:ascii="Arial" w:cs="Arial" w:hAnsi="Arial"/>
          <w:i/>
          <w:iCs/>
          <w:sz w:val="22"/>
          <w:szCs w:val="22"/>
        </w:rPr>
        <w:t>Cochrane Database of Systematic Reviews</w:t>
      </w:r>
      <w:r>
        <w:rPr>
          <w:rFonts w:ascii="Arial" w:cs="Arial" w:hAnsi="Arial"/>
          <w:sz w:val="22"/>
          <w:szCs w:val="22"/>
        </w:rPr>
        <w:t>, [online] 9(9). doi:https://doi.org/10.1002/14651858.cd005186.pub4.</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GOV.UK (2024). </w:t>
      </w:r>
      <w:r>
        <w:rPr>
          <w:rFonts w:ascii="Arial" w:cs="Arial" w:hAnsi="Arial"/>
          <w:i/>
          <w:iCs/>
          <w:sz w:val="22"/>
          <w:szCs w:val="22"/>
        </w:rPr>
        <w:t>Healthcare-associated infections (HCAI) statistics</w:t>
      </w:r>
      <w:r>
        <w:rPr>
          <w:rFonts w:ascii="Arial" w:cs="Arial" w:hAnsi="Arial"/>
          <w:sz w:val="22"/>
          <w:szCs w:val="22"/>
        </w:rPr>
        <w:t>. [online] GOV.UK. Available at: https://www.gov.uk/government/collections/healthcare-associated-infections-hcai-statistics [Accessed 27 Mar. 2026].</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Harun, M.G.D., Anwar, M.M.U., Sumon, S.A., Mohona, T.M., Hassan, M.Z., Rahman, A., Abdullah, S.A.H.M., Islam, M.S., Oakley, L.P., </w:t>
      </w:r>
      <w:r>
        <w:rPr>
          <w:rFonts w:ascii="Arial" w:cs="Arial" w:hAnsi="Arial"/>
          <w:sz w:val="22"/>
          <w:szCs w:val="22"/>
        </w:rPr>
        <w:t>Malpiedi</w:t>
      </w:r>
      <w:r>
        <w:rPr>
          <w:rFonts w:ascii="Arial" w:cs="Arial" w:hAnsi="Arial"/>
          <w:sz w:val="22"/>
          <w:szCs w:val="22"/>
        </w:rPr>
        <w:t xml:space="preserve">, P., Kaydos-Daniels, S.C. and Styczynski, A.R. (2023). Hand hygiene compliance and associated factors among healthcare workers in selected tertiary-care hospitals in Bangladesh. </w:t>
      </w:r>
      <w:r>
        <w:rPr>
          <w:rFonts w:ascii="Arial" w:cs="Arial" w:hAnsi="Arial"/>
          <w:i/>
          <w:iCs/>
          <w:sz w:val="22"/>
          <w:szCs w:val="22"/>
        </w:rPr>
        <w:t>Journal of Hospital Infection</w:t>
      </w:r>
      <w:r>
        <w:rPr>
          <w:rFonts w:ascii="Arial" w:cs="Arial" w:hAnsi="Arial"/>
          <w:sz w:val="22"/>
          <w:szCs w:val="22"/>
        </w:rPr>
        <w:t>, [online] 139(139), pp.220–227. doi:https://doi.org/10.1016/j.jhin.2023.07.012.</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Justesen, T., Freyberg, J. and Schultz, A.N.Ø. (2021). Database Selection and Data Gathering Methods in Systematic Reviews of Qualitative Research regarding Diabetes Mellitus - an Explorative Study. </w:t>
      </w:r>
      <w:r>
        <w:rPr>
          <w:rFonts w:ascii="Arial" w:cs="Arial" w:hAnsi="Arial"/>
          <w:i/>
          <w:iCs/>
          <w:sz w:val="22"/>
          <w:szCs w:val="22"/>
        </w:rPr>
        <w:t>BMC Medical Research Methodology</w:t>
      </w:r>
      <w:r>
        <w:rPr>
          <w:rFonts w:ascii="Arial" w:cs="Arial" w:hAnsi="Arial"/>
          <w:sz w:val="22"/>
          <w:szCs w:val="22"/>
        </w:rPr>
        <w:t>, [online] 21(1). doi:https://doi.org/10.1186/s12874-021-01281-2.</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Lloyd, R., Munro, J., Evans, K., Gaskin-Williams, A., Hui, A., Pearson, M., Slade, M., Kotera, Y., Day, G., Loughlin-Ridley, J., </w:t>
      </w:r>
      <w:r>
        <w:rPr>
          <w:rFonts w:ascii="Arial" w:cs="Arial" w:hAnsi="Arial"/>
          <w:sz w:val="22"/>
          <w:szCs w:val="22"/>
        </w:rPr>
        <w:t>Enston</w:t>
      </w:r>
      <w:r>
        <w:rPr>
          <w:rFonts w:ascii="Arial" w:cs="Arial" w:hAnsi="Arial"/>
          <w:sz w:val="22"/>
          <w:szCs w:val="22"/>
        </w:rPr>
        <w:t xml:space="preserve">, C. and Rennick-Egglestone, S. (2023). Health service improvement using positive patient feedback: Systematic scoping review. </w:t>
      </w:r>
      <w:r>
        <w:rPr>
          <w:rFonts w:ascii="Arial" w:cs="Arial" w:hAnsi="Arial"/>
          <w:i/>
          <w:iCs/>
          <w:sz w:val="22"/>
          <w:szCs w:val="22"/>
        </w:rPr>
        <w:t>ProQuest</w:t>
      </w:r>
      <w:r>
        <w:rPr>
          <w:rFonts w:ascii="Arial" w:cs="Arial" w:hAnsi="Arial"/>
          <w:sz w:val="22"/>
          <w:szCs w:val="22"/>
        </w:rPr>
        <w:t>, [online] 18(10), p.e0275045. doi:https://doi.org/10.1371/journal.pone.0275045.</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Loveday, H.P., Wilson, J.A., Pratt, R.J., </w:t>
      </w:r>
      <w:r>
        <w:rPr>
          <w:rFonts w:ascii="Arial" w:cs="Arial" w:hAnsi="Arial"/>
          <w:sz w:val="22"/>
          <w:szCs w:val="22"/>
        </w:rPr>
        <w:t>Golsorkhi</w:t>
      </w:r>
      <w:r>
        <w:rPr>
          <w:rFonts w:ascii="Arial" w:cs="Arial" w:hAnsi="Arial"/>
          <w:sz w:val="22"/>
          <w:szCs w:val="22"/>
        </w:rPr>
        <w:t xml:space="preserve">, M., Tingle, A., Bak, A., Browne, J., Prieto, J. and Wilcox, M. (2014). National evidence-based guidelines for preventing healthcare-associated </w:t>
      </w:r>
      <w:r>
        <w:rPr>
          <w:rFonts w:ascii="Arial" w:cs="Arial" w:hAnsi="Arial"/>
          <w:sz w:val="22"/>
          <w:szCs w:val="22"/>
        </w:rPr>
        <w:t xml:space="preserve">infections in NHS hospitals in </w:t>
      </w:r>
      <w:r>
        <w:rPr>
          <w:rFonts w:ascii="Arial" w:cs="Arial" w:hAnsi="Arial"/>
          <w:sz w:val="22"/>
          <w:szCs w:val="22"/>
        </w:rPr>
        <w:t>england</w:t>
      </w:r>
      <w:r>
        <w:rPr>
          <w:rFonts w:ascii="Arial" w:cs="Arial" w:hAnsi="Arial"/>
          <w:sz w:val="22"/>
          <w:szCs w:val="22"/>
        </w:rPr>
        <w:t xml:space="preserve">. </w:t>
      </w:r>
      <w:r>
        <w:rPr>
          <w:rFonts w:ascii="Arial" w:cs="Arial" w:hAnsi="Arial"/>
          <w:i/>
          <w:iCs/>
          <w:sz w:val="22"/>
          <w:szCs w:val="22"/>
        </w:rPr>
        <w:t>Journal of Hospital Infection</w:t>
      </w:r>
      <w:r>
        <w:rPr>
          <w:rFonts w:ascii="Arial" w:cs="Arial" w:hAnsi="Arial"/>
          <w:sz w:val="22"/>
          <w:szCs w:val="22"/>
        </w:rPr>
        <w:t>, [online] 86(1). doi:https://doi.org/10.1016/S0195-6701(13)60012-2.</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Otter, J.A., </w:t>
      </w:r>
      <w:r>
        <w:rPr>
          <w:rFonts w:ascii="Arial" w:cs="Arial" w:hAnsi="Arial"/>
          <w:sz w:val="22"/>
          <w:szCs w:val="22"/>
        </w:rPr>
        <w:t>Yezli</w:t>
      </w:r>
      <w:r>
        <w:rPr>
          <w:rFonts w:ascii="Arial" w:cs="Arial" w:hAnsi="Arial"/>
          <w:sz w:val="22"/>
          <w:szCs w:val="22"/>
        </w:rPr>
        <w:t xml:space="preserve">, S. and French, G.L. (2021). The Role Played by Contaminated Surfaces in the Transmission of Nosocomial Pathogens. </w:t>
      </w:r>
      <w:r>
        <w:rPr>
          <w:rFonts w:ascii="Arial" w:cs="Arial" w:hAnsi="Arial"/>
          <w:i/>
          <w:iCs/>
          <w:sz w:val="22"/>
          <w:szCs w:val="22"/>
        </w:rPr>
        <w:t>Infection Control &amp; Hospital Epidemiology</w:t>
      </w:r>
      <w:r>
        <w:rPr>
          <w:rFonts w:ascii="Arial" w:cs="Arial" w:hAnsi="Arial"/>
          <w:sz w:val="22"/>
          <w:szCs w:val="22"/>
        </w:rPr>
        <w:t>, [online] 32(07), pp.687–699. doi:https://doi.org/10.1086/660363.</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Page, M.J., Moher, D., Bossuyt, P.M., </w:t>
      </w:r>
      <w:r>
        <w:rPr>
          <w:rFonts w:ascii="Arial" w:cs="Arial" w:hAnsi="Arial"/>
          <w:sz w:val="22"/>
          <w:szCs w:val="22"/>
        </w:rPr>
        <w:t>Boutron</w:t>
      </w:r>
      <w:r>
        <w:rPr>
          <w:rFonts w:ascii="Arial" w:cs="Arial" w:hAnsi="Arial"/>
          <w:sz w:val="22"/>
          <w:szCs w:val="22"/>
        </w:rPr>
        <w:t xml:space="preserve">, I., Hoffmann, T.C., Mulrow, C.D., </w:t>
      </w:r>
      <w:r>
        <w:rPr>
          <w:rFonts w:ascii="Arial" w:cs="Arial" w:hAnsi="Arial"/>
          <w:sz w:val="22"/>
          <w:szCs w:val="22"/>
        </w:rPr>
        <w:t>Shamseer</w:t>
      </w:r>
      <w:r>
        <w:rPr>
          <w:rFonts w:ascii="Arial" w:cs="Arial" w:hAnsi="Arial"/>
          <w:sz w:val="22"/>
          <w:szCs w:val="22"/>
        </w:rPr>
        <w:t xml:space="preserve">, L., Tetzlaff, J.M., Akl, E.A., Brennan, S.E., Chou, R., Glanville, J., Grimshaw, J.M., Hróbjartsson, A., Lalu, M.M., Li, T., Loder, E.W., Mayo-Wilson, E., McDonald, S. and McGuinness, L.A. (2021). PRISMA 2020 Explanation and elaboration: Updated Guidance and Exemplars for Reporting Systematic Reviews. </w:t>
      </w:r>
      <w:r>
        <w:rPr>
          <w:rFonts w:ascii="Arial" w:cs="Arial" w:hAnsi="Arial"/>
          <w:i/>
          <w:iCs/>
          <w:sz w:val="22"/>
          <w:szCs w:val="22"/>
        </w:rPr>
        <w:t>British Medical Journal</w:t>
      </w:r>
      <w:r>
        <w:rPr>
          <w:rFonts w:ascii="Arial" w:cs="Arial" w:hAnsi="Arial"/>
          <w:sz w:val="22"/>
          <w:szCs w:val="22"/>
        </w:rPr>
        <w:t>, [online] 372(160). doi:https://doi.org/10.1136/bmj.n160.</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Prabhu, D.J., Munish </w:t>
      </w:r>
      <w:r>
        <w:rPr>
          <w:rFonts w:ascii="Arial" w:cs="Arial" w:hAnsi="Arial"/>
          <w:sz w:val="22"/>
          <w:szCs w:val="22"/>
        </w:rPr>
        <w:t>Palliyalil</w:t>
      </w:r>
      <w:r>
        <w:rPr>
          <w:rFonts w:ascii="Arial" w:cs="Arial" w:hAnsi="Arial"/>
          <w:sz w:val="22"/>
          <w:szCs w:val="22"/>
        </w:rPr>
        <w:t xml:space="preserve"> Kakkolil, Gladston, D.V., Rachel Cherian Koshy, </w:t>
      </w:r>
      <w:r>
        <w:rPr>
          <w:rFonts w:ascii="Arial" w:cs="Arial" w:hAnsi="Arial"/>
          <w:sz w:val="22"/>
          <w:szCs w:val="22"/>
        </w:rPr>
        <w:t>Jagathnath</w:t>
      </w:r>
      <w:r>
        <w:rPr>
          <w:rFonts w:ascii="Arial" w:cs="Arial" w:hAnsi="Arial"/>
          <w:sz w:val="22"/>
          <w:szCs w:val="22"/>
        </w:rPr>
        <w:t xml:space="preserve"> KM Krishna and Mathew, A. (2023). Quality Assessment of Hand Hygiene and Effectiveness of WHO 6 Step Training among Healthcare Personnel in a Tertiary Care Cancer Hospital in Trivandrum, India: A Cross-sectional Study. </w:t>
      </w:r>
      <w:r>
        <w:rPr>
          <w:rFonts w:ascii="Arial" w:cs="Arial" w:hAnsi="Arial"/>
          <w:i/>
          <w:iCs/>
          <w:sz w:val="22"/>
          <w:szCs w:val="22"/>
        </w:rPr>
        <w:t>Journal of Clinical and Diagnostic Research</w:t>
      </w:r>
      <w:r>
        <w:rPr>
          <w:rFonts w:ascii="Arial" w:cs="Arial" w:hAnsi="Arial"/>
          <w:sz w:val="22"/>
          <w:szCs w:val="22"/>
        </w:rPr>
        <w:t xml:space="preserve">. [online] </w:t>
      </w:r>
      <w:r>
        <w:rPr>
          <w:rFonts w:ascii="Arial" w:cs="Arial" w:hAnsi="Arial"/>
          <w:sz w:val="22"/>
          <w:szCs w:val="22"/>
        </w:rPr>
        <w:t>doi:https</w:t>
      </w:r>
      <w:r>
        <w:rPr>
          <w:rFonts w:ascii="Arial" w:cs="Arial" w:hAnsi="Arial"/>
          <w:sz w:val="22"/>
          <w:szCs w:val="22"/>
        </w:rPr>
        <w:t>://doi.org/10.7860/</w:t>
      </w:r>
      <w:r>
        <w:rPr>
          <w:rFonts w:ascii="Arial" w:cs="Arial" w:hAnsi="Arial"/>
          <w:sz w:val="22"/>
          <w:szCs w:val="22"/>
        </w:rPr>
        <w:t>jcdr</w:t>
      </w:r>
      <w:r>
        <w:rPr>
          <w:rFonts w:ascii="Arial" w:cs="Arial" w:hAnsi="Arial"/>
          <w:sz w:val="22"/>
          <w:szCs w:val="22"/>
        </w:rPr>
        <w:t>/2023/63108.18057.</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Punzalan, G. (2021). </w:t>
      </w:r>
      <w:r>
        <w:rPr>
          <w:rFonts w:ascii="Arial" w:cs="Arial" w:hAnsi="Arial"/>
          <w:i/>
          <w:iCs/>
          <w:sz w:val="22"/>
          <w:szCs w:val="22"/>
        </w:rPr>
        <w:t>The financial impact of improved hand hygiene on healthcare-associated infections in the UK</w:t>
      </w:r>
      <w:r>
        <w:rPr>
          <w:rFonts w:ascii="Arial" w:cs="Arial" w:hAnsi="Arial"/>
          <w:sz w:val="22"/>
          <w:szCs w:val="22"/>
        </w:rPr>
        <w:t>. [online] www.cjic.ca. Available at: https://www.cjic.ca/fall-2020/272-the-financial-impact-of-improved-hand-hygiene-on-healthcare-associated-infections-in-the-uk [Accessed 27 Mar. 2026].</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Purushottam, D. (2025). Impact of Hand Hygiene Compliance on Hospital Acquired Infection Rates in A Tertiary Care Hospital. </w:t>
      </w:r>
      <w:r>
        <w:rPr>
          <w:rFonts w:ascii="Arial" w:cs="Arial" w:hAnsi="Arial"/>
          <w:i/>
          <w:iCs/>
          <w:sz w:val="22"/>
          <w:szCs w:val="22"/>
        </w:rPr>
        <w:t>European Journal of Cardiovascular Medicine</w:t>
      </w:r>
      <w:r>
        <w:rPr>
          <w:rFonts w:ascii="Arial" w:cs="Arial" w:hAnsi="Arial"/>
          <w:sz w:val="22"/>
          <w:szCs w:val="22"/>
        </w:rPr>
        <w:t xml:space="preserve">, [online] 15, pp.286–290. </w:t>
      </w:r>
      <w:r>
        <w:rPr>
          <w:rFonts w:ascii="Arial" w:cs="Arial" w:hAnsi="Arial"/>
          <w:sz w:val="22"/>
          <w:szCs w:val="22"/>
        </w:rPr>
        <w:t>doi:https</w:t>
      </w:r>
      <w:r>
        <w:rPr>
          <w:rFonts w:ascii="Arial" w:cs="Arial" w:hAnsi="Arial"/>
          <w:sz w:val="22"/>
          <w:szCs w:val="22"/>
        </w:rPr>
        <w:t>://doi.org/10.5083/</w:t>
      </w:r>
      <w:r>
        <w:rPr>
          <w:rFonts w:ascii="Arial" w:cs="Arial" w:hAnsi="Arial"/>
          <w:sz w:val="22"/>
          <w:szCs w:val="22"/>
        </w:rPr>
        <w:t>ejcm</w:t>
      </w:r>
      <w:r>
        <w:rPr>
          <w:rFonts w:ascii="Arial" w:cs="Arial" w:hAnsi="Arial"/>
          <w:sz w:val="22"/>
          <w:szCs w:val="22"/>
        </w:rPr>
        <w:t>/25-07-52.</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Raghad Batran, Ayed, A., </w:t>
      </w:r>
      <w:r>
        <w:rPr>
          <w:rFonts w:ascii="Arial" w:cs="Arial" w:hAnsi="Arial"/>
          <w:sz w:val="22"/>
          <w:szCs w:val="22"/>
        </w:rPr>
        <w:t>Batran</w:t>
      </w:r>
      <w:r>
        <w:rPr>
          <w:rFonts w:ascii="Arial" w:cs="Arial" w:hAnsi="Arial"/>
          <w:sz w:val="22"/>
          <w:szCs w:val="22"/>
        </w:rPr>
        <w:t xml:space="preserve">, A., Moath Abu Ejheisheh, Bahaa </w:t>
      </w:r>
      <w:r>
        <w:rPr>
          <w:rFonts w:ascii="Arial" w:cs="Arial" w:hAnsi="Arial"/>
          <w:sz w:val="22"/>
          <w:szCs w:val="22"/>
        </w:rPr>
        <w:t>Alassoud</w:t>
      </w:r>
      <w:r>
        <w:rPr>
          <w:rFonts w:ascii="Arial" w:cs="Arial" w:hAnsi="Arial"/>
          <w:sz w:val="22"/>
          <w:szCs w:val="22"/>
        </w:rPr>
        <w:t xml:space="preserve">, Hayek, M.F. and Batran, A. (2025). Determinants of Nurses’ Compliance with Infection Prevention and Control Practices in Critical Care Units. </w:t>
      </w:r>
      <w:r>
        <w:rPr>
          <w:rFonts w:ascii="Arial" w:cs="Arial" w:hAnsi="Arial"/>
          <w:i/>
          <w:iCs/>
          <w:sz w:val="22"/>
          <w:szCs w:val="22"/>
        </w:rPr>
        <w:t>SAGE Open Nursing</w:t>
      </w:r>
      <w:r>
        <w:rPr>
          <w:rFonts w:ascii="Arial" w:cs="Arial" w:hAnsi="Arial"/>
          <w:sz w:val="22"/>
          <w:szCs w:val="22"/>
        </w:rPr>
        <w:t>, [online] 11. doi:https://doi.org/10.1177/23779608251339193.</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Sands, M. and Aunger, R. (2020). Determinants of hand hygiene compliance among nurses in US hospitals: A formative research study. </w:t>
      </w:r>
      <w:r>
        <w:rPr>
          <w:rFonts w:ascii="Arial" w:cs="Arial" w:hAnsi="Arial"/>
          <w:i/>
          <w:iCs/>
          <w:sz w:val="22"/>
          <w:szCs w:val="22"/>
        </w:rPr>
        <w:t>PLOS ONE</w:t>
      </w:r>
      <w:r>
        <w:rPr>
          <w:rFonts w:ascii="Arial" w:cs="Arial" w:hAnsi="Arial"/>
          <w:sz w:val="22"/>
          <w:szCs w:val="22"/>
        </w:rPr>
        <w:t>, [online] 15(4), pp.1–29. doi:https://doi.org/10.1371/journal.pone.0230573.</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Suri, H. (2020). Ethical Considerations of Conducting Systematic Reviews in Educational Research. </w:t>
      </w:r>
      <w:r>
        <w:rPr>
          <w:rFonts w:ascii="Arial" w:cs="Arial" w:hAnsi="Arial"/>
          <w:i/>
          <w:iCs/>
          <w:sz w:val="22"/>
          <w:szCs w:val="22"/>
        </w:rPr>
        <w:t>Systematic Reviews in Educational Research</w:t>
      </w:r>
      <w:r>
        <w:rPr>
          <w:rFonts w:ascii="Arial" w:cs="Arial" w:hAnsi="Arial"/>
          <w:sz w:val="22"/>
          <w:szCs w:val="22"/>
        </w:rPr>
        <w:t>, [online] 1(1), pp.41–54. doi:https://doi.org/10.1007/978-3-658-27602-7_3.</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lang w:val="sv-SE"/>
        </w:rPr>
        <w:t xml:space="preserve">Vanesa, C., Veronika, B., Zuzana, Š., Natália, B. and Jaroslava, S. (2025). </w:t>
      </w:r>
      <w:r>
        <w:rPr>
          <w:rFonts w:ascii="Arial" w:cs="Arial" w:hAnsi="Arial"/>
          <w:sz w:val="22"/>
          <w:szCs w:val="22"/>
        </w:rPr>
        <w:t xml:space="preserve">Impact of the COVID-19 pandemic on alcohol-based hand rub consumption and hand hygiene compliance: a cross-sectional study using digital direct-observation tools in Slovakia. </w:t>
      </w:r>
      <w:r>
        <w:rPr>
          <w:rFonts w:ascii="Arial" w:cs="Arial" w:hAnsi="Arial"/>
          <w:i/>
          <w:iCs/>
          <w:sz w:val="22"/>
          <w:szCs w:val="22"/>
        </w:rPr>
        <w:t>Infection Prevention in Practice</w:t>
      </w:r>
      <w:r>
        <w:rPr>
          <w:rFonts w:ascii="Arial" w:cs="Arial" w:hAnsi="Arial"/>
          <w:sz w:val="22"/>
          <w:szCs w:val="22"/>
        </w:rPr>
        <w:t>, [online] 7(4), p.100481. doi:https://doi.org/10.1016/j.infpip.2025.100481.</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WHO (2022). </w:t>
      </w:r>
      <w:r>
        <w:rPr>
          <w:rFonts w:ascii="Arial" w:cs="Arial" w:hAnsi="Arial"/>
          <w:i/>
          <w:iCs/>
          <w:sz w:val="22"/>
          <w:szCs w:val="22"/>
        </w:rPr>
        <w:t>Hand Hygiene</w:t>
      </w:r>
      <w:r>
        <w:rPr>
          <w:rFonts w:ascii="Arial" w:cs="Arial" w:hAnsi="Arial"/>
          <w:sz w:val="22"/>
          <w:szCs w:val="22"/>
        </w:rPr>
        <w:t>. [online] www.who.int. Available at: https://www.who.int/teams/integrated-health-services/infection-prevention-control/hand-hygiene [Accessed 27 Mar. 2026].</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WHO (2023). </w:t>
      </w:r>
      <w:r>
        <w:rPr>
          <w:rFonts w:ascii="Arial" w:cs="Arial" w:hAnsi="Arial"/>
          <w:i/>
          <w:iCs/>
          <w:sz w:val="22"/>
          <w:szCs w:val="22"/>
        </w:rPr>
        <w:t>Patient safety</w:t>
      </w:r>
      <w:r>
        <w:rPr>
          <w:rFonts w:ascii="Arial" w:cs="Arial" w:hAnsi="Arial"/>
          <w:sz w:val="22"/>
          <w:szCs w:val="22"/>
        </w:rPr>
        <w:t>. [online] World Health Organization. Available at: https://www.who.int/news-room/fact-sheets/detail/patient-safety [Accessed 27 Mar. 2026].</w:t>
      </w:r>
    </w:p>
    <w:p>
      <w:pPr>
        <w:pStyle w:val="style94"/>
        <w:spacing w:before="0" w:beforeAutospacing="false" w:after="240" w:afterAutospacing="false" w:lineRule="auto" w:line="480"/>
        <w:jc w:val="both"/>
        <w:rPr>
          <w:rFonts w:ascii="Arial" w:cs="Arial" w:hAnsi="Arial"/>
          <w:sz w:val="22"/>
          <w:szCs w:val="22"/>
        </w:rPr>
      </w:pPr>
      <w:r>
        <w:rPr>
          <w:rFonts w:ascii="Arial" w:cs="Arial" w:hAnsi="Arial"/>
          <w:sz w:val="22"/>
          <w:szCs w:val="22"/>
        </w:rPr>
        <w:t xml:space="preserve">Zingg, W., Holmes, A., Dettenkofer, M., Goetting, T., </w:t>
      </w:r>
      <w:r>
        <w:rPr>
          <w:rFonts w:ascii="Arial" w:cs="Arial" w:hAnsi="Arial"/>
          <w:sz w:val="22"/>
          <w:szCs w:val="22"/>
        </w:rPr>
        <w:t>Secci</w:t>
      </w:r>
      <w:r>
        <w:rPr>
          <w:rFonts w:ascii="Arial" w:cs="Arial" w:hAnsi="Arial"/>
          <w:sz w:val="22"/>
          <w:szCs w:val="22"/>
        </w:rPr>
        <w:t xml:space="preserve">, F., Clack, L., </w:t>
      </w:r>
      <w:r>
        <w:rPr>
          <w:rFonts w:ascii="Arial" w:cs="Arial" w:hAnsi="Arial"/>
          <w:sz w:val="22"/>
          <w:szCs w:val="22"/>
        </w:rPr>
        <w:t>Allegranzi</w:t>
      </w:r>
      <w:r>
        <w:rPr>
          <w:rFonts w:ascii="Arial" w:cs="Arial" w:hAnsi="Arial"/>
          <w:sz w:val="22"/>
          <w:szCs w:val="22"/>
        </w:rPr>
        <w:t xml:space="preserve">, B., </w:t>
      </w:r>
      <w:r>
        <w:rPr>
          <w:rFonts w:ascii="Arial" w:cs="Arial" w:hAnsi="Arial"/>
          <w:sz w:val="22"/>
          <w:szCs w:val="22"/>
        </w:rPr>
        <w:t>Magiorakos</w:t>
      </w:r>
      <w:r>
        <w:rPr>
          <w:rFonts w:ascii="Arial" w:cs="Arial" w:hAnsi="Arial"/>
          <w:sz w:val="22"/>
          <w:szCs w:val="22"/>
        </w:rPr>
        <w:t xml:space="preserve">, A.-P. and Pittet, D. (2015). Hospital organisation, management, and structure for prevention of health-care-associated infection: a systematic review and expert consensus. </w:t>
      </w:r>
      <w:r>
        <w:rPr>
          <w:rFonts w:ascii="Arial" w:cs="Arial" w:hAnsi="Arial"/>
          <w:i/>
          <w:iCs/>
          <w:sz w:val="22"/>
          <w:szCs w:val="22"/>
        </w:rPr>
        <w:t xml:space="preserve">The </w:t>
      </w:r>
      <w:r>
        <w:rPr>
          <w:rFonts w:ascii="Arial" w:cs="Arial" w:hAnsi="Arial"/>
          <w:i/>
          <w:iCs/>
          <w:sz w:val="22"/>
          <w:szCs w:val="22"/>
        </w:rPr>
        <w:t>Lancet Infectious Diseases</w:t>
      </w:r>
      <w:r>
        <w:rPr>
          <w:rFonts w:ascii="Arial" w:cs="Arial" w:hAnsi="Arial"/>
          <w:sz w:val="22"/>
          <w:szCs w:val="22"/>
        </w:rPr>
        <w:t>, [online] 15(2), pp.212–224. doi:https://doi.org/10.1016/s1473-3099(14)70854-0.</w:t>
      </w:r>
    </w:p>
    <w:p>
      <w:pPr>
        <w:pStyle w:val="style0"/>
        <w:spacing w:after="220" w:lineRule="auto" w:line="480"/>
        <w:jc w:val="both"/>
        <w:rPr/>
      </w:pPr>
    </w:p>
    <w:p>
      <w:pPr>
        <w:pStyle w:val="style0"/>
        <w:spacing w:before="200" w:after="240" w:lineRule="auto" w:line="480"/>
        <w:jc w:val="both"/>
        <w:rPr/>
      </w:pPr>
    </w:p>
    <w:sectPr>
      <w:footerReference w:type="default" r:id="rId3"/>
      <w:pgSz w:w="12240" w:h="15840" w:orient="portrait"/>
      <w:pgMar w:top="1440" w:right="1440" w:bottom="1440" w:left="1440" w:header="720" w:footer="720" w:gutter="0"/>
      <w:pgNumType w:start="1"/>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libri">
    <w:altName w:val="Calibri"/>
    <w:panose1 w:val="020f0502020002030204"/>
    <w:charset w:val="00"/>
    <w:family w:val="swiss"/>
    <w:pitch w:val="variable"/>
    <w:sig w:usb0="E4002EFF" w:usb1="C200247B" w:usb2="00000009" w:usb3="00000000" w:csb0="000001FF" w:csb1="00000000"/>
  </w:font>
  <w:font w:name="SimSun">
    <w:altName w:val="宋体"/>
    <w:panose1 w:val="02010600030001010101"/>
    <w:charset w:val="86"/>
    <w:family w:val="auto"/>
    <w:pitch w:val="variable"/>
    <w:sig w:usb0="00000203" w:usb1="288F0000" w:usb2="00000016" w:usb3="00000000" w:csb0="00040001" w:csb1="00000000"/>
  </w:font>
  <w:font w:name="Shruti">
    <w:altName w:val="Shruti"/>
    <w:panose1 w:val="020b0502040002020203"/>
    <w:charset w:val="00"/>
    <w:family w:val="swiss"/>
    <w:pitch w:val="variable"/>
    <w:sig w:usb0="00040003" w:usb1="00000000" w:usb2="00000000" w:usb3="00000000" w:csb0="00000001" w:csb1="00000000"/>
  </w:font>
  <w:font w:name="Cambria">
    <w:altName w:val="Cambria"/>
    <w:panose1 w:val="02040503050004030204"/>
    <w:charset w:val="00"/>
    <w:family w:val="roman"/>
    <w:pitch w:val="variable"/>
    <w:sig w:usb0="E00006FF" w:usb1="420024FF" w:usb2="02000000" w:usb3="00000000" w:csb0="0000019F" w:csb1="00000000"/>
  </w:font>
  <w:font w:name="Segoe UI Symbol">
    <w:altName w:val="Segoe UI Symbol"/>
    <w:panose1 w:val="020b0502040002020203"/>
    <w:charset w:val="00"/>
    <w:family w:val="swiss"/>
    <w:pitch w:val="variable"/>
    <w:sig w:usb0="800001E3" w:usb1="1200FFEF" w:usb2="00040000" w:usb3="00000000" w:csb0="00000001" w:csb1="00000000"/>
  </w:font>
  <w:font w:name="宋体">
    <w:altName w:val=""/>
    <w:panose1 w:val="00000000000000000000"/>
    <w:charset w:val="00"/>
    <w:family w:val="auto"/>
    <w:pitch w:val="default"/>
    <w:sig w:usb0="E0002AFF" w:usb1="C0007841"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sz w:val="20"/>
      </w:rPr>
    </w:pPr>
    <w:r>
      <w:rPr>
        <w:sz w:val="20"/>
      </w:rPr>
      <w:fldChar w:fldCharType="begin"/>
    </w:r>
    <w:r>
      <w:rPr>
        <w:sz w:val="20"/>
      </w:rPr>
      <w:instrText xml:space="preserve"> PAGE   \* MERGEFORMAT </w:instrText>
    </w:r>
    <w:r>
      <w:rPr>
        <w:sz w:val="20"/>
      </w:rPr>
      <w:fldChar w:fldCharType="separate"/>
    </w:r>
    <w:r>
      <w:rPr>
        <w:noProof/>
        <w:sz w:val="20"/>
      </w:rPr>
      <w:t>1</w:t>
    </w:r>
    <w:r>
      <w:rPr>
        <w:noProof/>
        <w:sz w:val="20"/>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B9AED4D6"/>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00000001"/>
    <w:multiLevelType w:val="hybridMultilevel"/>
    <w:tmpl w:val="00000000"/>
    <w:lvl w:ilvl="0" w:tplc="735034CE">
      <w:start w:val="1"/>
      <w:numFmt w:val="bullet"/>
      <w:lvlText w:val="●"/>
      <w:lvlJc w:val="left"/>
      <w:pPr>
        <w:ind w:left="720" w:hanging="360"/>
      </w:pPr>
      <w:rPr>
        <w:u w:val="none"/>
      </w:rPr>
    </w:lvl>
    <w:lvl w:ilvl="1" w:tplc="11CE5D5E">
      <w:start w:val="1"/>
      <w:numFmt w:val="bullet"/>
      <w:lvlText w:val="○"/>
      <w:lvlJc w:val="left"/>
      <w:pPr>
        <w:ind w:left="1440" w:hanging="360"/>
      </w:pPr>
      <w:rPr>
        <w:u w:val="none"/>
      </w:rPr>
    </w:lvl>
    <w:lvl w:ilvl="2" w:tplc="5A8039EC">
      <w:start w:val="1"/>
      <w:numFmt w:val="bullet"/>
      <w:lvlText w:val="■"/>
      <w:lvlJc w:val="left"/>
      <w:pPr>
        <w:ind w:left="2160" w:hanging="360"/>
      </w:pPr>
      <w:rPr>
        <w:u w:val="none"/>
      </w:rPr>
    </w:lvl>
    <w:lvl w:ilvl="3" w:tplc="9CE6895E">
      <w:start w:val="1"/>
      <w:numFmt w:val="bullet"/>
      <w:lvlText w:val="●"/>
      <w:lvlJc w:val="left"/>
      <w:pPr>
        <w:ind w:left="2880" w:hanging="360"/>
      </w:pPr>
      <w:rPr>
        <w:u w:val="none"/>
      </w:rPr>
    </w:lvl>
    <w:lvl w:ilvl="4" w:tplc="64186D4C">
      <w:start w:val="1"/>
      <w:numFmt w:val="bullet"/>
      <w:lvlText w:val="○"/>
      <w:lvlJc w:val="left"/>
      <w:pPr>
        <w:ind w:left="3600" w:hanging="360"/>
      </w:pPr>
      <w:rPr>
        <w:u w:val="none"/>
      </w:rPr>
    </w:lvl>
    <w:lvl w:ilvl="5" w:tplc="57C6A2AC">
      <w:start w:val="1"/>
      <w:numFmt w:val="bullet"/>
      <w:lvlText w:val="■"/>
      <w:lvlJc w:val="left"/>
      <w:pPr>
        <w:ind w:left="4320" w:hanging="360"/>
      </w:pPr>
      <w:rPr>
        <w:u w:val="none"/>
      </w:rPr>
    </w:lvl>
    <w:lvl w:ilvl="6" w:tplc="418C0672">
      <w:start w:val="1"/>
      <w:numFmt w:val="bullet"/>
      <w:lvlText w:val="●"/>
      <w:lvlJc w:val="left"/>
      <w:pPr>
        <w:ind w:left="5040" w:hanging="360"/>
      </w:pPr>
      <w:rPr>
        <w:u w:val="none"/>
      </w:rPr>
    </w:lvl>
    <w:lvl w:ilvl="7" w:tplc="8BF262A8">
      <w:start w:val="1"/>
      <w:numFmt w:val="bullet"/>
      <w:lvlText w:val="○"/>
      <w:lvlJc w:val="left"/>
      <w:pPr>
        <w:ind w:left="5760" w:hanging="360"/>
      </w:pPr>
      <w:rPr>
        <w:u w:val="none"/>
      </w:rPr>
    </w:lvl>
    <w:lvl w:ilvl="8" w:tplc="3F5E89B2">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14"/>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gu-IN"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bidi="ar-SA" w:eastAsia="en-US"/>
      </w:rPr>
    </w:rPrDefault>
    <w:pPrDefault>
      <w:pPr>
        <w:spacing w:lineRule="auto" w:line="276"/>
      </w:pPr>
    </w:pPrDefault>
  </w:docDefaults>
  <w:style w:type="paragraph" w:default="1" w:styleId="style0">
    <w:name w:val="Normal"/>
    <w:next w:val="style0"/>
    <w:pPr/>
  </w:style>
  <w:style w:type="paragraph" w:styleId="style1">
    <w:name w:val="heading 1"/>
    <w:basedOn w:val="style0"/>
    <w:next w:val="style0"/>
    <w:pPr>
      <w:keepNext/>
      <w:keepLines/>
      <w:spacing w:lineRule="auto" w:line="480"/>
      <w:jc w:val="both"/>
      <w:outlineLvl w:val="0"/>
    </w:pPr>
    <w:rPr>
      <w:b/>
      <w:bCs/>
      <w:sz w:val="28"/>
      <w:szCs w:val="28"/>
    </w:rPr>
  </w:style>
  <w:style w:type="paragraph" w:styleId="style2">
    <w:name w:val="heading 2"/>
    <w:basedOn w:val="style0"/>
    <w:next w:val="style0"/>
    <w:pPr>
      <w:keepNext/>
      <w:keepLines/>
      <w:spacing w:before="360" w:after="120"/>
      <w:outlineLvl w:val="1"/>
    </w:pPr>
    <w:rPr>
      <w:b/>
      <w:sz w:val="24"/>
      <w:szCs w:val="32"/>
    </w:rPr>
  </w:style>
  <w:style w:type="paragraph" w:styleId="style3">
    <w:name w:val="heading 3"/>
    <w:basedOn w:val="style0"/>
    <w:next w:val="style0"/>
    <w:pPr>
      <w:keepNext/>
      <w:keepLines/>
      <w:spacing w:before="320" w:after="80"/>
      <w:outlineLvl w:val="2"/>
    </w:pPr>
    <w:rPr>
      <w:color w:val="434343"/>
      <w:sz w:val="28"/>
      <w:szCs w:val="28"/>
    </w:rPr>
  </w:style>
  <w:style w:type="paragraph" w:styleId="style4">
    <w:name w:val="heading 4"/>
    <w:basedOn w:val="style0"/>
    <w:next w:val="style0"/>
    <w:pPr>
      <w:keepNext/>
      <w:keepLines/>
      <w:spacing w:before="280" w:after="80"/>
      <w:outlineLvl w:val="3"/>
    </w:pPr>
    <w:rPr>
      <w:color w:val="666666"/>
      <w:sz w:val="24"/>
      <w:szCs w:val="24"/>
    </w:rPr>
  </w:style>
  <w:style w:type="paragraph" w:styleId="style5">
    <w:name w:val="heading 5"/>
    <w:basedOn w:val="style0"/>
    <w:next w:val="style0"/>
    <w:pPr>
      <w:keepNext/>
      <w:keepLines/>
      <w:spacing w:before="240" w:after="80"/>
      <w:outlineLvl w:val="4"/>
    </w:pPr>
    <w:rPr>
      <w:color w:val="666666"/>
    </w:rPr>
  </w:style>
  <w:style w:type="paragraph" w:styleId="style6">
    <w:name w:val="heading 6"/>
    <w:basedOn w:val="style0"/>
    <w:next w:val="style0"/>
    <w:pPr>
      <w:keepNext/>
      <w:keepLines/>
      <w:spacing w:before="240" w:after="80"/>
      <w:outlineLvl w:val="5"/>
    </w:pPr>
    <w:rPr>
      <w:i/>
      <w:iCs/>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pPr>
      <w:keepNext/>
      <w:keepLines/>
      <w:spacing w:after="60"/>
    </w:pPr>
    <w:rPr>
      <w:sz w:val="52"/>
      <w:szCs w:val="52"/>
    </w:rPr>
  </w:style>
  <w:style w:type="paragraph" w:styleId="style74">
    <w:name w:val="Subtitle"/>
    <w:basedOn w:val="style0"/>
    <w:next w:val="style0"/>
    <w:pPr>
      <w:keepNext/>
      <w:keepLines/>
      <w:spacing w:after="320"/>
    </w:pPr>
    <w:rPr>
      <w:color w:val="666666"/>
      <w:sz w:val="30"/>
      <w:szCs w:val="30"/>
    </w:rPr>
  </w:style>
  <w:style w:type="table" w:customStyle="1" w:styleId="style4098">
    <w:name w:val="Table1"/>
    <w:basedOn w:val="style4097"/>
    <w:next w:val="style4098"/>
    <w:pPr/>
    <w:rPr/>
    <w:tblPr>
      <w:tblStyleRowBandSize w:val="1"/>
      <w:tblStyleColBandSize w:val="1"/>
    </w:tblPr>
    <w:tcPr>
      <w:tcBorders/>
    </w:tcPr>
  </w:style>
  <w:style w:type="table" w:customStyle="1" w:styleId="style4099">
    <w:name w:val="Table2"/>
    <w:basedOn w:val="style4097"/>
    <w:next w:val="style4099"/>
    <w:pPr/>
    <w:rPr/>
    <w:tblPr>
      <w:tblStyleRowBandSize w:val="1"/>
      <w:tblStyleColBandSize w:val="1"/>
    </w:tblPr>
    <w:tcPr>
      <w:tcBorders/>
    </w:tcPr>
  </w:style>
  <w:style w:type="paragraph" w:styleId="style153">
    <w:name w:val="Balloon Text"/>
    <w:basedOn w:val="style0"/>
    <w:next w:val="style153"/>
    <w:link w:val="style4100"/>
    <w:uiPriority w:val="99"/>
    <w:pPr>
      <w:spacing w:lineRule="auto" w:line="240"/>
    </w:pPr>
    <w:rPr>
      <w:rFonts w:ascii="Tahoma" w:cs="Tahoma" w:hAnsi="Tahoma"/>
      <w:sz w:val="16"/>
      <w:szCs w:val="16"/>
    </w:rPr>
  </w:style>
  <w:style w:type="character" w:customStyle="1" w:styleId="style4100">
    <w:name w:val="Balloon Text Char"/>
    <w:basedOn w:val="style65"/>
    <w:next w:val="style4100"/>
    <w:link w:val="style153"/>
    <w:uiPriority w:val="99"/>
    <w:rPr>
      <w:rFonts w:ascii="Tahoma" w:cs="Tahoma" w:hAnsi="Tahoma"/>
      <w:sz w:val="16"/>
      <w:szCs w:val="16"/>
    </w:rPr>
  </w:style>
  <w:style w:type="paragraph" w:styleId="style31">
    <w:name w:val="header"/>
    <w:basedOn w:val="style0"/>
    <w:next w:val="style31"/>
    <w:link w:val="style4101"/>
    <w:uiPriority w:val="99"/>
    <w:pPr>
      <w:tabs>
        <w:tab w:val="center" w:leader="none" w:pos="4513"/>
        <w:tab w:val="right" w:leader="none" w:pos="9026"/>
      </w:tabs>
      <w:spacing w:lineRule="auto" w:line="240"/>
    </w:pPr>
    <w:rPr/>
  </w:style>
  <w:style w:type="character" w:customStyle="1" w:styleId="style4101">
    <w:name w:val="Header Char_b35f16e5-8a32-451a-aef1-817dccdfdac9"/>
    <w:basedOn w:val="style65"/>
    <w:next w:val="style4101"/>
    <w:link w:val="style31"/>
    <w:uiPriority w:val="99"/>
  </w:style>
  <w:style w:type="paragraph" w:styleId="style32">
    <w:name w:val="footer"/>
    <w:basedOn w:val="style0"/>
    <w:next w:val="style32"/>
    <w:link w:val="style4102"/>
    <w:uiPriority w:val="99"/>
    <w:pPr>
      <w:tabs>
        <w:tab w:val="center" w:leader="none" w:pos="4513"/>
        <w:tab w:val="right" w:leader="none" w:pos="9026"/>
      </w:tabs>
      <w:spacing w:lineRule="auto" w:line="240"/>
    </w:pPr>
    <w:rPr/>
  </w:style>
  <w:style w:type="character" w:customStyle="1" w:styleId="style4102">
    <w:name w:val="Footer Char_8fbca02f-bd30-4229-bfbe-ec291d03ce85"/>
    <w:basedOn w:val="style65"/>
    <w:next w:val="style4102"/>
    <w:link w:val="style32"/>
    <w:uiPriority w:val="99"/>
  </w:style>
  <w:style w:type="paragraph" w:styleId="style266">
    <w:name w:val="TOC Heading"/>
    <w:basedOn w:val="style1"/>
    <w:next w:val="style0"/>
    <w:qFormat/>
    <w:uiPriority w:val="39"/>
    <w:pPr>
      <w:spacing w:before="480" w:lineRule="auto" w:line="276"/>
      <w:jc w:val="left"/>
      <w:outlineLvl w:val="9"/>
    </w:pPr>
    <w:rPr>
      <w:rFonts w:ascii="Calibri" w:cs="Shruti" w:eastAsia="宋体" w:hAnsi="Calibri"/>
      <w:color w:val="365f91"/>
      <w:lang w:val="en-US" w:eastAsia="ja-JP"/>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lang w:val="en-GB" w:eastAsia="en-GB"/>
    </w:rPr>
  </w:style>
  <w:style w:type="paragraph" w:styleId="style179">
    <w:name w:val="List Paragraph"/>
    <w:basedOn w:val="style0"/>
    <w:next w:val="style179"/>
    <w:qFormat/>
    <w:uiPriority w:val="34"/>
    <w:pPr>
      <w:ind w:left="720"/>
      <w:contextualSpacing/>
    </w:pPr>
    <w:rPr/>
  </w:style>
  <w:style w:type="paragraph" w:styleId="style20">
    <w:name w:val="toc 2"/>
    <w:basedOn w:val="style0"/>
    <w:next w:val="style0"/>
    <w:uiPriority w:val="39"/>
    <w:pPr>
      <w:spacing w:after="100"/>
      <w:ind w:left="220"/>
    </w:pPr>
    <w:rPr/>
  </w:style>
  <w:style w:type="table" w:styleId="style154">
    <w:name w:val="Table Grid"/>
    <w:basedOn w:val="style105"/>
    <w:next w:val="style154"/>
    <w:uiPriority w:val="59"/>
    <w:pPr>
      <w:spacing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4CD0FB-678D-4F01-A7A9-9F99002FB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Words>3612</Words>
  <Pages>18</Pages>
  <Characters>22628</Characters>
  <Application>WPS Office</Application>
  <DocSecurity>0</DocSecurity>
  <Paragraphs>218</Paragraphs>
  <ScaleCrop>false</ScaleCrop>
  <LinksUpToDate>false</LinksUpToDate>
  <CharactersWithSpaces>26124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2026-03-27T12:37:00Z</dcterms:created>
  <dc:creator>WPS Office</dc:creator>
  <lastModifiedBy>DN2101</lastModifiedBy>
  <dcterms:modified xsi:type="dcterms:W3CDTF">2026-04-20T15:39:30Z</dcterms:modified>
  <revision>38</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67b2ba5b738a4b97a46e1f430b6a1da0</vt:lpwstr>
  </property>
</Properties>
</file>