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081B1" w14:textId="1C47AD9D" w:rsidR="00BF7F16" w:rsidRPr="00BB5A76" w:rsidRDefault="00EC02EB" w:rsidP="00BB5A76">
      <w:pPr>
        <w:rPr>
          <w:rFonts w:ascii="Trebuchet MS" w:hAnsi="Trebuchet MS"/>
          <w:color w:val="0070C0"/>
          <w:sz w:val="28"/>
          <w:szCs w:val="28"/>
        </w:rPr>
      </w:pPr>
      <w:r w:rsidRPr="00BB5A76">
        <w:rPr>
          <w:rFonts w:ascii="Trebuchet MS" w:hAnsi="Trebuchet MS"/>
          <w:color w:val="0070C0"/>
          <w:sz w:val="28"/>
          <w:szCs w:val="28"/>
        </w:rPr>
        <w:t>Part 1</w:t>
      </w:r>
    </w:p>
    <w:p w14:paraId="4B75F867" w14:textId="77777777" w:rsidR="00BB5A76" w:rsidRDefault="00BB5A76" w:rsidP="00BB5A76">
      <w:pPr>
        <w:rPr>
          <w:rFonts w:ascii="Trebuchet MS" w:hAnsi="Trebuchet MS"/>
        </w:rPr>
      </w:pPr>
    </w:p>
    <w:p w14:paraId="140AC76B" w14:textId="6653EFC8" w:rsidR="00BF7F16" w:rsidRPr="00BF7F16" w:rsidRDefault="00BF7F16" w:rsidP="00BF7F16">
      <w:pPr>
        <w:pStyle w:val="Nornal"/>
        <w:rPr>
          <w:rFonts w:ascii="Trebuchet MS" w:hAnsi="Trebuchet MS"/>
          <w:b/>
          <w:bCs/>
        </w:rPr>
      </w:pPr>
      <w:r>
        <w:rPr>
          <w:rFonts w:ascii="Trebuchet MS" w:hAnsi="Trebuchet MS"/>
          <w:b/>
          <w:bCs/>
        </w:rPr>
        <w:t xml:space="preserve">(AC 1.1) </w:t>
      </w:r>
      <w:r w:rsidRPr="00BF7F16">
        <w:rPr>
          <w:rFonts w:ascii="Trebuchet MS" w:hAnsi="Trebuchet MS"/>
          <w:b/>
          <w:bCs/>
        </w:rPr>
        <w:t>Evidence-Based Practice</w:t>
      </w:r>
    </w:p>
    <w:p w14:paraId="6B7F4151" w14:textId="7F419FDC" w:rsidR="00BF7F16" w:rsidRPr="00BF7F16" w:rsidRDefault="00BF7F16" w:rsidP="00BF7F16">
      <w:pPr>
        <w:pStyle w:val="Nornal"/>
        <w:rPr>
          <w:rFonts w:ascii="Trebuchet MS" w:hAnsi="Trebuchet MS"/>
        </w:rPr>
      </w:pPr>
      <w:r w:rsidRPr="00BF7F16">
        <w:rPr>
          <w:rFonts w:ascii="Trebuchet MS" w:hAnsi="Trebuchet MS"/>
        </w:rPr>
        <w:t>Evidence-based practice (EBP) refers to a decision-making approach that integrates the best available evidence, practitioner expertise, and stakeholder values to inform and guide practices within organi</w:t>
      </w:r>
      <w:r w:rsidR="00DB4862">
        <w:rPr>
          <w:rFonts w:ascii="Trebuchet MS" w:hAnsi="Trebuchet MS"/>
        </w:rPr>
        <w:t>s</w:t>
      </w:r>
      <w:r w:rsidRPr="00BF7F16">
        <w:rPr>
          <w:rFonts w:ascii="Trebuchet MS" w:hAnsi="Trebuchet MS"/>
        </w:rPr>
        <w:t>ations</w:t>
      </w:r>
      <w:r w:rsidR="00627496">
        <w:rPr>
          <w:rFonts w:ascii="Trebuchet MS" w:hAnsi="Trebuchet MS"/>
        </w:rPr>
        <w:t xml:space="preserve"> </w:t>
      </w:r>
      <w:r w:rsidR="00627496" w:rsidRPr="00627496">
        <w:rPr>
          <w:rFonts w:ascii="Trebuchet MS" w:hAnsi="Trebuchet MS"/>
        </w:rPr>
        <w:t>(CIPD, 2023)</w:t>
      </w:r>
      <w:r w:rsidRPr="00BF7F16">
        <w:rPr>
          <w:rFonts w:ascii="Trebuchet MS" w:hAnsi="Trebuchet MS"/>
        </w:rPr>
        <w:t xml:space="preserve">. </w:t>
      </w:r>
      <w:r w:rsidR="00627496">
        <w:rPr>
          <w:rFonts w:ascii="Trebuchet MS" w:hAnsi="Trebuchet MS"/>
        </w:rPr>
        <w:t>According to Rob Briner (2014), i</w:t>
      </w:r>
      <w:r w:rsidRPr="00BF7F16">
        <w:rPr>
          <w:rFonts w:ascii="Trebuchet MS" w:hAnsi="Trebuchet MS"/>
        </w:rPr>
        <w:t xml:space="preserve">t emerged from </w:t>
      </w:r>
      <w:r w:rsidR="00627496">
        <w:rPr>
          <w:rFonts w:ascii="Trebuchet MS" w:hAnsi="Trebuchet MS"/>
        </w:rPr>
        <w:t>other professional</w:t>
      </w:r>
      <w:r w:rsidRPr="00BF7F16">
        <w:rPr>
          <w:rFonts w:ascii="Trebuchet MS" w:hAnsi="Trebuchet MS"/>
        </w:rPr>
        <w:t xml:space="preserve"> field</w:t>
      </w:r>
      <w:r w:rsidR="00627496">
        <w:rPr>
          <w:rFonts w:ascii="Trebuchet MS" w:hAnsi="Trebuchet MS"/>
        </w:rPr>
        <w:t>s such as</w:t>
      </w:r>
      <w:r w:rsidRPr="00BF7F16">
        <w:rPr>
          <w:rFonts w:ascii="Trebuchet MS" w:hAnsi="Trebuchet MS"/>
        </w:rPr>
        <w:t xml:space="preserve"> medicine</w:t>
      </w:r>
      <w:r w:rsidR="00627496">
        <w:rPr>
          <w:rFonts w:ascii="Trebuchet MS" w:hAnsi="Trebuchet MS"/>
        </w:rPr>
        <w:t xml:space="preserve"> and policing</w:t>
      </w:r>
      <w:r w:rsidRPr="00BF7F16">
        <w:rPr>
          <w:rFonts w:ascii="Trebuchet MS" w:hAnsi="Trebuchet MS"/>
        </w:rPr>
        <w:t xml:space="preserve"> but has since been adapted across various disciplines, including management and human resources. EBP promotes rational, transparent, and effective solutions by systematically gathering and </w:t>
      </w:r>
      <w:r w:rsidR="00627496" w:rsidRPr="00BF7F16">
        <w:rPr>
          <w:rFonts w:ascii="Trebuchet MS" w:hAnsi="Trebuchet MS"/>
        </w:rPr>
        <w:t>analysing</w:t>
      </w:r>
      <w:r w:rsidRPr="00BF7F16">
        <w:rPr>
          <w:rFonts w:ascii="Trebuchet MS" w:hAnsi="Trebuchet MS"/>
        </w:rPr>
        <w:t xml:space="preserve"> data to address specific challenges or opportunities.</w:t>
      </w:r>
      <w:r w:rsidR="00627496">
        <w:rPr>
          <w:rFonts w:ascii="Trebuchet MS" w:hAnsi="Trebuchet MS"/>
        </w:rPr>
        <w:t xml:space="preserve"> </w:t>
      </w:r>
    </w:p>
    <w:p w14:paraId="0BF9B46B" w14:textId="06A3FEC6" w:rsidR="00BF7F16" w:rsidRPr="00BF7F16" w:rsidRDefault="00BF7F16" w:rsidP="00BF7F16">
      <w:pPr>
        <w:pStyle w:val="Nornal"/>
        <w:rPr>
          <w:rFonts w:ascii="Trebuchet MS" w:hAnsi="Trebuchet MS"/>
        </w:rPr>
      </w:pPr>
      <w:r w:rsidRPr="00BF7F16">
        <w:rPr>
          <w:rFonts w:ascii="Trebuchet MS" w:hAnsi="Trebuchet MS"/>
        </w:rPr>
        <w:t>One of the core principles of EBP is the reliance on multiple sources of evidence. According to Briner, Denyer, and Rousseau (2009), these sources include scientific research, organi</w:t>
      </w:r>
      <w:r w:rsidR="005557D7">
        <w:rPr>
          <w:rFonts w:ascii="Trebuchet MS" w:hAnsi="Trebuchet MS"/>
        </w:rPr>
        <w:t>s</w:t>
      </w:r>
      <w:r w:rsidRPr="00BF7F16">
        <w:rPr>
          <w:rFonts w:ascii="Trebuchet MS" w:hAnsi="Trebuchet MS"/>
        </w:rPr>
        <w:t>ational data, professional expertise, and stakeholder perspectives. This multidimensional approach ensures decisions are well-rounded, contextually relevant, and tailored to the organi</w:t>
      </w:r>
      <w:r w:rsidR="005557D7">
        <w:rPr>
          <w:rFonts w:ascii="Trebuchet MS" w:hAnsi="Trebuchet MS"/>
        </w:rPr>
        <w:t>s</w:t>
      </w:r>
      <w:r w:rsidRPr="00BF7F16">
        <w:rPr>
          <w:rFonts w:ascii="Trebuchet MS" w:hAnsi="Trebuchet MS"/>
        </w:rPr>
        <w:t>ation’s unique environment. For example, when addressing employee turnover, organi</w:t>
      </w:r>
      <w:r w:rsidR="005557D7">
        <w:rPr>
          <w:rFonts w:ascii="Trebuchet MS" w:hAnsi="Trebuchet MS"/>
        </w:rPr>
        <w:t>s</w:t>
      </w:r>
      <w:r w:rsidRPr="00BF7F16">
        <w:rPr>
          <w:rFonts w:ascii="Trebuchet MS" w:hAnsi="Trebuchet MS"/>
        </w:rPr>
        <w:t>ations may use internal metrics such as exit interview data</w:t>
      </w:r>
      <w:r w:rsidR="005557D7">
        <w:rPr>
          <w:rFonts w:ascii="Trebuchet MS" w:hAnsi="Trebuchet MS"/>
        </w:rPr>
        <w:t xml:space="preserve"> and employee surveys</w:t>
      </w:r>
      <w:r w:rsidRPr="00BF7F16">
        <w:rPr>
          <w:rFonts w:ascii="Trebuchet MS" w:hAnsi="Trebuchet MS"/>
        </w:rPr>
        <w:t xml:space="preserve"> alongside external research</w:t>
      </w:r>
      <w:r w:rsidR="000C1810">
        <w:rPr>
          <w:rFonts w:ascii="Trebuchet MS" w:hAnsi="Trebuchet MS"/>
        </w:rPr>
        <w:t xml:space="preserve"> or professional advice</w:t>
      </w:r>
      <w:r w:rsidRPr="00BF7F16">
        <w:rPr>
          <w:rFonts w:ascii="Trebuchet MS" w:hAnsi="Trebuchet MS"/>
        </w:rPr>
        <w:t xml:space="preserve"> on effective retention strategies to develop interventions.</w:t>
      </w:r>
    </w:p>
    <w:p w14:paraId="058B273E" w14:textId="281ED070" w:rsidR="00BF7F16" w:rsidRPr="00BF7F16" w:rsidRDefault="00BF7F16" w:rsidP="00BF7F16">
      <w:pPr>
        <w:pStyle w:val="Nornal"/>
        <w:rPr>
          <w:rFonts w:ascii="Trebuchet MS" w:hAnsi="Trebuchet MS"/>
        </w:rPr>
      </w:pPr>
      <w:r w:rsidRPr="00BF7F16">
        <w:rPr>
          <w:rFonts w:ascii="Trebuchet MS" w:hAnsi="Trebuchet MS"/>
        </w:rPr>
        <w:t>The 6 A's mechanism provides a structured framework for applying EBP: Ask, Acquire, Appraise, Aggregate, Apply, and Assess</w:t>
      </w:r>
      <w:r w:rsidR="005D7CD5">
        <w:rPr>
          <w:rFonts w:ascii="Trebuchet MS" w:hAnsi="Trebuchet MS"/>
        </w:rPr>
        <w:t xml:space="preserve"> </w:t>
      </w:r>
      <w:r w:rsidR="005D7CD5" w:rsidRPr="005D7CD5">
        <w:rPr>
          <w:rFonts w:ascii="Trebuchet MS" w:hAnsi="Trebuchet MS"/>
        </w:rPr>
        <w:t>(CIPD, 2023a)</w:t>
      </w:r>
      <w:r w:rsidRPr="00BF7F16">
        <w:rPr>
          <w:rFonts w:ascii="Trebuchet MS" w:hAnsi="Trebuchet MS"/>
        </w:rPr>
        <w:t xml:space="preserve">. First, practitioners </w:t>
      </w:r>
      <w:r w:rsidR="000C1810" w:rsidRPr="000C1810">
        <w:rPr>
          <w:rFonts w:ascii="Trebuchet MS" w:hAnsi="Trebuchet MS"/>
          <w:b/>
          <w:bCs/>
        </w:rPr>
        <w:t>a</w:t>
      </w:r>
      <w:r w:rsidRPr="00BF7F16">
        <w:rPr>
          <w:rFonts w:ascii="Trebuchet MS" w:hAnsi="Trebuchet MS"/>
          <w:b/>
          <w:bCs/>
        </w:rPr>
        <w:t>sk</w:t>
      </w:r>
      <w:r w:rsidRPr="00BF7F16">
        <w:rPr>
          <w:rFonts w:ascii="Trebuchet MS" w:hAnsi="Trebuchet MS"/>
        </w:rPr>
        <w:t xml:space="preserve"> clear, focused questions to identify the problem. They then </w:t>
      </w:r>
      <w:r w:rsidR="000C1810" w:rsidRPr="000C1810">
        <w:rPr>
          <w:rFonts w:ascii="Trebuchet MS" w:hAnsi="Trebuchet MS"/>
          <w:b/>
          <w:bCs/>
        </w:rPr>
        <w:t>a</w:t>
      </w:r>
      <w:r w:rsidRPr="00BF7F16">
        <w:rPr>
          <w:rFonts w:ascii="Trebuchet MS" w:hAnsi="Trebuchet MS"/>
          <w:b/>
          <w:bCs/>
        </w:rPr>
        <w:t>cquire</w:t>
      </w:r>
      <w:r w:rsidRPr="00BF7F16">
        <w:rPr>
          <w:rFonts w:ascii="Trebuchet MS" w:hAnsi="Trebuchet MS"/>
        </w:rPr>
        <w:t xml:space="preserve"> relevant evidence from credible sources, followed by </w:t>
      </w:r>
      <w:r w:rsidR="000C1810" w:rsidRPr="000C1810">
        <w:rPr>
          <w:rFonts w:ascii="Trebuchet MS" w:hAnsi="Trebuchet MS"/>
          <w:b/>
          <w:bCs/>
        </w:rPr>
        <w:t>a</w:t>
      </w:r>
      <w:r w:rsidRPr="00BF7F16">
        <w:rPr>
          <w:rFonts w:ascii="Trebuchet MS" w:hAnsi="Trebuchet MS"/>
          <w:b/>
          <w:bCs/>
        </w:rPr>
        <w:t>ppraising</w:t>
      </w:r>
      <w:r w:rsidRPr="00BF7F16">
        <w:rPr>
          <w:rFonts w:ascii="Trebuchet MS" w:hAnsi="Trebuchet MS"/>
        </w:rPr>
        <w:t xml:space="preserve"> the quality and relevance of the evidence. Next, they </w:t>
      </w:r>
      <w:r w:rsidR="000C1810" w:rsidRPr="000C1810">
        <w:rPr>
          <w:rFonts w:ascii="Trebuchet MS" w:hAnsi="Trebuchet MS"/>
          <w:b/>
          <w:bCs/>
        </w:rPr>
        <w:t>a</w:t>
      </w:r>
      <w:r w:rsidRPr="00BF7F16">
        <w:rPr>
          <w:rFonts w:ascii="Trebuchet MS" w:hAnsi="Trebuchet MS"/>
          <w:b/>
          <w:bCs/>
        </w:rPr>
        <w:t>ggregate</w:t>
      </w:r>
      <w:r w:rsidRPr="00BF7F16">
        <w:rPr>
          <w:rFonts w:ascii="Trebuchet MS" w:hAnsi="Trebuchet MS"/>
        </w:rPr>
        <w:t xml:space="preserve"> insights from various sources, </w:t>
      </w:r>
      <w:r w:rsidR="000C1810" w:rsidRPr="000C1810">
        <w:rPr>
          <w:rFonts w:ascii="Trebuchet MS" w:hAnsi="Trebuchet MS"/>
          <w:b/>
          <w:bCs/>
        </w:rPr>
        <w:t>a</w:t>
      </w:r>
      <w:r w:rsidRPr="00BF7F16">
        <w:rPr>
          <w:rFonts w:ascii="Trebuchet MS" w:hAnsi="Trebuchet MS"/>
          <w:b/>
          <w:bCs/>
        </w:rPr>
        <w:t>pply</w:t>
      </w:r>
      <w:r w:rsidRPr="00BF7F16">
        <w:rPr>
          <w:rFonts w:ascii="Trebuchet MS" w:hAnsi="Trebuchet MS"/>
        </w:rPr>
        <w:t xml:space="preserve"> the findings to the organi</w:t>
      </w:r>
      <w:r w:rsidR="000C1810">
        <w:rPr>
          <w:rFonts w:ascii="Trebuchet MS" w:hAnsi="Trebuchet MS"/>
        </w:rPr>
        <w:t>s</w:t>
      </w:r>
      <w:r w:rsidRPr="00BF7F16">
        <w:rPr>
          <w:rFonts w:ascii="Trebuchet MS" w:hAnsi="Trebuchet MS"/>
        </w:rPr>
        <w:t xml:space="preserve">ational context, and finally </w:t>
      </w:r>
      <w:r w:rsidR="000C1810" w:rsidRPr="000C1810">
        <w:rPr>
          <w:rFonts w:ascii="Trebuchet MS" w:hAnsi="Trebuchet MS"/>
          <w:b/>
          <w:bCs/>
        </w:rPr>
        <w:t>a</w:t>
      </w:r>
      <w:r w:rsidRPr="00BF7F16">
        <w:rPr>
          <w:rFonts w:ascii="Trebuchet MS" w:hAnsi="Trebuchet MS"/>
          <w:b/>
          <w:bCs/>
        </w:rPr>
        <w:t>ssess</w:t>
      </w:r>
      <w:r w:rsidRPr="00BF7F16">
        <w:rPr>
          <w:rFonts w:ascii="Trebuchet MS" w:hAnsi="Trebuchet MS"/>
        </w:rPr>
        <w:t xml:space="preserve"> the outcomes to ensure continuous improvement. This cyclical process underpins the effectiveness of EBP.</w:t>
      </w:r>
    </w:p>
    <w:p w14:paraId="466D3C1B" w14:textId="5526FE3F" w:rsidR="00BF7F16" w:rsidRPr="00BF7F16" w:rsidRDefault="00BF7F16" w:rsidP="00BF7F16">
      <w:pPr>
        <w:pStyle w:val="Nornal"/>
        <w:rPr>
          <w:rFonts w:ascii="Trebuchet MS" w:hAnsi="Trebuchet MS"/>
        </w:rPr>
      </w:pPr>
      <w:r w:rsidRPr="00BF7F16">
        <w:rPr>
          <w:rFonts w:ascii="Trebuchet MS" w:hAnsi="Trebuchet MS"/>
        </w:rPr>
        <w:t>EBP supports sound decision-making in people practices by emphasi</w:t>
      </w:r>
      <w:r w:rsidR="000C1810">
        <w:rPr>
          <w:rFonts w:ascii="Trebuchet MS" w:hAnsi="Trebuchet MS"/>
        </w:rPr>
        <w:t>s</w:t>
      </w:r>
      <w:r w:rsidRPr="00BF7F16">
        <w:rPr>
          <w:rFonts w:ascii="Trebuchet MS" w:hAnsi="Trebuchet MS"/>
        </w:rPr>
        <w:t>ing the importance of rigor and objectivity</w:t>
      </w:r>
      <w:r w:rsidR="005D7CD5">
        <w:rPr>
          <w:rFonts w:ascii="Trebuchet MS" w:hAnsi="Trebuchet MS"/>
        </w:rPr>
        <w:t xml:space="preserve">, thus </w:t>
      </w:r>
      <w:r w:rsidR="007E690B">
        <w:rPr>
          <w:rFonts w:ascii="Trebuchet MS" w:hAnsi="Trebuchet MS"/>
        </w:rPr>
        <w:t>reducin</w:t>
      </w:r>
      <w:r w:rsidR="005D7CD5">
        <w:rPr>
          <w:rFonts w:ascii="Trebuchet MS" w:hAnsi="Trebuchet MS"/>
        </w:rPr>
        <w:t xml:space="preserve">g bias and reliability of fads and quick fixes </w:t>
      </w:r>
      <w:r w:rsidR="007E690B" w:rsidRPr="007E690B">
        <w:rPr>
          <w:rFonts w:ascii="Trebuchet MS" w:hAnsi="Trebuchet MS"/>
        </w:rPr>
        <w:t>(Briner, 2018)</w:t>
      </w:r>
      <w:r w:rsidRPr="00BF7F16">
        <w:rPr>
          <w:rFonts w:ascii="Trebuchet MS" w:hAnsi="Trebuchet MS"/>
        </w:rPr>
        <w:t>. By evaluating interventions through a structured process, organi</w:t>
      </w:r>
      <w:r w:rsidR="000C1810">
        <w:rPr>
          <w:rFonts w:ascii="Trebuchet MS" w:hAnsi="Trebuchet MS"/>
        </w:rPr>
        <w:t>s</w:t>
      </w:r>
      <w:r w:rsidRPr="00BF7F16">
        <w:rPr>
          <w:rFonts w:ascii="Trebuchet MS" w:hAnsi="Trebuchet MS"/>
        </w:rPr>
        <w:t>ations can avoid reliance on anecdotal evidence, intuition, or untested practices. For instance, during recruitment, utili</w:t>
      </w:r>
      <w:r w:rsidR="000C1810">
        <w:rPr>
          <w:rFonts w:ascii="Trebuchet MS" w:hAnsi="Trebuchet MS"/>
        </w:rPr>
        <w:t>s</w:t>
      </w:r>
      <w:r w:rsidRPr="00BF7F16">
        <w:rPr>
          <w:rFonts w:ascii="Trebuchet MS" w:hAnsi="Trebuchet MS"/>
        </w:rPr>
        <w:t>ing predictive analytics and validated selection tools helps ensure that hiring decisions are based on reliable indicators of job performance, thus reducing bias and increasing fairness.</w:t>
      </w:r>
    </w:p>
    <w:p w14:paraId="27F237FF" w14:textId="59922A34" w:rsidR="00BF7F16" w:rsidRPr="00BF7F16" w:rsidRDefault="00BF7F16" w:rsidP="00BF7F16">
      <w:pPr>
        <w:pStyle w:val="Nornal"/>
        <w:rPr>
          <w:rFonts w:ascii="Trebuchet MS" w:hAnsi="Trebuchet MS"/>
        </w:rPr>
      </w:pPr>
      <w:r w:rsidRPr="00BF7F16">
        <w:rPr>
          <w:rFonts w:ascii="Trebuchet MS" w:hAnsi="Trebuchet MS"/>
        </w:rPr>
        <w:t>Despite its advantages, implementing EBP can face challenges such as resistance to change, limited access to high-quality evidence, or a lack of skills in data analysis</w:t>
      </w:r>
      <w:r w:rsidR="003F2BE0">
        <w:rPr>
          <w:rFonts w:ascii="Trebuchet MS" w:hAnsi="Trebuchet MS"/>
        </w:rPr>
        <w:t xml:space="preserve"> </w:t>
      </w:r>
      <w:r w:rsidR="003F2BE0" w:rsidRPr="003F2BE0">
        <w:rPr>
          <w:rFonts w:ascii="Trebuchet MS" w:hAnsi="Trebuchet MS"/>
        </w:rPr>
        <w:t>(Briner, 2007)</w:t>
      </w:r>
      <w:r w:rsidRPr="00BF7F16">
        <w:rPr>
          <w:rFonts w:ascii="Trebuchet MS" w:hAnsi="Trebuchet MS"/>
        </w:rPr>
        <w:t>. To overcome these barriers, organi</w:t>
      </w:r>
      <w:r w:rsidR="000C1810">
        <w:rPr>
          <w:rFonts w:ascii="Trebuchet MS" w:hAnsi="Trebuchet MS"/>
        </w:rPr>
        <w:t>s</w:t>
      </w:r>
      <w:r w:rsidRPr="00BF7F16">
        <w:rPr>
          <w:rFonts w:ascii="Trebuchet MS" w:hAnsi="Trebuchet MS"/>
        </w:rPr>
        <w:t>ations should invest in training, foster a culture of continuous learning, and prioriti</w:t>
      </w:r>
      <w:r w:rsidR="000C1810">
        <w:rPr>
          <w:rFonts w:ascii="Trebuchet MS" w:hAnsi="Trebuchet MS"/>
        </w:rPr>
        <w:t>s</w:t>
      </w:r>
      <w:r w:rsidRPr="00BF7F16">
        <w:rPr>
          <w:rFonts w:ascii="Trebuchet MS" w:hAnsi="Trebuchet MS"/>
        </w:rPr>
        <w:t>e collaboration across functions to share insights and expertise.</w:t>
      </w:r>
    </w:p>
    <w:p w14:paraId="125AEC4F" w14:textId="096B9C9E" w:rsidR="00BF7F16" w:rsidRPr="00BF7F16" w:rsidRDefault="00BF7F16" w:rsidP="00BF7F16">
      <w:pPr>
        <w:pStyle w:val="Nornal"/>
        <w:rPr>
          <w:rFonts w:ascii="Trebuchet MS" w:hAnsi="Trebuchet MS"/>
        </w:rPr>
      </w:pPr>
      <w:r w:rsidRPr="00BF7F16">
        <w:rPr>
          <w:rFonts w:ascii="Trebuchet MS" w:hAnsi="Trebuchet MS"/>
        </w:rPr>
        <w:t>In conclusion, evidence-based practice serves as a vital tool for improving decision-making in people practices and organi</w:t>
      </w:r>
      <w:r w:rsidR="005D7CD5">
        <w:rPr>
          <w:rFonts w:ascii="Trebuchet MS" w:hAnsi="Trebuchet MS"/>
        </w:rPr>
        <w:t>s</w:t>
      </w:r>
      <w:r w:rsidRPr="00BF7F16">
        <w:rPr>
          <w:rFonts w:ascii="Trebuchet MS" w:hAnsi="Trebuchet MS"/>
        </w:rPr>
        <w:t>ational issues. By integrating diverse sources of evidence and following a systematic approach, EBP enables organi</w:t>
      </w:r>
      <w:r w:rsidR="005D7CD5">
        <w:rPr>
          <w:rFonts w:ascii="Trebuchet MS" w:hAnsi="Trebuchet MS"/>
        </w:rPr>
        <w:t>s</w:t>
      </w:r>
      <w:r w:rsidRPr="00BF7F16">
        <w:rPr>
          <w:rFonts w:ascii="Trebuchet MS" w:hAnsi="Trebuchet MS"/>
        </w:rPr>
        <w:t xml:space="preserve">ations to develop effective, equitable, and sustainable solutions. </w:t>
      </w:r>
      <w:r w:rsidR="005D7CD5" w:rsidRPr="005D7CD5">
        <w:rPr>
          <w:rFonts w:ascii="Trebuchet MS" w:hAnsi="Trebuchet MS"/>
        </w:rPr>
        <w:t>Critical thinking is integral to this process, as it allows practitioners to critically evaluate evidence, question assumptions, and avoid cognitive biases. By fostering a questioning mindset, critical thinking ensures that EBP remains objective, promoting well-informed decisions.</w:t>
      </w:r>
      <w:r w:rsidR="003F2BE0">
        <w:rPr>
          <w:rFonts w:ascii="Trebuchet MS" w:hAnsi="Trebuchet MS"/>
        </w:rPr>
        <w:t xml:space="preserve"> </w:t>
      </w:r>
      <w:r w:rsidRPr="00BF7F16">
        <w:rPr>
          <w:rFonts w:ascii="Trebuchet MS" w:hAnsi="Trebuchet MS"/>
        </w:rPr>
        <w:t>As Pfeffer and Sutton (2006) argue, embracing EBP not only enhances organi</w:t>
      </w:r>
      <w:r w:rsidR="005D7CD5">
        <w:rPr>
          <w:rFonts w:ascii="Trebuchet MS" w:hAnsi="Trebuchet MS"/>
        </w:rPr>
        <w:t>s</w:t>
      </w:r>
      <w:r w:rsidRPr="00BF7F16">
        <w:rPr>
          <w:rFonts w:ascii="Trebuchet MS" w:hAnsi="Trebuchet MS"/>
        </w:rPr>
        <w:t>ational outcomes but also contributes to more ethical and responsible management practices.</w:t>
      </w:r>
    </w:p>
    <w:p w14:paraId="1E5DE4CD" w14:textId="77777777" w:rsidR="004C3058" w:rsidRDefault="004C3058" w:rsidP="00BF7F16">
      <w:pPr>
        <w:pStyle w:val="Nornal"/>
        <w:rPr>
          <w:rFonts w:ascii="Trebuchet MS" w:hAnsi="Trebuchet MS"/>
        </w:rPr>
      </w:pPr>
    </w:p>
    <w:p w14:paraId="41D1E6C7" w14:textId="77777777" w:rsidR="00716B85" w:rsidRDefault="00716B85" w:rsidP="00BF7F16">
      <w:pPr>
        <w:pStyle w:val="Nornal"/>
        <w:rPr>
          <w:rFonts w:ascii="Trebuchet MS" w:hAnsi="Trebuchet MS"/>
        </w:rPr>
      </w:pPr>
    </w:p>
    <w:p w14:paraId="5EFD9925" w14:textId="77777777" w:rsidR="00BB5A76" w:rsidRPr="00085EA6" w:rsidRDefault="00BB5A76" w:rsidP="00BF7F16">
      <w:pPr>
        <w:pStyle w:val="Nornal"/>
        <w:rPr>
          <w:rFonts w:ascii="Trebuchet MS" w:hAnsi="Trebuchet MS"/>
        </w:rPr>
      </w:pPr>
    </w:p>
    <w:p w14:paraId="2EA3C979" w14:textId="77777777" w:rsidR="00FF44B9" w:rsidRDefault="00FF44B9" w:rsidP="00EC02EB">
      <w:pPr>
        <w:pStyle w:val="Nornal"/>
        <w:rPr>
          <w:rFonts w:ascii="Trebuchet MS" w:hAnsi="Trebuchet MS"/>
          <w:b/>
          <w:bCs/>
        </w:rPr>
      </w:pPr>
    </w:p>
    <w:p w14:paraId="1E0D66BA" w14:textId="38624FFF" w:rsidR="00EC02EB" w:rsidRDefault="0075395D" w:rsidP="00EC02EB">
      <w:pPr>
        <w:pStyle w:val="Nornal"/>
        <w:rPr>
          <w:rFonts w:ascii="Trebuchet MS" w:hAnsi="Trebuchet MS"/>
          <w:b/>
          <w:bCs/>
        </w:rPr>
      </w:pPr>
      <w:r>
        <w:rPr>
          <w:rFonts w:ascii="Trebuchet MS" w:hAnsi="Trebuchet MS"/>
          <w:b/>
          <w:bCs/>
        </w:rPr>
        <w:lastRenderedPageBreak/>
        <w:t>(</w:t>
      </w:r>
      <w:r w:rsidR="00EC02EB">
        <w:rPr>
          <w:rFonts w:ascii="Trebuchet MS" w:hAnsi="Trebuchet MS"/>
          <w:b/>
          <w:bCs/>
        </w:rPr>
        <w:t>AC 1.2</w:t>
      </w:r>
      <w:r>
        <w:rPr>
          <w:rFonts w:ascii="Trebuchet MS" w:hAnsi="Trebuchet MS"/>
          <w:b/>
          <w:bCs/>
        </w:rPr>
        <w:t>)</w:t>
      </w:r>
      <w:r w:rsidR="00EC02EB">
        <w:rPr>
          <w:rFonts w:ascii="Trebuchet MS" w:hAnsi="Trebuchet MS"/>
          <w:b/>
          <w:bCs/>
        </w:rPr>
        <w:t xml:space="preserve"> </w:t>
      </w:r>
      <w:r>
        <w:rPr>
          <w:rFonts w:ascii="Trebuchet MS" w:hAnsi="Trebuchet MS"/>
          <w:b/>
          <w:bCs/>
        </w:rPr>
        <w:t>Analysis Tools and Methods</w:t>
      </w:r>
    </w:p>
    <w:p w14:paraId="1B1D24BB" w14:textId="4D41A07B" w:rsidR="00705A06" w:rsidRPr="00705A06" w:rsidRDefault="00705A06" w:rsidP="00705A06">
      <w:pPr>
        <w:pStyle w:val="Nornal"/>
        <w:rPr>
          <w:rFonts w:ascii="Trebuchet MS" w:hAnsi="Trebuchet MS"/>
        </w:rPr>
      </w:pPr>
      <w:r w:rsidRPr="00705A06">
        <w:rPr>
          <w:rFonts w:ascii="Trebuchet MS" w:hAnsi="Trebuchet MS"/>
        </w:rPr>
        <w:t>Organi</w:t>
      </w:r>
      <w:r w:rsidR="003F2BE0">
        <w:rPr>
          <w:rFonts w:ascii="Trebuchet MS" w:hAnsi="Trebuchet MS"/>
        </w:rPr>
        <w:t>s</w:t>
      </w:r>
      <w:r w:rsidRPr="00705A06">
        <w:rPr>
          <w:rFonts w:ascii="Trebuchet MS" w:hAnsi="Trebuchet MS"/>
        </w:rPr>
        <w:t>ations rely on analytical tools and methods to recogni</w:t>
      </w:r>
      <w:r w:rsidR="003F2BE0">
        <w:rPr>
          <w:rFonts w:ascii="Trebuchet MS" w:hAnsi="Trebuchet MS"/>
        </w:rPr>
        <w:t>s</w:t>
      </w:r>
      <w:r w:rsidRPr="00705A06">
        <w:rPr>
          <w:rFonts w:ascii="Trebuchet MS" w:hAnsi="Trebuchet MS"/>
        </w:rPr>
        <w:t>e and diagnose issues, challenges, and opportunities in their environment. Two widely used frameworks are PESTLE analysis, a tool for examining external factors, and SWOT analysis, a method for integrating internal and external evaluations to guide decision-making.</w:t>
      </w:r>
    </w:p>
    <w:p w14:paraId="4816CA30" w14:textId="033591AE" w:rsidR="00705A06" w:rsidRPr="00705A06" w:rsidRDefault="00705A06" w:rsidP="00705A06">
      <w:pPr>
        <w:pStyle w:val="Nornal"/>
        <w:rPr>
          <w:rFonts w:ascii="Trebuchet MS" w:hAnsi="Trebuchet MS"/>
        </w:rPr>
      </w:pPr>
      <w:r w:rsidRPr="00705A06">
        <w:rPr>
          <w:rFonts w:ascii="Trebuchet MS" w:hAnsi="Trebuchet MS"/>
        </w:rPr>
        <w:t>PESTLE analysis—which examines Political, Economic, Social, Technological, Legal, and Environmental factors—is particularly valuable for understanding the macro-environmental forces that influence an organi</w:t>
      </w:r>
      <w:r w:rsidR="003F2BE0">
        <w:rPr>
          <w:rFonts w:ascii="Trebuchet MS" w:hAnsi="Trebuchet MS"/>
        </w:rPr>
        <w:t>s</w:t>
      </w:r>
      <w:r w:rsidRPr="00705A06">
        <w:rPr>
          <w:rFonts w:ascii="Trebuchet MS" w:hAnsi="Trebuchet MS"/>
        </w:rPr>
        <w:t>ation</w:t>
      </w:r>
      <w:r w:rsidR="003F2BE0" w:rsidRPr="003F2BE0">
        <w:rPr>
          <w:rFonts w:ascii="Times New Roman" w:eastAsia="Times New Roman" w:hAnsi="Times New Roman" w:cs="Times New Roman"/>
          <w:sz w:val="24"/>
          <w:szCs w:val="24"/>
          <w:lang w:eastAsia="en-GB"/>
        </w:rPr>
        <w:t xml:space="preserve"> </w:t>
      </w:r>
      <w:r w:rsidR="003F2BE0" w:rsidRPr="003F2BE0">
        <w:rPr>
          <w:rFonts w:ascii="Trebuchet MS" w:hAnsi="Trebuchet MS"/>
        </w:rPr>
        <w:t>(CIPD, 2024)</w:t>
      </w:r>
      <w:r w:rsidRPr="00705A06">
        <w:rPr>
          <w:rFonts w:ascii="Trebuchet MS" w:hAnsi="Trebuchet MS"/>
        </w:rPr>
        <w:t>. By systematically exploring each category, organi</w:t>
      </w:r>
      <w:r w:rsidR="003F2BE0">
        <w:rPr>
          <w:rFonts w:ascii="Trebuchet MS" w:hAnsi="Trebuchet MS"/>
        </w:rPr>
        <w:t>s</w:t>
      </w:r>
      <w:r w:rsidRPr="00705A06">
        <w:rPr>
          <w:rFonts w:ascii="Trebuchet MS" w:hAnsi="Trebuchet MS"/>
        </w:rPr>
        <w:t>ations can identify emerging trends and potential threats. This tool enables organi</w:t>
      </w:r>
      <w:r w:rsidR="00BA1C08">
        <w:rPr>
          <w:rFonts w:ascii="Trebuchet MS" w:hAnsi="Trebuchet MS"/>
        </w:rPr>
        <w:t>s</w:t>
      </w:r>
      <w:r w:rsidRPr="00705A06">
        <w:rPr>
          <w:rFonts w:ascii="Trebuchet MS" w:hAnsi="Trebuchet MS"/>
        </w:rPr>
        <w:t>ations to proactively adapt to external changes, reducing risks and seizing opportunities.</w:t>
      </w:r>
      <w:r w:rsidR="009E767F">
        <w:rPr>
          <w:rFonts w:ascii="Trebuchet MS" w:hAnsi="Trebuchet MS"/>
        </w:rPr>
        <w:t xml:space="preserve"> </w:t>
      </w:r>
      <w:r w:rsidRPr="00705A06">
        <w:rPr>
          <w:rFonts w:ascii="Trebuchet MS" w:hAnsi="Trebuchet MS"/>
        </w:rPr>
        <w:t>PESTLE fosters strategic thinking by clarifying how external pressures shape organi</w:t>
      </w:r>
      <w:r w:rsidR="00BA1C08">
        <w:rPr>
          <w:rFonts w:ascii="Trebuchet MS" w:hAnsi="Trebuchet MS"/>
        </w:rPr>
        <w:t>s</w:t>
      </w:r>
      <w:r w:rsidRPr="00705A06">
        <w:rPr>
          <w:rFonts w:ascii="Trebuchet MS" w:hAnsi="Trebuchet MS"/>
        </w:rPr>
        <w:t>ational performance</w:t>
      </w:r>
      <w:r w:rsidR="009E767F" w:rsidRPr="009E767F">
        <w:rPr>
          <w:rFonts w:ascii="Times New Roman" w:eastAsia="Times New Roman" w:hAnsi="Times New Roman" w:cs="Times New Roman"/>
          <w:sz w:val="24"/>
          <w:szCs w:val="24"/>
          <w:lang w:eastAsia="en-GB"/>
        </w:rPr>
        <w:t xml:space="preserve"> </w:t>
      </w:r>
      <w:r w:rsidR="009E767F" w:rsidRPr="009E767F">
        <w:rPr>
          <w:rFonts w:ascii="Trebuchet MS" w:hAnsi="Trebuchet MS"/>
        </w:rPr>
        <w:t xml:space="preserve">(Johnson </w:t>
      </w:r>
      <w:r w:rsidR="009E767F" w:rsidRPr="004114E7">
        <w:rPr>
          <w:rFonts w:ascii="Trebuchet MS" w:hAnsi="Trebuchet MS"/>
          <w:i/>
          <w:iCs/>
        </w:rPr>
        <w:t>et al</w:t>
      </w:r>
      <w:r w:rsidR="009E767F" w:rsidRPr="009E767F">
        <w:rPr>
          <w:rFonts w:ascii="Trebuchet MS" w:hAnsi="Trebuchet MS"/>
        </w:rPr>
        <w:t>., 2020, pp.36–49)</w:t>
      </w:r>
      <w:r w:rsidRPr="00705A06">
        <w:rPr>
          <w:rFonts w:ascii="Trebuchet MS" w:hAnsi="Trebuchet MS"/>
        </w:rPr>
        <w:t>.</w:t>
      </w:r>
    </w:p>
    <w:p w14:paraId="2D576C61" w14:textId="43EB407C" w:rsidR="00705A06" w:rsidRPr="00705A06" w:rsidRDefault="00705A06" w:rsidP="00705A06">
      <w:pPr>
        <w:pStyle w:val="Nornal"/>
        <w:rPr>
          <w:rFonts w:ascii="Trebuchet MS" w:hAnsi="Trebuchet MS"/>
        </w:rPr>
      </w:pPr>
      <w:r w:rsidRPr="00705A06">
        <w:rPr>
          <w:rFonts w:ascii="Trebuchet MS" w:hAnsi="Trebuchet MS"/>
        </w:rPr>
        <w:t>Complementing PESTLE, SWOT analysis integrates internal and external perspectives to provide a holistic view of an organi</w:t>
      </w:r>
      <w:r w:rsidR="009E767F">
        <w:rPr>
          <w:rFonts w:ascii="Trebuchet MS" w:hAnsi="Trebuchet MS"/>
        </w:rPr>
        <w:t>s</w:t>
      </w:r>
      <w:r w:rsidRPr="00705A06">
        <w:rPr>
          <w:rFonts w:ascii="Trebuchet MS" w:hAnsi="Trebuchet MS"/>
        </w:rPr>
        <w:t>ation’s position. The method evaluates Strengths, Weaknesses, Opportunities, and Threats</w:t>
      </w:r>
      <w:r w:rsidR="009E767F" w:rsidRPr="009E767F">
        <w:rPr>
          <w:rFonts w:ascii="Times New Roman" w:eastAsia="Times New Roman" w:hAnsi="Times New Roman" w:cs="Times New Roman"/>
          <w:sz w:val="24"/>
          <w:szCs w:val="24"/>
          <w:lang w:eastAsia="en-GB"/>
        </w:rPr>
        <w:t xml:space="preserve"> </w:t>
      </w:r>
      <w:r w:rsidR="009E767F" w:rsidRPr="009E767F">
        <w:rPr>
          <w:rFonts w:ascii="Trebuchet MS" w:hAnsi="Trebuchet MS"/>
        </w:rPr>
        <w:t>(Haan, 2024)</w:t>
      </w:r>
      <w:r w:rsidRPr="00705A06">
        <w:rPr>
          <w:rFonts w:ascii="Trebuchet MS" w:hAnsi="Trebuchet MS"/>
        </w:rPr>
        <w:t>. Strengths and weaknesses focus on internal factors, such as organi</w:t>
      </w:r>
      <w:r w:rsidR="009E767F">
        <w:rPr>
          <w:rFonts w:ascii="Trebuchet MS" w:hAnsi="Trebuchet MS"/>
        </w:rPr>
        <w:t>s</w:t>
      </w:r>
      <w:r w:rsidRPr="00705A06">
        <w:rPr>
          <w:rFonts w:ascii="Trebuchet MS" w:hAnsi="Trebuchet MS"/>
        </w:rPr>
        <w:t>ational capabilities or resource constraints, while opportunities and threats examine external factors, often informed by tools like PESTLE. By categori</w:t>
      </w:r>
      <w:r w:rsidR="009E767F">
        <w:rPr>
          <w:rFonts w:ascii="Trebuchet MS" w:hAnsi="Trebuchet MS"/>
        </w:rPr>
        <w:t>s</w:t>
      </w:r>
      <w:r w:rsidRPr="00705A06">
        <w:rPr>
          <w:rFonts w:ascii="Trebuchet MS" w:hAnsi="Trebuchet MS"/>
        </w:rPr>
        <w:t>ing and prioriti</w:t>
      </w:r>
      <w:r w:rsidR="009E767F">
        <w:rPr>
          <w:rFonts w:ascii="Trebuchet MS" w:hAnsi="Trebuchet MS"/>
        </w:rPr>
        <w:t>s</w:t>
      </w:r>
      <w:r w:rsidRPr="00705A06">
        <w:rPr>
          <w:rFonts w:ascii="Trebuchet MS" w:hAnsi="Trebuchet MS"/>
        </w:rPr>
        <w:t>ing these factors, SWOT facilitates informed decision-making and strategic planning.</w:t>
      </w:r>
    </w:p>
    <w:p w14:paraId="0DE59005" w14:textId="46C4EB99" w:rsidR="00705A06" w:rsidRPr="00C92DCD" w:rsidRDefault="00705A06" w:rsidP="00705A06">
      <w:pPr>
        <w:pStyle w:val="Nornal"/>
        <w:rPr>
          <w:rFonts w:ascii="Trebuchet MS" w:hAnsi="Trebuchet MS"/>
          <w:strike/>
        </w:rPr>
      </w:pPr>
      <w:r w:rsidRPr="00C92DCD">
        <w:rPr>
          <w:rFonts w:ascii="Trebuchet MS" w:hAnsi="Trebuchet MS"/>
          <w:strike/>
        </w:rPr>
        <w:t>The combination of these tools can enhance organi</w:t>
      </w:r>
      <w:r w:rsidR="009E767F" w:rsidRPr="00C92DCD">
        <w:rPr>
          <w:rFonts w:ascii="Trebuchet MS" w:hAnsi="Trebuchet MS"/>
          <w:strike/>
        </w:rPr>
        <w:t>s</w:t>
      </w:r>
      <w:r w:rsidRPr="00C92DCD">
        <w:rPr>
          <w:rFonts w:ascii="Trebuchet MS" w:hAnsi="Trebuchet MS"/>
          <w:strike/>
        </w:rPr>
        <w:t>ational diagnostics. PESTLE identifies broad environmental factors, while SWOT translates these insights into actionable strategies by aligning external opportunities with internal capabilities</w:t>
      </w:r>
      <w:r w:rsidR="00A56DF0" w:rsidRPr="00C92DCD">
        <w:rPr>
          <w:rFonts w:ascii="Trebuchet MS" w:hAnsi="Trebuchet MS"/>
          <w:strike/>
        </w:rPr>
        <w:t xml:space="preserve">. </w:t>
      </w:r>
      <w:r w:rsidRPr="00C92DCD">
        <w:rPr>
          <w:rFonts w:ascii="Trebuchet MS" w:hAnsi="Trebuchet MS"/>
          <w:strike/>
        </w:rPr>
        <w:t>For instance, a PESTLE analysis highlighting increased digitali</w:t>
      </w:r>
      <w:r w:rsidR="009E767F" w:rsidRPr="00C92DCD">
        <w:rPr>
          <w:rFonts w:ascii="Trebuchet MS" w:hAnsi="Trebuchet MS"/>
          <w:strike/>
        </w:rPr>
        <w:t>s</w:t>
      </w:r>
      <w:r w:rsidRPr="00C92DCD">
        <w:rPr>
          <w:rFonts w:ascii="Trebuchet MS" w:hAnsi="Trebuchet MS"/>
          <w:strike/>
        </w:rPr>
        <w:t>ation trends (Technological) could inform a SWOT opportunity to expand online service offerings, leveraging the organi</w:t>
      </w:r>
      <w:r w:rsidR="009E767F" w:rsidRPr="00C92DCD">
        <w:rPr>
          <w:rFonts w:ascii="Trebuchet MS" w:hAnsi="Trebuchet MS"/>
          <w:strike/>
        </w:rPr>
        <w:t>s</w:t>
      </w:r>
      <w:r w:rsidRPr="00C92DCD">
        <w:rPr>
          <w:rFonts w:ascii="Trebuchet MS" w:hAnsi="Trebuchet MS"/>
          <w:strike/>
        </w:rPr>
        <w:t>ation’s technological infrastructure (Strength).</w:t>
      </w:r>
    </w:p>
    <w:p w14:paraId="3AD2CDEF" w14:textId="4874D2AC" w:rsidR="00705A06" w:rsidRPr="00C92DCD" w:rsidRDefault="00705A06" w:rsidP="00705A06">
      <w:pPr>
        <w:pStyle w:val="Nornal"/>
        <w:rPr>
          <w:rFonts w:ascii="Trebuchet MS" w:hAnsi="Trebuchet MS"/>
          <w:strike/>
        </w:rPr>
      </w:pPr>
      <w:r w:rsidRPr="00C92DCD">
        <w:rPr>
          <w:rFonts w:ascii="Trebuchet MS" w:hAnsi="Trebuchet MS"/>
          <w:strike/>
        </w:rPr>
        <w:t>While effective, these tools have limitations. PESTLE relies on accurate and up-to-date data, and its breadth may lead to overlooking specific factors. Similarly, SWOT’s subjective nature risks bias if not grounded in rigorous evidence</w:t>
      </w:r>
      <w:r w:rsidR="00A56DF0" w:rsidRPr="00C92DCD">
        <w:rPr>
          <w:rFonts w:ascii="Trebuchet MS" w:hAnsi="Trebuchet MS"/>
          <w:strike/>
        </w:rPr>
        <w:t xml:space="preserve"> (Taylor and Woodhams, 2022, p.46)</w:t>
      </w:r>
      <w:r w:rsidRPr="00C92DCD">
        <w:rPr>
          <w:rFonts w:ascii="Trebuchet MS" w:hAnsi="Trebuchet MS"/>
          <w:strike/>
        </w:rPr>
        <w:t>. To mitigate these challenges, organi</w:t>
      </w:r>
      <w:r w:rsidR="00A56DF0" w:rsidRPr="00C92DCD">
        <w:rPr>
          <w:rFonts w:ascii="Trebuchet MS" w:hAnsi="Trebuchet MS"/>
          <w:strike/>
        </w:rPr>
        <w:t>s</w:t>
      </w:r>
      <w:r w:rsidRPr="00C92DCD">
        <w:rPr>
          <w:rFonts w:ascii="Trebuchet MS" w:hAnsi="Trebuchet MS"/>
          <w:strike/>
        </w:rPr>
        <w:t>ations should involve diverse stakeholders and integrate multiple data sources during analysis.</w:t>
      </w:r>
    </w:p>
    <w:p w14:paraId="0FC9D901" w14:textId="631F05FC" w:rsidR="009B7938" w:rsidRDefault="00705A06" w:rsidP="00716B85">
      <w:pPr>
        <w:pStyle w:val="Nornal"/>
        <w:rPr>
          <w:rFonts w:ascii="Trebuchet MS" w:hAnsi="Trebuchet MS"/>
          <w:strike/>
        </w:rPr>
      </w:pPr>
      <w:r w:rsidRPr="00C92DCD">
        <w:rPr>
          <w:rFonts w:ascii="Trebuchet MS" w:hAnsi="Trebuchet MS"/>
          <w:strike/>
        </w:rPr>
        <w:t>In conclusion, PESTLE and SWOT are complementary frameworks that help organi</w:t>
      </w:r>
      <w:r w:rsidR="00A56DF0" w:rsidRPr="00C92DCD">
        <w:rPr>
          <w:rFonts w:ascii="Trebuchet MS" w:hAnsi="Trebuchet MS"/>
          <w:strike/>
        </w:rPr>
        <w:t>s</w:t>
      </w:r>
      <w:r w:rsidRPr="00C92DCD">
        <w:rPr>
          <w:rFonts w:ascii="Trebuchet MS" w:hAnsi="Trebuchet MS"/>
          <w:strike/>
        </w:rPr>
        <w:t>ations diagnose challenges and opportunities effectively. By leveraging these tools, organi</w:t>
      </w:r>
      <w:r w:rsidR="00A56DF0" w:rsidRPr="00C92DCD">
        <w:rPr>
          <w:rFonts w:ascii="Trebuchet MS" w:hAnsi="Trebuchet MS"/>
          <w:strike/>
        </w:rPr>
        <w:t>s</w:t>
      </w:r>
      <w:r w:rsidRPr="00C92DCD">
        <w:rPr>
          <w:rFonts w:ascii="Trebuchet MS" w:hAnsi="Trebuchet MS"/>
          <w:strike/>
        </w:rPr>
        <w:t>ations can align their strategies with their internal strengths and external realities, ensuring resilience and growth in dynamic environments.</w:t>
      </w:r>
    </w:p>
    <w:p w14:paraId="7B1CF0D9" w14:textId="4658945A" w:rsidR="00C92DCD" w:rsidRPr="00C92DCD" w:rsidRDefault="00C92DCD" w:rsidP="00C92DCD">
      <w:pPr>
        <w:pStyle w:val="Nornal"/>
        <w:rPr>
          <w:rFonts w:ascii="Trebuchet MS" w:hAnsi="Trebuchet MS"/>
          <w:color w:val="FF0000"/>
        </w:rPr>
      </w:pPr>
      <w:r w:rsidRPr="00C92DCD">
        <w:rPr>
          <w:rFonts w:ascii="Trebuchet MS" w:hAnsi="Trebuchet MS"/>
          <w:color w:val="FF0000"/>
        </w:rPr>
        <w:t xml:space="preserve">Employee surveys are a valuable tool in </w:t>
      </w:r>
      <w:r>
        <w:rPr>
          <w:rFonts w:ascii="Trebuchet MS" w:hAnsi="Trebuchet MS"/>
          <w:color w:val="FF0000"/>
        </w:rPr>
        <w:t>people management</w:t>
      </w:r>
      <w:r w:rsidRPr="00C92DCD">
        <w:rPr>
          <w:rFonts w:ascii="Trebuchet MS" w:hAnsi="Trebuchet MS"/>
          <w:color w:val="FF0000"/>
        </w:rPr>
        <w:t xml:space="preserve"> for diagnosing organi</w:t>
      </w:r>
      <w:r>
        <w:rPr>
          <w:rFonts w:ascii="Trebuchet MS" w:hAnsi="Trebuchet MS"/>
          <w:color w:val="FF0000"/>
        </w:rPr>
        <w:t>s</w:t>
      </w:r>
      <w:r w:rsidRPr="00C92DCD">
        <w:rPr>
          <w:rFonts w:ascii="Trebuchet MS" w:hAnsi="Trebuchet MS"/>
          <w:color w:val="FF0000"/>
        </w:rPr>
        <w:t>ational issues, challenges, and opportunities. They provide direct insights into employee perceptions, engagement levels, and workplace dynamics, enabling data-driven decisions to improve organi</w:t>
      </w:r>
      <w:r w:rsidR="00146DB8">
        <w:rPr>
          <w:rFonts w:ascii="Trebuchet MS" w:hAnsi="Trebuchet MS"/>
          <w:color w:val="FF0000"/>
        </w:rPr>
        <w:t>s</w:t>
      </w:r>
      <w:r w:rsidRPr="00C92DCD">
        <w:rPr>
          <w:rFonts w:ascii="Trebuchet MS" w:hAnsi="Trebuchet MS"/>
          <w:color w:val="FF0000"/>
        </w:rPr>
        <w:t xml:space="preserve">ational culture and performance </w:t>
      </w:r>
      <w:r w:rsidR="003D19D2" w:rsidRPr="003D19D2">
        <w:rPr>
          <w:rFonts w:ascii="Trebuchet MS" w:hAnsi="Trebuchet MS"/>
          <w:color w:val="FF0000"/>
        </w:rPr>
        <w:t xml:space="preserve">(Albrecht </w:t>
      </w:r>
      <w:r w:rsidR="003D19D2" w:rsidRPr="003D19D2">
        <w:rPr>
          <w:rFonts w:ascii="Trebuchet MS" w:hAnsi="Trebuchet MS"/>
          <w:i/>
          <w:iCs/>
          <w:color w:val="FF0000"/>
        </w:rPr>
        <w:t>et al</w:t>
      </w:r>
      <w:r w:rsidR="003D19D2" w:rsidRPr="003D19D2">
        <w:rPr>
          <w:rFonts w:ascii="Trebuchet MS" w:hAnsi="Trebuchet MS"/>
          <w:color w:val="FF0000"/>
        </w:rPr>
        <w:t>., 2015)</w:t>
      </w:r>
      <w:r w:rsidR="003D19D2">
        <w:rPr>
          <w:rFonts w:ascii="Trebuchet MS" w:hAnsi="Trebuchet MS"/>
          <w:color w:val="FF0000"/>
        </w:rPr>
        <w:t xml:space="preserve">. </w:t>
      </w:r>
      <w:r w:rsidRPr="00C92DCD">
        <w:rPr>
          <w:rFonts w:ascii="Trebuchet MS" w:hAnsi="Trebuchet MS"/>
          <w:color w:val="FF0000"/>
        </w:rPr>
        <w:t>Surveys are cost-effective, scalable, and customi</w:t>
      </w:r>
      <w:r w:rsidR="00146DB8">
        <w:rPr>
          <w:rFonts w:ascii="Trebuchet MS" w:hAnsi="Trebuchet MS"/>
          <w:color w:val="FF0000"/>
        </w:rPr>
        <w:t>s</w:t>
      </w:r>
      <w:r w:rsidRPr="00C92DCD">
        <w:rPr>
          <w:rFonts w:ascii="Trebuchet MS" w:hAnsi="Trebuchet MS"/>
          <w:color w:val="FF0000"/>
        </w:rPr>
        <w:t>able, but they rely on honest responses and can be influenced by survey fatigue or poorly designed questions.</w:t>
      </w:r>
      <w:r w:rsidR="00B37417">
        <w:rPr>
          <w:rFonts w:ascii="Trebuchet MS" w:hAnsi="Trebuchet MS"/>
          <w:color w:val="FF0000"/>
        </w:rPr>
        <w:t xml:space="preserve"> </w:t>
      </w:r>
      <w:r w:rsidRPr="00C92DCD">
        <w:rPr>
          <w:rFonts w:ascii="Trebuchet MS" w:hAnsi="Trebuchet MS"/>
          <w:color w:val="FF0000"/>
        </w:rPr>
        <w:t>While PESTLE offers a broader view of external opportunities and threats, it lacks the granular, employee-</w:t>
      </w:r>
      <w:proofErr w:type="spellStart"/>
      <w:r w:rsidRPr="00C92DCD">
        <w:rPr>
          <w:rFonts w:ascii="Trebuchet MS" w:hAnsi="Trebuchet MS"/>
          <w:color w:val="FF0000"/>
        </w:rPr>
        <w:t>centered</w:t>
      </w:r>
      <w:proofErr w:type="spellEnd"/>
      <w:r w:rsidRPr="00C92DCD">
        <w:rPr>
          <w:rFonts w:ascii="Trebuchet MS" w:hAnsi="Trebuchet MS"/>
          <w:color w:val="FF0000"/>
        </w:rPr>
        <w:t xml:space="preserve"> focus of surveys.</w:t>
      </w:r>
    </w:p>
    <w:p w14:paraId="2050BE07" w14:textId="09FDA10B" w:rsidR="00C92DCD" w:rsidRPr="00C92DCD" w:rsidRDefault="00C92DCD" w:rsidP="00C92DCD">
      <w:pPr>
        <w:pStyle w:val="Nornal"/>
        <w:rPr>
          <w:rFonts w:ascii="Trebuchet MS" w:hAnsi="Trebuchet MS"/>
          <w:color w:val="FF0000"/>
        </w:rPr>
      </w:pPr>
      <w:r w:rsidRPr="00C92DCD">
        <w:rPr>
          <w:rFonts w:ascii="Trebuchet MS" w:hAnsi="Trebuchet MS"/>
          <w:color w:val="FF0000"/>
        </w:rPr>
        <w:t xml:space="preserve">Using both tools together allows </w:t>
      </w:r>
      <w:r w:rsidR="00B37417">
        <w:rPr>
          <w:rFonts w:ascii="Trebuchet MS" w:hAnsi="Trebuchet MS"/>
          <w:color w:val="FF0000"/>
        </w:rPr>
        <w:t>people</w:t>
      </w:r>
      <w:r w:rsidRPr="00C92DCD">
        <w:rPr>
          <w:rFonts w:ascii="Trebuchet MS" w:hAnsi="Trebuchet MS"/>
          <w:color w:val="FF0000"/>
        </w:rPr>
        <w:t xml:space="preserve"> professionals to align internal workforce strategies with external market realities, ensuring a holistic approach to managing organi</w:t>
      </w:r>
      <w:r w:rsidR="00B37417">
        <w:rPr>
          <w:rFonts w:ascii="Trebuchet MS" w:hAnsi="Trebuchet MS"/>
          <w:color w:val="FF0000"/>
        </w:rPr>
        <w:t>s</w:t>
      </w:r>
      <w:r w:rsidRPr="00C92DCD">
        <w:rPr>
          <w:rFonts w:ascii="Trebuchet MS" w:hAnsi="Trebuchet MS"/>
          <w:color w:val="FF0000"/>
        </w:rPr>
        <w:t>ational challenges and opportunities.</w:t>
      </w:r>
    </w:p>
    <w:p w14:paraId="599BB8A2" w14:textId="77777777" w:rsidR="00C92DCD" w:rsidRPr="00C92DCD" w:rsidRDefault="00C92DCD" w:rsidP="00716B85">
      <w:pPr>
        <w:pStyle w:val="Nornal"/>
        <w:rPr>
          <w:rFonts w:ascii="Trebuchet MS" w:hAnsi="Trebuchet MS"/>
          <w:strike/>
        </w:rPr>
      </w:pPr>
    </w:p>
    <w:p w14:paraId="498B5292" w14:textId="77777777" w:rsidR="00292831" w:rsidRDefault="00292831" w:rsidP="00EC02EB">
      <w:pPr>
        <w:pStyle w:val="Nornal"/>
        <w:rPr>
          <w:rFonts w:ascii="Trebuchet MS" w:hAnsi="Trebuchet MS"/>
        </w:rPr>
      </w:pPr>
    </w:p>
    <w:p w14:paraId="15C5C1B2" w14:textId="2291AC4A" w:rsidR="00EC02EB" w:rsidRDefault="0075395D" w:rsidP="00EC02EB">
      <w:pPr>
        <w:pStyle w:val="Nornal"/>
        <w:rPr>
          <w:rFonts w:ascii="Trebuchet MS" w:hAnsi="Trebuchet MS"/>
          <w:b/>
          <w:bCs/>
        </w:rPr>
      </w:pPr>
      <w:r>
        <w:rPr>
          <w:rFonts w:ascii="Trebuchet MS" w:hAnsi="Trebuchet MS"/>
          <w:b/>
          <w:bCs/>
        </w:rPr>
        <w:lastRenderedPageBreak/>
        <w:t>(</w:t>
      </w:r>
      <w:r w:rsidR="00EC02EB">
        <w:rPr>
          <w:rFonts w:ascii="Trebuchet MS" w:hAnsi="Trebuchet MS"/>
          <w:b/>
          <w:bCs/>
        </w:rPr>
        <w:t>AC 1.3</w:t>
      </w:r>
      <w:r>
        <w:rPr>
          <w:rFonts w:ascii="Trebuchet MS" w:hAnsi="Trebuchet MS"/>
          <w:b/>
          <w:bCs/>
        </w:rPr>
        <w:t>)</w:t>
      </w:r>
      <w:r w:rsidR="00EC02EB">
        <w:rPr>
          <w:rFonts w:ascii="Trebuchet MS" w:hAnsi="Trebuchet MS"/>
          <w:b/>
          <w:bCs/>
        </w:rPr>
        <w:t xml:space="preserve"> </w:t>
      </w:r>
      <w:r>
        <w:rPr>
          <w:rFonts w:ascii="Trebuchet MS" w:hAnsi="Trebuchet MS"/>
          <w:b/>
          <w:bCs/>
        </w:rPr>
        <w:t>Critical Thinking</w:t>
      </w:r>
    </w:p>
    <w:p w14:paraId="79FABED8" w14:textId="1EEC2B0A" w:rsidR="00705A06" w:rsidRDefault="00705A06" w:rsidP="00705A06">
      <w:pPr>
        <w:pStyle w:val="Nornal"/>
        <w:rPr>
          <w:rFonts w:ascii="Trebuchet MS" w:hAnsi="Trebuchet MS"/>
        </w:rPr>
      </w:pPr>
      <w:r w:rsidRPr="00705A06">
        <w:rPr>
          <w:rFonts w:ascii="Trebuchet MS" w:hAnsi="Trebuchet MS"/>
        </w:rPr>
        <w:t>Critical thinking is a disciplined process of analy</w:t>
      </w:r>
      <w:r w:rsidR="0099294E">
        <w:rPr>
          <w:rFonts w:ascii="Trebuchet MS" w:hAnsi="Trebuchet MS"/>
        </w:rPr>
        <w:t>s</w:t>
      </w:r>
      <w:r w:rsidRPr="00705A06">
        <w:rPr>
          <w:rFonts w:ascii="Trebuchet MS" w:hAnsi="Trebuchet MS"/>
        </w:rPr>
        <w:t>ing, evaluating, and synthesi</w:t>
      </w:r>
      <w:r w:rsidR="0099294E">
        <w:rPr>
          <w:rFonts w:ascii="Trebuchet MS" w:hAnsi="Trebuchet MS"/>
        </w:rPr>
        <w:t>s</w:t>
      </w:r>
      <w:r w:rsidRPr="00705A06">
        <w:rPr>
          <w:rFonts w:ascii="Trebuchet MS" w:hAnsi="Trebuchet MS"/>
        </w:rPr>
        <w:t>ing information to guide beliefs and actions. It involves questioning assumptions, recogni</w:t>
      </w:r>
      <w:r w:rsidR="0099294E">
        <w:rPr>
          <w:rFonts w:ascii="Trebuchet MS" w:hAnsi="Trebuchet MS"/>
        </w:rPr>
        <w:t>s</w:t>
      </w:r>
      <w:r w:rsidRPr="00705A06">
        <w:rPr>
          <w:rFonts w:ascii="Trebuchet MS" w:hAnsi="Trebuchet MS"/>
        </w:rPr>
        <w:t xml:space="preserve">ing biases, and considering alternative perspectives to arrive at well-reasoned conclusions. The main principles of critical thinking, as outlined by </w:t>
      </w:r>
      <w:r w:rsidR="00D84362">
        <w:rPr>
          <w:rFonts w:ascii="Trebuchet MS" w:hAnsi="Trebuchet MS"/>
        </w:rPr>
        <w:t xml:space="preserve">Elder and Paul </w:t>
      </w:r>
      <w:r w:rsidRPr="00705A06">
        <w:rPr>
          <w:rFonts w:ascii="Trebuchet MS" w:hAnsi="Trebuchet MS"/>
        </w:rPr>
        <w:t>(20</w:t>
      </w:r>
      <w:r w:rsidR="00D84362">
        <w:rPr>
          <w:rFonts w:ascii="Trebuchet MS" w:hAnsi="Trebuchet MS"/>
        </w:rPr>
        <w:t>20</w:t>
      </w:r>
      <w:r w:rsidRPr="00705A06">
        <w:rPr>
          <w:rFonts w:ascii="Trebuchet MS" w:hAnsi="Trebuchet MS"/>
        </w:rPr>
        <w:t>), include clarity, accuracy, precision, relevance, depth, breadth, logic, and fairness.</w:t>
      </w:r>
    </w:p>
    <w:p w14:paraId="0D63F512" w14:textId="073019A1" w:rsidR="0099294E" w:rsidRPr="0099294E" w:rsidRDefault="0099294E" w:rsidP="0099294E">
      <w:pPr>
        <w:pStyle w:val="Nornal"/>
        <w:rPr>
          <w:rFonts w:ascii="Trebuchet MS" w:hAnsi="Trebuchet MS"/>
        </w:rPr>
      </w:pPr>
      <w:r w:rsidRPr="0099294E">
        <w:rPr>
          <w:rFonts w:ascii="Trebuchet MS" w:hAnsi="Trebuchet MS"/>
        </w:rPr>
        <w:t>Applying these principles to one’s own and others’ ideas fosters objective and rational debate. For instance, in evaluating your own ideas, critical thinking encourages self-reflection to identify potential biases or assumptions. For example, when proposing a new workplace policy, you might critically assess whether your proposal is supported by data, aligns with organi</w:t>
      </w:r>
      <w:r w:rsidR="00421B55">
        <w:rPr>
          <w:rFonts w:ascii="Trebuchet MS" w:hAnsi="Trebuchet MS"/>
        </w:rPr>
        <w:t>s</w:t>
      </w:r>
      <w:r w:rsidRPr="0099294E">
        <w:rPr>
          <w:rFonts w:ascii="Trebuchet MS" w:hAnsi="Trebuchet MS"/>
        </w:rPr>
        <w:t>ational goals, and considers the perspectives of all stakeholders. This self-evaluation ensures that your contributions to discussions are well-founded and defensible.</w:t>
      </w:r>
    </w:p>
    <w:p w14:paraId="4EBD648B" w14:textId="77777777" w:rsidR="0099294E" w:rsidRDefault="0099294E" w:rsidP="0099294E">
      <w:pPr>
        <w:pStyle w:val="Nornal"/>
        <w:rPr>
          <w:rFonts w:ascii="Trebuchet MS" w:hAnsi="Trebuchet MS"/>
        </w:rPr>
      </w:pPr>
      <w:r w:rsidRPr="0099294E">
        <w:rPr>
          <w:rFonts w:ascii="Trebuchet MS" w:hAnsi="Trebuchet MS"/>
        </w:rPr>
        <w:t xml:space="preserve">When engaging with others’ ideas, critical thinking involves active listening and questioning to clarify and assess the validity of their arguments. For instance, during a team debate, you might ask probing questions to ensure that the reasoning behind a colleague’s suggestion is logical and </w:t>
      </w:r>
      <w:proofErr w:type="gramStart"/>
      <w:r w:rsidRPr="0099294E">
        <w:rPr>
          <w:rFonts w:ascii="Trebuchet MS" w:hAnsi="Trebuchet MS"/>
        </w:rPr>
        <w:t>evidence-based</w:t>
      </w:r>
      <w:proofErr w:type="gramEnd"/>
      <w:r w:rsidRPr="0099294E">
        <w:rPr>
          <w:rFonts w:ascii="Trebuchet MS" w:hAnsi="Trebuchet MS"/>
        </w:rPr>
        <w:t>. Additionally, considering alternative viewpoints or counterarguments demonstrates breadth and fairness, fostering a more comprehensive understanding of the issue.</w:t>
      </w:r>
    </w:p>
    <w:p w14:paraId="3C3727C0" w14:textId="32AE3508" w:rsidR="00421B55" w:rsidRDefault="000550DC" w:rsidP="0099294E">
      <w:pPr>
        <w:pStyle w:val="Nornal"/>
        <w:rPr>
          <w:rFonts w:ascii="Trebuchet MS" w:hAnsi="Trebuchet MS"/>
        </w:rPr>
      </w:pPr>
      <w:r>
        <w:rPr>
          <w:rFonts w:ascii="Trebuchet MS" w:hAnsi="Trebuchet MS"/>
        </w:rPr>
        <w:t xml:space="preserve">Furthermore, </w:t>
      </w:r>
      <w:r w:rsidR="00421B55">
        <w:rPr>
          <w:rFonts w:ascii="Trebuchet MS" w:hAnsi="Trebuchet MS"/>
        </w:rPr>
        <w:t>Warren Howlett (2019) explains that c</w:t>
      </w:r>
      <w:r w:rsidR="00421B55" w:rsidRPr="00421B55">
        <w:rPr>
          <w:rFonts w:ascii="Trebuchet MS" w:hAnsi="Trebuchet MS"/>
        </w:rPr>
        <w:t xml:space="preserve">ritical thinking is the ability to critically reflect on </w:t>
      </w:r>
      <w:r w:rsidR="00421B55">
        <w:rPr>
          <w:rFonts w:ascii="Trebuchet MS" w:hAnsi="Trebuchet MS"/>
        </w:rPr>
        <w:t xml:space="preserve">your own or </w:t>
      </w:r>
      <w:proofErr w:type="gramStart"/>
      <w:r w:rsidR="00421B55">
        <w:rPr>
          <w:rFonts w:ascii="Trebuchet MS" w:hAnsi="Trebuchet MS"/>
        </w:rPr>
        <w:t>others</w:t>
      </w:r>
      <w:proofErr w:type="gramEnd"/>
      <w:r w:rsidR="00421B55">
        <w:rPr>
          <w:rFonts w:ascii="Trebuchet MS" w:hAnsi="Trebuchet MS"/>
        </w:rPr>
        <w:t xml:space="preserve"> </w:t>
      </w:r>
      <w:r w:rsidR="00421B55" w:rsidRPr="00421B55">
        <w:rPr>
          <w:rFonts w:ascii="Trebuchet MS" w:hAnsi="Trebuchet MS"/>
        </w:rPr>
        <w:t>ideas</w:t>
      </w:r>
      <w:r w:rsidR="00421B55">
        <w:rPr>
          <w:rFonts w:ascii="Trebuchet MS" w:hAnsi="Trebuchet MS"/>
        </w:rPr>
        <w:t xml:space="preserve"> and opinions</w:t>
      </w:r>
      <w:r w:rsidR="00421B55" w:rsidRPr="00421B55">
        <w:rPr>
          <w:rFonts w:ascii="Trebuchet MS" w:hAnsi="Trebuchet MS"/>
        </w:rPr>
        <w:t xml:space="preserve">. </w:t>
      </w:r>
      <w:r w:rsidR="00421B55">
        <w:rPr>
          <w:rFonts w:ascii="Trebuchet MS" w:hAnsi="Trebuchet MS"/>
        </w:rPr>
        <w:t>According to Howlett, t</w:t>
      </w:r>
      <w:r w:rsidR="00421B55" w:rsidRPr="00421B55">
        <w:rPr>
          <w:rFonts w:ascii="Trebuchet MS" w:hAnsi="Trebuchet MS"/>
        </w:rPr>
        <w:t>here are three key parts to critical thinking</w:t>
      </w:r>
      <w:r w:rsidR="00421B55">
        <w:rPr>
          <w:rFonts w:ascii="Trebuchet MS" w:hAnsi="Trebuchet MS"/>
        </w:rPr>
        <w:t>;</w:t>
      </w:r>
      <w:r w:rsidR="00421B55" w:rsidRPr="00421B55">
        <w:rPr>
          <w:rFonts w:ascii="Trebuchet MS" w:hAnsi="Trebuchet MS"/>
        </w:rPr>
        <w:t xml:space="preserve"> critiquing the ideas, opinions and arguments of others</w:t>
      </w:r>
      <w:r w:rsidR="00421B55">
        <w:rPr>
          <w:rFonts w:ascii="Trebuchet MS" w:hAnsi="Trebuchet MS"/>
        </w:rPr>
        <w:t>;</w:t>
      </w:r>
      <w:r w:rsidR="00421B55" w:rsidRPr="00421B55">
        <w:rPr>
          <w:rFonts w:ascii="Trebuchet MS" w:hAnsi="Trebuchet MS"/>
        </w:rPr>
        <w:t xml:space="preserve"> construct</w:t>
      </w:r>
      <w:r w:rsidR="00421B55">
        <w:rPr>
          <w:rFonts w:ascii="Trebuchet MS" w:hAnsi="Trebuchet MS"/>
        </w:rPr>
        <w:t>ing</w:t>
      </w:r>
      <w:r w:rsidR="00421B55" w:rsidRPr="00421B55">
        <w:rPr>
          <w:rFonts w:ascii="Trebuchet MS" w:hAnsi="Trebuchet MS"/>
        </w:rPr>
        <w:t xml:space="preserve"> arguments and opinions </w:t>
      </w:r>
      <w:r w:rsidR="00421B55">
        <w:rPr>
          <w:rFonts w:ascii="Trebuchet MS" w:hAnsi="Trebuchet MS"/>
        </w:rPr>
        <w:t>and</w:t>
      </w:r>
      <w:r w:rsidR="00421B55" w:rsidRPr="00421B55">
        <w:rPr>
          <w:rFonts w:ascii="Trebuchet MS" w:hAnsi="Trebuchet MS"/>
        </w:rPr>
        <w:t xml:space="preserve"> communicating to others</w:t>
      </w:r>
      <w:r w:rsidR="00421B55">
        <w:rPr>
          <w:rFonts w:ascii="Trebuchet MS" w:hAnsi="Trebuchet MS"/>
        </w:rPr>
        <w:t>;</w:t>
      </w:r>
      <w:r w:rsidR="00421B55" w:rsidRPr="00421B55">
        <w:rPr>
          <w:rFonts w:ascii="Trebuchet MS" w:hAnsi="Trebuchet MS"/>
        </w:rPr>
        <w:t xml:space="preserve"> identify</w:t>
      </w:r>
      <w:r w:rsidR="00421B55">
        <w:rPr>
          <w:rFonts w:ascii="Trebuchet MS" w:hAnsi="Trebuchet MS"/>
        </w:rPr>
        <w:t>ing</w:t>
      </w:r>
      <w:r w:rsidR="00421B55" w:rsidRPr="00421B55">
        <w:rPr>
          <w:rFonts w:ascii="Trebuchet MS" w:hAnsi="Trebuchet MS"/>
        </w:rPr>
        <w:t xml:space="preserve"> when other</w:t>
      </w:r>
      <w:r w:rsidR="00421B55">
        <w:rPr>
          <w:rFonts w:ascii="Trebuchet MS" w:hAnsi="Trebuchet MS"/>
        </w:rPr>
        <w:t xml:space="preserve"> </w:t>
      </w:r>
      <w:r w:rsidR="00421B55" w:rsidRPr="00421B55">
        <w:rPr>
          <w:rFonts w:ascii="Trebuchet MS" w:hAnsi="Trebuchet MS"/>
        </w:rPr>
        <w:t>critical thin</w:t>
      </w:r>
      <w:r w:rsidR="00421B55">
        <w:rPr>
          <w:rFonts w:ascii="Trebuchet MS" w:hAnsi="Trebuchet MS"/>
        </w:rPr>
        <w:t>kers are</w:t>
      </w:r>
      <w:r w:rsidR="00421B55" w:rsidRPr="00421B55">
        <w:rPr>
          <w:rFonts w:ascii="Trebuchet MS" w:hAnsi="Trebuchet MS"/>
        </w:rPr>
        <w:t xml:space="preserve"> impact</w:t>
      </w:r>
      <w:r w:rsidR="00421B55">
        <w:rPr>
          <w:rFonts w:ascii="Trebuchet MS" w:hAnsi="Trebuchet MS"/>
        </w:rPr>
        <w:t>ing</w:t>
      </w:r>
      <w:r w:rsidR="00421B55" w:rsidRPr="00421B55">
        <w:rPr>
          <w:rFonts w:ascii="Trebuchet MS" w:hAnsi="Trebuchet MS"/>
        </w:rPr>
        <w:t xml:space="preserve"> how people professional</w:t>
      </w:r>
      <w:r w:rsidR="00421B55">
        <w:rPr>
          <w:rFonts w:ascii="Trebuchet MS" w:hAnsi="Trebuchet MS"/>
        </w:rPr>
        <w:t>s are</w:t>
      </w:r>
      <w:r w:rsidR="00421B55" w:rsidRPr="00421B55">
        <w:rPr>
          <w:rFonts w:ascii="Trebuchet MS" w:hAnsi="Trebuchet MS"/>
        </w:rPr>
        <w:t xml:space="preserve"> making a case or building an argument making a business case.</w:t>
      </w:r>
      <w:r>
        <w:rPr>
          <w:rFonts w:ascii="Trebuchet MS" w:hAnsi="Trebuchet MS"/>
        </w:rPr>
        <w:t xml:space="preserve"> By utilising these factors, individuals are better able to create strategic debate. Whilst Howlett suggests that critical thinking is a useful tool to evaluate other </w:t>
      </w:r>
      <w:proofErr w:type="spellStart"/>
      <w:proofErr w:type="gramStart"/>
      <w:r>
        <w:rPr>
          <w:rFonts w:ascii="Trebuchet MS" w:hAnsi="Trebuchet MS"/>
        </w:rPr>
        <w:t>peoples</w:t>
      </w:r>
      <w:proofErr w:type="spellEnd"/>
      <w:proofErr w:type="gramEnd"/>
      <w:r>
        <w:rPr>
          <w:rFonts w:ascii="Trebuchet MS" w:hAnsi="Trebuchet MS"/>
        </w:rPr>
        <w:t xml:space="preserve"> ideas, Elder and Paul argue the case that it is better used to evaluate oneself. </w:t>
      </w:r>
    </w:p>
    <w:p w14:paraId="339701E7" w14:textId="77777777" w:rsidR="000550DC" w:rsidRDefault="000550DC" w:rsidP="000550DC">
      <w:pPr>
        <w:pStyle w:val="Nornal"/>
        <w:rPr>
          <w:rFonts w:ascii="Trebuchet MS" w:hAnsi="Trebuchet MS"/>
        </w:rPr>
      </w:pPr>
      <w:r>
        <w:rPr>
          <w:rFonts w:ascii="Trebuchet MS" w:hAnsi="Trebuchet MS"/>
        </w:rPr>
        <w:t xml:space="preserve">Cottrell’s (2019) principles of critical thinking move beyond questioning your own reasoning or the reasoning of others. Her </w:t>
      </w:r>
      <w:proofErr w:type="gramStart"/>
      <w:r>
        <w:rPr>
          <w:rFonts w:ascii="Trebuchet MS" w:hAnsi="Trebuchet MS"/>
        </w:rPr>
        <w:t>process;</w:t>
      </w:r>
      <w:proofErr w:type="gramEnd"/>
      <w:r>
        <w:rPr>
          <w:rFonts w:ascii="Trebuchet MS" w:hAnsi="Trebuchet MS"/>
        </w:rPr>
        <w:t xml:space="preserve"> Identifying, Evaluating, Weighing up, Reading between the lines, Recognising, Drawing conclusions and Presenting a point of view allow developing HR professionals to adopt a critical mindset. By critically evaluating and recognising biases, individuals </w:t>
      </w:r>
      <w:proofErr w:type="gramStart"/>
      <w:r>
        <w:rPr>
          <w:rFonts w:ascii="Trebuchet MS" w:hAnsi="Trebuchet MS"/>
        </w:rPr>
        <w:t>are able to</w:t>
      </w:r>
      <w:proofErr w:type="gramEnd"/>
      <w:r>
        <w:rPr>
          <w:rFonts w:ascii="Trebuchet MS" w:hAnsi="Trebuchet MS"/>
        </w:rPr>
        <w:t xml:space="preserve"> draw more objective conclusions. </w:t>
      </w:r>
    </w:p>
    <w:p w14:paraId="4B6EB23C" w14:textId="75EF0156" w:rsidR="0099294E" w:rsidRPr="00705A06" w:rsidRDefault="0099294E" w:rsidP="00705A06">
      <w:pPr>
        <w:pStyle w:val="Nornal"/>
        <w:rPr>
          <w:rFonts w:ascii="Trebuchet MS" w:hAnsi="Trebuchet MS"/>
        </w:rPr>
      </w:pPr>
      <w:r w:rsidRPr="0099294E">
        <w:rPr>
          <w:rFonts w:ascii="Trebuchet MS" w:hAnsi="Trebuchet MS"/>
        </w:rPr>
        <w:t>In organi</w:t>
      </w:r>
      <w:r w:rsidR="00421B55">
        <w:rPr>
          <w:rFonts w:ascii="Trebuchet MS" w:hAnsi="Trebuchet MS"/>
        </w:rPr>
        <w:t>s</w:t>
      </w:r>
      <w:r w:rsidRPr="0099294E">
        <w:rPr>
          <w:rFonts w:ascii="Trebuchet MS" w:hAnsi="Trebuchet MS"/>
        </w:rPr>
        <w:t xml:space="preserve">ational settings, the principles of critical thinking are particularly valuable for resolving conflicts, making strategic decisions, and innovating solutions to complex problems. By applying these principles, individuals and teams can move beyond subjective opinions or emotional reactions to engage in constructive and informed dialogue. As </w:t>
      </w:r>
      <w:proofErr w:type="spellStart"/>
      <w:r w:rsidRPr="0099294E">
        <w:rPr>
          <w:rFonts w:ascii="Trebuchet MS" w:hAnsi="Trebuchet MS"/>
        </w:rPr>
        <w:t>Facione</w:t>
      </w:r>
      <w:proofErr w:type="spellEnd"/>
      <w:r w:rsidRPr="0099294E">
        <w:rPr>
          <w:rFonts w:ascii="Trebuchet MS" w:hAnsi="Trebuchet MS"/>
        </w:rPr>
        <w:t xml:space="preserve"> (201</w:t>
      </w:r>
      <w:r w:rsidR="000550DC">
        <w:rPr>
          <w:rFonts w:ascii="Trebuchet MS" w:hAnsi="Trebuchet MS"/>
        </w:rPr>
        <w:t>5</w:t>
      </w:r>
      <w:r w:rsidRPr="0099294E">
        <w:rPr>
          <w:rFonts w:ascii="Trebuchet MS" w:hAnsi="Trebuchet MS"/>
        </w:rPr>
        <w:t>) suggests, critical thinking cultivates open-mindedness and intellectual rigor, essential for effective collaboration and decision-making.</w:t>
      </w:r>
    </w:p>
    <w:p w14:paraId="4A8AFFB7" w14:textId="77777777" w:rsidR="00341946" w:rsidRDefault="00341946" w:rsidP="00EC02EB">
      <w:pPr>
        <w:pStyle w:val="Nornal"/>
        <w:rPr>
          <w:rFonts w:ascii="Trebuchet MS" w:hAnsi="Trebuchet MS"/>
          <w:b/>
          <w:bCs/>
        </w:rPr>
      </w:pPr>
    </w:p>
    <w:p w14:paraId="0C30150A" w14:textId="70E15892" w:rsidR="00EC02EB" w:rsidRDefault="0075395D" w:rsidP="00EC02EB">
      <w:pPr>
        <w:pStyle w:val="Nornal"/>
        <w:rPr>
          <w:rFonts w:ascii="Trebuchet MS" w:hAnsi="Trebuchet MS"/>
          <w:b/>
          <w:bCs/>
        </w:rPr>
      </w:pPr>
      <w:r>
        <w:rPr>
          <w:rFonts w:ascii="Trebuchet MS" w:hAnsi="Trebuchet MS"/>
          <w:b/>
          <w:bCs/>
        </w:rPr>
        <w:t>(</w:t>
      </w:r>
      <w:r w:rsidR="00EC02EB">
        <w:rPr>
          <w:rFonts w:ascii="Trebuchet MS" w:hAnsi="Trebuchet MS"/>
          <w:b/>
          <w:bCs/>
        </w:rPr>
        <w:t>AC 1.4</w:t>
      </w:r>
      <w:r>
        <w:rPr>
          <w:rFonts w:ascii="Trebuchet MS" w:hAnsi="Trebuchet MS"/>
          <w:b/>
          <w:bCs/>
        </w:rPr>
        <w:t>) D</w:t>
      </w:r>
      <w:r w:rsidR="00EC02EB">
        <w:rPr>
          <w:rFonts w:ascii="Trebuchet MS" w:hAnsi="Trebuchet MS"/>
          <w:b/>
          <w:bCs/>
        </w:rPr>
        <w:t>ecision-</w:t>
      </w:r>
      <w:r>
        <w:rPr>
          <w:rFonts w:ascii="Trebuchet MS" w:hAnsi="Trebuchet MS"/>
          <w:b/>
          <w:bCs/>
        </w:rPr>
        <w:t>M</w:t>
      </w:r>
      <w:r w:rsidR="00EC02EB">
        <w:rPr>
          <w:rFonts w:ascii="Trebuchet MS" w:hAnsi="Trebuchet MS"/>
          <w:b/>
          <w:bCs/>
        </w:rPr>
        <w:t xml:space="preserve">aking </w:t>
      </w:r>
      <w:r>
        <w:rPr>
          <w:rFonts w:ascii="Trebuchet MS" w:hAnsi="Trebuchet MS"/>
          <w:b/>
          <w:bCs/>
        </w:rPr>
        <w:t>P</w:t>
      </w:r>
      <w:r w:rsidR="00EC02EB">
        <w:rPr>
          <w:rFonts w:ascii="Trebuchet MS" w:hAnsi="Trebuchet MS"/>
          <w:b/>
          <w:bCs/>
        </w:rPr>
        <w:t>rocesses</w:t>
      </w:r>
    </w:p>
    <w:p w14:paraId="7356276B" w14:textId="76C1F22D" w:rsidR="0075395D" w:rsidRPr="0075395D" w:rsidRDefault="0075395D" w:rsidP="0075395D">
      <w:pPr>
        <w:pStyle w:val="Nornal"/>
        <w:rPr>
          <w:rFonts w:ascii="Trebuchet MS" w:hAnsi="Trebuchet MS"/>
        </w:rPr>
      </w:pPr>
      <w:r w:rsidRPr="0075395D">
        <w:rPr>
          <w:rFonts w:ascii="Trebuchet MS" w:hAnsi="Trebuchet MS"/>
        </w:rPr>
        <w:t>Effective decision-making in Human Resource Management (HRM) is crucial for achieving organi</w:t>
      </w:r>
      <w:r w:rsidR="00BF2492">
        <w:rPr>
          <w:rFonts w:ascii="Trebuchet MS" w:hAnsi="Trebuchet MS"/>
        </w:rPr>
        <w:t>s</w:t>
      </w:r>
      <w:r w:rsidRPr="0075395D">
        <w:rPr>
          <w:rFonts w:ascii="Trebuchet MS" w:hAnsi="Trebuchet MS"/>
        </w:rPr>
        <w:t>ational goals and fostering employee satisfaction. Two structured decision-making processes that support effective outcomes are De Bono’s Six Thinking Hats and the Kepner-Tregoe Method.</w:t>
      </w:r>
    </w:p>
    <w:p w14:paraId="4B331B59" w14:textId="43BF49E0" w:rsidR="0075395D" w:rsidRPr="0075395D" w:rsidRDefault="0075395D" w:rsidP="0075395D">
      <w:pPr>
        <w:pStyle w:val="Nornal"/>
        <w:rPr>
          <w:rFonts w:ascii="Trebuchet MS" w:hAnsi="Trebuchet MS"/>
        </w:rPr>
      </w:pPr>
      <w:r w:rsidRPr="0075395D">
        <w:rPr>
          <w:rFonts w:ascii="Trebuchet MS" w:hAnsi="Trebuchet MS"/>
        </w:rPr>
        <w:t>De Bono’s Six Thinking Hats is a creative decision-making framework that encourages parallel thinking by considering different perspectives systematically</w:t>
      </w:r>
      <w:r w:rsidR="00BF2492">
        <w:rPr>
          <w:rFonts w:ascii="Trebuchet MS" w:hAnsi="Trebuchet MS"/>
        </w:rPr>
        <w:t xml:space="preserve"> </w:t>
      </w:r>
      <w:r w:rsidR="00BF2492" w:rsidRPr="0075395D">
        <w:rPr>
          <w:rFonts w:ascii="Trebuchet MS" w:hAnsi="Trebuchet MS"/>
        </w:rPr>
        <w:t>(De Bono, 1985)</w:t>
      </w:r>
      <w:r w:rsidRPr="0075395D">
        <w:rPr>
          <w:rFonts w:ascii="Trebuchet MS" w:hAnsi="Trebuchet MS"/>
        </w:rPr>
        <w:t xml:space="preserve">. Each “hat” represents a specific mode of thinking: White (facts and information), Red (emotions and intuition), Black (caution and risks), Yellow (positivity and benefits), Green (creativity and </w:t>
      </w:r>
      <w:r w:rsidRPr="0075395D">
        <w:rPr>
          <w:rFonts w:ascii="Trebuchet MS" w:hAnsi="Trebuchet MS"/>
        </w:rPr>
        <w:lastRenderedPageBreak/>
        <w:t>alternatives), and Blue (process control)</w:t>
      </w:r>
      <w:r w:rsidR="00BF2492" w:rsidRPr="00BF2492">
        <w:rPr>
          <w:rFonts w:ascii="Times New Roman" w:eastAsia="Times New Roman" w:hAnsi="Times New Roman" w:cs="Times New Roman"/>
          <w:sz w:val="24"/>
          <w:szCs w:val="24"/>
          <w:lang w:eastAsia="en-GB"/>
        </w:rPr>
        <w:t xml:space="preserve"> </w:t>
      </w:r>
      <w:r w:rsidR="00BF2492" w:rsidRPr="00BF2492">
        <w:rPr>
          <w:rFonts w:ascii="Trebuchet MS" w:hAnsi="Trebuchet MS"/>
        </w:rPr>
        <w:t>(BBC, n.d.)</w:t>
      </w:r>
      <w:r w:rsidRPr="0075395D">
        <w:rPr>
          <w:rFonts w:ascii="Trebuchet MS" w:hAnsi="Trebuchet MS"/>
        </w:rPr>
        <w:t>. This method is particularly useful in HRM for fostering balanced and inclusive decision-making. For instance, when designing a new employee wellness program, the team might use the White Hat to gather data on employee needs, the Red Hat to understand emotional reactions, and the Black Hat to anticipate potential challenges. The Yellow Hat can highlight the benefits of improved morale, while the Green Hat can explore innovative program designs. Finally, the Blue Hat ensures the discussion remains organi</w:t>
      </w:r>
      <w:r w:rsidR="00BF2492">
        <w:rPr>
          <w:rFonts w:ascii="Trebuchet MS" w:hAnsi="Trebuchet MS"/>
        </w:rPr>
        <w:t>s</w:t>
      </w:r>
      <w:r w:rsidRPr="0075395D">
        <w:rPr>
          <w:rFonts w:ascii="Trebuchet MS" w:hAnsi="Trebuchet MS"/>
        </w:rPr>
        <w:t xml:space="preserve">ed and </w:t>
      </w:r>
      <w:proofErr w:type="gramStart"/>
      <w:r w:rsidRPr="0075395D">
        <w:rPr>
          <w:rFonts w:ascii="Trebuchet MS" w:hAnsi="Trebuchet MS"/>
        </w:rPr>
        <w:t>goal-oriented</w:t>
      </w:r>
      <w:proofErr w:type="gramEnd"/>
      <w:r w:rsidRPr="0075395D">
        <w:rPr>
          <w:rFonts w:ascii="Trebuchet MS" w:hAnsi="Trebuchet MS"/>
        </w:rPr>
        <w:t>. By integrating diverse viewpoints, the Six Thinking Hats approach reduces bias, improves collaboration, and leads to well-rounded HR strategies</w:t>
      </w:r>
      <w:r w:rsidR="00016BFD">
        <w:rPr>
          <w:rFonts w:ascii="Trebuchet MS" w:hAnsi="Trebuchet MS"/>
        </w:rPr>
        <w:t xml:space="preserve"> </w:t>
      </w:r>
      <w:r w:rsidR="00016BFD" w:rsidRPr="00016BFD">
        <w:rPr>
          <w:rFonts w:ascii="Trebuchet MS" w:hAnsi="Trebuchet MS"/>
        </w:rPr>
        <w:t>(Patre, 2016)</w:t>
      </w:r>
      <w:r w:rsidR="00BF2492">
        <w:rPr>
          <w:rFonts w:ascii="Trebuchet MS" w:hAnsi="Trebuchet MS"/>
        </w:rPr>
        <w:t>.</w:t>
      </w:r>
    </w:p>
    <w:p w14:paraId="02ACF955" w14:textId="5159BA25" w:rsidR="0075395D" w:rsidRPr="0075395D" w:rsidRDefault="0075395D" w:rsidP="0075395D">
      <w:pPr>
        <w:pStyle w:val="Nornal"/>
        <w:rPr>
          <w:rFonts w:ascii="Trebuchet MS" w:hAnsi="Trebuchet MS"/>
        </w:rPr>
      </w:pPr>
      <w:r w:rsidRPr="0075395D">
        <w:rPr>
          <w:rFonts w:ascii="Trebuchet MS" w:hAnsi="Trebuchet MS"/>
        </w:rPr>
        <w:t>The Kepner-Tregoe Method is a rational decision-making process that emphasi</w:t>
      </w:r>
      <w:r w:rsidR="00BF2492">
        <w:rPr>
          <w:rFonts w:ascii="Trebuchet MS" w:hAnsi="Trebuchet MS"/>
        </w:rPr>
        <w:t>s</w:t>
      </w:r>
      <w:r w:rsidRPr="0075395D">
        <w:rPr>
          <w:rFonts w:ascii="Trebuchet MS" w:hAnsi="Trebuchet MS"/>
        </w:rPr>
        <w:t>es identifying and prioriti</w:t>
      </w:r>
      <w:r w:rsidR="00BF2492">
        <w:rPr>
          <w:rFonts w:ascii="Trebuchet MS" w:hAnsi="Trebuchet MS"/>
        </w:rPr>
        <w:t>s</w:t>
      </w:r>
      <w:r w:rsidRPr="0075395D">
        <w:rPr>
          <w:rFonts w:ascii="Trebuchet MS" w:hAnsi="Trebuchet MS"/>
        </w:rPr>
        <w:t>ing problems, evaluating alternatives, and implementing solutions</w:t>
      </w:r>
      <w:r w:rsidR="00016BFD">
        <w:rPr>
          <w:rFonts w:ascii="Trebuchet MS" w:hAnsi="Trebuchet MS"/>
        </w:rPr>
        <w:t xml:space="preserve"> </w:t>
      </w:r>
      <w:r w:rsidR="00016BFD" w:rsidRPr="00016BFD">
        <w:rPr>
          <w:rFonts w:ascii="Trebuchet MS" w:hAnsi="Trebuchet MS"/>
        </w:rPr>
        <w:t>(Markopoulos et al., 2022)</w:t>
      </w:r>
      <w:r w:rsidRPr="0075395D">
        <w:rPr>
          <w:rFonts w:ascii="Trebuchet MS" w:hAnsi="Trebuchet MS"/>
        </w:rPr>
        <w:t>. It follows four key steps: situation analysis, problem analysis, decision analysis, and potential problem analysis</w:t>
      </w:r>
      <w:r w:rsidR="00016BFD">
        <w:rPr>
          <w:rFonts w:ascii="Trebuchet MS" w:hAnsi="Trebuchet MS"/>
        </w:rPr>
        <w:t xml:space="preserve"> </w:t>
      </w:r>
      <w:r w:rsidR="00016BFD" w:rsidRPr="0075395D">
        <w:rPr>
          <w:rFonts w:ascii="Trebuchet MS" w:hAnsi="Trebuchet MS"/>
        </w:rPr>
        <w:t>(Kepner &amp; Tregoe, 19</w:t>
      </w:r>
      <w:r w:rsidR="00016BFD">
        <w:rPr>
          <w:rFonts w:ascii="Trebuchet MS" w:hAnsi="Trebuchet MS"/>
        </w:rPr>
        <w:t>9</w:t>
      </w:r>
      <w:r w:rsidR="00016BFD" w:rsidRPr="0075395D">
        <w:rPr>
          <w:rFonts w:ascii="Trebuchet MS" w:hAnsi="Trebuchet MS"/>
        </w:rPr>
        <w:t>1)</w:t>
      </w:r>
      <w:r w:rsidRPr="0075395D">
        <w:rPr>
          <w:rFonts w:ascii="Trebuchet MS" w:hAnsi="Trebuchet MS"/>
        </w:rPr>
        <w:t>. In HRM, this method is particularly effective for addressing complex issues such as high turnover rates. For example, during the situation analysis, HR might gather data on turnover trends and identify key pain points. Problem analysis would involve identifying root causes, such as inadequate training or poor management practices. Decision analysis entails evaluating possible interventions, such as introducing mentorship programs or revising training modules, by weighing their costs and benefits. Finally, potential problem analysis helps anticipate implementation challenges, like resistance to change, and develop mitigation strategies</w:t>
      </w:r>
      <w:r w:rsidR="00016BFD">
        <w:rPr>
          <w:rFonts w:ascii="Trebuchet MS" w:hAnsi="Trebuchet MS"/>
        </w:rPr>
        <w:t>.</w:t>
      </w:r>
    </w:p>
    <w:p w14:paraId="40E5D6BE" w14:textId="77777777" w:rsidR="0075395D" w:rsidRPr="0075395D" w:rsidRDefault="0075395D" w:rsidP="0075395D">
      <w:pPr>
        <w:pStyle w:val="Nornal"/>
        <w:rPr>
          <w:rFonts w:ascii="Trebuchet MS" w:hAnsi="Trebuchet MS"/>
        </w:rPr>
      </w:pPr>
      <w:r w:rsidRPr="0075395D">
        <w:rPr>
          <w:rFonts w:ascii="Trebuchet MS" w:hAnsi="Trebuchet MS"/>
        </w:rPr>
        <w:t>Both methods offer valuable tools for HRM decision-making. De Bono’s Six Thinking Hats enhances creativity and inclusivity, while the Kepner-Tregoe Method provides a structured approach to tackling complex problems. By applying these frameworks, HR professionals can make informed, objective, and strategic decisions, ultimately contributing to effective outcomes and organizational success. Integrating these methods fosters a culture of critical thinking and proactive problem-solving within the HR function.</w:t>
      </w:r>
    </w:p>
    <w:p w14:paraId="443D058B" w14:textId="77777777" w:rsidR="003376F1" w:rsidRDefault="003376F1" w:rsidP="00EC02EB">
      <w:pPr>
        <w:pStyle w:val="Nornal"/>
        <w:rPr>
          <w:rFonts w:ascii="Trebuchet MS" w:hAnsi="Trebuchet MS"/>
          <w:b/>
          <w:bCs/>
        </w:rPr>
      </w:pPr>
    </w:p>
    <w:p w14:paraId="316BCD8C" w14:textId="3E2923BC" w:rsidR="00EC02EB" w:rsidRDefault="0075395D" w:rsidP="00EC02EB">
      <w:pPr>
        <w:pStyle w:val="Nornal"/>
        <w:rPr>
          <w:rFonts w:ascii="Trebuchet MS" w:hAnsi="Trebuchet MS"/>
          <w:b/>
          <w:bCs/>
        </w:rPr>
      </w:pPr>
      <w:r>
        <w:rPr>
          <w:rFonts w:ascii="Trebuchet MS" w:hAnsi="Trebuchet MS"/>
          <w:b/>
          <w:bCs/>
        </w:rPr>
        <w:t>(</w:t>
      </w:r>
      <w:r w:rsidR="00EC02EB">
        <w:rPr>
          <w:rFonts w:ascii="Trebuchet MS" w:hAnsi="Trebuchet MS"/>
          <w:b/>
          <w:bCs/>
        </w:rPr>
        <w:t>AC 1.5</w:t>
      </w:r>
      <w:r>
        <w:rPr>
          <w:rFonts w:ascii="Trebuchet MS" w:hAnsi="Trebuchet MS"/>
          <w:b/>
          <w:bCs/>
        </w:rPr>
        <w:t>) Ethics</w:t>
      </w:r>
    </w:p>
    <w:p w14:paraId="4F33ED32" w14:textId="6A716A87" w:rsidR="008372FB" w:rsidRDefault="0034513B" w:rsidP="0075395D">
      <w:pPr>
        <w:pStyle w:val="Nornal"/>
        <w:rPr>
          <w:rFonts w:ascii="Trebuchet MS" w:hAnsi="Trebuchet MS"/>
        </w:rPr>
      </w:pPr>
      <w:r>
        <w:rPr>
          <w:rFonts w:ascii="Trebuchet MS" w:hAnsi="Trebuchet MS"/>
        </w:rPr>
        <w:t xml:space="preserve">Human Resource managers are expected to evaluate decisions through 8 different ethical lenses </w:t>
      </w:r>
      <w:r w:rsidR="00F048F0">
        <w:rPr>
          <w:rFonts w:ascii="Trebuchet MS" w:hAnsi="Trebuchet MS"/>
        </w:rPr>
        <w:t>–</w:t>
      </w:r>
      <w:r>
        <w:rPr>
          <w:rFonts w:ascii="Trebuchet MS" w:hAnsi="Trebuchet MS"/>
        </w:rPr>
        <w:t xml:space="preserve"> </w:t>
      </w:r>
      <w:r w:rsidR="00F048F0" w:rsidRPr="00F048F0">
        <w:rPr>
          <w:rFonts w:ascii="Trebuchet MS" w:hAnsi="Trebuchet MS"/>
        </w:rPr>
        <w:t>Fairness</w:t>
      </w:r>
      <w:r w:rsidR="00F048F0">
        <w:rPr>
          <w:rFonts w:ascii="Trebuchet MS" w:hAnsi="Trebuchet MS"/>
        </w:rPr>
        <w:t xml:space="preserve">, </w:t>
      </w:r>
      <w:r w:rsidR="00F048F0" w:rsidRPr="00F048F0">
        <w:rPr>
          <w:rFonts w:ascii="Trebuchet MS" w:hAnsi="Trebuchet MS"/>
        </w:rPr>
        <w:t>Merit</w:t>
      </w:r>
      <w:r w:rsidR="00F048F0">
        <w:rPr>
          <w:rFonts w:ascii="Trebuchet MS" w:hAnsi="Trebuchet MS"/>
        </w:rPr>
        <w:t xml:space="preserve">, </w:t>
      </w:r>
      <w:r w:rsidR="00F048F0" w:rsidRPr="00F048F0">
        <w:rPr>
          <w:rFonts w:ascii="Trebuchet MS" w:hAnsi="Trebuchet MS"/>
        </w:rPr>
        <w:t>Markets</w:t>
      </w:r>
      <w:r w:rsidR="00F048F0">
        <w:rPr>
          <w:rFonts w:ascii="Trebuchet MS" w:hAnsi="Trebuchet MS"/>
        </w:rPr>
        <w:t xml:space="preserve">, </w:t>
      </w:r>
      <w:r w:rsidR="00F048F0" w:rsidRPr="00F048F0">
        <w:rPr>
          <w:rFonts w:ascii="Trebuchet MS" w:hAnsi="Trebuchet MS"/>
        </w:rPr>
        <w:t>Democracy</w:t>
      </w:r>
      <w:r w:rsidR="00F048F0">
        <w:rPr>
          <w:rFonts w:ascii="Trebuchet MS" w:hAnsi="Trebuchet MS"/>
        </w:rPr>
        <w:t xml:space="preserve">, </w:t>
      </w:r>
      <w:r w:rsidR="00F048F0" w:rsidRPr="00F048F0">
        <w:rPr>
          <w:rFonts w:ascii="Trebuchet MS" w:hAnsi="Trebuchet MS"/>
        </w:rPr>
        <w:t>Well-being</w:t>
      </w:r>
      <w:r w:rsidR="00F048F0">
        <w:rPr>
          <w:rFonts w:ascii="Trebuchet MS" w:hAnsi="Trebuchet MS"/>
        </w:rPr>
        <w:t xml:space="preserve">, </w:t>
      </w:r>
      <w:r w:rsidR="00F048F0" w:rsidRPr="00F048F0">
        <w:rPr>
          <w:rFonts w:ascii="Trebuchet MS" w:hAnsi="Trebuchet MS"/>
        </w:rPr>
        <w:t>Rights and Duties</w:t>
      </w:r>
      <w:r w:rsidR="00F048F0">
        <w:rPr>
          <w:rFonts w:ascii="Trebuchet MS" w:hAnsi="Trebuchet MS"/>
        </w:rPr>
        <w:t xml:space="preserve">, </w:t>
      </w:r>
      <w:r w:rsidR="00F048F0" w:rsidRPr="00F048F0">
        <w:rPr>
          <w:rFonts w:ascii="Trebuchet MS" w:hAnsi="Trebuchet MS"/>
        </w:rPr>
        <w:t xml:space="preserve">Character </w:t>
      </w:r>
      <w:r w:rsidR="00F048F0">
        <w:rPr>
          <w:rFonts w:ascii="Trebuchet MS" w:hAnsi="Trebuchet MS"/>
        </w:rPr>
        <w:t xml:space="preserve">and </w:t>
      </w:r>
      <w:r w:rsidR="00F048F0" w:rsidRPr="00F048F0">
        <w:rPr>
          <w:rFonts w:ascii="Trebuchet MS" w:hAnsi="Trebuchet MS"/>
        </w:rPr>
        <w:t>Handing Down</w:t>
      </w:r>
      <w:r w:rsidR="00BF115E">
        <w:rPr>
          <w:rFonts w:ascii="Trebuchet MS" w:hAnsi="Trebuchet MS"/>
        </w:rPr>
        <w:t xml:space="preserve"> </w:t>
      </w:r>
      <w:r w:rsidR="00BF115E" w:rsidRPr="00BF115E">
        <w:rPr>
          <w:rFonts w:ascii="Trebuchet MS" w:hAnsi="Trebuchet MS"/>
        </w:rPr>
        <w:t>(Clark, 2015)</w:t>
      </w:r>
      <w:r w:rsidR="00BF115E">
        <w:rPr>
          <w:rFonts w:ascii="Trebuchet MS" w:hAnsi="Trebuchet MS"/>
        </w:rPr>
        <w:t>.</w:t>
      </w:r>
      <w:r w:rsidR="005C63E4">
        <w:rPr>
          <w:rFonts w:ascii="Trebuchet MS" w:hAnsi="Trebuchet MS"/>
        </w:rPr>
        <w:t xml:space="preserve"> T</w:t>
      </w:r>
      <w:r w:rsidR="005C63E4" w:rsidRPr="005C63E4">
        <w:rPr>
          <w:rFonts w:ascii="Trebuchet MS" w:hAnsi="Trebuchet MS"/>
        </w:rPr>
        <w:t>ogether, these lenses ensure ethical practices across diverse HR scenarios</w:t>
      </w:r>
      <w:r w:rsidR="005C63E4">
        <w:rPr>
          <w:rFonts w:ascii="Trebuchet MS" w:hAnsi="Trebuchet MS"/>
        </w:rPr>
        <w:t>.</w:t>
      </w:r>
    </w:p>
    <w:p w14:paraId="158446AE" w14:textId="5BB52406" w:rsidR="0075395D" w:rsidRPr="0075395D" w:rsidRDefault="0075395D" w:rsidP="0075395D">
      <w:pPr>
        <w:pStyle w:val="Nornal"/>
        <w:rPr>
          <w:rFonts w:ascii="Trebuchet MS" w:hAnsi="Trebuchet MS"/>
        </w:rPr>
      </w:pPr>
      <w:r w:rsidRPr="0075395D">
        <w:rPr>
          <w:rFonts w:ascii="Trebuchet MS" w:hAnsi="Trebuchet MS"/>
        </w:rPr>
        <w:t>Ethical perspectives play a crucial role in shaping moral decision-making in Human Resource Management (HRM). Two prominent ethical frameworks—Deontological Theory and Utilitarianism—offer distinct approaches to evaluating and guiding decisions in HR practices. Additionally, Equity Theory complements these perspectives by emphasi</w:t>
      </w:r>
      <w:r w:rsidR="00A26DEC">
        <w:rPr>
          <w:rFonts w:ascii="Trebuchet MS" w:hAnsi="Trebuchet MS"/>
        </w:rPr>
        <w:t>s</w:t>
      </w:r>
      <w:r w:rsidRPr="0075395D">
        <w:rPr>
          <w:rFonts w:ascii="Trebuchet MS" w:hAnsi="Trebuchet MS"/>
        </w:rPr>
        <w:t>ing fairness and justice in the workplace.</w:t>
      </w:r>
    </w:p>
    <w:p w14:paraId="0E98367D" w14:textId="1B99A1C8" w:rsidR="0075395D" w:rsidRPr="0075395D" w:rsidRDefault="0075395D" w:rsidP="0075395D">
      <w:pPr>
        <w:pStyle w:val="Nornal"/>
        <w:rPr>
          <w:rFonts w:ascii="Trebuchet MS" w:hAnsi="Trebuchet MS"/>
        </w:rPr>
      </w:pPr>
      <w:r w:rsidRPr="0075395D">
        <w:rPr>
          <w:rFonts w:ascii="Trebuchet MS" w:hAnsi="Trebuchet MS"/>
        </w:rPr>
        <w:t>Deontological Theory</w:t>
      </w:r>
      <w:r w:rsidR="00F037E8">
        <w:rPr>
          <w:rFonts w:ascii="Trebuchet MS" w:hAnsi="Trebuchet MS"/>
        </w:rPr>
        <w:t xml:space="preserve"> </w:t>
      </w:r>
      <w:r w:rsidRPr="0075395D">
        <w:rPr>
          <w:rFonts w:ascii="Trebuchet MS" w:hAnsi="Trebuchet MS"/>
        </w:rPr>
        <w:t>focuses on duties and principles rather than outcomes. Decisions are considered ethical if they align with moral rules or obligations. In HRM, this perspective emphasi</w:t>
      </w:r>
      <w:r w:rsidR="00F037E8">
        <w:rPr>
          <w:rFonts w:ascii="Trebuchet MS" w:hAnsi="Trebuchet MS"/>
        </w:rPr>
        <w:t>s</w:t>
      </w:r>
      <w:r w:rsidRPr="0075395D">
        <w:rPr>
          <w:rFonts w:ascii="Trebuchet MS" w:hAnsi="Trebuchet MS"/>
        </w:rPr>
        <w:t>es treating employees with respect and upholding their rights, regardless of potential consequences. For example, during downsizing, a deontological approach would prioriti</w:t>
      </w:r>
      <w:r w:rsidR="004E2A86">
        <w:rPr>
          <w:rFonts w:ascii="Trebuchet MS" w:hAnsi="Trebuchet MS"/>
        </w:rPr>
        <w:t>s</w:t>
      </w:r>
      <w:r w:rsidRPr="0075395D">
        <w:rPr>
          <w:rFonts w:ascii="Trebuchet MS" w:hAnsi="Trebuchet MS"/>
        </w:rPr>
        <w:t>e transparency and fairness in communicating layoffs and ensuring that affected employees receive adequate severance packages. According to Kantian ethics, adhering to universal moral principles such as honesty and respect ensures ethical integrity in decision-making (Kant, 1785). By focusing on the means rather than the ends, Deontological Theory helps HR practitioners maintain trust and uphold organi</w:t>
      </w:r>
      <w:r w:rsidR="006061C3">
        <w:rPr>
          <w:rFonts w:ascii="Trebuchet MS" w:hAnsi="Trebuchet MS"/>
        </w:rPr>
        <w:t>s</w:t>
      </w:r>
      <w:r w:rsidRPr="0075395D">
        <w:rPr>
          <w:rFonts w:ascii="Trebuchet MS" w:hAnsi="Trebuchet MS"/>
        </w:rPr>
        <w:t>ational values.</w:t>
      </w:r>
    </w:p>
    <w:p w14:paraId="006F1282" w14:textId="23C1ADAA" w:rsidR="0075395D" w:rsidRPr="0075395D" w:rsidRDefault="0075395D" w:rsidP="0075395D">
      <w:pPr>
        <w:pStyle w:val="Nornal"/>
        <w:rPr>
          <w:rFonts w:ascii="Trebuchet MS" w:hAnsi="Trebuchet MS"/>
        </w:rPr>
      </w:pPr>
      <w:r w:rsidRPr="0075395D">
        <w:rPr>
          <w:rFonts w:ascii="Trebuchet MS" w:hAnsi="Trebuchet MS"/>
        </w:rPr>
        <w:t>Utilitarianism, proposed by philosophers Jeremy Bentham and John Stuart Mill, evaluates decisions based on their consequences, aiming to maximi</w:t>
      </w:r>
      <w:r w:rsidR="00BC4500">
        <w:rPr>
          <w:rFonts w:ascii="Trebuchet MS" w:hAnsi="Trebuchet MS"/>
        </w:rPr>
        <w:t>s</w:t>
      </w:r>
      <w:r w:rsidRPr="0075395D">
        <w:rPr>
          <w:rFonts w:ascii="Trebuchet MS" w:hAnsi="Trebuchet MS"/>
        </w:rPr>
        <w:t>e overall happiness or minimi</w:t>
      </w:r>
      <w:r w:rsidR="00BC4500">
        <w:rPr>
          <w:rFonts w:ascii="Trebuchet MS" w:hAnsi="Trebuchet MS"/>
        </w:rPr>
        <w:t>s</w:t>
      </w:r>
      <w:r w:rsidRPr="0075395D">
        <w:rPr>
          <w:rFonts w:ascii="Trebuchet MS" w:hAnsi="Trebuchet MS"/>
        </w:rPr>
        <w:t xml:space="preserve">e harm. In HRM, this perspective is applied when assessing policies or practices that affect large groups </w:t>
      </w:r>
      <w:r w:rsidRPr="0075395D">
        <w:rPr>
          <w:rFonts w:ascii="Trebuchet MS" w:hAnsi="Trebuchet MS"/>
        </w:rPr>
        <w:lastRenderedPageBreak/>
        <w:t>of employees. For instance, when deciding on flexible working arrangements, a utilitarian approach would weigh the potential benefits, such as improved work-life balance and increased productivity, against possible drawbacks like coordination challenges. By prioriti</w:t>
      </w:r>
      <w:r w:rsidR="00E33C09">
        <w:rPr>
          <w:rFonts w:ascii="Trebuchet MS" w:hAnsi="Trebuchet MS"/>
        </w:rPr>
        <w:t>s</w:t>
      </w:r>
      <w:r w:rsidRPr="0075395D">
        <w:rPr>
          <w:rFonts w:ascii="Trebuchet MS" w:hAnsi="Trebuchet MS"/>
        </w:rPr>
        <w:t>ing the greatest good for the greatest number, utilitarianism provides a pragmatic framework for addressing collective employee welfare (Mill, 1863). However, this approach requires careful consideration of whose interests are prioriti</w:t>
      </w:r>
      <w:r w:rsidR="00E33C09">
        <w:rPr>
          <w:rFonts w:ascii="Trebuchet MS" w:hAnsi="Trebuchet MS"/>
        </w:rPr>
        <w:t>s</w:t>
      </w:r>
      <w:r w:rsidRPr="0075395D">
        <w:rPr>
          <w:rFonts w:ascii="Trebuchet MS" w:hAnsi="Trebuchet MS"/>
        </w:rPr>
        <w:t>ed to avoid marginali</w:t>
      </w:r>
      <w:r w:rsidR="004B5953">
        <w:rPr>
          <w:rFonts w:ascii="Trebuchet MS" w:hAnsi="Trebuchet MS"/>
        </w:rPr>
        <w:t>s</w:t>
      </w:r>
      <w:r w:rsidRPr="0075395D">
        <w:rPr>
          <w:rFonts w:ascii="Trebuchet MS" w:hAnsi="Trebuchet MS"/>
        </w:rPr>
        <w:t>ing minority groups.</w:t>
      </w:r>
    </w:p>
    <w:p w14:paraId="4025C870" w14:textId="2A894154" w:rsidR="0075395D" w:rsidRPr="0075395D" w:rsidRDefault="0075395D" w:rsidP="0075395D">
      <w:pPr>
        <w:pStyle w:val="Nornal"/>
        <w:rPr>
          <w:rFonts w:ascii="Trebuchet MS" w:hAnsi="Trebuchet MS"/>
        </w:rPr>
      </w:pPr>
      <w:r w:rsidRPr="0075395D">
        <w:rPr>
          <w:rFonts w:ascii="Trebuchet MS" w:hAnsi="Trebuchet MS"/>
        </w:rPr>
        <w:t>Equity Theory, developed by John Stacey Adams, complements these ethical perspectives by emphasi</w:t>
      </w:r>
      <w:r w:rsidR="000E122B">
        <w:rPr>
          <w:rFonts w:ascii="Trebuchet MS" w:hAnsi="Trebuchet MS"/>
        </w:rPr>
        <w:t>s</w:t>
      </w:r>
      <w:r w:rsidRPr="0075395D">
        <w:rPr>
          <w:rFonts w:ascii="Trebuchet MS" w:hAnsi="Trebuchet MS"/>
        </w:rPr>
        <w:t xml:space="preserve">ing the importance of fairness and balance in workplace relationships. It </w:t>
      </w:r>
      <w:r w:rsidR="00E92647">
        <w:rPr>
          <w:rFonts w:ascii="Trebuchet MS" w:hAnsi="Trebuchet MS"/>
        </w:rPr>
        <w:t>positions</w:t>
      </w:r>
      <w:r w:rsidRPr="0075395D">
        <w:rPr>
          <w:rFonts w:ascii="Trebuchet MS" w:hAnsi="Trebuchet MS"/>
        </w:rPr>
        <w:t xml:space="preserve"> that employees perceive fairness when their input-to-output ratio is comparable to that of their peers. HR practitioners can use this theory to guide decisions on compensation, promotions, and workload distribution, ensuring that employees feel valued and treated equitably. Integrating Equity Theory with deontological and utilitarian approaches helps create policies that are both principled and pragmatic.</w:t>
      </w:r>
    </w:p>
    <w:p w14:paraId="048747E9" w14:textId="45043342" w:rsidR="0075395D" w:rsidRPr="0075395D" w:rsidRDefault="0075395D" w:rsidP="0075395D">
      <w:pPr>
        <w:pStyle w:val="Nornal"/>
        <w:rPr>
          <w:rFonts w:ascii="Trebuchet MS" w:hAnsi="Trebuchet MS"/>
        </w:rPr>
      </w:pPr>
      <w:r w:rsidRPr="0075395D">
        <w:rPr>
          <w:rFonts w:ascii="Trebuchet MS" w:hAnsi="Trebuchet MS"/>
        </w:rPr>
        <w:t>In conclusion, Deontological Theory and Utilitarianism offer distinct yet complementary frameworks for ethical decision-making in HRM. When combined with Equity Theory, these perspectives ensure that HR practices are fair, principled, and aligned with the well-being of employees and the organi</w:t>
      </w:r>
      <w:r w:rsidR="00ED5D07">
        <w:rPr>
          <w:rFonts w:ascii="Trebuchet MS" w:hAnsi="Trebuchet MS"/>
        </w:rPr>
        <w:t>s</w:t>
      </w:r>
      <w:r w:rsidRPr="0075395D">
        <w:rPr>
          <w:rFonts w:ascii="Trebuchet MS" w:hAnsi="Trebuchet MS"/>
        </w:rPr>
        <w:t>ation.</w:t>
      </w:r>
    </w:p>
    <w:p w14:paraId="63A868DA" w14:textId="77777777" w:rsidR="003376F1" w:rsidRDefault="003376F1" w:rsidP="00EC02EB">
      <w:pPr>
        <w:pStyle w:val="Nornal"/>
        <w:rPr>
          <w:rFonts w:ascii="Trebuchet MS" w:hAnsi="Trebuchet MS"/>
          <w:b/>
          <w:bCs/>
        </w:rPr>
      </w:pPr>
    </w:p>
    <w:p w14:paraId="49912477" w14:textId="44E5EEB9" w:rsidR="00EC02EB" w:rsidRDefault="009D755B" w:rsidP="00EC02EB">
      <w:pPr>
        <w:pStyle w:val="Nornal"/>
        <w:rPr>
          <w:rFonts w:ascii="Trebuchet MS" w:hAnsi="Trebuchet MS"/>
          <w:b/>
          <w:bCs/>
        </w:rPr>
      </w:pPr>
      <w:r>
        <w:rPr>
          <w:rFonts w:ascii="Trebuchet MS" w:hAnsi="Trebuchet MS"/>
          <w:b/>
          <w:bCs/>
        </w:rPr>
        <w:t>(</w:t>
      </w:r>
      <w:r w:rsidR="00EC02EB">
        <w:rPr>
          <w:rFonts w:ascii="Trebuchet MS" w:hAnsi="Trebuchet MS"/>
          <w:b/>
          <w:bCs/>
        </w:rPr>
        <w:t>AC 3.1</w:t>
      </w:r>
      <w:r>
        <w:rPr>
          <w:rFonts w:ascii="Trebuchet MS" w:hAnsi="Trebuchet MS"/>
          <w:b/>
          <w:bCs/>
        </w:rPr>
        <w:t>)</w:t>
      </w:r>
      <w:r w:rsidR="00EC02EB">
        <w:rPr>
          <w:rFonts w:ascii="Trebuchet MS" w:hAnsi="Trebuchet MS"/>
          <w:b/>
          <w:bCs/>
        </w:rPr>
        <w:t xml:space="preserve"> </w:t>
      </w:r>
      <w:r>
        <w:rPr>
          <w:rFonts w:ascii="Trebuchet MS" w:hAnsi="Trebuchet MS"/>
          <w:b/>
          <w:bCs/>
        </w:rPr>
        <w:t>Financial and Non-financial Performance</w:t>
      </w:r>
    </w:p>
    <w:p w14:paraId="4AC607C0" w14:textId="22F6F868" w:rsidR="00F142CD" w:rsidRDefault="0075395D" w:rsidP="0075395D">
      <w:pPr>
        <w:pStyle w:val="Nornal"/>
        <w:rPr>
          <w:rFonts w:ascii="Trebuchet MS" w:hAnsi="Trebuchet MS"/>
        </w:rPr>
      </w:pPr>
      <w:r w:rsidRPr="0075395D">
        <w:rPr>
          <w:rFonts w:ascii="Trebuchet MS" w:hAnsi="Trebuchet MS"/>
        </w:rPr>
        <w:t xml:space="preserve">Measuring </w:t>
      </w:r>
      <w:r w:rsidR="00B64709">
        <w:rPr>
          <w:rFonts w:ascii="Trebuchet MS" w:hAnsi="Trebuchet MS"/>
        </w:rPr>
        <w:t xml:space="preserve">the </w:t>
      </w:r>
      <w:r w:rsidRPr="0075395D">
        <w:rPr>
          <w:rFonts w:ascii="Trebuchet MS" w:hAnsi="Trebuchet MS"/>
        </w:rPr>
        <w:t xml:space="preserve">financial and non-financial performance </w:t>
      </w:r>
      <w:r w:rsidR="00B64709">
        <w:rPr>
          <w:rFonts w:ascii="Trebuchet MS" w:hAnsi="Trebuchet MS"/>
        </w:rPr>
        <w:t>of</w:t>
      </w:r>
      <w:r w:rsidRPr="0075395D">
        <w:rPr>
          <w:rFonts w:ascii="Trebuchet MS" w:hAnsi="Trebuchet MS"/>
        </w:rPr>
        <w:t xml:space="preserve"> </w:t>
      </w:r>
      <w:r w:rsidRPr="00E7797D">
        <w:rPr>
          <w:rFonts w:ascii="Trebuchet MS" w:hAnsi="Trebuchet MS"/>
          <w:strike/>
        </w:rPr>
        <w:t>Human Resource Management (</w:t>
      </w:r>
      <w:proofErr w:type="gramStart"/>
      <w:r w:rsidRPr="00E7797D">
        <w:rPr>
          <w:rFonts w:ascii="Trebuchet MS" w:hAnsi="Trebuchet MS"/>
          <w:strike/>
        </w:rPr>
        <w:t>HRM)</w:t>
      </w:r>
      <w:r w:rsidR="00E7797D">
        <w:rPr>
          <w:rFonts w:ascii="Trebuchet MS" w:hAnsi="Trebuchet MS"/>
        </w:rPr>
        <w:t xml:space="preserve"> </w:t>
      </w:r>
      <w:r w:rsidRPr="00E7797D">
        <w:rPr>
          <w:rFonts w:ascii="Trebuchet MS" w:hAnsi="Trebuchet MS"/>
          <w:color w:val="FF0000"/>
        </w:rPr>
        <w:t xml:space="preserve"> </w:t>
      </w:r>
      <w:r w:rsidR="00B64709" w:rsidRPr="00B64709">
        <w:rPr>
          <w:rFonts w:ascii="Trebuchet MS" w:hAnsi="Trebuchet MS"/>
          <w:color w:val="FF0000"/>
        </w:rPr>
        <w:t>an</w:t>
      </w:r>
      <w:proofErr w:type="gramEnd"/>
      <w:r w:rsidR="00B64709" w:rsidRPr="00B64709">
        <w:rPr>
          <w:rFonts w:ascii="Trebuchet MS" w:hAnsi="Trebuchet MS"/>
          <w:color w:val="FF0000"/>
        </w:rPr>
        <w:t xml:space="preserve"> organisation </w:t>
      </w:r>
      <w:r w:rsidR="00B64709">
        <w:rPr>
          <w:rFonts w:ascii="Trebuchet MS" w:hAnsi="Trebuchet MS"/>
        </w:rPr>
        <w:t>is</w:t>
      </w:r>
      <w:r w:rsidRPr="0075395D">
        <w:rPr>
          <w:rFonts w:ascii="Trebuchet MS" w:hAnsi="Trebuchet MS"/>
        </w:rPr>
        <w:t xml:space="preserve"> essential for assessing the effectiveness of </w:t>
      </w:r>
      <w:r w:rsidRPr="00A62553">
        <w:rPr>
          <w:rFonts w:ascii="Trebuchet MS" w:hAnsi="Trebuchet MS"/>
          <w:strike/>
        </w:rPr>
        <w:t>HR</w:t>
      </w:r>
      <w:r w:rsidRPr="0075395D">
        <w:rPr>
          <w:rFonts w:ascii="Trebuchet MS" w:hAnsi="Trebuchet MS"/>
        </w:rPr>
        <w:t xml:space="preserve"> </w:t>
      </w:r>
      <w:r w:rsidR="00A62553" w:rsidRPr="00A62553">
        <w:rPr>
          <w:rFonts w:ascii="Trebuchet MS" w:hAnsi="Trebuchet MS"/>
          <w:color w:val="FF0000"/>
        </w:rPr>
        <w:t>people</w:t>
      </w:r>
      <w:r w:rsidR="00A62553">
        <w:rPr>
          <w:rFonts w:ascii="Trebuchet MS" w:hAnsi="Trebuchet MS"/>
        </w:rPr>
        <w:t xml:space="preserve"> </w:t>
      </w:r>
      <w:r w:rsidRPr="0075395D">
        <w:rPr>
          <w:rFonts w:ascii="Trebuchet MS" w:hAnsi="Trebuchet MS"/>
        </w:rPr>
        <w:t>practices and their contribution to organi</w:t>
      </w:r>
      <w:r w:rsidR="00ED5D07">
        <w:rPr>
          <w:rFonts w:ascii="Trebuchet MS" w:hAnsi="Trebuchet MS"/>
        </w:rPr>
        <w:t>s</w:t>
      </w:r>
      <w:r w:rsidRPr="0075395D">
        <w:rPr>
          <w:rFonts w:ascii="Trebuchet MS" w:hAnsi="Trebuchet MS"/>
        </w:rPr>
        <w:t>ational goals.</w:t>
      </w:r>
    </w:p>
    <w:p w14:paraId="737B425E" w14:textId="5129C70C" w:rsidR="0075395D" w:rsidRPr="00BA1A11" w:rsidRDefault="0075395D" w:rsidP="0075395D">
      <w:pPr>
        <w:pStyle w:val="Nornal"/>
        <w:rPr>
          <w:rFonts w:ascii="Trebuchet MS" w:hAnsi="Trebuchet MS"/>
          <w:strike/>
        </w:rPr>
      </w:pPr>
      <w:r w:rsidRPr="00BA1A11">
        <w:rPr>
          <w:rFonts w:ascii="Trebuchet MS" w:hAnsi="Trebuchet MS"/>
          <w:strike/>
        </w:rPr>
        <w:t>Two common methods for evaluating performance are Return on Investment (ROI) and employee engagement surveys, which focus on financial and non-financial outcomes, respectively.</w:t>
      </w:r>
    </w:p>
    <w:p w14:paraId="5AADFE5E" w14:textId="3B32E701" w:rsidR="0075395D" w:rsidRPr="00BA1A11" w:rsidRDefault="0075395D" w:rsidP="0075395D">
      <w:pPr>
        <w:pStyle w:val="Nornal"/>
        <w:rPr>
          <w:rFonts w:ascii="Trebuchet MS" w:hAnsi="Trebuchet MS"/>
          <w:strike/>
        </w:rPr>
      </w:pPr>
      <w:r w:rsidRPr="00BA1A11">
        <w:rPr>
          <w:rFonts w:ascii="Trebuchet MS" w:hAnsi="Trebuchet MS"/>
          <w:strike/>
        </w:rPr>
        <w:t>Return on Investment (ROI): ROI is a financial metric used to evaluate the profitability of HR initiatives by comparing the benefits gained to the costs incurred. It provides a quantitative measure of the value generated from investments in areas such as training programs, recruitment strategies, or employee wellness initiatives. For example, an organi</w:t>
      </w:r>
      <w:r w:rsidR="00B079F3" w:rsidRPr="00BA1A11">
        <w:rPr>
          <w:rFonts w:ascii="Trebuchet MS" w:hAnsi="Trebuchet MS"/>
          <w:strike/>
        </w:rPr>
        <w:t>s</w:t>
      </w:r>
      <w:r w:rsidRPr="00BA1A11">
        <w:rPr>
          <w:rFonts w:ascii="Trebuchet MS" w:hAnsi="Trebuchet MS"/>
          <w:strike/>
        </w:rPr>
        <w:t>ation implementing a leadership development program can calculate ROI by analy</w:t>
      </w:r>
      <w:r w:rsidR="00B079F3" w:rsidRPr="00BA1A11">
        <w:rPr>
          <w:rFonts w:ascii="Trebuchet MS" w:hAnsi="Trebuchet MS"/>
          <w:strike/>
        </w:rPr>
        <w:t>s</w:t>
      </w:r>
      <w:r w:rsidRPr="00BA1A11">
        <w:rPr>
          <w:rFonts w:ascii="Trebuchet MS" w:hAnsi="Trebuchet MS"/>
          <w:strike/>
        </w:rPr>
        <w:t>ing metrics such as increased productivity, reduced turnover of key leadership positions, and cost savings resulting from fewer recruitment needs. According to Cascio</w:t>
      </w:r>
      <w:r w:rsidR="00745757" w:rsidRPr="00BA1A11">
        <w:rPr>
          <w:rFonts w:ascii="Trebuchet MS" w:hAnsi="Trebuchet MS"/>
          <w:strike/>
        </w:rPr>
        <w:t xml:space="preserve">, </w:t>
      </w:r>
      <w:r w:rsidRPr="00BA1A11">
        <w:rPr>
          <w:rFonts w:ascii="Trebuchet MS" w:hAnsi="Trebuchet MS"/>
          <w:strike/>
        </w:rPr>
        <w:t>Boudreau</w:t>
      </w:r>
      <w:r w:rsidR="00745757" w:rsidRPr="00BA1A11">
        <w:rPr>
          <w:rFonts w:ascii="Trebuchet MS" w:hAnsi="Trebuchet MS"/>
          <w:strike/>
        </w:rPr>
        <w:t xml:space="preserve"> and Fink</w:t>
      </w:r>
      <w:r w:rsidRPr="00BA1A11">
        <w:rPr>
          <w:rFonts w:ascii="Trebuchet MS" w:hAnsi="Trebuchet MS"/>
          <w:strike/>
        </w:rPr>
        <w:t xml:space="preserve"> (2011), ROI in HRM allows organi</w:t>
      </w:r>
      <w:r w:rsidR="001B235F" w:rsidRPr="00BA1A11">
        <w:rPr>
          <w:rFonts w:ascii="Trebuchet MS" w:hAnsi="Trebuchet MS"/>
          <w:strike/>
        </w:rPr>
        <w:t>s</w:t>
      </w:r>
      <w:r w:rsidRPr="00BA1A11">
        <w:rPr>
          <w:rFonts w:ascii="Trebuchet MS" w:hAnsi="Trebuchet MS"/>
          <w:strike/>
        </w:rPr>
        <w:t>ations to link HR initiatives to financial performance, demonstrating their strategic value. However, accurately calculating ROI requires comprehensive data collection and consideration of long-term impacts, which can be challenging.</w:t>
      </w:r>
    </w:p>
    <w:p w14:paraId="60043D7B" w14:textId="73A5C391" w:rsidR="0075395D" w:rsidRPr="00BA1A11" w:rsidRDefault="0075395D" w:rsidP="0075395D">
      <w:pPr>
        <w:pStyle w:val="Nornal"/>
        <w:rPr>
          <w:rFonts w:ascii="Trebuchet MS" w:hAnsi="Trebuchet MS"/>
          <w:strike/>
        </w:rPr>
      </w:pPr>
      <w:r w:rsidRPr="00BA1A11">
        <w:rPr>
          <w:rFonts w:ascii="Trebuchet MS" w:hAnsi="Trebuchet MS"/>
          <w:strike/>
        </w:rPr>
        <w:t>Employee Engagement Surveys: Employee engagement surveys are a non-financial performance measurement tool that assesses employees’ emotional commitment to their work and the organi</w:t>
      </w:r>
      <w:r w:rsidR="00AE1865" w:rsidRPr="00BA1A11">
        <w:rPr>
          <w:rFonts w:ascii="Trebuchet MS" w:hAnsi="Trebuchet MS"/>
          <w:strike/>
        </w:rPr>
        <w:t>s</w:t>
      </w:r>
      <w:r w:rsidRPr="00BA1A11">
        <w:rPr>
          <w:rFonts w:ascii="Trebuchet MS" w:hAnsi="Trebuchet MS"/>
          <w:strike/>
        </w:rPr>
        <w:t>ation. High engagement levels are associated with increased productivity, lower absenteeism, and higher retention rates. Organi</w:t>
      </w:r>
      <w:r w:rsidR="00AE1865" w:rsidRPr="00BA1A11">
        <w:rPr>
          <w:rFonts w:ascii="Trebuchet MS" w:hAnsi="Trebuchet MS"/>
          <w:strike/>
        </w:rPr>
        <w:t>s</w:t>
      </w:r>
      <w:r w:rsidRPr="00BA1A11">
        <w:rPr>
          <w:rFonts w:ascii="Trebuchet MS" w:hAnsi="Trebuchet MS"/>
          <w:strike/>
        </w:rPr>
        <w:t xml:space="preserve">ations use surveys to gather insights on areas such as job satisfaction, workplace culture, and management effectiveness. For instance, a company may conduct annual surveys to measure engagement and identify factors influencing employee morale. Based on survey findings, HR can implement targeted interventions, such as recognition programs or enhanced communication channels. </w:t>
      </w:r>
      <w:r w:rsidR="00EC5B77" w:rsidRPr="00BA1A11">
        <w:rPr>
          <w:rFonts w:ascii="Trebuchet MS" w:hAnsi="Trebuchet MS"/>
          <w:strike/>
        </w:rPr>
        <w:t xml:space="preserve">CIPD (CIPD, 2024a) </w:t>
      </w:r>
      <w:r w:rsidRPr="00BA1A11">
        <w:rPr>
          <w:rFonts w:ascii="Trebuchet MS" w:hAnsi="Trebuchet MS"/>
          <w:strike/>
        </w:rPr>
        <w:t xml:space="preserve">highlights </w:t>
      </w:r>
      <w:proofErr w:type="gramStart"/>
      <w:r w:rsidRPr="00BA1A11">
        <w:rPr>
          <w:rFonts w:ascii="Trebuchet MS" w:hAnsi="Trebuchet MS"/>
          <w:strike/>
        </w:rPr>
        <w:t>that organi</w:t>
      </w:r>
      <w:r w:rsidR="006F52A1" w:rsidRPr="00BA1A11">
        <w:rPr>
          <w:rFonts w:ascii="Trebuchet MS" w:hAnsi="Trebuchet MS"/>
          <w:strike/>
        </w:rPr>
        <w:t>s</w:t>
      </w:r>
      <w:r w:rsidRPr="00BA1A11">
        <w:rPr>
          <w:rFonts w:ascii="Trebuchet MS" w:hAnsi="Trebuchet MS"/>
          <w:strike/>
        </w:rPr>
        <w:t>ations</w:t>
      </w:r>
      <w:proofErr w:type="gramEnd"/>
      <w:r w:rsidRPr="00BA1A11">
        <w:rPr>
          <w:rFonts w:ascii="Trebuchet MS" w:hAnsi="Trebuchet MS"/>
          <w:strike/>
        </w:rPr>
        <w:t xml:space="preserve"> with high employee engagement experience significantly better business outcomes compared to their less engaged counterparts. While engagement surveys provide valuable insights, they rely on employees’ honesty and can be influenced by response biases.</w:t>
      </w:r>
    </w:p>
    <w:p w14:paraId="1DB76FA7" w14:textId="1C98E8A1" w:rsidR="0075395D" w:rsidRPr="00BA1A11" w:rsidRDefault="0075395D" w:rsidP="0075395D">
      <w:pPr>
        <w:pStyle w:val="Nornal"/>
        <w:rPr>
          <w:rFonts w:ascii="Trebuchet MS" w:hAnsi="Trebuchet MS"/>
          <w:strike/>
        </w:rPr>
      </w:pPr>
      <w:r w:rsidRPr="00BA1A11">
        <w:rPr>
          <w:rFonts w:ascii="Trebuchet MS" w:hAnsi="Trebuchet MS"/>
          <w:strike/>
        </w:rPr>
        <w:t xml:space="preserve">Both ROI and employee engagement surveys offer distinct advantages and limitations. ROI provides a clear link between HR initiatives and financial outcomes, aiding in resource allocation </w:t>
      </w:r>
      <w:r w:rsidRPr="00BA1A11">
        <w:rPr>
          <w:rFonts w:ascii="Trebuchet MS" w:hAnsi="Trebuchet MS"/>
          <w:strike/>
        </w:rPr>
        <w:lastRenderedPageBreak/>
        <w:t>decisions. However, its focus on monetary returns may overlook intangible benefits, such as improved workplace relationships. Conversely, engagement surveys capture employees’ perceptions and motivations, offering a broader view of organi</w:t>
      </w:r>
      <w:r w:rsidR="00803671" w:rsidRPr="00BA1A11">
        <w:rPr>
          <w:rFonts w:ascii="Trebuchet MS" w:hAnsi="Trebuchet MS"/>
          <w:strike/>
        </w:rPr>
        <w:t>s</w:t>
      </w:r>
      <w:r w:rsidRPr="00BA1A11">
        <w:rPr>
          <w:rFonts w:ascii="Trebuchet MS" w:hAnsi="Trebuchet MS"/>
          <w:strike/>
        </w:rPr>
        <w:t>ational health. Yet, their subjective nature requires careful interpretation and follow-up actions to ensure meaningful impact.</w:t>
      </w:r>
    </w:p>
    <w:p w14:paraId="55C03D9B" w14:textId="78F0CA54" w:rsidR="000E6244" w:rsidRDefault="0075395D" w:rsidP="00EC02EB">
      <w:pPr>
        <w:pStyle w:val="Nornal"/>
        <w:rPr>
          <w:rFonts w:ascii="Trebuchet MS" w:hAnsi="Trebuchet MS"/>
          <w:strike/>
        </w:rPr>
      </w:pPr>
      <w:r w:rsidRPr="00BA1A11">
        <w:rPr>
          <w:rFonts w:ascii="Trebuchet MS" w:hAnsi="Trebuchet MS"/>
          <w:strike/>
        </w:rPr>
        <w:t>In conclusion, organi</w:t>
      </w:r>
      <w:r w:rsidR="00445591" w:rsidRPr="00BA1A11">
        <w:rPr>
          <w:rFonts w:ascii="Trebuchet MS" w:hAnsi="Trebuchet MS"/>
          <w:strike/>
        </w:rPr>
        <w:t>s</w:t>
      </w:r>
      <w:r w:rsidRPr="00BA1A11">
        <w:rPr>
          <w:rFonts w:ascii="Trebuchet MS" w:hAnsi="Trebuchet MS"/>
          <w:strike/>
        </w:rPr>
        <w:t>ations benefit from combining financial and non-financial performance measures to gain a holistic understanding of HRM effectiveness. By leveraging tools like ROI and employee engagement surveys, HR professionals can align practices with organi</w:t>
      </w:r>
      <w:r w:rsidR="00445591" w:rsidRPr="00BA1A11">
        <w:rPr>
          <w:rFonts w:ascii="Trebuchet MS" w:hAnsi="Trebuchet MS"/>
          <w:strike/>
        </w:rPr>
        <w:t>s</w:t>
      </w:r>
      <w:r w:rsidRPr="00BA1A11">
        <w:rPr>
          <w:rFonts w:ascii="Trebuchet MS" w:hAnsi="Trebuchet MS"/>
          <w:strike/>
        </w:rPr>
        <w:t>ational goals, fostering both economic and cultural success.</w:t>
      </w:r>
    </w:p>
    <w:p w14:paraId="111643FE" w14:textId="5BE0A647" w:rsidR="006A6051" w:rsidRPr="006A6051" w:rsidRDefault="006A6051" w:rsidP="006A6051">
      <w:pPr>
        <w:pStyle w:val="Nornal"/>
        <w:rPr>
          <w:rFonts w:ascii="Trebuchet MS" w:hAnsi="Trebuchet MS"/>
          <w:color w:val="FF0000"/>
        </w:rPr>
      </w:pPr>
      <w:r w:rsidRPr="006A6051">
        <w:rPr>
          <w:rFonts w:ascii="Trebuchet MS" w:hAnsi="Trebuchet MS"/>
          <w:color w:val="FF0000"/>
        </w:rPr>
        <w:t>Organi</w:t>
      </w:r>
      <w:r>
        <w:rPr>
          <w:rFonts w:ascii="Trebuchet MS" w:hAnsi="Trebuchet MS"/>
          <w:color w:val="FF0000"/>
        </w:rPr>
        <w:t>s</w:t>
      </w:r>
      <w:r w:rsidRPr="006A6051">
        <w:rPr>
          <w:rFonts w:ascii="Trebuchet MS" w:hAnsi="Trebuchet MS"/>
          <w:color w:val="FF0000"/>
        </w:rPr>
        <w:t>ations use various quantitative methods to measure financial profit, providing critical insights into performance and strategic decision-making. Common approaches include gross profit margin and net profit margin, which evaluate profitability by subtracting direct costs or total expenses, respectively, from revenue. These measures allow organi</w:t>
      </w:r>
      <w:r w:rsidR="008D0797">
        <w:rPr>
          <w:rFonts w:ascii="Trebuchet MS" w:hAnsi="Trebuchet MS"/>
          <w:color w:val="FF0000"/>
        </w:rPr>
        <w:t>s</w:t>
      </w:r>
      <w:r w:rsidRPr="006A6051">
        <w:rPr>
          <w:rFonts w:ascii="Trebuchet MS" w:hAnsi="Trebuchet MS"/>
          <w:color w:val="FF0000"/>
        </w:rPr>
        <w:t>ations to assess operational efficiency and overall profitability (CIPD, 2021).</w:t>
      </w:r>
    </w:p>
    <w:p w14:paraId="1E3B12F6" w14:textId="2634D149" w:rsidR="006A6051" w:rsidRDefault="006A6051" w:rsidP="006A6051">
      <w:pPr>
        <w:pStyle w:val="Nornal"/>
        <w:rPr>
          <w:rFonts w:ascii="Trebuchet MS" w:hAnsi="Trebuchet MS"/>
          <w:color w:val="FF0000"/>
        </w:rPr>
      </w:pPr>
      <w:r w:rsidRPr="006A6051">
        <w:rPr>
          <w:rFonts w:ascii="Trebuchet MS" w:hAnsi="Trebuchet MS"/>
          <w:color w:val="FF0000"/>
        </w:rPr>
        <w:t>Return on Investment (ROI) is another key metric, calculated by dividing net profit by the total investment cost. ROI enables organi</w:t>
      </w:r>
      <w:r w:rsidR="008D0797">
        <w:rPr>
          <w:rFonts w:ascii="Trebuchet MS" w:hAnsi="Trebuchet MS"/>
          <w:color w:val="FF0000"/>
        </w:rPr>
        <w:t>s</w:t>
      </w:r>
      <w:r w:rsidRPr="006A6051">
        <w:rPr>
          <w:rFonts w:ascii="Trebuchet MS" w:hAnsi="Trebuchet MS"/>
          <w:color w:val="FF0000"/>
        </w:rPr>
        <w:t xml:space="preserve">ations to evaluate the profitability of specific initiatives, such as training programs or technology investments (Armstrong &amp; Taylor, 2020). </w:t>
      </w:r>
    </w:p>
    <w:p w14:paraId="7A9D66DD" w14:textId="6E5D03CB" w:rsidR="004D2295" w:rsidRPr="004D2295" w:rsidRDefault="004D2295" w:rsidP="008B4EF2">
      <w:pPr>
        <w:pStyle w:val="Nornal"/>
        <w:rPr>
          <w:rFonts w:ascii="Trebuchet MS" w:hAnsi="Trebuchet MS"/>
          <w:color w:val="FF0000"/>
        </w:rPr>
      </w:pPr>
      <w:r w:rsidRPr="004D2295">
        <w:rPr>
          <w:rFonts w:ascii="Trebuchet MS" w:hAnsi="Trebuchet MS"/>
          <w:color w:val="FF0000"/>
        </w:rPr>
        <w:t>While gross profit margin, net profit margin, and ROI are valuable tools for measuring organi</w:t>
      </w:r>
      <w:r w:rsidR="008B4EF2">
        <w:rPr>
          <w:rFonts w:ascii="Trebuchet MS" w:hAnsi="Trebuchet MS"/>
          <w:color w:val="FF0000"/>
        </w:rPr>
        <w:t>s</w:t>
      </w:r>
      <w:r w:rsidRPr="004D2295">
        <w:rPr>
          <w:rFonts w:ascii="Trebuchet MS" w:hAnsi="Trebuchet MS"/>
          <w:color w:val="FF0000"/>
        </w:rPr>
        <w:t>ational performance, they have notable limitations</w:t>
      </w:r>
      <w:r w:rsidR="008B4EF2">
        <w:rPr>
          <w:rFonts w:ascii="Trebuchet MS" w:hAnsi="Trebuchet MS"/>
          <w:color w:val="FF0000"/>
        </w:rPr>
        <w:t>. Gross profit margin</w:t>
      </w:r>
      <w:r w:rsidRPr="004D2295">
        <w:rPr>
          <w:rFonts w:ascii="Trebuchet MS" w:hAnsi="Trebuchet MS"/>
          <w:color w:val="FF0000"/>
        </w:rPr>
        <w:t xml:space="preserve"> focuses solely on revenue and direct costs, ignoring operational expenses, taxes, and interest. This narrow scope may overestimate profitability, particularly in cost-intensive industries, and fails to provide a complete picture of financial health (CIPD, 2021). Although more comprehensive, </w:t>
      </w:r>
      <w:r w:rsidR="008B4EF2">
        <w:rPr>
          <w:rFonts w:ascii="Trebuchet MS" w:hAnsi="Trebuchet MS"/>
          <w:color w:val="FF0000"/>
        </w:rPr>
        <w:t>net profit margin</w:t>
      </w:r>
      <w:r w:rsidRPr="004D2295">
        <w:rPr>
          <w:rFonts w:ascii="Trebuchet MS" w:hAnsi="Trebuchet MS"/>
          <w:color w:val="FF0000"/>
        </w:rPr>
        <w:t xml:space="preserve"> can be influenced by non-operational factors, such as one-time expenses or tax changes, potentially distorting the measure of ongoing business performance (Armstrong &amp; Taylor, 2020)</w:t>
      </w:r>
      <w:r w:rsidR="008B4EF2">
        <w:rPr>
          <w:rFonts w:ascii="Trebuchet MS" w:hAnsi="Trebuchet MS"/>
          <w:color w:val="FF0000"/>
        </w:rPr>
        <w:t xml:space="preserve"> and </w:t>
      </w:r>
      <w:r w:rsidRPr="004D2295">
        <w:rPr>
          <w:rFonts w:ascii="Trebuchet MS" w:hAnsi="Trebuchet MS"/>
          <w:color w:val="FF0000"/>
        </w:rPr>
        <w:t>ROI simplifies performance evaluation but overlooks intangible benefits</w:t>
      </w:r>
      <w:r w:rsidR="008D7C2E">
        <w:rPr>
          <w:rFonts w:ascii="Trebuchet MS" w:hAnsi="Trebuchet MS"/>
          <w:color w:val="FF0000"/>
        </w:rPr>
        <w:t>.</w:t>
      </w:r>
      <w:r w:rsidRPr="004D2295">
        <w:rPr>
          <w:rFonts w:ascii="Trebuchet MS" w:hAnsi="Trebuchet MS"/>
          <w:color w:val="FF0000"/>
        </w:rPr>
        <w:t xml:space="preserve"> It is </w:t>
      </w:r>
      <w:r w:rsidR="008D7C2E">
        <w:rPr>
          <w:rFonts w:ascii="Trebuchet MS" w:hAnsi="Trebuchet MS"/>
          <w:color w:val="FF0000"/>
        </w:rPr>
        <w:t xml:space="preserve">also </w:t>
      </w:r>
      <w:r w:rsidRPr="004D2295">
        <w:rPr>
          <w:rFonts w:ascii="Trebuchet MS" w:hAnsi="Trebuchet MS"/>
          <w:color w:val="FF0000"/>
        </w:rPr>
        <w:t>time-specific, which can result in an incomplete understanding of an investment’s long-term impact (CIPD, 2021).</w:t>
      </w:r>
    </w:p>
    <w:p w14:paraId="4D1955B3" w14:textId="082E393D" w:rsidR="008A473C" w:rsidRDefault="008A473C" w:rsidP="006A6051">
      <w:pPr>
        <w:pStyle w:val="Nornal"/>
        <w:rPr>
          <w:rFonts w:ascii="Trebuchet MS" w:hAnsi="Trebuchet MS"/>
          <w:color w:val="FF0000"/>
        </w:rPr>
      </w:pPr>
      <w:r w:rsidRPr="008A473C">
        <w:rPr>
          <w:rFonts w:ascii="Trebuchet MS" w:hAnsi="Trebuchet MS"/>
          <w:color w:val="FF0000"/>
        </w:rPr>
        <w:t>Relying solely on quantitative financial measures overlooks qualitative factors like employee engagement, innovation, and customer satisfaction, which drive long-term success. This narrow focus can lead to short-termism and neglect of organi</w:t>
      </w:r>
      <w:r w:rsidR="00051ABB">
        <w:rPr>
          <w:rFonts w:ascii="Trebuchet MS" w:hAnsi="Trebuchet MS"/>
          <w:color w:val="FF0000"/>
        </w:rPr>
        <w:t>s</w:t>
      </w:r>
      <w:r w:rsidRPr="008A473C">
        <w:rPr>
          <w:rFonts w:ascii="Trebuchet MS" w:hAnsi="Trebuchet MS"/>
          <w:color w:val="FF0000"/>
        </w:rPr>
        <w:t>ational culture and human capital development (CIPD, 2021). Integrating qualitative insights ensures a holistic performance assessment.</w:t>
      </w:r>
    </w:p>
    <w:p w14:paraId="1B162C4B" w14:textId="77777777" w:rsidR="008837B7" w:rsidRPr="008837B7" w:rsidRDefault="008837B7" w:rsidP="008837B7">
      <w:pPr>
        <w:pStyle w:val="Nornal"/>
        <w:rPr>
          <w:rFonts w:ascii="Trebuchet MS" w:hAnsi="Trebuchet MS"/>
          <w:color w:val="FF0000"/>
        </w:rPr>
      </w:pPr>
      <w:r w:rsidRPr="008837B7">
        <w:rPr>
          <w:rFonts w:ascii="Trebuchet MS" w:hAnsi="Trebuchet MS"/>
          <w:color w:val="FF0000"/>
        </w:rPr>
        <w:t>Employee surveys offer insights into workplace morale, leadership effectiveness, and cultural alignment, identifying potential risks or opportunities that quantitative metrics overlook. For example, high engagement levels correlate with improved productivity and reduced turnover, indirectly influencing financial results (Armstrong &amp; Taylor, 2020).</w:t>
      </w:r>
    </w:p>
    <w:p w14:paraId="3CADF9D6" w14:textId="57498BBE" w:rsidR="008837B7" w:rsidRPr="008837B7" w:rsidRDefault="008837B7" w:rsidP="008837B7">
      <w:pPr>
        <w:pStyle w:val="Nornal"/>
        <w:rPr>
          <w:rFonts w:ascii="Trebuchet MS" w:hAnsi="Trebuchet MS"/>
          <w:color w:val="FF0000"/>
        </w:rPr>
      </w:pPr>
      <w:r w:rsidRPr="008837B7">
        <w:rPr>
          <w:rFonts w:ascii="Trebuchet MS" w:hAnsi="Trebuchet MS"/>
          <w:color w:val="FF0000"/>
        </w:rPr>
        <w:t xml:space="preserve">Using both approaches ensures balanced decision-making, addressing short-term financial goals while fostering long-term sustainability. It enables </w:t>
      </w:r>
      <w:r w:rsidR="00D5489B">
        <w:rPr>
          <w:rFonts w:ascii="Trebuchet MS" w:hAnsi="Trebuchet MS"/>
          <w:color w:val="FF0000"/>
        </w:rPr>
        <w:t>people managers</w:t>
      </w:r>
      <w:r w:rsidRPr="008837B7">
        <w:rPr>
          <w:rFonts w:ascii="Trebuchet MS" w:hAnsi="Trebuchet MS"/>
          <w:color w:val="FF0000"/>
        </w:rPr>
        <w:t xml:space="preserve"> and leadership teams to align workforce strategies with organi</w:t>
      </w:r>
      <w:r w:rsidR="00D5489B">
        <w:rPr>
          <w:rFonts w:ascii="Trebuchet MS" w:hAnsi="Trebuchet MS"/>
          <w:color w:val="FF0000"/>
        </w:rPr>
        <w:t>s</w:t>
      </w:r>
      <w:r w:rsidRPr="008837B7">
        <w:rPr>
          <w:rFonts w:ascii="Trebuchet MS" w:hAnsi="Trebuchet MS"/>
          <w:color w:val="FF0000"/>
        </w:rPr>
        <w:t>ational objectives, fostering innovation, resilience, and a competitive edge.</w:t>
      </w:r>
    </w:p>
    <w:p w14:paraId="78060BB8" w14:textId="77777777" w:rsidR="00F142CD" w:rsidRDefault="00F142CD" w:rsidP="00EC02EB">
      <w:pPr>
        <w:pStyle w:val="Nornal"/>
        <w:rPr>
          <w:rFonts w:ascii="Trebuchet MS" w:hAnsi="Trebuchet MS"/>
          <w:color w:val="FF0000"/>
        </w:rPr>
      </w:pPr>
    </w:p>
    <w:p w14:paraId="56515881" w14:textId="77777777" w:rsidR="0077581F" w:rsidRDefault="0077581F" w:rsidP="00EC02EB">
      <w:pPr>
        <w:pStyle w:val="Nornal"/>
        <w:rPr>
          <w:rFonts w:ascii="Trebuchet MS" w:hAnsi="Trebuchet MS"/>
          <w:color w:val="FF0000"/>
        </w:rPr>
      </w:pPr>
    </w:p>
    <w:p w14:paraId="3A4304E3" w14:textId="77777777" w:rsidR="0077581F" w:rsidRDefault="0077581F" w:rsidP="00EC02EB">
      <w:pPr>
        <w:pStyle w:val="Nornal"/>
        <w:rPr>
          <w:rFonts w:ascii="Trebuchet MS" w:hAnsi="Trebuchet MS"/>
          <w:color w:val="FF0000"/>
        </w:rPr>
      </w:pPr>
    </w:p>
    <w:p w14:paraId="25F87CC0" w14:textId="77777777" w:rsidR="0077581F" w:rsidRPr="00BA1A11" w:rsidRDefault="0077581F" w:rsidP="00EC02EB">
      <w:pPr>
        <w:pStyle w:val="Nornal"/>
        <w:rPr>
          <w:rFonts w:ascii="Trebuchet MS" w:hAnsi="Trebuchet MS"/>
          <w:strike/>
        </w:rPr>
      </w:pPr>
    </w:p>
    <w:p w14:paraId="308C5525" w14:textId="77777777" w:rsidR="00292831" w:rsidRPr="00292831" w:rsidRDefault="00292831" w:rsidP="00EC02EB">
      <w:pPr>
        <w:pStyle w:val="Nornal"/>
        <w:rPr>
          <w:rFonts w:ascii="Trebuchet MS" w:hAnsi="Trebuchet MS"/>
        </w:rPr>
      </w:pPr>
    </w:p>
    <w:p w14:paraId="4A60DD74" w14:textId="210099EA" w:rsidR="000E6244" w:rsidRPr="00EC02EB" w:rsidRDefault="000E6244" w:rsidP="00EC02EB">
      <w:pPr>
        <w:pStyle w:val="Nornal"/>
        <w:rPr>
          <w:rFonts w:ascii="Trebuchet MS" w:hAnsi="Trebuchet MS"/>
          <w:b/>
          <w:bCs/>
        </w:rPr>
      </w:pPr>
      <w:r>
        <w:rPr>
          <w:rFonts w:ascii="Trebuchet MS" w:hAnsi="Trebuchet MS"/>
          <w:b/>
          <w:bCs/>
        </w:rPr>
        <w:lastRenderedPageBreak/>
        <w:t>(</w:t>
      </w:r>
      <w:r w:rsidR="00EC02EB">
        <w:rPr>
          <w:rFonts w:ascii="Trebuchet MS" w:hAnsi="Trebuchet MS"/>
          <w:b/>
          <w:bCs/>
        </w:rPr>
        <w:t>AC 3.2</w:t>
      </w:r>
      <w:r>
        <w:rPr>
          <w:rFonts w:ascii="Trebuchet MS" w:hAnsi="Trebuchet MS"/>
          <w:b/>
          <w:bCs/>
        </w:rPr>
        <w:t>)</w:t>
      </w:r>
      <w:r w:rsidR="00EC02EB">
        <w:rPr>
          <w:rFonts w:ascii="Trebuchet MS" w:hAnsi="Trebuchet MS"/>
          <w:b/>
          <w:bCs/>
        </w:rPr>
        <w:t xml:space="preserve"> </w:t>
      </w:r>
      <w:r>
        <w:rPr>
          <w:rFonts w:ascii="Trebuchet MS" w:hAnsi="Trebuchet MS"/>
          <w:b/>
          <w:bCs/>
        </w:rPr>
        <w:t>Adding value and measuring impact</w:t>
      </w:r>
    </w:p>
    <w:p w14:paraId="4ECF2EEE" w14:textId="27245DCE" w:rsidR="00716B85" w:rsidRDefault="00716B85" w:rsidP="00716B85">
      <w:pPr>
        <w:rPr>
          <w:rFonts w:ascii="Trebuchet MS" w:hAnsi="Trebuchet MS"/>
        </w:rPr>
      </w:pPr>
      <w:r w:rsidRPr="00716B85">
        <w:rPr>
          <w:rFonts w:ascii="Trebuchet MS" w:hAnsi="Trebuchet MS"/>
        </w:rPr>
        <w:t>People practices, encompassing HR strategies and interventions, play a pivotal role in driving organi</w:t>
      </w:r>
      <w:r w:rsidR="0021621B">
        <w:rPr>
          <w:rFonts w:ascii="Trebuchet MS" w:hAnsi="Trebuchet MS"/>
        </w:rPr>
        <w:t>s</w:t>
      </w:r>
      <w:r w:rsidRPr="00716B85">
        <w:rPr>
          <w:rFonts w:ascii="Trebuchet MS" w:hAnsi="Trebuchet MS"/>
        </w:rPr>
        <w:t>ational success by aligning workforce capabilities with business goals. These practices add value by fostering employee engagement, enhancing productivity, and creating a positive organi</w:t>
      </w:r>
      <w:r w:rsidR="007641BA">
        <w:rPr>
          <w:rFonts w:ascii="Trebuchet MS" w:hAnsi="Trebuchet MS"/>
        </w:rPr>
        <w:t>s</w:t>
      </w:r>
      <w:r w:rsidRPr="00716B85">
        <w:rPr>
          <w:rFonts w:ascii="Trebuchet MS" w:hAnsi="Trebuchet MS"/>
        </w:rPr>
        <w:t>ational culture, all of which contribute to achieving strategic objectives.</w:t>
      </w:r>
    </w:p>
    <w:p w14:paraId="6A2AAE15" w14:textId="77777777" w:rsidR="007641BA" w:rsidRPr="00716B85" w:rsidRDefault="007641BA" w:rsidP="00716B85">
      <w:pPr>
        <w:rPr>
          <w:rFonts w:ascii="Trebuchet MS" w:hAnsi="Trebuchet MS"/>
        </w:rPr>
      </w:pPr>
    </w:p>
    <w:p w14:paraId="7D483833" w14:textId="1FB6B92B" w:rsidR="00716B85" w:rsidRDefault="00716B85" w:rsidP="00716B85">
      <w:pPr>
        <w:rPr>
          <w:rFonts w:ascii="Trebuchet MS" w:hAnsi="Trebuchet MS"/>
        </w:rPr>
      </w:pPr>
      <w:r w:rsidRPr="00716B85">
        <w:rPr>
          <w:rFonts w:ascii="Trebuchet MS" w:hAnsi="Trebuchet MS"/>
        </w:rPr>
        <w:t>One way people practices add value is through talent management. By attracting, developing, and retaining skilled employees, organi</w:t>
      </w:r>
      <w:r w:rsidR="007641BA">
        <w:rPr>
          <w:rFonts w:ascii="Trebuchet MS" w:hAnsi="Trebuchet MS"/>
        </w:rPr>
        <w:t>s</w:t>
      </w:r>
      <w:r w:rsidRPr="00716B85">
        <w:rPr>
          <w:rFonts w:ascii="Trebuchet MS" w:hAnsi="Trebuchet MS"/>
        </w:rPr>
        <w:t>ations ensure they have the right talent to meet current and future demands. Effective recruitment, onboarding, and training programs enhance employee performance and job satisfaction, reducing turnover and associated costs (Armstrong &amp; Taylor, 2014). For example, continuous learning initiatives not only upskill employees but also promote innovation, giving organi</w:t>
      </w:r>
      <w:r w:rsidR="00284C48">
        <w:rPr>
          <w:rFonts w:ascii="Trebuchet MS" w:hAnsi="Trebuchet MS"/>
        </w:rPr>
        <w:t>s</w:t>
      </w:r>
      <w:r w:rsidRPr="00716B85">
        <w:rPr>
          <w:rFonts w:ascii="Trebuchet MS" w:hAnsi="Trebuchet MS"/>
        </w:rPr>
        <w:t>ations a competitive edge.</w:t>
      </w:r>
    </w:p>
    <w:p w14:paraId="694C28E0" w14:textId="77777777" w:rsidR="00284C48" w:rsidRPr="00716B85" w:rsidRDefault="00284C48" w:rsidP="00716B85">
      <w:pPr>
        <w:rPr>
          <w:rFonts w:ascii="Trebuchet MS" w:hAnsi="Trebuchet MS"/>
        </w:rPr>
      </w:pPr>
    </w:p>
    <w:p w14:paraId="56A0F144" w14:textId="03BAAE34" w:rsidR="00716B85" w:rsidRDefault="00716B85" w:rsidP="00716B85">
      <w:pPr>
        <w:rPr>
          <w:rFonts w:ascii="Trebuchet MS" w:hAnsi="Trebuchet MS"/>
        </w:rPr>
      </w:pPr>
      <w:r w:rsidRPr="00716B85">
        <w:rPr>
          <w:rFonts w:ascii="Trebuchet MS" w:hAnsi="Trebuchet MS"/>
        </w:rPr>
        <w:t>Another significant contribution of people practices is improving employee engagement. Engaged employees are more committed, motivated, and productive, directly impacting organi</w:t>
      </w:r>
      <w:r w:rsidR="00E33050">
        <w:rPr>
          <w:rFonts w:ascii="Trebuchet MS" w:hAnsi="Trebuchet MS"/>
        </w:rPr>
        <w:t>s</w:t>
      </w:r>
      <w:r w:rsidRPr="00716B85">
        <w:rPr>
          <w:rFonts w:ascii="Trebuchet MS" w:hAnsi="Trebuchet MS"/>
        </w:rPr>
        <w:t xml:space="preserve">ational performance. Practices such as recognition programs, flexible working arrangements, and career development opportunities foster a sense of belonging and purpose, leading to higher morale and reduced absenteeism </w:t>
      </w:r>
      <w:r w:rsidR="004E3B56" w:rsidRPr="004E3B56">
        <w:rPr>
          <w:rFonts w:ascii="Trebuchet MS" w:hAnsi="Trebuchet MS"/>
        </w:rPr>
        <w:t>(Sorenson and Garman, 2013)</w:t>
      </w:r>
      <w:r w:rsidR="004E3B56">
        <w:rPr>
          <w:rFonts w:ascii="Trebuchet MS" w:hAnsi="Trebuchet MS"/>
        </w:rPr>
        <w:t>.</w:t>
      </w:r>
    </w:p>
    <w:p w14:paraId="3842375F" w14:textId="77777777" w:rsidR="00600313" w:rsidRPr="00716B85" w:rsidRDefault="00600313" w:rsidP="00716B85">
      <w:pPr>
        <w:rPr>
          <w:rFonts w:ascii="Trebuchet MS" w:hAnsi="Trebuchet MS"/>
        </w:rPr>
      </w:pPr>
    </w:p>
    <w:p w14:paraId="0346812C" w14:textId="4C703C7C" w:rsidR="00716B85" w:rsidRDefault="00716B85" w:rsidP="00716B85">
      <w:pPr>
        <w:rPr>
          <w:rFonts w:ascii="Trebuchet MS" w:hAnsi="Trebuchet MS"/>
        </w:rPr>
      </w:pPr>
      <w:r w:rsidRPr="00716B85">
        <w:rPr>
          <w:rFonts w:ascii="Trebuchet MS" w:hAnsi="Trebuchet MS"/>
        </w:rPr>
        <w:t>To measure the impact of people practices, organi</w:t>
      </w:r>
      <w:r w:rsidR="004E3B56">
        <w:rPr>
          <w:rFonts w:ascii="Trebuchet MS" w:hAnsi="Trebuchet MS"/>
        </w:rPr>
        <w:t>s</w:t>
      </w:r>
      <w:r w:rsidRPr="00716B85">
        <w:rPr>
          <w:rFonts w:ascii="Trebuchet MS" w:hAnsi="Trebuchet MS"/>
        </w:rPr>
        <w:t xml:space="preserve">ations can use methods such as Key Performance Indicators (KPIs) and employee feedback </w:t>
      </w:r>
      <w:proofErr w:type="spellStart"/>
      <w:proofErr w:type="gramStart"/>
      <w:r w:rsidRPr="00716B85">
        <w:rPr>
          <w:rFonts w:ascii="Trebuchet MS" w:hAnsi="Trebuchet MS"/>
        </w:rPr>
        <w:t>mechanisms.KPIs</w:t>
      </w:r>
      <w:proofErr w:type="spellEnd"/>
      <w:proofErr w:type="gramEnd"/>
      <w:r w:rsidRPr="00716B85">
        <w:rPr>
          <w:rFonts w:ascii="Trebuchet MS" w:hAnsi="Trebuchet MS"/>
        </w:rPr>
        <w:t xml:space="preserve"> provide measurable data on the effectiveness of HR practices. For instance, metrics like employee turnover rates, time-to-hire, and training ROI help evaluate the efficiency and impact of recruitment and development initiatives. Analy</w:t>
      </w:r>
      <w:r w:rsidR="004E3B56">
        <w:rPr>
          <w:rFonts w:ascii="Trebuchet MS" w:hAnsi="Trebuchet MS"/>
        </w:rPr>
        <w:t>s</w:t>
      </w:r>
      <w:r w:rsidRPr="00716B85">
        <w:rPr>
          <w:rFonts w:ascii="Trebuchet MS" w:hAnsi="Trebuchet MS"/>
        </w:rPr>
        <w:t>ing trends in these KPIs allows organi</w:t>
      </w:r>
      <w:r w:rsidR="004E3B56">
        <w:rPr>
          <w:rFonts w:ascii="Trebuchet MS" w:hAnsi="Trebuchet MS"/>
        </w:rPr>
        <w:t>s</w:t>
      </w:r>
      <w:r w:rsidRPr="00716B85">
        <w:rPr>
          <w:rFonts w:ascii="Trebuchet MS" w:hAnsi="Trebuchet MS"/>
        </w:rPr>
        <w:t>ations to identify areas for improvement and align HR practices with business outcomes (Ulrich et al., 2017).</w:t>
      </w:r>
    </w:p>
    <w:p w14:paraId="5707A695" w14:textId="77777777" w:rsidR="004E3B56" w:rsidRPr="00716B85" w:rsidRDefault="004E3B56" w:rsidP="00716B85">
      <w:pPr>
        <w:rPr>
          <w:rFonts w:ascii="Trebuchet MS" w:hAnsi="Trebuchet MS"/>
        </w:rPr>
      </w:pPr>
    </w:p>
    <w:p w14:paraId="42D62829" w14:textId="391FA434" w:rsidR="00716B85" w:rsidRDefault="00716B85" w:rsidP="00716B85">
      <w:pPr>
        <w:rPr>
          <w:rFonts w:ascii="Trebuchet MS" w:hAnsi="Trebuchet MS"/>
        </w:rPr>
      </w:pPr>
      <w:r w:rsidRPr="00716B85">
        <w:rPr>
          <w:rFonts w:ascii="Trebuchet MS" w:hAnsi="Trebuchet MS"/>
        </w:rPr>
        <w:t>Surveys, focus groups, and exit interviews offer qualitative insights into the effectiveness of people practices. For example, engagement surveys can reveal how employees perceive workplace culture, management support, and career opportunities. High engagement scores often correlate with improved organi</w:t>
      </w:r>
      <w:r w:rsidR="00B655FB">
        <w:rPr>
          <w:rFonts w:ascii="Trebuchet MS" w:hAnsi="Trebuchet MS"/>
        </w:rPr>
        <w:t>s</w:t>
      </w:r>
      <w:r w:rsidRPr="00716B85">
        <w:rPr>
          <w:rFonts w:ascii="Trebuchet MS" w:hAnsi="Trebuchet MS"/>
        </w:rPr>
        <w:t>ational performance, making these tools valuable for assessing the success of HR strategies (CIPD, 202</w:t>
      </w:r>
      <w:r w:rsidR="0034095C">
        <w:rPr>
          <w:rFonts w:ascii="Trebuchet MS" w:hAnsi="Trebuchet MS"/>
        </w:rPr>
        <w:t>4</w:t>
      </w:r>
      <w:r w:rsidRPr="00716B85">
        <w:rPr>
          <w:rFonts w:ascii="Trebuchet MS" w:hAnsi="Trebuchet MS"/>
        </w:rPr>
        <w:t>).</w:t>
      </w:r>
    </w:p>
    <w:p w14:paraId="2E40A2C3" w14:textId="77777777" w:rsidR="00C14F6C" w:rsidRPr="00716B85" w:rsidRDefault="00C14F6C" w:rsidP="00716B85">
      <w:pPr>
        <w:rPr>
          <w:rFonts w:ascii="Trebuchet MS" w:hAnsi="Trebuchet MS"/>
        </w:rPr>
      </w:pPr>
    </w:p>
    <w:p w14:paraId="2CCF890F" w14:textId="54F6F25E" w:rsidR="00716B85" w:rsidRPr="00716B85" w:rsidRDefault="00716B85" w:rsidP="00716B85">
      <w:pPr>
        <w:rPr>
          <w:rFonts w:ascii="Trebuchet MS" w:hAnsi="Trebuchet MS"/>
        </w:rPr>
      </w:pPr>
      <w:r w:rsidRPr="00716B85">
        <w:rPr>
          <w:rFonts w:ascii="Trebuchet MS" w:hAnsi="Trebuchet MS"/>
        </w:rPr>
        <w:t>Combining quantitative and qualitative measurement methods ensures a comprehensive understanding of the impact of people practices. KPIs provide hard data to demonstrate ROI, while feedback mechanisms capture employee sentiment, highlighting areas that require attention. By continuously assessing and refining people practices, organi</w:t>
      </w:r>
      <w:r w:rsidR="002E2347">
        <w:rPr>
          <w:rFonts w:ascii="Trebuchet MS" w:hAnsi="Trebuchet MS"/>
        </w:rPr>
        <w:t>s</w:t>
      </w:r>
      <w:r w:rsidRPr="00716B85">
        <w:rPr>
          <w:rFonts w:ascii="Trebuchet MS" w:hAnsi="Trebuchet MS"/>
        </w:rPr>
        <w:t>ations can create an environment where employees thrive, ultimately driving long-term success.</w:t>
      </w:r>
    </w:p>
    <w:p w14:paraId="30C9DEF7" w14:textId="677E63DF" w:rsidR="00716B85" w:rsidRPr="00716B85" w:rsidRDefault="00716B85" w:rsidP="00716B85">
      <w:pPr>
        <w:rPr>
          <w:rFonts w:ascii="Trebuchet MS" w:hAnsi="Trebuchet MS"/>
        </w:rPr>
      </w:pPr>
      <w:r w:rsidRPr="00716B85">
        <w:rPr>
          <w:rFonts w:ascii="Trebuchet MS" w:hAnsi="Trebuchet MS"/>
        </w:rPr>
        <w:t>In conclusion, people practices add significant value by aligning human capital with organi</w:t>
      </w:r>
      <w:r w:rsidR="002E2347">
        <w:rPr>
          <w:rFonts w:ascii="Trebuchet MS" w:hAnsi="Trebuchet MS"/>
        </w:rPr>
        <w:t>s</w:t>
      </w:r>
      <w:r w:rsidRPr="00716B85">
        <w:rPr>
          <w:rFonts w:ascii="Trebuchet MS" w:hAnsi="Trebuchet MS"/>
        </w:rPr>
        <w:t>ational goals. Through systematic measurement and evaluation, organi</w:t>
      </w:r>
      <w:r w:rsidR="002E2347">
        <w:rPr>
          <w:rFonts w:ascii="Trebuchet MS" w:hAnsi="Trebuchet MS"/>
        </w:rPr>
        <w:t>s</w:t>
      </w:r>
      <w:r w:rsidRPr="00716B85">
        <w:rPr>
          <w:rFonts w:ascii="Trebuchet MS" w:hAnsi="Trebuchet MS"/>
        </w:rPr>
        <w:t>ations can maximi</w:t>
      </w:r>
      <w:r w:rsidR="002E2347">
        <w:rPr>
          <w:rFonts w:ascii="Trebuchet MS" w:hAnsi="Trebuchet MS"/>
        </w:rPr>
        <w:t>s</w:t>
      </w:r>
      <w:r w:rsidRPr="00716B85">
        <w:rPr>
          <w:rFonts w:ascii="Trebuchet MS" w:hAnsi="Trebuchet MS"/>
        </w:rPr>
        <w:t>e the benefits of these practices, ensuring they remain agile and competitive in an ever-changing business landscape.</w:t>
      </w:r>
    </w:p>
    <w:p w14:paraId="3044906E" w14:textId="77777777" w:rsidR="00EC02EB" w:rsidRDefault="00EC02EB" w:rsidP="00716B85">
      <w:pPr>
        <w:rPr>
          <w:rFonts w:ascii="Trebuchet MS" w:hAnsi="Trebuchet MS"/>
        </w:rPr>
      </w:pPr>
    </w:p>
    <w:p w14:paraId="5B85261E" w14:textId="77777777" w:rsidR="00C241DC" w:rsidRDefault="00C241DC" w:rsidP="00716B85">
      <w:pPr>
        <w:rPr>
          <w:rFonts w:ascii="Trebuchet MS" w:hAnsi="Trebuchet MS"/>
        </w:rPr>
      </w:pPr>
    </w:p>
    <w:p w14:paraId="09270F6B" w14:textId="77777777" w:rsidR="00C241DC" w:rsidRDefault="00C241DC" w:rsidP="00716B85">
      <w:pPr>
        <w:rPr>
          <w:rFonts w:ascii="Trebuchet MS" w:hAnsi="Trebuchet MS"/>
        </w:rPr>
      </w:pPr>
    </w:p>
    <w:p w14:paraId="6F193C09" w14:textId="77777777" w:rsidR="00C241DC" w:rsidRDefault="00C241DC" w:rsidP="00716B85">
      <w:pPr>
        <w:rPr>
          <w:rFonts w:ascii="Trebuchet MS" w:hAnsi="Trebuchet MS"/>
        </w:rPr>
      </w:pPr>
    </w:p>
    <w:p w14:paraId="2FC72ECB" w14:textId="77777777" w:rsidR="00C241DC" w:rsidRDefault="00C241DC" w:rsidP="00716B85">
      <w:pPr>
        <w:rPr>
          <w:rFonts w:ascii="Trebuchet MS" w:hAnsi="Trebuchet MS"/>
        </w:rPr>
      </w:pPr>
    </w:p>
    <w:p w14:paraId="45DA790A" w14:textId="77777777" w:rsidR="00C241DC" w:rsidRDefault="00C241DC" w:rsidP="00716B85">
      <w:pPr>
        <w:rPr>
          <w:rFonts w:ascii="Trebuchet MS" w:hAnsi="Trebuchet MS"/>
        </w:rPr>
      </w:pPr>
    </w:p>
    <w:p w14:paraId="68ED27D4" w14:textId="77777777" w:rsidR="009F164E" w:rsidRDefault="009F164E" w:rsidP="00716B85">
      <w:pPr>
        <w:rPr>
          <w:rFonts w:ascii="Trebuchet MS" w:hAnsi="Trebuchet MS"/>
        </w:rPr>
      </w:pPr>
    </w:p>
    <w:p w14:paraId="2F19F717" w14:textId="77777777" w:rsidR="009F164E" w:rsidRDefault="009F164E" w:rsidP="00716B85">
      <w:pPr>
        <w:rPr>
          <w:rFonts w:ascii="Trebuchet MS" w:hAnsi="Trebuchet MS"/>
        </w:rPr>
      </w:pPr>
    </w:p>
    <w:p w14:paraId="464311AC" w14:textId="77777777" w:rsidR="009F164E" w:rsidRDefault="009F164E" w:rsidP="00716B85">
      <w:pPr>
        <w:rPr>
          <w:rFonts w:ascii="Trebuchet MS" w:hAnsi="Trebuchet MS"/>
        </w:rPr>
      </w:pPr>
    </w:p>
    <w:p w14:paraId="0E6A999B" w14:textId="77777777" w:rsidR="009F164E" w:rsidRDefault="009F164E" w:rsidP="00716B85">
      <w:pPr>
        <w:rPr>
          <w:rFonts w:ascii="Trebuchet MS" w:hAnsi="Trebuchet MS"/>
        </w:rPr>
      </w:pPr>
    </w:p>
    <w:p w14:paraId="7B3D85F6" w14:textId="77777777" w:rsidR="009F164E" w:rsidRDefault="009F164E" w:rsidP="00716B85">
      <w:pPr>
        <w:rPr>
          <w:rFonts w:ascii="Trebuchet MS" w:hAnsi="Trebuchet MS"/>
        </w:rPr>
      </w:pPr>
    </w:p>
    <w:p w14:paraId="498FCB30" w14:textId="77777777" w:rsidR="009F164E" w:rsidRDefault="009F164E" w:rsidP="00716B85">
      <w:pPr>
        <w:rPr>
          <w:rFonts w:ascii="Trebuchet MS" w:hAnsi="Trebuchet MS"/>
        </w:rPr>
      </w:pPr>
    </w:p>
    <w:p w14:paraId="494E5F69" w14:textId="77777777" w:rsidR="009F164E" w:rsidRDefault="009F164E" w:rsidP="00716B85">
      <w:pPr>
        <w:rPr>
          <w:rFonts w:ascii="Trebuchet MS" w:hAnsi="Trebuchet MS"/>
        </w:rPr>
      </w:pPr>
    </w:p>
    <w:p w14:paraId="7D5B98DB" w14:textId="77777777" w:rsidR="009F164E" w:rsidRDefault="009F164E" w:rsidP="00716B85">
      <w:pPr>
        <w:rPr>
          <w:rFonts w:ascii="Trebuchet MS" w:hAnsi="Trebuchet MS"/>
        </w:rPr>
      </w:pPr>
    </w:p>
    <w:p w14:paraId="39FD6659" w14:textId="77777777" w:rsidR="009F164E" w:rsidRDefault="009F164E" w:rsidP="00716B85">
      <w:pPr>
        <w:rPr>
          <w:rFonts w:ascii="Trebuchet MS" w:hAnsi="Trebuchet MS"/>
        </w:rPr>
      </w:pPr>
    </w:p>
    <w:p w14:paraId="2C160517" w14:textId="4A6CFE13" w:rsidR="009F164E" w:rsidRPr="009F164E" w:rsidRDefault="009F164E" w:rsidP="00716B85">
      <w:pPr>
        <w:rPr>
          <w:rFonts w:ascii="Trebuchet MS" w:hAnsi="Trebuchet MS"/>
          <w:color w:val="0070C0"/>
          <w:sz w:val="28"/>
          <w:szCs w:val="28"/>
        </w:rPr>
      </w:pPr>
      <w:r w:rsidRPr="009F164E">
        <w:rPr>
          <w:rFonts w:ascii="Trebuchet MS" w:hAnsi="Trebuchet MS"/>
          <w:color w:val="0070C0"/>
          <w:sz w:val="28"/>
          <w:szCs w:val="28"/>
        </w:rPr>
        <w:lastRenderedPageBreak/>
        <w:t>Part 2</w:t>
      </w:r>
    </w:p>
    <w:p w14:paraId="7A46F6B0" w14:textId="77777777" w:rsidR="00C241DC" w:rsidRDefault="00C241DC" w:rsidP="00716B85">
      <w:pPr>
        <w:rPr>
          <w:rFonts w:ascii="Trebuchet MS" w:hAnsi="Trebuchet MS"/>
        </w:rPr>
      </w:pPr>
    </w:p>
    <w:p w14:paraId="1F707DB7" w14:textId="454C00B8" w:rsidR="008A7276" w:rsidRDefault="00C53E53" w:rsidP="00716B85">
      <w:pPr>
        <w:rPr>
          <w:rFonts w:ascii="Trebuchet MS" w:hAnsi="Trebuchet MS"/>
          <w:b/>
          <w:bCs/>
          <w:color w:val="FF0000"/>
        </w:rPr>
      </w:pPr>
      <w:r w:rsidRPr="00CD2C6B">
        <w:rPr>
          <w:rFonts w:ascii="Trebuchet MS" w:hAnsi="Trebuchet MS"/>
          <w:b/>
          <w:bCs/>
          <w:color w:val="FF0000"/>
        </w:rPr>
        <w:t>(AC</w:t>
      </w:r>
      <w:r w:rsidR="004A72DB" w:rsidRPr="00CD2C6B">
        <w:rPr>
          <w:rFonts w:ascii="Trebuchet MS" w:hAnsi="Trebuchet MS"/>
          <w:b/>
          <w:bCs/>
          <w:color w:val="FF0000"/>
        </w:rPr>
        <w:t xml:space="preserve"> 2.1, 2.2 and 2.3) Analysis of data and graphical representation</w:t>
      </w:r>
    </w:p>
    <w:p w14:paraId="6EF53AAF" w14:textId="77777777" w:rsidR="008A7276" w:rsidRDefault="008A7276" w:rsidP="00716B85">
      <w:pPr>
        <w:rPr>
          <w:rFonts w:ascii="Trebuchet MS" w:hAnsi="Trebuchet MS"/>
          <w:b/>
          <w:bCs/>
          <w:color w:val="FF0000"/>
        </w:rPr>
      </w:pPr>
    </w:p>
    <w:p w14:paraId="39069C98" w14:textId="682E1482" w:rsidR="008A7276" w:rsidRPr="00CD2C6B" w:rsidRDefault="008A7276" w:rsidP="00716B85">
      <w:pPr>
        <w:rPr>
          <w:rFonts w:ascii="Trebuchet MS" w:hAnsi="Trebuchet MS"/>
          <w:b/>
          <w:bCs/>
          <w:color w:val="FF0000"/>
        </w:rPr>
      </w:pPr>
      <w:r>
        <w:rPr>
          <w:rFonts w:ascii="Trebuchet MS" w:hAnsi="Trebuchet MS"/>
          <w:b/>
          <w:bCs/>
          <w:color w:val="FF0000"/>
        </w:rPr>
        <w:t>Graph 1</w:t>
      </w:r>
    </w:p>
    <w:p w14:paraId="2EBA467D" w14:textId="2E1B5A2C" w:rsidR="00C723DC" w:rsidRDefault="00C723DC" w:rsidP="00716B85">
      <w:pPr>
        <w:rPr>
          <w:rFonts w:ascii="Trebuchet MS" w:hAnsi="Trebuchet MS"/>
          <w:b/>
          <w:bCs/>
        </w:rPr>
      </w:pPr>
    </w:p>
    <w:p w14:paraId="130A3D8A" w14:textId="0E4AF2F7" w:rsidR="00C723DC" w:rsidRDefault="00264C00" w:rsidP="00716B85">
      <w:pPr>
        <w:rPr>
          <w:rFonts w:ascii="Trebuchet MS" w:hAnsi="Trebuchet MS"/>
          <w:b/>
          <w:bCs/>
        </w:rPr>
      </w:pPr>
      <w:r w:rsidRPr="00807CAC">
        <w:rPr>
          <w:rFonts w:ascii="Trebuchet MS" w:hAnsi="Trebuchet MS"/>
          <w:b/>
          <w:bCs/>
          <w:noProof/>
          <w:color w:val="FF0000"/>
        </w:rPr>
        <mc:AlternateContent>
          <mc:Choice Requires="wps">
            <w:drawing>
              <wp:anchor distT="45720" distB="45720" distL="114300" distR="114300" simplePos="0" relativeHeight="251661312" behindDoc="0" locked="0" layoutInCell="1" allowOverlap="1" wp14:anchorId="6C57ABFE" wp14:editId="660CD5F8">
                <wp:simplePos x="0" y="0"/>
                <wp:positionH relativeFrom="column">
                  <wp:posOffset>4567018</wp:posOffset>
                </wp:positionH>
                <wp:positionV relativeFrom="paragraph">
                  <wp:posOffset>2551625</wp:posOffset>
                </wp:positionV>
                <wp:extent cx="407963" cy="295422"/>
                <wp:effectExtent l="0" t="0" r="0" b="9525"/>
                <wp:wrapNone/>
                <wp:docPr id="78490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63" cy="295422"/>
                        </a:xfrm>
                        <a:prstGeom prst="rect">
                          <a:avLst/>
                        </a:prstGeom>
                        <a:solidFill>
                          <a:srgbClr val="FFFFFF"/>
                        </a:solidFill>
                        <a:ln w="9525">
                          <a:noFill/>
                          <a:miter lim="800000"/>
                          <a:headEnd/>
                          <a:tailEnd/>
                        </a:ln>
                      </wps:spPr>
                      <wps:txbx>
                        <w:txbxContent>
                          <w:p w14:paraId="4A94C17E" w14:textId="6FD6B753" w:rsidR="00264C00" w:rsidRPr="00264C00" w:rsidRDefault="00264C00" w:rsidP="00264C00">
                            <w:pPr>
                              <w:rPr>
                                <w:b/>
                                <w:bCs/>
                              </w:rPr>
                            </w:pPr>
                            <w:r w:rsidRPr="00264C00">
                              <w:rPr>
                                <w:b/>
                                <w:bCs/>
                              </w:rPr>
                              <w:t>Q</w:t>
                            </w:r>
                            <w:r>
                              <w:rPr>
                                <w:b/>
                                <w:bC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7ABFE" id="_x0000_t202" coordsize="21600,21600" o:spt="202" path="m,l,21600r21600,l21600,xe">
                <v:stroke joinstyle="miter"/>
                <v:path gradientshapeok="t" o:connecttype="rect"/>
              </v:shapetype>
              <v:shape id="Text Box 2" o:spid="_x0000_s1026" type="#_x0000_t202" style="position:absolute;margin-left:359.6pt;margin-top:200.9pt;width:32.1pt;height:2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" stroked="f">
                <v:textbox>
                  <w:txbxContent>
                    <w:p w14:paraId="4A94C17E" w14:textId="6FD6B753" w:rsidR="00264C00" w:rsidRPr="00264C00" w:rsidRDefault="00264C00" w:rsidP="00264C00">
                      <w:pPr>
                        <w:rPr>
                          <w:b/>
                          <w:bCs/>
                        </w:rPr>
                      </w:pPr>
                      <w:r w:rsidRPr="00264C00">
                        <w:rPr>
                          <w:b/>
                          <w:bCs/>
                        </w:rPr>
                        <w:t>Q</w:t>
                      </w:r>
                      <w:r>
                        <w:rPr>
                          <w:b/>
                          <w:bCs/>
                        </w:rPr>
                        <w:t>2</w:t>
                      </w:r>
                    </w:p>
                  </w:txbxContent>
                </v:textbox>
              </v:shape>
            </w:pict>
          </mc:Fallback>
        </mc:AlternateContent>
      </w:r>
      <w:r w:rsidRPr="00807CAC">
        <w:rPr>
          <w:rFonts w:ascii="Trebuchet MS" w:hAnsi="Trebuchet MS"/>
          <w:b/>
          <w:bCs/>
          <w:noProof/>
          <w:color w:val="FF0000"/>
        </w:rPr>
        <mc:AlternateContent>
          <mc:Choice Requires="wps">
            <w:drawing>
              <wp:anchor distT="45720" distB="45720" distL="114300" distR="114300" simplePos="0" relativeHeight="251659264" behindDoc="0" locked="0" layoutInCell="1" allowOverlap="1" wp14:anchorId="21875965" wp14:editId="4DA82461">
                <wp:simplePos x="0" y="0"/>
                <wp:positionH relativeFrom="column">
                  <wp:posOffset>377190</wp:posOffset>
                </wp:positionH>
                <wp:positionV relativeFrom="paragraph">
                  <wp:posOffset>2553677</wp:posOffset>
                </wp:positionV>
                <wp:extent cx="407963" cy="295422"/>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63" cy="295422"/>
                        </a:xfrm>
                        <a:prstGeom prst="rect">
                          <a:avLst/>
                        </a:prstGeom>
                        <a:solidFill>
                          <a:srgbClr val="FFFFFF"/>
                        </a:solidFill>
                        <a:ln w="9525">
                          <a:noFill/>
                          <a:miter lim="800000"/>
                          <a:headEnd/>
                          <a:tailEnd/>
                        </a:ln>
                      </wps:spPr>
                      <wps:txbx>
                        <w:txbxContent>
                          <w:p w14:paraId="66106D1F" w14:textId="7AE598E6" w:rsidR="00807CAC" w:rsidRPr="00264C00" w:rsidRDefault="00264C00">
                            <w:pPr>
                              <w:rPr>
                                <w:b/>
                                <w:bCs/>
                              </w:rPr>
                            </w:pPr>
                            <w:r w:rsidRPr="00264C00">
                              <w:rPr>
                                <w:b/>
                                <w:bCs/>
                              </w:rPr>
                              <w:t>Q1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75965" id="_x0000_s1027" type="#_x0000_t202" style="position:absolute;margin-left:29.7pt;margin-top:201.1pt;width:32.1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" stroked="f">
                <v:textbox>
                  <w:txbxContent>
                    <w:p w14:paraId="66106D1F" w14:textId="7AE598E6" w:rsidR="00807CAC" w:rsidRPr="00264C00" w:rsidRDefault="00264C00">
                      <w:pPr>
                        <w:rPr>
                          <w:b/>
                          <w:bCs/>
                        </w:rPr>
                      </w:pPr>
                      <w:r w:rsidRPr="00264C00">
                        <w:rPr>
                          <w:b/>
                          <w:bCs/>
                        </w:rPr>
                        <w:t>Q1</w:t>
                      </w:r>
                    </w:p>
                  </w:txbxContent>
                </v:textbox>
              </v:shape>
            </w:pict>
          </mc:Fallback>
        </mc:AlternateContent>
      </w:r>
      <w:r w:rsidR="00DA6AFB">
        <w:rPr>
          <w:rFonts w:ascii="Trebuchet MS" w:hAnsi="Trebuchet MS"/>
          <w:b/>
          <w:bCs/>
          <w:noProof/>
        </w:rPr>
        <w:drawing>
          <wp:inline distT="0" distB="0" distL="0" distR="0" wp14:anchorId="4357872C" wp14:editId="764CAF98">
            <wp:extent cx="5486400" cy="3200400"/>
            <wp:effectExtent l="0" t="0" r="0" b="0"/>
            <wp:docPr id="147864773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165BFD" w14:textId="77777777" w:rsidR="004A6C09" w:rsidRDefault="004A6C09" w:rsidP="00716B85">
      <w:pPr>
        <w:rPr>
          <w:rFonts w:ascii="Trebuchet MS" w:hAnsi="Trebuchet MS"/>
          <w:b/>
          <w:bCs/>
        </w:rPr>
      </w:pPr>
    </w:p>
    <w:p w14:paraId="466EC943" w14:textId="78BE73CF" w:rsidR="00475485" w:rsidRPr="0089225D" w:rsidRDefault="008A7276" w:rsidP="00475485">
      <w:pPr>
        <w:rPr>
          <w:rFonts w:ascii="Trebuchet MS" w:hAnsi="Trebuchet MS"/>
          <w:color w:val="FF0000"/>
        </w:rPr>
      </w:pPr>
      <w:r w:rsidRPr="0089225D">
        <w:rPr>
          <w:rFonts w:ascii="Trebuchet MS" w:hAnsi="Trebuchet MS"/>
          <w:color w:val="FF0000"/>
        </w:rPr>
        <w:t xml:space="preserve">Graph </w:t>
      </w:r>
      <w:r w:rsidR="00191CBE" w:rsidRPr="0089225D">
        <w:rPr>
          <w:rFonts w:ascii="Trebuchet MS" w:hAnsi="Trebuchet MS"/>
          <w:color w:val="FF0000"/>
        </w:rPr>
        <w:t xml:space="preserve">1 </w:t>
      </w:r>
      <w:r w:rsidR="00BB30B9" w:rsidRPr="0089225D">
        <w:rPr>
          <w:rFonts w:ascii="Trebuchet MS" w:hAnsi="Trebuchet MS"/>
          <w:color w:val="FF0000"/>
        </w:rPr>
        <w:t>depicts</w:t>
      </w:r>
      <w:r w:rsidR="002D1A3C" w:rsidRPr="0089225D">
        <w:rPr>
          <w:rFonts w:ascii="Trebuchet MS" w:hAnsi="Trebuchet MS"/>
          <w:color w:val="FF0000"/>
        </w:rPr>
        <w:t xml:space="preserve"> an</w:t>
      </w:r>
      <w:r w:rsidR="00BB30B9" w:rsidRPr="0089225D">
        <w:rPr>
          <w:rFonts w:ascii="Trebuchet MS" w:hAnsi="Trebuchet MS"/>
          <w:color w:val="FF0000"/>
        </w:rPr>
        <w:t xml:space="preserve"> anonymous</w:t>
      </w:r>
      <w:r w:rsidR="002D1A3C" w:rsidRPr="0089225D">
        <w:rPr>
          <w:rFonts w:ascii="Trebuchet MS" w:hAnsi="Trebuchet MS"/>
          <w:color w:val="FF0000"/>
        </w:rPr>
        <w:t xml:space="preserve"> organisations</w:t>
      </w:r>
      <w:r w:rsidR="00654E52" w:rsidRPr="0089225D">
        <w:rPr>
          <w:rFonts w:ascii="Trebuchet MS" w:hAnsi="Trebuchet MS"/>
          <w:color w:val="FF0000"/>
        </w:rPr>
        <w:t xml:space="preserve"> Q1 and Q2 employee performance results</w:t>
      </w:r>
      <w:r w:rsidR="00B310A7" w:rsidRPr="0089225D">
        <w:rPr>
          <w:rFonts w:ascii="Trebuchet MS" w:hAnsi="Trebuchet MS"/>
          <w:color w:val="FF0000"/>
        </w:rPr>
        <w:t xml:space="preserve"> by department</w:t>
      </w:r>
      <w:r w:rsidR="002D1A3C" w:rsidRPr="0089225D">
        <w:rPr>
          <w:rFonts w:ascii="Trebuchet MS" w:hAnsi="Trebuchet MS"/>
          <w:color w:val="FF0000"/>
        </w:rPr>
        <w:t xml:space="preserve">. </w:t>
      </w:r>
      <w:r w:rsidR="00701DAA" w:rsidRPr="0089225D">
        <w:rPr>
          <w:rFonts w:ascii="Trebuchet MS" w:hAnsi="Trebuchet MS"/>
          <w:color w:val="FF0000"/>
        </w:rPr>
        <w:t xml:space="preserve">By comparing the results from both quarters, </w:t>
      </w:r>
      <w:proofErr w:type="gramStart"/>
      <w:r w:rsidR="00701DAA" w:rsidRPr="0089225D">
        <w:rPr>
          <w:rFonts w:ascii="Trebuchet MS" w:hAnsi="Trebuchet MS"/>
          <w:color w:val="FF0000"/>
        </w:rPr>
        <w:t>it is clear that the</w:t>
      </w:r>
      <w:proofErr w:type="gramEnd"/>
      <w:r w:rsidR="00701DAA" w:rsidRPr="0089225D">
        <w:rPr>
          <w:rFonts w:ascii="Trebuchet MS" w:hAnsi="Trebuchet MS"/>
          <w:color w:val="FF0000"/>
        </w:rPr>
        <w:t xml:space="preserve"> number of employees receiving an ‘outstanding’ </w:t>
      </w:r>
      <w:r w:rsidR="00A064F7" w:rsidRPr="0089225D">
        <w:rPr>
          <w:rFonts w:ascii="Trebuchet MS" w:hAnsi="Trebuchet MS"/>
          <w:color w:val="FF0000"/>
        </w:rPr>
        <w:t>result is much higher in Q2 than in Q1</w:t>
      </w:r>
      <w:r w:rsidR="00B310A7" w:rsidRPr="0089225D">
        <w:rPr>
          <w:rFonts w:ascii="Trebuchet MS" w:hAnsi="Trebuchet MS"/>
          <w:color w:val="FF0000"/>
        </w:rPr>
        <w:t>, with the logistics department achieving an 8</w:t>
      </w:r>
      <w:r w:rsidR="00623B69" w:rsidRPr="0089225D">
        <w:rPr>
          <w:rFonts w:ascii="Trebuchet MS" w:hAnsi="Trebuchet MS"/>
          <w:color w:val="FF0000"/>
        </w:rPr>
        <w:t>% increase, and the Research and Development department achieving a</w:t>
      </w:r>
      <w:r w:rsidR="00FE08A3" w:rsidRPr="0089225D">
        <w:rPr>
          <w:rFonts w:ascii="Trebuchet MS" w:hAnsi="Trebuchet MS"/>
          <w:color w:val="FF0000"/>
        </w:rPr>
        <w:t xml:space="preserve"> 26% increase. </w:t>
      </w:r>
      <w:r w:rsidR="00364B58" w:rsidRPr="0089225D">
        <w:rPr>
          <w:rFonts w:ascii="Trebuchet MS" w:hAnsi="Trebuchet MS"/>
          <w:color w:val="FF0000"/>
        </w:rPr>
        <w:t xml:space="preserve">It is known that the employees who </w:t>
      </w:r>
      <w:r w:rsidR="00406FE1" w:rsidRPr="0089225D">
        <w:rPr>
          <w:rFonts w:ascii="Trebuchet MS" w:hAnsi="Trebuchet MS"/>
          <w:color w:val="FF0000"/>
        </w:rPr>
        <w:t>received an outstanding result in either quarter received a 4% bonus payment</w:t>
      </w:r>
      <w:r w:rsidR="007A2A68" w:rsidRPr="0089225D">
        <w:rPr>
          <w:rFonts w:ascii="Trebuchet MS" w:hAnsi="Trebuchet MS"/>
          <w:color w:val="FF0000"/>
        </w:rPr>
        <w:t xml:space="preserve"> (for each quarter)</w:t>
      </w:r>
      <w:r w:rsidR="00406FE1" w:rsidRPr="0089225D">
        <w:rPr>
          <w:rFonts w:ascii="Trebuchet MS" w:hAnsi="Trebuchet MS"/>
          <w:color w:val="FF0000"/>
        </w:rPr>
        <w:t xml:space="preserve">. These results might suggest that </w:t>
      </w:r>
      <w:r w:rsidR="00723DF9" w:rsidRPr="0089225D">
        <w:rPr>
          <w:rFonts w:ascii="Trebuchet MS" w:hAnsi="Trebuchet MS"/>
          <w:color w:val="FF0000"/>
        </w:rPr>
        <w:t xml:space="preserve">colleagues who did not receive a bonus payment in Q1 </w:t>
      </w:r>
      <w:r w:rsidR="0005770B" w:rsidRPr="0089225D">
        <w:rPr>
          <w:rFonts w:ascii="Trebuchet MS" w:hAnsi="Trebuchet MS"/>
          <w:color w:val="FF0000"/>
        </w:rPr>
        <w:t xml:space="preserve">were motivated to achieve an outstanding result in Q2 to receive a bonus payment. However, </w:t>
      </w:r>
      <w:r w:rsidR="005440EC" w:rsidRPr="0089225D">
        <w:rPr>
          <w:rFonts w:ascii="Trebuchet MS" w:hAnsi="Trebuchet MS"/>
          <w:color w:val="FF0000"/>
        </w:rPr>
        <w:t xml:space="preserve">the number of outstanding results achieved by the administration department halved in Q2 in comparison to Q1, which </w:t>
      </w:r>
      <w:r w:rsidR="00235D9C" w:rsidRPr="0089225D">
        <w:rPr>
          <w:rFonts w:ascii="Trebuchet MS" w:hAnsi="Trebuchet MS"/>
          <w:color w:val="FF0000"/>
        </w:rPr>
        <w:t xml:space="preserve">could also suggest that bonus payments are not </w:t>
      </w:r>
      <w:r w:rsidR="0067799D" w:rsidRPr="0089225D">
        <w:rPr>
          <w:rFonts w:ascii="Trebuchet MS" w:hAnsi="Trebuchet MS"/>
          <w:color w:val="FF0000"/>
        </w:rPr>
        <w:t xml:space="preserve">an appropriate motivational tool to achieve long-term </w:t>
      </w:r>
      <w:r w:rsidR="00F921E6" w:rsidRPr="0089225D">
        <w:rPr>
          <w:rFonts w:ascii="Trebuchet MS" w:hAnsi="Trebuchet MS"/>
          <w:color w:val="FF0000"/>
        </w:rPr>
        <w:t>colleague engagement</w:t>
      </w:r>
      <w:r w:rsidR="0067799D" w:rsidRPr="0089225D">
        <w:rPr>
          <w:rFonts w:ascii="Trebuchet MS" w:hAnsi="Trebuchet MS"/>
          <w:color w:val="FF0000"/>
        </w:rPr>
        <w:t xml:space="preserve">. </w:t>
      </w:r>
      <w:r w:rsidR="00F921E6" w:rsidRPr="0089225D">
        <w:rPr>
          <w:rFonts w:ascii="Trebuchet MS" w:hAnsi="Trebuchet MS"/>
          <w:color w:val="FF0000"/>
        </w:rPr>
        <w:t xml:space="preserve">One anomaly to note </w:t>
      </w:r>
      <w:r w:rsidR="007D69EF" w:rsidRPr="0089225D">
        <w:rPr>
          <w:rFonts w:ascii="Trebuchet MS" w:hAnsi="Trebuchet MS"/>
          <w:color w:val="FF0000"/>
        </w:rPr>
        <w:t xml:space="preserve">is that sales is the only department to receive consistent results across all employees. This </w:t>
      </w:r>
      <w:r w:rsidR="007A6742" w:rsidRPr="0089225D">
        <w:rPr>
          <w:rFonts w:ascii="Trebuchet MS" w:hAnsi="Trebuchet MS"/>
          <w:color w:val="FF0000"/>
        </w:rPr>
        <w:t xml:space="preserve">could indicate a lack of clear performance metrics </w:t>
      </w:r>
      <w:r w:rsidR="00DE738F" w:rsidRPr="0089225D">
        <w:rPr>
          <w:rFonts w:ascii="Trebuchet MS" w:hAnsi="Trebuchet MS"/>
          <w:color w:val="FF0000"/>
        </w:rPr>
        <w:t xml:space="preserve">to monitor colleague performance. </w:t>
      </w:r>
    </w:p>
    <w:p w14:paraId="38EB35B8" w14:textId="77777777" w:rsidR="00DE738F" w:rsidRPr="0089225D" w:rsidRDefault="00DE738F" w:rsidP="00475485">
      <w:pPr>
        <w:rPr>
          <w:rFonts w:ascii="Trebuchet MS" w:hAnsi="Trebuchet MS"/>
          <w:color w:val="FF0000"/>
        </w:rPr>
      </w:pPr>
    </w:p>
    <w:p w14:paraId="1E6A787E" w14:textId="1431D7B6" w:rsidR="00475485" w:rsidRPr="0089225D" w:rsidRDefault="00475485" w:rsidP="00475485">
      <w:pPr>
        <w:rPr>
          <w:rFonts w:ascii="Trebuchet MS" w:hAnsi="Trebuchet MS"/>
          <w:color w:val="FF0000"/>
        </w:rPr>
      </w:pPr>
      <w:r w:rsidRPr="0089225D">
        <w:rPr>
          <w:rFonts w:ascii="Trebuchet MS" w:hAnsi="Trebuchet MS"/>
          <w:color w:val="FF0000"/>
        </w:rPr>
        <w:t>The main issue with monitoring employee performance without clear and consistent metrics is the potential for subjectivity and bias, which undermines fairness and accuracy in evaluations. Without predefined standards, managers may rely on personal judgment, leading to inconsistent assessments influenced by favo</w:t>
      </w:r>
      <w:r w:rsidR="00DE738F" w:rsidRPr="0089225D">
        <w:rPr>
          <w:rFonts w:ascii="Trebuchet MS" w:hAnsi="Trebuchet MS"/>
          <w:color w:val="FF0000"/>
        </w:rPr>
        <w:t>u</w:t>
      </w:r>
      <w:r w:rsidRPr="0089225D">
        <w:rPr>
          <w:rFonts w:ascii="Trebuchet MS" w:hAnsi="Trebuchet MS"/>
          <w:color w:val="FF0000"/>
        </w:rPr>
        <w:t>ritism, recency effects, or implicit biases. This can result in employee dissatisfaction, disengagement, and a lack of trust in the performance management process (Armstrong &amp; Taylor, 2020</w:t>
      </w:r>
      <w:r w:rsidR="007B2886">
        <w:rPr>
          <w:rFonts w:ascii="Trebuchet MS" w:hAnsi="Trebuchet MS"/>
          <w:color w:val="FF0000"/>
        </w:rPr>
        <w:t>).</w:t>
      </w:r>
      <w:r w:rsidR="00FE54BE" w:rsidRPr="0089225D">
        <w:rPr>
          <w:rFonts w:ascii="Trebuchet MS" w:hAnsi="Trebuchet MS"/>
          <w:color w:val="FF0000"/>
        </w:rPr>
        <w:t xml:space="preserve"> </w:t>
      </w:r>
    </w:p>
    <w:p w14:paraId="682169EC" w14:textId="77777777" w:rsidR="00475485" w:rsidRPr="00475485" w:rsidRDefault="00475485" w:rsidP="00475485">
      <w:pPr>
        <w:rPr>
          <w:rFonts w:ascii="Trebuchet MS" w:hAnsi="Trebuchet MS"/>
        </w:rPr>
      </w:pPr>
    </w:p>
    <w:p w14:paraId="4F20CEBE" w14:textId="2D645951" w:rsidR="004A6C09" w:rsidRPr="008A7276" w:rsidRDefault="004A6C09" w:rsidP="00716B85">
      <w:pPr>
        <w:rPr>
          <w:rFonts w:ascii="Trebuchet MS" w:hAnsi="Trebuchet MS"/>
        </w:rPr>
      </w:pPr>
    </w:p>
    <w:p w14:paraId="7F3F3396" w14:textId="77777777" w:rsidR="008A7276" w:rsidRDefault="008A7276" w:rsidP="00716B85">
      <w:pPr>
        <w:rPr>
          <w:rFonts w:ascii="Trebuchet MS" w:hAnsi="Trebuchet MS"/>
          <w:b/>
          <w:bCs/>
        </w:rPr>
      </w:pPr>
    </w:p>
    <w:p w14:paraId="5778B1EA" w14:textId="77777777" w:rsidR="008A7276" w:rsidRDefault="008A7276" w:rsidP="00716B85">
      <w:pPr>
        <w:rPr>
          <w:rFonts w:ascii="Trebuchet MS" w:hAnsi="Trebuchet MS"/>
          <w:b/>
          <w:bCs/>
        </w:rPr>
      </w:pPr>
    </w:p>
    <w:p w14:paraId="0EB399E6" w14:textId="77777777" w:rsidR="00BB4828" w:rsidRDefault="00BB4828" w:rsidP="00716B85">
      <w:pPr>
        <w:rPr>
          <w:rFonts w:ascii="Trebuchet MS" w:hAnsi="Trebuchet MS"/>
          <w:b/>
          <w:bCs/>
        </w:rPr>
      </w:pPr>
    </w:p>
    <w:p w14:paraId="4181EC70" w14:textId="77777777" w:rsidR="000078AE" w:rsidRDefault="000078AE" w:rsidP="00716B85">
      <w:pPr>
        <w:rPr>
          <w:rFonts w:ascii="Trebuchet MS" w:hAnsi="Trebuchet MS"/>
          <w:b/>
          <w:bCs/>
        </w:rPr>
      </w:pPr>
    </w:p>
    <w:p w14:paraId="1278AD14" w14:textId="77777777" w:rsidR="000078AE" w:rsidRDefault="000078AE" w:rsidP="00716B85">
      <w:pPr>
        <w:rPr>
          <w:rFonts w:ascii="Trebuchet MS" w:hAnsi="Trebuchet MS"/>
          <w:b/>
          <w:bCs/>
        </w:rPr>
      </w:pPr>
    </w:p>
    <w:p w14:paraId="6F4ECEDE" w14:textId="77777777" w:rsidR="000078AE" w:rsidRDefault="000078AE" w:rsidP="00716B85">
      <w:pPr>
        <w:rPr>
          <w:rFonts w:ascii="Trebuchet MS" w:hAnsi="Trebuchet MS"/>
          <w:b/>
          <w:bCs/>
        </w:rPr>
      </w:pPr>
    </w:p>
    <w:p w14:paraId="7695E73C" w14:textId="77777777" w:rsidR="007B2886" w:rsidRDefault="007B2886" w:rsidP="00716B85">
      <w:pPr>
        <w:rPr>
          <w:rFonts w:ascii="Trebuchet MS" w:hAnsi="Trebuchet MS"/>
          <w:b/>
          <w:bCs/>
        </w:rPr>
      </w:pPr>
    </w:p>
    <w:p w14:paraId="19EDDE47" w14:textId="77777777" w:rsidR="000078AE" w:rsidRDefault="000078AE" w:rsidP="00716B85">
      <w:pPr>
        <w:rPr>
          <w:rFonts w:ascii="Trebuchet MS" w:hAnsi="Trebuchet MS"/>
          <w:b/>
          <w:bCs/>
        </w:rPr>
      </w:pPr>
    </w:p>
    <w:p w14:paraId="4ABBE0DE" w14:textId="5A0FBA71" w:rsidR="000078AE" w:rsidRDefault="000078AE" w:rsidP="00716B85">
      <w:pPr>
        <w:rPr>
          <w:rFonts w:ascii="Trebuchet MS" w:hAnsi="Trebuchet MS"/>
          <w:b/>
          <w:bCs/>
        </w:rPr>
      </w:pPr>
      <w:r w:rsidRPr="000078AE">
        <w:rPr>
          <w:rFonts w:ascii="Trebuchet MS" w:hAnsi="Trebuchet MS"/>
          <w:b/>
          <w:bCs/>
          <w:color w:val="FF0000"/>
        </w:rPr>
        <w:lastRenderedPageBreak/>
        <w:t>Graph 2</w:t>
      </w:r>
    </w:p>
    <w:p w14:paraId="5628C838" w14:textId="77777777" w:rsidR="000078AE" w:rsidRDefault="000078AE" w:rsidP="00716B85">
      <w:pPr>
        <w:rPr>
          <w:rFonts w:ascii="Trebuchet MS" w:hAnsi="Trebuchet MS"/>
          <w:b/>
          <w:bCs/>
        </w:rPr>
      </w:pPr>
    </w:p>
    <w:p w14:paraId="4417F543" w14:textId="24AE84C9" w:rsidR="00BB4828" w:rsidRDefault="00CB6429" w:rsidP="00716B85">
      <w:pPr>
        <w:rPr>
          <w:rFonts w:ascii="Trebuchet MS" w:hAnsi="Trebuchet MS"/>
          <w:b/>
          <w:bCs/>
        </w:rPr>
      </w:pPr>
      <w:r>
        <w:rPr>
          <w:rFonts w:ascii="Trebuchet MS" w:hAnsi="Trebuchet MS"/>
          <w:b/>
          <w:bCs/>
          <w:noProof/>
        </w:rPr>
        <w:drawing>
          <wp:inline distT="0" distB="0" distL="0" distR="0" wp14:anchorId="74B31205" wp14:editId="45F0E3AE">
            <wp:extent cx="5486400" cy="3200400"/>
            <wp:effectExtent l="0" t="0" r="0" b="0"/>
            <wp:docPr id="51704338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65139F" w14:textId="77777777" w:rsidR="0089225D" w:rsidRDefault="0089225D" w:rsidP="00716B85">
      <w:pPr>
        <w:rPr>
          <w:rFonts w:ascii="Trebuchet MS" w:hAnsi="Trebuchet MS"/>
          <w:b/>
          <w:bCs/>
        </w:rPr>
      </w:pPr>
    </w:p>
    <w:p w14:paraId="0B7CACAB" w14:textId="6DD70886" w:rsidR="0089225D" w:rsidRPr="00404F9A" w:rsidRDefault="0089225D" w:rsidP="00716B85">
      <w:pPr>
        <w:rPr>
          <w:rFonts w:ascii="Trebuchet MS" w:hAnsi="Trebuchet MS"/>
          <w:color w:val="FF0000"/>
        </w:rPr>
      </w:pPr>
      <w:r w:rsidRPr="00404F9A">
        <w:rPr>
          <w:rFonts w:ascii="Trebuchet MS" w:hAnsi="Trebuchet MS"/>
          <w:color w:val="FF0000"/>
        </w:rPr>
        <w:t xml:space="preserve">Graph 2 depicts </w:t>
      </w:r>
      <w:r w:rsidR="00FC6FE9" w:rsidRPr="00404F9A">
        <w:rPr>
          <w:rFonts w:ascii="Trebuchet MS" w:hAnsi="Trebuchet MS"/>
          <w:color w:val="FF0000"/>
        </w:rPr>
        <w:t xml:space="preserve">the bonus payments amount paid to all individuals that achieved an outstanding result in either Q1 or Q2. </w:t>
      </w:r>
      <w:r w:rsidR="004168F6" w:rsidRPr="00404F9A">
        <w:rPr>
          <w:rFonts w:ascii="Trebuchet MS" w:hAnsi="Trebuchet MS"/>
          <w:color w:val="FF0000"/>
        </w:rPr>
        <w:t>When analysing these results in isolation</w:t>
      </w:r>
      <w:r w:rsidR="007B2B66" w:rsidRPr="00404F9A">
        <w:rPr>
          <w:rFonts w:ascii="Trebuchet MS" w:hAnsi="Trebuchet MS"/>
          <w:color w:val="FF0000"/>
        </w:rPr>
        <w:t xml:space="preserve">, it can be perceived that the performance monitoring methods in place within the organisation </w:t>
      </w:r>
      <w:r w:rsidR="006071D6" w:rsidRPr="00404F9A">
        <w:rPr>
          <w:rFonts w:ascii="Trebuchet MS" w:hAnsi="Trebuchet MS"/>
          <w:color w:val="FF0000"/>
        </w:rPr>
        <w:t xml:space="preserve">are positive, with </w:t>
      </w:r>
      <w:r w:rsidR="00716B9E" w:rsidRPr="00404F9A">
        <w:rPr>
          <w:rFonts w:ascii="Trebuchet MS" w:hAnsi="Trebuchet MS"/>
          <w:color w:val="FF0000"/>
        </w:rPr>
        <w:t>9</w:t>
      </w:r>
      <w:r w:rsidR="006071D6" w:rsidRPr="00404F9A">
        <w:rPr>
          <w:rFonts w:ascii="Trebuchet MS" w:hAnsi="Trebuchet MS"/>
          <w:color w:val="FF0000"/>
        </w:rPr>
        <w:t xml:space="preserve"> employees achieving an outstanding result in Q1</w:t>
      </w:r>
      <w:r w:rsidR="00716B9E" w:rsidRPr="00404F9A">
        <w:rPr>
          <w:rFonts w:ascii="Trebuchet MS" w:hAnsi="Trebuchet MS"/>
          <w:color w:val="FF0000"/>
        </w:rPr>
        <w:t>, and an additional</w:t>
      </w:r>
      <w:r w:rsidR="00623DED" w:rsidRPr="00404F9A">
        <w:rPr>
          <w:rFonts w:ascii="Trebuchet MS" w:hAnsi="Trebuchet MS"/>
          <w:color w:val="FF0000"/>
        </w:rPr>
        <w:t xml:space="preserve"> 2 employees achieving an outstanding result in Q2. </w:t>
      </w:r>
      <w:r w:rsidR="00376F72" w:rsidRPr="00404F9A">
        <w:rPr>
          <w:rFonts w:ascii="Trebuchet MS" w:hAnsi="Trebuchet MS"/>
          <w:color w:val="FF0000"/>
        </w:rPr>
        <w:t xml:space="preserve">Whilst </w:t>
      </w:r>
      <w:r w:rsidR="002C09A7" w:rsidRPr="00404F9A">
        <w:rPr>
          <w:rFonts w:ascii="Trebuchet MS" w:hAnsi="Trebuchet MS"/>
          <w:color w:val="FF0000"/>
        </w:rPr>
        <w:t xml:space="preserve">it could be argued that </w:t>
      </w:r>
      <w:r w:rsidR="00376F72" w:rsidRPr="00404F9A">
        <w:rPr>
          <w:rFonts w:ascii="Trebuchet MS" w:hAnsi="Trebuchet MS"/>
          <w:color w:val="FF0000"/>
        </w:rPr>
        <w:t>Rick, Robin and Sally all achieved bonuses in Q1</w:t>
      </w:r>
      <w:r w:rsidR="00BE1F0E" w:rsidRPr="00404F9A">
        <w:rPr>
          <w:rFonts w:ascii="Trebuchet MS" w:hAnsi="Trebuchet MS"/>
          <w:color w:val="FF0000"/>
        </w:rPr>
        <w:t xml:space="preserve"> but did not achieve bonuses in Q2, suggesting lower motivation</w:t>
      </w:r>
      <w:r w:rsidR="00630591" w:rsidRPr="00404F9A">
        <w:rPr>
          <w:rFonts w:ascii="Trebuchet MS" w:hAnsi="Trebuchet MS"/>
          <w:color w:val="FF0000"/>
        </w:rPr>
        <w:t xml:space="preserve"> and thus an ineffective incentive scheme, the majority of those who received a bonus in Q1 also received a bonus in Q2, </w:t>
      </w:r>
      <w:r w:rsidR="004D1E8C" w:rsidRPr="00404F9A">
        <w:rPr>
          <w:rFonts w:ascii="Trebuchet MS" w:hAnsi="Trebuchet MS"/>
          <w:color w:val="FF0000"/>
        </w:rPr>
        <w:t>suggesting good engagement from employees. This is rein</w:t>
      </w:r>
      <w:r w:rsidR="00C05CB2" w:rsidRPr="00404F9A">
        <w:rPr>
          <w:rFonts w:ascii="Trebuchet MS" w:hAnsi="Trebuchet MS"/>
          <w:color w:val="FF0000"/>
        </w:rPr>
        <w:t xml:space="preserve">forced by the fact that 5 individuals who were previously rated ‘meets set individual KPIs’ </w:t>
      </w:r>
      <w:r w:rsidR="00E078D5" w:rsidRPr="00404F9A">
        <w:rPr>
          <w:rFonts w:ascii="Trebuchet MS" w:hAnsi="Trebuchet MS"/>
          <w:color w:val="FF0000"/>
        </w:rPr>
        <w:t>achieved an outstanding result in Q2, suggesting that they were incentivised t</w:t>
      </w:r>
      <w:r w:rsidR="00D36D03" w:rsidRPr="00404F9A">
        <w:rPr>
          <w:rFonts w:ascii="Trebuchet MS" w:hAnsi="Trebuchet MS"/>
          <w:color w:val="FF0000"/>
        </w:rPr>
        <w:t xml:space="preserve">o output better performances. </w:t>
      </w:r>
    </w:p>
    <w:p w14:paraId="5AA5107A" w14:textId="77777777" w:rsidR="00EF4DD7" w:rsidRPr="00404F9A" w:rsidRDefault="00EF4DD7" w:rsidP="00716B85">
      <w:pPr>
        <w:rPr>
          <w:rFonts w:ascii="Trebuchet MS" w:hAnsi="Trebuchet MS"/>
          <w:color w:val="FF0000"/>
        </w:rPr>
      </w:pPr>
    </w:p>
    <w:p w14:paraId="10083BD7" w14:textId="49775E43" w:rsidR="00EF4DD7" w:rsidRPr="00932A2D" w:rsidRDefault="00EF4DD7" w:rsidP="00716B85">
      <w:pPr>
        <w:rPr>
          <w:rFonts w:ascii="Trebuchet MS" w:hAnsi="Trebuchet MS"/>
          <w:strike/>
          <w:color w:val="FF0000"/>
        </w:rPr>
      </w:pPr>
      <w:r w:rsidRPr="00932A2D">
        <w:rPr>
          <w:rFonts w:ascii="Trebuchet MS" w:hAnsi="Trebuchet MS"/>
          <w:strike/>
          <w:color w:val="FF0000"/>
        </w:rPr>
        <w:t>It is interesting to consider the fact that Rick</w:t>
      </w:r>
      <w:r w:rsidR="002F71E9" w:rsidRPr="00932A2D">
        <w:rPr>
          <w:rFonts w:ascii="Trebuchet MS" w:hAnsi="Trebuchet MS"/>
          <w:strike/>
          <w:color w:val="FF0000"/>
        </w:rPr>
        <w:t xml:space="preserve"> and S</w:t>
      </w:r>
      <w:r w:rsidRPr="00932A2D">
        <w:rPr>
          <w:rFonts w:ascii="Trebuchet MS" w:hAnsi="Trebuchet MS"/>
          <w:strike/>
          <w:color w:val="FF0000"/>
        </w:rPr>
        <w:t xml:space="preserve">ally </w:t>
      </w:r>
      <w:r w:rsidR="002F71E9" w:rsidRPr="00932A2D">
        <w:rPr>
          <w:rFonts w:ascii="Trebuchet MS" w:hAnsi="Trebuchet MS"/>
          <w:strike/>
          <w:color w:val="FF0000"/>
        </w:rPr>
        <w:t xml:space="preserve">received some of the </w:t>
      </w:r>
      <w:r w:rsidR="00407F28" w:rsidRPr="00932A2D">
        <w:rPr>
          <w:rFonts w:ascii="Trebuchet MS" w:hAnsi="Trebuchet MS"/>
          <w:strike/>
          <w:color w:val="FF0000"/>
        </w:rPr>
        <w:t>lowest bonus payments</w:t>
      </w:r>
      <w:r w:rsidR="00495779" w:rsidRPr="00932A2D">
        <w:rPr>
          <w:rFonts w:ascii="Trebuchet MS" w:hAnsi="Trebuchet MS"/>
          <w:strike/>
          <w:color w:val="FF0000"/>
        </w:rPr>
        <w:t>. The main issue with basing bonus payments on annual salary is that it can create inequities and misalignments with actual performance outcomes. Tying bonuses to salary can disproportionately benefit higher-paid employees, regardless of their individual contributions, while overlooking the exceptional efforts of lower-paid employees. This can lead to feelings of unfairness, potentially demotivating employees and diminishing their willingness to go above and beyond in their work (</w:t>
      </w:r>
      <w:proofErr w:type="spellStart"/>
      <w:r w:rsidR="00495779" w:rsidRPr="00932A2D">
        <w:rPr>
          <w:rFonts w:ascii="Trebuchet MS" w:hAnsi="Trebuchet MS"/>
          <w:strike/>
          <w:color w:val="FF0000"/>
        </w:rPr>
        <w:t>Kuvaas</w:t>
      </w:r>
      <w:proofErr w:type="spellEnd"/>
      <w:r w:rsidR="00495779" w:rsidRPr="00932A2D">
        <w:rPr>
          <w:rFonts w:ascii="Trebuchet MS" w:hAnsi="Trebuchet MS"/>
          <w:strike/>
          <w:color w:val="FF0000"/>
        </w:rPr>
        <w:t>, 2018).</w:t>
      </w:r>
    </w:p>
    <w:p w14:paraId="5E722499" w14:textId="77777777" w:rsidR="004A72DB" w:rsidRDefault="004A72DB" w:rsidP="00716B85">
      <w:pPr>
        <w:rPr>
          <w:rFonts w:ascii="Trebuchet MS" w:hAnsi="Trebuchet MS"/>
        </w:rPr>
      </w:pPr>
    </w:p>
    <w:p w14:paraId="7CAE8837" w14:textId="77777777" w:rsidR="000078AE" w:rsidRDefault="000078AE" w:rsidP="00716B85">
      <w:pPr>
        <w:rPr>
          <w:rFonts w:ascii="Trebuchet MS" w:hAnsi="Trebuchet MS"/>
        </w:rPr>
      </w:pPr>
    </w:p>
    <w:p w14:paraId="5189DE25" w14:textId="77777777" w:rsidR="000078AE" w:rsidRDefault="000078AE" w:rsidP="00716B85">
      <w:pPr>
        <w:rPr>
          <w:rFonts w:ascii="Trebuchet MS" w:hAnsi="Trebuchet MS"/>
        </w:rPr>
      </w:pPr>
    </w:p>
    <w:p w14:paraId="1F9B5048" w14:textId="77777777" w:rsidR="000078AE" w:rsidRDefault="000078AE" w:rsidP="00716B85">
      <w:pPr>
        <w:rPr>
          <w:rFonts w:ascii="Trebuchet MS" w:hAnsi="Trebuchet MS"/>
        </w:rPr>
      </w:pPr>
    </w:p>
    <w:p w14:paraId="1DF4C6B8" w14:textId="77777777" w:rsidR="000078AE" w:rsidRDefault="000078AE" w:rsidP="00716B85">
      <w:pPr>
        <w:rPr>
          <w:rFonts w:ascii="Trebuchet MS" w:hAnsi="Trebuchet MS"/>
        </w:rPr>
      </w:pPr>
    </w:p>
    <w:p w14:paraId="6AF742E1" w14:textId="77777777" w:rsidR="000078AE" w:rsidRDefault="000078AE" w:rsidP="00716B85">
      <w:pPr>
        <w:rPr>
          <w:rFonts w:ascii="Trebuchet MS" w:hAnsi="Trebuchet MS"/>
        </w:rPr>
      </w:pPr>
    </w:p>
    <w:p w14:paraId="2BDD8E2A" w14:textId="77777777" w:rsidR="000078AE" w:rsidRDefault="000078AE" w:rsidP="00716B85">
      <w:pPr>
        <w:rPr>
          <w:rFonts w:ascii="Trebuchet MS" w:hAnsi="Trebuchet MS"/>
        </w:rPr>
      </w:pPr>
    </w:p>
    <w:p w14:paraId="3BA13306" w14:textId="77777777" w:rsidR="000078AE" w:rsidRDefault="000078AE" w:rsidP="00716B85">
      <w:pPr>
        <w:rPr>
          <w:rFonts w:ascii="Trebuchet MS" w:hAnsi="Trebuchet MS"/>
        </w:rPr>
      </w:pPr>
    </w:p>
    <w:p w14:paraId="5ABE9CBF" w14:textId="77777777" w:rsidR="000078AE" w:rsidRDefault="000078AE" w:rsidP="00716B85">
      <w:pPr>
        <w:rPr>
          <w:rFonts w:ascii="Trebuchet MS" w:hAnsi="Trebuchet MS"/>
        </w:rPr>
      </w:pPr>
    </w:p>
    <w:p w14:paraId="7F1BE64A" w14:textId="77777777" w:rsidR="000078AE" w:rsidRDefault="000078AE" w:rsidP="00716B85">
      <w:pPr>
        <w:rPr>
          <w:rFonts w:ascii="Trebuchet MS" w:hAnsi="Trebuchet MS"/>
        </w:rPr>
      </w:pPr>
    </w:p>
    <w:p w14:paraId="04E1DAE6" w14:textId="77777777" w:rsidR="000078AE" w:rsidRDefault="000078AE" w:rsidP="00716B85">
      <w:pPr>
        <w:rPr>
          <w:rFonts w:ascii="Trebuchet MS" w:hAnsi="Trebuchet MS"/>
        </w:rPr>
      </w:pPr>
    </w:p>
    <w:p w14:paraId="36657BBB" w14:textId="77777777" w:rsidR="000078AE" w:rsidRDefault="000078AE" w:rsidP="00716B85">
      <w:pPr>
        <w:rPr>
          <w:rFonts w:ascii="Trebuchet MS" w:hAnsi="Trebuchet MS"/>
        </w:rPr>
      </w:pPr>
    </w:p>
    <w:p w14:paraId="718B88BC" w14:textId="77777777" w:rsidR="000078AE" w:rsidRDefault="000078AE" w:rsidP="00716B85">
      <w:pPr>
        <w:rPr>
          <w:rFonts w:ascii="Trebuchet MS" w:hAnsi="Trebuchet MS"/>
        </w:rPr>
      </w:pPr>
    </w:p>
    <w:p w14:paraId="3764C651" w14:textId="77777777" w:rsidR="000078AE" w:rsidRDefault="000078AE" w:rsidP="00716B85">
      <w:pPr>
        <w:rPr>
          <w:rFonts w:ascii="Trebuchet MS" w:hAnsi="Trebuchet MS"/>
        </w:rPr>
      </w:pPr>
    </w:p>
    <w:p w14:paraId="466288BF" w14:textId="77777777" w:rsidR="000078AE" w:rsidRDefault="000078AE" w:rsidP="00716B85">
      <w:pPr>
        <w:rPr>
          <w:rFonts w:ascii="Trebuchet MS" w:hAnsi="Trebuchet MS"/>
        </w:rPr>
      </w:pPr>
    </w:p>
    <w:p w14:paraId="1B851860" w14:textId="77777777" w:rsidR="000078AE" w:rsidRDefault="000078AE" w:rsidP="00716B85">
      <w:pPr>
        <w:rPr>
          <w:rFonts w:ascii="Trebuchet MS" w:hAnsi="Trebuchet MS"/>
        </w:rPr>
      </w:pPr>
    </w:p>
    <w:p w14:paraId="3EA6CD4B" w14:textId="3EB6D2D0" w:rsidR="000078AE" w:rsidRPr="000078AE" w:rsidRDefault="000078AE" w:rsidP="00716B85">
      <w:pPr>
        <w:rPr>
          <w:rFonts w:ascii="Trebuchet MS" w:hAnsi="Trebuchet MS"/>
          <w:b/>
          <w:bCs/>
          <w:color w:val="FF0000"/>
        </w:rPr>
      </w:pPr>
      <w:r w:rsidRPr="000078AE">
        <w:rPr>
          <w:rFonts w:ascii="Trebuchet MS" w:hAnsi="Trebuchet MS"/>
          <w:b/>
          <w:bCs/>
          <w:color w:val="FF0000"/>
        </w:rPr>
        <w:lastRenderedPageBreak/>
        <w:t>Graph 3</w:t>
      </w:r>
    </w:p>
    <w:p w14:paraId="2CF50DC8" w14:textId="77777777" w:rsidR="000078AE" w:rsidRDefault="000078AE" w:rsidP="00716B85">
      <w:pPr>
        <w:rPr>
          <w:rFonts w:ascii="Trebuchet MS" w:hAnsi="Trebuchet MS"/>
        </w:rPr>
      </w:pPr>
    </w:p>
    <w:p w14:paraId="4C17F55E" w14:textId="77777777" w:rsidR="000078AE" w:rsidRDefault="000078AE" w:rsidP="00716B85">
      <w:pPr>
        <w:rPr>
          <w:rFonts w:ascii="Trebuchet MS" w:hAnsi="Trebuchet MS"/>
        </w:rPr>
      </w:pPr>
    </w:p>
    <w:p w14:paraId="6FDF8AA4" w14:textId="2A6F4C14" w:rsidR="004A72DB" w:rsidRDefault="00A11757" w:rsidP="00716B85">
      <w:pPr>
        <w:rPr>
          <w:rFonts w:ascii="Trebuchet MS" w:hAnsi="Trebuchet MS"/>
        </w:rPr>
      </w:pPr>
      <w:r>
        <w:rPr>
          <w:rFonts w:ascii="Trebuchet MS" w:hAnsi="Trebuchet MS"/>
          <w:noProof/>
        </w:rPr>
        <w:drawing>
          <wp:inline distT="0" distB="0" distL="0" distR="0" wp14:anchorId="0AC659AF" wp14:editId="00AFEC8F">
            <wp:extent cx="5486400" cy="3200400"/>
            <wp:effectExtent l="0" t="0" r="0" b="0"/>
            <wp:docPr id="4700452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8B9AF8" w14:textId="77777777" w:rsidR="00C241DC" w:rsidRDefault="00C241DC" w:rsidP="00716B85">
      <w:pPr>
        <w:rPr>
          <w:rFonts w:ascii="Trebuchet MS" w:hAnsi="Trebuchet MS"/>
        </w:rPr>
      </w:pPr>
    </w:p>
    <w:p w14:paraId="0A3E21F3" w14:textId="5BC15582" w:rsidR="00C241DC" w:rsidRDefault="000078AE" w:rsidP="00716B85">
      <w:pPr>
        <w:rPr>
          <w:rFonts w:ascii="Trebuchet MS" w:hAnsi="Trebuchet MS"/>
          <w:color w:val="FF0000"/>
        </w:rPr>
      </w:pPr>
      <w:r w:rsidRPr="00F24EEF">
        <w:rPr>
          <w:rFonts w:ascii="Trebuchet MS" w:hAnsi="Trebuchet MS"/>
          <w:color w:val="FF0000"/>
        </w:rPr>
        <w:t xml:space="preserve">Graph 3 </w:t>
      </w:r>
      <w:r w:rsidR="00886498" w:rsidRPr="00F24EEF">
        <w:rPr>
          <w:rFonts w:ascii="Trebuchet MS" w:hAnsi="Trebuchet MS"/>
          <w:color w:val="FF0000"/>
        </w:rPr>
        <w:t xml:space="preserve">depicts a clear </w:t>
      </w:r>
      <w:r w:rsidR="00664B50" w:rsidRPr="00F24EEF">
        <w:rPr>
          <w:rFonts w:ascii="Trebuchet MS" w:hAnsi="Trebuchet MS"/>
          <w:color w:val="FF0000"/>
        </w:rPr>
        <w:t xml:space="preserve">pay </w:t>
      </w:r>
      <w:r w:rsidR="00744480" w:rsidRPr="00F24EEF">
        <w:rPr>
          <w:rFonts w:ascii="Trebuchet MS" w:hAnsi="Trebuchet MS"/>
          <w:color w:val="FF0000"/>
        </w:rPr>
        <w:t>disparity between both genders</w:t>
      </w:r>
      <w:r w:rsidR="007E1300" w:rsidRPr="00F24EEF">
        <w:rPr>
          <w:rFonts w:ascii="Trebuchet MS" w:hAnsi="Trebuchet MS"/>
          <w:color w:val="FF0000"/>
        </w:rPr>
        <w:t>, with</w:t>
      </w:r>
      <w:r w:rsidR="001105D3" w:rsidRPr="00F24EEF">
        <w:rPr>
          <w:rFonts w:ascii="Trebuchet MS" w:hAnsi="Trebuchet MS"/>
          <w:color w:val="FF0000"/>
        </w:rPr>
        <w:t xml:space="preserve"> 66% of those receiving a bonus payment being female, compared to only 34%</w:t>
      </w:r>
      <w:r w:rsidR="00F24EEF" w:rsidRPr="00F24EEF">
        <w:rPr>
          <w:rFonts w:ascii="Trebuchet MS" w:hAnsi="Trebuchet MS"/>
          <w:color w:val="FF0000"/>
        </w:rPr>
        <w:t xml:space="preserve"> male.</w:t>
      </w:r>
      <w:r w:rsidR="007E1300" w:rsidRPr="00F24EEF">
        <w:rPr>
          <w:rFonts w:ascii="Trebuchet MS" w:hAnsi="Trebuchet MS"/>
          <w:color w:val="FF0000"/>
        </w:rPr>
        <w:t xml:space="preserve"> </w:t>
      </w:r>
      <w:r w:rsidRPr="00F24EEF">
        <w:rPr>
          <w:rFonts w:ascii="Trebuchet MS" w:hAnsi="Trebuchet MS"/>
          <w:color w:val="FF0000"/>
        </w:rPr>
        <w:t xml:space="preserve">A key issue with bonus payments not being equally distributed across genders is that it can lead to perceptions of inequity and disrupt workplace harmony, especially when women receive more </w:t>
      </w:r>
      <w:proofErr w:type="gramStart"/>
      <w:r w:rsidRPr="00F24EEF">
        <w:rPr>
          <w:rFonts w:ascii="Trebuchet MS" w:hAnsi="Trebuchet MS"/>
          <w:color w:val="FF0000"/>
        </w:rPr>
        <w:t>bonus</w:t>
      </w:r>
      <w:proofErr w:type="gramEnd"/>
      <w:r w:rsidRPr="00F24EEF">
        <w:rPr>
          <w:rFonts w:ascii="Trebuchet MS" w:hAnsi="Trebuchet MS"/>
          <w:color w:val="FF0000"/>
        </w:rPr>
        <w:t xml:space="preserve"> pay than their male counterparts. While this might seem like a positive outcome in terms of gender equity, it can cause resentment and frustration among male employees who may feel that their contributions are undervalued or that they are being unfairly treated. This imbalance could create a divisive environment, lowering morale and potentially harming collaboration and motivation across teams (Baker &amp; Forsythe, 2020).</w:t>
      </w:r>
    </w:p>
    <w:p w14:paraId="7AEC64FF" w14:textId="77777777" w:rsidR="00EF47D9" w:rsidRDefault="00EF47D9" w:rsidP="00716B85">
      <w:pPr>
        <w:rPr>
          <w:rFonts w:ascii="Trebuchet MS" w:hAnsi="Trebuchet MS"/>
          <w:color w:val="FF0000"/>
        </w:rPr>
      </w:pPr>
    </w:p>
    <w:p w14:paraId="228B65FE" w14:textId="77777777" w:rsidR="00EF47D9" w:rsidRDefault="00EF47D9" w:rsidP="00716B85">
      <w:pPr>
        <w:rPr>
          <w:rFonts w:ascii="Trebuchet MS" w:hAnsi="Trebuchet MS"/>
          <w:color w:val="FF0000"/>
        </w:rPr>
      </w:pPr>
    </w:p>
    <w:p w14:paraId="6A84106D" w14:textId="7BC27E10" w:rsidR="00EF47D9" w:rsidRDefault="00EF47D9" w:rsidP="00716B85">
      <w:pPr>
        <w:rPr>
          <w:rFonts w:ascii="Trebuchet MS" w:hAnsi="Trebuchet MS"/>
          <w:b/>
          <w:bCs/>
          <w:color w:val="00B050"/>
        </w:rPr>
      </w:pPr>
      <w:r w:rsidRPr="00EF47D9">
        <w:rPr>
          <w:rFonts w:ascii="Trebuchet MS" w:hAnsi="Trebuchet MS"/>
          <w:b/>
          <w:bCs/>
          <w:color w:val="00B050"/>
        </w:rPr>
        <w:t>Table 2</w:t>
      </w:r>
    </w:p>
    <w:p w14:paraId="3B1AB8C9" w14:textId="77777777" w:rsidR="00EF47D9" w:rsidRDefault="00EF47D9" w:rsidP="00716B85">
      <w:pPr>
        <w:rPr>
          <w:rFonts w:ascii="Trebuchet MS" w:hAnsi="Trebuchet MS"/>
          <w:b/>
          <w:bCs/>
          <w:color w:val="00B050"/>
        </w:rPr>
      </w:pPr>
    </w:p>
    <w:p w14:paraId="43EAFF6A" w14:textId="20D808DD" w:rsidR="00EF47D9" w:rsidRPr="00FD589E" w:rsidRDefault="00FD589E" w:rsidP="00716B85">
      <w:pPr>
        <w:rPr>
          <w:rFonts w:ascii="Trebuchet MS" w:hAnsi="Trebuchet MS"/>
          <w:color w:val="00B050"/>
        </w:rPr>
      </w:pPr>
      <w:r>
        <w:rPr>
          <w:rFonts w:ascii="Trebuchet MS" w:hAnsi="Trebuchet MS"/>
          <w:color w:val="00B050"/>
        </w:rPr>
        <w:t xml:space="preserve">Results from table 2 suggest that </w:t>
      </w:r>
      <w:r w:rsidR="000313BE">
        <w:rPr>
          <w:rFonts w:ascii="Trebuchet MS" w:hAnsi="Trebuchet MS"/>
          <w:color w:val="00B050"/>
        </w:rPr>
        <w:t xml:space="preserve">line managers from the organisation have experienced a lack of training with regards to employee appraisals. </w:t>
      </w:r>
      <w:r w:rsidR="00354656">
        <w:rPr>
          <w:rFonts w:ascii="Trebuchet MS" w:hAnsi="Trebuchet MS"/>
          <w:color w:val="00B050"/>
        </w:rPr>
        <w:t>A significant portion (88%) of line managers</w:t>
      </w:r>
      <w:r w:rsidR="00C55F6A">
        <w:rPr>
          <w:rFonts w:ascii="Trebuchet MS" w:hAnsi="Trebuchet MS"/>
          <w:color w:val="00B050"/>
        </w:rPr>
        <w:t xml:space="preserve"> disagree that they have had appropriate training to undertake appraisals, and 74%</w:t>
      </w:r>
      <w:r w:rsidR="005E6CC9">
        <w:rPr>
          <w:rFonts w:ascii="Trebuchet MS" w:hAnsi="Trebuchet MS"/>
          <w:color w:val="00B050"/>
        </w:rPr>
        <w:t xml:space="preserve"> of managers disagree that they </w:t>
      </w:r>
      <w:r w:rsidR="00B72F56">
        <w:rPr>
          <w:rFonts w:ascii="Trebuchet MS" w:hAnsi="Trebuchet MS"/>
          <w:color w:val="00B050"/>
        </w:rPr>
        <w:t xml:space="preserve">are </w:t>
      </w:r>
      <w:r w:rsidR="007C7B64">
        <w:rPr>
          <w:rFonts w:ascii="Trebuchet MS" w:hAnsi="Trebuchet MS"/>
          <w:color w:val="00B050"/>
        </w:rPr>
        <w:t xml:space="preserve">capable of challenging underperforming employees. Additionally, 68% of line managers </w:t>
      </w:r>
      <w:r w:rsidR="005A2E47">
        <w:rPr>
          <w:rFonts w:ascii="Trebuchet MS" w:hAnsi="Trebuchet MS"/>
          <w:color w:val="00B050"/>
        </w:rPr>
        <w:t xml:space="preserve">disagree or strongly disagree that they are good at providing feedback and setting </w:t>
      </w:r>
      <w:r w:rsidR="00B703DA">
        <w:rPr>
          <w:rFonts w:ascii="Trebuchet MS" w:hAnsi="Trebuchet MS"/>
          <w:color w:val="00B050"/>
        </w:rPr>
        <w:t xml:space="preserve">performance targets. </w:t>
      </w:r>
      <w:r w:rsidR="00503292">
        <w:rPr>
          <w:rFonts w:ascii="Trebuchet MS" w:hAnsi="Trebuchet MS"/>
          <w:color w:val="00B050"/>
        </w:rPr>
        <w:t xml:space="preserve">Whilst the feedback from employees regarding appraisals </w:t>
      </w:r>
      <w:r w:rsidR="00624852">
        <w:rPr>
          <w:rFonts w:ascii="Trebuchet MS" w:hAnsi="Trebuchet MS"/>
          <w:color w:val="00B050"/>
        </w:rPr>
        <w:t xml:space="preserve">does differ slightly in terms of trends, </w:t>
      </w:r>
      <w:proofErr w:type="gramStart"/>
      <w:r w:rsidR="00977015">
        <w:rPr>
          <w:rFonts w:ascii="Trebuchet MS" w:hAnsi="Trebuchet MS"/>
          <w:color w:val="00B050"/>
        </w:rPr>
        <w:t>it is clear that despite</w:t>
      </w:r>
      <w:proofErr w:type="gramEnd"/>
      <w:r w:rsidR="00977015">
        <w:rPr>
          <w:rFonts w:ascii="Trebuchet MS" w:hAnsi="Trebuchet MS"/>
          <w:color w:val="00B050"/>
        </w:rPr>
        <w:t xml:space="preserve"> line managers having enough time to listen to their employees, employees</w:t>
      </w:r>
      <w:r w:rsidR="00400F46">
        <w:rPr>
          <w:rFonts w:ascii="Trebuchet MS" w:hAnsi="Trebuchet MS"/>
          <w:color w:val="00B050"/>
        </w:rPr>
        <w:t xml:space="preserve"> feel that their managers do not </w:t>
      </w:r>
      <w:r w:rsidR="0086328A">
        <w:rPr>
          <w:rFonts w:ascii="Trebuchet MS" w:hAnsi="Trebuchet MS"/>
          <w:color w:val="00B050"/>
        </w:rPr>
        <w:t xml:space="preserve">give consideration to the ideas they put forward during their appraisals. </w:t>
      </w:r>
      <w:r w:rsidR="001417E8" w:rsidRPr="001417E8">
        <w:rPr>
          <w:rFonts w:ascii="Trebuchet MS" w:hAnsi="Trebuchet MS"/>
          <w:color w:val="00B050"/>
        </w:rPr>
        <w:t>When employees feel their ideas are not considered, it can lead to decreased motivation, lower engagement, and higher turnover rates. According to Armstrong and Taylor (2020), employee voice is a critical factor in workplace satisfaction and performance. When employees believe their contributions are ignored, they may feel undervalued, reducing their commitment to organi</w:t>
      </w:r>
      <w:r w:rsidR="00F75416">
        <w:rPr>
          <w:rFonts w:ascii="Trebuchet MS" w:hAnsi="Trebuchet MS"/>
          <w:color w:val="00B050"/>
        </w:rPr>
        <w:t>s</w:t>
      </w:r>
      <w:r w:rsidR="001417E8" w:rsidRPr="001417E8">
        <w:rPr>
          <w:rFonts w:ascii="Trebuchet MS" w:hAnsi="Trebuchet MS"/>
          <w:color w:val="00B050"/>
        </w:rPr>
        <w:t>ational goals.</w:t>
      </w:r>
    </w:p>
    <w:p w14:paraId="4CB983B3" w14:textId="77777777" w:rsidR="00C241DC" w:rsidRDefault="00C241DC" w:rsidP="00716B85">
      <w:pPr>
        <w:rPr>
          <w:rFonts w:ascii="Trebuchet MS" w:hAnsi="Trebuchet MS"/>
        </w:rPr>
      </w:pPr>
    </w:p>
    <w:p w14:paraId="68393616" w14:textId="77777777" w:rsidR="00C241DC" w:rsidRDefault="00C241DC" w:rsidP="00716B85">
      <w:pPr>
        <w:rPr>
          <w:rFonts w:ascii="Trebuchet MS" w:hAnsi="Trebuchet MS"/>
        </w:rPr>
      </w:pPr>
    </w:p>
    <w:p w14:paraId="3522E815" w14:textId="56DB87C6" w:rsidR="00C241DC" w:rsidRPr="007B048D" w:rsidRDefault="008117C4" w:rsidP="00716B85">
      <w:pPr>
        <w:rPr>
          <w:rFonts w:ascii="Trebuchet MS" w:hAnsi="Trebuchet MS"/>
          <w:b/>
          <w:bCs/>
          <w:color w:val="FF0000"/>
        </w:rPr>
      </w:pPr>
      <w:r w:rsidRPr="007B048D">
        <w:rPr>
          <w:rFonts w:ascii="Trebuchet MS" w:hAnsi="Trebuchet MS"/>
          <w:b/>
          <w:bCs/>
          <w:color w:val="FF0000"/>
        </w:rPr>
        <w:t>Recommendation</w:t>
      </w:r>
      <w:r w:rsidR="00445160">
        <w:rPr>
          <w:rFonts w:ascii="Trebuchet MS" w:hAnsi="Trebuchet MS"/>
          <w:b/>
          <w:bCs/>
          <w:color w:val="FF0000"/>
        </w:rPr>
        <w:t xml:space="preserve"> 1</w:t>
      </w:r>
    </w:p>
    <w:p w14:paraId="02D31B2D" w14:textId="77777777" w:rsidR="008117C4" w:rsidRPr="007B048D" w:rsidRDefault="008117C4" w:rsidP="008117C4">
      <w:pPr>
        <w:rPr>
          <w:rFonts w:ascii="Trebuchet MS" w:hAnsi="Trebuchet MS"/>
          <w:color w:val="FF0000"/>
        </w:rPr>
      </w:pPr>
    </w:p>
    <w:p w14:paraId="0E51DCCF" w14:textId="1013F331" w:rsidR="008117C4" w:rsidRPr="00F70E98" w:rsidRDefault="008117C4" w:rsidP="008117C4">
      <w:pPr>
        <w:rPr>
          <w:rFonts w:ascii="Trebuchet MS" w:hAnsi="Trebuchet MS"/>
          <w:strike/>
          <w:color w:val="FF0000"/>
        </w:rPr>
      </w:pPr>
      <w:r w:rsidRPr="00F70E98">
        <w:rPr>
          <w:rFonts w:ascii="Trebuchet MS" w:hAnsi="Trebuchet MS"/>
          <w:strike/>
          <w:color w:val="FF0000"/>
        </w:rPr>
        <w:t>Awarding bonus payments linked to employee performance requires a well-structured and equitable monitoring system to ensure fairness, motivation, and alignment with organi</w:t>
      </w:r>
      <w:r w:rsidR="005E29EE" w:rsidRPr="00F70E98">
        <w:rPr>
          <w:rFonts w:ascii="Trebuchet MS" w:hAnsi="Trebuchet MS"/>
          <w:strike/>
          <w:color w:val="FF0000"/>
        </w:rPr>
        <w:t>s</w:t>
      </w:r>
      <w:r w:rsidRPr="00F70E98">
        <w:rPr>
          <w:rFonts w:ascii="Trebuchet MS" w:hAnsi="Trebuchet MS"/>
          <w:strike/>
          <w:color w:val="FF0000"/>
        </w:rPr>
        <w:t xml:space="preserve">ational goals. A combination of approaches that include both quantitative metrics and qualitative </w:t>
      </w:r>
      <w:r w:rsidRPr="00F70E98">
        <w:rPr>
          <w:rFonts w:ascii="Trebuchet MS" w:hAnsi="Trebuchet MS"/>
          <w:strike/>
          <w:color w:val="FF0000"/>
        </w:rPr>
        <w:lastRenderedPageBreak/>
        <w:t>insights is essential to evaluate employee contributions effectively while addressing potential risks and financial implications.</w:t>
      </w:r>
    </w:p>
    <w:p w14:paraId="6E292FEC" w14:textId="77777777" w:rsidR="008117C4" w:rsidRPr="00F70E98" w:rsidRDefault="008117C4" w:rsidP="008117C4">
      <w:pPr>
        <w:rPr>
          <w:rFonts w:ascii="Trebuchet MS" w:hAnsi="Trebuchet MS"/>
          <w:strike/>
          <w:color w:val="FF0000"/>
        </w:rPr>
      </w:pPr>
    </w:p>
    <w:p w14:paraId="7590A7D2" w14:textId="3CE15E32" w:rsidR="008117C4" w:rsidRPr="00F70E98" w:rsidRDefault="008117C4" w:rsidP="008117C4">
      <w:pPr>
        <w:rPr>
          <w:rFonts w:ascii="Trebuchet MS" w:hAnsi="Trebuchet MS"/>
          <w:strike/>
          <w:color w:val="FF0000"/>
        </w:rPr>
      </w:pPr>
      <w:r w:rsidRPr="00F70E98">
        <w:rPr>
          <w:rFonts w:ascii="Trebuchet MS" w:hAnsi="Trebuchet MS"/>
          <w:strike/>
          <w:color w:val="FF0000"/>
        </w:rPr>
        <w:t>One of the most effective ways to monitor performance is by establishing clear and measurable performance metrics. These can include Key Performance Indicators (KPIs) and Objectives and Key Results (OKRs), which allow organi</w:t>
      </w:r>
      <w:r w:rsidR="00483C10" w:rsidRPr="00F70E98">
        <w:rPr>
          <w:rFonts w:ascii="Trebuchet MS" w:hAnsi="Trebuchet MS"/>
          <w:strike/>
          <w:color w:val="FF0000"/>
        </w:rPr>
        <w:t>s</w:t>
      </w:r>
      <w:r w:rsidRPr="00F70E98">
        <w:rPr>
          <w:rFonts w:ascii="Trebuchet MS" w:hAnsi="Trebuchet MS"/>
          <w:strike/>
          <w:color w:val="FF0000"/>
        </w:rPr>
        <w:t>ations to set tangible goals. KPIs focus on specific metrics, such as sales targets or project completion rates, while OKRs encompass broader objectives tied to organi</w:t>
      </w:r>
      <w:r w:rsidR="00483C10" w:rsidRPr="00F70E98">
        <w:rPr>
          <w:rFonts w:ascii="Trebuchet MS" w:hAnsi="Trebuchet MS"/>
          <w:strike/>
          <w:color w:val="FF0000"/>
        </w:rPr>
        <w:t>s</w:t>
      </w:r>
      <w:r w:rsidRPr="00F70E98">
        <w:rPr>
          <w:rFonts w:ascii="Trebuchet MS" w:hAnsi="Trebuchet MS"/>
          <w:strike/>
          <w:color w:val="FF0000"/>
        </w:rPr>
        <w:t>ational priorities. By providing clarity and transparency, these metrics ensure employees understand what is expected of them</w:t>
      </w:r>
      <w:r w:rsidR="00483C10" w:rsidRPr="00F70E98">
        <w:rPr>
          <w:rFonts w:ascii="Trebuchet MS" w:hAnsi="Trebuchet MS"/>
          <w:strike/>
          <w:color w:val="FF0000"/>
        </w:rPr>
        <w:t>.</w:t>
      </w:r>
      <w:r w:rsidRPr="00F70E98">
        <w:rPr>
          <w:rFonts w:ascii="Trebuchet MS" w:hAnsi="Trebuchet MS"/>
          <w:strike/>
          <w:color w:val="FF0000"/>
        </w:rPr>
        <w:t xml:space="preserve"> Moreover, they align individual efforts with the company’s overall strategy, driving collective success (Armstrong &amp; Taylor, 2020). However, an overemphasis on numerical targets can lead to the neglect of softer contributions, such as teamwork or innovation. Additionally, poorly designed metrics that fail to account for achievable goals may demotivate employees. Financially, implementing this approach requires investment in performance management tools and training but often yields a high return on investment through improved focus and productivity.</w:t>
      </w:r>
    </w:p>
    <w:p w14:paraId="12C7C04C" w14:textId="77777777" w:rsidR="00391026" w:rsidRPr="00F70E98" w:rsidRDefault="00391026" w:rsidP="00391026">
      <w:pPr>
        <w:rPr>
          <w:rFonts w:ascii="Trebuchet MS" w:hAnsi="Trebuchet MS"/>
          <w:strike/>
          <w:color w:val="FF0000"/>
        </w:rPr>
      </w:pPr>
    </w:p>
    <w:p w14:paraId="3B198D40" w14:textId="77777777" w:rsidR="00B30244" w:rsidRPr="00F70E98" w:rsidRDefault="00B30244" w:rsidP="00391026">
      <w:pPr>
        <w:rPr>
          <w:rFonts w:ascii="Trebuchet MS" w:hAnsi="Trebuchet MS"/>
          <w:strike/>
          <w:color w:val="FF0000"/>
        </w:rPr>
      </w:pPr>
    </w:p>
    <w:p w14:paraId="4399F11D" w14:textId="54DEDCE4" w:rsidR="008117C4" w:rsidRPr="00F70E98" w:rsidRDefault="008117C4" w:rsidP="00391026">
      <w:pPr>
        <w:rPr>
          <w:rFonts w:ascii="Trebuchet MS" w:hAnsi="Trebuchet MS"/>
          <w:strike/>
          <w:color w:val="FF0000"/>
        </w:rPr>
      </w:pPr>
      <w:r w:rsidRPr="00F70E98">
        <w:rPr>
          <w:rFonts w:ascii="Trebuchet MS" w:hAnsi="Trebuchet MS"/>
          <w:strike/>
          <w:color w:val="FF0000"/>
        </w:rPr>
        <w:t>A more holistic evaluation can be achieved through 360-degree feedback systems, which collect input from peers, managers, and subordinates. This comprehensive approach provides a broader perspective on employee performance, reducing the risk of bias that might arise from relying solely on managerial evaluations</w:t>
      </w:r>
      <w:r w:rsidR="00405D73" w:rsidRPr="00F70E98">
        <w:rPr>
          <w:rFonts w:ascii="Trebuchet MS" w:hAnsi="Trebuchet MS"/>
          <w:strike/>
          <w:color w:val="FF0000"/>
        </w:rPr>
        <w:t xml:space="preserve"> (as depicted by the sales department – graph 1)</w:t>
      </w:r>
      <w:r w:rsidRPr="00F70E98">
        <w:rPr>
          <w:rFonts w:ascii="Trebuchet MS" w:hAnsi="Trebuchet MS"/>
          <w:strike/>
          <w:color w:val="FF0000"/>
        </w:rPr>
        <w:t>. Additionally, it encourages collaboration and highlights areas for development that might otherwise be overlooked (Armstrong &amp; Taylor, 2020). Despite its benefits, this method is not without challenges. Feedback can sometimes be influenced by interpersonal relationships, and employees may resist participation due to discomfort with peer evaluations. Implementing such a system involves costs for training and administration, but the long-term benefits include improved team dynamics and a more accurate assessment of individual contributions.</w:t>
      </w:r>
    </w:p>
    <w:p w14:paraId="5F8FA7AA" w14:textId="77777777" w:rsidR="00CD2C6B" w:rsidRPr="00F70E98" w:rsidRDefault="00CD2C6B" w:rsidP="00CD2C6B">
      <w:pPr>
        <w:rPr>
          <w:rFonts w:ascii="Trebuchet MS" w:hAnsi="Trebuchet MS"/>
          <w:strike/>
          <w:color w:val="FF0000"/>
        </w:rPr>
      </w:pPr>
    </w:p>
    <w:p w14:paraId="528A7F97" w14:textId="633500C9" w:rsidR="006407E1" w:rsidRPr="00F70E98" w:rsidRDefault="006407E1" w:rsidP="006407E1">
      <w:pPr>
        <w:rPr>
          <w:rFonts w:ascii="Trebuchet MS" w:hAnsi="Trebuchet MS"/>
          <w:strike/>
          <w:color w:val="FF0000"/>
        </w:rPr>
      </w:pPr>
      <w:r w:rsidRPr="00F70E98">
        <w:rPr>
          <w:rFonts w:ascii="Trebuchet MS" w:hAnsi="Trebuchet MS"/>
          <w:strike/>
          <w:color w:val="FF0000"/>
        </w:rPr>
        <w:t>A fair and equal distribution of bonus payments across all employees, regardless of gender, is critical for fostering an inclusive and equitable workplace. Implementing equal bonus payments helps reduce perceptions of inequality, motivating employees and enhancing their sense of belonging and job satisfaction. This approach can also increase employee retention, as individuals are more likely to stay in organi</w:t>
      </w:r>
      <w:r w:rsidR="00C01FE0" w:rsidRPr="00F70E98">
        <w:rPr>
          <w:rFonts w:ascii="Trebuchet MS" w:hAnsi="Trebuchet MS"/>
          <w:strike/>
          <w:color w:val="FF0000"/>
        </w:rPr>
        <w:t>s</w:t>
      </w:r>
      <w:r w:rsidRPr="00F70E98">
        <w:rPr>
          <w:rFonts w:ascii="Trebuchet MS" w:hAnsi="Trebuchet MS"/>
          <w:strike/>
          <w:color w:val="FF0000"/>
        </w:rPr>
        <w:t>ations where they feel fairly compensated for their contributions (Shore</w:t>
      </w:r>
      <w:r w:rsidRPr="00F70E98">
        <w:rPr>
          <w:rFonts w:ascii="Trebuchet MS" w:hAnsi="Trebuchet MS"/>
          <w:i/>
          <w:iCs/>
          <w:strike/>
          <w:color w:val="FF0000"/>
        </w:rPr>
        <w:t xml:space="preserve"> et al.,</w:t>
      </w:r>
      <w:r w:rsidRPr="00F70E98">
        <w:rPr>
          <w:rFonts w:ascii="Trebuchet MS" w:hAnsi="Trebuchet MS"/>
          <w:strike/>
          <w:color w:val="FF0000"/>
        </w:rPr>
        <w:t xml:space="preserve"> 2011).</w:t>
      </w:r>
    </w:p>
    <w:p w14:paraId="186C21A5" w14:textId="77777777" w:rsidR="006407E1" w:rsidRPr="00F70E98" w:rsidRDefault="006407E1" w:rsidP="006407E1">
      <w:pPr>
        <w:rPr>
          <w:rFonts w:ascii="Trebuchet MS" w:hAnsi="Trebuchet MS"/>
          <w:strike/>
          <w:color w:val="FF0000"/>
        </w:rPr>
      </w:pPr>
    </w:p>
    <w:p w14:paraId="264DB2C0" w14:textId="29695E18" w:rsidR="006407E1" w:rsidRPr="00F70E98" w:rsidRDefault="006407E1" w:rsidP="006407E1">
      <w:pPr>
        <w:rPr>
          <w:rFonts w:ascii="Trebuchet MS" w:hAnsi="Trebuchet MS"/>
          <w:strike/>
          <w:color w:val="FF0000"/>
        </w:rPr>
      </w:pPr>
      <w:r w:rsidRPr="00F70E98">
        <w:rPr>
          <w:rFonts w:ascii="Trebuchet MS" w:hAnsi="Trebuchet MS"/>
          <w:strike/>
          <w:color w:val="FF0000"/>
        </w:rPr>
        <w:t>However, there are risks associated with equali</w:t>
      </w:r>
      <w:r w:rsidR="00C01FE0" w:rsidRPr="00F70E98">
        <w:rPr>
          <w:rFonts w:ascii="Trebuchet MS" w:hAnsi="Trebuchet MS"/>
          <w:strike/>
          <w:color w:val="FF0000"/>
        </w:rPr>
        <w:t>s</w:t>
      </w:r>
      <w:r w:rsidRPr="00F70E98">
        <w:rPr>
          <w:rFonts w:ascii="Trebuchet MS" w:hAnsi="Trebuchet MS"/>
          <w:strike/>
          <w:color w:val="FF0000"/>
        </w:rPr>
        <w:t>ing bonus payments, such as potential resistance from higher performers who may feel that their extra effort is not being sufficiently rewarded. Financially, the organi</w:t>
      </w:r>
      <w:r w:rsidR="009F02EE" w:rsidRPr="00F70E98">
        <w:rPr>
          <w:rFonts w:ascii="Trebuchet MS" w:hAnsi="Trebuchet MS"/>
          <w:strike/>
          <w:color w:val="FF0000"/>
        </w:rPr>
        <w:t>s</w:t>
      </w:r>
      <w:r w:rsidRPr="00F70E98">
        <w:rPr>
          <w:rFonts w:ascii="Trebuchet MS" w:hAnsi="Trebuchet MS"/>
          <w:strike/>
          <w:color w:val="FF0000"/>
        </w:rPr>
        <w:t>ation must consider the impact on budgets, as equali</w:t>
      </w:r>
      <w:r w:rsidR="009F02EE" w:rsidRPr="00F70E98">
        <w:rPr>
          <w:rFonts w:ascii="Trebuchet MS" w:hAnsi="Trebuchet MS"/>
          <w:strike/>
          <w:color w:val="FF0000"/>
        </w:rPr>
        <w:t>s</w:t>
      </w:r>
      <w:r w:rsidRPr="00F70E98">
        <w:rPr>
          <w:rFonts w:ascii="Trebuchet MS" w:hAnsi="Trebuchet MS"/>
          <w:strike/>
          <w:color w:val="FF0000"/>
        </w:rPr>
        <w:t>ing bonuses may require an increase in overall compensation costs. Nonetheless, the long-term benefits, including improved morale, reduced turnover, and enhanced productivity, can outweigh the initial financial implications.</w:t>
      </w:r>
    </w:p>
    <w:p w14:paraId="06623EEE" w14:textId="77777777" w:rsidR="00F70E98" w:rsidRDefault="00F70E98" w:rsidP="006407E1">
      <w:pPr>
        <w:rPr>
          <w:rFonts w:ascii="Trebuchet MS" w:hAnsi="Trebuchet MS"/>
          <w:color w:val="FF0000"/>
        </w:rPr>
      </w:pPr>
    </w:p>
    <w:p w14:paraId="3CBDEC2B" w14:textId="5E62B151" w:rsidR="00445160" w:rsidRDefault="00F70E98" w:rsidP="00F70E98">
      <w:pPr>
        <w:rPr>
          <w:rFonts w:ascii="Trebuchet MS" w:hAnsi="Trebuchet MS"/>
          <w:color w:val="00B050"/>
        </w:rPr>
      </w:pPr>
      <w:r w:rsidRPr="00F70E98">
        <w:rPr>
          <w:rFonts w:ascii="Trebuchet MS" w:hAnsi="Trebuchet MS"/>
          <w:color w:val="00B050"/>
        </w:rPr>
        <w:t>Awarding bonuses based on employee performance requires a structured monitoring system that ensures fairness, motivation, and alignment with organi</w:t>
      </w:r>
      <w:r w:rsidR="00ED587A">
        <w:rPr>
          <w:rFonts w:ascii="Trebuchet MS" w:hAnsi="Trebuchet MS"/>
          <w:color w:val="00B050"/>
        </w:rPr>
        <w:t>s</w:t>
      </w:r>
      <w:r w:rsidRPr="00F70E98">
        <w:rPr>
          <w:rFonts w:ascii="Trebuchet MS" w:hAnsi="Trebuchet MS"/>
          <w:color w:val="00B050"/>
        </w:rPr>
        <w:t xml:space="preserve">ational objectives. The Balanced Scorecard (BSC) is a multi-dimensional framework that evaluates employee performance using four perspectives: </w:t>
      </w:r>
      <w:r w:rsidRPr="00F70E98">
        <w:rPr>
          <w:rFonts w:ascii="Trebuchet MS" w:hAnsi="Trebuchet MS"/>
          <w:b/>
          <w:bCs/>
          <w:color w:val="00B050"/>
        </w:rPr>
        <w:t>financial performance, customer satisfaction, internal processes, and learning and growth</w:t>
      </w:r>
      <w:r w:rsidRPr="00F70E98">
        <w:rPr>
          <w:rFonts w:ascii="Trebuchet MS" w:hAnsi="Trebuchet MS"/>
          <w:color w:val="00B050"/>
        </w:rPr>
        <w:t xml:space="preserve"> (Kaplan &amp; Norton, 1996). This method ensures that performance monitoring is not solely focused on financial targets but incorporates a broader set of metrics that contribute to long-term organi</w:t>
      </w:r>
      <w:r w:rsidR="00264885">
        <w:rPr>
          <w:rFonts w:ascii="Trebuchet MS" w:hAnsi="Trebuchet MS"/>
          <w:color w:val="00B050"/>
        </w:rPr>
        <w:t>s</w:t>
      </w:r>
      <w:r w:rsidRPr="00F70E98">
        <w:rPr>
          <w:rFonts w:ascii="Trebuchet MS" w:hAnsi="Trebuchet MS"/>
          <w:color w:val="00B050"/>
        </w:rPr>
        <w:t>ational success. One of the main benefits of the Balanced Scorecard approach is that it ensures a comprehensive evaluation by incorporating both quantitative and qualitative measures. Employees are assessed on how well their contributions align with the overall strategy of the organi</w:t>
      </w:r>
      <w:r w:rsidR="004E4688">
        <w:rPr>
          <w:rFonts w:ascii="Trebuchet MS" w:hAnsi="Trebuchet MS"/>
          <w:color w:val="00B050"/>
        </w:rPr>
        <w:t>s</w:t>
      </w:r>
      <w:r w:rsidRPr="00F70E98">
        <w:rPr>
          <w:rFonts w:ascii="Trebuchet MS" w:hAnsi="Trebuchet MS"/>
          <w:color w:val="00B050"/>
        </w:rPr>
        <w:t xml:space="preserve">ation, which improves business outcomes (Armstrong &amp; Taylor, 2020). Additionally, this approach reduces bias by balancing different aspects of performance rather than focusing solely on revenue or sales targets. However, implementing the Balanced Scorecard requires significant training for both managers and employees to understand and apply the framework effectively. </w:t>
      </w:r>
      <w:r w:rsidR="00716038">
        <w:rPr>
          <w:rFonts w:ascii="Trebuchet MS" w:hAnsi="Trebuchet MS"/>
          <w:color w:val="00B050"/>
        </w:rPr>
        <w:t>This wo</w:t>
      </w:r>
      <w:r w:rsidR="00445160">
        <w:rPr>
          <w:rFonts w:ascii="Trebuchet MS" w:hAnsi="Trebuchet MS"/>
          <w:color w:val="00B050"/>
        </w:rPr>
        <w:t>uld improve</w:t>
      </w:r>
      <w:r w:rsidR="00716038">
        <w:rPr>
          <w:rFonts w:ascii="Trebuchet MS" w:hAnsi="Trebuchet MS"/>
          <w:color w:val="00B050"/>
        </w:rPr>
        <w:t xml:space="preserve"> the lack of training that is evident from the results in Table 2. </w:t>
      </w:r>
    </w:p>
    <w:p w14:paraId="7CA7D28E" w14:textId="068BD02C" w:rsidR="00F70E98" w:rsidRDefault="00F70E98" w:rsidP="00F70E98">
      <w:pPr>
        <w:rPr>
          <w:rFonts w:ascii="Trebuchet MS" w:hAnsi="Trebuchet MS"/>
          <w:color w:val="00B050"/>
        </w:rPr>
      </w:pPr>
      <w:r w:rsidRPr="00F70E98">
        <w:rPr>
          <w:rFonts w:ascii="Trebuchet MS" w:hAnsi="Trebuchet MS"/>
          <w:color w:val="00B050"/>
        </w:rPr>
        <w:lastRenderedPageBreak/>
        <w:t>From a financial perspective, there is an initial investment in training and software to track performance across multiple areas, but the long-term benefits, including improved strategic alignment, increased productivity, and better employee engagement, justify the cost.</w:t>
      </w:r>
    </w:p>
    <w:p w14:paraId="53AF9F63" w14:textId="77777777" w:rsidR="00445160" w:rsidRDefault="00445160" w:rsidP="00F70E98">
      <w:pPr>
        <w:rPr>
          <w:rFonts w:ascii="Trebuchet MS" w:hAnsi="Trebuchet MS"/>
          <w:color w:val="00B050"/>
        </w:rPr>
      </w:pPr>
    </w:p>
    <w:p w14:paraId="305B9EF2" w14:textId="77777777" w:rsidR="00445160" w:rsidRDefault="00445160" w:rsidP="00F70E98">
      <w:pPr>
        <w:rPr>
          <w:rFonts w:ascii="Trebuchet MS" w:hAnsi="Trebuchet MS"/>
          <w:color w:val="00B050"/>
        </w:rPr>
      </w:pPr>
    </w:p>
    <w:p w14:paraId="40E1F772" w14:textId="664D8883" w:rsidR="00445160" w:rsidRPr="00445160" w:rsidRDefault="00445160" w:rsidP="00F70E98">
      <w:pPr>
        <w:rPr>
          <w:rFonts w:ascii="Trebuchet MS" w:hAnsi="Trebuchet MS"/>
          <w:b/>
          <w:bCs/>
          <w:color w:val="00B050"/>
        </w:rPr>
      </w:pPr>
      <w:r w:rsidRPr="00445160">
        <w:rPr>
          <w:rFonts w:ascii="Trebuchet MS" w:hAnsi="Trebuchet MS"/>
          <w:b/>
          <w:bCs/>
          <w:color w:val="00B050"/>
        </w:rPr>
        <w:t>Recommendation 2</w:t>
      </w:r>
    </w:p>
    <w:p w14:paraId="790F0134" w14:textId="77777777" w:rsidR="00D47639" w:rsidRPr="00F70E98" w:rsidRDefault="00D47639" w:rsidP="00F70E98">
      <w:pPr>
        <w:rPr>
          <w:rFonts w:ascii="Trebuchet MS" w:hAnsi="Trebuchet MS"/>
          <w:color w:val="00B050"/>
        </w:rPr>
      </w:pPr>
    </w:p>
    <w:p w14:paraId="6E06DD9A" w14:textId="64C13753" w:rsidR="00164C87" w:rsidRDefault="00164C87" w:rsidP="00164C87">
      <w:pPr>
        <w:rPr>
          <w:rFonts w:ascii="Trebuchet MS" w:hAnsi="Trebuchet MS"/>
          <w:color w:val="00B050"/>
        </w:rPr>
      </w:pPr>
      <w:r w:rsidRPr="00164C87">
        <w:rPr>
          <w:rFonts w:ascii="Trebuchet MS" w:hAnsi="Trebuchet MS"/>
          <w:color w:val="00B050"/>
        </w:rPr>
        <w:t>Awarding equal bonus payments to all employees, regardless of salary, can enhance fairness, motivation, and inclusivity within an organi</w:t>
      </w:r>
      <w:r w:rsidR="00F063BD">
        <w:rPr>
          <w:rFonts w:ascii="Trebuchet MS" w:hAnsi="Trebuchet MS"/>
          <w:color w:val="00B050"/>
        </w:rPr>
        <w:t>s</w:t>
      </w:r>
      <w:r w:rsidRPr="00164C87">
        <w:rPr>
          <w:rFonts w:ascii="Trebuchet MS" w:hAnsi="Trebuchet MS"/>
          <w:color w:val="00B050"/>
        </w:rPr>
        <w:t>ation</w:t>
      </w:r>
      <w:r w:rsidR="00F063BD">
        <w:rPr>
          <w:rFonts w:ascii="Trebuchet MS" w:hAnsi="Trebuchet MS"/>
          <w:color w:val="00B050"/>
        </w:rPr>
        <w:t xml:space="preserve">, improving the </w:t>
      </w:r>
      <w:r w:rsidR="007E19BF">
        <w:rPr>
          <w:rFonts w:ascii="Trebuchet MS" w:hAnsi="Trebuchet MS"/>
          <w:color w:val="00B050"/>
        </w:rPr>
        <w:t>results as seen in graph 2, which demonstrated a lack of motivation in those colleagues whose bonus payments were less</w:t>
      </w:r>
      <w:r w:rsidRPr="00164C87">
        <w:rPr>
          <w:rFonts w:ascii="Trebuchet MS" w:hAnsi="Trebuchet MS"/>
          <w:color w:val="00B050"/>
        </w:rPr>
        <w:t>. This approach ensures that all employees, regardless of their pay grade or seniority, feel equally valued for their contributions. According to Armstrong and Taylor (2020), equitable reward systems foster a sense of belonging and commitment, improving overall employee engagement and reducing workplace inequality.</w:t>
      </w:r>
    </w:p>
    <w:p w14:paraId="519BD1DD" w14:textId="77777777" w:rsidR="008843DD" w:rsidRPr="00164C87" w:rsidRDefault="008843DD" w:rsidP="00164C87">
      <w:pPr>
        <w:rPr>
          <w:rFonts w:ascii="Trebuchet MS" w:hAnsi="Trebuchet MS"/>
          <w:color w:val="00B050"/>
        </w:rPr>
      </w:pPr>
    </w:p>
    <w:p w14:paraId="187041E0" w14:textId="7063D2BB" w:rsidR="00164C87" w:rsidRPr="00164C87" w:rsidRDefault="00164C87" w:rsidP="00164C87">
      <w:pPr>
        <w:rPr>
          <w:rFonts w:ascii="Trebuchet MS" w:hAnsi="Trebuchet MS"/>
          <w:color w:val="00B050"/>
        </w:rPr>
      </w:pPr>
      <w:r w:rsidRPr="00164C87">
        <w:rPr>
          <w:rFonts w:ascii="Trebuchet MS" w:hAnsi="Trebuchet MS"/>
          <w:color w:val="00B050"/>
        </w:rPr>
        <w:t>One of the key benefits of equal bonus payments is that they promote teamwork and collaboration rather than competition</w:t>
      </w:r>
      <w:r w:rsidR="008843DD">
        <w:rPr>
          <w:rFonts w:ascii="Trebuchet MS" w:hAnsi="Trebuchet MS"/>
          <w:color w:val="00B050"/>
        </w:rPr>
        <w:t xml:space="preserve">. </w:t>
      </w:r>
      <w:r w:rsidRPr="00164C87">
        <w:rPr>
          <w:rFonts w:ascii="Trebuchet MS" w:hAnsi="Trebuchet MS"/>
          <w:color w:val="00B050"/>
        </w:rPr>
        <w:t>Additionally, lower-paid employees, who may rely more on bonuses as financial incentives, benefit significantly, potentially improving retention and job satisfaction. However, a major risk is that high-performing employees may feel undervalued, reducing their motivation if they perceive that their efforts are not adequately recogni</w:t>
      </w:r>
      <w:r w:rsidR="00583C77">
        <w:rPr>
          <w:rFonts w:ascii="Trebuchet MS" w:hAnsi="Trebuchet MS"/>
          <w:color w:val="00B050"/>
        </w:rPr>
        <w:t>s</w:t>
      </w:r>
      <w:r w:rsidRPr="00164C87">
        <w:rPr>
          <w:rFonts w:ascii="Trebuchet MS" w:hAnsi="Trebuchet MS"/>
          <w:color w:val="00B050"/>
        </w:rPr>
        <w:t>ed. Employers must therefore implement non-monetary incentives, such as career development opportunities, to supplement financial rewards.</w:t>
      </w:r>
    </w:p>
    <w:p w14:paraId="259BFBA1" w14:textId="3C9EDB2E" w:rsidR="00164C87" w:rsidRPr="00164C87" w:rsidRDefault="00164C87" w:rsidP="00164C87">
      <w:pPr>
        <w:rPr>
          <w:rFonts w:ascii="Trebuchet MS" w:hAnsi="Trebuchet MS"/>
          <w:color w:val="00B050"/>
        </w:rPr>
      </w:pPr>
      <w:r w:rsidRPr="00164C87">
        <w:rPr>
          <w:rFonts w:ascii="Trebuchet MS" w:hAnsi="Trebuchet MS"/>
          <w:color w:val="00B050"/>
        </w:rPr>
        <w:t>Financially, this approach simplifies bonus distribution and budgeting. Organi</w:t>
      </w:r>
      <w:r w:rsidR="00182A5A">
        <w:rPr>
          <w:rFonts w:ascii="Trebuchet MS" w:hAnsi="Trebuchet MS"/>
          <w:color w:val="00B050"/>
        </w:rPr>
        <w:t>s</w:t>
      </w:r>
      <w:r w:rsidRPr="00164C87">
        <w:rPr>
          <w:rFonts w:ascii="Trebuchet MS" w:hAnsi="Trebuchet MS"/>
          <w:color w:val="00B050"/>
        </w:rPr>
        <w:t>ations can set a fixed bonus pool, ensuring predictability in financial planning. However, for companies with large pay disparities, higher-paid employees may view equal bonuses as less meaningful, potentially affecting morale among senior staff. Careful communication is essential to ensure transparency and alignment with organi</w:t>
      </w:r>
      <w:r w:rsidR="00182A5A">
        <w:rPr>
          <w:rFonts w:ascii="Trebuchet MS" w:hAnsi="Trebuchet MS"/>
          <w:color w:val="00B050"/>
        </w:rPr>
        <w:t>s</w:t>
      </w:r>
      <w:r w:rsidRPr="00164C87">
        <w:rPr>
          <w:rFonts w:ascii="Trebuchet MS" w:hAnsi="Trebuchet MS"/>
          <w:color w:val="00B050"/>
        </w:rPr>
        <w:t>ational values.</w:t>
      </w:r>
    </w:p>
    <w:p w14:paraId="7798B2EC" w14:textId="77777777" w:rsidR="00F70E98" w:rsidRPr="006407E1" w:rsidRDefault="00F70E98" w:rsidP="006407E1">
      <w:pPr>
        <w:rPr>
          <w:rFonts w:ascii="Trebuchet MS" w:hAnsi="Trebuchet MS"/>
          <w:color w:val="FF0000"/>
        </w:rPr>
      </w:pPr>
    </w:p>
    <w:p w14:paraId="52888D52" w14:textId="77777777" w:rsidR="008117C4" w:rsidRDefault="008117C4" w:rsidP="00716B85">
      <w:pPr>
        <w:rPr>
          <w:rFonts w:ascii="Trebuchet MS" w:hAnsi="Trebuchet MS"/>
        </w:rPr>
      </w:pPr>
    </w:p>
    <w:p w14:paraId="0D9A394F" w14:textId="77777777" w:rsidR="008117C4" w:rsidRDefault="008117C4" w:rsidP="00C241DC">
      <w:pPr>
        <w:rPr>
          <w:rFonts w:ascii="Trebuchet MS" w:hAnsi="Trebuchet MS"/>
          <w:b/>
          <w:bCs/>
        </w:rPr>
      </w:pPr>
    </w:p>
    <w:p w14:paraId="2996E828" w14:textId="77777777" w:rsidR="008117C4" w:rsidRDefault="008117C4" w:rsidP="00C241DC">
      <w:pPr>
        <w:rPr>
          <w:rFonts w:ascii="Trebuchet MS" w:hAnsi="Trebuchet MS"/>
          <w:b/>
          <w:bCs/>
        </w:rPr>
      </w:pPr>
    </w:p>
    <w:p w14:paraId="6599B040" w14:textId="77777777" w:rsidR="008117C4" w:rsidRDefault="008117C4" w:rsidP="00C241DC">
      <w:pPr>
        <w:rPr>
          <w:rFonts w:ascii="Trebuchet MS" w:hAnsi="Trebuchet MS"/>
          <w:b/>
          <w:bCs/>
        </w:rPr>
      </w:pPr>
    </w:p>
    <w:p w14:paraId="23C57185" w14:textId="77777777" w:rsidR="008117C4" w:rsidRDefault="008117C4" w:rsidP="00C241DC">
      <w:pPr>
        <w:rPr>
          <w:rFonts w:ascii="Trebuchet MS" w:hAnsi="Trebuchet MS"/>
          <w:b/>
          <w:bCs/>
        </w:rPr>
      </w:pPr>
    </w:p>
    <w:p w14:paraId="7A46F1EB" w14:textId="77777777" w:rsidR="008117C4" w:rsidRDefault="008117C4" w:rsidP="00C241DC">
      <w:pPr>
        <w:rPr>
          <w:rFonts w:ascii="Trebuchet MS" w:hAnsi="Trebuchet MS"/>
          <w:b/>
          <w:bCs/>
        </w:rPr>
      </w:pPr>
    </w:p>
    <w:p w14:paraId="55656215" w14:textId="77777777" w:rsidR="008117C4" w:rsidRDefault="008117C4" w:rsidP="00C241DC">
      <w:pPr>
        <w:rPr>
          <w:rFonts w:ascii="Trebuchet MS" w:hAnsi="Trebuchet MS"/>
          <w:b/>
          <w:bCs/>
        </w:rPr>
      </w:pPr>
    </w:p>
    <w:p w14:paraId="49104714" w14:textId="0EBBCAF2" w:rsidR="00C241DC" w:rsidRPr="00C241DC" w:rsidRDefault="00C241DC" w:rsidP="00C241DC">
      <w:pPr>
        <w:rPr>
          <w:rFonts w:ascii="Trebuchet MS" w:hAnsi="Trebuchet MS"/>
          <w:b/>
          <w:bCs/>
        </w:rPr>
      </w:pPr>
      <w:r w:rsidRPr="00C241DC">
        <w:rPr>
          <w:rFonts w:ascii="Trebuchet MS" w:hAnsi="Trebuchet MS"/>
          <w:b/>
          <w:bCs/>
        </w:rPr>
        <w:t>Reference list</w:t>
      </w:r>
    </w:p>
    <w:p w14:paraId="2BB22977" w14:textId="77777777" w:rsidR="001B1507" w:rsidRPr="001B1507" w:rsidRDefault="00E96AC0" w:rsidP="001B1507">
      <w:pPr>
        <w:pStyle w:val="ListParagraph"/>
        <w:rPr>
          <w:rFonts w:ascii="Trebuchet MS" w:hAnsi="Trebuchet MS" w:cs="Times New Roman"/>
        </w:rPr>
      </w:pPr>
      <w:r w:rsidRPr="001B1507">
        <w:rPr>
          <w:rFonts w:ascii="Trebuchet MS" w:hAnsi="Trebuchet MS"/>
        </w:rPr>
        <w:t xml:space="preserve">Albrecht, S.L., Bakker, A.B., Gruman, J.A., Macey, W.H. and Saks, A.M. (2015). Employee engagement, Human Resource Management Practices and Competitive Advantage. </w:t>
      </w:r>
      <w:r w:rsidRPr="001B1507">
        <w:rPr>
          <w:rFonts w:ascii="Trebuchet MS" w:hAnsi="Trebuchet MS"/>
          <w:i/>
          <w:iCs/>
        </w:rPr>
        <w:t>Journal of Organizational Effectiveness: People and Performance</w:t>
      </w:r>
      <w:r w:rsidRPr="001B1507">
        <w:rPr>
          <w:rFonts w:ascii="Trebuchet MS" w:hAnsi="Trebuchet MS"/>
        </w:rPr>
        <w:t xml:space="preserve">, [online] 2(1), pp.7–35. </w:t>
      </w:r>
      <w:proofErr w:type="spellStart"/>
      <w:proofErr w:type="gramStart"/>
      <w:r w:rsidRPr="001B1507">
        <w:rPr>
          <w:rFonts w:ascii="Trebuchet MS" w:hAnsi="Trebuchet MS"/>
        </w:rPr>
        <w:t>doi:https</w:t>
      </w:r>
      <w:proofErr w:type="spellEnd"/>
      <w:r w:rsidRPr="001B1507">
        <w:rPr>
          <w:rFonts w:ascii="Trebuchet MS" w:hAnsi="Trebuchet MS"/>
        </w:rPr>
        <w:t>://doi.org/10.1108/JOEPP-08-2014-0042</w:t>
      </w:r>
      <w:proofErr w:type="gramEnd"/>
      <w:r w:rsidRPr="001B1507">
        <w:rPr>
          <w:rFonts w:ascii="Trebuchet MS" w:hAnsi="Trebuchet MS"/>
        </w:rPr>
        <w:t>.</w:t>
      </w:r>
    </w:p>
    <w:p w14:paraId="108396EC" w14:textId="00D5F8B0" w:rsidR="00C241DC" w:rsidRPr="00AD232F" w:rsidRDefault="00C241DC" w:rsidP="001B1507">
      <w:pPr>
        <w:pStyle w:val="ListParagraph"/>
        <w:rPr>
          <w:rFonts w:ascii="Trebuchet MS" w:hAnsi="Trebuchet MS" w:cs="Times New Roman"/>
        </w:rPr>
      </w:pPr>
      <w:r w:rsidRPr="001B1507">
        <w:rPr>
          <w:rFonts w:ascii="Trebuchet MS" w:hAnsi="Trebuchet MS"/>
        </w:rPr>
        <w:t xml:space="preserve">Armstrong, M. and Taylor, S. (2014). </w:t>
      </w:r>
      <w:r w:rsidRPr="001B1507">
        <w:rPr>
          <w:rFonts w:ascii="Trebuchet MS" w:hAnsi="Trebuchet MS"/>
          <w:i/>
          <w:iCs/>
        </w:rPr>
        <w:t>Armstrong’s handbook of human resource management practice</w:t>
      </w:r>
      <w:r w:rsidRPr="001B1507">
        <w:rPr>
          <w:rFonts w:ascii="Trebuchet MS" w:hAnsi="Trebuchet MS"/>
        </w:rPr>
        <w:t>. 13th ed. Philadelphia, Pa: Kogan Page Ltd.</w:t>
      </w:r>
    </w:p>
    <w:p w14:paraId="256AD22C" w14:textId="33E852C5" w:rsidR="00AD232F" w:rsidRPr="001B1507" w:rsidRDefault="00AD232F" w:rsidP="001B1507">
      <w:pPr>
        <w:pStyle w:val="ListParagraph"/>
        <w:rPr>
          <w:rFonts w:ascii="Trebuchet MS" w:hAnsi="Trebuchet MS" w:cs="Times New Roman"/>
        </w:rPr>
      </w:pPr>
      <w:r w:rsidRPr="00AD232F">
        <w:rPr>
          <w:rFonts w:ascii="Trebuchet MS" w:hAnsi="Trebuchet MS" w:cs="Times New Roman"/>
        </w:rPr>
        <w:t xml:space="preserve">Baker, M. &amp; Forsythe, A., 2020. The impact of unequal bonus distribution on workplace morale. </w:t>
      </w:r>
      <w:r w:rsidRPr="00AD232F">
        <w:rPr>
          <w:rFonts w:ascii="Trebuchet MS" w:hAnsi="Trebuchet MS" w:cs="Times New Roman"/>
          <w:i/>
          <w:iCs/>
        </w:rPr>
        <w:t>Journal of People Management</w:t>
      </w:r>
      <w:r w:rsidRPr="00AD232F">
        <w:rPr>
          <w:rFonts w:ascii="Trebuchet MS" w:hAnsi="Trebuchet MS" w:cs="Times New Roman"/>
        </w:rPr>
        <w:t>, 35(2), pp.123-136.</w:t>
      </w:r>
    </w:p>
    <w:p w14:paraId="2341883E"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BBC (n.d.). </w:t>
      </w:r>
      <w:r w:rsidRPr="00C241DC">
        <w:rPr>
          <w:rFonts w:ascii="Trebuchet MS" w:hAnsi="Trebuchet MS"/>
          <w:i/>
          <w:iCs/>
        </w:rPr>
        <w:t>Six thinking hats - Creativity and innovation - WBQ National: Foundation KS4 Revision</w:t>
      </w:r>
      <w:r w:rsidRPr="00C241DC">
        <w:rPr>
          <w:rFonts w:ascii="Trebuchet MS" w:hAnsi="Trebuchet MS"/>
        </w:rPr>
        <w:t>. [online] BBC Bitesize. Available at: https://www.bbc.co.uk/bitesize/guides/zxyxtyc/revision/11 [Accessed 24 Nov. 2024].</w:t>
      </w:r>
    </w:p>
    <w:p w14:paraId="24148852"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Briner, R. (2007). </w:t>
      </w:r>
      <w:r w:rsidRPr="00C241DC">
        <w:rPr>
          <w:rFonts w:ascii="Trebuchet MS" w:hAnsi="Trebuchet MS"/>
          <w:i/>
          <w:iCs/>
        </w:rPr>
        <w:t>Is HRM evidence-based and does it matter?</w:t>
      </w:r>
      <w:r w:rsidRPr="00C241DC">
        <w:rPr>
          <w:rFonts w:ascii="Trebuchet MS" w:hAnsi="Trebuchet MS"/>
        </w:rPr>
        <w:t xml:space="preserve"> [online] </w:t>
      </w:r>
      <w:r w:rsidRPr="00C241DC">
        <w:rPr>
          <w:rFonts w:ascii="Trebuchet MS" w:hAnsi="Trebuchet MS"/>
          <w:i/>
          <w:iCs/>
        </w:rPr>
        <w:t>Institute for Employment Studies</w:t>
      </w:r>
      <w:r w:rsidRPr="00C241DC">
        <w:rPr>
          <w:rFonts w:ascii="Trebuchet MS" w:hAnsi="Trebuchet MS"/>
        </w:rPr>
        <w:t>. Brighton: Institute for Employment Studies. Available at: https://www.employment-studies.co.uk/system/files/resources/files/op6.pdf [Accessed 23 Nov. 2024].</w:t>
      </w:r>
    </w:p>
    <w:p w14:paraId="42BE6471"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Briner, R. (2014). </w:t>
      </w:r>
      <w:r w:rsidRPr="00C241DC">
        <w:rPr>
          <w:rFonts w:ascii="Trebuchet MS" w:hAnsi="Trebuchet MS"/>
          <w:i/>
          <w:iCs/>
        </w:rPr>
        <w:t xml:space="preserve">Rob Briner, professor of organisational psychology, Bath University, on </w:t>
      </w:r>
      <w:proofErr w:type="gramStart"/>
      <w:r w:rsidRPr="00C241DC">
        <w:rPr>
          <w:rFonts w:ascii="Trebuchet MS" w:hAnsi="Trebuchet MS"/>
          <w:i/>
          <w:iCs/>
        </w:rPr>
        <w:t>evidence based</w:t>
      </w:r>
      <w:proofErr w:type="gramEnd"/>
      <w:r w:rsidRPr="00C241DC">
        <w:rPr>
          <w:rFonts w:ascii="Trebuchet MS" w:hAnsi="Trebuchet MS"/>
          <w:i/>
          <w:iCs/>
        </w:rPr>
        <w:t xml:space="preserve"> HR practice</w:t>
      </w:r>
      <w:r w:rsidRPr="00C241DC">
        <w:rPr>
          <w:rFonts w:ascii="Trebuchet MS" w:hAnsi="Trebuchet MS"/>
        </w:rPr>
        <w:t>. [online] YouTube. Available at: https://youtu.be/-cpvi8glLog?si=_wOzyzlMhJ7LxoI7 [Accessed 24 Nov. 2024].</w:t>
      </w:r>
    </w:p>
    <w:p w14:paraId="1D2014CD" w14:textId="77777777" w:rsidR="00C241DC" w:rsidRPr="00C241DC" w:rsidRDefault="00C241DC" w:rsidP="00C241DC">
      <w:pPr>
        <w:numPr>
          <w:ilvl w:val="0"/>
          <w:numId w:val="25"/>
        </w:numPr>
        <w:rPr>
          <w:rFonts w:ascii="Trebuchet MS" w:hAnsi="Trebuchet MS"/>
        </w:rPr>
      </w:pPr>
      <w:r w:rsidRPr="00C241DC">
        <w:rPr>
          <w:rFonts w:ascii="Trebuchet MS" w:hAnsi="Trebuchet MS"/>
        </w:rPr>
        <w:lastRenderedPageBreak/>
        <w:t xml:space="preserve">Briner, R. (2018). </w:t>
      </w:r>
      <w:r w:rsidRPr="00C241DC">
        <w:rPr>
          <w:rFonts w:ascii="Trebuchet MS" w:hAnsi="Trebuchet MS"/>
          <w:i/>
          <w:iCs/>
        </w:rPr>
        <w:t>Rob Briner on Evidence-Based Management</w:t>
      </w:r>
      <w:r w:rsidRPr="00C241DC">
        <w:rPr>
          <w:rFonts w:ascii="Trebuchet MS" w:hAnsi="Trebuchet MS"/>
        </w:rPr>
        <w:t>. [online] www.youtube.com. Available at: https://www.youtube.com/watch?v=G5NXMG3Yykg [Accessed 19 Nov. 2024].</w:t>
      </w:r>
    </w:p>
    <w:p w14:paraId="72CAB677"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Briner, R.B., Denyer, D. and Rousseau, D.M. (2009). Evidence-Based Management: Concept Cleanup Time? </w:t>
      </w:r>
      <w:r w:rsidRPr="00C241DC">
        <w:rPr>
          <w:rFonts w:ascii="Trebuchet MS" w:hAnsi="Trebuchet MS"/>
          <w:i/>
          <w:iCs/>
        </w:rPr>
        <w:t>Academy of Management Perspectives</w:t>
      </w:r>
      <w:r w:rsidRPr="00C241DC">
        <w:rPr>
          <w:rFonts w:ascii="Trebuchet MS" w:hAnsi="Trebuchet MS"/>
        </w:rPr>
        <w:t xml:space="preserve">, [online] 23(4), pp.19–32. </w:t>
      </w:r>
      <w:proofErr w:type="spellStart"/>
      <w:proofErr w:type="gramStart"/>
      <w:r w:rsidRPr="00C241DC">
        <w:rPr>
          <w:rFonts w:ascii="Trebuchet MS" w:hAnsi="Trebuchet MS"/>
        </w:rPr>
        <w:t>doi:https</w:t>
      </w:r>
      <w:proofErr w:type="spellEnd"/>
      <w:r w:rsidRPr="00C241DC">
        <w:rPr>
          <w:rFonts w:ascii="Trebuchet MS" w:hAnsi="Trebuchet MS"/>
        </w:rPr>
        <w:t>://doi.org/10.5465/amp.2009.45590138</w:t>
      </w:r>
      <w:proofErr w:type="gramEnd"/>
      <w:r w:rsidRPr="00C241DC">
        <w:rPr>
          <w:rFonts w:ascii="Trebuchet MS" w:hAnsi="Trebuchet MS"/>
        </w:rPr>
        <w:t>.</w:t>
      </w:r>
    </w:p>
    <w:p w14:paraId="65C6E3B2"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Cascio, W.F., Boudreau, J.W. and Fink, A.A. (2019). </w:t>
      </w:r>
      <w:r w:rsidRPr="00C241DC">
        <w:rPr>
          <w:rFonts w:ascii="Trebuchet MS" w:hAnsi="Trebuchet MS"/>
          <w:i/>
          <w:iCs/>
        </w:rPr>
        <w:t xml:space="preserve">Investing in </w:t>
      </w:r>
      <w:proofErr w:type="gramStart"/>
      <w:r w:rsidRPr="00C241DC">
        <w:rPr>
          <w:rFonts w:ascii="Trebuchet MS" w:hAnsi="Trebuchet MS"/>
          <w:i/>
          <w:iCs/>
        </w:rPr>
        <w:t>people :</w:t>
      </w:r>
      <w:proofErr w:type="gramEnd"/>
      <w:r w:rsidRPr="00C241DC">
        <w:rPr>
          <w:rFonts w:ascii="Trebuchet MS" w:hAnsi="Trebuchet MS"/>
          <w:i/>
          <w:iCs/>
        </w:rPr>
        <w:t xml:space="preserve"> financial impact of human resource initiatives</w:t>
      </w:r>
      <w:r w:rsidRPr="00C241DC">
        <w:rPr>
          <w:rFonts w:ascii="Trebuchet MS" w:hAnsi="Trebuchet MS"/>
        </w:rPr>
        <w:t xml:space="preserve">. Alexandria, Va: Society </w:t>
      </w:r>
      <w:proofErr w:type="gramStart"/>
      <w:r w:rsidRPr="00C241DC">
        <w:rPr>
          <w:rFonts w:ascii="Trebuchet MS" w:hAnsi="Trebuchet MS"/>
        </w:rPr>
        <w:t>For</w:t>
      </w:r>
      <w:proofErr w:type="gramEnd"/>
      <w:r w:rsidRPr="00C241DC">
        <w:rPr>
          <w:rFonts w:ascii="Trebuchet MS" w:hAnsi="Trebuchet MS"/>
        </w:rPr>
        <w:t xml:space="preserve"> Human Resource Management.</w:t>
      </w:r>
    </w:p>
    <w:p w14:paraId="1A1A163B" w14:textId="77777777" w:rsidR="00C241DC" w:rsidRDefault="00C241DC" w:rsidP="00C241DC">
      <w:pPr>
        <w:numPr>
          <w:ilvl w:val="0"/>
          <w:numId w:val="25"/>
        </w:numPr>
        <w:rPr>
          <w:rFonts w:ascii="Trebuchet MS" w:hAnsi="Trebuchet MS"/>
        </w:rPr>
      </w:pPr>
      <w:r w:rsidRPr="00C241DC">
        <w:rPr>
          <w:rFonts w:ascii="Trebuchet MS" w:hAnsi="Trebuchet MS"/>
        </w:rPr>
        <w:t xml:space="preserve">CIPD (2019). </w:t>
      </w:r>
      <w:r w:rsidRPr="00C241DC">
        <w:rPr>
          <w:rFonts w:ascii="Trebuchet MS" w:hAnsi="Trebuchet MS"/>
          <w:i/>
          <w:iCs/>
        </w:rPr>
        <w:t>CIPD | Critical thinking | Podcast</w:t>
      </w:r>
      <w:r w:rsidRPr="00C241DC">
        <w:rPr>
          <w:rFonts w:ascii="Trebuchet MS" w:hAnsi="Trebuchet MS"/>
        </w:rPr>
        <w:t>. [online] CIPD. Available at: https://www.cipd.org/uk/knowledge/podcasts/critical-thinking/ [Accessed 24 Nov. 2024].</w:t>
      </w:r>
    </w:p>
    <w:p w14:paraId="380A08CC" w14:textId="29FC4E99" w:rsidR="002A7443" w:rsidRPr="002A7443" w:rsidRDefault="002A7443" w:rsidP="002A7443">
      <w:pPr>
        <w:pStyle w:val="ListParagraph"/>
        <w:rPr>
          <w:rFonts w:ascii="Trebuchet MS" w:hAnsi="Trebuchet MS" w:cs="Times New Roman"/>
        </w:rPr>
      </w:pPr>
      <w:r w:rsidRPr="002A7443">
        <w:rPr>
          <w:rFonts w:ascii="Trebuchet MS" w:hAnsi="Trebuchet MS"/>
        </w:rPr>
        <w:t xml:space="preserve">CIPD (2021). </w:t>
      </w:r>
      <w:r w:rsidRPr="002A7443">
        <w:rPr>
          <w:rFonts w:ascii="Trebuchet MS" w:hAnsi="Trebuchet MS"/>
          <w:i/>
          <w:iCs/>
        </w:rPr>
        <w:t>CIPD | Getting Started with People Analytics</w:t>
      </w:r>
      <w:r w:rsidRPr="002A7443">
        <w:rPr>
          <w:rFonts w:ascii="Trebuchet MS" w:hAnsi="Trebuchet MS"/>
        </w:rPr>
        <w:t>. [online] CIPD. Available at: https://www.cipd.org/uk/knowledge/guides/analytics-practitioner-guide/ [Accessed 27 Jan. 2025].</w:t>
      </w:r>
    </w:p>
    <w:p w14:paraId="75D3A4DB"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CIPD (2023a). </w:t>
      </w:r>
      <w:r w:rsidRPr="00C241DC">
        <w:rPr>
          <w:rFonts w:ascii="Trebuchet MS" w:hAnsi="Trebuchet MS"/>
          <w:i/>
          <w:iCs/>
        </w:rPr>
        <w:t>CIPD | Evidence-based HR: Make better decisions and step up your influence</w:t>
      </w:r>
      <w:r w:rsidRPr="00C241DC">
        <w:rPr>
          <w:rFonts w:ascii="Trebuchet MS" w:hAnsi="Trebuchet MS"/>
        </w:rPr>
        <w:t>. [online] CIPD. Available at: https://www.cipd.org/uk/knowledge/guides/evidence-based-profession/ [Accessed 21 Nov. 2024].</w:t>
      </w:r>
    </w:p>
    <w:p w14:paraId="53685414"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CIPD (2023b). </w:t>
      </w:r>
      <w:r w:rsidRPr="00C241DC">
        <w:rPr>
          <w:rFonts w:ascii="Trebuchet MS" w:hAnsi="Trebuchet MS"/>
          <w:i/>
          <w:iCs/>
        </w:rPr>
        <w:t>CIPD | Evidence-based practice for effective decision-making | Factsheets</w:t>
      </w:r>
      <w:r w:rsidRPr="00C241DC">
        <w:rPr>
          <w:rFonts w:ascii="Trebuchet MS" w:hAnsi="Trebuchet MS"/>
        </w:rPr>
        <w:t>. [online] CIPD. Available at: https://www.cipd.org/uk/knowledge/factsheets/evidence-based-practice-factsheet/#what-is-evidencebased-practice.</w:t>
      </w:r>
    </w:p>
    <w:p w14:paraId="646E5A1B"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CIPD (2024a). </w:t>
      </w:r>
      <w:r w:rsidRPr="00C241DC">
        <w:rPr>
          <w:rFonts w:ascii="Trebuchet MS" w:hAnsi="Trebuchet MS"/>
          <w:i/>
          <w:iCs/>
        </w:rPr>
        <w:t>CIPD | Employee Engagement &amp; Motivation | Factsheets</w:t>
      </w:r>
      <w:r w:rsidRPr="00C241DC">
        <w:rPr>
          <w:rFonts w:ascii="Trebuchet MS" w:hAnsi="Trebuchet MS"/>
        </w:rPr>
        <w:t>. [online] CIPD. Available at: https://www.cipd.org/uk/knowledge/factsheets/engagement-factsheet/ [Accessed 2 Dec. 2024].</w:t>
      </w:r>
    </w:p>
    <w:p w14:paraId="7883ABA6"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CIPD (2024b). </w:t>
      </w:r>
      <w:r w:rsidRPr="00C241DC">
        <w:rPr>
          <w:rFonts w:ascii="Trebuchet MS" w:hAnsi="Trebuchet MS"/>
          <w:i/>
          <w:iCs/>
        </w:rPr>
        <w:t>PESTLE Analysis</w:t>
      </w:r>
      <w:r w:rsidRPr="00C241DC">
        <w:rPr>
          <w:rFonts w:ascii="Trebuchet MS" w:hAnsi="Trebuchet MS"/>
        </w:rPr>
        <w:t>. [online] CIPD. Available at: https://www.cipd.org/uk/knowledge/factsheets/pestle-analysis-factsheet/ [Accessed 22 Nov. 2024].</w:t>
      </w:r>
    </w:p>
    <w:p w14:paraId="6E5D0A72"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Clark, S. (2015). </w:t>
      </w:r>
      <w:r w:rsidRPr="00C241DC">
        <w:rPr>
          <w:rFonts w:ascii="Trebuchet MS" w:hAnsi="Trebuchet MS"/>
          <w:i/>
          <w:iCs/>
        </w:rPr>
        <w:t>Ethical decision-making: Eight perspectives on workplace dilemmas</w:t>
      </w:r>
      <w:r w:rsidRPr="00C241DC">
        <w:rPr>
          <w:rFonts w:ascii="Trebuchet MS" w:hAnsi="Trebuchet MS"/>
        </w:rPr>
        <w:t>. [online] CIPD: CIPD. Available at: https://www.cipd.org/globalassets/media/knowledge/knowledge-hub/reports/ethical-decision-making-2015-eight-perspectives-on-workplace-dilemmas_tcm18-9564.pdf [Accessed 2 Dec. 2024].</w:t>
      </w:r>
    </w:p>
    <w:p w14:paraId="02669D19"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Cottrell, S. (2019). </w:t>
      </w:r>
      <w:r w:rsidRPr="00C241DC">
        <w:rPr>
          <w:rFonts w:ascii="Trebuchet MS" w:hAnsi="Trebuchet MS"/>
          <w:i/>
          <w:iCs/>
        </w:rPr>
        <w:t>The Study Skills Handbook</w:t>
      </w:r>
      <w:r w:rsidRPr="00C241DC">
        <w:rPr>
          <w:rFonts w:ascii="Trebuchet MS" w:hAnsi="Trebuchet MS"/>
        </w:rPr>
        <w:t>. 5th ed. Bloomsbury Publishing.</w:t>
      </w:r>
    </w:p>
    <w:p w14:paraId="35A567ED"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De Bono, E. (1985). </w:t>
      </w:r>
      <w:r w:rsidRPr="00C241DC">
        <w:rPr>
          <w:rFonts w:ascii="Trebuchet MS" w:hAnsi="Trebuchet MS"/>
          <w:i/>
          <w:iCs/>
        </w:rPr>
        <w:t>Six Thinking Hats</w:t>
      </w:r>
      <w:r w:rsidRPr="00C241DC">
        <w:rPr>
          <w:rFonts w:ascii="Trebuchet MS" w:hAnsi="Trebuchet MS"/>
        </w:rPr>
        <w:t>. [online] London: Penguin Life. Available at: http://dspace.vnbrims.org:13000/jspui/bitstream/123456789/4746/1/Six%20thinking%20hats.pdf [Accessed 24 Nov. 2024].</w:t>
      </w:r>
    </w:p>
    <w:p w14:paraId="2590D082"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Elder, L. and Paul, R. (2020). </w:t>
      </w:r>
      <w:r w:rsidRPr="00C241DC">
        <w:rPr>
          <w:rFonts w:ascii="Trebuchet MS" w:hAnsi="Trebuchet MS"/>
          <w:i/>
          <w:iCs/>
        </w:rPr>
        <w:t>Miniature guide to critical thinking concepts and tools.</w:t>
      </w:r>
      <w:r w:rsidRPr="00C241DC">
        <w:rPr>
          <w:rFonts w:ascii="Trebuchet MS" w:hAnsi="Trebuchet MS"/>
        </w:rPr>
        <w:t xml:space="preserve"> 8th ed. S.L.: Rowman &amp; Littlefield.</w:t>
      </w:r>
    </w:p>
    <w:p w14:paraId="3F9BDACD" w14:textId="77777777" w:rsidR="00C241DC" w:rsidRPr="00C241DC" w:rsidRDefault="00C241DC" w:rsidP="00C241DC">
      <w:pPr>
        <w:numPr>
          <w:ilvl w:val="0"/>
          <w:numId w:val="25"/>
        </w:numPr>
        <w:rPr>
          <w:rFonts w:ascii="Trebuchet MS" w:hAnsi="Trebuchet MS"/>
        </w:rPr>
      </w:pPr>
      <w:proofErr w:type="spellStart"/>
      <w:r w:rsidRPr="00C241DC">
        <w:rPr>
          <w:rFonts w:ascii="Trebuchet MS" w:hAnsi="Trebuchet MS"/>
        </w:rPr>
        <w:t>Facione</w:t>
      </w:r>
      <w:proofErr w:type="spellEnd"/>
      <w:r w:rsidRPr="00C241DC">
        <w:rPr>
          <w:rFonts w:ascii="Trebuchet MS" w:hAnsi="Trebuchet MS"/>
        </w:rPr>
        <w:t xml:space="preserve">, P. (2015). </w:t>
      </w:r>
      <w:r w:rsidRPr="00C241DC">
        <w:rPr>
          <w:rFonts w:ascii="Trebuchet MS" w:hAnsi="Trebuchet MS"/>
          <w:i/>
          <w:iCs/>
        </w:rPr>
        <w:t>Critical Thinking: What It Is and Why It Counts</w:t>
      </w:r>
      <w:r w:rsidRPr="00C241DC">
        <w:rPr>
          <w:rFonts w:ascii="Trebuchet MS" w:hAnsi="Trebuchet MS"/>
        </w:rPr>
        <w:t>. [online] ResearchGate. Available at: https://www.researchgate.net/publication/251303244_Critical_Thinking_What_It_Is_and_Why_It_Counts [Accessed 24 Nov. 2024].</w:t>
      </w:r>
    </w:p>
    <w:p w14:paraId="5925C090"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Haan, S. (2024). </w:t>
      </w:r>
      <w:r w:rsidRPr="00C241DC">
        <w:rPr>
          <w:rFonts w:ascii="Trebuchet MS" w:hAnsi="Trebuchet MS"/>
          <w:i/>
          <w:iCs/>
        </w:rPr>
        <w:t>SWOT Analysis</w:t>
      </w:r>
      <w:r w:rsidRPr="00C241DC">
        <w:rPr>
          <w:rFonts w:ascii="Trebuchet MS" w:hAnsi="Trebuchet MS"/>
        </w:rPr>
        <w:t>. [online] CIPD. Available at: https://www.cipd.org/uk/knowledge/factsheets/swot-analysis-factsheet/ [Accessed 22 Nov. 2024].</w:t>
      </w:r>
    </w:p>
    <w:p w14:paraId="18594934"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Johnson, G., Scholes, K., Angwin, D., Regner, P. and Whittington, R. (2020). </w:t>
      </w:r>
      <w:r w:rsidRPr="00C241DC">
        <w:rPr>
          <w:rFonts w:ascii="Trebuchet MS" w:hAnsi="Trebuchet MS"/>
          <w:i/>
          <w:iCs/>
        </w:rPr>
        <w:t>Exploring Strategy: Text and Cases</w:t>
      </w:r>
      <w:r w:rsidRPr="00C241DC">
        <w:rPr>
          <w:rFonts w:ascii="Trebuchet MS" w:hAnsi="Trebuchet MS"/>
        </w:rPr>
        <w:t>. 12th ed. [online] Harlow, England: Pearson, pp.36–49. Available at: https://ebookcentral.proquest.com/lib/trinity/reader.action?docID=5987036 [Accessed 24 Nov. 2024].</w:t>
      </w:r>
    </w:p>
    <w:p w14:paraId="345A1127" w14:textId="77777777" w:rsidR="00C241DC" w:rsidRDefault="00C241DC" w:rsidP="00C241DC">
      <w:pPr>
        <w:numPr>
          <w:ilvl w:val="0"/>
          <w:numId w:val="25"/>
        </w:numPr>
        <w:rPr>
          <w:rFonts w:ascii="Trebuchet MS" w:hAnsi="Trebuchet MS"/>
        </w:rPr>
      </w:pPr>
      <w:r w:rsidRPr="00C241DC">
        <w:rPr>
          <w:rFonts w:ascii="Trebuchet MS" w:hAnsi="Trebuchet MS"/>
        </w:rPr>
        <w:t xml:space="preserve">Kant, I. (2005). </w:t>
      </w:r>
      <w:r w:rsidRPr="00C241DC">
        <w:rPr>
          <w:rFonts w:ascii="Trebuchet MS" w:hAnsi="Trebuchet MS"/>
          <w:i/>
          <w:iCs/>
        </w:rPr>
        <w:t>The moral law: Groundwork of the metaphysic of morals</w:t>
      </w:r>
      <w:r w:rsidRPr="00C241DC">
        <w:rPr>
          <w:rFonts w:ascii="Trebuchet MS" w:hAnsi="Trebuchet MS"/>
        </w:rPr>
        <w:t>. London: Routledge Classics.</w:t>
      </w:r>
    </w:p>
    <w:p w14:paraId="36109FFE" w14:textId="40CEEED0" w:rsidR="00901CD6" w:rsidRPr="00C241DC" w:rsidRDefault="00901CD6" w:rsidP="00C241DC">
      <w:pPr>
        <w:numPr>
          <w:ilvl w:val="0"/>
          <w:numId w:val="25"/>
        </w:numPr>
        <w:rPr>
          <w:rFonts w:ascii="Trebuchet MS" w:hAnsi="Trebuchet MS"/>
        </w:rPr>
      </w:pPr>
      <w:proofErr w:type="spellStart"/>
      <w:r w:rsidRPr="00901CD6">
        <w:rPr>
          <w:rFonts w:ascii="Trebuchet MS" w:hAnsi="Trebuchet MS"/>
        </w:rPr>
        <w:t>Kuvaas</w:t>
      </w:r>
      <w:proofErr w:type="spellEnd"/>
      <w:r w:rsidRPr="00901CD6">
        <w:rPr>
          <w:rFonts w:ascii="Trebuchet MS" w:hAnsi="Trebuchet MS"/>
        </w:rPr>
        <w:t xml:space="preserve">, B., 2018. Work motivation in the context of performance management systems. </w:t>
      </w:r>
      <w:r w:rsidRPr="00901CD6">
        <w:rPr>
          <w:rFonts w:ascii="Trebuchet MS" w:hAnsi="Trebuchet MS"/>
          <w:i/>
          <w:iCs/>
        </w:rPr>
        <w:t>International Journal of Human Resource Management</w:t>
      </w:r>
      <w:r w:rsidRPr="00901CD6">
        <w:rPr>
          <w:rFonts w:ascii="Trebuchet MS" w:hAnsi="Trebuchet MS"/>
        </w:rPr>
        <w:t>, 29(5), pp.731-751.</w:t>
      </w:r>
    </w:p>
    <w:p w14:paraId="7E50E705" w14:textId="77777777" w:rsidR="00C241DC" w:rsidRPr="00C241DC" w:rsidRDefault="00C241DC" w:rsidP="00C241DC">
      <w:pPr>
        <w:numPr>
          <w:ilvl w:val="0"/>
          <w:numId w:val="25"/>
        </w:numPr>
        <w:rPr>
          <w:rFonts w:ascii="Trebuchet MS" w:hAnsi="Trebuchet MS"/>
        </w:rPr>
      </w:pPr>
      <w:r w:rsidRPr="00C241DC">
        <w:rPr>
          <w:rFonts w:ascii="Trebuchet MS" w:hAnsi="Trebuchet MS"/>
        </w:rPr>
        <w:lastRenderedPageBreak/>
        <w:t xml:space="preserve">Kepner, C.H. and Tregoe, B.B. (1991). </w:t>
      </w:r>
      <w:r w:rsidRPr="00C241DC">
        <w:rPr>
          <w:rFonts w:ascii="Trebuchet MS" w:hAnsi="Trebuchet MS"/>
          <w:i/>
          <w:iCs/>
        </w:rPr>
        <w:t xml:space="preserve">The rational </w:t>
      </w:r>
      <w:proofErr w:type="gramStart"/>
      <w:r w:rsidRPr="00C241DC">
        <w:rPr>
          <w:rFonts w:ascii="Trebuchet MS" w:hAnsi="Trebuchet MS"/>
          <w:i/>
          <w:iCs/>
        </w:rPr>
        <w:t>manager :</w:t>
      </w:r>
      <w:proofErr w:type="gramEnd"/>
      <w:r w:rsidRPr="00C241DC">
        <w:rPr>
          <w:rFonts w:ascii="Trebuchet MS" w:hAnsi="Trebuchet MS"/>
          <w:i/>
          <w:iCs/>
        </w:rPr>
        <w:t xml:space="preserve"> a systematic approach to problem solving and decision making</w:t>
      </w:r>
      <w:r w:rsidRPr="00C241DC">
        <w:rPr>
          <w:rFonts w:ascii="Trebuchet MS" w:hAnsi="Trebuchet MS"/>
        </w:rPr>
        <w:t>. Princeton, N.J.: Kepner-Tregoe.</w:t>
      </w:r>
    </w:p>
    <w:p w14:paraId="00BBB391"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Markopoulos, E., </w:t>
      </w:r>
      <w:proofErr w:type="spellStart"/>
      <w:r w:rsidRPr="00C241DC">
        <w:rPr>
          <w:rFonts w:ascii="Trebuchet MS" w:hAnsi="Trebuchet MS"/>
        </w:rPr>
        <w:t>Refflinghaus</w:t>
      </w:r>
      <w:proofErr w:type="spellEnd"/>
      <w:r w:rsidRPr="00C241DC">
        <w:rPr>
          <w:rFonts w:ascii="Trebuchet MS" w:hAnsi="Trebuchet MS"/>
        </w:rPr>
        <w:t xml:space="preserve">, J., Roell, M. and </w:t>
      </w:r>
      <w:proofErr w:type="spellStart"/>
      <w:r w:rsidRPr="00C241DC">
        <w:rPr>
          <w:rFonts w:ascii="Trebuchet MS" w:hAnsi="Trebuchet MS"/>
        </w:rPr>
        <w:t>Vanharanta</w:t>
      </w:r>
      <w:proofErr w:type="spellEnd"/>
      <w:r w:rsidRPr="00C241DC">
        <w:rPr>
          <w:rFonts w:ascii="Trebuchet MS" w:hAnsi="Trebuchet MS"/>
        </w:rPr>
        <w:t xml:space="preserve">, H. (2022). </w:t>
      </w:r>
      <w:r w:rsidRPr="00C241DC">
        <w:rPr>
          <w:rFonts w:ascii="Trebuchet MS" w:hAnsi="Trebuchet MS"/>
          <w:i/>
          <w:iCs/>
        </w:rPr>
        <w:t xml:space="preserve">Understanding </w:t>
      </w:r>
      <w:proofErr w:type="spellStart"/>
      <w:r w:rsidRPr="00C241DC">
        <w:rPr>
          <w:rFonts w:ascii="Trebuchet MS" w:hAnsi="Trebuchet MS"/>
          <w:i/>
          <w:iCs/>
        </w:rPr>
        <w:t>Situationality</w:t>
      </w:r>
      <w:proofErr w:type="spellEnd"/>
      <w:r w:rsidRPr="00C241DC">
        <w:rPr>
          <w:rFonts w:ascii="Trebuchet MS" w:hAnsi="Trebuchet MS"/>
          <w:i/>
          <w:iCs/>
        </w:rPr>
        <w:t xml:space="preserve"> using the Kepner-Tregoe Method in the Company Democracy Model to increase Employee Engagement and Knowledge Contribution</w:t>
      </w:r>
      <w:r w:rsidRPr="00C241DC">
        <w:rPr>
          <w:rFonts w:ascii="Trebuchet MS" w:hAnsi="Trebuchet MS"/>
        </w:rPr>
        <w:t>. [online] Creativity, Innovation and Entrepreneurship. Available at: https://discovery.ucl.ac.uk/id/eprint/10153339/.</w:t>
      </w:r>
    </w:p>
    <w:p w14:paraId="3BE461D2"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Mill, J.S. (1863). </w:t>
      </w:r>
      <w:r w:rsidRPr="00C241DC">
        <w:rPr>
          <w:rFonts w:ascii="Trebuchet MS" w:hAnsi="Trebuchet MS"/>
          <w:i/>
          <w:iCs/>
        </w:rPr>
        <w:t>Utilitarianism</w:t>
      </w:r>
      <w:r w:rsidRPr="00C241DC">
        <w:rPr>
          <w:rFonts w:ascii="Trebuchet MS" w:hAnsi="Trebuchet MS"/>
        </w:rPr>
        <w:t xml:space="preserve">. </w:t>
      </w:r>
      <w:proofErr w:type="gramStart"/>
      <w:r w:rsidRPr="00C241DC">
        <w:rPr>
          <w:rFonts w:ascii="Trebuchet MS" w:hAnsi="Trebuchet MS"/>
        </w:rPr>
        <w:t>London :</w:t>
      </w:r>
      <w:proofErr w:type="gramEnd"/>
      <w:r w:rsidRPr="00C241DC">
        <w:rPr>
          <w:rFonts w:ascii="Trebuchet MS" w:hAnsi="Trebuchet MS"/>
        </w:rPr>
        <w:t xml:space="preserve"> Parker, Son and Bourn.</w:t>
      </w:r>
    </w:p>
    <w:p w14:paraId="43898C35"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Patre, S. (2016). Six Thinking Hats Approach to HR Analytics. </w:t>
      </w:r>
      <w:r w:rsidRPr="00C241DC">
        <w:rPr>
          <w:rFonts w:ascii="Trebuchet MS" w:hAnsi="Trebuchet MS"/>
          <w:i/>
          <w:iCs/>
        </w:rPr>
        <w:t>South Asian Journal of Human Resources Management</w:t>
      </w:r>
      <w:r w:rsidRPr="00C241DC">
        <w:rPr>
          <w:rFonts w:ascii="Trebuchet MS" w:hAnsi="Trebuchet MS"/>
        </w:rPr>
        <w:t xml:space="preserve">, 3(2), pp.191–199. </w:t>
      </w:r>
      <w:proofErr w:type="spellStart"/>
      <w:proofErr w:type="gramStart"/>
      <w:r w:rsidRPr="00C241DC">
        <w:rPr>
          <w:rFonts w:ascii="Trebuchet MS" w:hAnsi="Trebuchet MS"/>
        </w:rPr>
        <w:t>doi:https</w:t>
      </w:r>
      <w:proofErr w:type="spellEnd"/>
      <w:r w:rsidRPr="00C241DC">
        <w:rPr>
          <w:rFonts w:ascii="Trebuchet MS" w:hAnsi="Trebuchet MS"/>
        </w:rPr>
        <w:t>://doi.org/10.1177/2322093716678316</w:t>
      </w:r>
      <w:proofErr w:type="gramEnd"/>
      <w:r w:rsidRPr="00C241DC">
        <w:rPr>
          <w:rFonts w:ascii="Trebuchet MS" w:hAnsi="Trebuchet MS"/>
        </w:rPr>
        <w:t>.</w:t>
      </w:r>
    </w:p>
    <w:p w14:paraId="0ED4A72C" w14:textId="77777777" w:rsidR="00C241DC" w:rsidRDefault="00C241DC" w:rsidP="00C241DC">
      <w:pPr>
        <w:numPr>
          <w:ilvl w:val="0"/>
          <w:numId w:val="25"/>
        </w:numPr>
        <w:rPr>
          <w:rFonts w:ascii="Trebuchet MS" w:hAnsi="Trebuchet MS"/>
        </w:rPr>
      </w:pPr>
      <w:r w:rsidRPr="00C241DC">
        <w:rPr>
          <w:rFonts w:ascii="Trebuchet MS" w:hAnsi="Trebuchet MS"/>
        </w:rPr>
        <w:t xml:space="preserve">Pfeffer, J. and Sutton, R.I. (2006). Evidence-based management. </w:t>
      </w:r>
      <w:r w:rsidRPr="00C241DC">
        <w:rPr>
          <w:rFonts w:ascii="Trebuchet MS" w:hAnsi="Trebuchet MS"/>
          <w:i/>
          <w:iCs/>
        </w:rPr>
        <w:t>Harvard Business Review</w:t>
      </w:r>
      <w:r w:rsidRPr="00C241DC">
        <w:rPr>
          <w:rFonts w:ascii="Trebuchet MS" w:hAnsi="Trebuchet MS"/>
        </w:rPr>
        <w:t>, [online] 84(1), pp.62–74, 133. Available at: https://pubmed.ncbi.nlm.nih.gov/16447370/ [Accessed 24 Nov. 2024].</w:t>
      </w:r>
    </w:p>
    <w:p w14:paraId="0E75FBA1" w14:textId="6B3FF63E" w:rsidR="00C953F3" w:rsidRPr="00C241DC" w:rsidRDefault="006F251A" w:rsidP="00C241DC">
      <w:pPr>
        <w:numPr>
          <w:ilvl w:val="0"/>
          <w:numId w:val="25"/>
        </w:numPr>
        <w:rPr>
          <w:rFonts w:ascii="Trebuchet MS" w:hAnsi="Trebuchet MS"/>
        </w:rPr>
      </w:pPr>
      <w:r w:rsidRPr="006F251A">
        <w:rPr>
          <w:rFonts w:ascii="Trebuchet MS" w:hAnsi="Trebuchet MS"/>
        </w:rPr>
        <w:t xml:space="preserve">Shore, L. M., Cleveland, J. N., &amp; Goldberg, C. B., 2011. Work attitudes and organizational outcomes: The role of fairness in employee compensation. </w:t>
      </w:r>
      <w:r w:rsidRPr="006F251A">
        <w:rPr>
          <w:rFonts w:ascii="Trebuchet MS" w:hAnsi="Trebuchet MS"/>
          <w:i/>
          <w:iCs/>
        </w:rPr>
        <w:t xml:space="preserve">Journal of Organizational </w:t>
      </w:r>
      <w:proofErr w:type="spellStart"/>
      <w:r w:rsidRPr="006F251A">
        <w:rPr>
          <w:rFonts w:ascii="Trebuchet MS" w:hAnsi="Trebuchet MS"/>
          <w:i/>
          <w:iCs/>
        </w:rPr>
        <w:t>Behavior</w:t>
      </w:r>
      <w:proofErr w:type="spellEnd"/>
      <w:r w:rsidRPr="006F251A">
        <w:rPr>
          <w:rFonts w:ascii="Trebuchet MS" w:hAnsi="Trebuchet MS"/>
        </w:rPr>
        <w:t>, 32(2), pp. 148-175.</w:t>
      </w:r>
    </w:p>
    <w:p w14:paraId="0F1DF544"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Sorenson, S. and Garman, K. (2013). </w:t>
      </w:r>
      <w:r w:rsidRPr="00C241DC">
        <w:rPr>
          <w:rFonts w:ascii="Trebuchet MS" w:hAnsi="Trebuchet MS"/>
          <w:i/>
          <w:iCs/>
        </w:rPr>
        <w:t>Different Job Types Demand Different Engagement Strategies</w:t>
      </w:r>
      <w:r w:rsidRPr="00C241DC">
        <w:rPr>
          <w:rFonts w:ascii="Trebuchet MS" w:hAnsi="Trebuchet MS"/>
        </w:rPr>
        <w:t>. [online] Gallup.com. Available at: https://www.gallup.com/workplace/390833/different-job-types-demand-different-engagement-strategies.aspx.</w:t>
      </w:r>
    </w:p>
    <w:p w14:paraId="0B56E09D"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Taylor, S. and Woodhams, C. (2022). </w:t>
      </w:r>
      <w:r w:rsidRPr="00C241DC">
        <w:rPr>
          <w:rFonts w:ascii="Trebuchet MS" w:hAnsi="Trebuchet MS"/>
          <w:i/>
          <w:iCs/>
        </w:rPr>
        <w:t>Studying Human Resource Management</w:t>
      </w:r>
      <w:r w:rsidRPr="00C241DC">
        <w:rPr>
          <w:rFonts w:ascii="Trebuchet MS" w:hAnsi="Trebuchet MS"/>
        </w:rPr>
        <w:t>. 3rd ed. London: Kogan Page, p.46.</w:t>
      </w:r>
    </w:p>
    <w:p w14:paraId="1EF38F46" w14:textId="77777777" w:rsidR="00C241DC" w:rsidRPr="00C241DC" w:rsidRDefault="00C241DC" w:rsidP="00C241DC">
      <w:pPr>
        <w:numPr>
          <w:ilvl w:val="0"/>
          <w:numId w:val="25"/>
        </w:numPr>
        <w:rPr>
          <w:rFonts w:ascii="Trebuchet MS" w:hAnsi="Trebuchet MS"/>
        </w:rPr>
      </w:pPr>
      <w:r w:rsidRPr="00C241DC">
        <w:rPr>
          <w:rFonts w:ascii="Trebuchet MS" w:hAnsi="Trebuchet MS"/>
        </w:rPr>
        <w:t xml:space="preserve">Ulrich, D., </w:t>
      </w:r>
      <w:proofErr w:type="spellStart"/>
      <w:r w:rsidRPr="00C241DC">
        <w:rPr>
          <w:rFonts w:ascii="Trebuchet MS" w:hAnsi="Trebuchet MS"/>
        </w:rPr>
        <w:t>Kryscynski</w:t>
      </w:r>
      <w:proofErr w:type="spellEnd"/>
      <w:r w:rsidRPr="00C241DC">
        <w:rPr>
          <w:rFonts w:ascii="Trebuchet MS" w:hAnsi="Trebuchet MS"/>
        </w:rPr>
        <w:t xml:space="preserve">, D., Brockbank, W. and Ulrich, M. (2017). </w:t>
      </w:r>
      <w:r w:rsidRPr="00C241DC">
        <w:rPr>
          <w:rFonts w:ascii="Trebuchet MS" w:hAnsi="Trebuchet MS"/>
          <w:i/>
          <w:iCs/>
        </w:rPr>
        <w:t xml:space="preserve">Victory Through </w:t>
      </w:r>
      <w:proofErr w:type="gramStart"/>
      <w:r w:rsidRPr="00C241DC">
        <w:rPr>
          <w:rFonts w:ascii="Trebuchet MS" w:hAnsi="Trebuchet MS"/>
          <w:i/>
          <w:iCs/>
        </w:rPr>
        <w:t>Organization :</w:t>
      </w:r>
      <w:proofErr w:type="gramEnd"/>
      <w:r w:rsidRPr="00C241DC">
        <w:rPr>
          <w:rFonts w:ascii="Trebuchet MS" w:hAnsi="Trebuchet MS"/>
          <w:i/>
          <w:iCs/>
        </w:rPr>
        <w:t xml:space="preserve"> : Why the War for Talent is Failing Your Company and What You Can Do about It /</w:t>
      </w:r>
      <w:r w:rsidRPr="00C241DC">
        <w:rPr>
          <w:rFonts w:ascii="Trebuchet MS" w:hAnsi="Trebuchet MS"/>
        </w:rPr>
        <w:t xml:space="preserve">. New York, N.Y.: </w:t>
      </w:r>
      <w:proofErr w:type="spellStart"/>
      <w:r w:rsidRPr="00C241DC">
        <w:rPr>
          <w:rFonts w:ascii="Trebuchet MS" w:hAnsi="Trebuchet MS"/>
        </w:rPr>
        <w:t>Mcgraw-Hill</w:t>
      </w:r>
      <w:proofErr w:type="spellEnd"/>
      <w:r w:rsidRPr="00C241DC">
        <w:rPr>
          <w:rFonts w:ascii="Trebuchet MS" w:hAnsi="Trebuchet MS"/>
        </w:rPr>
        <w:t xml:space="preserve"> Education.</w:t>
      </w:r>
    </w:p>
    <w:p w14:paraId="626ABB71" w14:textId="77777777" w:rsidR="00C241DC" w:rsidRDefault="00C241DC" w:rsidP="00716B85">
      <w:pPr>
        <w:rPr>
          <w:rFonts w:ascii="Trebuchet MS" w:hAnsi="Trebuchet MS"/>
        </w:rPr>
      </w:pPr>
    </w:p>
    <w:p w14:paraId="44349408" w14:textId="77777777" w:rsidR="00EC02EB" w:rsidRDefault="00EC02EB" w:rsidP="00A83E4C">
      <w:pPr>
        <w:ind w:firstLine="720"/>
        <w:rPr>
          <w:rFonts w:ascii="Trebuchet MS" w:hAnsi="Trebuchet MS"/>
        </w:rPr>
      </w:pPr>
    </w:p>
    <w:p w14:paraId="500DDBC1" w14:textId="77777777" w:rsidR="00EC02EB" w:rsidRDefault="00EC02EB" w:rsidP="00A83E4C">
      <w:pPr>
        <w:ind w:firstLine="720"/>
        <w:rPr>
          <w:rFonts w:ascii="Trebuchet MS" w:hAnsi="Trebuchet MS"/>
        </w:rPr>
      </w:pPr>
    </w:p>
    <w:p w14:paraId="2A875FA5" w14:textId="77777777" w:rsidR="00EC02EB" w:rsidRDefault="00EC02EB" w:rsidP="00A83E4C">
      <w:pPr>
        <w:ind w:firstLine="720"/>
        <w:rPr>
          <w:rFonts w:ascii="Trebuchet MS" w:hAnsi="Trebuchet MS"/>
        </w:rPr>
      </w:pPr>
    </w:p>
    <w:p w14:paraId="414F30FE" w14:textId="77777777" w:rsidR="00EC02EB" w:rsidRDefault="00EC02EB" w:rsidP="00A83E4C">
      <w:pPr>
        <w:ind w:firstLine="720"/>
        <w:rPr>
          <w:rFonts w:ascii="Trebuchet MS" w:hAnsi="Trebuchet MS"/>
        </w:rPr>
      </w:pPr>
    </w:p>
    <w:p w14:paraId="19F9EFEC" w14:textId="77777777" w:rsidR="00EC02EB" w:rsidRDefault="00EC02EB" w:rsidP="00A83E4C">
      <w:pPr>
        <w:ind w:firstLine="720"/>
        <w:rPr>
          <w:rFonts w:ascii="Trebuchet MS" w:hAnsi="Trebuchet MS"/>
        </w:rPr>
      </w:pPr>
    </w:p>
    <w:p w14:paraId="5E41696E" w14:textId="77777777" w:rsidR="00EC02EB" w:rsidRDefault="00EC02EB" w:rsidP="00A83E4C">
      <w:pPr>
        <w:ind w:firstLine="720"/>
        <w:rPr>
          <w:rFonts w:ascii="Trebuchet MS" w:hAnsi="Trebuchet MS"/>
        </w:rPr>
      </w:pPr>
    </w:p>
    <w:p w14:paraId="71D081F6" w14:textId="77777777" w:rsidR="00EC02EB" w:rsidRDefault="00EC02EB" w:rsidP="00A83E4C">
      <w:pPr>
        <w:ind w:firstLine="720"/>
        <w:rPr>
          <w:rFonts w:ascii="Trebuchet MS" w:hAnsi="Trebuchet MS"/>
        </w:rPr>
      </w:pPr>
    </w:p>
    <w:p w14:paraId="6CFAB07A" w14:textId="77777777" w:rsidR="00EC02EB" w:rsidRDefault="00EC02EB" w:rsidP="00A83E4C">
      <w:pPr>
        <w:ind w:firstLine="720"/>
        <w:rPr>
          <w:rFonts w:ascii="Trebuchet MS" w:hAnsi="Trebuchet MS"/>
        </w:rPr>
      </w:pPr>
    </w:p>
    <w:p w14:paraId="0D966E27" w14:textId="77777777" w:rsidR="00EC02EB" w:rsidRDefault="00EC02EB" w:rsidP="00A83E4C">
      <w:pPr>
        <w:ind w:firstLine="720"/>
        <w:rPr>
          <w:rFonts w:ascii="Trebuchet MS" w:hAnsi="Trebuchet MS"/>
        </w:rPr>
      </w:pPr>
    </w:p>
    <w:p w14:paraId="7FD8F176" w14:textId="77777777" w:rsidR="00EC02EB" w:rsidRDefault="00EC02EB" w:rsidP="00A83E4C">
      <w:pPr>
        <w:ind w:firstLine="720"/>
        <w:rPr>
          <w:rFonts w:ascii="Trebuchet MS" w:hAnsi="Trebuchet MS"/>
        </w:rPr>
      </w:pPr>
    </w:p>
    <w:p w14:paraId="1495494C" w14:textId="77777777" w:rsidR="00C241DC" w:rsidRDefault="00C241DC" w:rsidP="00A83E4C">
      <w:pPr>
        <w:ind w:firstLine="720"/>
        <w:rPr>
          <w:rFonts w:ascii="Trebuchet MS" w:hAnsi="Trebuchet MS"/>
        </w:rPr>
      </w:pPr>
    </w:p>
    <w:p w14:paraId="5EF696E9" w14:textId="77777777" w:rsidR="00C241DC" w:rsidRDefault="00C241DC" w:rsidP="00A83E4C">
      <w:pPr>
        <w:ind w:firstLine="720"/>
        <w:rPr>
          <w:rFonts w:ascii="Trebuchet MS" w:hAnsi="Trebuchet MS"/>
        </w:rPr>
      </w:pPr>
    </w:p>
    <w:p w14:paraId="1B49E56F" w14:textId="77777777" w:rsidR="00C241DC" w:rsidRDefault="00C241DC" w:rsidP="00A83E4C">
      <w:pPr>
        <w:ind w:firstLine="720"/>
        <w:rPr>
          <w:rFonts w:ascii="Trebuchet MS" w:hAnsi="Trebuchet MS"/>
        </w:rPr>
      </w:pPr>
    </w:p>
    <w:p w14:paraId="276182CF" w14:textId="77777777" w:rsidR="00C241DC" w:rsidRDefault="00C241DC" w:rsidP="00A83E4C">
      <w:pPr>
        <w:ind w:firstLine="720"/>
        <w:rPr>
          <w:rFonts w:ascii="Trebuchet MS" w:hAnsi="Trebuchet MS"/>
        </w:rPr>
      </w:pPr>
    </w:p>
    <w:p w14:paraId="5F6896EE" w14:textId="77777777" w:rsidR="00C241DC" w:rsidRDefault="00C241DC" w:rsidP="00A83E4C">
      <w:pPr>
        <w:ind w:firstLine="720"/>
        <w:rPr>
          <w:rFonts w:ascii="Trebuchet MS" w:hAnsi="Trebuchet MS"/>
        </w:rPr>
      </w:pPr>
    </w:p>
    <w:p w14:paraId="3B59BC8E" w14:textId="77777777" w:rsidR="00C241DC" w:rsidRDefault="00C241DC" w:rsidP="00A83E4C">
      <w:pPr>
        <w:ind w:firstLine="720"/>
        <w:rPr>
          <w:rFonts w:ascii="Trebuchet MS" w:hAnsi="Trebuchet MS"/>
        </w:rPr>
      </w:pPr>
    </w:p>
    <w:p w14:paraId="25843671" w14:textId="77777777" w:rsidR="00C241DC" w:rsidRDefault="00C241DC" w:rsidP="00A83E4C">
      <w:pPr>
        <w:ind w:firstLine="720"/>
        <w:rPr>
          <w:rFonts w:ascii="Trebuchet MS" w:hAnsi="Trebuchet MS"/>
        </w:rPr>
      </w:pPr>
    </w:p>
    <w:p w14:paraId="3A6015E2" w14:textId="77777777" w:rsidR="00C241DC" w:rsidRDefault="00C241DC" w:rsidP="00A83E4C">
      <w:pPr>
        <w:ind w:firstLine="720"/>
        <w:rPr>
          <w:rFonts w:ascii="Trebuchet MS" w:hAnsi="Trebuchet MS"/>
        </w:rPr>
      </w:pPr>
    </w:p>
    <w:p w14:paraId="570ECC35" w14:textId="77777777" w:rsidR="00C241DC" w:rsidRDefault="00C241DC" w:rsidP="00A83E4C">
      <w:pPr>
        <w:ind w:firstLine="720"/>
        <w:rPr>
          <w:rFonts w:ascii="Trebuchet MS" w:hAnsi="Trebuchet MS"/>
        </w:rPr>
      </w:pPr>
    </w:p>
    <w:p w14:paraId="5C0FC01E" w14:textId="77777777" w:rsidR="00EC02EB" w:rsidRDefault="00EC02EB" w:rsidP="00A83E4C">
      <w:pPr>
        <w:ind w:firstLine="720"/>
        <w:rPr>
          <w:rFonts w:ascii="Trebuchet MS" w:hAnsi="Trebuchet MS"/>
        </w:rPr>
      </w:pPr>
    </w:p>
    <w:p w14:paraId="2DCBEF03" w14:textId="77777777" w:rsidR="00EC02EB" w:rsidRDefault="00EC02EB" w:rsidP="00A83E4C">
      <w:pPr>
        <w:ind w:firstLine="720"/>
        <w:rPr>
          <w:rFonts w:ascii="Trebuchet MS" w:hAnsi="Trebuchet MS"/>
        </w:rPr>
      </w:pPr>
    </w:p>
    <w:p w14:paraId="3D6EA42D" w14:textId="77777777" w:rsidR="00EC02EB" w:rsidRDefault="00EC02EB" w:rsidP="00A83E4C">
      <w:pPr>
        <w:ind w:firstLine="720"/>
        <w:rPr>
          <w:rFonts w:ascii="Trebuchet MS" w:hAnsi="Trebuchet MS"/>
        </w:rPr>
      </w:pPr>
    </w:p>
    <w:p w14:paraId="21BA9358" w14:textId="77777777" w:rsidR="00EC02EB" w:rsidRDefault="00EC02EB" w:rsidP="00A83E4C">
      <w:pPr>
        <w:ind w:firstLine="720"/>
        <w:rPr>
          <w:rFonts w:ascii="Trebuchet MS" w:hAnsi="Trebuchet MS"/>
        </w:rPr>
      </w:pPr>
    </w:p>
    <w:sectPr w:rsidR="00EC02EB" w:rsidSect="00D94C85">
      <w:headerReference w:type="default" r:id="rId14"/>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C5BAA" w14:textId="77777777" w:rsidR="00F02337" w:rsidRDefault="00F02337">
      <w:r>
        <w:separator/>
      </w:r>
    </w:p>
    <w:p w14:paraId="6FB53F3A" w14:textId="77777777" w:rsidR="00F02337" w:rsidRDefault="00F02337"/>
  </w:endnote>
  <w:endnote w:type="continuationSeparator" w:id="0">
    <w:p w14:paraId="305DAFC3" w14:textId="77777777" w:rsidR="00F02337" w:rsidRDefault="00F02337">
      <w:r>
        <w:continuationSeparator/>
      </w:r>
    </w:p>
    <w:p w14:paraId="152C90A1" w14:textId="77777777" w:rsidR="00F02337" w:rsidRDefault="00F02337"/>
  </w:endnote>
  <w:endnote w:type="continuationNotice" w:id="1">
    <w:p w14:paraId="63BBDD36" w14:textId="77777777" w:rsidR="00F02337" w:rsidRDefault="00F02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F813A" w14:textId="77777777" w:rsidR="00F02337" w:rsidRDefault="00F02337">
      <w:r>
        <w:separator/>
      </w:r>
    </w:p>
    <w:p w14:paraId="5C2D5ADF" w14:textId="77777777" w:rsidR="00F02337" w:rsidRDefault="00F02337"/>
  </w:footnote>
  <w:footnote w:type="continuationSeparator" w:id="0">
    <w:p w14:paraId="5B2D2ED7" w14:textId="77777777" w:rsidR="00F02337" w:rsidRDefault="00F02337">
      <w:r>
        <w:continuationSeparator/>
      </w:r>
    </w:p>
    <w:p w14:paraId="6F6AC7DE" w14:textId="77777777" w:rsidR="00F02337" w:rsidRDefault="00F02337"/>
  </w:footnote>
  <w:footnote w:type="continuationNotice" w:id="1">
    <w:p w14:paraId="1F90CA11" w14:textId="77777777" w:rsidR="00F02337" w:rsidRDefault="00F023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125DFC3B" w:rsidR="00BA11F0" w:rsidRDefault="00A76ACA">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60288" behindDoc="1" locked="0" layoutInCell="1" allowOverlap="1" wp14:anchorId="18BE4884" wp14:editId="6882D879">
              <wp:simplePos x="0" y="0"/>
              <wp:positionH relativeFrom="margin">
                <wp:align>right</wp:align>
              </wp:positionH>
              <wp:positionV relativeFrom="page">
                <wp:posOffset>273050</wp:posOffset>
              </wp:positionV>
              <wp:extent cx="1673225" cy="182245"/>
              <wp:effectExtent l="0" t="0" r="3175" b="8255"/>
              <wp:wrapNone/>
              <wp:docPr id="782719597" name="Text Box 782719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C33F" w14:textId="77777777" w:rsidR="006D4ABE" w:rsidRPr="00ED457F" w:rsidRDefault="006D4ABE" w:rsidP="006D4ABE">
                          <w:pPr>
                            <w:pStyle w:val="BodyText"/>
                            <w:spacing w:before="13"/>
                            <w:ind w:left="20"/>
                            <w:jc w:val="right"/>
                            <w:rPr>
                              <w:rFonts w:ascii="Trebuchet MS" w:hAnsi="Trebuchet MS"/>
                              <w:color w:val="004146"/>
                            </w:rPr>
                          </w:pPr>
                          <w:r>
                            <w:rPr>
                              <w:rFonts w:ascii="Trebuchet MS" w:hAnsi="Trebuchet MS"/>
                              <w:color w:val="004146"/>
                            </w:rPr>
                            <w:t>5CO02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E4884" id="_x0000_t202" coordsize="21600,21600" o:spt="202" path="m,l,21600r21600,l21600,xe">
              <v:stroke joinstyle="miter"/>
              <v:path gradientshapeok="t" o:connecttype="rect"/>
            </v:shapetype>
            <v:shape id="Text Box 782719597" o:spid="_x0000_s1028" type="#_x0000_t202" style="position:absolute;margin-left:80.55pt;margin-top:21.5pt;width:131.75pt;height:14.3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" filled="f" stroked="f">
              <v:textbox inset="0,0,0,0">
                <w:txbxContent>
                  <w:p w14:paraId="4833C33F" w14:textId="77777777" w:rsidR="006D4ABE" w:rsidRPr="00ED457F" w:rsidRDefault="006D4ABE" w:rsidP="006D4ABE">
                    <w:pPr>
                      <w:pStyle w:val="BodyText"/>
                      <w:spacing w:before="13"/>
                      <w:ind w:left="20"/>
                      <w:jc w:val="right"/>
                      <w:rPr>
                        <w:rFonts w:ascii="Trebuchet MS" w:hAnsi="Trebuchet MS"/>
                        <w:color w:val="004146"/>
                      </w:rPr>
                    </w:pPr>
                    <w:r>
                      <w:rPr>
                        <w:rFonts w:ascii="Trebuchet MS" w:hAnsi="Trebuchet MS"/>
                        <w:color w:val="004146"/>
                      </w:rPr>
                      <w:t>5CO02</w:t>
                    </w:r>
                  </w:p>
                </w:txbxContent>
              </v:textbox>
              <w10:wrap anchorx="margin" anchory="page"/>
            </v:shape>
          </w:pict>
        </mc:Fallback>
      </mc:AlternateContent>
    </w:r>
    <w:r w:rsidR="006D4ABE">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70D19631">
              <wp:simplePos x="0" y="0"/>
              <wp:positionH relativeFrom="margin">
                <wp:align>left</wp:align>
              </wp:positionH>
              <wp:positionV relativeFrom="page">
                <wp:posOffset>263525</wp:posOffset>
              </wp:positionV>
              <wp:extent cx="1673225" cy="182245"/>
              <wp:effectExtent l="0" t="0" r="3175" b="82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2E3BAE88" w:rsidR="00BA11F0" w:rsidRPr="00ED457F" w:rsidRDefault="00E56E08" w:rsidP="00E56E08">
                          <w:pPr>
                            <w:pStyle w:val="BodyText"/>
                            <w:spacing w:before="13"/>
                            <w:rPr>
                              <w:rFonts w:ascii="Trebuchet MS" w:hAnsi="Trebuchet MS"/>
                              <w:color w:val="004146"/>
                            </w:rPr>
                          </w:pPr>
                          <w:r>
                            <w:rPr>
                              <w:rFonts w:ascii="Trebuchet MS" w:hAnsi="Trebuchet MS"/>
                              <w:color w:val="004146"/>
                            </w:rPr>
                            <w:t>Kelsea Peterson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FE52D" id="Text Box 4" o:spid="_x0000_s1029" type="#_x0000_t202" style="position:absolute;margin-left:0;margin-top:20.75pt;width:131.75pt;height:14.3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" filled="f" stroked="f">
              <v:textbox inset="0,0,0,0">
                <w:txbxContent>
                  <w:p w14:paraId="250C794B" w14:textId="2E3BAE88" w:rsidR="00BA11F0" w:rsidRPr="00ED457F" w:rsidRDefault="00E56E08" w:rsidP="00E56E08">
                    <w:pPr>
                      <w:pStyle w:val="BodyText"/>
                      <w:spacing w:before="13"/>
                      <w:rPr>
                        <w:rFonts w:ascii="Trebuchet MS" w:hAnsi="Trebuchet MS"/>
                        <w:color w:val="004146"/>
                      </w:rPr>
                    </w:pPr>
                    <w:r>
                      <w:rPr>
                        <w:rFonts w:ascii="Trebuchet MS" w:hAnsi="Trebuchet MS"/>
                        <w:color w:val="004146"/>
                      </w:rPr>
                      <w:t>Kelsea Peterson</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676CF7"/>
    <w:multiLevelType w:val="multilevel"/>
    <w:tmpl w:val="080E7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6"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9"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0"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6"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8"/>
  </w:num>
  <w:num w:numId="5" w16cid:durableId="559634343">
    <w:abstractNumId w:val="4"/>
  </w:num>
  <w:num w:numId="6" w16cid:durableId="1467702196">
    <w:abstractNumId w:val="15"/>
  </w:num>
  <w:num w:numId="7" w16cid:durableId="812908870">
    <w:abstractNumId w:val="29"/>
  </w:num>
  <w:num w:numId="8" w16cid:durableId="1868643287">
    <w:abstractNumId w:val="39"/>
  </w:num>
  <w:num w:numId="9" w16cid:durableId="1708598557">
    <w:abstractNumId w:val="12"/>
  </w:num>
  <w:num w:numId="10" w16cid:durableId="1565942951">
    <w:abstractNumId w:val="31"/>
  </w:num>
  <w:num w:numId="11" w16cid:durableId="1708529740">
    <w:abstractNumId w:val="9"/>
  </w:num>
  <w:num w:numId="12" w16cid:durableId="1595279419">
    <w:abstractNumId w:val="27"/>
  </w:num>
  <w:num w:numId="13" w16cid:durableId="477652578">
    <w:abstractNumId w:val="8"/>
  </w:num>
  <w:num w:numId="14" w16cid:durableId="637303193">
    <w:abstractNumId w:val="19"/>
  </w:num>
  <w:num w:numId="15" w16cid:durableId="951016538">
    <w:abstractNumId w:val="26"/>
  </w:num>
  <w:num w:numId="16" w16cid:durableId="2073576602">
    <w:abstractNumId w:val="13"/>
  </w:num>
  <w:num w:numId="17" w16cid:durableId="798492219">
    <w:abstractNumId w:val="25"/>
  </w:num>
  <w:num w:numId="18" w16cid:durableId="1908491024">
    <w:abstractNumId w:val="5"/>
  </w:num>
  <w:num w:numId="19" w16cid:durableId="1714304749">
    <w:abstractNumId w:val="2"/>
  </w:num>
  <w:num w:numId="20" w16cid:durableId="66803103">
    <w:abstractNumId w:val="16"/>
  </w:num>
  <w:num w:numId="21" w16cid:durableId="1670711244">
    <w:abstractNumId w:val="36"/>
  </w:num>
  <w:num w:numId="22" w16cid:durableId="1728991731">
    <w:abstractNumId w:val="21"/>
  </w:num>
  <w:num w:numId="23" w16cid:durableId="409428554">
    <w:abstractNumId w:val="22"/>
  </w:num>
  <w:num w:numId="24" w16cid:durableId="350451441">
    <w:abstractNumId w:val="7"/>
  </w:num>
  <w:num w:numId="25" w16cid:durableId="256063931">
    <w:abstractNumId w:val="37"/>
  </w:num>
  <w:num w:numId="26" w16cid:durableId="732118308">
    <w:abstractNumId w:val="38"/>
  </w:num>
  <w:num w:numId="27" w16cid:durableId="1959336966">
    <w:abstractNumId w:val="10"/>
  </w:num>
  <w:num w:numId="28" w16cid:durableId="866871333">
    <w:abstractNumId w:val="30"/>
  </w:num>
  <w:num w:numId="29" w16cid:durableId="1252156344">
    <w:abstractNumId w:val="34"/>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5"/>
  </w:num>
  <w:num w:numId="35" w16cid:durableId="1044255624">
    <w:abstractNumId w:val="32"/>
  </w:num>
  <w:num w:numId="36" w16cid:durableId="689995009">
    <w:abstractNumId w:val="33"/>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105240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078AE"/>
    <w:rsid w:val="00013C64"/>
    <w:rsid w:val="000140BE"/>
    <w:rsid w:val="0001584D"/>
    <w:rsid w:val="00016BFD"/>
    <w:rsid w:val="00017519"/>
    <w:rsid w:val="000178C0"/>
    <w:rsid w:val="000201A6"/>
    <w:rsid w:val="00020DDE"/>
    <w:rsid w:val="000235C9"/>
    <w:rsid w:val="00025D10"/>
    <w:rsid w:val="00026F30"/>
    <w:rsid w:val="000313BE"/>
    <w:rsid w:val="00032F5C"/>
    <w:rsid w:val="0003429C"/>
    <w:rsid w:val="00034354"/>
    <w:rsid w:val="000405EE"/>
    <w:rsid w:val="0004133D"/>
    <w:rsid w:val="000436CC"/>
    <w:rsid w:val="00045636"/>
    <w:rsid w:val="00045A4C"/>
    <w:rsid w:val="00051ABB"/>
    <w:rsid w:val="00052066"/>
    <w:rsid w:val="00052A2B"/>
    <w:rsid w:val="0005367F"/>
    <w:rsid w:val="000550DC"/>
    <w:rsid w:val="0005725B"/>
    <w:rsid w:val="0005770B"/>
    <w:rsid w:val="000612F9"/>
    <w:rsid w:val="00064F31"/>
    <w:rsid w:val="00067661"/>
    <w:rsid w:val="00070BD6"/>
    <w:rsid w:val="000737B9"/>
    <w:rsid w:val="00073DD0"/>
    <w:rsid w:val="0007561E"/>
    <w:rsid w:val="00076719"/>
    <w:rsid w:val="00076E1F"/>
    <w:rsid w:val="00080E87"/>
    <w:rsid w:val="00082349"/>
    <w:rsid w:val="00083462"/>
    <w:rsid w:val="00085EA6"/>
    <w:rsid w:val="00086C4A"/>
    <w:rsid w:val="000928AD"/>
    <w:rsid w:val="000935AE"/>
    <w:rsid w:val="00095FC9"/>
    <w:rsid w:val="000970ED"/>
    <w:rsid w:val="000972D2"/>
    <w:rsid w:val="00097FFC"/>
    <w:rsid w:val="000A0630"/>
    <w:rsid w:val="000A11F6"/>
    <w:rsid w:val="000A23B7"/>
    <w:rsid w:val="000A73DA"/>
    <w:rsid w:val="000A74DF"/>
    <w:rsid w:val="000B00BA"/>
    <w:rsid w:val="000B1ACD"/>
    <w:rsid w:val="000B22C0"/>
    <w:rsid w:val="000B36B5"/>
    <w:rsid w:val="000B3A3C"/>
    <w:rsid w:val="000B43DD"/>
    <w:rsid w:val="000B50EB"/>
    <w:rsid w:val="000C1810"/>
    <w:rsid w:val="000C1E60"/>
    <w:rsid w:val="000C3896"/>
    <w:rsid w:val="000C4ADB"/>
    <w:rsid w:val="000C4FCC"/>
    <w:rsid w:val="000C76B8"/>
    <w:rsid w:val="000C7A75"/>
    <w:rsid w:val="000D1CDC"/>
    <w:rsid w:val="000D2DA8"/>
    <w:rsid w:val="000D3D54"/>
    <w:rsid w:val="000D533E"/>
    <w:rsid w:val="000D5CD7"/>
    <w:rsid w:val="000E04C0"/>
    <w:rsid w:val="000E122B"/>
    <w:rsid w:val="000E286F"/>
    <w:rsid w:val="000E47A4"/>
    <w:rsid w:val="000E4B0F"/>
    <w:rsid w:val="000E6244"/>
    <w:rsid w:val="000E701D"/>
    <w:rsid w:val="000F028C"/>
    <w:rsid w:val="000F2EDB"/>
    <w:rsid w:val="000F6FD7"/>
    <w:rsid w:val="000F722A"/>
    <w:rsid w:val="00101A68"/>
    <w:rsid w:val="001029F3"/>
    <w:rsid w:val="00105C98"/>
    <w:rsid w:val="001105D3"/>
    <w:rsid w:val="00115528"/>
    <w:rsid w:val="00120225"/>
    <w:rsid w:val="001217A3"/>
    <w:rsid w:val="00124F03"/>
    <w:rsid w:val="00130BBA"/>
    <w:rsid w:val="00131675"/>
    <w:rsid w:val="00131FE0"/>
    <w:rsid w:val="001333F0"/>
    <w:rsid w:val="00133C4B"/>
    <w:rsid w:val="00136BC2"/>
    <w:rsid w:val="00137678"/>
    <w:rsid w:val="00137785"/>
    <w:rsid w:val="00137A98"/>
    <w:rsid w:val="00140617"/>
    <w:rsid w:val="001417E8"/>
    <w:rsid w:val="00142E30"/>
    <w:rsid w:val="00143814"/>
    <w:rsid w:val="00144646"/>
    <w:rsid w:val="00144890"/>
    <w:rsid w:val="00144DD4"/>
    <w:rsid w:val="0014638B"/>
    <w:rsid w:val="001469FF"/>
    <w:rsid w:val="00146DB8"/>
    <w:rsid w:val="00150911"/>
    <w:rsid w:val="0015100F"/>
    <w:rsid w:val="0015453C"/>
    <w:rsid w:val="0016041C"/>
    <w:rsid w:val="00164C87"/>
    <w:rsid w:val="00166815"/>
    <w:rsid w:val="001668F3"/>
    <w:rsid w:val="001717F4"/>
    <w:rsid w:val="00171A61"/>
    <w:rsid w:val="001730D1"/>
    <w:rsid w:val="00175FE9"/>
    <w:rsid w:val="00176242"/>
    <w:rsid w:val="001762C4"/>
    <w:rsid w:val="00177C61"/>
    <w:rsid w:val="00182875"/>
    <w:rsid w:val="00182A5A"/>
    <w:rsid w:val="001832DF"/>
    <w:rsid w:val="00184C08"/>
    <w:rsid w:val="00191CBE"/>
    <w:rsid w:val="0019242F"/>
    <w:rsid w:val="00193D74"/>
    <w:rsid w:val="00194990"/>
    <w:rsid w:val="001951D3"/>
    <w:rsid w:val="00195400"/>
    <w:rsid w:val="00195B34"/>
    <w:rsid w:val="00197CD6"/>
    <w:rsid w:val="001A2E76"/>
    <w:rsid w:val="001A3904"/>
    <w:rsid w:val="001A7C58"/>
    <w:rsid w:val="001A7E16"/>
    <w:rsid w:val="001B010E"/>
    <w:rsid w:val="001B122E"/>
    <w:rsid w:val="001B1507"/>
    <w:rsid w:val="001B1BD8"/>
    <w:rsid w:val="001B235F"/>
    <w:rsid w:val="001B3C46"/>
    <w:rsid w:val="001B4493"/>
    <w:rsid w:val="001B6EE8"/>
    <w:rsid w:val="001C092A"/>
    <w:rsid w:val="001C0BD9"/>
    <w:rsid w:val="001C2695"/>
    <w:rsid w:val="001C2C4B"/>
    <w:rsid w:val="001C3D0B"/>
    <w:rsid w:val="001C44C0"/>
    <w:rsid w:val="001C4E0B"/>
    <w:rsid w:val="001C5474"/>
    <w:rsid w:val="001C6449"/>
    <w:rsid w:val="001C70B9"/>
    <w:rsid w:val="001C75C0"/>
    <w:rsid w:val="001C7D55"/>
    <w:rsid w:val="001D268E"/>
    <w:rsid w:val="001D3760"/>
    <w:rsid w:val="001D6043"/>
    <w:rsid w:val="001E0968"/>
    <w:rsid w:val="001E0E63"/>
    <w:rsid w:val="001F061E"/>
    <w:rsid w:val="001F1D84"/>
    <w:rsid w:val="001F3321"/>
    <w:rsid w:val="001F3EF5"/>
    <w:rsid w:val="001F53FC"/>
    <w:rsid w:val="00200805"/>
    <w:rsid w:val="00200A9B"/>
    <w:rsid w:val="00201892"/>
    <w:rsid w:val="00203C0F"/>
    <w:rsid w:val="00204199"/>
    <w:rsid w:val="002046CA"/>
    <w:rsid w:val="00204975"/>
    <w:rsid w:val="002127E6"/>
    <w:rsid w:val="00215934"/>
    <w:rsid w:val="0021621B"/>
    <w:rsid w:val="00220ACE"/>
    <w:rsid w:val="0022240F"/>
    <w:rsid w:val="00224200"/>
    <w:rsid w:val="0022524D"/>
    <w:rsid w:val="0022647E"/>
    <w:rsid w:val="00231869"/>
    <w:rsid w:val="00233196"/>
    <w:rsid w:val="00233894"/>
    <w:rsid w:val="00233F92"/>
    <w:rsid w:val="00234140"/>
    <w:rsid w:val="00235D9C"/>
    <w:rsid w:val="00237143"/>
    <w:rsid w:val="002409E7"/>
    <w:rsid w:val="00240C8B"/>
    <w:rsid w:val="00241B81"/>
    <w:rsid w:val="00242220"/>
    <w:rsid w:val="00242537"/>
    <w:rsid w:val="00244B65"/>
    <w:rsid w:val="00245092"/>
    <w:rsid w:val="00245519"/>
    <w:rsid w:val="00246766"/>
    <w:rsid w:val="00246814"/>
    <w:rsid w:val="002508D2"/>
    <w:rsid w:val="00251C7B"/>
    <w:rsid w:val="00251EAB"/>
    <w:rsid w:val="00253103"/>
    <w:rsid w:val="002540EB"/>
    <w:rsid w:val="0025680A"/>
    <w:rsid w:val="00257D0C"/>
    <w:rsid w:val="00262727"/>
    <w:rsid w:val="002644FF"/>
    <w:rsid w:val="00264885"/>
    <w:rsid w:val="00264C00"/>
    <w:rsid w:val="002651EB"/>
    <w:rsid w:val="00265CF6"/>
    <w:rsid w:val="00267510"/>
    <w:rsid w:val="00267C1D"/>
    <w:rsid w:val="00271770"/>
    <w:rsid w:val="00273565"/>
    <w:rsid w:val="0028034B"/>
    <w:rsid w:val="00284C48"/>
    <w:rsid w:val="00286E75"/>
    <w:rsid w:val="00292831"/>
    <w:rsid w:val="0029307E"/>
    <w:rsid w:val="002965C8"/>
    <w:rsid w:val="002A21E9"/>
    <w:rsid w:val="002A2983"/>
    <w:rsid w:val="002A2A18"/>
    <w:rsid w:val="002A3D62"/>
    <w:rsid w:val="002A5A8F"/>
    <w:rsid w:val="002A7443"/>
    <w:rsid w:val="002A7BA5"/>
    <w:rsid w:val="002B0056"/>
    <w:rsid w:val="002B14DA"/>
    <w:rsid w:val="002B1685"/>
    <w:rsid w:val="002B4DD1"/>
    <w:rsid w:val="002B5A8D"/>
    <w:rsid w:val="002B5C53"/>
    <w:rsid w:val="002C09A7"/>
    <w:rsid w:val="002C458F"/>
    <w:rsid w:val="002C511A"/>
    <w:rsid w:val="002C623D"/>
    <w:rsid w:val="002D1059"/>
    <w:rsid w:val="002D1A3C"/>
    <w:rsid w:val="002D5571"/>
    <w:rsid w:val="002D6558"/>
    <w:rsid w:val="002E0390"/>
    <w:rsid w:val="002E0527"/>
    <w:rsid w:val="002E217A"/>
    <w:rsid w:val="002E2347"/>
    <w:rsid w:val="002E47E5"/>
    <w:rsid w:val="002E4F83"/>
    <w:rsid w:val="002E6318"/>
    <w:rsid w:val="002E6374"/>
    <w:rsid w:val="002E74A2"/>
    <w:rsid w:val="002E76E5"/>
    <w:rsid w:val="002F3654"/>
    <w:rsid w:val="002F3D57"/>
    <w:rsid w:val="002F62A5"/>
    <w:rsid w:val="002F71E9"/>
    <w:rsid w:val="002F7C56"/>
    <w:rsid w:val="003009EA"/>
    <w:rsid w:val="003010B8"/>
    <w:rsid w:val="00302068"/>
    <w:rsid w:val="00302D7C"/>
    <w:rsid w:val="00302E90"/>
    <w:rsid w:val="00303167"/>
    <w:rsid w:val="003042B2"/>
    <w:rsid w:val="00304FA9"/>
    <w:rsid w:val="00306B8C"/>
    <w:rsid w:val="003075AF"/>
    <w:rsid w:val="00307EB2"/>
    <w:rsid w:val="00312130"/>
    <w:rsid w:val="003138A7"/>
    <w:rsid w:val="00313965"/>
    <w:rsid w:val="0031599E"/>
    <w:rsid w:val="00315A36"/>
    <w:rsid w:val="0032001E"/>
    <w:rsid w:val="003200DA"/>
    <w:rsid w:val="00320E27"/>
    <w:rsid w:val="0032118A"/>
    <w:rsid w:val="00321AD6"/>
    <w:rsid w:val="0032333A"/>
    <w:rsid w:val="003244DB"/>
    <w:rsid w:val="0032734F"/>
    <w:rsid w:val="003316C8"/>
    <w:rsid w:val="003339A4"/>
    <w:rsid w:val="0033455C"/>
    <w:rsid w:val="003376F1"/>
    <w:rsid w:val="003378AA"/>
    <w:rsid w:val="003379C6"/>
    <w:rsid w:val="0034095C"/>
    <w:rsid w:val="0034116F"/>
    <w:rsid w:val="00341692"/>
    <w:rsid w:val="00341946"/>
    <w:rsid w:val="00341ADD"/>
    <w:rsid w:val="00342485"/>
    <w:rsid w:val="0034513B"/>
    <w:rsid w:val="003509E3"/>
    <w:rsid w:val="0035223E"/>
    <w:rsid w:val="00352E8C"/>
    <w:rsid w:val="00353E47"/>
    <w:rsid w:val="003544E2"/>
    <w:rsid w:val="00354656"/>
    <w:rsid w:val="00357A3C"/>
    <w:rsid w:val="003609BD"/>
    <w:rsid w:val="0036110E"/>
    <w:rsid w:val="00363717"/>
    <w:rsid w:val="00364313"/>
    <w:rsid w:val="00364998"/>
    <w:rsid w:val="00364B58"/>
    <w:rsid w:val="00365029"/>
    <w:rsid w:val="003657EA"/>
    <w:rsid w:val="003657F5"/>
    <w:rsid w:val="00366224"/>
    <w:rsid w:val="00367748"/>
    <w:rsid w:val="00367D7E"/>
    <w:rsid w:val="00367EF5"/>
    <w:rsid w:val="003715DC"/>
    <w:rsid w:val="00372898"/>
    <w:rsid w:val="00372F4D"/>
    <w:rsid w:val="00373017"/>
    <w:rsid w:val="00373905"/>
    <w:rsid w:val="003739BE"/>
    <w:rsid w:val="003745D7"/>
    <w:rsid w:val="00376F72"/>
    <w:rsid w:val="003800B7"/>
    <w:rsid w:val="003825F8"/>
    <w:rsid w:val="00382952"/>
    <w:rsid w:val="00382CA5"/>
    <w:rsid w:val="00384388"/>
    <w:rsid w:val="00384481"/>
    <w:rsid w:val="003854DC"/>
    <w:rsid w:val="003858EB"/>
    <w:rsid w:val="0038735D"/>
    <w:rsid w:val="0038796D"/>
    <w:rsid w:val="003905CC"/>
    <w:rsid w:val="00391026"/>
    <w:rsid w:val="00392513"/>
    <w:rsid w:val="00393E69"/>
    <w:rsid w:val="003A3A5A"/>
    <w:rsid w:val="003A4119"/>
    <w:rsid w:val="003A725E"/>
    <w:rsid w:val="003B0F23"/>
    <w:rsid w:val="003B1F4E"/>
    <w:rsid w:val="003B2409"/>
    <w:rsid w:val="003B24E3"/>
    <w:rsid w:val="003B42EF"/>
    <w:rsid w:val="003B5346"/>
    <w:rsid w:val="003C0BE3"/>
    <w:rsid w:val="003C1399"/>
    <w:rsid w:val="003C1B49"/>
    <w:rsid w:val="003C4A07"/>
    <w:rsid w:val="003C63D4"/>
    <w:rsid w:val="003C6D62"/>
    <w:rsid w:val="003C792A"/>
    <w:rsid w:val="003C7D2D"/>
    <w:rsid w:val="003D0F80"/>
    <w:rsid w:val="003D19D2"/>
    <w:rsid w:val="003D1CCF"/>
    <w:rsid w:val="003D322C"/>
    <w:rsid w:val="003D46EA"/>
    <w:rsid w:val="003D753A"/>
    <w:rsid w:val="003D77F3"/>
    <w:rsid w:val="003E26B2"/>
    <w:rsid w:val="003E4DB8"/>
    <w:rsid w:val="003F0809"/>
    <w:rsid w:val="003F0C58"/>
    <w:rsid w:val="003F2BE0"/>
    <w:rsid w:val="003F595B"/>
    <w:rsid w:val="003F7306"/>
    <w:rsid w:val="00400F46"/>
    <w:rsid w:val="0040406A"/>
    <w:rsid w:val="004044DB"/>
    <w:rsid w:val="00404F9A"/>
    <w:rsid w:val="004053B5"/>
    <w:rsid w:val="00405D73"/>
    <w:rsid w:val="00406FE1"/>
    <w:rsid w:val="00407F28"/>
    <w:rsid w:val="00410FB0"/>
    <w:rsid w:val="0041131D"/>
    <w:rsid w:val="004114E7"/>
    <w:rsid w:val="00411F49"/>
    <w:rsid w:val="00413975"/>
    <w:rsid w:val="0041410C"/>
    <w:rsid w:val="004157AA"/>
    <w:rsid w:val="004168F6"/>
    <w:rsid w:val="00417340"/>
    <w:rsid w:val="00420AC6"/>
    <w:rsid w:val="004212A5"/>
    <w:rsid w:val="00421B55"/>
    <w:rsid w:val="00425073"/>
    <w:rsid w:val="00431251"/>
    <w:rsid w:val="004320A3"/>
    <w:rsid w:val="0043215A"/>
    <w:rsid w:val="00434F38"/>
    <w:rsid w:val="00435D73"/>
    <w:rsid w:val="00437191"/>
    <w:rsid w:val="004440B8"/>
    <w:rsid w:val="00445160"/>
    <w:rsid w:val="00445591"/>
    <w:rsid w:val="00446C2E"/>
    <w:rsid w:val="0044753E"/>
    <w:rsid w:val="0045114D"/>
    <w:rsid w:val="00451B88"/>
    <w:rsid w:val="00451E7A"/>
    <w:rsid w:val="00453D34"/>
    <w:rsid w:val="004548E7"/>
    <w:rsid w:val="00454B86"/>
    <w:rsid w:val="00456ABF"/>
    <w:rsid w:val="00457761"/>
    <w:rsid w:val="00457FEE"/>
    <w:rsid w:val="00461291"/>
    <w:rsid w:val="00461DAA"/>
    <w:rsid w:val="004625A5"/>
    <w:rsid w:val="00462D21"/>
    <w:rsid w:val="004737D0"/>
    <w:rsid w:val="00475485"/>
    <w:rsid w:val="00477108"/>
    <w:rsid w:val="00477593"/>
    <w:rsid w:val="00482870"/>
    <w:rsid w:val="00483130"/>
    <w:rsid w:val="00483C10"/>
    <w:rsid w:val="004862D1"/>
    <w:rsid w:val="0048673F"/>
    <w:rsid w:val="00486A2A"/>
    <w:rsid w:val="00487615"/>
    <w:rsid w:val="00487683"/>
    <w:rsid w:val="00490727"/>
    <w:rsid w:val="00491063"/>
    <w:rsid w:val="004935DA"/>
    <w:rsid w:val="00493A4D"/>
    <w:rsid w:val="00494E01"/>
    <w:rsid w:val="00495779"/>
    <w:rsid w:val="004974B2"/>
    <w:rsid w:val="00497AFC"/>
    <w:rsid w:val="004A3055"/>
    <w:rsid w:val="004A4B8B"/>
    <w:rsid w:val="004A6C09"/>
    <w:rsid w:val="004A72DB"/>
    <w:rsid w:val="004B46AD"/>
    <w:rsid w:val="004B5953"/>
    <w:rsid w:val="004B62F9"/>
    <w:rsid w:val="004B63FF"/>
    <w:rsid w:val="004B6E88"/>
    <w:rsid w:val="004C195C"/>
    <w:rsid w:val="004C1F6E"/>
    <w:rsid w:val="004C2F6D"/>
    <w:rsid w:val="004C3058"/>
    <w:rsid w:val="004C4E6F"/>
    <w:rsid w:val="004C5F67"/>
    <w:rsid w:val="004C6DE4"/>
    <w:rsid w:val="004C6ECF"/>
    <w:rsid w:val="004D0DCE"/>
    <w:rsid w:val="004D1E8C"/>
    <w:rsid w:val="004D21D5"/>
    <w:rsid w:val="004D2295"/>
    <w:rsid w:val="004D6ABB"/>
    <w:rsid w:val="004D6C92"/>
    <w:rsid w:val="004E2A86"/>
    <w:rsid w:val="004E33FA"/>
    <w:rsid w:val="004E3B56"/>
    <w:rsid w:val="004E4688"/>
    <w:rsid w:val="004E79C9"/>
    <w:rsid w:val="004F0AB5"/>
    <w:rsid w:val="004F1F02"/>
    <w:rsid w:val="004F548A"/>
    <w:rsid w:val="004F6E96"/>
    <w:rsid w:val="0050050F"/>
    <w:rsid w:val="00500A88"/>
    <w:rsid w:val="00500BF1"/>
    <w:rsid w:val="00502276"/>
    <w:rsid w:val="005025D2"/>
    <w:rsid w:val="005026F4"/>
    <w:rsid w:val="00503292"/>
    <w:rsid w:val="005119A3"/>
    <w:rsid w:val="00513BC8"/>
    <w:rsid w:val="0051580F"/>
    <w:rsid w:val="00515EE1"/>
    <w:rsid w:val="0051689B"/>
    <w:rsid w:val="005246C8"/>
    <w:rsid w:val="0052552E"/>
    <w:rsid w:val="005262F7"/>
    <w:rsid w:val="005270AC"/>
    <w:rsid w:val="005276FD"/>
    <w:rsid w:val="00530247"/>
    <w:rsid w:val="00536770"/>
    <w:rsid w:val="00536BE2"/>
    <w:rsid w:val="005405CB"/>
    <w:rsid w:val="005440EC"/>
    <w:rsid w:val="00545158"/>
    <w:rsid w:val="00550C8E"/>
    <w:rsid w:val="00554E10"/>
    <w:rsid w:val="005557D7"/>
    <w:rsid w:val="005561AB"/>
    <w:rsid w:val="00557FEE"/>
    <w:rsid w:val="005644C6"/>
    <w:rsid w:val="005659F8"/>
    <w:rsid w:val="00565F99"/>
    <w:rsid w:val="005673AF"/>
    <w:rsid w:val="0057088D"/>
    <w:rsid w:val="005732A4"/>
    <w:rsid w:val="00573B63"/>
    <w:rsid w:val="00573B9F"/>
    <w:rsid w:val="00574326"/>
    <w:rsid w:val="0057459C"/>
    <w:rsid w:val="005754FE"/>
    <w:rsid w:val="005765B2"/>
    <w:rsid w:val="00576C0B"/>
    <w:rsid w:val="0058139E"/>
    <w:rsid w:val="00582A97"/>
    <w:rsid w:val="00583C77"/>
    <w:rsid w:val="00584DEE"/>
    <w:rsid w:val="0058508D"/>
    <w:rsid w:val="0058565A"/>
    <w:rsid w:val="00585B3F"/>
    <w:rsid w:val="005903E3"/>
    <w:rsid w:val="00591B82"/>
    <w:rsid w:val="00592161"/>
    <w:rsid w:val="00593050"/>
    <w:rsid w:val="00593C7D"/>
    <w:rsid w:val="00594E71"/>
    <w:rsid w:val="005962A4"/>
    <w:rsid w:val="00596A8E"/>
    <w:rsid w:val="005A0F84"/>
    <w:rsid w:val="005A2A20"/>
    <w:rsid w:val="005A2E47"/>
    <w:rsid w:val="005A3032"/>
    <w:rsid w:val="005A4076"/>
    <w:rsid w:val="005A48F6"/>
    <w:rsid w:val="005B05BA"/>
    <w:rsid w:val="005B2700"/>
    <w:rsid w:val="005B4B0E"/>
    <w:rsid w:val="005B4F4A"/>
    <w:rsid w:val="005B5FAE"/>
    <w:rsid w:val="005B7431"/>
    <w:rsid w:val="005B7949"/>
    <w:rsid w:val="005C04FB"/>
    <w:rsid w:val="005C1D55"/>
    <w:rsid w:val="005C4995"/>
    <w:rsid w:val="005C63E4"/>
    <w:rsid w:val="005C67B1"/>
    <w:rsid w:val="005C78DA"/>
    <w:rsid w:val="005D19C2"/>
    <w:rsid w:val="005D3A37"/>
    <w:rsid w:val="005D3E4B"/>
    <w:rsid w:val="005D56B3"/>
    <w:rsid w:val="005D7CD5"/>
    <w:rsid w:val="005E2732"/>
    <w:rsid w:val="005E29EE"/>
    <w:rsid w:val="005E3425"/>
    <w:rsid w:val="005E4837"/>
    <w:rsid w:val="005E6CC9"/>
    <w:rsid w:val="005F0B65"/>
    <w:rsid w:val="005F1F8A"/>
    <w:rsid w:val="005F33CB"/>
    <w:rsid w:val="005F41BD"/>
    <w:rsid w:val="005F48C3"/>
    <w:rsid w:val="005F7D38"/>
    <w:rsid w:val="00600313"/>
    <w:rsid w:val="00600642"/>
    <w:rsid w:val="00601537"/>
    <w:rsid w:val="00602924"/>
    <w:rsid w:val="006034FD"/>
    <w:rsid w:val="006048DE"/>
    <w:rsid w:val="00605BA7"/>
    <w:rsid w:val="006061C3"/>
    <w:rsid w:val="006071D6"/>
    <w:rsid w:val="00610416"/>
    <w:rsid w:val="00610D4C"/>
    <w:rsid w:val="00611D35"/>
    <w:rsid w:val="00612E3B"/>
    <w:rsid w:val="00613996"/>
    <w:rsid w:val="00617EBB"/>
    <w:rsid w:val="006212E3"/>
    <w:rsid w:val="00621A4F"/>
    <w:rsid w:val="00621AB5"/>
    <w:rsid w:val="00621F23"/>
    <w:rsid w:val="006226C6"/>
    <w:rsid w:val="00623B69"/>
    <w:rsid w:val="00623DED"/>
    <w:rsid w:val="00624852"/>
    <w:rsid w:val="00625544"/>
    <w:rsid w:val="00625E08"/>
    <w:rsid w:val="006264B4"/>
    <w:rsid w:val="00627496"/>
    <w:rsid w:val="00630591"/>
    <w:rsid w:val="00631AA4"/>
    <w:rsid w:val="00631B3C"/>
    <w:rsid w:val="00631FD0"/>
    <w:rsid w:val="00632967"/>
    <w:rsid w:val="00632992"/>
    <w:rsid w:val="006329C7"/>
    <w:rsid w:val="00634201"/>
    <w:rsid w:val="00634BD2"/>
    <w:rsid w:val="00636A35"/>
    <w:rsid w:val="006407E1"/>
    <w:rsid w:val="0064381A"/>
    <w:rsid w:val="006438AE"/>
    <w:rsid w:val="00644FDC"/>
    <w:rsid w:val="0064608C"/>
    <w:rsid w:val="0065278B"/>
    <w:rsid w:val="00653498"/>
    <w:rsid w:val="00654557"/>
    <w:rsid w:val="0065474D"/>
    <w:rsid w:val="00654E52"/>
    <w:rsid w:val="006601CC"/>
    <w:rsid w:val="0066040D"/>
    <w:rsid w:val="006632EA"/>
    <w:rsid w:val="00664B50"/>
    <w:rsid w:val="00666D7D"/>
    <w:rsid w:val="00666FE3"/>
    <w:rsid w:val="006709FC"/>
    <w:rsid w:val="00674206"/>
    <w:rsid w:val="00674BF1"/>
    <w:rsid w:val="00675C64"/>
    <w:rsid w:val="00676012"/>
    <w:rsid w:val="0067677A"/>
    <w:rsid w:val="00676EF3"/>
    <w:rsid w:val="0067799D"/>
    <w:rsid w:val="00680506"/>
    <w:rsid w:val="006809B7"/>
    <w:rsid w:val="00680D34"/>
    <w:rsid w:val="006814A2"/>
    <w:rsid w:val="00684B44"/>
    <w:rsid w:val="0068510E"/>
    <w:rsid w:val="0069424A"/>
    <w:rsid w:val="006A1A6B"/>
    <w:rsid w:val="006A1C44"/>
    <w:rsid w:val="006A58C8"/>
    <w:rsid w:val="006A59FA"/>
    <w:rsid w:val="006A6051"/>
    <w:rsid w:val="006A715F"/>
    <w:rsid w:val="006B00C7"/>
    <w:rsid w:val="006B0EA9"/>
    <w:rsid w:val="006B1ACF"/>
    <w:rsid w:val="006B2AFB"/>
    <w:rsid w:val="006B3E6D"/>
    <w:rsid w:val="006B6D16"/>
    <w:rsid w:val="006C063D"/>
    <w:rsid w:val="006C13D9"/>
    <w:rsid w:val="006C36CD"/>
    <w:rsid w:val="006C484D"/>
    <w:rsid w:val="006C516D"/>
    <w:rsid w:val="006C5F38"/>
    <w:rsid w:val="006C6B93"/>
    <w:rsid w:val="006D0D53"/>
    <w:rsid w:val="006D197F"/>
    <w:rsid w:val="006D3AAB"/>
    <w:rsid w:val="006D414C"/>
    <w:rsid w:val="006D469F"/>
    <w:rsid w:val="006D4ABE"/>
    <w:rsid w:val="006D535D"/>
    <w:rsid w:val="006D5AD0"/>
    <w:rsid w:val="006D7BA0"/>
    <w:rsid w:val="006E1349"/>
    <w:rsid w:val="006E449A"/>
    <w:rsid w:val="006E5799"/>
    <w:rsid w:val="006F1196"/>
    <w:rsid w:val="006F134B"/>
    <w:rsid w:val="006F251A"/>
    <w:rsid w:val="006F2762"/>
    <w:rsid w:val="006F3492"/>
    <w:rsid w:val="006F3870"/>
    <w:rsid w:val="006F4101"/>
    <w:rsid w:val="006F52A1"/>
    <w:rsid w:val="006F5A41"/>
    <w:rsid w:val="006F6053"/>
    <w:rsid w:val="00701DAA"/>
    <w:rsid w:val="00701E23"/>
    <w:rsid w:val="00703134"/>
    <w:rsid w:val="00703BC2"/>
    <w:rsid w:val="00704A07"/>
    <w:rsid w:val="00705343"/>
    <w:rsid w:val="007054D2"/>
    <w:rsid w:val="00705A06"/>
    <w:rsid w:val="00710040"/>
    <w:rsid w:val="00712F29"/>
    <w:rsid w:val="00716038"/>
    <w:rsid w:val="00716B85"/>
    <w:rsid w:val="00716B9E"/>
    <w:rsid w:val="00717B15"/>
    <w:rsid w:val="00717F4C"/>
    <w:rsid w:val="00717FF2"/>
    <w:rsid w:val="00720A19"/>
    <w:rsid w:val="00721382"/>
    <w:rsid w:val="00723DF9"/>
    <w:rsid w:val="0072402F"/>
    <w:rsid w:val="0072619F"/>
    <w:rsid w:val="007266B4"/>
    <w:rsid w:val="00726B1C"/>
    <w:rsid w:val="0073046A"/>
    <w:rsid w:val="00732C6E"/>
    <w:rsid w:val="00735BDA"/>
    <w:rsid w:val="00735EAD"/>
    <w:rsid w:val="00744480"/>
    <w:rsid w:val="007447AE"/>
    <w:rsid w:val="00745757"/>
    <w:rsid w:val="00746D58"/>
    <w:rsid w:val="007506E5"/>
    <w:rsid w:val="00750D7A"/>
    <w:rsid w:val="007534C5"/>
    <w:rsid w:val="007538D7"/>
    <w:rsid w:val="0075395D"/>
    <w:rsid w:val="00753F59"/>
    <w:rsid w:val="0075512D"/>
    <w:rsid w:val="00756C41"/>
    <w:rsid w:val="00760C19"/>
    <w:rsid w:val="007610EA"/>
    <w:rsid w:val="00762BF7"/>
    <w:rsid w:val="00763B94"/>
    <w:rsid w:val="00764107"/>
    <w:rsid w:val="007641BA"/>
    <w:rsid w:val="00764B95"/>
    <w:rsid w:val="00766C92"/>
    <w:rsid w:val="0076751D"/>
    <w:rsid w:val="00772D83"/>
    <w:rsid w:val="00773B44"/>
    <w:rsid w:val="00773B8B"/>
    <w:rsid w:val="007742FB"/>
    <w:rsid w:val="00774360"/>
    <w:rsid w:val="0077581F"/>
    <w:rsid w:val="007772CD"/>
    <w:rsid w:val="00780ABE"/>
    <w:rsid w:val="007822B0"/>
    <w:rsid w:val="007859E4"/>
    <w:rsid w:val="0079270F"/>
    <w:rsid w:val="007969AA"/>
    <w:rsid w:val="007974A8"/>
    <w:rsid w:val="007979AD"/>
    <w:rsid w:val="007A1360"/>
    <w:rsid w:val="007A1815"/>
    <w:rsid w:val="007A2A68"/>
    <w:rsid w:val="007A34A4"/>
    <w:rsid w:val="007A46A5"/>
    <w:rsid w:val="007A630A"/>
    <w:rsid w:val="007A64F5"/>
    <w:rsid w:val="007A6742"/>
    <w:rsid w:val="007A698D"/>
    <w:rsid w:val="007B048D"/>
    <w:rsid w:val="007B0C17"/>
    <w:rsid w:val="007B2886"/>
    <w:rsid w:val="007B2B66"/>
    <w:rsid w:val="007B56E7"/>
    <w:rsid w:val="007B6CC8"/>
    <w:rsid w:val="007C2128"/>
    <w:rsid w:val="007C3286"/>
    <w:rsid w:val="007C4AF1"/>
    <w:rsid w:val="007C6FE3"/>
    <w:rsid w:val="007C7B64"/>
    <w:rsid w:val="007D26DA"/>
    <w:rsid w:val="007D3153"/>
    <w:rsid w:val="007D408C"/>
    <w:rsid w:val="007D69EF"/>
    <w:rsid w:val="007E0775"/>
    <w:rsid w:val="007E1300"/>
    <w:rsid w:val="007E158B"/>
    <w:rsid w:val="007E19BF"/>
    <w:rsid w:val="007E690B"/>
    <w:rsid w:val="007F0397"/>
    <w:rsid w:val="007F185C"/>
    <w:rsid w:val="007F2A3E"/>
    <w:rsid w:val="007F30C7"/>
    <w:rsid w:val="007F4908"/>
    <w:rsid w:val="007F5521"/>
    <w:rsid w:val="00801CBF"/>
    <w:rsid w:val="00803671"/>
    <w:rsid w:val="008059CD"/>
    <w:rsid w:val="00805FC2"/>
    <w:rsid w:val="00807CAC"/>
    <w:rsid w:val="008109F0"/>
    <w:rsid w:val="008115D2"/>
    <w:rsid w:val="008117C4"/>
    <w:rsid w:val="00811E9F"/>
    <w:rsid w:val="00817819"/>
    <w:rsid w:val="00817DD1"/>
    <w:rsid w:val="00825E51"/>
    <w:rsid w:val="00826CF0"/>
    <w:rsid w:val="0082700A"/>
    <w:rsid w:val="00830751"/>
    <w:rsid w:val="00831852"/>
    <w:rsid w:val="00833D2F"/>
    <w:rsid w:val="00835073"/>
    <w:rsid w:val="008355DB"/>
    <w:rsid w:val="0083579E"/>
    <w:rsid w:val="00836110"/>
    <w:rsid w:val="00836389"/>
    <w:rsid w:val="008372FB"/>
    <w:rsid w:val="00840CBD"/>
    <w:rsid w:val="0084139F"/>
    <w:rsid w:val="008416AB"/>
    <w:rsid w:val="00845BB8"/>
    <w:rsid w:val="00846107"/>
    <w:rsid w:val="00847730"/>
    <w:rsid w:val="0085321B"/>
    <w:rsid w:val="008536DD"/>
    <w:rsid w:val="00853DFC"/>
    <w:rsid w:val="00855250"/>
    <w:rsid w:val="00857E70"/>
    <w:rsid w:val="0086118A"/>
    <w:rsid w:val="0086172A"/>
    <w:rsid w:val="00862198"/>
    <w:rsid w:val="0086328A"/>
    <w:rsid w:val="00863D4F"/>
    <w:rsid w:val="00864D91"/>
    <w:rsid w:val="00866E54"/>
    <w:rsid w:val="0086750A"/>
    <w:rsid w:val="0086795D"/>
    <w:rsid w:val="00870A7F"/>
    <w:rsid w:val="00871492"/>
    <w:rsid w:val="00872D50"/>
    <w:rsid w:val="0087397C"/>
    <w:rsid w:val="00873D17"/>
    <w:rsid w:val="00873EB7"/>
    <w:rsid w:val="00874126"/>
    <w:rsid w:val="0087516B"/>
    <w:rsid w:val="00877F88"/>
    <w:rsid w:val="0088059D"/>
    <w:rsid w:val="008837B7"/>
    <w:rsid w:val="008843DD"/>
    <w:rsid w:val="00885475"/>
    <w:rsid w:val="00886498"/>
    <w:rsid w:val="00890773"/>
    <w:rsid w:val="00891718"/>
    <w:rsid w:val="0089225D"/>
    <w:rsid w:val="00894C7B"/>
    <w:rsid w:val="0089569C"/>
    <w:rsid w:val="00896714"/>
    <w:rsid w:val="008A002D"/>
    <w:rsid w:val="008A1249"/>
    <w:rsid w:val="008A2E09"/>
    <w:rsid w:val="008A3547"/>
    <w:rsid w:val="008A473C"/>
    <w:rsid w:val="008A47E6"/>
    <w:rsid w:val="008A4E59"/>
    <w:rsid w:val="008A50BD"/>
    <w:rsid w:val="008A7276"/>
    <w:rsid w:val="008B02D0"/>
    <w:rsid w:val="008B123A"/>
    <w:rsid w:val="008B2CC1"/>
    <w:rsid w:val="008B3CF1"/>
    <w:rsid w:val="008B4EF2"/>
    <w:rsid w:val="008C1511"/>
    <w:rsid w:val="008C2310"/>
    <w:rsid w:val="008C2CD0"/>
    <w:rsid w:val="008C4850"/>
    <w:rsid w:val="008C4F4C"/>
    <w:rsid w:val="008C638E"/>
    <w:rsid w:val="008C6C7D"/>
    <w:rsid w:val="008D0797"/>
    <w:rsid w:val="008D1E53"/>
    <w:rsid w:val="008D23DB"/>
    <w:rsid w:val="008D2863"/>
    <w:rsid w:val="008D48D6"/>
    <w:rsid w:val="008D612A"/>
    <w:rsid w:val="008D6F0D"/>
    <w:rsid w:val="008D738D"/>
    <w:rsid w:val="008D7C2E"/>
    <w:rsid w:val="008E01A3"/>
    <w:rsid w:val="008E2A38"/>
    <w:rsid w:val="008E3307"/>
    <w:rsid w:val="008E4566"/>
    <w:rsid w:val="008E6855"/>
    <w:rsid w:val="008F595D"/>
    <w:rsid w:val="008F6E44"/>
    <w:rsid w:val="008F7888"/>
    <w:rsid w:val="009013CD"/>
    <w:rsid w:val="00901CD6"/>
    <w:rsid w:val="00903EE2"/>
    <w:rsid w:val="009109BF"/>
    <w:rsid w:val="00913859"/>
    <w:rsid w:val="0092000C"/>
    <w:rsid w:val="0092146C"/>
    <w:rsid w:val="00921E98"/>
    <w:rsid w:val="009257A6"/>
    <w:rsid w:val="00932978"/>
    <w:rsid w:val="00932A2D"/>
    <w:rsid w:val="00933A7E"/>
    <w:rsid w:val="009354C3"/>
    <w:rsid w:val="00935A13"/>
    <w:rsid w:val="00935D3E"/>
    <w:rsid w:val="009362CC"/>
    <w:rsid w:val="009366B0"/>
    <w:rsid w:val="0093687A"/>
    <w:rsid w:val="009373D4"/>
    <w:rsid w:val="00937494"/>
    <w:rsid w:val="0094074A"/>
    <w:rsid w:val="00941C90"/>
    <w:rsid w:val="00941DC1"/>
    <w:rsid w:val="009432A8"/>
    <w:rsid w:val="00945852"/>
    <w:rsid w:val="00950EC0"/>
    <w:rsid w:val="00951458"/>
    <w:rsid w:val="009516F4"/>
    <w:rsid w:val="00951D3B"/>
    <w:rsid w:val="00960991"/>
    <w:rsid w:val="00962F43"/>
    <w:rsid w:val="009649B7"/>
    <w:rsid w:val="009652C3"/>
    <w:rsid w:val="009679B6"/>
    <w:rsid w:val="00967FFD"/>
    <w:rsid w:val="0097033A"/>
    <w:rsid w:val="00971A29"/>
    <w:rsid w:val="009724C3"/>
    <w:rsid w:val="00974B69"/>
    <w:rsid w:val="00977015"/>
    <w:rsid w:val="0098228E"/>
    <w:rsid w:val="00982EF9"/>
    <w:rsid w:val="00985625"/>
    <w:rsid w:val="009859E4"/>
    <w:rsid w:val="0098674F"/>
    <w:rsid w:val="00991566"/>
    <w:rsid w:val="009919F4"/>
    <w:rsid w:val="0099294E"/>
    <w:rsid w:val="00993C9E"/>
    <w:rsid w:val="00994354"/>
    <w:rsid w:val="0099467E"/>
    <w:rsid w:val="00996364"/>
    <w:rsid w:val="009970B6"/>
    <w:rsid w:val="009A0A11"/>
    <w:rsid w:val="009A35E0"/>
    <w:rsid w:val="009A3864"/>
    <w:rsid w:val="009A4E24"/>
    <w:rsid w:val="009A501C"/>
    <w:rsid w:val="009A6206"/>
    <w:rsid w:val="009B0CC3"/>
    <w:rsid w:val="009B59AD"/>
    <w:rsid w:val="009B68EA"/>
    <w:rsid w:val="009B6D2F"/>
    <w:rsid w:val="009B7938"/>
    <w:rsid w:val="009C0C75"/>
    <w:rsid w:val="009C10E6"/>
    <w:rsid w:val="009C2860"/>
    <w:rsid w:val="009C5C25"/>
    <w:rsid w:val="009C769A"/>
    <w:rsid w:val="009D266F"/>
    <w:rsid w:val="009D2D70"/>
    <w:rsid w:val="009D34C8"/>
    <w:rsid w:val="009D3E39"/>
    <w:rsid w:val="009D411A"/>
    <w:rsid w:val="009D5104"/>
    <w:rsid w:val="009D68C1"/>
    <w:rsid w:val="009D6A64"/>
    <w:rsid w:val="009D6CBA"/>
    <w:rsid w:val="009D6FE0"/>
    <w:rsid w:val="009D755B"/>
    <w:rsid w:val="009E08D5"/>
    <w:rsid w:val="009E2BE8"/>
    <w:rsid w:val="009E3CAC"/>
    <w:rsid w:val="009E3EEA"/>
    <w:rsid w:val="009E4141"/>
    <w:rsid w:val="009E54C3"/>
    <w:rsid w:val="009E5DA0"/>
    <w:rsid w:val="009E767F"/>
    <w:rsid w:val="009F02EE"/>
    <w:rsid w:val="009F164E"/>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4F7"/>
    <w:rsid w:val="00A066DF"/>
    <w:rsid w:val="00A10FD0"/>
    <w:rsid w:val="00A11050"/>
    <w:rsid w:val="00A11757"/>
    <w:rsid w:val="00A137CD"/>
    <w:rsid w:val="00A13D0A"/>
    <w:rsid w:val="00A1446C"/>
    <w:rsid w:val="00A14958"/>
    <w:rsid w:val="00A14CD8"/>
    <w:rsid w:val="00A16AD5"/>
    <w:rsid w:val="00A171B5"/>
    <w:rsid w:val="00A17351"/>
    <w:rsid w:val="00A2026F"/>
    <w:rsid w:val="00A20475"/>
    <w:rsid w:val="00A25541"/>
    <w:rsid w:val="00A269D6"/>
    <w:rsid w:val="00A26DEC"/>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6BBF"/>
    <w:rsid w:val="00A56DF0"/>
    <w:rsid w:val="00A57273"/>
    <w:rsid w:val="00A606D5"/>
    <w:rsid w:val="00A60BD6"/>
    <w:rsid w:val="00A61C6F"/>
    <w:rsid w:val="00A62553"/>
    <w:rsid w:val="00A66E18"/>
    <w:rsid w:val="00A7576E"/>
    <w:rsid w:val="00A76ACA"/>
    <w:rsid w:val="00A77394"/>
    <w:rsid w:val="00A775F1"/>
    <w:rsid w:val="00A8242D"/>
    <w:rsid w:val="00A82482"/>
    <w:rsid w:val="00A82952"/>
    <w:rsid w:val="00A82D10"/>
    <w:rsid w:val="00A83E4C"/>
    <w:rsid w:val="00A87EA4"/>
    <w:rsid w:val="00A90C27"/>
    <w:rsid w:val="00A9268A"/>
    <w:rsid w:val="00A93783"/>
    <w:rsid w:val="00A944BF"/>
    <w:rsid w:val="00AA067D"/>
    <w:rsid w:val="00AA3521"/>
    <w:rsid w:val="00AA4417"/>
    <w:rsid w:val="00AA6AA4"/>
    <w:rsid w:val="00AB5066"/>
    <w:rsid w:val="00AB6965"/>
    <w:rsid w:val="00AB7D07"/>
    <w:rsid w:val="00AC0345"/>
    <w:rsid w:val="00AC0937"/>
    <w:rsid w:val="00AC4063"/>
    <w:rsid w:val="00AC65FA"/>
    <w:rsid w:val="00AC6F54"/>
    <w:rsid w:val="00AD232F"/>
    <w:rsid w:val="00AD471C"/>
    <w:rsid w:val="00AD514E"/>
    <w:rsid w:val="00AD554B"/>
    <w:rsid w:val="00AD6E0D"/>
    <w:rsid w:val="00AD7F40"/>
    <w:rsid w:val="00AE1865"/>
    <w:rsid w:val="00AE5FC0"/>
    <w:rsid w:val="00AE7111"/>
    <w:rsid w:val="00AF314E"/>
    <w:rsid w:val="00AF55AF"/>
    <w:rsid w:val="00AF7596"/>
    <w:rsid w:val="00AF77B9"/>
    <w:rsid w:val="00AF7865"/>
    <w:rsid w:val="00B05B8C"/>
    <w:rsid w:val="00B079F3"/>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0244"/>
    <w:rsid w:val="00B310A7"/>
    <w:rsid w:val="00B32CA3"/>
    <w:rsid w:val="00B33048"/>
    <w:rsid w:val="00B34A4A"/>
    <w:rsid w:val="00B355EF"/>
    <w:rsid w:val="00B361CC"/>
    <w:rsid w:val="00B37417"/>
    <w:rsid w:val="00B45AFE"/>
    <w:rsid w:val="00B46A6E"/>
    <w:rsid w:val="00B54B5E"/>
    <w:rsid w:val="00B57FDD"/>
    <w:rsid w:val="00B61704"/>
    <w:rsid w:val="00B61781"/>
    <w:rsid w:val="00B61D17"/>
    <w:rsid w:val="00B622A9"/>
    <w:rsid w:val="00B63997"/>
    <w:rsid w:val="00B64709"/>
    <w:rsid w:val="00B65016"/>
    <w:rsid w:val="00B655FB"/>
    <w:rsid w:val="00B6593E"/>
    <w:rsid w:val="00B66C93"/>
    <w:rsid w:val="00B67DB7"/>
    <w:rsid w:val="00B703DA"/>
    <w:rsid w:val="00B723B0"/>
    <w:rsid w:val="00B726F4"/>
    <w:rsid w:val="00B72F56"/>
    <w:rsid w:val="00B75F34"/>
    <w:rsid w:val="00B7636E"/>
    <w:rsid w:val="00B76812"/>
    <w:rsid w:val="00B77D2C"/>
    <w:rsid w:val="00B77DCD"/>
    <w:rsid w:val="00B81F39"/>
    <w:rsid w:val="00B8462D"/>
    <w:rsid w:val="00B91090"/>
    <w:rsid w:val="00B91870"/>
    <w:rsid w:val="00B91C93"/>
    <w:rsid w:val="00B95D9D"/>
    <w:rsid w:val="00B967F3"/>
    <w:rsid w:val="00BA0031"/>
    <w:rsid w:val="00BA11F0"/>
    <w:rsid w:val="00BA1326"/>
    <w:rsid w:val="00BA1506"/>
    <w:rsid w:val="00BA1A11"/>
    <w:rsid w:val="00BA1C08"/>
    <w:rsid w:val="00BA2745"/>
    <w:rsid w:val="00BA3133"/>
    <w:rsid w:val="00BA3359"/>
    <w:rsid w:val="00BA3542"/>
    <w:rsid w:val="00BA3A4E"/>
    <w:rsid w:val="00BA44D6"/>
    <w:rsid w:val="00BA4B18"/>
    <w:rsid w:val="00BA6663"/>
    <w:rsid w:val="00BB23DA"/>
    <w:rsid w:val="00BB30B9"/>
    <w:rsid w:val="00BB30EC"/>
    <w:rsid w:val="00BB3E03"/>
    <w:rsid w:val="00BB47A6"/>
    <w:rsid w:val="00BB4828"/>
    <w:rsid w:val="00BB5A76"/>
    <w:rsid w:val="00BB7784"/>
    <w:rsid w:val="00BB7D14"/>
    <w:rsid w:val="00BC0981"/>
    <w:rsid w:val="00BC0E06"/>
    <w:rsid w:val="00BC1268"/>
    <w:rsid w:val="00BC3ACE"/>
    <w:rsid w:val="00BC4500"/>
    <w:rsid w:val="00BC5117"/>
    <w:rsid w:val="00BC5579"/>
    <w:rsid w:val="00BC640F"/>
    <w:rsid w:val="00BC695F"/>
    <w:rsid w:val="00BC7725"/>
    <w:rsid w:val="00BD0F5F"/>
    <w:rsid w:val="00BD1E88"/>
    <w:rsid w:val="00BD672D"/>
    <w:rsid w:val="00BE1F0E"/>
    <w:rsid w:val="00BE4182"/>
    <w:rsid w:val="00BE7311"/>
    <w:rsid w:val="00BE7365"/>
    <w:rsid w:val="00BE740D"/>
    <w:rsid w:val="00BF024D"/>
    <w:rsid w:val="00BF068F"/>
    <w:rsid w:val="00BF115E"/>
    <w:rsid w:val="00BF2211"/>
    <w:rsid w:val="00BF2492"/>
    <w:rsid w:val="00BF2A3B"/>
    <w:rsid w:val="00BF308F"/>
    <w:rsid w:val="00BF7753"/>
    <w:rsid w:val="00BF7DC2"/>
    <w:rsid w:val="00BF7F16"/>
    <w:rsid w:val="00C00BBD"/>
    <w:rsid w:val="00C00D1A"/>
    <w:rsid w:val="00C01E14"/>
    <w:rsid w:val="00C01FE0"/>
    <w:rsid w:val="00C02995"/>
    <w:rsid w:val="00C03FBE"/>
    <w:rsid w:val="00C059E3"/>
    <w:rsid w:val="00C05CB2"/>
    <w:rsid w:val="00C07AC1"/>
    <w:rsid w:val="00C10553"/>
    <w:rsid w:val="00C13A00"/>
    <w:rsid w:val="00C14F6C"/>
    <w:rsid w:val="00C1577B"/>
    <w:rsid w:val="00C178F1"/>
    <w:rsid w:val="00C213A2"/>
    <w:rsid w:val="00C22F5D"/>
    <w:rsid w:val="00C241DC"/>
    <w:rsid w:val="00C270A2"/>
    <w:rsid w:val="00C33761"/>
    <w:rsid w:val="00C34CF3"/>
    <w:rsid w:val="00C37412"/>
    <w:rsid w:val="00C376DB"/>
    <w:rsid w:val="00C42B8A"/>
    <w:rsid w:val="00C42C9A"/>
    <w:rsid w:val="00C50F0B"/>
    <w:rsid w:val="00C510A9"/>
    <w:rsid w:val="00C529CD"/>
    <w:rsid w:val="00C53E53"/>
    <w:rsid w:val="00C540BE"/>
    <w:rsid w:val="00C54694"/>
    <w:rsid w:val="00C54E83"/>
    <w:rsid w:val="00C55F6A"/>
    <w:rsid w:val="00C570EB"/>
    <w:rsid w:val="00C60A65"/>
    <w:rsid w:val="00C62D37"/>
    <w:rsid w:val="00C644F8"/>
    <w:rsid w:val="00C6494C"/>
    <w:rsid w:val="00C64E2B"/>
    <w:rsid w:val="00C6600F"/>
    <w:rsid w:val="00C66D9E"/>
    <w:rsid w:val="00C719D2"/>
    <w:rsid w:val="00C723DC"/>
    <w:rsid w:val="00C7348B"/>
    <w:rsid w:val="00C73780"/>
    <w:rsid w:val="00C73D50"/>
    <w:rsid w:val="00C83455"/>
    <w:rsid w:val="00C83BFD"/>
    <w:rsid w:val="00C85CEB"/>
    <w:rsid w:val="00C85E67"/>
    <w:rsid w:val="00C90F80"/>
    <w:rsid w:val="00C92DCD"/>
    <w:rsid w:val="00C93B65"/>
    <w:rsid w:val="00C953F3"/>
    <w:rsid w:val="00C97BB3"/>
    <w:rsid w:val="00CA04F5"/>
    <w:rsid w:val="00CA085F"/>
    <w:rsid w:val="00CA7469"/>
    <w:rsid w:val="00CB3C0C"/>
    <w:rsid w:val="00CB6429"/>
    <w:rsid w:val="00CB718F"/>
    <w:rsid w:val="00CC0813"/>
    <w:rsid w:val="00CC1F21"/>
    <w:rsid w:val="00CC4C96"/>
    <w:rsid w:val="00CC7A04"/>
    <w:rsid w:val="00CD24D6"/>
    <w:rsid w:val="00CD2C6B"/>
    <w:rsid w:val="00CD2FE1"/>
    <w:rsid w:val="00CD379C"/>
    <w:rsid w:val="00CD4591"/>
    <w:rsid w:val="00CD4942"/>
    <w:rsid w:val="00CD5835"/>
    <w:rsid w:val="00CE14F0"/>
    <w:rsid w:val="00CE25BE"/>
    <w:rsid w:val="00CE25F5"/>
    <w:rsid w:val="00CE66AA"/>
    <w:rsid w:val="00CF2FF0"/>
    <w:rsid w:val="00CF30A6"/>
    <w:rsid w:val="00CF32A2"/>
    <w:rsid w:val="00CF32E0"/>
    <w:rsid w:val="00CF3B90"/>
    <w:rsid w:val="00CF4E4A"/>
    <w:rsid w:val="00CF62AA"/>
    <w:rsid w:val="00CF7632"/>
    <w:rsid w:val="00D019F4"/>
    <w:rsid w:val="00D029DA"/>
    <w:rsid w:val="00D02D2B"/>
    <w:rsid w:val="00D03BCC"/>
    <w:rsid w:val="00D06759"/>
    <w:rsid w:val="00D06F58"/>
    <w:rsid w:val="00D0739D"/>
    <w:rsid w:val="00D110D7"/>
    <w:rsid w:val="00D14D23"/>
    <w:rsid w:val="00D21822"/>
    <w:rsid w:val="00D2351B"/>
    <w:rsid w:val="00D23744"/>
    <w:rsid w:val="00D246BE"/>
    <w:rsid w:val="00D257CC"/>
    <w:rsid w:val="00D2614A"/>
    <w:rsid w:val="00D30B04"/>
    <w:rsid w:val="00D30E01"/>
    <w:rsid w:val="00D31D36"/>
    <w:rsid w:val="00D322AC"/>
    <w:rsid w:val="00D32829"/>
    <w:rsid w:val="00D33ADA"/>
    <w:rsid w:val="00D34228"/>
    <w:rsid w:val="00D3622F"/>
    <w:rsid w:val="00D36BB3"/>
    <w:rsid w:val="00D36D03"/>
    <w:rsid w:val="00D41AD2"/>
    <w:rsid w:val="00D427C6"/>
    <w:rsid w:val="00D4499D"/>
    <w:rsid w:val="00D45BF7"/>
    <w:rsid w:val="00D47226"/>
    <w:rsid w:val="00D47639"/>
    <w:rsid w:val="00D508F1"/>
    <w:rsid w:val="00D5310C"/>
    <w:rsid w:val="00D532C3"/>
    <w:rsid w:val="00D5358C"/>
    <w:rsid w:val="00D53A85"/>
    <w:rsid w:val="00D53F49"/>
    <w:rsid w:val="00D543D4"/>
    <w:rsid w:val="00D5489B"/>
    <w:rsid w:val="00D54940"/>
    <w:rsid w:val="00D57CA7"/>
    <w:rsid w:val="00D60FE5"/>
    <w:rsid w:val="00D64B9D"/>
    <w:rsid w:val="00D64CE8"/>
    <w:rsid w:val="00D65728"/>
    <w:rsid w:val="00D72586"/>
    <w:rsid w:val="00D74454"/>
    <w:rsid w:val="00D7495A"/>
    <w:rsid w:val="00D768CD"/>
    <w:rsid w:val="00D80062"/>
    <w:rsid w:val="00D80768"/>
    <w:rsid w:val="00D80BAB"/>
    <w:rsid w:val="00D84308"/>
    <w:rsid w:val="00D84362"/>
    <w:rsid w:val="00D86E7C"/>
    <w:rsid w:val="00D87B51"/>
    <w:rsid w:val="00D94C85"/>
    <w:rsid w:val="00D96533"/>
    <w:rsid w:val="00DA1D68"/>
    <w:rsid w:val="00DA31CA"/>
    <w:rsid w:val="00DA6AFB"/>
    <w:rsid w:val="00DB296A"/>
    <w:rsid w:val="00DB4091"/>
    <w:rsid w:val="00DB4862"/>
    <w:rsid w:val="00DB56CF"/>
    <w:rsid w:val="00DB6323"/>
    <w:rsid w:val="00DC0882"/>
    <w:rsid w:val="00DC088A"/>
    <w:rsid w:val="00DC5460"/>
    <w:rsid w:val="00DC54D0"/>
    <w:rsid w:val="00DC5997"/>
    <w:rsid w:val="00DD0EB4"/>
    <w:rsid w:val="00DD0F04"/>
    <w:rsid w:val="00DD1CC7"/>
    <w:rsid w:val="00DD298D"/>
    <w:rsid w:val="00DD33BB"/>
    <w:rsid w:val="00DD345B"/>
    <w:rsid w:val="00DD6EC7"/>
    <w:rsid w:val="00DD7798"/>
    <w:rsid w:val="00DE059F"/>
    <w:rsid w:val="00DE0FBE"/>
    <w:rsid w:val="00DE163C"/>
    <w:rsid w:val="00DE28F3"/>
    <w:rsid w:val="00DE37DD"/>
    <w:rsid w:val="00DE4D40"/>
    <w:rsid w:val="00DE6974"/>
    <w:rsid w:val="00DE738F"/>
    <w:rsid w:val="00DE74ED"/>
    <w:rsid w:val="00DF04D8"/>
    <w:rsid w:val="00DF0B1C"/>
    <w:rsid w:val="00DF7666"/>
    <w:rsid w:val="00E01066"/>
    <w:rsid w:val="00E010C7"/>
    <w:rsid w:val="00E03729"/>
    <w:rsid w:val="00E05A41"/>
    <w:rsid w:val="00E078D5"/>
    <w:rsid w:val="00E10420"/>
    <w:rsid w:val="00E10F5F"/>
    <w:rsid w:val="00E11349"/>
    <w:rsid w:val="00E1531A"/>
    <w:rsid w:val="00E15963"/>
    <w:rsid w:val="00E2021C"/>
    <w:rsid w:val="00E242E0"/>
    <w:rsid w:val="00E25C16"/>
    <w:rsid w:val="00E269E4"/>
    <w:rsid w:val="00E30857"/>
    <w:rsid w:val="00E33050"/>
    <w:rsid w:val="00E33A4C"/>
    <w:rsid w:val="00E33C09"/>
    <w:rsid w:val="00E347D5"/>
    <w:rsid w:val="00E37243"/>
    <w:rsid w:val="00E425A5"/>
    <w:rsid w:val="00E42677"/>
    <w:rsid w:val="00E430E9"/>
    <w:rsid w:val="00E44C80"/>
    <w:rsid w:val="00E52BCC"/>
    <w:rsid w:val="00E551C8"/>
    <w:rsid w:val="00E55EE0"/>
    <w:rsid w:val="00E56521"/>
    <w:rsid w:val="00E566EF"/>
    <w:rsid w:val="00E56E08"/>
    <w:rsid w:val="00E5703F"/>
    <w:rsid w:val="00E60954"/>
    <w:rsid w:val="00E60E5B"/>
    <w:rsid w:val="00E61A83"/>
    <w:rsid w:val="00E65313"/>
    <w:rsid w:val="00E65789"/>
    <w:rsid w:val="00E67F2E"/>
    <w:rsid w:val="00E724FB"/>
    <w:rsid w:val="00E771B2"/>
    <w:rsid w:val="00E7797D"/>
    <w:rsid w:val="00E77F81"/>
    <w:rsid w:val="00E8073E"/>
    <w:rsid w:val="00E80872"/>
    <w:rsid w:val="00E80D3E"/>
    <w:rsid w:val="00E844E9"/>
    <w:rsid w:val="00E85070"/>
    <w:rsid w:val="00E86F72"/>
    <w:rsid w:val="00E91F09"/>
    <w:rsid w:val="00E92647"/>
    <w:rsid w:val="00E92658"/>
    <w:rsid w:val="00E9659A"/>
    <w:rsid w:val="00E96AC0"/>
    <w:rsid w:val="00E97801"/>
    <w:rsid w:val="00EA20E2"/>
    <w:rsid w:val="00EA2710"/>
    <w:rsid w:val="00EA51D7"/>
    <w:rsid w:val="00EB1B76"/>
    <w:rsid w:val="00EB2631"/>
    <w:rsid w:val="00EB330A"/>
    <w:rsid w:val="00EB4D0B"/>
    <w:rsid w:val="00EB4F3F"/>
    <w:rsid w:val="00EC02EB"/>
    <w:rsid w:val="00EC0400"/>
    <w:rsid w:val="00EC571E"/>
    <w:rsid w:val="00EC5B77"/>
    <w:rsid w:val="00EC5C94"/>
    <w:rsid w:val="00EC7C47"/>
    <w:rsid w:val="00ED06B2"/>
    <w:rsid w:val="00ED457F"/>
    <w:rsid w:val="00ED4D26"/>
    <w:rsid w:val="00ED587A"/>
    <w:rsid w:val="00ED5D07"/>
    <w:rsid w:val="00ED628E"/>
    <w:rsid w:val="00EE06C8"/>
    <w:rsid w:val="00EE1B9A"/>
    <w:rsid w:val="00EE2F0A"/>
    <w:rsid w:val="00EE5BA4"/>
    <w:rsid w:val="00EE5C93"/>
    <w:rsid w:val="00EE5E94"/>
    <w:rsid w:val="00EF020E"/>
    <w:rsid w:val="00EF1B9F"/>
    <w:rsid w:val="00EF28DD"/>
    <w:rsid w:val="00EF3711"/>
    <w:rsid w:val="00EF47D9"/>
    <w:rsid w:val="00EF486B"/>
    <w:rsid w:val="00EF4DD7"/>
    <w:rsid w:val="00F00275"/>
    <w:rsid w:val="00F0086D"/>
    <w:rsid w:val="00F02337"/>
    <w:rsid w:val="00F030FA"/>
    <w:rsid w:val="00F0330D"/>
    <w:rsid w:val="00F037E8"/>
    <w:rsid w:val="00F048F0"/>
    <w:rsid w:val="00F0537B"/>
    <w:rsid w:val="00F058FD"/>
    <w:rsid w:val="00F063BD"/>
    <w:rsid w:val="00F110D2"/>
    <w:rsid w:val="00F118B5"/>
    <w:rsid w:val="00F12351"/>
    <w:rsid w:val="00F13F0D"/>
    <w:rsid w:val="00F142CD"/>
    <w:rsid w:val="00F142DA"/>
    <w:rsid w:val="00F15F47"/>
    <w:rsid w:val="00F16987"/>
    <w:rsid w:val="00F231AB"/>
    <w:rsid w:val="00F23980"/>
    <w:rsid w:val="00F24EEF"/>
    <w:rsid w:val="00F25358"/>
    <w:rsid w:val="00F30399"/>
    <w:rsid w:val="00F30B3B"/>
    <w:rsid w:val="00F36B40"/>
    <w:rsid w:val="00F36F5B"/>
    <w:rsid w:val="00F420FD"/>
    <w:rsid w:val="00F42EB9"/>
    <w:rsid w:val="00F457A4"/>
    <w:rsid w:val="00F52DF5"/>
    <w:rsid w:val="00F558B4"/>
    <w:rsid w:val="00F563F9"/>
    <w:rsid w:val="00F5652C"/>
    <w:rsid w:val="00F56985"/>
    <w:rsid w:val="00F60540"/>
    <w:rsid w:val="00F60D04"/>
    <w:rsid w:val="00F614A4"/>
    <w:rsid w:val="00F62DB0"/>
    <w:rsid w:val="00F62FE7"/>
    <w:rsid w:val="00F631D9"/>
    <w:rsid w:val="00F654CF"/>
    <w:rsid w:val="00F65B25"/>
    <w:rsid w:val="00F65C62"/>
    <w:rsid w:val="00F666D1"/>
    <w:rsid w:val="00F66E8A"/>
    <w:rsid w:val="00F70E98"/>
    <w:rsid w:val="00F7258A"/>
    <w:rsid w:val="00F72C73"/>
    <w:rsid w:val="00F73164"/>
    <w:rsid w:val="00F73777"/>
    <w:rsid w:val="00F73946"/>
    <w:rsid w:val="00F73E72"/>
    <w:rsid w:val="00F75416"/>
    <w:rsid w:val="00F80ACD"/>
    <w:rsid w:val="00F82F6C"/>
    <w:rsid w:val="00F848B8"/>
    <w:rsid w:val="00F848CD"/>
    <w:rsid w:val="00F921E6"/>
    <w:rsid w:val="00F9309A"/>
    <w:rsid w:val="00F943A6"/>
    <w:rsid w:val="00F97037"/>
    <w:rsid w:val="00F97BEE"/>
    <w:rsid w:val="00FA434B"/>
    <w:rsid w:val="00FA4B49"/>
    <w:rsid w:val="00FB0FFE"/>
    <w:rsid w:val="00FB4339"/>
    <w:rsid w:val="00FB444F"/>
    <w:rsid w:val="00FC1981"/>
    <w:rsid w:val="00FC28EC"/>
    <w:rsid w:val="00FC419D"/>
    <w:rsid w:val="00FC57E2"/>
    <w:rsid w:val="00FC689F"/>
    <w:rsid w:val="00FC6FE9"/>
    <w:rsid w:val="00FD1DFB"/>
    <w:rsid w:val="00FD2F3F"/>
    <w:rsid w:val="00FD316F"/>
    <w:rsid w:val="00FD368D"/>
    <w:rsid w:val="00FD37CC"/>
    <w:rsid w:val="00FD478D"/>
    <w:rsid w:val="00FD49A5"/>
    <w:rsid w:val="00FD589E"/>
    <w:rsid w:val="00FD7E8E"/>
    <w:rsid w:val="00FE04C3"/>
    <w:rsid w:val="00FE08A3"/>
    <w:rsid w:val="00FE40F0"/>
    <w:rsid w:val="00FE445A"/>
    <w:rsid w:val="00FE5232"/>
    <w:rsid w:val="00FE54BE"/>
    <w:rsid w:val="00FE6351"/>
    <w:rsid w:val="00FE6355"/>
    <w:rsid w:val="00FE79DB"/>
    <w:rsid w:val="00FE7E69"/>
    <w:rsid w:val="00FF1679"/>
    <w:rsid w:val="00FF37E1"/>
    <w:rsid w:val="00FF3844"/>
    <w:rsid w:val="00FF44B9"/>
    <w:rsid w:val="00FF514C"/>
    <w:rsid w:val="00FF5656"/>
    <w:rsid w:val="00FF7818"/>
    <w:rsid w:val="00FF7BD5"/>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95CACD8A-7503-413F-B16B-5074DD2C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382350">
      <w:bodyDiv w:val="1"/>
      <w:marLeft w:val="0"/>
      <w:marRight w:val="0"/>
      <w:marTop w:val="0"/>
      <w:marBottom w:val="0"/>
      <w:divBdr>
        <w:top w:val="none" w:sz="0" w:space="0" w:color="auto"/>
        <w:left w:val="none" w:sz="0" w:space="0" w:color="auto"/>
        <w:bottom w:val="none" w:sz="0" w:space="0" w:color="auto"/>
        <w:right w:val="none" w:sz="0" w:space="0" w:color="auto"/>
      </w:divBdr>
    </w:div>
    <w:div w:id="104080707">
      <w:bodyDiv w:val="1"/>
      <w:marLeft w:val="0"/>
      <w:marRight w:val="0"/>
      <w:marTop w:val="0"/>
      <w:marBottom w:val="0"/>
      <w:divBdr>
        <w:top w:val="none" w:sz="0" w:space="0" w:color="auto"/>
        <w:left w:val="none" w:sz="0" w:space="0" w:color="auto"/>
        <w:bottom w:val="none" w:sz="0" w:space="0" w:color="auto"/>
        <w:right w:val="none" w:sz="0" w:space="0" w:color="auto"/>
      </w:divBdr>
    </w:div>
    <w:div w:id="144515562">
      <w:bodyDiv w:val="1"/>
      <w:marLeft w:val="0"/>
      <w:marRight w:val="0"/>
      <w:marTop w:val="0"/>
      <w:marBottom w:val="0"/>
      <w:divBdr>
        <w:top w:val="none" w:sz="0" w:space="0" w:color="auto"/>
        <w:left w:val="none" w:sz="0" w:space="0" w:color="auto"/>
        <w:bottom w:val="none" w:sz="0" w:space="0" w:color="auto"/>
        <w:right w:val="none" w:sz="0" w:space="0" w:color="auto"/>
      </w:divBdr>
      <w:divsChild>
        <w:div w:id="143471363">
          <w:marLeft w:val="0"/>
          <w:marRight w:val="0"/>
          <w:marTop w:val="0"/>
          <w:marBottom w:val="150"/>
          <w:divBdr>
            <w:top w:val="none" w:sz="0" w:space="0" w:color="auto"/>
            <w:left w:val="none" w:sz="0" w:space="0" w:color="auto"/>
            <w:bottom w:val="none" w:sz="0" w:space="0" w:color="auto"/>
            <w:right w:val="none" w:sz="0" w:space="0" w:color="auto"/>
          </w:divBdr>
        </w:div>
      </w:divsChild>
    </w:div>
    <w:div w:id="183829829">
      <w:bodyDiv w:val="1"/>
      <w:marLeft w:val="0"/>
      <w:marRight w:val="0"/>
      <w:marTop w:val="0"/>
      <w:marBottom w:val="0"/>
      <w:divBdr>
        <w:top w:val="none" w:sz="0" w:space="0" w:color="auto"/>
        <w:left w:val="none" w:sz="0" w:space="0" w:color="auto"/>
        <w:bottom w:val="none" w:sz="0" w:space="0" w:color="auto"/>
        <w:right w:val="none" w:sz="0" w:space="0" w:color="auto"/>
      </w:divBdr>
    </w:div>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190270080">
      <w:bodyDiv w:val="1"/>
      <w:marLeft w:val="0"/>
      <w:marRight w:val="0"/>
      <w:marTop w:val="0"/>
      <w:marBottom w:val="0"/>
      <w:divBdr>
        <w:top w:val="none" w:sz="0" w:space="0" w:color="auto"/>
        <w:left w:val="none" w:sz="0" w:space="0" w:color="auto"/>
        <w:bottom w:val="none" w:sz="0" w:space="0" w:color="auto"/>
        <w:right w:val="none" w:sz="0" w:space="0" w:color="auto"/>
      </w:divBdr>
    </w:div>
    <w:div w:id="200284745">
      <w:bodyDiv w:val="1"/>
      <w:marLeft w:val="0"/>
      <w:marRight w:val="0"/>
      <w:marTop w:val="0"/>
      <w:marBottom w:val="0"/>
      <w:divBdr>
        <w:top w:val="none" w:sz="0" w:space="0" w:color="auto"/>
        <w:left w:val="none" w:sz="0" w:space="0" w:color="auto"/>
        <w:bottom w:val="none" w:sz="0" w:space="0" w:color="auto"/>
        <w:right w:val="none" w:sz="0" w:space="0" w:color="auto"/>
      </w:divBdr>
    </w:div>
    <w:div w:id="229191526">
      <w:bodyDiv w:val="1"/>
      <w:marLeft w:val="0"/>
      <w:marRight w:val="0"/>
      <w:marTop w:val="0"/>
      <w:marBottom w:val="0"/>
      <w:divBdr>
        <w:top w:val="none" w:sz="0" w:space="0" w:color="auto"/>
        <w:left w:val="none" w:sz="0" w:space="0" w:color="auto"/>
        <w:bottom w:val="none" w:sz="0" w:space="0" w:color="auto"/>
        <w:right w:val="none" w:sz="0" w:space="0" w:color="auto"/>
      </w:divBdr>
    </w:div>
    <w:div w:id="258949636">
      <w:bodyDiv w:val="1"/>
      <w:marLeft w:val="0"/>
      <w:marRight w:val="0"/>
      <w:marTop w:val="0"/>
      <w:marBottom w:val="0"/>
      <w:divBdr>
        <w:top w:val="none" w:sz="0" w:space="0" w:color="auto"/>
        <w:left w:val="none" w:sz="0" w:space="0" w:color="auto"/>
        <w:bottom w:val="none" w:sz="0" w:space="0" w:color="auto"/>
        <w:right w:val="none" w:sz="0" w:space="0" w:color="auto"/>
      </w:divBdr>
    </w:div>
    <w:div w:id="264775667">
      <w:bodyDiv w:val="1"/>
      <w:marLeft w:val="0"/>
      <w:marRight w:val="0"/>
      <w:marTop w:val="0"/>
      <w:marBottom w:val="0"/>
      <w:divBdr>
        <w:top w:val="none" w:sz="0" w:space="0" w:color="auto"/>
        <w:left w:val="none" w:sz="0" w:space="0" w:color="auto"/>
        <w:bottom w:val="none" w:sz="0" w:space="0" w:color="auto"/>
        <w:right w:val="none" w:sz="0" w:space="0" w:color="auto"/>
      </w:divBdr>
      <w:divsChild>
        <w:div w:id="79178345">
          <w:marLeft w:val="0"/>
          <w:marRight w:val="0"/>
          <w:marTop w:val="0"/>
          <w:marBottom w:val="0"/>
          <w:divBdr>
            <w:top w:val="none" w:sz="0" w:space="0" w:color="auto"/>
            <w:left w:val="none" w:sz="0" w:space="0" w:color="auto"/>
            <w:bottom w:val="none" w:sz="0" w:space="0" w:color="auto"/>
            <w:right w:val="none" w:sz="0" w:space="0" w:color="auto"/>
          </w:divBdr>
        </w:div>
      </w:divsChild>
    </w:div>
    <w:div w:id="343869874">
      <w:bodyDiv w:val="1"/>
      <w:marLeft w:val="0"/>
      <w:marRight w:val="0"/>
      <w:marTop w:val="0"/>
      <w:marBottom w:val="0"/>
      <w:divBdr>
        <w:top w:val="none" w:sz="0" w:space="0" w:color="auto"/>
        <w:left w:val="none" w:sz="0" w:space="0" w:color="auto"/>
        <w:bottom w:val="none" w:sz="0" w:space="0" w:color="auto"/>
        <w:right w:val="none" w:sz="0" w:space="0" w:color="auto"/>
      </w:divBdr>
    </w:div>
    <w:div w:id="354891815">
      <w:bodyDiv w:val="1"/>
      <w:marLeft w:val="0"/>
      <w:marRight w:val="0"/>
      <w:marTop w:val="0"/>
      <w:marBottom w:val="0"/>
      <w:divBdr>
        <w:top w:val="none" w:sz="0" w:space="0" w:color="auto"/>
        <w:left w:val="none" w:sz="0" w:space="0" w:color="auto"/>
        <w:bottom w:val="none" w:sz="0" w:space="0" w:color="auto"/>
        <w:right w:val="none" w:sz="0" w:space="0" w:color="auto"/>
      </w:divBdr>
    </w:div>
    <w:div w:id="394665577">
      <w:bodyDiv w:val="1"/>
      <w:marLeft w:val="0"/>
      <w:marRight w:val="0"/>
      <w:marTop w:val="0"/>
      <w:marBottom w:val="0"/>
      <w:divBdr>
        <w:top w:val="none" w:sz="0" w:space="0" w:color="auto"/>
        <w:left w:val="none" w:sz="0" w:space="0" w:color="auto"/>
        <w:bottom w:val="none" w:sz="0" w:space="0" w:color="auto"/>
        <w:right w:val="none" w:sz="0" w:space="0" w:color="auto"/>
      </w:divBdr>
      <w:divsChild>
        <w:div w:id="1417702592">
          <w:marLeft w:val="0"/>
          <w:marRight w:val="0"/>
          <w:marTop w:val="0"/>
          <w:marBottom w:val="150"/>
          <w:divBdr>
            <w:top w:val="none" w:sz="0" w:space="0" w:color="auto"/>
            <w:left w:val="none" w:sz="0" w:space="0" w:color="auto"/>
            <w:bottom w:val="none" w:sz="0" w:space="0" w:color="auto"/>
            <w:right w:val="none" w:sz="0" w:space="0" w:color="auto"/>
          </w:divBdr>
        </w:div>
      </w:divsChild>
    </w:div>
    <w:div w:id="404956499">
      <w:bodyDiv w:val="1"/>
      <w:marLeft w:val="0"/>
      <w:marRight w:val="0"/>
      <w:marTop w:val="0"/>
      <w:marBottom w:val="0"/>
      <w:divBdr>
        <w:top w:val="none" w:sz="0" w:space="0" w:color="auto"/>
        <w:left w:val="none" w:sz="0" w:space="0" w:color="auto"/>
        <w:bottom w:val="none" w:sz="0" w:space="0" w:color="auto"/>
        <w:right w:val="none" w:sz="0" w:space="0" w:color="auto"/>
      </w:divBdr>
    </w:div>
    <w:div w:id="456459882">
      <w:bodyDiv w:val="1"/>
      <w:marLeft w:val="0"/>
      <w:marRight w:val="0"/>
      <w:marTop w:val="0"/>
      <w:marBottom w:val="0"/>
      <w:divBdr>
        <w:top w:val="none" w:sz="0" w:space="0" w:color="auto"/>
        <w:left w:val="none" w:sz="0" w:space="0" w:color="auto"/>
        <w:bottom w:val="none" w:sz="0" w:space="0" w:color="auto"/>
        <w:right w:val="none" w:sz="0" w:space="0" w:color="auto"/>
      </w:divBdr>
    </w:div>
    <w:div w:id="457987832">
      <w:bodyDiv w:val="1"/>
      <w:marLeft w:val="0"/>
      <w:marRight w:val="0"/>
      <w:marTop w:val="0"/>
      <w:marBottom w:val="0"/>
      <w:divBdr>
        <w:top w:val="none" w:sz="0" w:space="0" w:color="auto"/>
        <w:left w:val="none" w:sz="0" w:space="0" w:color="auto"/>
        <w:bottom w:val="none" w:sz="0" w:space="0" w:color="auto"/>
        <w:right w:val="none" w:sz="0" w:space="0" w:color="auto"/>
      </w:divBdr>
    </w:div>
    <w:div w:id="468590447">
      <w:bodyDiv w:val="1"/>
      <w:marLeft w:val="0"/>
      <w:marRight w:val="0"/>
      <w:marTop w:val="0"/>
      <w:marBottom w:val="0"/>
      <w:divBdr>
        <w:top w:val="none" w:sz="0" w:space="0" w:color="auto"/>
        <w:left w:val="none" w:sz="0" w:space="0" w:color="auto"/>
        <w:bottom w:val="none" w:sz="0" w:space="0" w:color="auto"/>
        <w:right w:val="none" w:sz="0" w:space="0" w:color="auto"/>
      </w:divBdr>
    </w:div>
    <w:div w:id="506680042">
      <w:bodyDiv w:val="1"/>
      <w:marLeft w:val="0"/>
      <w:marRight w:val="0"/>
      <w:marTop w:val="0"/>
      <w:marBottom w:val="0"/>
      <w:divBdr>
        <w:top w:val="none" w:sz="0" w:space="0" w:color="auto"/>
        <w:left w:val="none" w:sz="0" w:space="0" w:color="auto"/>
        <w:bottom w:val="none" w:sz="0" w:space="0" w:color="auto"/>
        <w:right w:val="none" w:sz="0" w:space="0" w:color="auto"/>
      </w:divBdr>
    </w:div>
    <w:div w:id="506821861">
      <w:bodyDiv w:val="1"/>
      <w:marLeft w:val="0"/>
      <w:marRight w:val="0"/>
      <w:marTop w:val="0"/>
      <w:marBottom w:val="0"/>
      <w:divBdr>
        <w:top w:val="none" w:sz="0" w:space="0" w:color="auto"/>
        <w:left w:val="none" w:sz="0" w:space="0" w:color="auto"/>
        <w:bottom w:val="none" w:sz="0" w:space="0" w:color="auto"/>
        <w:right w:val="none" w:sz="0" w:space="0" w:color="auto"/>
      </w:divBdr>
    </w:div>
    <w:div w:id="521869163">
      <w:bodyDiv w:val="1"/>
      <w:marLeft w:val="0"/>
      <w:marRight w:val="0"/>
      <w:marTop w:val="0"/>
      <w:marBottom w:val="0"/>
      <w:divBdr>
        <w:top w:val="none" w:sz="0" w:space="0" w:color="auto"/>
        <w:left w:val="none" w:sz="0" w:space="0" w:color="auto"/>
        <w:bottom w:val="none" w:sz="0" w:space="0" w:color="auto"/>
        <w:right w:val="none" w:sz="0" w:space="0" w:color="auto"/>
      </w:divBdr>
    </w:div>
    <w:div w:id="5294127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6549701">
      <w:bodyDiv w:val="1"/>
      <w:marLeft w:val="0"/>
      <w:marRight w:val="0"/>
      <w:marTop w:val="0"/>
      <w:marBottom w:val="0"/>
      <w:divBdr>
        <w:top w:val="none" w:sz="0" w:space="0" w:color="auto"/>
        <w:left w:val="none" w:sz="0" w:space="0" w:color="auto"/>
        <w:bottom w:val="none" w:sz="0" w:space="0" w:color="auto"/>
        <w:right w:val="none" w:sz="0" w:space="0" w:color="auto"/>
      </w:divBdr>
    </w:div>
    <w:div w:id="569774820">
      <w:bodyDiv w:val="1"/>
      <w:marLeft w:val="0"/>
      <w:marRight w:val="0"/>
      <w:marTop w:val="0"/>
      <w:marBottom w:val="0"/>
      <w:divBdr>
        <w:top w:val="none" w:sz="0" w:space="0" w:color="auto"/>
        <w:left w:val="none" w:sz="0" w:space="0" w:color="auto"/>
        <w:bottom w:val="none" w:sz="0" w:space="0" w:color="auto"/>
        <w:right w:val="none" w:sz="0" w:space="0" w:color="auto"/>
      </w:divBdr>
    </w:div>
    <w:div w:id="586770731">
      <w:bodyDiv w:val="1"/>
      <w:marLeft w:val="0"/>
      <w:marRight w:val="0"/>
      <w:marTop w:val="0"/>
      <w:marBottom w:val="0"/>
      <w:divBdr>
        <w:top w:val="none" w:sz="0" w:space="0" w:color="auto"/>
        <w:left w:val="none" w:sz="0" w:space="0" w:color="auto"/>
        <w:bottom w:val="none" w:sz="0" w:space="0" w:color="auto"/>
        <w:right w:val="none" w:sz="0" w:space="0" w:color="auto"/>
      </w:divBdr>
    </w:div>
    <w:div w:id="592202587">
      <w:bodyDiv w:val="1"/>
      <w:marLeft w:val="0"/>
      <w:marRight w:val="0"/>
      <w:marTop w:val="0"/>
      <w:marBottom w:val="0"/>
      <w:divBdr>
        <w:top w:val="none" w:sz="0" w:space="0" w:color="auto"/>
        <w:left w:val="none" w:sz="0" w:space="0" w:color="auto"/>
        <w:bottom w:val="none" w:sz="0" w:space="0" w:color="auto"/>
        <w:right w:val="none" w:sz="0" w:space="0" w:color="auto"/>
      </w:divBdr>
      <w:divsChild>
        <w:div w:id="260996035">
          <w:marLeft w:val="0"/>
          <w:marRight w:val="0"/>
          <w:marTop w:val="0"/>
          <w:marBottom w:val="0"/>
          <w:divBdr>
            <w:top w:val="none" w:sz="0" w:space="0" w:color="auto"/>
            <w:left w:val="none" w:sz="0" w:space="0" w:color="auto"/>
            <w:bottom w:val="none" w:sz="0" w:space="0" w:color="auto"/>
            <w:right w:val="none" w:sz="0" w:space="0" w:color="auto"/>
          </w:divBdr>
        </w:div>
      </w:divsChild>
    </w:div>
    <w:div w:id="665941497">
      <w:bodyDiv w:val="1"/>
      <w:marLeft w:val="0"/>
      <w:marRight w:val="0"/>
      <w:marTop w:val="0"/>
      <w:marBottom w:val="0"/>
      <w:divBdr>
        <w:top w:val="none" w:sz="0" w:space="0" w:color="auto"/>
        <w:left w:val="none" w:sz="0" w:space="0" w:color="auto"/>
        <w:bottom w:val="none" w:sz="0" w:space="0" w:color="auto"/>
        <w:right w:val="none" w:sz="0" w:space="0" w:color="auto"/>
      </w:divBdr>
    </w:div>
    <w:div w:id="670762234">
      <w:bodyDiv w:val="1"/>
      <w:marLeft w:val="0"/>
      <w:marRight w:val="0"/>
      <w:marTop w:val="0"/>
      <w:marBottom w:val="0"/>
      <w:divBdr>
        <w:top w:val="none" w:sz="0" w:space="0" w:color="auto"/>
        <w:left w:val="none" w:sz="0" w:space="0" w:color="auto"/>
        <w:bottom w:val="none" w:sz="0" w:space="0" w:color="auto"/>
        <w:right w:val="none" w:sz="0" w:space="0" w:color="auto"/>
      </w:divBdr>
    </w:div>
    <w:div w:id="686567151">
      <w:bodyDiv w:val="1"/>
      <w:marLeft w:val="0"/>
      <w:marRight w:val="0"/>
      <w:marTop w:val="0"/>
      <w:marBottom w:val="0"/>
      <w:divBdr>
        <w:top w:val="none" w:sz="0" w:space="0" w:color="auto"/>
        <w:left w:val="none" w:sz="0" w:space="0" w:color="auto"/>
        <w:bottom w:val="none" w:sz="0" w:space="0" w:color="auto"/>
        <w:right w:val="none" w:sz="0" w:space="0" w:color="auto"/>
      </w:divBdr>
    </w:div>
    <w:div w:id="720327299">
      <w:bodyDiv w:val="1"/>
      <w:marLeft w:val="0"/>
      <w:marRight w:val="0"/>
      <w:marTop w:val="0"/>
      <w:marBottom w:val="0"/>
      <w:divBdr>
        <w:top w:val="none" w:sz="0" w:space="0" w:color="auto"/>
        <w:left w:val="none" w:sz="0" w:space="0" w:color="auto"/>
        <w:bottom w:val="none" w:sz="0" w:space="0" w:color="auto"/>
        <w:right w:val="none" w:sz="0" w:space="0" w:color="auto"/>
      </w:divBdr>
    </w:div>
    <w:div w:id="738096624">
      <w:bodyDiv w:val="1"/>
      <w:marLeft w:val="0"/>
      <w:marRight w:val="0"/>
      <w:marTop w:val="0"/>
      <w:marBottom w:val="0"/>
      <w:divBdr>
        <w:top w:val="none" w:sz="0" w:space="0" w:color="auto"/>
        <w:left w:val="none" w:sz="0" w:space="0" w:color="auto"/>
        <w:bottom w:val="none" w:sz="0" w:space="0" w:color="auto"/>
        <w:right w:val="none" w:sz="0" w:space="0" w:color="auto"/>
      </w:divBdr>
    </w:div>
    <w:div w:id="742992066">
      <w:bodyDiv w:val="1"/>
      <w:marLeft w:val="0"/>
      <w:marRight w:val="0"/>
      <w:marTop w:val="0"/>
      <w:marBottom w:val="0"/>
      <w:divBdr>
        <w:top w:val="none" w:sz="0" w:space="0" w:color="auto"/>
        <w:left w:val="none" w:sz="0" w:space="0" w:color="auto"/>
        <w:bottom w:val="none" w:sz="0" w:space="0" w:color="auto"/>
        <w:right w:val="none" w:sz="0" w:space="0" w:color="auto"/>
      </w:divBdr>
    </w:div>
    <w:div w:id="743527647">
      <w:bodyDiv w:val="1"/>
      <w:marLeft w:val="0"/>
      <w:marRight w:val="0"/>
      <w:marTop w:val="0"/>
      <w:marBottom w:val="0"/>
      <w:divBdr>
        <w:top w:val="none" w:sz="0" w:space="0" w:color="auto"/>
        <w:left w:val="none" w:sz="0" w:space="0" w:color="auto"/>
        <w:bottom w:val="none" w:sz="0" w:space="0" w:color="auto"/>
        <w:right w:val="none" w:sz="0" w:space="0" w:color="auto"/>
      </w:divBdr>
    </w:div>
    <w:div w:id="790823668">
      <w:bodyDiv w:val="1"/>
      <w:marLeft w:val="0"/>
      <w:marRight w:val="0"/>
      <w:marTop w:val="0"/>
      <w:marBottom w:val="0"/>
      <w:divBdr>
        <w:top w:val="none" w:sz="0" w:space="0" w:color="auto"/>
        <w:left w:val="none" w:sz="0" w:space="0" w:color="auto"/>
        <w:bottom w:val="none" w:sz="0" w:space="0" w:color="auto"/>
        <w:right w:val="none" w:sz="0" w:space="0" w:color="auto"/>
      </w:divBdr>
    </w:div>
    <w:div w:id="803817576">
      <w:bodyDiv w:val="1"/>
      <w:marLeft w:val="0"/>
      <w:marRight w:val="0"/>
      <w:marTop w:val="0"/>
      <w:marBottom w:val="0"/>
      <w:divBdr>
        <w:top w:val="none" w:sz="0" w:space="0" w:color="auto"/>
        <w:left w:val="none" w:sz="0" w:space="0" w:color="auto"/>
        <w:bottom w:val="none" w:sz="0" w:space="0" w:color="auto"/>
        <w:right w:val="none" w:sz="0" w:space="0" w:color="auto"/>
      </w:divBdr>
    </w:div>
    <w:div w:id="834299865">
      <w:bodyDiv w:val="1"/>
      <w:marLeft w:val="0"/>
      <w:marRight w:val="0"/>
      <w:marTop w:val="0"/>
      <w:marBottom w:val="0"/>
      <w:divBdr>
        <w:top w:val="none" w:sz="0" w:space="0" w:color="auto"/>
        <w:left w:val="none" w:sz="0" w:space="0" w:color="auto"/>
        <w:bottom w:val="none" w:sz="0" w:space="0" w:color="auto"/>
        <w:right w:val="none" w:sz="0" w:space="0" w:color="auto"/>
      </w:divBdr>
    </w:div>
    <w:div w:id="843596612">
      <w:bodyDiv w:val="1"/>
      <w:marLeft w:val="0"/>
      <w:marRight w:val="0"/>
      <w:marTop w:val="0"/>
      <w:marBottom w:val="0"/>
      <w:divBdr>
        <w:top w:val="none" w:sz="0" w:space="0" w:color="auto"/>
        <w:left w:val="none" w:sz="0" w:space="0" w:color="auto"/>
        <w:bottom w:val="none" w:sz="0" w:space="0" w:color="auto"/>
        <w:right w:val="none" w:sz="0" w:space="0" w:color="auto"/>
      </w:divBdr>
      <w:divsChild>
        <w:div w:id="702482654">
          <w:marLeft w:val="0"/>
          <w:marRight w:val="0"/>
          <w:marTop w:val="0"/>
          <w:marBottom w:val="0"/>
          <w:divBdr>
            <w:top w:val="none" w:sz="0" w:space="0" w:color="auto"/>
            <w:left w:val="none" w:sz="0" w:space="0" w:color="auto"/>
            <w:bottom w:val="none" w:sz="0" w:space="0" w:color="auto"/>
            <w:right w:val="none" w:sz="0" w:space="0" w:color="auto"/>
          </w:divBdr>
          <w:divsChild>
            <w:div w:id="2079281285">
              <w:marLeft w:val="0"/>
              <w:marRight w:val="0"/>
              <w:marTop w:val="0"/>
              <w:marBottom w:val="0"/>
              <w:divBdr>
                <w:top w:val="none" w:sz="0" w:space="0" w:color="auto"/>
                <w:left w:val="none" w:sz="0" w:space="0" w:color="auto"/>
                <w:bottom w:val="none" w:sz="0" w:space="0" w:color="auto"/>
                <w:right w:val="none" w:sz="0" w:space="0" w:color="auto"/>
              </w:divBdr>
              <w:divsChild>
                <w:div w:id="693111705">
                  <w:marLeft w:val="0"/>
                  <w:marRight w:val="0"/>
                  <w:marTop w:val="0"/>
                  <w:marBottom w:val="0"/>
                  <w:divBdr>
                    <w:top w:val="none" w:sz="0" w:space="0" w:color="auto"/>
                    <w:left w:val="none" w:sz="0" w:space="0" w:color="auto"/>
                    <w:bottom w:val="none" w:sz="0" w:space="0" w:color="auto"/>
                    <w:right w:val="none" w:sz="0" w:space="0" w:color="auto"/>
                  </w:divBdr>
                  <w:divsChild>
                    <w:div w:id="416100837">
                      <w:marLeft w:val="0"/>
                      <w:marRight w:val="0"/>
                      <w:marTop w:val="0"/>
                      <w:marBottom w:val="0"/>
                      <w:divBdr>
                        <w:top w:val="none" w:sz="0" w:space="0" w:color="auto"/>
                        <w:left w:val="none" w:sz="0" w:space="0" w:color="auto"/>
                        <w:bottom w:val="none" w:sz="0" w:space="0" w:color="auto"/>
                        <w:right w:val="none" w:sz="0" w:space="0" w:color="auto"/>
                      </w:divBdr>
                      <w:divsChild>
                        <w:div w:id="1955363088">
                          <w:marLeft w:val="0"/>
                          <w:marRight w:val="0"/>
                          <w:marTop w:val="0"/>
                          <w:marBottom w:val="0"/>
                          <w:divBdr>
                            <w:top w:val="none" w:sz="0" w:space="0" w:color="auto"/>
                            <w:left w:val="none" w:sz="0" w:space="0" w:color="auto"/>
                            <w:bottom w:val="none" w:sz="0" w:space="0" w:color="auto"/>
                            <w:right w:val="none" w:sz="0" w:space="0" w:color="auto"/>
                          </w:divBdr>
                          <w:divsChild>
                            <w:div w:id="106563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998263">
      <w:bodyDiv w:val="1"/>
      <w:marLeft w:val="0"/>
      <w:marRight w:val="0"/>
      <w:marTop w:val="0"/>
      <w:marBottom w:val="0"/>
      <w:divBdr>
        <w:top w:val="none" w:sz="0" w:space="0" w:color="auto"/>
        <w:left w:val="none" w:sz="0" w:space="0" w:color="auto"/>
        <w:bottom w:val="none" w:sz="0" w:space="0" w:color="auto"/>
        <w:right w:val="none" w:sz="0" w:space="0" w:color="auto"/>
      </w:divBdr>
    </w:div>
    <w:div w:id="885990771">
      <w:bodyDiv w:val="1"/>
      <w:marLeft w:val="0"/>
      <w:marRight w:val="0"/>
      <w:marTop w:val="0"/>
      <w:marBottom w:val="0"/>
      <w:divBdr>
        <w:top w:val="none" w:sz="0" w:space="0" w:color="auto"/>
        <w:left w:val="none" w:sz="0" w:space="0" w:color="auto"/>
        <w:bottom w:val="none" w:sz="0" w:space="0" w:color="auto"/>
        <w:right w:val="none" w:sz="0" w:space="0" w:color="auto"/>
      </w:divBdr>
    </w:div>
    <w:div w:id="889920106">
      <w:bodyDiv w:val="1"/>
      <w:marLeft w:val="0"/>
      <w:marRight w:val="0"/>
      <w:marTop w:val="0"/>
      <w:marBottom w:val="0"/>
      <w:divBdr>
        <w:top w:val="none" w:sz="0" w:space="0" w:color="auto"/>
        <w:left w:val="none" w:sz="0" w:space="0" w:color="auto"/>
        <w:bottom w:val="none" w:sz="0" w:space="0" w:color="auto"/>
        <w:right w:val="none" w:sz="0" w:space="0" w:color="auto"/>
      </w:divBdr>
    </w:div>
    <w:div w:id="904292940">
      <w:bodyDiv w:val="1"/>
      <w:marLeft w:val="0"/>
      <w:marRight w:val="0"/>
      <w:marTop w:val="0"/>
      <w:marBottom w:val="0"/>
      <w:divBdr>
        <w:top w:val="none" w:sz="0" w:space="0" w:color="auto"/>
        <w:left w:val="none" w:sz="0" w:space="0" w:color="auto"/>
        <w:bottom w:val="none" w:sz="0" w:space="0" w:color="auto"/>
        <w:right w:val="none" w:sz="0" w:space="0" w:color="auto"/>
      </w:divBdr>
    </w:div>
    <w:div w:id="914701937">
      <w:bodyDiv w:val="1"/>
      <w:marLeft w:val="0"/>
      <w:marRight w:val="0"/>
      <w:marTop w:val="0"/>
      <w:marBottom w:val="0"/>
      <w:divBdr>
        <w:top w:val="none" w:sz="0" w:space="0" w:color="auto"/>
        <w:left w:val="none" w:sz="0" w:space="0" w:color="auto"/>
        <w:bottom w:val="none" w:sz="0" w:space="0" w:color="auto"/>
        <w:right w:val="none" w:sz="0" w:space="0" w:color="auto"/>
      </w:divBdr>
      <w:divsChild>
        <w:div w:id="1857961573">
          <w:marLeft w:val="0"/>
          <w:marRight w:val="0"/>
          <w:marTop w:val="0"/>
          <w:marBottom w:val="0"/>
          <w:divBdr>
            <w:top w:val="none" w:sz="0" w:space="0" w:color="auto"/>
            <w:left w:val="none" w:sz="0" w:space="0" w:color="auto"/>
            <w:bottom w:val="none" w:sz="0" w:space="0" w:color="auto"/>
            <w:right w:val="none" w:sz="0" w:space="0" w:color="auto"/>
          </w:divBdr>
        </w:div>
      </w:divsChild>
    </w:div>
    <w:div w:id="928149726">
      <w:bodyDiv w:val="1"/>
      <w:marLeft w:val="0"/>
      <w:marRight w:val="0"/>
      <w:marTop w:val="0"/>
      <w:marBottom w:val="0"/>
      <w:divBdr>
        <w:top w:val="none" w:sz="0" w:space="0" w:color="auto"/>
        <w:left w:val="none" w:sz="0" w:space="0" w:color="auto"/>
        <w:bottom w:val="none" w:sz="0" w:space="0" w:color="auto"/>
        <w:right w:val="none" w:sz="0" w:space="0" w:color="auto"/>
      </w:divBdr>
    </w:div>
    <w:div w:id="940912707">
      <w:bodyDiv w:val="1"/>
      <w:marLeft w:val="0"/>
      <w:marRight w:val="0"/>
      <w:marTop w:val="0"/>
      <w:marBottom w:val="0"/>
      <w:divBdr>
        <w:top w:val="none" w:sz="0" w:space="0" w:color="auto"/>
        <w:left w:val="none" w:sz="0" w:space="0" w:color="auto"/>
        <w:bottom w:val="none" w:sz="0" w:space="0" w:color="auto"/>
        <w:right w:val="none" w:sz="0" w:space="0" w:color="auto"/>
      </w:divBdr>
    </w:div>
    <w:div w:id="982151147">
      <w:bodyDiv w:val="1"/>
      <w:marLeft w:val="0"/>
      <w:marRight w:val="0"/>
      <w:marTop w:val="0"/>
      <w:marBottom w:val="0"/>
      <w:divBdr>
        <w:top w:val="none" w:sz="0" w:space="0" w:color="auto"/>
        <w:left w:val="none" w:sz="0" w:space="0" w:color="auto"/>
        <w:bottom w:val="none" w:sz="0" w:space="0" w:color="auto"/>
        <w:right w:val="none" w:sz="0" w:space="0" w:color="auto"/>
      </w:divBdr>
    </w:div>
    <w:div w:id="988174918">
      <w:bodyDiv w:val="1"/>
      <w:marLeft w:val="0"/>
      <w:marRight w:val="0"/>
      <w:marTop w:val="0"/>
      <w:marBottom w:val="0"/>
      <w:divBdr>
        <w:top w:val="none" w:sz="0" w:space="0" w:color="auto"/>
        <w:left w:val="none" w:sz="0" w:space="0" w:color="auto"/>
        <w:bottom w:val="none" w:sz="0" w:space="0" w:color="auto"/>
        <w:right w:val="none" w:sz="0" w:space="0" w:color="auto"/>
      </w:divBdr>
    </w:div>
    <w:div w:id="989287297">
      <w:bodyDiv w:val="1"/>
      <w:marLeft w:val="0"/>
      <w:marRight w:val="0"/>
      <w:marTop w:val="0"/>
      <w:marBottom w:val="0"/>
      <w:divBdr>
        <w:top w:val="none" w:sz="0" w:space="0" w:color="auto"/>
        <w:left w:val="none" w:sz="0" w:space="0" w:color="auto"/>
        <w:bottom w:val="none" w:sz="0" w:space="0" w:color="auto"/>
        <w:right w:val="none" w:sz="0" w:space="0" w:color="auto"/>
      </w:divBdr>
    </w:div>
    <w:div w:id="1015040729">
      <w:bodyDiv w:val="1"/>
      <w:marLeft w:val="0"/>
      <w:marRight w:val="0"/>
      <w:marTop w:val="0"/>
      <w:marBottom w:val="0"/>
      <w:divBdr>
        <w:top w:val="none" w:sz="0" w:space="0" w:color="auto"/>
        <w:left w:val="none" w:sz="0" w:space="0" w:color="auto"/>
        <w:bottom w:val="none" w:sz="0" w:space="0" w:color="auto"/>
        <w:right w:val="none" w:sz="0" w:space="0" w:color="auto"/>
      </w:divBdr>
    </w:div>
    <w:div w:id="1022510139">
      <w:bodyDiv w:val="1"/>
      <w:marLeft w:val="0"/>
      <w:marRight w:val="0"/>
      <w:marTop w:val="0"/>
      <w:marBottom w:val="0"/>
      <w:divBdr>
        <w:top w:val="none" w:sz="0" w:space="0" w:color="auto"/>
        <w:left w:val="none" w:sz="0" w:space="0" w:color="auto"/>
        <w:bottom w:val="none" w:sz="0" w:space="0" w:color="auto"/>
        <w:right w:val="none" w:sz="0" w:space="0" w:color="auto"/>
      </w:divBdr>
    </w:div>
    <w:div w:id="1078863523">
      <w:bodyDiv w:val="1"/>
      <w:marLeft w:val="0"/>
      <w:marRight w:val="0"/>
      <w:marTop w:val="0"/>
      <w:marBottom w:val="0"/>
      <w:divBdr>
        <w:top w:val="none" w:sz="0" w:space="0" w:color="auto"/>
        <w:left w:val="none" w:sz="0" w:space="0" w:color="auto"/>
        <w:bottom w:val="none" w:sz="0" w:space="0" w:color="auto"/>
        <w:right w:val="none" w:sz="0" w:space="0" w:color="auto"/>
      </w:divBdr>
    </w:div>
    <w:div w:id="1103766391">
      <w:bodyDiv w:val="1"/>
      <w:marLeft w:val="0"/>
      <w:marRight w:val="0"/>
      <w:marTop w:val="0"/>
      <w:marBottom w:val="0"/>
      <w:divBdr>
        <w:top w:val="none" w:sz="0" w:space="0" w:color="auto"/>
        <w:left w:val="none" w:sz="0" w:space="0" w:color="auto"/>
        <w:bottom w:val="none" w:sz="0" w:space="0" w:color="auto"/>
        <w:right w:val="none" w:sz="0" w:space="0" w:color="auto"/>
      </w:divBdr>
    </w:div>
    <w:div w:id="1105686623">
      <w:bodyDiv w:val="1"/>
      <w:marLeft w:val="0"/>
      <w:marRight w:val="0"/>
      <w:marTop w:val="0"/>
      <w:marBottom w:val="0"/>
      <w:divBdr>
        <w:top w:val="none" w:sz="0" w:space="0" w:color="auto"/>
        <w:left w:val="none" w:sz="0" w:space="0" w:color="auto"/>
        <w:bottom w:val="none" w:sz="0" w:space="0" w:color="auto"/>
        <w:right w:val="none" w:sz="0" w:space="0" w:color="auto"/>
      </w:divBdr>
    </w:div>
    <w:div w:id="1107120927">
      <w:bodyDiv w:val="1"/>
      <w:marLeft w:val="0"/>
      <w:marRight w:val="0"/>
      <w:marTop w:val="0"/>
      <w:marBottom w:val="0"/>
      <w:divBdr>
        <w:top w:val="none" w:sz="0" w:space="0" w:color="auto"/>
        <w:left w:val="none" w:sz="0" w:space="0" w:color="auto"/>
        <w:bottom w:val="none" w:sz="0" w:space="0" w:color="auto"/>
        <w:right w:val="none" w:sz="0" w:space="0" w:color="auto"/>
      </w:divBdr>
    </w:div>
    <w:div w:id="1182164026">
      <w:bodyDiv w:val="1"/>
      <w:marLeft w:val="0"/>
      <w:marRight w:val="0"/>
      <w:marTop w:val="0"/>
      <w:marBottom w:val="0"/>
      <w:divBdr>
        <w:top w:val="none" w:sz="0" w:space="0" w:color="auto"/>
        <w:left w:val="none" w:sz="0" w:space="0" w:color="auto"/>
        <w:bottom w:val="none" w:sz="0" w:space="0" w:color="auto"/>
        <w:right w:val="none" w:sz="0" w:space="0" w:color="auto"/>
      </w:divBdr>
    </w:div>
    <w:div w:id="1182744013">
      <w:bodyDiv w:val="1"/>
      <w:marLeft w:val="0"/>
      <w:marRight w:val="0"/>
      <w:marTop w:val="0"/>
      <w:marBottom w:val="0"/>
      <w:divBdr>
        <w:top w:val="none" w:sz="0" w:space="0" w:color="auto"/>
        <w:left w:val="none" w:sz="0" w:space="0" w:color="auto"/>
        <w:bottom w:val="none" w:sz="0" w:space="0" w:color="auto"/>
        <w:right w:val="none" w:sz="0" w:space="0" w:color="auto"/>
      </w:divBdr>
    </w:div>
    <w:div w:id="1205601993">
      <w:bodyDiv w:val="1"/>
      <w:marLeft w:val="0"/>
      <w:marRight w:val="0"/>
      <w:marTop w:val="0"/>
      <w:marBottom w:val="0"/>
      <w:divBdr>
        <w:top w:val="none" w:sz="0" w:space="0" w:color="auto"/>
        <w:left w:val="none" w:sz="0" w:space="0" w:color="auto"/>
        <w:bottom w:val="none" w:sz="0" w:space="0" w:color="auto"/>
        <w:right w:val="none" w:sz="0" w:space="0" w:color="auto"/>
      </w:divBdr>
    </w:div>
    <w:div w:id="1221478632">
      <w:bodyDiv w:val="1"/>
      <w:marLeft w:val="0"/>
      <w:marRight w:val="0"/>
      <w:marTop w:val="0"/>
      <w:marBottom w:val="0"/>
      <w:divBdr>
        <w:top w:val="none" w:sz="0" w:space="0" w:color="auto"/>
        <w:left w:val="none" w:sz="0" w:space="0" w:color="auto"/>
        <w:bottom w:val="none" w:sz="0" w:space="0" w:color="auto"/>
        <w:right w:val="none" w:sz="0" w:space="0" w:color="auto"/>
      </w:divBdr>
    </w:div>
    <w:div w:id="1230654357">
      <w:bodyDiv w:val="1"/>
      <w:marLeft w:val="0"/>
      <w:marRight w:val="0"/>
      <w:marTop w:val="0"/>
      <w:marBottom w:val="0"/>
      <w:divBdr>
        <w:top w:val="none" w:sz="0" w:space="0" w:color="auto"/>
        <w:left w:val="none" w:sz="0" w:space="0" w:color="auto"/>
        <w:bottom w:val="none" w:sz="0" w:space="0" w:color="auto"/>
        <w:right w:val="none" w:sz="0" w:space="0" w:color="auto"/>
      </w:divBdr>
    </w:div>
    <w:div w:id="1264387483">
      <w:bodyDiv w:val="1"/>
      <w:marLeft w:val="0"/>
      <w:marRight w:val="0"/>
      <w:marTop w:val="0"/>
      <w:marBottom w:val="0"/>
      <w:divBdr>
        <w:top w:val="none" w:sz="0" w:space="0" w:color="auto"/>
        <w:left w:val="none" w:sz="0" w:space="0" w:color="auto"/>
        <w:bottom w:val="none" w:sz="0" w:space="0" w:color="auto"/>
        <w:right w:val="none" w:sz="0" w:space="0" w:color="auto"/>
      </w:divBdr>
    </w:div>
    <w:div w:id="1264611799">
      <w:bodyDiv w:val="1"/>
      <w:marLeft w:val="0"/>
      <w:marRight w:val="0"/>
      <w:marTop w:val="0"/>
      <w:marBottom w:val="0"/>
      <w:divBdr>
        <w:top w:val="none" w:sz="0" w:space="0" w:color="auto"/>
        <w:left w:val="none" w:sz="0" w:space="0" w:color="auto"/>
        <w:bottom w:val="none" w:sz="0" w:space="0" w:color="auto"/>
        <w:right w:val="none" w:sz="0" w:space="0" w:color="auto"/>
      </w:divBdr>
    </w:div>
    <w:div w:id="1335107599">
      <w:bodyDiv w:val="1"/>
      <w:marLeft w:val="0"/>
      <w:marRight w:val="0"/>
      <w:marTop w:val="0"/>
      <w:marBottom w:val="0"/>
      <w:divBdr>
        <w:top w:val="none" w:sz="0" w:space="0" w:color="auto"/>
        <w:left w:val="none" w:sz="0" w:space="0" w:color="auto"/>
        <w:bottom w:val="none" w:sz="0" w:space="0" w:color="auto"/>
        <w:right w:val="none" w:sz="0" w:space="0" w:color="auto"/>
      </w:divBdr>
    </w:div>
    <w:div w:id="1344471648">
      <w:bodyDiv w:val="1"/>
      <w:marLeft w:val="0"/>
      <w:marRight w:val="0"/>
      <w:marTop w:val="0"/>
      <w:marBottom w:val="0"/>
      <w:divBdr>
        <w:top w:val="none" w:sz="0" w:space="0" w:color="auto"/>
        <w:left w:val="none" w:sz="0" w:space="0" w:color="auto"/>
        <w:bottom w:val="none" w:sz="0" w:space="0" w:color="auto"/>
        <w:right w:val="none" w:sz="0" w:space="0" w:color="auto"/>
      </w:divBdr>
    </w:div>
    <w:div w:id="1346589638">
      <w:bodyDiv w:val="1"/>
      <w:marLeft w:val="0"/>
      <w:marRight w:val="0"/>
      <w:marTop w:val="0"/>
      <w:marBottom w:val="0"/>
      <w:divBdr>
        <w:top w:val="none" w:sz="0" w:space="0" w:color="auto"/>
        <w:left w:val="none" w:sz="0" w:space="0" w:color="auto"/>
        <w:bottom w:val="none" w:sz="0" w:space="0" w:color="auto"/>
        <w:right w:val="none" w:sz="0" w:space="0" w:color="auto"/>
      </w:divBdr>
    </w:div>
    <w:div w:id="1353916461">
      <w:bodyDiv w:val="1"/>
      <w:marLeft w:val="0"/>
      <w:marRight w:val="0"/>
      <w:marTop w:val="0"/>
      <w:marBottom w:val="0"/>
      <w:divBdr>
        <w:top w:val="none" w:sz="0" w:space="0" w:color="auto"/>
        <w:left w:val="none" w:sz="0" w:space="0" w:color="auto"/>
        <w:bottom w:val="none" w:sz="0" w:space="0" w:color="auto"/>
        <w:right w:val="none" w:sz="0" w:space="0" w:color="auto"/>
      </w:divBdr>
    </w:div>
    <w:div w:id="1449395212">
      <w:bodyDiv w:val="1"/>
      <w:marLeft w:val="0"/>
      <w:marRight w:val="0"/>
      <w:marTop w:val="0"/>
      <w:marBottom w:val="0"/>
      <w:divBdr>
        <w:top w:val="none" w:sz="0" w:space="0" w:color="auto"/>
        <w:left w:val="none" w:sz="0" w:space="0" w:color="auto"/>
        <w:bottom w:val="none" w:sz="0" w:space="0" w:color="auto"/>
        <w:right w:val="none" w:sz="0" w:space="0" w:color="auto"/>
      </w:divBdr>
    </w:div>
    <w:div w:id="1480464574">
      <w:bodyDiv w:val="1"/>
      <w:marLeft w:val="0"/>
      <w:marRight w:val="0"/>
      <w:marTop w:val="0"/>
      <w:marBottom w:val="0"/>
      <w:divBdr>
        <w:top w:val="none" w:sz="0" w:space="0" w:color="auto"/>
        <w:left w:val="none" w:sz="0" w:space="0" w:color="auto"/>
        <w:bottom w:val="none" w:sz="0" w:space="0" w:color="auto"/>
        <w:right w:val="none" w:sz="0" w:space="0" w:color="auto"/>
      </w:divBdr>
    </w:div>
    <w:div w:id="1507818275">
      <w:bodyDiv w:val="1"/>
      <w:marLeft w:val="0"/>
      <w:marRight w:val="0"/>
      <w:marTop w:val="0"/>
      <w:marBottom w:val="0"/>
      <w:divBdr>
        <w:top w:val="none" w:sz="0" w:space="0" w:color="auto"/>
        <w:left w:val="none" w:sz="0" w:space="0" w:color="auto"/>
        <w:bottom w:val="none" w:sz="0" w:space="0" w:color="auto"/>
        <w:right w:val="none" w:sz="0" w:space="0" w:color="auto"/>
      </w:divBdr>
    </w:div>
    <w:div w:id="1525824378">
      <w:bodyDiv w:val="1"/>
      <w:marLeft w:val="0"/>
      <w:marRight w:val="0"/>
      <w:marTop w:val="0"/>
      <w:marBottom w:val="0"/>
      <w:divBdr>
        <w:top w:val="none" w:sz="0" w:space="0" w:color="auto"/>
        <w:left w:val="none" w:sz="0" w:space="0" w:color="auto"/>
        <w:bottom w:val="none" w:sz="0" w:space="0" w:color="auto"/>
        <w:right w:val="none" w:sz="0" w:space="0" w:color="auto"/>
      </w:divBdr>
    </w:div>
    <w:div w:id="1532062690">
      <w:bodyDiv w:val="1"/>
      <w:marLeft w:val="0"/>
      <w:marRight w:val="0"/>
      <w:marTop w:val="0"/>
      <w:marBottom w:val="0"/>
      <w:divBdr>
        <w:top w:val="none" w:sz="0" w:space="0" w:color="auto"/>
        <w:left w:val="none" w:sz="0" w:space="0" w:color="auto"/>
        <w:bottom w:val="none" w:sz="0" w:space="0" w:color="auto"/>
        <w:right w:val="none" w:sz="0" w:space="0" w:color="auto"/>
      </w:divBdr>
    </w:div>
    <w:div w:id="1550417062">
      <w:bodyDiv w:val="1"/>
      <w:marLeft w:val="0"/>
      <w:marRight w:val="0"/>
      <w:marTop w:val="0"/>
      <w:marBottom w:val="0"/>
      <w:divBdr>
        <w:top w:val="none" w:sz="0" w:space="0" w:color="auto"/>
        <w:left w:val="none" w:sz="0" w:space="0" w:color="auto"/>
        <w:bottom w:val="none" w:sz="0" w:space="0" w:color="auto"/>
        <w:right w:val="none" w:sz="0" w:space="0" w:color="auto"/>
      </w:divBdr>
    </w:div>
    <w:div w:id="1572933936">
      <w:bodyDiv w:val="1"/>
      <w:marLeft w:val="0"/>
      <w:marRight w:val="0"/>
      <w:marTop w:val="0"/>
      <w:marBottom w:val="0"/>
      <w:divBdr>
        <w:top w:val="none" w:sz="0" w:space="0" w:color="auto"/>
        <w:left w:val="none" w:sz="0" w:space="0" w:color="auto"/>
        <w:bottom w:val="none" w:sz="0" w:space="0" w:color="auto"/>
        <w:right w:val="none" w:sz="0" w:space="0" w:color="auto"/>
      </w:divBdr>
    </w:div>
    <w:div w:id="1605645521">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634479799">
      <w:bodyDiv w:val="1"/>
      <w:marLeft w:val="0"/>
      <w:marRight w:val="0"/>
      <w:marTop w:val="0"/>
      <w:marBottom w:val="0"/>
      <w:divBdr>
        <w:top w:val="none" w:sz="0" w:space="0" w:color="auto"/>
        <w:left w:val="none" w:sz="0" w:space="0" w:color="auto"/>
        <w:bottom w:val="none" w:sz="0" w:space="0" w:color="auto"/>
        <w:right w:val="none" w:sz="0" w:space="0" w:color="auto"/>
      </w:divBdr>
    </w:div>
    <w:div w:id="1660694456">
      <w:bodyDiv w:val="1"/>
      <w:marLeft w:val="0"/>
      <w:marRight w:val="0"/>
      <w:marTop w:val="0"/>
      <w:marBottom w:val="0"/>
      <w:divBdr>
        <w:top w:val="none" w:sz="0" w:space="0" w:color="auto"/>
        <w:left w:val="none" w:sz="0" w:space="0" w:color="auto"/>
        <w:bottom w:val="none" w:sz="0" w:space="0" w:color="auto"/>
        <w:right w:val="none" w:sz="0" w:space="0" w:color="auto"/>
      </w:divBdr>
    </w:div>
    <w:div w:id="1673265778">
      <w:bodyDiv w:val="1"/>
      <w:marLeft w:val="0"/>
      <w:marRight w:val="0"/>
      <w:marTop w:val="0"/>
      <w:marBottom w:val="0"/>
      <w:divBdr>
        <w:top w:val="none" w:sz="0" w:space="0" w:color="auto"/>
        <w:left w:val="none" w:sz="0" w:space="0" w:color="auto"/>
        <w:bottom w:val="none" w:sz="0" w:space="0" w:color="auto"/>
        <w:right w:val="none" w:sz="0" w:space="0" w:color="auto"/>
      </w:divBdr>
    </w:div>
    <w:div w:id="1679695232">
      <w:bodyDiv w:val="1"/>
      <w:marLeft w:val="0"/>
      <w:marRight w:val="0"/>
      <w:marTop w:val="0"/>
      <w:marBottom w:val="0"/>
      <w:divBdr>
        <w:top w:val="none" w:sz="0" w:space="0" w:color="auto"/>
        <w:left w:val="none" w:sz="0" w:space="0" w:color="auto"/>
        <w:bottom w:val="none" w:sz="0" w:space="0" w:color="auto"/>
        <w:right w:val="none" w:sz="0" w:space="0" w:color="auto"/>
      </w:divBdr>
    </w:div>
    <w:div w:id="1681201103">
      <w:bodyDiv w:val="1"/>
      <w:marLeft w:val="0"/>
      <w:marRight w:val="0"/>
      <w:marTop w:val="0"/>
      <w:marBottom w:val="0"/>
      <w:divBdr>
        <w:top w:val="none" w:sz="0" w:space="0" w:color="auto"/>
        <w:left w:val="none" w:sz="0" w:space="0" w:color="auto"/>
        <w:bottom w:val="none" w:sz="0" w:space="0" w:color="auto"/>
        <w:right w:val="none" w:sz="0" w:space="0" w:color="auto"/>
      </w:divBdr>
    </w:div>
    <w:div w:id="1689790300">
      <w:bodyDiv w:val="1"/>
      <w:marLeft w:val="0"/>
      <w:marRight w:val="0"/>
      <w:marTop w:val="0"/>
      <w:marBottom w:val="0"/>
      <w:divBdr>
        <w:top w:val="none" w:sz="0" w:space="0" w:color="auto"/>
        <w:left w:val="none" w:sz="0" w:space="0" w:color="auto"/>
        <w:bottom w:val="none" w:sz="0" w:space="0" w:color="auto"/>
        <w:right w:val="none" w:sz="0" w:space="0" w:color="auto"/>
      </w:divBdr>
    </w:div>
    <w:div w:id="1704091042">
      <w:bodyDiv w:val="1"/>
      <w:marLeft w:val="0"/>
      <w:marRight w:val="0"/>
      <w:marTop w:val="0"/>
      <w:marBottom w:val="0"/>
      <w:divBdr>
        <w:top w:val="none" w:sz="0" w:space="0" w:color="auto"/>
        <w:left w:val="none" w:sz="0" w:space="0" w:color="auto"/>
        <w:bottom w:val="none" w:sz="0" w:space="0" w:color="auto"/>
        <w:right w:val="none" w:sz="0" w:space="0" w:color="auto"/>
      </w:divBdr>
    </w:div>
    <w:div w:id="1780879922">
      <w:bodyDiv w:val="1"/>
      <w:marLeft w:val="0"/>
      <w:marRight w:val="0"/>
      <w:marTop w:val="0"/>
      <w:marBottom w:val="0"/>
      <w:divBdr>
        <w:top w:val="none" w:sz="0" w:space="0" w:color="auto"/>
        <w:left w:val="none" w:sz="0" w:space="0" w:color="auto"/>
        <w:bottom w:val="none" w:sz="0" w:space="0" w:color="auto"/>
        <w:right w:val="none" w:sz="0" w:space="0" w:color="auto"/>
      </w:divBdr>
    </w:div>
    <w:div w:id="1788691957">
      <w:bodyDiv w:val="1"/>
      <w:marLeft w:val="0"/>
      <w:marRight w:val="0"/>
      <w:marTop w:val="0"/>
      <w:marBottom w:val="0"/>
      <w:divBdr>
        <w:top w:val="none" w:sz="0" w:space="0" w:color="auto"/>
        <w:left w:val="none" w:sz="0" w:space="0" w:color="auto"/>
        <w:bottom w:val="none" w:sz="0" w:space="0" w:color="auto"/>
        <w:right w:val="none" w:sz="0" w:space="0" w:color="auto"/>
      </w:divBdr>
      <w:divsChild>
        <w:div w:id="1460874372">
          <w:marLeft w:val="0"/>
          <w:marRight w:val="0"/>
          <w:marTop w:val="0"/>
          <w:marBottom w:val="0"/>
          <w:divBdr>
            <w:top w:val="none" w:sz="0" w:space="0" w:color="auto"/>
            <w:left w:val="none" w:sz="0" w:space="0" w:color="auto"/>
            <w:bottom w:val="none" w:sz="0" w:space="0" w:color="auto"/>
            <w:right w:val="none" w:sz="0" w:space="0" w:color="auto"/>
          </w:divBdr>
        </w:div>
      </w:divsChild>
    </w:div>
    <w:div w:id="1788741655">
      <w:bodyDiv w:val="1"/>
      <w:marLeft w:val="0"/>
      <w:marRight w:val="0"/>
      <w:marTop w:val="0"/>
      <w:marBottom w:val="0"/>
      <w:divBdr>
        <w:top w:val="none" w:sz="0" w:space="0" w:color="auto"/>
        <w:left w:val="none" w:sz="0" w:space="0" w:color="auto"/>
        <w:bottom w:val="none" w:sz="0" w:space="0" w:color="auto"/>
        <w:right w:val="none" w:sz="0" w:space="0" w:color="auto"/>
      </w:divBdr>
    </w:div>
    <w:div w:id="1791971049">
      <w:bodyDiv w:val="1"/>
      <w:marLeft w:val="0"/>
      <w:marRight w:val="0"/>
      <w:marTop w:val="0"/>
      <w:marBottom w:val="0"/>
      <w:divBdr>
        <w:top w:val="none" w:sz="0" w:space="0" w:color="auto"/>
        <w:left w:val="none" w:sz="0" w:space="0" w:color="auto"/>
        <w:bottom w:val="none" w:sz="0" w:space="0" w:color="auto"/>
        <w:right w:val="none" w:sz="0" w:space="0" w:color="auto"/>
      </w:divBdr>
    </w:div>
    <w:div w:id="1804152711">
      <w:bodyDiv w:val="1"/>
      <w:marLeft w:val="0"/>
      <w:marRight w:val="0"/>
      <w:marTop w:val="0"/>
      <w:marBottom w:val="0"/>
      <w:divBdr>
        <w:top w:val="none" w:sz="0" w:space="0" w:color="auto"/>
        <w:left w:val="none" w:sz="0" w:space="0" w:color="auto"/>
        <w:bottom w:val="none" w:sz="0" w:space="0" w:color="auto"/>
        <w:right w:val="none" w:sz="0" w:space="0" w:color="auto"/>
      </w:divBdr>
    </w:div>
    <w:div w:id="1820263693">
      <w:bodyDiv w:val="1"/>
      <w:marLeft w:val="0"/>
      <w:marRight w:val="0"/>
      <w:marTop w:val="0"/>
      <w:marBottom w:val="0"/>
      <w:divBdr>
        <w:top w:val="none" w:sz="0" w:space="0" w:color="auto"/>
        <w:left w:val="none" w:sz="0" w:space="0" w:color="auto"/>
        <w:bottom w:val="none" w:sz="0" w:space="0" w:color="auto"/>
        <w:right w:val="none" w:sz="0" w:space="0" w:color="auto"/>
      </w:divBdr>
    </w:div>
    <w:div w:id="1821145312">
      <w:bodyDiv w:val="1"/>
      <w:marLeft w:val="0"/>
      <w:marRight w:val="0"/>
      <w:marTop w:val="0"/>
      <w:marBottom w:val="0"/>
      <w:divBdr>
        <w:top w:val="none" w:sz="0" w:space="0" w:color="auto"/>
        <w:left w:val="none" w:sz="0" w:space="0" w:color="auto"/>
        <w:bottom w:val="none" w:sz="0" w:space="0" w:color="auto"/>
        <w:right w:val="none" w:sz="0" w:space="0" w:color="auto"/>
      </w:divBdr>
    </w:div>
    <w:div w:id="1827091491">
      <w:bodyDiv w:val="1"/>
      <w:marLeft w:val="0"/>
      <w:marRight w:val="0"/>
      <w:marTop w:val="0"/>
      <w:marBottom w:val="0"/>
      <w:divBdr>
        <w:top w:val="none" w:sz="0" w:space="0" w:color="auto"/>
        <w:left w:val="none" w:sz="0" w:space="0" w:color="auto"/>
        <w:bottom w:val="none" w:sz="0" w:space="0" w:color="auto"/>
        <w:right w:val="none" w:sz="0" w:space="0" w:color="auto"/>
      </w:divBdr>
    </w:div>
    <w:div w:id="1835022763">
      <w:bodyDiv w:val="1"/>
      <w:marLeft w:val="0"/>
      <w:marRight w:val="0"/>
      <w:marTop w:val="0"/>
      <w:marBottom w:val="0"/>
      <w:divBdr>
        <w:top w:val="none" w:sz="0" w:space="0" w:color="auto"/>
        <w:left w:val="none" w:sz="0" w:space="0" w:color="auto"/>
        <w:bottom w:val="none" w:sz="0" w:space="0" w:color="auto"/>
        <w:right w:val="none" w:sz="0" w:space="0" w:color="auto"/>
      </w:divBdr>
    </w:div>
    <w:div w:id="1836260102">
      <w:bodyDiv w:val="1"/>
      <w:marLeft w:val="0"/>
      <w:marRight w:val="0"/>
      <w:marTop w:val="0"/>
      <w:marBottom w:val="0"/>
      <w:divBdr>
        <w:top w:val="none" w:sz="0" w:space="0" w:color="auto"/>
        <w:left w:val="none" w:sz="0" w:space="0" w:color="auto"/>
        <w:bottom w:val="none" w:sz="0" w:space="0" w:color="auto"/>
        <w:right w:val="none" w:sz="0" w:space="0" w:color="auto"/>
      </w:divBdr>
    </w:div>
    <w:div w:id="1873152833">
      <w:bodyDiv w:val="1"/>
      <w:marLeft w:val="0"/>
      <w:marRight w:val="0"/>
      <w:marTop w:val="0"/>
      <w:marBottom w:val="0"/>
      <w:divBdr>
        <w:top w:val="none" w:sz="0" w:space="0" w:color="auto"/>
        <w:left w:val="none" w:sz="0" w:space="0" w:color="auto"/>
        <w:bottom w:val="none" w:sz="0" w:space="0" w:color="auto"/>
        <w:right w:val="none" w:sz="0" w:space="0" w:color="auto"/>
      </w:divBdr>
    </w:div>
    <w:div w:id="1886748637">
      <w:bodyDiv w:val="1"/>
      <w:marLeft w:val="0"/>
      <w:marRight w:val="0"/>
      <w:marTop w:val="0"/>
      <w:marBottom w:val="0"/>
      <w:divBdr>
        <w:top w:val="none" w:sz="0" w:space="0" w:color="auto"/>
        <w:left w:val="none" w:sz="0" w:space="0" w:color="auto"/>
        <w:bottom w:val="none" w:sz="0" w:space="0" w:color="auto"/>
        <w:right w:val="none" w:sz="0" w:space="0" w:color="auto"/>
      </w:divBdr>
    </w:div>
    <w:div w:id="1940791808">
      <w:bodyDiv w:val="1"/>
      <w:marLeft w:val="0"/>
      <w:marRight w:val="0"/>
      <w:marTop w:val="0"/>
      <w:marBottom w:val="0"/>
      <w:divBdr>
        <w:top w:val="none" w:sz="0" w:space="0" w:color="auto"/>
        <w:left w:val="none" w:sz="0" w:space="0" w:color="auto"/>
        <w:bottom w:val="none" w:sz="0" w:space="0" w:color="auto"/>
        <w:right w:val="none" w:sz="0" w:space="0" w:color="auto"/>
      </w:divBdr>
    </w:div>
    <w:div w:id="1945963384">
      <w:bodyDiv w:val="1"/>
      <w:marLeft w:val="0"/>
      <w:marRight w:val="0"/>
      <w:marTop w:val="0"/>
      <w:marBottom w:val="0"/>
      <w:divBdr>
        <w:top w:val="none" w:sz="0" w:space="0" w:color="auto"/>
        <w:left w:val="none" w:sz="0" w:space="0" w:color="auto"/>
        <w:bottom w:val="none" w:sz="0" w:space="0" w:color="auto"/>
        <w:right w:val="none" w:sz="0" w:space="0" w:color="auto"/>
      </w:divBdr>
    </w:div>
    <w:div w:id="1986085490">
      <w:bodyDiv w:val="1"/>
      <w:marLeft w:val="0"/>
      <w:marRight w:val="0"/>
      <w:marTop w:val="0"/>
      <w:marBottom w:val="0"/>
      <w:divBdr>
        <w:top w:val="none" w:sz="0" w:space="0" w:color="auto"/>
        <w:left w:val="none" w:sz="0" w:space="0" w:color="auto"/>
        <w:bottom w:val="none" w:sz="0" w:space="0" w:color="auto"/>
        <w:right w:val="none" w:sz="0" w:space="0" w:color="auto"/>
      </w:divBdr>
    </w:div>
    <w:div w:id="1993174878">
      <w:bodyDiv w:val="1"/>
      <w:marLeft w:val="0"/>
      <w:marRight w:val="0"/>
      <w:marTop w:val="0"/>
      <w:marBottom w:val="0"/>
      <w:divBdr>
        <w:top w:val="none" w:sz="0" w:space="0" w:color="auto"/>
        <w:left w:val="none" w:sz="0" w:space="0" w:color="auto"/>
        <w:bottom w:val="none" w:sz="0" w:space="0" w:color="auto"/>
        <w:right w:val="none" w:sz="0" w:space="0" w:color="auto"/>
      </w:divBdr>
    </w:div>
    <w:div w:id="2131899336">
      <w:bodyDiv w:val="1"/>
      <w:marLeft w:val="0"/>
      <w:marRight w:val="0"/>
      <w:marTop w:val="0"/>
      <w:marBottom w:val="0"/>
      <w:divBdr>
        <w:top w:val="none" w:sz="0" w:space="0" w:color="auto"/>
        <w:left w:val="none" w:sz="0" w:space="0" w:color="auto"/>
        <w:bottom w:val="none" w:sz="0" w:space="0" w:color="auto"/>
        <w:right w:val="none" w:sz="0" w:space="0" w:color="auto"/>
      </w:divBdr>
    </w:div>
    <w:div w:id="214665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Performance Review Judgements by Department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Outstanding</c:v>
                </c:pt>
              </c:strCache>
            </c:strRef>
          </c:tx>
          <c:spPr>
            <a:solidFill>
              <a:srgbClr val="FF6D6D"/>
            </a:solidFill>
            <a:ln>
              <a:noFill/>
            </a:ln>
            <a:effectLst/>
          </c:spPr>
          <c:invertIfNegative val="0"/>
          <c:cat>
            <c:strRef>
              <c:f>Sheet1!$A$2:$A$9</c:f>
              <c:strCache>
                <c:ptCount val="8"/>
                <c:pt idx="0">
                  <c:v>Administration</c:v>
                </c:pt>
                <c:pt idx="1">
                  <c:v>Logistics</c:v>
                </c:pt>
                <c:pt idx="2">
                  <c:v>Research &amp; Development</c:v>
                </c:pt>
                <c:pt idx="3">
                  <c:v>Sales</c:v>
                </c:pt>
                <c:pt idx="4">
                  <c:v>Administration</c:v>
                </c:pt>
                <c:pt idx="5">
                  <c:v>Logistics</c:v>
                </c:pt>
                <c:pt idx="6">
                  <c:v>Research &amp; Development</c:v>
                </c:pt>
                <c:pt idx="7">
                  <c:v>Sales</c:v>
                </c:pt>
              </c:strCache>
            </c:strRef>
          </c:cat>
          <c:val>
            <c:numRef>
              <c:f>Sheet1!$B$2:$B$9</c:f>
              <c:numCache>
                <c:formatCode>General</c:formatCode>
                <c:ptCount val="8"/>
                <c:pt idx="0">
                  <c:v>20</c:v>
                </c:pt>
                <c:pt idx="1">
                  <c:v>20</c:v>
                </c:pt>
                <c:pt idx="2">
                  <c:v>30</c:v>
                </c:pt>
                <c:pt idx="3">
                  <c:v>0</c:v>
                </c:pt>
                <c:pt idx="4">
                  <c:v>10</c:v>
                </c:pt>
                <c:pt idx="5">
                  <c:v>28</c:v>
                </c:pt>
                <c:pt idx="6">
                  <c:v>56</c:v>
                </c:pt>
              </c:numCache>
            </c:numRef>
          </c:val>
          <c:extLst>
            <c:ext xmlns:c16="http://schemas.microsoft.com/office/drawing/2014/chart" uri="{C3380CC4-5D6E-409C-BE32-E72D297353CC}">
              <c16:uniqueId val="{00000000-FC4B-4ABB-BF72-B564A6DAC865}"/>
            </c:ext>
          </c:extLst>
        </c:ser>
        <c:ser>
          <c:idx val="1"/>
          <c:order val="1"/>
          <c:tx>
            <c:strRef>
              <c:f>Sheet1!$C$1</c:f>
              <c:strCache>
                <c:ptCount val="1"/>
                <c:pt idx="0">
                  <c:v>Meets set Individual KPI's</c:v>
                </c:pt>
              </c:strCache>
            </c:strRef>
          </c:tx>
          <c:spPr>
            <a:solidFill>
              <a:srgbClr val="155A75"/>
            </a:solidFill>
            <a:ln>
              <a:noFill/>
            </a:ln>
            <a:effectLst/>
          </c:spPr>
          <c:invertIfNegative val="0"/>
          <c:cat>
            <c:strRef>
              <c:f>Sheet1!$A$2:$A$9</c:f>
              <c:strCache>
                <c:ptCount val="8"/>
                <c:pt idx="0">
                  <c:v>Administration</c:v>
                </c:pt>
                <c:pt idx="1">
                  <c:v>Logistics</c:v>
                </c:pt>
                <c:pt idx="2">
                  <c:v>Research &amp; Development</c:v>
                </c:pt>
                <c:pt idx="3">
                  <c:v>Sales</c:v>
                </c:pt>
                <c:pt idx="4">
                  <c:v>Administration</c:v>
                </c:pt>
                <c:pt idx="5">
                  <c:v>Logistics</c:v>
                </c:pt>
                <c:pt idx="6">
                  <c:v>Research &amp; Development</c:v>
                </c:pt>
                <c:pt idx="7">
                  <c:v>Sales</c:v>
                </c:pt>
              </c:strCache>
            </c:strRef>
          </c:cat>
          <c:val>
            <c:numRef>
              <c:f>Sheet1!$C$2:$C$9</c:f>
              <c:numCache>
                <c:formatCode>General</c:formatCode>
                <c:ptCount val="8"/>
                <c:pt idx="0">
                  <c:v>20</c:v>
                </c:pt>
                <c:pt idx="1">
                  <c:v>40</c:v>
                </c:pt>
                <c:pt idx="2">
                  <c:v>30</c:v>
                </c:pt>
                <c:pt idx="3">
                  <c:v>100</c:v>
                </c:pt>
                <c:pt idx="4">
                  <c:v>40</c:v>
                </c:pt>
                <c:pt idx="5">
                  <c:v>50</c:v>
                </c:pt>
                <c:pt idx="6">
                  <c:v>33</c:v>
                </c:pt>
                <c:pt idx="7">
                  <c:v>100</c:v>
                </c:pt>
              </c:numCache>
            </c:numRef>
          </c:val>
          <c:extLst>
            <c:ext xmlns:c16="http://schemas.microsoft.com/office/drawing/2014/chart" uri="{C3380CC4-5D6E-409C-BE32-E72D297353CC}">
              <c16:uniqueId val="{00000001-FC4B-4ABB-BF72-B564A6DAC865}"/>
            </c:ext>
          </c:extLst>
        </c:ser>
        <c:ser>
          <c:idx val="2"/>
          <c:order val="2"/>
          <c:tx>
            <c:strRef>
              <c:f>Sheet1!$D$1</c:f>
              <c:strCache>
                <c:ptCount val="1"/>
                <c:pt idx="0">
                  <c:v>Not quite there yet</c:v>
                </c:pt>
              </c:strCache>
            </c:strRef>
          </c:tx>
          <c:spPr>
            <a:solidFill>
              <a:srgbClr val="A4FED5"/>
            </a:solidFill>
            <a:ln>
              <a:noFill/>
            </a:ln>
            <a:effectLst/>
          </c:spPr>
          <c:invertIfNegative val="0"/>
          <c:cat>
            <c:strRef>
              <c:f>Sheet1!$A$2:$A$9</c:f>
              <c:strCache>
                <c:ptCount val="8"/>
                <c:pt idx="0">
                  <c:v>Administration</c:v>
                </c:pt>
                <c:pt idx="1">
                  <c:v>Logistics</c:v>
                </c:pt>
                <c:pt idx="2">
                  <c:v>Research &amp; Development</c:v>
                </c:pt>
                <c:pt idx="3">
                  <c:v>Sales</c:v>
                </c:pt>
                <c:pt idx="4">
                  <c:v>Administration</c:v>
                </c:pt>
                <c:pt idx="5">
                  <c:v>Logistics</c:v>
                </c:pt>
                <c:pt idx="6">
                  <c:v>Research &amp; Development</c:v>
                </c:pt>
                <c:pt idx="7">
                  <c:v>Sales</c:v>
                </c:pt>
              </c:strCache>
            </c:strRef>
          </c:cat>
          <c:val>
            <c:numRef>
              <c:f>Sheet1!$D$2:$D$9</c:f>
              <c:numCache>
                <c:formatCode>General</c:formatCode>
                <c:ptCount val="8"/>
                <c:pt idx="0">
                  <c:v>30</c:v>
                </c:pt>
                <c:pt idx="1">
                  <c:v>30</c:v>
                </c:pt>
                <c:pt idx="2">
                  <c:v>10</c:v>
                </c:pt>
                <c:pt idx="3">
                  <c:v>0</c:v>
                </c:pt>
                <c:pt idx="4">
                  <c:v>40</c:v>
                </c:pt>
                <c:pt idx="5">
                  <c:v>22</c:v>
                </c:pt>
                <c:pt idx="6">
                  <c:v>11</c:v>
                </c:pt>
              </c:numCache>
            </c:numRef>
          </c:val>
          <c:extLst>
            <c:ext xmlns:c16="http://schemas.microsoft.com/office/drawing/2014/chart" uri="{C3380CC4-5D6E-409C-BE32-E72D297353CC}">
              <c16:uniqueId val="{00000002-FC4B-4ABB-BF72-B564A6DAC865}"/>
            </c:ext>
          </c:extLst>
        </c:ser>
        <c:ser>
          <c:idx val="3"/>
          <c:order val="3"/>
          <c:tx>
            <c:strRef>
              <c:f>Sheet1!$E$1</c:f>
              <c:strCache>
                <c:ptCount val="1"/>
                <c:pt idx="0">
                  <c:v>Under performing </c:v>
                </c:pt>
              </c:strCache>
            </c:strRef>
          </c:tx>
          <c:spPr>
            <a:solidFill>
              <a:schemeClr val="accent4">
                <a:lumMod val="40000"/>
                <a:lumOff val="60000"/>
              </a:schemeClr>
            </a:solidFill>
            <a:ln>
              <a:noFill/>
            </a:ln>
            <a:effectLst/>
          </c:spPr>
          <c:invertIfNegative val="0"/>
          <c:cat>
            <c:strRef>
              <c:f>Sheet1!$A$2:$A$9</c:f>
              <c:strCache>
                <c:ptCount val="8"/>
                <c:pt idx="0">
                  <c:v>Administration</c:v>
                </c:pt>
                <c:pt idx="1">
                  <c:v>Logistics</c:v>
                </c:pt>
                <c:pt idx="2">
                  <c:v>Research &amp; Development</c:v>
                </c:pt>
                <c:pt idx="3">
                  <c:v>Sales</c:v>
                </c:pt>
                <c:pt idx="4">
                  <c:v>Administration</c:v>
                </c:pt>
                <c:pt idx="5">
                  <c:v>Logistics</c:v>
                </c:pt>
                <c:pt idx="6">
                  <c:v>Research &amp; Development</c:v>
                </c:pt>
                <c:pt idx="7">
                  <c:v>Sales</c:v>
                </c:pt>
              </c:strCache>
            </c:strRef>
          </c:cat>
          <c:val>
            <c:numRef>
              <c:f>Sheet1!$E$2:$E$9</c:f>
              <c:numCache>
                <c:formatCode>General</c:formatCode>
                <c:ptCount val="8"/>
                <c:pt idx="0">
                  <c:v>30</c:v>
                </c:pt>
                <c:pt idx="1">
                  <c:v>10</c:v>
                </c:pt>
                <c:pt idx="2">
                  <c:v>30</c:v>
                </c:pt>
                <c:pt idx="3">
                  <c:v>0</c:v>
                </c:pt>
                <c:pt idx="4">
                  <c:v>10</c:v>
                </c:pt>
                <c:pt idx="5">
                  <c:v>0</c:v>
                </c:pt>
                <c:pt idx="6">
                  <c:v>0</c:v>
                </c:pt>
              </c:numCache>
            </c:numRef>
          </c:val>
          <c:extLst>
            <c:ext xmlns:c16="http://schemas.microsoft.com/office/drawing/2014/chart" uri="{C3380CC4-5D6E-409C-BE32-E72D297353CC}">
              <c16:uniqueId val="{00000003-FC4B-4ABB-BF72-B564A6DAC865}"/>
            </c:ext>
          </c:extLst>
        </c:ser>
        <c:dLbls>
          <c:showLegendKey val="0"/>
          <c:showVal val="0"/>
          <c:showCatName val="0"/>
          <c:showSerName val="0"/>
          <c:showPercent val="0"/>
          <c:showBubbleSize val="0"/>
        </c:dLbls>
        <c:gapWidth val="219"/>
        <c:overlap val="-27"/>
        <c:axId val="931726031"/>
        <c:axId val="931726511"/>
      </c:barChart>
      <c:catAx>
        <c:axId val="931726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931726511"/>
        <c:crosses val="autoZero"/>
        <c:auto val="1"/>
        <c:lblAlgn val="ctr"/>
        <c:lblOffset val="100"/>
        <c:tickLblSkip val="1"/>
        <c:noMultiLvlLbl val="0"/>
      </c:catAx>
      <c:valAx>
        <c:axId val="9317265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1726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a:t>
            </a:r>
            <a:r>
              <a:rPr lang="en-GB" baseline="0"/>
              <a:t> and Q2 Bonuses Awarded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Q1</c:v>
                </c:pt>
              </c:strCache>
            </c:strRef>
          </c:tx>
          <c:spPr>
            <a:solidFill>
              <a:srgbClr val="155A75"/>
            </a:solidFill>
            <a:ln>
              <a:noFill/>
            </a:ln>
            <a:effectLst/>
          </c:spPr>
          <c:invertIfNegative val="0"/>
          <c:cat>
            <c:strRef>
              <c:f>Sheet1!$A$2:$A$15</c:f>
              <c:strCache>
                <c:ptCount val="14"/>
                <c:pt idx="0">
                  <c:v>Ethan</c:v>
                </c:pt>
                <c:pt idx="1">
                  <c:v>Gill</c:v>
                </c:pt>
                <c:pt idx="2">
                  <c:v>Harrison</c:v>
                </c:pt>
                <c:pt idx="3">
                  <c:v>Jean</c:v>
                </c:pt>
                <c:pt idx="4">
                  <c:v>Jennifer</c:v>
                </c:pt>
                <c:pt idx="5">
                  <c:v>Julie</c:v>
                </c:pt>
                <c:pt idx="6">
                  <c:v>Rick</c:v>
                </c:pt>
                <c:pt idx="7">
                  <c:v>Robin</c:v>
                </c:pt>
                <c:pt idx="8">
                  <c:v>Ruth</c:v>
                </c:pt>
                <c:pt idx="9">
                  <c:v>Saffron</c:v>
                </c:pt>
                <c:pt idx="10">
                  <c:v>Sally</c:v>
                </c:pt>
                <c:pt idx="11">
                  <c:v>Steve</c:v>
                </c:pt>
                <c:pt idx="12">
                  <c:v>Tasha</c:v>
                </c:pt>
                <c:pt idx="13">
                  <c:v>Wendy</c:v>
                </c:pt>
              </c:strCache>
            </c:strRef>
          </c:cat>
          <c:val>
            <c:numRef>
              <c:f>Sheet1!$B$2:$B$15</c:f>
              <c:numCache>
                <c:formatCode>General</c:formatCode>
                <c:ptCount val="14"/>
                <c:pt idx="0">
                  <c:v>1300</c:v>
                </c:pt>
                <c:pt idx="1">
                  <c:v>780</c:v>
                </c:pt>
                <c:pt idx="2">
                  <c:v>0</c:v>
                </c:pt>
                <c:pt idx="3">
                  <c:v>0</c:v>
                </c:pt>
                <c:pt idx="4">
                  <c:v>1180</c:v>
                </c:pt>
                <c:pt idx="5">
                  <c:v>780</c:v>
                </c:pt>
                <c:pt idx="6">
                  <c:v>780</c:v>
                </c:pt>
                <c:pt idx="7" formatCode="#,##0">
                  <c:v>1260</c:v>
                </c:pt>
                <c:pt idx="8" formatCode="#,##0">
                  <c:v>0</c:v>
                </c:pt>
                <c:pt idx="9">
                  <c:v>960</c:v>
                </c:pt>
                <c:pt idx="10">
                  <c:v>950</c:v>
                </c:pt>
                <c:pt idx="11">
                  <c:v>0</c:v>
                </c:pt>
                <c:pt idx="12">
                  <c:v>1180</c:v>
                </c:pt>
                <c:pt idx="13">
                  <c:v>0</c:v>
                </c:pt>
              </c:numCache>
            </c:numRef>
          </c:val>
          <c:extLst>
            <c:ext xmlns:c16="http://schemas.microsoft.com/office/drawing/2014/chart" uri="{C3380CC4-5D6E-409C-BE32-E72D297353CC}">
              <c16:uniqueId val="{00000000-7170-4D08-98A8-6180F6E619F8}"/>
            </c:ext>
          </c:extLst>
        </c:ser>
        <c:ser>
          <c:idx val="1"/>
          <c:order val="1"/>
          <c:tx>
            <c:strRef>
              <c:f>Sheet1!$C$1</c:f>
              <c:strCache>
                <c:ptCount val="1"/>
                <c:pt idx="0">
                  <c:v>Q2</c:v>
                </c:pt>
              </c:strCache>
            </c:strRef>
          </c:tx>
          <c:spPr>
            <a:solidFill>
              <a:srgbClr val="FF6D6D"/>
            </a:solidFill>
            <a:ln>
              <a:noFill/>
            </a:ln>
            <a:effectLst/>
          </c:spPr>
          <c:invertIfNegative val="0"/>
          <c:cat>
            <c:strRef>
              <c:f>Sheet1!$A$2:$A$15</c:f>
              <c:strCache>
                <c:ptCount val="14"/>
                <c:pt idx="0">
                  <c:v>Ethan</c:v>
                </c:pt>
                <c:pt idx="1">
                  <c:v>Gill</c:v>
                </c:pt>
                <c:pt idx="2">
                  <c:v>Harrison</c:v>
                </c:pt>
                <c:pt idx="3">
                  <c:v>Jean</c:v>
                </c:pt>
                <c:pt idx="4">
                  <c:v>Jennifer</c:v>
                </c:pt>
                <c:pt idx="5">
                  <c:v>Julie</c:v>
                </c:pt>
                <c:pt idx="6">
                  <c:v>Rick</c:v>
                </c:pt>
                <c:pt idx="7">
                  <c:v>Robin</c:v>
                </c:pt>
                <c:pt idx="8">
                  <c:v>Ruth</c:v>
                </c:pt>
                <c:pt idx="9">
                  <c:v>Saffron</c:v>
                </c:pt>
                <c:pt idx="10">
                  <c:v>Sally</c:v>
                </c:pt>
                <c:pt idx="11">
                  <c:v>Steve</c:v>
                </c:pt>
                <c:pt idx="12">
                  <c:v>Tasha</c:v>
                </c:pt>
                <c:pt idx="13">
                  <c:v>Wendy</c:v>
                </c:pt>
              </c:strCache>
            </c:strRef>
          </c:cat>
          <c:val>
            <c:numRef>
              <c:f>Sheet1!$C$2:$C$15</c:f>
              <c:numCache>
                <c:formatCode>General</c:formatCode>
                <c:ptCount val="14"/>
                <c:pt idx="0">
                  <c:v>1300</c:v>
                </c:pt>
                <c:pt idx="1">
                  <c:v>780</c:v>
                </c:pt>
                <c:pt idx="2">
                  <c:v>1300</c:v>
                </c:pt>
                <c:pt idx="3" formatCode="#,##0">
                  <c:v>1040</c:v>
                </c:pt>
                <c:pt idx="4">
                  <c:v>1180</c:v>
                </c:pt>
                <c:pt idx="5">
                  <c:v>780</c:v>
                </c:pt>
                <c:pt idx="6">
                  <c:v>0</c:v>
                </c:pt>
                <c:pt idx="7">
                  <c:v>0</c:v>
                </c:pt>
                <c:pt idx="8">
                  <c:v>950</c:v>
                </c:pt>
                <c:pt idx="9">
                  <c:v>960</c:v>
                </c:pt>
                <c:pt idx="10">
                  <c:v>0</c:v>
                </c:pt>
                <c:pt idx="11">
                  <c:v>1180</c:v>
                </c:pt>
                <c:pt idx="12">
                  <c:v>1180</c:v>
                </c:pt>
                <c:pt idx="13">
                  <c:v>950</c:v>
                </c:pt>
              </c:numCache>
            </c:numRef>
          </c:val>
          <c:extLst>
            <c:ext xmlns:c16="http://schemas.microsoft.com/office/drawing/2014/chart" uri="{C3380CC4-5D6E-409C-BE32-E72D297353CC}">
              <c16:uniqueId val="{00000001-7170-4D08-98A8-6180F6E619F8}"/>
            </c:ext>
          </c:extLst>
        </c:ser>
        <c:dLbls>
          <c:showLegendKey val="0"/>
          <c:showVal val="0"/>
          <c:showCatName val="0"/>
          <c:showSerName val="0"/>
          <c:showPercent val="0"/>
          <c:showBubbleSize val="0"/>
        </c:dLbls>
        <c:gapWidth val="150"/>
        <c:overlap val="100"/>
        <c:axId val="1262685007"/>
        <c:axId val="1262685487"/>
      </c:barChart>
      <c:catAx>
        <c:axId val="1262685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2685487"/>
        <c:crosses val="autoZero"/>
        <c:auto val="1"/>
        <c:lblAlgn val="ctr"/>
        <c:lblOffset val="100"/>
        <c:noMultiLvlLbl val="0"/>
      </c:catAx>
      <c:valAx>
        <c:axId val="12626854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2685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Bonus % by Gender</c:v>
                </c:pt>
              </c:strCache>
            </c:strRef>
          </c:tx>
          <c:dPt>
            <c:idx val="0"/>
            <c:bubble3D val="0"/>
            <c:spPr>
              <a:solidFill>
                <a:srgbClr val="155A75"/>
              </a:solidFill>
              <a:ln w="19050">
                <a:solidFill>
                  <a:schemeClr val="lt1"/>
                </a:solidFill>
              </a:ln>
              <a:effectLst/>
            </c:spPr>
            <c:extLst>
              <c:ext xmlns:c16="http://schemas.microsoft.com/office/drawing/2014/chart" uri="{C3380CC4-5D6E-409C-BE32-E72D297353CC}">
                <c16:uniqueId val="{00000001-2864-48F8-8313-1C38520C28C5}"/>
              </c:ext>
            </c:extLst>
          </c:dPt>
          <c:dPt>
            <c:idx val="1"/>
            <c:bubble3D val="0"/>
            <c:spPr>
              <a:solidFill>
                <a:srgbClr val="FF6D6D"/>
              </a:solidFill>
              <a:ln w="19050">
                <a:solidFill>
                  <a:schemeClr val="lt1"/>
                </a:solidFill>
              </a:ln>
              <a:effectLst/>
            </c:spPr>
            <c:extLst>
              <c:ext xmlns:c16="http://schemas.microsoft.com/office/drawing/2014/chart" uri="{C3380CC4-5D6E-409C-BE32-E72D297353CC}">
                <c16:uniqueId val="{00000002-2864-48F8-8313-1C38520C28C5}"/>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864-48F8-8313-1C38520C28C5}"/>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864-48F8-8313-1C38520C28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34</c:v>
                </c:pt>
                <c:pt idx="1">
                  <c:v>66</c:v>
                </c:pt>
              </c:numCache>
            </c:numRef>
          </c:val>
          <c:extLst>
            <c:ext xmlns:c16="http://schemas.microsoft.com/office/drawing/2014/chart" uri="{C3380CC4-5D6E-409C-BE32-E72D297353CC}">
              <c16:uniqueId val="{00000000-2864-48F8-8313-1C38520C28C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0.47821</cdr:x>
      <cdr:y>0.11209</cdr:y>
    </cdr:from>
    <cdr:to>
      <cdr:x>0.97179</cdr:x>
      <cdr:y>0.90769</cdr:y>
    </cdr:to>
    <cdr:sp macro="" textlink="">
      <cdr:nvSpPr>
        <cdr:cNvPr id="2" name="Rectangle 1"/>
        <cdr:cNvSpPr/>
      </cdr:nvSpPr>
      <cdr:spPr>
        <a:xfrm xmlns:a="http://schemas.openxmlformats.org/drawingml/2006/main">
          <a:off x="2623625" y="358726"/>
          <a:ext cx="2708031" cy="2546253"/>
        </a:xfrm>
        <a:prstGeom xmlns:a="http://schemas.openxmlformats.org/drawingml/2006/main" prst="rect">
          <a:avLst/>
        </a:prstGeom>
        <a:solidFill xmlns:a="http://schemas.openxmlformats.org/drawingml/2006/main">
          <a:srgbClr val="F2F2F2">
            <a:alpha val="43922"/>
          </a:srgbClr>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Metadata/LabelInfo.xml><?xml version="1.0" encoding="utf-8"?>
<clbl:labelList xmlns:clbl="http://schemas.microsoft.com/office/2020/mipLabelMetadata">
  <clbl:label id="{ddd66cce-ffe1-4029-967c-5e15ef73127f}" enabled="0" method="" siteId="{ddd66cce-ffe1-4029-967c-5e15ef73127f}" removed="1"/>
</clbl:labelList>
</file>

<file path=docProps/app.xml><?xml version="1.0" encoding="utf-8"?>
<Properties xmlns="http://schemas.openxmlformats.org/officeDocument/2006/extended-properties" xmlns:vt="http://schemas.openxmlformats.org/officeDocument/2006/docPropsVTypes">
  <Template>Normal</Template>
  <TotalTime>1155</TotalTime>
  <Pages>14</Pages>
  <Words>6476</Words>
  <Characters>36919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43309</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Kelsea Peterson</cp:lastModifiedBy>
  <cp:revision>413</cp:revision>
  <dcterms:created xsi:type="dcterms:W3CDTF">2024-09-23T13:58:00Z</dcterms:created>
  <dcterms:modified xsi:type="dcterms:W3CDTF">2025-02-24T22:30:00Z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