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6A95" w14:textId="77777777" w:rsidR="00F16157" w:rsidRDefault="005E06D6" w:rsidP="00230F35">
      <w:pPr>
        <w:pStyle w:val="NormalWeb"/>
        <w:spacing w:before="0" w:beforeAutospacing="0" w:after="0" w:afterAutospacing="0"/>
        <w:ind w:left="-180" w:right="-334"/>
      </w:pPr>
      <w:r>
        <w:rPr>
          <w:noProof/>
          <w:lang w:eastAsia="en-GB"/>
        </w:rPr>
        <w:drawing>
          <wp:inline distT="0" distB="0" distL="0" distR="0" wp14:anchorId="093FBD14" wp14:editId="6D454BB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7B1D355" w14:textId="77777777" w:rsidR="00F16157" w:rsidRDefault="00F16157" w:rsidP="00230F35">
      <w:pPr>
        <w:pStyle w:val="NormalWeb"/>
        <w:spacing w:before="0" w:beforeAutospacing="0" w:after="0" w:afterAutospacing="0"/>
        <w:ind w:left="-180" w:right="-334"/>
      </w:pPr>
    </w:p>
    <w:p w14:paraId="14467BF2" w14:textId="77777777" w:rsidR="00F16157" w:rsidRDefault="00F16157" w:rsidP="00230F35">
      <w:pPr>
        <w:pStyle w:val="NormalWeb"/>
        <w:spacing w:before="0" w:beforeAutospacing="0" w:after="0" w:afterAutospacing="0"/>
        <w:ind w:left="-180" w:right="-334"/>
      </w:pPr>
    </w:p>
    <w:p w14:paraId="74A2764E" w14:textId="77777777" w:rsidR="00F16157" w:rsidRDefault="00F16157" w:rsidP="00230F35">
      <w:pPr>
        <w:pStyle w:val="NormalWeb"/>
        <w:spacing w:before="0" w:beforeAutospacing="0" w:after="0" w:afterAutospacing="0"/>
        <w:ind w:left="-180" w:right="-334"/>
      </w:pPr>
    </w:p>
    <w:p w14:paraId="6F0DA124" w14:textId="77777777" w:rsidR="00F16157" w:rsidRDefault="00F16157" w:rsidP="00230F35">
      <w:pPr>
        <w:pStyle w:val="NormalWeb"/>
        <w:spacing w:before="0" w:beforeAutospacing="0" w:after="0" w:afterAutospacing="0"/>
        <w:ind w:left="-180" w:right="-334"/>
      </w:pPr>
    </w:p>
    <w:p w14:paraId="084CCFC1" w14:textId="77777777" w:rsidR="00F16157" w:rsidRDefault="00F16157" w:rsidP="00230F35">
      <w:pPr>
        <w:pStyle w:val="NormalWeb"/>
        <w:spacing w:before="0" w:beforeAutospacing="0" w:after="0" w:afterAutospacing="0"/>
        <w:ind w:left="-180" w:right="-334"/>
      </w:pPr>
    </w:p>
    <w:p w14:paraId="78EBE50D" w14:textId="77777777" w:rsidR="00F1615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E5376D">
        <w:rPr>
          <w:rFonts w:ascii="Arial" w:hAnsi="Arial" w:cs="Arial"/>
          <w:b/>
          <w:sz w:val="28"/>
          <w:szCs w:val="28"/>
          <w:lang w:val="cy-GB"/>
        </w:rPr>
        <w:t>/Distance Learning</w:t>
      </w:r>
    </w:p>
    <w:p w14:paraId="5EA87566" w14:textId="77777777" w:rsidR="00F16157" w:rsidRDefault="00F16157" w:rsidP="00230F35">
      <w:pPr>
        <w:pStyle w:val="NormalWeb"/>
        <w:spacing w:before="0" w:beforeAutospacing="0" w:after="0" w:afterAutospacing="0"/>
        <w:ind w:left="-180" w:right="-334"/>
        <w:jc w:val="center"/>
        <w:rPr>
          <w:rFonts w:ascii="Arial" w:hAnsi="Arial" w:cs="Arial"/>
          <w:b/>
          <w:sz w:val="28"/>
          <w:szCs w:val="28"/>
          <w:lang w:val="cy-GB"/>
        </w:rPr>
      </w:pPr>
    </w:p>
    <w:p w14:paraId="0CBF110C" w14:textId="77777777" w:rsidR="00F16157"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75A8608B" w14:textId="77777777" w:rsidR="00F16157" w:rsidRDefault="00F16157" w:rsidP="00230F35">
      <w:pPr>
        <w:pStyle w:val="NormalWeb"/>
        <w:spacing w:before="0" w:beforeAutospacing="0" w:after="0" w:afterAutospacing="0"/>
        <w:ind w:left="-180" w:right="-334"/>
        <w:jc w:val="center"/>
        <w:rPr>
          <w:rFonts w:ascii="Arial" w:hAnsi="Arial" w:cs="Arial"/>
          <w:b/>
          <w:sz w:val="28"/>
          <w:szCs w:val="28"/>
        </w:rPr>
      </w:pPr>
    </w:p>
    <w:p w14:paraId="18FDAD70" w14:textId="77777777" w:rsidR="00F16157" w:rsidRDefault="00F16157" w:rsidP="002E67CE">
      <w:pPr>
        <w:rPr>
          <w:rFonts w:ascii="Arial" w:hAnsi="Arial" w:cs="Arial"/>
          <w:sz w:val="28"/>
          <w:szCs w:val="28"/>
          <w:lang w:val="cy-GB"/>
        </w:rPr>
      </w:pPr>
    </w:p>
    <w:p w14:paraId="6952522B" w14:textId="77777777" w:rsidR="00F16157" w:rsidRDefault="00F16157" w:rsidP="002E67CE">
      <w:pPr>
        <w:rPr>
          <w:rFonts w:ascii="Arial" w:hAnsi="Arial" w:cs="Arial"/>
          <w:sz w:val="28"/>
          <w:szCs w:val="28"/>
          <w:lang w:val="cy-GB"/>
        </w:rPr>
      </w:pPr>
    </w:p>
    <w:p w14:paraId="56F35E61" w14:textId="77777777" w:rsidR="00F16157" w:rsidRDefault="002E67CE" w:rsidP="002E67CE">
      <w:pPr>
        <w:pStyle w:val="Heading3"/>
        <w:jc w:val="center"/>
        <w:rPr>
          <w:lang w:val="cy-GB"/>
        </w:rPr>
      </w:pPr>
      <w:r>
        <w:rPr>
          <w:lang w:val="cy-GB"/>
        </w:rPr>
        <w:t>THIS SHEET MUST BE THE FIRST PAGE OF THE ASSIGNMENT YOU ARE SUBMITTING  (DO NOT SEND AS A SEPARATE FILE)</w:t>
      </w:r>
    </w:p>
    <w:p w14:paraId="6938911E" w14:textId="162728CB" w:rsidR="00F16157" w:rsidRDefault="00F16157" w:rsidP="002E67CE">
      <w:pPr>
        <w:pStyle w:val="Heading3"/>
        <w:jc w:val="center"/>
        <w:rPr>
          <w:lang w:val="cy-GB"/>
        </w:rPr>
      </w:pPr>
    </w:p>
    <w:p w14:paraId="51788E06"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23"/>
        <w:gridCol w:w="1500"/>
        <w:gridCol w:w="286"/>
        <w:gridCol w:w="1795"/>
      </w:tblGrid>
      <w:tr w:rsidR="00E57529" w:rsidRPr="00230F35" w14:paraId="17A8BF89" w14:textId="77777777" w:rsidTr="00A745B6">
        <w:trPr>
          <w:trHeight w:val="614"/>
        </w:trPr>
        <w:tc>
          <w:tcPr>
            <w:tcW w:w="8856" w:type="dxa"/>
            <w:gridSpan w:val="5"/>
          </w:tcPr>
          <w:p w14:paraId="3A2424E9"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E8ECA0F" w14:textId="77777777" w:rsidTr="00A745B6">
        <w:trPr>
          <w:trHeight w:val="718"/>
        </w:trPr>
        <w:tc>
          <w:tcPr>
            <w:tcW w:w="8856" w:type="dxa"/>
            <w:gridSpan w:val="5"/>
          </w:tcPr>
          <w:p w14:paraId="095D3C51" w14:textId="77777777" w:rsidR="00F16157"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32417F">
              <w:rPr>
                <w:rFonts w:ascii="Arial" w:hAnsi="Arial" w:cs="Arial"/>
                <w:sz w:val="22"/>
                <w:szCs w:val="22"/>
              </w:rPr>
              <w:t xml:space="preserve"> </w:t>
            </w:r>
            <w:r w:rsidR="0032417F" w:rsidRPr="00E75D06">
              <w:rPr>
                <w:rFonts w:ascii="Arial" w:hAnsi="Arial" w:cs="Arial"/>
                <w:sz w:val="22"/>
                <w:szCs w:val="22"/>
              </w:rPr>
              <w:t>Hilda Hermann</w:t>
            </w:r>
          </w:p>
          <w:p w14:paraId="04D75301" w14:textId="77777777" w:rsidR="00F16157" w:rsidRDefault="00F16157" w:rsidP="002F467C">
            <w:pPr>
              <w:pStyle w:val="NormalWeb"/>
              <w:spacing w:before="0" w:beforeAutospacing="0" w:after="0" w:afterAutospacing="0"/>
              <w:ind w:right="34"/>
              <w:rPr>
                <w:rFonts w:ascii="Arial" w:hAnsi="Arial" w:cs="Arial"/>
                <w:sz w:val="22"/>
                <w:szCs w:val="22"/>
              </w:rPr>
            </w:pPr>
          </w:p>
          <w:p w14:paraId="18ED4D68" w14:textId="77777777" w:rsidR="00F16157" w:rsidRDefault="00F16157" w:rsidP="002F467C">
            <w:pPr>
              <w:pStyle w:val="NormalWeb"/>
              <w:spacing w:before="0" w:beforeAutospacing="0" w:after="0" w:afterAutospacing="0"/>
              <w:ind w:right="34"/>
              <w:rPr>
                <w:rFonts w:ascii="Arial" w:hAnsi="Arial" w:cs="Arial"/>
                <w:sz w:val="22"/>
                <w:szCs w:val="22"/>
              </w:rPr>
            </w:pPr>
          </w:p>
          <w:p w14:paraId="298A0281" w14:textId="5397F8D2" w:rsidR="00F16157" w:rsidRDefault="00F16157" w:rsidP="002F467C">
            <w:pPr>
              <w:pStyle w:val="NormalWeb"/>
              <w:spacing w:before="0" w:beforeAutospacing="0" w:after="0" w:afterAutospacing="0"/>
              <w:ind w:right="34"/>
              <w:rPr>
                <w:rFonts w:ascii="Arial" w:hAnsi="Arial" w:cs="Arial"/>
                <w:sz w:val="22"/>
                <w:szCs w:val="22"/>
              </w:rPr>
            </w:pPr>
          </w:p>
          <w:p w14:paraId="62BF3E5C" w14:textId="7777777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75D06">
              <w:rPr>
                <w:rFonts w:ascii="Arial" w:hAnsi="Arial" w:cs="Arial"/>
                <w:sz w:val="22"/>
                <w:szCs w:val="22"/>
              </w:rPr>
              <w:t>1706721@student.uwtsd.ac.uk</w:t>
            </w:r>
          </w:p>
        </w:tc>
      </w:tr>
      <w:tr w:rsidR="00CE3B79" w:rsidRPr="00230F35" w14:paraId="14A32620" w14:textId="77777777" w:rsidTr="00A745B6">
        <w:trPr>
          <w:trHeight w:val="849"/>
        </w:trPr>
        <w:tc>
          <w:tcPr>
            <w:tcW w:w="4788" w:type="dxa"/>
          </w:tcPr>
          <w:p w14:paraId="6CC6AE61" w14:textId="3D3C336D"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708CC">
              <w:rPr>
                <w:rFonts w:ascii="Arial" w:hAnsi="Arial" w:cs="Arial"/>
                <w:sz w:val="22"/>
                <w:szCs w:val="22"/>
              </w:rPr>
              <w:t xml:space="preserve"> </w:t>
            </w:r>
            <w:r w:rsidR="000E487C">
              <w:rPr>
                <w:rFonts w:ascii="Arial" w:hAnsi="Arial" w:cs="Arial"/>
                <w:sz w:val="22"/>
                <w:szCs w:val="22"/>
              </w:rPr>
              <w:t>HPCA700</w:t>
            </w:r>
            <w:r w:rsidR="00C75BA7">
              <w:rPr>
                <w:rFonts w:ascii="Arial" w:hAnsi="Arial" w:cs="Arial"/>
                <w:sz w:val="22"/>
                <w:szCs w:val="22"/>
              </w:rPr>
              <w:t>9</w:t>
            </w:r>
          </w:p>
          <w:p w14:paraId="481988EE" w14:textId="77777777" w:rsidR="00F16157" w:rsidRDefault="00F16157" w:rsidP="002F467C">
            <w:pPr>
              <w:pStyle w:val="NormalWeb"/>
              <w:spacing w:before="0" w:beforeAutospacing="0" w:after="0" w:afterAutospacing="0"/>
              <w:ind w:right="34"/>
              <w:rPr>
                <w:rFonts w:ascii="Arial" w:hAnsi="Arial" w:cs="Arial"/>
                <w:sz w:val="22"/>
                <w:szCs w:val="22"/>
              </w:rPr>
            </w:pPr>
          </w:p>
          <w:p w14:paraId="5DC8365F" w14:textId="77777777" w:rsidR="00F16157" w:rsidRDefault="00F16157" w:rsidP="002F467C">
            <w:pPr>
              <w:pStyle w:val="NormalWeb"/>
              <w:spacing w:before="0" w:beforeAutospacing="0" w:after="0" w:afterAutospacing="0"/>
              <w:ind w:right="34"/>
              <w:rPr>
                <w:rFonts w:ascii="Arial" w:hAnsi="Arial" w:cs="Arial"/>
                <w:sz w:val="22"/>
                <w:szCs w:val="22"/>
              </w:rPr>
            </w:pPr>
          </w:p>
          <w:p w14:paraId="6CE47EA3" w14:textId="77777777" w:rsidR="00F16157" w:rsidRDefault="00F16157" w:rsidP="002F467C">
            <w:pPr>
              <w:pStyle w:val="NormalWeb"/>
              <w:spacing w:before="0" w:beforeAutospacing="0" w:after="0" w:afterAutospacing="0"/>
              <w:ind w:right="34"/>
              <w:rPr>
                <w:rFonts w:ascii="Arial" w:hAnsi="Arial" w:cs="Arial"/>
                <w:sz w:val="22"/>
                <w:szCs w:val="22"/>
              </w:rPr>
            </w:pPr>
          </w:p>
          <w:p w14:paraId="5C289FBB" w14:textId="26BA1CC9"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75D06">
              <w:rPr>
                <w:rFonts w:ascii="Arial" w:hAnsi="Arial" w:cs="Arial"/>
                <w:sz w:val="22"/>
                <w:szCs w:val="22"/>
              </w:rPr>
              <w:t xml:space="preserve"> </w:t>
            </w:r>
            <w:r w:rsidR="00C75BA7">
              <w:rPr>
                <w:rFonts w:ascii="Arial" w:hAnsi="Arial" w:cs="Arial"/>
                <w:sz w:val="22"/>
                <w:szCs w:val="22"/>
              </w:rPr>
              <w:t>Skyscapes, Cosmology and Archaeology</w:t>
            </w:r>
          </w:p>
          <w:p w14:paraId="3892CC59"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1667676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63702A8" w14:textId="17F6A007" w:rsidR="00F16157" w:rsidRDefault="00F16157" w:rsidP="002F467C">
            <w:pPr>
              <w:pStyle w:val="NormalWeb"/>
              <w:spacing w:before="0" w:beforeAutospacing="0" w:after="0" w:afterAutospacing="0"/>
              <w:ind w:right="34"/>
              <w:rPr>
                <w:rFonts w:ascii="Arial" w:hAnsi="Arial" w:cs="Arial"/>
                <w:sz w:val="22"/>
                <w:szCs w:val="22"/>
              </w:rPr>
            </w:pPr>
          </w:p>
          <w:p w14:paraId="72B63564" w14:textId="77777777" w:rsidR="0032417F" w:rsidRPr="00230F35" w:rsidRDefault="0032417F"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1706721</w:t>
            </w:r>
          </w:p>
        </w:tc>
        <w:tc>
          <w:tcPr>
            <w:tcW w:w="1802" w:type="dxa"/>
          </w:tcPr>
          <w:p w14:paraId="42972037" w14:textId="77777777" w:rsidR="00F16157"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6BDA52" w14:textId="3ABBBA38" w:rsidR="00F16157" w:rsidRDefault="00F16157" w:rsidP="002F467C">
            <w:pPr>
              <w:pStyle w:val="NormalWeb"/>
              <w:spacing w:before="0" w:beforeAutospacing="0" w:after="0" w:afterAutospacing="0"/>
              <w:ind w:right="34"/>
              <w:rPr>
                <w:rFonts w:ascii="Arial" w:hAnsi="Arial" w:cs="Arial"/>
                <w:sz w:val="22"/>
                <w:szCs w:val="22"/>
              </w:rPr>
            </w:pPr>
          </w:p>
          <w:p w14:paraId="532B2CF8"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636B9E32" w14:textId="77777777" w:rsidTr="00A745B6">
        <w:trPr>
          <w:trHeight w:val="1139"/>
        </w:trPr>
        <w:tc>
          <w:tcPr>
            <w:tcW w:w="8856" w:type="dxa"/>
            <w:gridSpan w:val="5"/>
          </w:tcPr>
          <w:p w14:paraId="12692743" w14:textId="73154DC0" w:rsidR="00F16157" w:rsidRDefault="00CE3B79" w:rsidP="00062614">
            <w:pPr>
              <w:shd w:val="clear" w:color="auto" w:fill="FFFFFF" w:themeFill="background1"/>
              <w:spacing w:line="276" w:lineRule="auto"/>
              <w:jc w:val="both"/>
              <w:rPr>
                <w:rFonts w:ascii="Arial" w:hAnsi="Arial" w:cs="Arial"/>
                <w:sz w:val="22"/>
                <w:szCs w:val="22"/>
              </w:rPr>
            </w:pPr>
            <w:r w:rsidRPr="00230F35">
              <w:rPr>
                <w:rFonts w:ascii="Arial" w:hAnsi="Arial" w:cs="Arial"/>
                <w:sz w:val="22"/>
                <w:szCs w:val="22"/>
              </w:rPr>
              <w:t>Assignment title:</w:t>
            </w:r>
            <w:r w:rsidR="00523020">
              <w:rPr>
                <w:rFonts w:ascii="Arial" w:hAnsi="Arial" w:cs="Arial"/>
                <w:sz w:val="22"/>
                <w:szCs w:val="22"/>
              </w:rPr>
              <w:t xml:space="preserve"> </w:t>
            </w:r>
            <w:r w:rsidR="00C75BA7">
              <w:rPr>
                <w:rFonts w:ascii="Arial" w:hAnsi="Arial" w:cs="Arial"/>
                <w:sz w:val="22"/>
                <w:szCs w:val="22"/>
              </w:rPr>
              <w:t>Critical Review: Passage Graves of Western Iberia</w:t>
            </w:r>
          </w:p>
          <w:p w14:paraId="67A7B76C" w14:textId="77777777" w:rsidR="00F16157" w:rsidRDefault="00F16157" w:rsidP="00062614">
            <w:pPr>
              <w:shd w:val="clear" w:color="auto" w:fill="FFFFFF" w:themeFill="background1"/>
              <w:spacing w:line="276" w:lineRule="auto"/>
              <w:jc w:val="both"/>
              <w:rPr>
                <w:rFonts w:ascii="Arial" w:hAnsi="Arial" w:cs="Arial"/>
                <w:sz w:val="22"/>
                <w:szCs w:val="22"/>
              </w:rPr>
            </w:pPr>
          </w:p>
          <w:p w14:paraId="3A6918CF" w14:textId="77777777" w:rsidR="00F16157" w:rsidRDefault="00F16157" w:rsidP="002F467C">
            <w:pPr>
              <w:pStyle w:val="NormalWeb"/>
              <w:spacing w:before="0" w:beforeAutospacing="0" w:after="0" w:afterAutospacing="0"/>
              <w:ind w:right="34"/>
              <w:rPr>
                <w:rFonts w:ascii="Arial" w:hAnsi="Arial" w:cs="Arial"/>
                <w:sz w:val="22"/>
                <w:szCs w:val="22"/>
              </w:rPr>
            </w:pPr>
          </w:p>
          <w:p w14:paraId="4CF80F31" w14:textId="2834A0B3" w:rsidR="00F16157" w:rsidRDefault="00F16157" w:rsidP="002F467C">
            <w:pPr>
              <w:pStyle w:val="NormalWeb"/>
              <w:spacing w:before="0" w:beforeAutospacing="0" w:after="0" w:afterAutospacing="0"/>
              <w:ind w:right="34"/>
              <w:rPr>
                <w:rFonts w:ascii="Arial" w:hAnsi="Arial" w:cs="Arial"/>
                <w:sz w:val="22"/>
                <w:szCs w:val="22"/>
              </w:rPr>
            </w:pPr>
          </w:p>
          <w:p w14:paraId="6CE99A8F" w14:textId="741D1F89" w:rsidR="00D67BF8" w:rsidRPr="00230F35" w:rsidRDefault="00B42501" w:rsidP="00C75B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2417F">
              <w:rPr>
                <w:rFonts w:ascii="Arial" w:hAnsi="Arial" w:cs="Arial"/>
                <w:sz w:val="22"/>
                <w:szCs w:val="22"/>
              </w:rPr>
              <w:t xml:space="preserve"> </w:t>
            </w:r>
            <w:r w:rsidR="00C75BA7">
              <w:rPr>
                <w:rFonts w:ascii="Arial" w:hAnsi="Arial" w:cs="Arial"/>
                <w:sz w:val="22"/>
                <w:szCs w:val="22"/>
              </w:rPr>
              <w:t>04</w:t>
            </w:r>
            <w:r w:rsidR="00BE1B15">
              <w:rPr>
                <w:rFonts w:ascii="Arial" w:hAnsi="Arial" w:cs="Arial"/>
                <w:sz w:val="22"/>
                <w:szCs w:val="22"/>
              </w:rPr>
              <w:t>-</w:t>
            </w:r>
            <w:r w:rsidR="00C75BA7">
              <w:rPr>
                <w:rFonts w:ascii="Arial" w:hAnsi="Arial" w:cs="Arial"/>
                <w:sz w:val="22"/>
                <w:szCs w:val="22"/>
              </w:rPr>
              <w:t>03</w:t>
            </w:r>
            <w:r w:rsidR="0032417F">
              <w:rPr>
                <w:rFonts w:ascii="Arial" w:hAnsi="Arial" w:cs="Arial"/>
                <w:sz w:val="22"/>
                <w:szCs w:val="22"/>
              </w:rPr>
              <w:t>-201</w:t>
            </w:r>
            <w:r w:rsidR="00C75BA7">
              <w:rPr>
                <w:rFonts w:ascii="Arial" w:hAnsi="Arial" w:cs="Arial"/>
                <w:sz w:val="22"/>
                <w:szCs w:val="22"/>
              </w:rPr>
              <w:t>9</w:t>
            </w:r>
          </w:p>
        </w:tc>
      </w:tr>
      <w:tr w:rsidR="00230F35" w:rsidRPr="00230F35" w14:paraId="5C9A530A" w14:textId="77777777" w:rsidTr="00A745B6">
        <w:trPr>
          <w:trHeight w:val="978"/>
        </w:trPr>
        <w:tc>
          <w:tcPr>
            <w:tcW w:w="8856" w:type="dxa"/>
            <w:gridSpan w:val="5"/>
            <w:tcBorders>
              <w:bottom w:val="single" w:sz="4" w:space="0" w:color="000000"/>
            </w:tcBorders>
          </w:tcPr>
          <w:p w14:paraId="32A0C460" w14:textId="32F7BC03" w:rsidR="00230F35" w:rsidRPr="00230F35" w:rsidRDefault="00230F35" w:rsidP="000E487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E75D06">
              <w:rPr>
                <w:rFonts w:ascii="Arial" w:hAnsi="Arial" w:cs="Arial"/>
                <w:sz w:val="22"/>
                <w:szCs w:val="22"/>
              </w:rPr>
              <w:t xml:space="preserve"> </w:t>
            </w:r>
            <w:r w:rsidR="00BE1B15" w:rsidRPr="00230F35">
              <w:rPr>
                <w:rFonts w:ascii="Arial" w:hAnsi="Arial" w:cs="Arial"/>
                <w:sz w:val="22"/>
                <w:szCs w:val="22"/>
              </w:rPr>
              <w:fldChar w:fldCharType="begin">
                <w:ffData>
                  <w:name w:val="Check14"/>
                  <w:enabled/>
                  <w:calcOnExit w:val="0"/>
                  <w:checkBox>
                    <w:sizeAuto/>
                    <w:default w:val="0"/>
                  </w:checkBox>
                </w:ffData>
              </w:fldChar>
            </w:r>
            <w:r w:rsidR="00BE1B15" w:rsidRPr="00230F35">
              <w:rPr>
                <w:rFonts w:ascii="Arial" w:hAnsi="Arial" w:cs="Arial"/>
                <w:sz w:val="22"/>
                <w:szCs w:val="22"/>
              </w:rPr>
              <w:instrText xml:space="preserve"> FORMCHECKBOX </w:instrText>
            </w:r>
            <w:r w:rsidR="005E01E6">
              <w:rPr>
                <w:rFonts w:ascii="Arial" w:hAnsi="Arial" w:cs="Arial"/>
                <w:sz w:val="22"/>
                <w:szCs w:val="22"/>
              </w:rPr>
            </w:r>
            <w:r w:rsidR="005E01E6">
              <w:rPr>
                <w:rFonts w:ascii="Arial" w:hAnsi="Arial" w:cs="Arial"/>
                <w:sz w:val="22"/>
                <w:szCs w:val="22"/>
              </w:rPr>
              <w:fldChar w:fldCharType="separate"/>
            </w:r>
            <w:r w:rsidR="00BE1B15" w:rsidRPr="00230F35">
              <w:rPr>
                <w:rFonts w:ascii="Arial" w:hAnsi="Arial" w:cs="Arial"/>
                <w:sz w:val="22"/>
                <w:szCs w:val="22"/>
              </w:rPr>
              <w:fldChar w:fldCharType="end"/>
            </w:r>
            <w:r w:rsidR="000E487C" w:rsidRPr="00230F35">
              <w:rPr>
                <w:rFonts w:ascii="Arial" w:hAnsi="Arial" w:cs="Arial"/>
                <w:sz w:val="22"/>
                <w:szCs w:val="22"/>
              </w:rPr>
              <w:t xml:space="preserve">      </w:t>
            </w:r>
            <w:r w:rsidR="000E487C">
              <w:rPr>
                <w:rFonts w:ascii="Arial" w:hAnsi="Arial" w:cs="Arial"/>
                <w:sz w:val="22"/>
                <w:szCs w:val="22"/>
              </w:rPr>
              <w:t>2</w:t>
            </w:r>
            <w:r w:rsidR="000E487C">
              <w:rPr>
                <w:rFonts w:ascii="Arial" w:hAnsi="Arial" w:cs="Arial"/>
                <w:sz w:val="22"/>
                <w:szCs w:val="22"/>
                <w:vertAlign w:val="superscript"/>
              </w:rPr>
              <w:t>nd</w:t>
            </w:r>
            <w:r w:rsidR="000E487C" w:rsidRPr="00230F35">
              <w:rPr>
                <w:rFonts w:ascii="Arial" w:hAnsi="Arial" w:cs="Arial"/>
                <w:sz w:val="22"/>
                <w:szCs w:val="22"/>
              </w:rPr>
              <w:t xml:space="preserve">  </w:t>
            </w:r>
            <w:r w:rsidR="000E487C"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000E487C" w:rsidRPr="00230F35">
              <w:rPr>
                <w:rFonts w:ascii="Arial" w:hAnsi="Arial" w:cs="Arial"/>
                <w:sz w:val="22"/>
                <w:szCs w:val="22"/>
              </w:rPr>
              <w:instrText xml:space="preserve"> FORMCHECKBOX </w:instrText>
            </w:r>
            <w:r w:rsidR="005E01E6">
              <w:rPr>
                <w:rFonts w:ascii="Arial" w:hAnsi="Arial" w:cs="Arial"/>
                <w:sz w:val="22"/>
                <w:szCs w:val="22"/>
              </w:rPr>
            </w:r>
            <w:r w:rsidR="005E01E6">
              <w:rPr>
                <w:rFonts w:ascii="Arial" w:hAnsi="Arial" w:cs="Arial"/>
                <w:sz w:val="22"/>
                <w:szCs w:val="22"/>
              </w:rPr>
              <w:fldChar w:fldCharType="separate"/>
            </w:r>
            <w:r w:rsidR="000E487C" w:rsidRPr="00230F35">
              <w:rPr>
                <w:rFonts w:ascii="Arial" w:hAnsi="Arial" w:cs="Arial"/>
                <w:sz w:val="22"/>
                <w:szCs w:val="22"/>
              </w:rPr>
              <w:fldChar w:fldCharType="end"/>
            </w:r>
            <w:bookmarkEnd w:id="0"/>
            <w:r w:rsidR="000E487C" w:rsidRPr="00230F35">
              <w:rPr>
                <w:rFonts w:ascii="Arial" w:hAnsi="Arial" w:cs="Arial"/>
                <w:sz w:val="22"/>
                <w:szCs w:val="22"/>
              </w:rPr>
              <w:t xml:space="preserve">      </w:t>
            </w:r>
            <w:r w:rsidR="000E487C">
              <w:rPr>
                <w:rFonts w:ascii="Arial" w:hAnsi="Arial" w:cs="Arial"/>
                <w:sz w:val="22"/>
                <w:szCs w:val="22"/>
              </w:rPr>
              <w:t>3</w:t>
            </w:r>
            <w:r w:rsidR="000E487C">
              <w:rPr>
                <w:rFonts w:ascii="Arial" w:hAnsi="Arial" w:cs="Arial"/>
                <w:sz w:val="22"/>
                <w:szCs w:val="22"/>
                <w:vertAlign w:val="superscript"/>
              </w:rPr>
              <w:t>rd</w:t>
            </w:r>
            <w:r w:rsidRPr="00230F35">
              <w:rPr>
                <w:rFonts w:ascii="Arial" w:hAnsi="Arial" w:cs="Arial"/>
                <w:sz w:val="22"/>
                <w:szCs w:val="22"/>
              </w:rPr>
              <w:t xml:space="preserve">  </w:t>
            </w:r>
            <w:r w:rsidR="00C75BA7" w:rsidRPr="00230F35">
              <w:rPr>
                <w:rFonts w:ascii="Arial" w:hAnsi="Arial" w:cs="Arial"/>
                <w:sz w:val="22"/>
                <w:szCs w:val="22"/>
              </w:rPr>
              <w:fldChar w:fldCharType="begin">
                <w:ffData>
                  <w:name w:val="Check15"/>
                  <w:enabled/>
                  <w:calcOnExit w:val="0"/>
                  <w:checkBox>
                    <w:sizeAuto/>
                    <w:default w:val="0"/>
                  </w:checkBox>
                </w:ffData>
              </w:fldChar>
            </w:r>
            <w:r w:rsidR="00C75BA7" w:rsidRPr="00230F35">
              <w:rPr>
                <w:rFonts w:ascii="Arial" w:hAnsi="Arial" w:cs="Arial"/>
                <w:sz w:val="22"/>
                <w:szCs w:val="22"/>
              </w:rPr>
              <w:instrText xml:space="preserve"> FORMCHECKBOX </w:instrText>
            </w:r>
            <w:r w:rsidR="005E01E6">
              <w:rPr>
                <w:rFonts w:ascii="Arial" w:hAnsi="Arial" w:cs="Arial"/>
                <w:sz w:val="22"/>
                <w:szCs w:val="22"/>
              </w:rPr>
            </w:r>
            <w:r w:rsidR="005E01E6">
              <w:rPr>
                <w:rFonts w:ascii="Arial" w:hAnsi="Arial" w:cs="Arial"/>
                <w:sz w:val="22"/>
                <w:szCs w:val="22"/>
              </w:rPr>
              <w:fldChar w:fldCharType="separate"/>
            </w:r>
            <w:r w:rsidR="00C75BA7" w:rsidRPr="00230F35">
              <w:rPr>
                <w:rFonts w:ascii="Arial" w:hAnsi="Arial" w:cs="Arial"/>
                <w:sz w:val="22"/>
                <w:szCs w:val="22"/>
              </w:rPr>
              <w:fldChar w:fldCharType="end"/>
            </w:r>
            <w:r w:rsidR="00C75BA7" w:rsidRPr="00230F35">
              <w:rPr>
                <w:rFonts w:ascii="Arial" w:hAnsi="Arial" w:cs="Arial"/>
                <w:sz w:val="22"/>
                <w:szCs w:val="22"/>
              </w:rPr>
              <w:t xml:space="preserve"> </w:t>
            </w:r>
            <w:r w:rsidR="00BE1B15" w:rsidRPr="00230F35">
              <w:rPr>
                <w:rFonts w:ascii="Arial" w:hAnsi="Arial" w:cs="Arial"/>
                <w:sz w:val="22"/>
                <w:szCs w:val="22"/>
              </w:rPr>
              <w:t xml:space="preserve"> </w:t>
            </w:r>
            <w:r w:rsidR="00BE1B15">
              <w:rPr>
                <w:rFonts w:ascii="Arial" w:hAnsi="Arial" w:cs="Arial"/>
                <w:sz w:val="22"/>
                <w:szCs w:val="22"/>
              </w:rPr>
              <w:t xml:space="preserve">  </w:t>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C75BA7" w:rsidRPr="00E75D06">
              <w:rPr>
                <w:rFonts w:ascii="Arial" w:hAnsi="Arial" w:cs="Arial"/>
                <w:sz w:val="32"/>
                <w:szCs w:val="32"/>
              </w:rPr>
              <w:sym w:font="Wingdings" w:char="F0FC"/>
            </w:r>
            <w:r w:rsidR="00C75BA7" w:rsidRPr="00230F35">
              <w:rPr>
                <w:rFonts w:ascii="Arial" w:hAnsi="Arial" w:cs="Arial"/>
                <w:sz w:val="22"/>
                <w:szCs w:val="22"/>
              </w:rPr>
              <w:t xml:space="preserve"> </w:t>
            </w:r>
            <w:r w:rsidR="00C75BA7">
              <w:rPr>
                <w:rFonts w:ascii="Arial" w:hAnsi="Arial" w:cs="Arial"/>
                <w:sz w:val="22"/>
                <w:szCs w:val="22"/>
              </w:rPr>
              <w:t xml:space="preserve">   </w:t>
            </w:r>
            <w:r w:rsidRPr="00230F35">
              <w:rPr>
                <w:rFonts w:ascii="Arial" w:hAnsi="Arial" w:cs="Arial"/>
                <w:sz w:val="22"/>
                <w:szCs w:val="22"/>
              </w:rPr>
              <w:t>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1" w:name="Check17"/>
            <w:r w:rsidRPr="00230F35">
              <w:rPr>
                <w:rFonts w:ascii="Arial" w:hAnsi="Arial" w:cs="Arial"/>
                <w:sz w:val="22"/>
                <w:szCs w:val="22"/>
              </w:rPr>
              <w:instrText xml:space="preserve"> FORMCHECKBOX </w:instrText>
            </w:r>
            <w:r w:rsidR="005E01E6">
              <w:rPr>
                <w:rFonts w:ascii="Arial" w:hAnsi="Arial" w:cs="Arial"/>
                <w:sz w:val="22"/>
                <w:szCs w:val="22"/>
              </w:rPr>
            </w:r>
            <w:r w:rsidR="005E01E6">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2" w:name="Check18"/>
            <w:r w:rsidRPr="00230F35">
              <w:rPr>
                <w:rFonts w:ascii="Arial" w:hAnsi="Arial" w:cs="Arial"/>
                <w:sz w:val="22"/>
                <w:szCs w:val="22"/>
              </w:rPr>
              <w:instrText xml:space="preserve"> FORMCHECKBOX </w:instrText>
            </w:r>
            <w:r w:rsidR="005E01E6">
              <w:rPr>
                <w:rFonts w:ascii="Arial" w:hAnsi="Arial" w:cs="Arial"/>
                <w:sz w:val="22"/>
                <w:szCs w:val="22"/>
              </w:rPr>
            </w:r>
            <w:r w:rsidR="005E01E6">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84F337A" w14:textId="77777777" w:rsidTr="00A745B6">
        <w:trPr>
          <w:trHeight w:val="978"/>
        </w:trPr>
        <w:tc>
          <w:tcPr>
            <w:tcW w:w="8856" w:type="dxa"/>
            <w:gridSpan w:val="5"/>
            <w:shd w:val="clear" w:color="auto" w:fill="D9D9D9"/>
          </w:tcPr>
          <w:p w14:paraId="2643C153"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A5C4B23" w14:textId="77777777" w:rsidR="00F16157" w:rsidRDefault="00F16157" w:rsidP="002F467C">
            <w:pPr>
              <w:pStyle w:val="NormalWeb"/>
              <w:spacing w:before="0" w:beforeAutospacing="0" w:after="0" w:afterAutospacing="0"/>
              <w:ind w:right="34"/>
              <w:rPr>
                <w:rFonts w:ascii="Arial" w:hAnsi="Arial" w:cs="Arial"/>
                <w:sz w:val="22"/>
                <w:szCs w:val="22"/>
              </w:rPr>
            </w:pPr>
          </w:p>
          <w:p w14:paraId="58DB463A" w14:textId="77777777" w:rsidR="00F16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707DBB">
              <w:rPr>
                <w:rFonts w:ascii="Arial" w:hAnsi="Arial" w:cs="Arial"/>
                <w:sz w:val="22"/>
                <w:szCs w:val="22"/>
              </w:rPr>
              <w:t>………...</w:t>
            </w:r>
            <w:r w:rsidR="00C951C9">
              <w:rPr>
                <w:rFonts w:ascii="Arial" w:hAnsi="Arial" w:cs="Arial"/>
                <w:sz w:val="22"/>
                <w:szCs w:val="22"/>
              </w:rPr>
              <w:t xml:space="preserve"> </w:t>
            </w:r>
            <w:r w:rsidR="00707DBB">
              <w:rPr>
                <w:rFonts w:ascii="Arial" w:hAnsi="Arial" w:cs="Arial"/>
                <w:sz w:val="22"/>
                <w:szCs w:val="22"/>
              </w:rPr>
              <w:t xml:space="preserve">Hilda </w:t>
            </w:r>
            <w:r w:rsidR="00C951C9">
              <w:rPr>
                <w:rFonts w:ascii="Arial" w:hAnsi="Arial" w:cs="Arial"/>
                <w:sz w:val="22"/>
                <w:szCs w:val="22"/>
              </w:rPr>
              <w:t>Hermann</w:t>
            </w:r>
          </w:p>
          <w:p w14:paraId="1C88228B" w14:textId="77777777" w:rsidR="00F16157" w:rsidRDefault="00F16157" w:rsidP="002F467C">
            <w:pPr>
              <w:pStyle w:val="NormalWeb"/>
              <w:spacing w:before="0" w:beforeAutospacing="0" w:after="0" w:afterAutospacing="0"/>
              <w:ind w:right="34"/>
              <w:rPr>
                <w:rFonts w:ascii="Arial" w:hAnsi="Arial" w:cs="Arial"/>
                <w:sz w:val="22"/>
                <w:szCs w:val="22"/>
              </w:rPr>
            </w:pPr>
          </w:p>
          <w:p w14:paraId="6F21F6A9" w14:textId="77777777" w:rsidR="00F16157"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E75D06" w:rsidRPr="00E75D06">
              <w:rPr>
                <w:rFonts w:ascii="Arial" w:hAnsi="Arial" w:cs="Arial"/>
                <w:sz w:val="32"/>
                <w:szCs w:val="32"/>
              </w:rPr>
              <w:sym w:font="Wingdings" w:char="F0FC"/>
            </w:r>
          </w:p>
          <w:p w14:paraId="3756CEFB" w14:textId="2DA1E27D" w:rsidR="00F16157" w:rsidRDefault="00F16157" w:rsidP="00B462B1">
            <w:pPr>
              <w:pStyle w:val="NormalWeb"/>
              <w:spacing w:before="0" w:beforeAutospacing="0" w:after="0" w:afterAutospacing="0"/>
              <w:ind w:right="34"/>
              <w:rPr>
                <w:rFonts w:ascii="Calibri" w:hAnsi="Calibri" w:cs="Calibri"/>
                <w:b/>
                <w:sz w:val="44"/>
                <w:szCs w:val="44"/>
              </w:rPr>
            </w:pPr>
          </w:p>
          <w:p w14:paraId="05009833"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1D94369" w14:textId="77777777" w:rsidTr="00A745B6">
        <w:trPr>
          <w:trHeight w:val="3972"/>
        </w:trPr>
        <w:tc>
          <w:tcPr>
            <w:tcW w:w="8856" w:type="dxa"/>
            <w:gridSpan w:val="5"/>
          </w:tcPr>
          <w:p w14:paraId="367AA240" w14:textId="77777777" w:rsidR="00F16157" w:rsidRDefault="00F16157" w:rsidP="00A745B6">
            <w:pPr>
              <w:rPr>
                <w:rFonts w:ascii="Arial" w:hAnsi="Arial"/>
                <w:b/>
              </w:rPr>
            </w:pPr>
          </w:p>
          <w:p w14:paraId="29A467DF" w14:textId="19AF425D" w:rsidR="00F16157" w:rsidRDefault="00F16157" w:rsidP="00A745B6">
            <w:pPr>
              <w:rPr>
                <w:rFonts w:ascii="Arial" w:hAnsi="Arial"/>
                <w:b/>
              </w:rPr>
            </w:pPr>
          </w:p>
          <w:p w14:paraId="02DB9819"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53A07929" w14:textId="77777777" w:rsidTr="00022345">
              <w:tc>
                <w:tcPr>
                  <w:tcW w:w="6970" w:type="dxa"/>
                </w:tcPr>
                <w:p w14:paraId="7391A221" w14:textId="77777777" w:rsidR="00F16157" w:rsidRDefault="00F16157" w:rsidP="009C1A08">
                  <w:pPr>
                    <w:rPr>
                      <w:rFonts w:ascii="Arial" w:hAnsi="Arial"/>
                      <w:sz w:val="20"/>
                      <w:szCs w:val="20"/>
                    </w:rPr>
                  </w:pPr>
                </w:p>
                <w:p w14:paraId="4090B9C5" w14:textId="3505BC9B" w:rsidR="00F16157" w:rsidRDefault="00F16157" w:rsidP="009C1A08">
                  <w:pPr>
                    <w:rPr>
                      <w:rFonts w:ascii="Arial" w:hAnsi="Arial"/>
                      <w:sz w:val="20"/>
                      <w:szCs w:val="20"/>
                    </w:rPr>
                  </w:pPr>
                </w:p>
                <w:p w14:paraId="3D66BA12"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B338C77" w14:textId="77777777" w:rsidR="00A745B6" w:rsidRPr="00116CE6" w:rsidRDefault="00A745B6" w:rsidP="009C1A08">
                  <w:pPr>
                    <w:rPr>
                      <w:rFonts w:ascii="Arial" w:hAnsi="Arial"/>
                      <w:sz w:val="20"/>
                      <w:szCs w:val="20"/>
                    </w:rPr>
                  </w:pPr>
                </w:p>
              </w:tc>
            </w:tr>
            <w:tr w:rsidR="00A745B6" w:rsidRPr="00116CE6" w14:paraId="69710533" w14:textId="77777777" w:rsidTr="00022345">
              <w:tc>
                <w:tcPr>
                  <w:tcW w:w="6970" w:type="dxa"/>
                </w:tcPr>
                <w:p w14:paraId="38216073" w14:textId="77777777" w:rsidR="00F16157" w:rsidRDefault="00F16157" w:rsidP="009C1A08">
                  <w:pPr>
                    <w:rPr>
                      <w:rFonts w:ascii="Arial" w:hAnsi="Arial"/>
                      <w:sz w:val="20"/>
                      <w:szCs w:val="20"/>
                    </w:rPr>
                  </w:pPr>
                </w:p>
                <w:p w14:paraId="2E3F2C24" w14:textId="737DE2F5" w:rsidR="00F16157" w:rsidRDefault="00F16157" w:rsidP="009C1A08">
                  <w:pPr>
                    <w:rPr>
                      <w:rFonts w:ascii="Arial" w:hAnsi="Arial"/>
                      <w:sz w:val="20"/>
                      <w:szCs w:val="20"/>
                    </w:rPr>
                  </w:pPr>
                </w:p>
                <w:p w14:paraId="28FD06DB"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88D227E" w14:textId="77777777" w:rsidR="00A745B6" w:rsidRPr="00116CE6" w:rsidRDefault="00A745B6" w:rsidP="009C1A08">
                  <w:pPr>
                    <w:rPr>
                      <w:rFonts w:ascii="Arial" w:hAnsi="Arial"/>
                      <w:sz w:val="20"/>
                      <w:szCs w:val="20"/>
                    </w:rPr>
                  </w:pPr>
                </w:p>
              </w:tc>
            </w:tr>
            <w:tr w:rsidR="00A745B6" w:rsidRPr="00116CE6" w14:paraId="43E0E123" w14:textId="77777777" w:rsidTr="00022345">
              <w:tc>
                <w:tcPr>
                  <w:tcW w:w="6970" w:type="dxa"/>
                </w:tcPr>
                <w:p w14:paraId="3F78C046" w14:textId="77777777" w:rsidR="00F16157" w:rsidRDefault="00F16157" w:rsidP="009C1A08">
                  <w:pPr>
                    <w:rPr>
                      <w:rFonts w:ascii="Arial" w:hAnsi="Arial"/>
                      <w:sz w:val="20"/>
                      <w:szCs w:val="20"/>
                    </w:rPr>
                  </w:pPr>
                </w:p>
                <w:p w14:paraId="7779D816" w14:textId="16750D3B" w:rsidR="00F16157" w:rsidRDefault="00F16157" w:rsidP="009C1A08">
                  <w:pPr>
                    <w:rPr>
                      <w:rFonts w:ascii="Arial" w:hAnsi="Arial"/>
                      <w:sz w:val="20"/>
                      <w:szCs w:val="20"/>
                    </w:rPr>
                  </w:pPr>
                </w:p>
                <w:p w14:paraId="0DFCC08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863B343" w14:textId="77777777" w:rsidR="00A745B6" w:rsidRPr="00116CE6" w:rsidRDefault="00A745B6" w:rsidP="009C1A08">
                  <w:pPr>
                    <w:rPr>
                      <w:rFonts w:ascii="Arial" w:hAnsi="Arial"/>
                      <w:sz w:val="20"/>
                      <w:szCs w:val="20"/>
                    </w:rPr>
                  </w:pPr>
                </w:p>
              </w:tc>
            </w:tr>
            <w:tr w:rsidR="00A745B6" w:rsidRPr="00116CE6" w14:paraId="03087122" w14:textId="77777777" w:rsidTr="00022345">
              <w:tc>
                <w:tcPr>
                  <w:tcW w:w="6970" w:type="dxa"/>
                </w:tcPr>
                <w:p w14:paraId="23895512" w14:textId="77777777" w:rsidR="00F16157" w:rsidRDefault="00F16157" w:rsidP="009C1A08">
                  <w:pPr>
                    <w:rPr>
                      <w:rFonts w:ascii="Arial" w:hAnsi="Arial"/>
                      <w:sz w:val="20"/>
                      <w:szCs w:val="20"/>
                    </w:rPr>
                  </w:pPr>
                </w:p>
                <w:p w14:paraId="1D385596" w14:textId="77777777" w:rsidR="00F16157" w:rsidRDefault="00F16157" w:rsidP="009C1A08">
                  <w:pPr>
                    <w:rPr>
                      <w:rFonts w:ascii="Arial" w:hAnsi="Arial"/>
                      <w:sz w:val="20"/>
                      <w:szCs w:val="20"/>
                    </w:rPr>
                  </w:pPr>
                </w:p>
                <w:p w14:paraId="34729AAA" w14:textId="77777777" w:rsidR="00F16157" w:rsidRDefault="00A745B6" w:rsidP="009C1A08">
                  <w:pPr>
                    <w:rPr>
                      <w:rFonts w:ascii="Arial" w:hAnsi="Arial"/>
                      <w:b/>
                      <w:sz w:val="20"/>
                      <w:szCs w:val="20"/>
                    </w:rPr>
                  </w:pPr>
                  <w:r w:rsidRPr="00022345">
                    <w:rPr>
                      <w:rFonts w:ascii="Arial" w:hAnsi="Arial"/>
                      <w:b/>
                      <w:sz w:val="20"/>
                      <w:szCs w:val="20"/>
                    </w:rPr>
                    <w:t>Final Mark</w:t>
                  </w:r>
                </w:p>
                <w:p w14:paraId="2645C854" w14:textId="15382680" w:rsidR="00F16157" w:rsidRDefault="00F16157" w:rsidP="009C1A08">
                  <w:pPr>
                    <w:rPr>
                      <w:rFonts w:ascii="Arial" w:hAnsi="Arial"/>
                      <w:b/>
                      <w:sz w:val="20"/>
                      <w:szCs w:val="20"/>
                    </w:rPr>
                  </w:pPr>
                </w:p>
                <w:p w14:paraId="2BA43843" w14:textId="77777777" w:rsidR="00A745B6" w:rsidRPr="00116CE6" w:rsidRDefault="00A745B6" w:rsidP="009C1A08">
                  <w:pPr>
                    <w:rPr>
                      <w:rFonts w:ascii="Arial" w:hAnsi="Arial"/>
                      <w:sz w:val="20"/>
                      <w:szCs w:val="20"/>
                    </w:rPr>
                  </w:pPr>
                </w:p>
              </w:tc>
              <w:tc>
                <w:tcPr>
                  <w:tcW w:w="1660" w:type="dxa"/>
                </w:tcPr>
                <w:p w14:paraId="5E2315CE" w14:textId="77777777" w:rsidR="00A745B6" w:rsidRPr="00116CE6" w:rsidRDefault="00A745B6" w:rsidP="009C1A08">
                  <w:pPr>
                    <w:rPr>
                      <w:rFonts w:ascii="Arial" w:hAnsi="Arial"/>
                      <w:sz w:val="20"/>
                      <w:szCs w:val="20"/>
                    </w:rPr>
                  </w:pPr>
                </w:p>
              </w:tc>
            </w:tr>
          </w:tbl>
          <w:p w14:paraId="2629A929"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3D667908" w14:textId="77777777" w:rsidR="00F16157" w:rsidRDefault="00F16157" w:rsidP="00A745B6">
            <w:pPr>
              <w:pStyle w:val="NormalWeb"/>
              <w:spacing w:before="0" w:beforeAutospacing="0" w:after="0" w:afterAutospacing="0"/>
              <w:ind w:left="142" w:right="34"/>
              <w:rPr>
                <w:rFonts w:ascii="Arial" w:hAnsi="Arial" w:cs="Arial"/>
                <w:b/>
                <w:sz w:val="22"/>
                <w:szCs w:val="22"/>
              </w:rPr>
            </w:pPr>
          </w:p>
          <w:p w14:paraId="560F2746" w14:textId="77777777" w:rsidR="00F16157"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62099B" w14:textId="77777777" w:rsidR="00F16157" w:rsidRDefault="00F16157" w:rsidP="00A745B6">
            <w:pPr>
              <w:pStyle w:val="NormalWeb"/>
              <w:spacing w:before="0" w:beforeAutospacing="0" w:after="0" w:afterAutospacing="0"/>
              <w:ind w:left="142" w:right="34"/>
              <w:rPr>
                <w:rFonts w:ascii="Arial" w:hAnsi="Arial" w:cs="Arial"/>
                <w:sz w:val="22"/>
                <w:szCs w:val="22"/>
              </w:rPr>
            </w:pPr>
          </w:p>
          <w:p w14:paraId="1E628678" w14:textId="77777777" w:rsidR="00F16157" w:rsidRDefault="00F16157" w:rsidP="002F467C">
            <w:pPr>
              <w:pStyle w:val="NormalWeb"/>
              <w:spacing w:before="0" w:beforeAutospacing="0" w:after="0" w:afterAutospacing="0"/>
              <w:rPr>
                <w:rFonts w:ascii="Arial" w:hAnsi="Arial" w:cs="Arial"/>
                <w:b/>
                <w:sz w:val="22"/>
                <w:szCs w:val="22"/>
              </w:rPr>
            </w:pPr>
          </w:p>
          <w:p w14:paraId="0712027D" w14:textId="77777777" w:rsidR="00F16157" w:rsidRDefault="00F16157" w:rsidP="002F467C">
            <w:pPr>
              <w:pStyle w:val="NormalWeb"/>
              <w:spacing w:before="0" w:beforeAutospacing="0" w:after="0" w:afterAutospacing="0"/>
              <w:rPr>
                <w:rFonts w:ascii="Arial" w:hAnsi="Arial" w:cs="Arial"/>
                <w:b/>
                <w:sz w:val="22"/>
                <w:szCs w:val="22"/>
              </w:rPr>
            </w:pPr>
          </w:p>
          <w:p w14:paraId="44CD5B7F" w14:textId="77777777" w:rsidR="00F16157" w:rsidRDefault="00F16157" w:rsidP="002F467C">
            <w:pPr>
              <w:pStyle w:val="NormalWeb"/>
              <w:spacing w:before="0" w:beforeAutospacing="0" w:after="0" w:afterAutospacing="0"/>
              <w:rPr>
                <w:rFonts w:ascii="Arial" w:hAnsi="Arial" w:cs="Arial"/>
                <w:b/>
                <w:sz w:val="22"/>
                <w:szCs w:val="22"/>
              </w:rPr>
            </w:pPr>
          </w:p>
          <w:p w14:paraId="775FBCF5" w14:textId="77777777" w:rsidR="00F16157" w:rsidRDefault="00F16157" w:rsidP="002F467C">
            <w:pPr>
              <w:pStyle w:val="NormalWeb"/>
              <w:spacing w:before="0" w:beforeAutospacing="0" w:after="0" w:afterAutospacing="0"/>
              <w:rPr>
                <w:rFonts w:ascii="Arial" w:hAnsi="Arial" w:cs="Arial"/>
                <w:b/>
                <w:sz w:val="22"/>
                <w:szCs w:val="22"/>
              </w:rPr>
            </w:pPr>
          </w:p>
          <w:p w14:paraId="153BEFEE" w14:textId="77777777" w:rsidR="00F16157" w:rsidRDefault="00F16157" w:rsidP="002F467C">
            <w:pPr>
              <w:pStyle w:val="NormalWeb"/>
              <w:spacing w:before="0" w:beforeAutospacing="0" w:after="0" w:afterAutospacing="0"/>
              <w:rPr>
                <w:rFonts w:ascii="Arial" w:hAnsi="Arial" w:cs="Arial"/>
                <w:b/>
                <w:sz w:val="22"/>
                <w:szCs w:val="22"/>
              </w:rPr>
            </w:pPr>
          </w:p>
          <w:p w14:paraId="0438379C" w14:textId="77777777" w:rsidR="00F16157" w:rsidRDefault="00F16157" w:rsidP="002F467C">
            <w:pPr>
              <w:pStyle w:val="NormalWeb"/>
              <w:spacing w:before="0" w:beforeAutospacing="0" w:after="0" w:afterAutospacing="0"/>
              <w:rPr>
                <w:rFonts w:ascii="Arial" w:hAnsi="Arial" w:cs="Arial"/>
                <w:b/>
                <w:sz w:val="22"/>
                <w:szCs w:val="22"/>
              </w:rPr>
            </w:pPr>
          </w:p>
          <w:p w14:paraId="37703A4E" w14:textId="77777777" w:rsidR="00F16157" w:rsidRDefault="00F16157" w:rsidP="002F467C">
            <w:pPr>
              <w:pStyle w:val="NormalWeb"/>
              <w:spacing w:before="0" w:beforeAutospacing="0" w:after="0" w:afterAutospacing="0"/>
              <w:rPr>
                <w:rFonts w:ascii="Arial" w:hAnsi="Arial" w:cs="Arial"/>
                <w:b/>
                <w:sz w:val="22"/>
                <w:szCs w:val="22"/>
              </w:rPr>
            </w:pPr>
          </w:p>
          <w:p w14:paraId="188124EF" w14:textId="77777777" w:rsidR="00F16157" w:rsidRDefault="00F16157" w:rsidP="002F467C">
            <w:pPr>
              <w:pStyle w:val="NormalWeb"/>
              <w:spacing w:before="0" w:beforeAutospacing="0" w:after="0" w:afterAutospacing="0"/>
              <w:rPr>
                <w:rFonts w:ascii="Arial" w:hAnsi="Arial" w:cs="Arial"/>
                <w:b/>
                <w:sz w:val="22"/>
                <w:szCs w:val="22"/>
              </w:rPr>
            </w:pPr>
          </w:p>
          <w:p w14:paraId="677988B1" w14:textId="77777777" w:rsidR="00F16157" w:rsidRDefault="00F16157" w:rsidP="002F467C">
            <w:pPr>
              <w:pStyle w:val="NormalWeb"/>
              <w:spacing w:before="0" w:beforeAutospacing="0" w:after="0" w:afterAutospacing="0"/>
              <w:rPr>
                <w:rFonts w:ascii="Arial" w:hAnsi="Arial" w:cs="Arial"/>
                <w:b/>
                <w:sz w:val="22"/>
                <w:szCs w:val="22"/>
              </w:rPr>
            </w:pPr>
          </w:p>
          <w:p w14:paraId="06541763" w14:textId="77777777" w:rsidR="00F16157" w:rsidRDefault="00F16157" w:rsidP="002F467C">
            <w:pPr>
              <w:pStyle w:val="NormalWeb"/>
              <w:spacing w:before="0" w:beforeAutospacing="0" w:after="0" w:afterAutospacing="0"/>
              <w:rPr>
                <w:rFonts w:ascii="Arial" w:hAnsi="Arial" w:cs="Arial"/>
                <w:b/>
                <w:sz w:val="22"/>
                <w:szCs w:val="22"/>
              </w:rPr>
            </w:pPr>
          </w:p>
          <w:p w14:paraId="3C7DDDA5" w14:textId="77777777" w:rsidR="00F16157"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7F8C02C9" w14:textId="77777777" w:rsidR="00F16157" w:rsidRDefault="00F16157" w:rsidP="002F467C">
            <w:pPr>
              <w:pStyle w:val="NormalWeb"/>
              <w:spacing w:before="0" w:beforeAutospacing="0" w:after="0" w:afterAutospacing="0"/>
              <w:rPr>
                <w:rFonts w:ascii="Arial" w:hAnsi="Arial" w:cs="Arial"/>
                <w:b/>
                <w:sz w:val="22"/>
                <w:szCs w:val="22"/>
              </w:rPr>
            </w:pPr>
          </w:p>
          <w:p w14:paraId="43ACD9A2" w14:textId="77777777" w:rsidR="00F16157"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2062C2A" w14:textId="3953CFB5" w:rsidR="00F16157" w:rsidRDefault="00F16157" w:rsidP="00043549">
            <w:pPr>
              <w:pStyle w:val="NormalWeb"/>
              <w:rPr>
                <w:rFonts w:ascii="Arial" w:hAnsi="Arial" w:cs="Arial"/>
                <w:sz w:val="22"/>
                <w:szCs w:val="22"/>
              </w:rPr>
            </w:pPr>
          </w:p>
          <w:p w14:paraId="5925FBC2" w14:textId="77777777" w:rsidR="00B56E7B" w:rsidRPr="00001C3B" w:rsidRDefault="00B56E7B" w:rsidP="00043549">
            <w:pPr>
              <w:pStyle w:val="NormalWeb"/>
              <w:rPr>
                <w:rFonts w:ascii="Arial" w:hAnsi="Arial" w:cs="Arial"/>
                <w:sz w:val="22"/>
                <w:szCs w:val="22"/>
              </w:rPr>
            </w:pPr>
          </w:p>
        </w:tc>
      </w:tr>
      <w:tr w:rsidR="00EC7546" w:rsidRPr="00230F35" w14:paraId="79B22FB7" w14:textId="77777777" w:rsidTr="00A745B6">
        <w:trPr>
          <w:trHeight w:val="492"/>
        </w:trPr>
        <w:tc>
          <w:tcPr>
            <w:tcW w:w="6768" w:type="dxa"/>
            <w:gridSpan w:val="3"/>
          </w:tcPr>
          <w:p w14:paraId="36FC1299"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7F62505E"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AE8392B" w14:textId="77777777" w:rsidTr="002F467C">
        <w:tc>
          <w:tcPr>
            <w:tcW w:w="8856" w:type="dxa"/>
            <w:gridSpan w:val="5"/>
          </w:tcPr>
          <w:p w14:paraId="5F5421CD"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7C03BD5E" w14:textId="77777777" w:rsidR="00F16157" w:rsidRDefault="00F16157" w:rsidP="002F467C">
            <w:pPr>
              <w:pStyle w:val="NormalWeb"/>
              <w:spacing w:before="0" w:beforeAutospacing="0" w:after="0" w:afterAutospacing="0"/>
              <w:ind w:right="-334"/>
              <w:rPr>
                <w:rFonts w:ascii="Arial" w:hAnsi="Arial" w:cs="Arial"/>
                <w:bCs/>
                <w:i/>
                <w:sz w:val="22"/>
                <w:szCs w:val="22"/>
              </w:rPr>
            </w:pPr>
          </w:p>
          <w:p w14:paraId="21382E80" w14:textId="77777777" w:rsidR="00F16157"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6E95ACB7"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035CA2FF"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443B0DC0" w14:textId="77777777" w:rsidR="00F16157" w:rsidRDefault="00F16157" w:rsidP="002F467C">
            <w:pPr>
              <w:pStyle w:val="NormalWeb"/>
              <w:spacing w:before="0" w:beforeAutospacing="0" w:after="0" w:afterAutospacing="0"/>
              <w:ind w:right="-334"/>
              <w:rPr>
                <w:rFonts w:ascii="Arial" w:hAnsi="Arial" w:cs="Arial"/>
                <w:b/>
                <w:bCs/>
                <w:sz w:val="22"/>
                <w:szCs w:val="22"/>
              </w:rPr>
            </w:pPr>
          </w:p>
          <w:p w14:paraId="13E5B07C" w14:textId="77777777" w:rsidR="00F16157"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ADA7E3" w14:textId="77777777" w:rsidR="00F16157" w:rsidRDefault="00F16157" w:rsidP="002F467C">
            <w:pPr>
              <w:pStyle w:val="NormalWeb"/>
              <w:spacing w:before="0" w:beforeAutospacing="0" w:after="0" w:afterAutospacing="0"/>
              <w:ind w:right="-334"/>
              <w:rPr>
                <w:rFonts w:ascii="Arial" w:hAnsi="Arial" w:cs="Arial"/>
                <w:bCs/>
                <w:sz w:val="22"/>
                <w:szCs w:val="22"/>
              </w:rPr>
            </w:pPr>
          </w:p>
          <w:p w14:paraId="6DB04017" w14:textId="77777777" w:rsidR="00F16157" w:rsidRDefault="00F16157" w:rsidP="002F467C">
            <w:pPr>
              <w:pStyle w:val="NormalWeb"/>
              <w:spacing w:before="0" w:beforeAutospacing="0" w:after="0" w:afterAutospacing="0"/>
              <w:ind w:right="-334"/>
              <w:rPr>
                <w:rFonts w:ascii="Arial" w:hAnsi="Arial" w:cs="Arial"/>
                <w:bCs/>
                <w:sz w:val="22"/>
                <w:szCs w:val="22"/>
              </w:rPr>
            </w:pPr>
          </w:p>
          <w:p w14:paraId="330D2B5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97914B" w14:textId="77777777" w:rsidR="00F16157" w:rsidRDefault="00F16157" w:rsidP="002F467C">
            <w:pPr>
              <w:pStyle w:val="NormalWeb"/>
              <w:spacing w:before="0" w:beforeAutospacing="0" w:after="0" w:afterAutospacing="0"/>
              <w:ind w:right="-334"/>
              <w:rPr>
                <w:rFonts w:ascii="Arial" w:hAnsi="Arial" w:cs="Arial"/>
                <w:bCs/>
                <w:sz w:val="22"/>
                <w:szCs w:val="22"/>
              </w:rPr>
            </w:pPr>
          </w:p>
          <w:p w14:paraId="7E02CA44"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ADA3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07FA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2578A91"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45B02D" w14:textId="77777777" w:rsidR="00F16157" w:rsidRDefault="00F16157" w:rsidP="002F467C">
            <w:pPr>
              <w:pStyle w:val="NormalWeb"/>
              <w:spacing w:before="0" w:beforeAutospacing="0" w:after="0" w:afterAutospacing="0"/>
              <w:ind w:right="-334"/>
              <w:rPr>
                <w:rFonts w:ascii="Arial" w:hAnsi="Arial" w:cs="Arial"/>
                <w:bCs/>
                <w:sz w:val="22"/>
                <w:szCs w:val="22"/>
              </w:rPr>
            </w:pPr>
          </w:p>
          <w:p w14:paraId="036BC042"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2DFE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57BB66D0" w14:textId="77777777" w:rsidR="00F16157" w:rsidRDefault="00F16157" w:rsidP="002F467C">
            <w:pPr>
              <w:pStyle w:val="NormalWeb"/>
              <w:spacing w:before="0" w:beforeAutospacing="0" w:after="0" w:afterAutospacing="0"/>
              <w:ind w:right="-334"/>
              <w:rPr>
                <w:rFonts w:ascii="Arial" w:hAnsi="Arial" w:cs="Arial"/>
                <w:bCs/>
                <w:sz w:val="22"/>
                <w:szCs w:val="22"/>
              </w:rPr>
            </w:pPr>
          </w:p>
          <w:p w14:paraId="31247AC6" w14:textId="77777777" w:rsidR="00F16157" w:rsidRDefault="00F16157" w:rsidP="002F467C">
            <w:pPr>
              <w:pStyle w:val="NormalWeb"/>
              <w:spacing w:before="0" w:beforeAutospacing="0" w:after="0" w:afterAutospacing="0"/>
              <w:ind w:right="-334"/>
              <w:rPr>
                <w:rFonts w:ascii="Arial" w:hAnsi="Arial" w:cs="Arial"/>
                <w:bCs/>
                <w:sz w:val="22"/>
                <w:szCs w:val="22"/>
              </w:rPr>
            </w:pPr>
          </w:p>
          <w:p w14:paraId="4B64144D"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F939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96BA689" w14:textId="77777777" w:rsidR="00F16157" w:rsidRDefault="00F16157" w:rsidP="002F467C">
            <w:pPr>
              <w:pStyle w:val="NormalWeb"/>
              <w:spacing w:before="0" w:beforeAutospacing="0" w:after="0" w:afterAutospacing="0"/>
              <w:ind w:right="-334"/>
              <w:rPr>
                <w:rFonts w:ascii="Arial" w:hAnsi="Arial" w:cs="Arial"/>
                <w:bCs/>
                <w:sz w:val="22"/>
                <w:szCs w:val="22"/>
              </w:rPr>
            </w:pPr>
          </w:p>
          <w:p w14:paraId="40A2915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1E0CA70" w14:textId="77777777" w:rsidR="00F16157" w:rsidRDefault="00F16157" w:rsidP="002F467C">
            <w:pPr>
              <w:pStyle w:val="NormalWeb"/>
              <w:spacing w:before="0" w:beforeAutospacing="0" w:after="0" w:afterAutospacing="0"/>
              <w:ind w:right="-334"/>
              <w:rPr>
                <w:rFonts w:ascii="Arial" w:hAnsi="Arial" w:cs="Arial"/>
                <w:bCs/>
                <w:sz w:val="22"/>
                <w:szCs w:val="22"/>
              </w:rPr>
            </w:pPr>
          </w:p>
          <w:p w14:paraId="6C540FA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7C2D70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D043EE0" w14:textId="77777777" w:rsidR="00F16157" w:rsidRDefault="00F16157" w:rsidP="002F467C">
            <w:pPr>
              <w:pStyle w:val="NormalWeb"/>
              <w:spacing w:before="0" w:beforeAutospacing="0" w:after="0" w:afterAutospacing="0"/>
              <w:ind w:right="-334"/>
              <w:rPr>
                <w:rFonts w:ascii="Arial" w:hAnsi="Arial" w:cs="Arial"/>
                <w:bCs/>
                <w:sz w:val="22"/>
                <w:szCs w:val="22"/>
              </w:rPr>
            </w:pPr>
          </w:p>
          <w:p w14:paraId="08C0AF3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2B3E86B" w14:textId="06ED01B4" w:rsidR="00F16157" w:rsidRDefault="00F16157" w:rsidP="002F467C">
            <w:pPr>
              <w:pStyle w:val="NormalWeb"/>
              <w:spacing w:before="0" w:beforeAutospacing="0" w:after="0" w:afterAutospacing="0"/>
              <w:ind w:right="-334"/>
              <w:rPr>
                <w:rFonts w:ascii="Arial" w:hAnsi="Arial" w:cs="Arial"/>
                <w:bCs/>
                <w:sz w:val="22"/>
                <w:szCs w:val="22"/>
              </w:rPr>
            </w:pPr>
          </w:p>
          <w:p w14:paraId="630EB2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56A19829" w14:textId="77777777" w:rsidTr="008D674F">
        <w:trPr>
          <w:trHeight w:val="720"/>
        </w:trPr>
        <w:tc>
          <w:tcPr>
            <w:tcW w:w="5211" w:type="dxa"/>
            <w:gridSpan w:val="2"/>
          </w:tcPr>
          <w:p w14:paraId="39E620D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sidR="00B56E7B">
              <w:rPr>
                <w:rFonts w:ascii="Arial" w:hAnsi="Arial" w:cs="Arial"/>
                <w:bCs/>
                <w:sz w:val="22"/>
                <w:szCs w:val="22"/>
              </w:rPr>
              <w:t>:</w:t>
            </w:r>
          </w:p>
        </w:tc>
        <w:tc>
          <w:tcPr>
            <w:tcW w:w="3645" w:type="dxa"/>
            <w:gridSpan w:val="3"/>
          </w:tcPr>
          <w:p w14:paraId="4C8648B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1A0F4BAC" w14:textId="77777777" w:rsidTr="009C1A08">
        <w:trPr>
          <w:trHeight w:val="720"/>
        </w:trPr>
        <w:tc>
          <w:tcPr>
            <w:tcW w:w="8856" w:type="dxa"/>
            <w:gridSpan w:val="5"/>
          </w:tcPr>
          <w:p w14:paraId="037F8C02" w14:textId="77777777" w:rsidR="00F16157"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A1F2856" w14:textId="77777777" w:rsidR="00F16157" w:rsidRDefault="00F16157" w:rsidP="00230F35">
            <w:pPr>
              <w:rPr>
                <w:rFonts w:ascii="Arial" w:hAnsi="Arial" w:cs="Arial"/>
                <w:b/>
                <w:sz w:val="22"/>
                <w:szCs w:val="22"/>
              </w:rPr>
            </w:pPr>
          </w:p>
          <w:p w14:paraId="45DB7F07" w14:textId="77777777" w:rsidR="00F16157" w:rsidRDefault="00F16157" w:rsidP="002F467C">
            <w:pPr>
              <w:pStyle w:val="NormalWeb"/>
              <w:spacing w:before="0" w:beforeAutospacing="0" w:after="0" w:afterAutospacing="0"/>
              <w:ind w:right="-334"/>
              <w:rPr>
                <w:rFonts w:ascii="Arial" w:hAnsi="Arial" w:cs="Arial"/>
                <w:bCs/>
                <w:sz w:val="22"/>
                <w:szCs w:val="22"/>
              </w:rPr>
            </w:pPr>
          </w:p>
          <w:p w14:paraId="29895B8A" w14:textId="77777777" w:rsidR="00F16157" w:rsidRDefault="00F16157" w:rsidP="002F467C">
            <w:pPr>
              <w:pStyle w:val="NormalWeb"/>
              <w:spacing w:before="0" w:beforeAutospacing="0" w:after="0" w:afterAutospacing="0"/>
              <w:ind w:right="-334"/>
              <w:rPr>
                <w:rFonts w:ascii="Arial" w:hAnsi="Arial" w:cs="Arial"/>
                <w:bCs/>
                <w:sz w:val="22"/>
                <w:szCs w:val="22"/>
              </w:rPr>
            </w:pPr>
          </w:p>
          <w:p w14:paraId="10A512D3" w14:textId="77777777" w:rsidR="00F16157" w:rsidRDefault="00F16157" w:rsidP="002F467C">
            <w:pPr>
              <w:pStyle w:val="NormalWeb"/>
              <w:spacing w:before="0" w:beforeAutospacing="0" w:after="0" w:afterAutospacing="0"/>
              <w:ind w:right="-334"/>
              <w:rPr>
                <w:rFonts w:ascii="Arial" w:hAnsi="Arial" w:cs="Arial"/>
                <w:bCs/>
                <w:sz w:val="22"/>
                <w:szCs w:val="22"/>
              </w:rPr>
            </w:pPr>
          </w:p>
          <w:p w14:paraId="257AA0F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7CFF5FB" w14:textId="77777777" w:rsidR="00F16157" w:rsidRDefault="00F16157" w:rsidP="002F467C">
            <w:pPr>
              <w:pStyle w:val="NormalWeb"/>
              <w:spacing w:before="0" w:beforeAutospacing="0" w:after="0" w:afterAutospacing="0"/>
              <w:ind w:right="-334"/>
              <w:rPr>
                <w:rFonts w:ascii="Arial" w:hAnsi="Arial" w:cs="Arial"/>
                <w:bCs/>
                <w:sz w:val="22"/>
                <w:szCs w:val="22"/>
              </w:rPr>
            </w:pPr>
          </w:p>
          <w:p w14:paraId="656FADC8" w14:textId="77777777" w:rsidR="00F16157" w:rsidRDefault="00F16157" w:rsidP="002F467C">
            <w:pPr>
              <w:pStyle w:val="NormalWeb"/>
              <w:spacing w:before="0" w:beforeAutospacing="0" w:after="0" w:afterAutospacing="0"/>
              <w:ind w:right="-334"/>
              <w:rPr>
                <w:rFonts w:ascii="Arial" w:hAnsi="Arial" w:cs="Arial"/>
                <w:bCs/>
                <w:sz w:val="22"/>
                <w:szCs w:val="22"/>
              </w:rPr>
            </w:pPr>
          </w:p>
          <w:p w14:paraId="701C63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7AFD54C5" w14:textId="77777777" w:rsidR="00F16157" w:rsidRDefault="00F16157" w:rsidP="002F467C">
            <w:pPr>
              <w:pStyle w:val="NormalWeb"/>
              <w:spacing w:before="0" w:beforeAutospacing="0" w:after="0" w:afterAutospacing="0"/>
              <w:ind w:right="-334"/>
              <w:rPr>
                <w:rFonts w:ascii="Arial" w:hAnsi="Arial" w:cs="Arial"/>
                <w:bCs/>
                <w:sz w:val="22"/>
                <w:szCs w:val="22"/>
              </w:rPr>
            </w:pPr>
          </w:p>
          <w:p w14:paraId="0C107411" w14:textId="77777777" w:rsidR="00F16157" w:rsidRDefault="00F16157" w:rsidP="002F467C">
            <w:pPr>
              <w:pStyle w:val="NormalWeb"/>
              <w:spacing w:before="0" w:beforeAutospacing="0" w:after="0" w:afterAutospacing="0"/>
              <w:ind w:right="-334"/>
              <w:rPr>
                <w:rFonts w:ascii="Arial" w:hAnsi="Arial" w:cs="Arial"/>
                <w:bCs/>
                <w:sz w:val="22"/>
                <w:szCs w:val="22"/>
              </w:rPr>
            </w:pPr>
          </w:p>
          <w:p w14:paraId="1D1083A7" w14:textId="77777777" w:rsidR="00F16157" w:rsidRDefault="00F16157" w:rsidP="002F467C">
            <w:pPr>
              <w:pStyle w:val="NormalWeb"/>
              <w:spacing w:before="0" w:beforeAutospacing="0" w:after="0" w:afterAutospacing="0"/>
              <w:ind w:right="-334"/>
              <w:rPr>
                <w:rFonts w:ascii="Arial" w:hAnsi="Arial" w:cs="Arial"/>
                <w:bCs/>
                <w:sz w:val="22"/>
                <w:szCs w:val="22"/>
              </w:rPr>
            </w:pPr>
          </w:p>
          <w:p w14:paraId="6E416659"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7644BE" w14:textId="77777777" w:rsidR="00F16157" w:rsidRDefault="00F16157" w:rsidP="002F467C">
            <w:pPr>
              <w:pStyle w:val="NormalWeb"/>
              <w:spacing w:before="0" w:beforeAutospacing="0" w:after="0" w:afterAutospacing="0"/>
              <w:ind w:right="-334"/>
              <w:rPr>
                <w:rFonts w:ascii="Arial" w:hAnsi="Arial" w:cs="Arial"/>
                <w:bCs/>
                <w:sz w:val="22"/>
                <w:szCs w:val="22"/>
              </w:rPr>
            </w:pPr>
          </w:p>
          <w:p w14:paraId="5E004AAF" w14:textId="77777777" w:rsidR="00F16157" w:rsidRDefault="00F16157" w:rsidP="002F467C">
            <w:pPr>
              <w:pStyle w:val="NormalWeb"/>
              <w:spacing w:before="0" w:beforeAutospacing="0" w:after="0" w:afterAutospacing="0"/>
              <w:ind w:right="-334"/>
              <w:rPr>
                <w:rFonts w:ascii="Arial" w:hAnsi="Arial" w:cs="Arial"/>
                <w:bCs/>
                <w:sz w:val="22"/>
                <w:szCs w:val="22"/>
              </w:rPr>
            </w:pPr>
          </w:p>
          <w:p w14:paraId="62DEA87F" w14:textId="77777777" w:rsidR="00F16157" w:rsidRDefault="00F16157" w:rsidP="002F467C">
            <w:pPr>
              <w:pStyle w:val="NormalWeb"/>
              <w:spacing w:before="0" w:beforeAutospacing="0" w:after="0" w:afterAutospacing="0"/>
              <w:ind w:right="-334"/>
              <w:rPr>
                <w:rFonts w:ascii="Arial" w:hAnsi="Arial" w:cs="Arial"/>
                <w:bCs/>
                <w:sz w:val="22"/>
                <w:szCs w:val="22"/>
              </w:rPr>
            </w:pPr>
          </w:p>
          <w:p w14:paraId="4C3DFA35" w14:textId="77777777" w:rsidR="00F16157" w:rsidRDefault="00F16157" w:rsidP="002F467C">
            <w:pPr>
              <w:pStyle w:val="NormalWeb"/>
              <w:spacing w:before="0" w:beforeAutospacing="0" w:after="0" w:afterAutospacing="0"/>
              <w:ind w:right="-334"/>
              <w:rPr>
                <w:rFonts w:ascii="Arial" w:hAnsi="Arial" w:cs="Arial"/>
                <w:bCs/>
                <w:sz w:val="22"/>
                <w:szCs w:val="22"/>
              </w:rPr>
            </w:pPr>
          </w:p>
          <w:p w14:paraId="17C3A20A" w14:textId="77777777" w:rsidR="00F16157" w:rsidRDefault="00F16157" w:rsidP="002F467C">
            <w:pPr>
              <w:pStyle w:val="NormalWeb"/>
              <w:spacing w:before="0" w:beforeAutospacing="0" w:after="0" w:afterAutospacing="0"/>
              <w:ind w:right="-334"/>
              <w:rPr>
                <w:rFonts w:ascii="Arial" w:hAnsi="Arial" w:cs="Arial"/>
                <w:bCs/>
                <w:sz w:val="22"/>
                <w:szCs w:val="22"/>
              </w:rPr>
            </w:pPr>
          </w:p>
          <w:p w14:paraId="00B4ACE8" w14:textId="77777777" w:rsidR="00F16157" w:rsidRDefault="00F16157" w:rsidP="002F467C">
            <w:pPr>
              <w:pStyle w:val="NormalWeb"/>
              <w:spacing w:before="0" w:beforeAutospacing="0" w:after="0" w:afterAutospacing="0"/>
              <w:ind w:right="-334"/>
              <w:rPr>
                <w:rFonts w:ascii="Arial" w:hAnsi="Arial" w:cs="Arial"/>
                <w:bCs/>
                <w:sz w:val="22"/>
                <w:szCs w:val="22"/>
              </w:rPr>
            </w:pPr>
          </w:p>
          <w:p w14:paraId="1898141E" w14:textId="77777777" w:rsidR="00F16157" w:rsidRDefault="00F16157" w:rsidP="002F467C">
            <w:pPr>
              <w:pStyle w:val="NormalWeb"/>
              <w:spacing w:before="0" w:beforeAutospacing="0" w:after="0" w:afterAutospacing="0"/>
              <w:ind w:right="-334"/>
              <w:rPr>
                <w:rFonts w:ascii="Arial" w:hAnsi="Arial" w:cs="Arial"/>
                <w:bCs/>
                <w:sz w:val="22"/>
                <w:szCs w:val="22"/>
              </w:rPr>
            </w:pPr>
          </w:p>
          <w:p w14:paraId="2E59F81B" w14:textId="77777777" w:rsidR="00F16157" w:rsidRDefault="00F16157" w:rsidP="002F467C">
            <w:pPr>
              <w:pStyle w:val="NormalWeb"/>
              <w:spacing w:before="0" w:beforeAutospacing="0" w:after="0" w:afterAutospacing="0"/>
              <w:ind w:right="-334"/>
              <w:rPr>
                <w:rFonts w:ascii="Arial" w:hAnsi="Arial" w:cs="Arial"/>
                <w:bCs/>
                <w:sz w:val="22"/>
                <w:szCs w:val="22"/>
              </w:rPr>
            </w:pPr>
          </w:p>
          <w:p w14:paraId="5A26B58A" w14:textId="1D487A59" w:rsidR="00F16157" w:rsidRDefault="00F16157" w:rsidP="002F467C">
            <w:pPr>
              <w:pStyle w:val="NormalWeb"/>
              <w:spacing w:before="0" w:beforeAutospacing="0" w:after="0" w:afterAutospacing="0"/>
              <w:ind w:right="-334"/>
              <w:rPr>
                <w:rFonts w:ascii="Arial" w:hAnsi="Arial" w:cs="Arial"/>
                <w:bCs/>
                <w:sz w:val="22"/>
                <w:szCs w:val="22"/>
              </w:rPr>
            </w:pPr>
          </w:p>
          <w:p w14:paraId="4C8FE3A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17277C4" w14:textId="77777777" w:rsidTr="00230F35">
        <w:trPr>
          <w:trHeight w:val="720"/>
        </w:trPr>
        <w:tc>
          <w:tcPr>
            <w:tcW w:w="5211" w:type="dxa"/>
            <w:gridSpan w:val="2"/>
          </w:tcPr>
          <w:p w14:paraId="57D6C579"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5629171"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F695A44" w14:textId="77777777" w:rsidR="00CE08F2" w:rsidRDefault="00CE08F2" w:rsidP="00FA07E9">
      <w:pPr>
        <w:pStyle w:val="NormalWeb"/>
        <w:spacing w:before="0" w:beforeAutospacing="0" w:after="0" w:afterAutospacing="0"/>
        <w:ind w:right="-334"/>
        <w:rPr>
          <w:rFonts w:ascii="Trebuchet MS" w:hAnsi="Trebuchet MS" w:cs="Tahoma"/>
          <w:bCs/>
          <w:sz w:val="24"/>
          <w:szCs w:val="24"/>
        </w:rPr>
        <w:sectPr w:rsidR="00CE08F2" w:rsidSect="00B462B1">
          <w:pgSz w:w="12240" w:h="15840"/>
          <w:pgMar w:top="567" w:right="1797" w:bottom="567" w:left="1797" w:header="567" w:footer="720" w:gutter="0"/>
          <w:pgNumType w:start="1"/>
          <w:cols w:space="720"/>
        </w:sectPr>
      </w:pPr>
    </w:p>
    <w:p w14:paraId="142B5DA3" w14:textId="77777777" w:rsidR="00C75BA7" w:rsidRPr="00781C34" w:rsidRDefault="00C75BA7" w:rsidP="00523020">
      <w:pPr>
        <w:spacing w:line="276" w:lineRule="auto"/>
        <w:jc w:val="both"/>
        <w:rPr>
          <w:rFonts w:asciiTheme="minorHAnsi" w:hAnsiTheme="minorHAnsi" w:cstheme="minorHAnsi"/>
          <w:b/>
          <w:sz w:val="28"/>
          <w:szCs w:val="28"/>
        </w:rPr>
      </w:pPr>
      <w:r w:rsidRPr="00781C34">
        <w:rPr>
          <w:rFonts w:asciiTheme="minorHAnsi" w:hAnsiTheme="minorHAnsi" w:cstheme="minorHAnsi"/>
          <w:b/>
          <w:sz w:val="28"/>
          <w:szCs w:val="28"/>
        </w:rPr>
        <w:lastRenderedPageBreak/>
        <w:t>Critical Review: Passage Graves of Western Iberia</w:t>
      </w:r>
    </w:p>
    <w:p w14:paraId="7DF64535" w14:textId="7889F8E5" w:rsidR="00F16157" w:rsidRPr="00781C34" w:rsidRDefault="00523020" w:rsidP="00523020">
      <w:pPr>
        <w:spacing w:line="276" w:lineRule="auto"/>
        <w:rPr>
          <w:rFonts w:asciiTheme="minorHAnsi" w:hAnsiTheme="minorHAnsi" w:cstheme="minorHAnsi"/>
          <w:sz w:val="20"/>
          <w:szCs w:val="20"/>
        </w:rPr>
      </w:pPr>
      <w:r w:rsidRPr="00781C34">
        <w:rPr>
          <w:rFonts w:asciiTheme="minorHAnsi" w:hAnsiTheme="minorHAnsi" w:cstheme="minorHAnsi"/>
          <w:sz w:val="20"/>
          <w:szCs w:val="20"/>
        </w:rPr>
        <w:t xml:space="preserve">Word </w:t>
      </w:r>
      <w:r w:rsidR="00C75BA7" w:rsidRPr="00781C34">
        <w:rPr>
          <w:rFonts w:asciiTheme="minorHAnsi" w:hAnsiTheme="minorHAnsi" w:cstheme="minorHAnsi"/>
          <w:sz w:val="20"/>
          <w:szCs w:val="20"/>
        </w:rPr>
        <w:t>c</w:t>
      </w:r>
      <w:r w:rsidRPr="00781C34">
        <w:rPr>
          <w:rFonts w:asciiTheme="minorHAnsi" w:hAnsiTheme="minorHAnsi" w:cstheme="minorHAnsi"/>
          <w:sz w:val="20"/>
          <w:szCs w:val="20"/>
        </w:rPr>
        <w:t xml:space="preserve">ount: </w:t>
      </w:r>
      <w:r w:rsidR="00012E57" w:rsidRPr="00781C34">
        <w:rPr>
          <w:rFonts w:asciiTheme="minorHAnsi" w:hAnsiTheme="minorHAnsi" w:cstheme="minorHAnsi"/>
          <w:sz w:val="20"/>
          <w:szCs w:val="20"/>
        </w:rPr>
        <w:t>1 641</w:t>
      </w:r>
    </w:p>
    <w:p w14:paraId="098EDBF1" w14:textId="01FC1683" w:rsidR="00F16157" w:rsidRPr="00781C34" w:rsidRDefault="00F16157" w:rsidP="00523020">
      <w:pPr>
        <w:spacing w:line="276" w:lineRule="auto"/>
        <w:rPr>
          <w:rFonts w:asciiTheme="minorHAnsi" w:hAnsiTheme="minorHAnsi" w:cstheme="minorHAnsi"/>
          <w:sz w:val="22"/>
          <w:szCs w:val="22"/>
        </w:rPr>
      </w:pPr>
    </w:p>
    <w:p w14:paraId="544AF849" w14:textId="035469E0" w:rsidR="00785217" w:rsidRPr="00781C34" w:rsidRDefault="009E177F" w:rsidP="00785217">
      <w:pPr>
        <w:pStyle w:val="MAPara1"/>
      </w:pPr>
      <w:r w:rsidRPr="00781C34">
        <w:t xml:space="preserve">This essay </w:t>
      </w:r>
      <w:r w:rsidR="00A546C7" w:rsidRPr="00781C34">
        <w:t>critically review</w:t>
      </w:r>
      <w:r w:rsidR="0053470C" w:rsidRPr="00781C34">
        <w:t>s</w:t>
      </w:r>
      <w:r w:rsidR="00A546C7" w:rsidRPr="00781C34">
        <w:t xml:space="preserve"> the interpretation</w:t>
      </w:r>
      <w:r w:rsidR="007571F6" w:rsidRPr="00781C34">
        <w:t>s</w:t>
      </w:r>
      <w:r w:rsidR="00A546C7" w:rsidRPr="00781C34">
        <w:t xml:space="preserve"> of passage graves of western Iberia by examining the </w:t>
      </w:r>
      <w:r w:rsidR="00836197" w:rsidRPr="00781C34">
        <w:t xml:space="preserve">different </w:t>
      </w:r>
      <w:r w:rsidR="00A546C7" w:rsidRPr="00781C34">
        <w:t xml:space="preserve">methodologies, theories and evidence </w:t>
      </w:r>
      <w:r w:rsidR="00784D88" w:rsidRPr="00781C34">
        <w:t>offered</w:t>
      </w:r>
      <w:r w:rsidR="00A546C7" w:rsidRPr="00781C34">
        <w:t xml:space="preserve"> </w:t>
      </w:r>
      <w:r w:rsidR="000E5402" w:rsidRPr="00781C34">
        <w:t xml:space="preserve">in </w:t>
      </w:r>
      <w:r w:rsidR="00784D88" w:rsidRPr="00781C34">
        <w:t>papers</w:t>
      </w:r>
      <w:r w:rsidR="000E5402" w:rsidRPr="00781C34">
        <w:t xml:space="preserve"> </w:t>
      </w:r>
      <w:r w:rsidR="00A546C7" w:rsidRPr="00781C34">
        <w:t>by M</w:t>
      </w:r>
      <w:r w:rsidR="00784D88" w:rsidRPr="00781C34">
        <w:t>ichael</w:t>
      </w:r>
      <w:r w:rsidR="00A546C7" w:rsidRPr="00781C34">
        <w:t xml:space="preserve"> Hoskin</w:t>
      </w:r>
      <w:r w:rsidR="00785217" w:rsidRPr="00781C34">
        <w:t xml:space="preserve"> (1998)</w:t>
      </w:r>
      <w:r w:rsidR="00A546C7" w:rsidRPr="00781C34">
        <w:t xml:space="preserve"> and Fabio Silva</w:t>
      </w:r>
      <w:r w:rsidR="00785217" w:rsidRPr="00781C34">
        <w:t xml:space="preserve"> (2015)</w:t>
      </w:r>
      <w:r w:rsidR="00A77011" w:rsidRPr="00781C34">
        <w:t>, and drawing on other literature in the field</w:t>
      </w:r>
      <w:r w:rsidR="00A546C7" w:rsidRPr="00781C34">
        <w:t>.</w:t>
      </w:r>
      <w:r w:rsidR="00A546C7" w:rsidRPr="00781C34">
        <w:rPr>
          <w:rStyle w:val="FootnoteReference"/>
        </w:rPr>
        <w:footnoteReference w:id="1"/>
      </w:r>
      <w:r w:rsidR="00D94576" w:rsidRPr="00781C34">
        <w:t xml:space="preserve"> </w:t>
      </w:r>
      <w:r w:rsidR="007571F6" w:rsidRPr="00781C34">
        <w:t xml:space="preserve">Both authors have approached their research on </w:t>
      </w:r>
      <w:r w:rsidR="007160EE" w:rsidRPr="00781C34">
        <w:t>megalithic tomb orientation</w:t>
      </w:r>
      <w:r w:rsidR="007571F6" w:rsidRPr="00781C34">
        <w:t xml:space="preserve"> from different perspectives. </w:t>
      </w:r>
      <w:r w:rsidR="00D94576" w:rsidRPr="00781C34">
        <w:t>Hoskin</w:t>
      </w:r>
      <w:r w:rsidR="007571F6" w:rsidRPr="00781C34">
        <w:t xml:space="preserve">, </w:t>
      </w:r>
      <w:r w:rsidR="00460F8B" w:rsidRPr="00781C34">
        <w:t xml:space="preserve">having conducted fieldwork </w:t>
      </w:r>
      <w:r w:rsidR="00CD7F5E" w:rsidRPr="00781C34">
        <w:t xml:space="preserve">throughout the 1990s </w:t>
      </w:r>
      <w:r w:rsidR="007571F6" w:rsidRPr="00781C34">
        <w:t>in collaboration with local archaeologists</w:t>
      </w:r>
      <w:r w:rsidR="00460F8B" w:rsidRPr="00781C34">
        <w:t xml:space="preserve">, presents data with minimal context, </w:t>
      </w:r>
      <w:r w:rsidR="00305A31" w:rsidRPr="00781C34">
        <w:t xml:space="preserve">stating </w:t>
      </w:r>
      <w:r w:rsidR="00460F8B" w:rsidRPr="00781C34">
        <w:t>‘It has always been the primary purpose of our fieldwork to assemble data, which archaeologists and archaeoastronomers will then have at their disposal and may interpret as they see fit.’</w:t>
      </w:r>
      <w:r w:rsidR="00460F8B" w:rsidRPr="00781C34">
        <w:rPr>
          <w:rStyle w:val="FootnoteReference"/>
        </w:rPr>
        <w:footnoteReference w:id="2"/>
      </w:r>
      <w:r w:rsidR="00460F8B" w:rsidRPr="00781C34">
        <w:t xml:space="preserve"> As such, there is no attempt to refute prior academic theories</w:t>
      </w:r>
      <w:r w:rsidR="00785217" w:rsidRPr="00781C34">
        <w:t>, but</w:t>
      </w:r>
      <w:r w:rsidR="00460F8B" w:rsidRPr="00781C34">
        <w:t xml:space="preserve"> he does offer some interpretive suggestions</w:t>
      </w:r>
      <w:r w:rsidR="00785217" w:rsidRPr="00781C34">
        <w:t xml:space="preserve"> limited to </w:t>
      </w:r>
      <w:r w:rsidR="00CD7F5E" w:rsidRPr="00781C34">
        <w:t>two</w:t>
      </w:r>
      <w:r w:rsidR="007160EE" w:rsidRPr="00781C34">
        <w:t xml:space="preserve"> orientation</w:t>
      </w:r>
      <w:r w:rsidR="00CD7F5E" w:rsidRPr="00781C34">
        <w:t xml:space="preserve"> ‘customs’ </w:t>
      </w:r>
      <w:r w:rsidR="00785217" w:rsidRPr="00781C34">
        <w:t>related to sunrise and/or sun</w:t>
      </w:r>
      <w:r w:rsidR="00D164DC" w:rsidRPr="00781C34">
        <w:t>-</w:t>
      </w:r>
      <w:r w:rsidR="00305A31" w:rsidRPr="00781C34">
        <w:t>climb</w:t>
      </w:r>
      <w:r w:rsidR="00785217" w:rsidRPr="00781C34">
        <w:t xml:space="preserve">. </w:t>
      </w:r>
      <w:r w:rsidR="00CD7F5E" w:rsidRPr="00781C34">
        <w:t>P</w:t>
      </w:r>
      <w:r w:rsidR="00785217" w:rsidRPr="00781C34">
        <w:t>oint</w:t>
      </w:r>
      <w:r w:rsidR="00CD7F5E" w:rsidRPr="00781C34">
        <w:t>s</w:t>
      </w:r>
      <w:r w:rsidR="00785217" w:rsidRPr="00781C34">
        <w:t xml:space="preserve"> of debate, however, </w:t>
      </w:r>
      <w:r w:rsidR="00CD7F5E" w:rsidRPr="00781C34">
        <w:t>are</w:t>
      </w:r>
      <w:r w:rsidR="00785217" w:rsidRPr="00781C34">
        <w:t xml:space="preserve"> </w:t>
      </w:r>
      <w:r w:rsidR="00D774B2" w:rsidRPr="00781C34">
        <w:t>Hoskin’s assumptions that</w:t>
      </w:r>
      <w:r w:rsidR="00785217" w:rsidRPr="00781C34">
        <w:t xml:space="preserve"> the data reflects ‘orientations selected by the original constructors of the tombs’</w:t>
      </w:r>
      <w:r w:rsidR="00CD7F5E" w:rsidRPr="00781C34">
        <w:t xml:space="preserve"> and that valid interpretations can be obtained from </w:t>
      </w:r>
      <w:r w:rsidR="00D94576" w:rsidRPr="00781C34">
        <w:t xml:space="preserve">this </w:t>
      </w:r>
      <w:r w:rsidR="00CD7F5E" w:rsidRPr="00781C34">
        <w:t>fieldwork data alone</w:t>
      </w:r>
      <w:r w:rsidR="00785217" w:rsidRPr="00781C34">
        <w:t>.</w:t>
      </w:r>
      <w:r w:rsidR="00785217" w:rsidRPr="00781C34">
        <w:rPr>
          <w:rStyle w:val="FootnoteReference"/>
        </w:rPr>
        <w:footnoteReference w:id="3"/>
      </w:r>
    </w:p>
    <w:p w14:paraId="7D909B2B" w14:textId="793E5107" w:rsidR="00460F8B" w:rsidRPr="00781C34" w:rsidRDefault="00460F8B" w:rsidP="007E58DE">
      <w:pPr>
        <w:pStyle w:val="MAPara1"/>
      </w:pPr>
      <w:bookmarkStart w:id="3" w:name="_GoBack"/>
      <w:bookmarkEnd w:id="3"/>
    </w:p>
    <w:p w14:paraId="4C6C4C8F" w14:textId="36ED37CC" w:rsidR="006E1588" w:rsidRPr="00781C34" w:rsidRDefault="00785217" w:rsidP="006E1588">
      <w:pPr>
        <w:pStyle w:val="MAPara1"/>
      </w:pPr>
      <w:r w:rsidRPr="00781C34">
        <w:t xml:space="preserve">In contrast, </w:t>
      </w:r>
      <w:r w:rsidR="00836197" w:rsidRPr="00781C34">
        <w:t xml:space="preserve">Silva’s </w:t>
      </w:r>
      <w:r w:rsidR="004A3B50" w:rsidRPr="00781C34">
        <w:t xml:space="preserve">more recent paper, </w:t>
      </w:r>
      <w:r w:rsidRPr="00781C34">
        <w:t xml:space="preserve">which </w:t>
      </w:r>
      <w:r w:rsidR="00D94576" w:rsidRPr="00781C34">
        <w:t xml:space="preserve">may </w:t>
      </w:r>
      <w:r w:rsidR="00836197" w:rsidRPr="00781C34">
        <w:t xml:space="preserve">appeal </w:t>
      </w:r>
      <w:r w:rsidRPr="00781C34">
        <w:t xml:space="preserve">beyond academia </w:t>
      </w:r>
      <w:r w:rsidR="00836197" w:rsidRPr="00781C34">
        <w:t xml:space="preserve">to </w:t>
      </w:r>
      <w:r w:rsidRPr="00781C34">
        <w:t xml:space="preserve">a </w:t>
      </w:r>
      <w:r w:rsidR="00305A31" w:rsidRPr="00781C34">
        <w:t>general-</w:t>
      </w:r>
      <w:r w:rsidR="00836197" w:rsidRPr="00781C34">
        <w:t>interest readership</w:t>
      </w:r>
      <w:r w:rsidRPr="00781C34">
        <w:t>, both r</w:t>
      </w:r>
      <w:r w:rsidR="006E1588" w:rsidRPr="00781C34">
        <w:t>efute</w:t>
      </w:r>
      <w:r w:rsidRPr="00781C34">
        <w:t>s and</w:t>
      </w:r>
      <w:r w:rsidR="006E1588" w:rsidRPr="00781C34">
        <w:t xml:space="preserve"> builds on</w:t>
      </w:r>
      <w:r w:rsidRPr="00781C34">
        <w:t xml:space="preserve"> aspects of</w:t>
      </w:r>
      <w:r w:rsidR="006E1588" w:rsidRPr="00781C34">
        <w:t xml:space="preserve"> Hoskin’s work</w:t>
      </w:r>
      <w:r w:rsidRPr="00781C34">
        <w:t>, offers insight into</w:t>
      </w:r>
      <w:r w:rsidR="00CD7F5E" w:rsidRPr="00781C34">
        <w:t xml:space="preserve"> other research findings, and provides some of his</w:t>
      </w:r>
      <w:r w:rsidR="006E1588" w:rsidRPr="00781C34">
        <w:t xml:space="preserve"> own hypotheses</w:t>
      </w:r>
      <w:r w:rsidR="00CD7F5E" w:rsidRPr="00781C34">
        <w:t xml:space="preserve"> for </w:t>
      </w:r>
      <w:r w:rsidR="007160EE" w:rsidRPr="00781C34">
        <w:t>dolmen</w:t>
      </w:r>
      <w:r w:rsidR="00CD7F5E" w:rsidRPr="00781C34">
        <w:t xml:space="preserve"> alignments within the </w:t>
      </w:r>
      <w:r w:rsidR="00D94576" w:rsidRPr="00781C34">
        <w:t>study area</w:t>
      </w:r>
      <w:r w:rsidR="006E1588" w:rsidRPr="00781C34">
        <w:t>.</w:t>
      </w:r>
      <w:r w:rsidR="00CE5337" w:rsidRPr="00781C34">
        <w:t xml:space="preserve"> </w:t>
      </w:r>
      <w:r w:rsidR="002F4062" w:rsidRPr="00781C34">
        <w:t xml:space="preserve">He states that this research complements a prior analysis </w:t>
      </w:r>
      <w:r w:rsidR="00D94576" w:rsidRPr="00781C34">
        <w:t xml:space="preserve">he </w:t>
      </w:r>
      <w:r w:rsidR="002F4062" w:rsidRPr="00781C34">
        <w:t>carried out on a smaller sample of dolmens in the same region.</w:t>
      </w:r>
      <w:r w:rsidR="00A3405D" w:rsidRPr="00781C34">
        <w:t xml:space="preserve"> Other goals included expanding on the number of sites surveyed by Hoskin, </w:t>
      </w:r>
      <w:r w:rsidR="00D94576" w:rsidRPr="00781C34">
        <w:t>to include</w:t>
      </w:r>
      <w:r w:rsidR="00A3405D" w:rsidRPr="00781C34">
        <w:t xml:space="preserve"> newly excavated sites, </w:t>
      </w:r>
      <w:r w:rsidR="00D164DC" w:rsidRPr="00781C34">
        <w:t>and extending</w:t>
      </w:r>
      <w:r w:rsidR="00A3405D" w:rsidRPr="00781C34">
        <w:t xml:space="preserve"> the employed methodology.</w:t>
      </w:r>
      <w:r w:rsidR="00A3405D" w:rsidRPr="00781C34">
        <w:rPr>
          <w:rStyle w:val="FootnoteReference"/>
        </w:rPr>
        <w:footnoteReference w:id="4"/>
      </w:r>
      <w:r w:rsidR="00D94576" w:rsidRPr="00781C34">
        <w:t xml:space="preserve"> </w:t>
      </w:r>
      <w:r w:rsidR="00CE5337" w:rsidRPr="00781C34">
        <w:t xml:space="preserve">As indicated in </w:t>
      </w:r>
      <w:r w:rsidR="007160EE" w:rsidRPr="00781C34">
        <w:t>his paper’s title</w:t>
      </w:r>
      <w:r w:rsidR="00CE5337" w:rsidRPr="00781C34">
        <w:t xml:space="preserve">, </w:t>
      </w:r>
      <w:r w:rsidR="00D94576" w:rsidRPr="00781C34">
        <w:t>Silva</w:t>
      </w:r>
      <w:r w:rsidR="00CE5337" w:rsidRPr="00781C34">
        <w:t xml:space="preserve"> adopts a time-space-action approach to megalithism, introducing the concept and value to be gained from a ‘window of visibility’</w:t>
      </w:r>
      <w:r w:rsidR="00D94576" w:rsidRPr="00781C34">
        <w:t xml:space="preserve">, defined as </w:t>
      </w:r>
      <w:r w:rsidR="00CE5337" w:rsidRPr="00781C34">
        <w:t>‘the maximum extent of the horizon which, given the dolmen’s corridor and entrance geometry</w:t>
      </w:r>
      <w:r w:rsidR="00D94576" w:rsidRPr="00781C34">
        <w:t>, can be seen from the chamber’,</w:t>
      </w:r>
      <w:r w:rsidR="00CE5337" w:rsidRPr="00781C34">
        <w:t xml:space="preserve"> compared to Hoskin’s ‘straight-line’ </w:t>
      </w:r>
      <w:r w:rsidR="008919AB" w:rsidRPr="00781C34">
        <w:t xml:space="preserve">general </w:t>
      </w:r>
      <w:r w:rsidR="00CE5337" w:rsidRPr="00781C34">
        <w:t>orientation measure</w:t>
      </w:r>
      <w:r w:rsidR="008919AB" w:rsidRPr="00781C34">
        <w:t>d</w:t>
      </w:r>
      <w:r w:rsidR="00CE5337" w:rsidRPr="00781C34">
        <w:t xml:space="preserve"> </w:t>
      </w:r>
      <w:r w:rsidR="00747E29" w:rsidRPr="00781C34">
        <w:t>‘</w:t>
      </w:r>
      <w:r w:rsidR="00CE5337" w:rsidRPr="00781C34">
        <w:t>from the centre of the backstone</w:t>
      </w:r>
      <w:r w:rsidR="00747E29" w:rsidRPr="00781C34">
        <w:t xml:space="preserve"> to the centre of the entrance or passage’.</w:t>
      </w:r>
      <w:r w:rsidR="00747E29" w:rsidRPr="00781C34">
        <w:rPr>
          <w:rStyle w:val="FootnoteReference"/>
        </w:rPr>
        <w:footnoteReference w:id="5"/>
      </w:r>
      <w:r w:rsidR="00CE5337" w:rsidRPr="00781C34">
        <w:t xml:space="preserve"> </w:t>
      </w:r>
      <w:r w:rsidR="008919AB" w:rsidRPr="00781C34">
        <w:t>Silva refers to separate paper</w:t>
      </w:r>
      <w:r w:rsidR="00D94576" w:rsidRPr="00781C34">
        <w:t>s</w:t>
      </w:r>
      <w:r w:rsidR="008919AB" w:rsidRPr="00781C34">
        <w:t xml:space="preserve"> for a</w:t>
      </w:r>
      <w:r w:rsidR="00DA36A6" w:rsidRPr="00781C34">
        <w:t>n in-depth</w:t>
      </w:r>
      <w:r w:rsidR="008919AB" w:rsidRPr="00781C34">
        <w:t xml:space="preserve"> discussion of </w:t>
      </w:r>
      <w:r w:rsidR="00CE5337" w:rsidRPr="00781C34">
        <w:t xml:space="preserve">the </w:t>
      </w:r>
      <w:r w:rsidR="008919AB" w:rsidRPr="00781C34">
        <w:t xml:space="preserve">window of visibility </w:t>
      </w:r>
      <w:r w:rsidR="00CE5337" w:rsidRPr="00781C34">
        <w:t>methodology</w:t>
      </w:r>
      <w:r w:rsidR="008919AB" w:rsidRPr="00781C34">
        <w:t>.</w:t>
      </w:r>
      <w:r w:rsidR="008919AB" w:rsidRPr="00781C34">
        <w:rPr>
          <w:rStyle w:val="FootnoteReference"/>
        </w:rPr>
        <w:footnoteReference w:id="6"/>
      </w:r>
      <w:r w:rsidR="008919AB" w:rsidRPr="00781C34">
        <w:t xml:space="preserve"> </w:t>
      </w:r>
      <w:r w:rsidR="00D94576" w:rsidRPr="00781C34">
        <w:t>However, it is</w:t>
      </w:r>
      <w:r w:rsidR="008919AB" w:rsidRPr="00781C34">
        <w:t xml:space="preserve"> worth noting that there can be no certainty </w:t>
      </w:r>
      <w:r w:rsidR="00D774B2" w:rsidRPr="00781C34">
        <w:t>about</w:t>
      </w:r>
      <w:r w:rsidR="008919AB" w:rsidRPr="00781C34">
        <w:t xml:space="preserve"> any particular line </w:t>
      </w:r>
      <w:r w:rsidR="00D774B2" w:rsidRPr="00781C34">
        <w:t>being</w:t>
      </w:r>
      <w:r w:rsidR="008919AB" w:rsidRPr="00781C34">
        <w:t xml:space="preserve"> meaningful to dolmen builders.</w:t>
      </w:r>
      <w:r w:rsidR="008919AB" w:rsidRPr="00781C34">
        <w:rPr>
          <w:rStyle w:val="FootnoteReference"/>
        </w:rPr>
        <w:footnoteReference w:id="7"/>
      </w:r>
    </w:p>
    <w:p w14:paraId="7560091E" w14:textId="77777777" w:rsidR="006E1588" w:rsidRPr="00781C34" w:rsidRDefault="006E1588" w:rsidP="007E58DE">
      <w:pPr>
        <w:pStyle w:val="MAPara1"/>
      </w:pPr>
    </w:p>
    <w:p w14:paraId="3F8C5088" w14:textId="0E734F85" w:rsidR="009850E7" w:rsidRPr="00781C34" w:rsidRDefault="00D94576" w:rsidP="007E58DE">
      <w:pPr>
        <w:pStyle w:val="MAPara1"/>
      </w:pPr>
      <w:r w:rsidRPr="00781C34">
        <w:lastRenderedPageBreak/>
        <w:t>While</w:t>
      </w:r>
      <w:r w:rsidR="00DA36A6" w:rsidRPr="00781C34">
        <w:t xml:space="preserve"> Hoskin’s paper is self-limited in its scope for discussion</w:t>
      </w:r>
      <w:r w:rsidR="00374263" w:rsidRPr="00781C34">
        <w:t xml:space="preserve"> beyond the recording of data</w:t>
      </w:r>
      <w:r w:rsidR="00DA36A6" w:rsidRPr="00781C34">
        <w:t xml:space="preserve">, </w:t>
      </w:r>
      <w:r w:rsidR="00374263" w:rsidRPr="00781C34">
        <w:t>Silva presents</w:t>
      </w:r>
      <w:r w:rsidR="009353F3" w:rsidRPr="00781C34">
        <w:t xml:space="preserve"> background to the Neolithic</w:t>
      </w:r>
      <w:r w:rsidR="00374263" w:rsidRPr="00781C34">
        <w:t>,</w:t>
      </w:r>
      <w:r w:rsidR="009353F3" w:rsidRPr="00781C34">
        <w:t xml:space="preserve"> </w:t>
      </w:r>
      <w:r w:rsidR="00374263" w:rsidRPr="00781C34">
        <w:t>highlighting areas such as</w:t>
      </w:r>
      <w:r w:rsidR="009353F3" w:rsidRPr="00781C34">
        <w:t xml:space="preserve"> topographical context, monumentalisation of the landscape, and the megalithic archaeoastronomy of the region</w:t>
      </w:r>
      <w:r w:rsidR="00374263" w:rsidRPr="00781C34">
        <w:t xml:space="preserve">, and goes onto explore the </w:t>
      </w:r>
      <w:r w:rsidR="009850E7" w:rsidRPr="00781C34">
        <w:t xml:space="preserve">location and orientation of </w:t>
      </w:r>
      <w:r w:rsidR="00305A31" w:rsidRPr="00781C34">
        <w:t xml:space="preserve">the </w:t>
      </w:r>
      <w:r w:rsidR="00374263" w:rsidRPr="00781C34">
        <w:t xml:space="preserve">Mondego platform’s </w:t>
      </w:r>
      <w:r w:rsidR="009850E7" w:rsidRPr="00781C34">
        <w:t>dolmens using elements from landscape archaeology and archaeoastronomy.</w:t>
      </w:r>
      <w:r w:rsidR="00374263" w:rsidRPr="00781C34">
        <w:rPr>
          <w:rStyle w:val="FootnoteReference"/>
        </w:rPr>
        <w:t xml:space="preserve"> </w:t>
      </w:r>
      <w:r w:rsidR="00374263" w:rsidRPr="00781C34">
        <w:rPr>
          <w:rStyle w:val="FootnoteReference"/>
        </w:rPr>
        <w:footnoteReference w:id="8"/>
      </w:r>
    </w:p>
    <w:p w14:paraId="7B586640" w14:textId="77777777" w:rsidR="00374263" w:rsidRPr="00781C34" w:rsidRDefault="00374263" w:rsidP="007F62C7">
      <w:pPr>
        <w:pStyle w:val="MAPara1"/>
      </w:pPr>
    </w:p>
    <w:p w14:paraId="6540B01D" w14:textId="3F148CC6" w:rsidR="000073C4" w:rsidRPr="00781C34" w:rsidRDefault="001B131B" w:rsidP="007F62C7">
      <w:pPr>
        <w:pStyle w:val="MAPara1"/>
      </w:pPr>
      <w:r w:rsidRPr="00781C34">
        <w:t>While some a</w:t>
      </w:r>
      <w:r w:rsidR="004A3B50" w:rsidRPr="00781C34">
        <w:t>rchaeol</w:t>
      </w:r>
      <w:r w:rsidR="00374263" w:rsidRPr="00781C34">
        <w:t xml:space="preserve">ogical evidence and discoveries in the </w:t>
      </w:r>
      <w:r w:rsidR="004A3B50" w:rsidRPr="00781C34">
        <w:t>pe</w:t>
      </w:r>
      <w:r w:rsidR="00305A31" w:rsidRPr="00781C34">
        <w:t>riod since Hoskin’s publication</w:t>
      </w:r>
      <w:r w:rsidR="004A3B50" w:rsidRPr="00781C34">
        <w:t xml:space="preserve"> </w:t>
      </w:r>
      <w:r w:rsidR="009353F3" w:rsidRPr="00781C34">
        <w:t xml:space="preserve">suggests that </w:t>
      </w:r>
      <w:r w:rsidR="00374263" w:rsidRPr="00781C34">
        <w:t xml:space="preserve">transition to the Neolithic may have </w:t>
      </w:r>
      <w:r w:rsidR="00D774B2" w:rsidRPr="00781C34">
        <w:t>resulted from</w:t>
      </w:r>
      <w:r w:rsidR="00374263" w:rsidRPr="00781C34">
        <w:t xml:space="preserve"> coloni</w:t>
      </w:r>
      <w:r w:rsidR="007160EE" w:rsidRPr="00781C34">
        <w:t>s</w:t>
      </w:r>
      <w:r w:rsidR="00374263" w:rsidRPr="00781C34">
        <w:t>ation and/or acculturation</w:t>
      </w:r>
      <w:r w:rsidRPr="00781C34">
        <w:t xml:space="preserve">, </w:t>
      </w:r>
      <w:r w:rsidR="00BB6A9D" w:rsidRPr="00781C34">
        <w:t xml:space="preserve">Silva </w:t>
      </w:r>
      <w:r w:rsidRPr="00781C34">
        <w:t>draws</w:t>
      </w:r>
      <w:r w:rsidR="00BB6A9D" w:rsidRPr="00781C34">
        <w:t xml:space="preserve"> </w:t>
      </w:r>
      <w:r w:rsidR="00305A31" w:rsidRPr="00781C34">
        <w:t xml:space="preserve">on Tilley’s </w:t>
      </w:r>
      <w:r w:rsidRPr="00781C34">
        <w:t xml:space="preserve">structuration model </w:t>
      </w:r>
      <w:r w:rsidR="00BB6A9D" w:rsidRPr="00781C34">
        <w:t xml:space="preserve">to </w:t>
      </w:r>
      <w:r w:rsidR="00305A31" w:rsidRPr="00781C34">
        <w:t>suggest</w:t>
      </w:r>
      <w:r w:rsidRPr="00781C34">
        <w:t xml:space="preserve"> </w:t>
      </w:r>
      <w:r w:rsidR="00D94576" w:rsidRPr="00781C34">
        <w:t xml:space="preserve">that </w:t>
      </w:r>
      <w:r w:rsidRPr="00781C34">
        <w:t xml:space="preserve">a </w:t>
      </w:r>
      <w:r w:rsidR="00BB6A9D" w:rsidRPr="00781C34">
        <w:t>continuity</w:t>
      </w:r>
      <w:r w:rsidR="00750C4E" w:rsidRPr="00781C34">
        <w:t>-</w:t>
      </w:r>
      <w:r w:rsidR="00BB6A9D" w:rsidRPr="00781C34">
        <w:t>and</w:t>
      </w:r>
      <w:r w:rsidR="00750C4E" w:rsidRPr="00781C34">
        <w:t>-transformation</w:t>
      </w:r>
      <w:r w:rsidR="00BB6A9D" w:rsidRPr="00781C34">
        <w:t xml:space="preserve"> model </w:t>
      </w:r>
      <w:r w:rsidR="00D774B2" w:rsidRPr="00781C34">
        <w:t>is used</w:t>
      </w:r>
      <w:r w:rsidRPr="00781C34">
        <w:t xml:space="preserve"> to explain</w:t>
      </w:r>
      <w:r w:rsidR="00BB6A9D" w:rsidRPr="00781C34">
        <w:t xml:space="preserve"> diversit</w:t>
      </w:r>
      <w:r w:rsidRPr="00781C34">
        <w:t>y in the archaeological record</w:t>
      </w:r>
      <w:r w:rsidR="00BB6A9D" w:rsidRPr="00781C34">
        <w:t xml:space="preserve"> and giv</w:t>
      </w:r>
      <w:r w:rsidRPr="00781C34">
        <w:t>e</w:t>
      </w:r>
      <w:r w:rsidR="00BB6A9D" w:rsidRPr="00781C34">
        <w:t xml:space="preserve"> agency back to </w:t>
      </w:r>
      <w:r w:rsidRPr="00781C34">
        <w:t>‘</w:t>
      </w:r>
      <w:r w:rsidR="00BB6A9D" w:rsidRPr="00781C34">
        <w:t>hunter-gatherers</w:t>
      </w:r>
      <w:r w:rsidRPr="00781C34">
        <w:t>’.</w:t>
      </w:r>
      <w:r w:rsidR="00BB6A9D" w:rsidRPr="00781C34">
        <w:rPr>
          <w:rStyle w:val="FootnoteReference"/>
        </w:rPr>
        <w:footnoteReference w:id="9"/>
      </w:r>
      <w:r w:rsidRPr="00781C34">
        <w:t xml:space="preserve"> </w:t>
      </w:r>
      <w:r w:rsidR="00374263" w:rsidRPr="00781C34">
        <w:t>Irrespective</w:t>
      </w:r>
      <w:r w:rsidR="00EC41C2" w:rsidRPr="00781C34">
        <w:t>, various scholars have indicated that communities shared similar landscape choices, settlement patterns, mobility and subsistence strategies.</w:t>
      </w:r>
      <w:r w:rsidR="00EC41C2" w:rsidRPr="00781C34">
        <w:rPr>
          <w:rStyle w:val="FootnoteReference"/>
        </w:rPr>
        <w:footnoteReference w:id="10"/>
      </w:r>
      <w:r w:rsidR="00D94576" w:rsidRPr="00781C34">
        <w:t xml:space="preserve"> </w:t>
      </w:r>
      <w:r w:rsidR="000073C4" w:rsidRPr="00781C34">
        <w:t>Tilley has argued for the significance of topographic features in Mesolithic and Neolithic</w:t>
      </w:r>
      <w:r w:rsidR="00D774B2" w:rsidRPr="00781C34">
        <w:t xml:space="preserve"> times</w:t>
      </w:r>
      <w:r w:rsidR="000073C4" w:rsidRPr="00781C34">
        <w:t>, claimin</w:t>
      </w:r>
      <w:r w:rsidR="00A02B8F" w:rsidRPr="00781C34">
        <w:t>g</w:t>
      </w:r>
      <w:r w:rsidR="000073C4" w:rsidRPr="00781C34">
        <w:t xml:space="preserve"> that, in the Mesolithic, ‘known, named and significant places [were] linked by paths of movement to which populations repeatedly returned during their seasonal activity rounds’.</w:t>
      </w:r>
      <w:r w:rsidR="000073C4" w:rsidRPr="00781C34">
        <w:rPr>
          <w:rStyle w:val="FootnoteReference"/>
        </w:rPr>
        <w:footnoteReference w:id="11"/>
      </w:r>
      <w:r w:rsidR="000073C4" w:rsidRPr="00781C34">
        <w:t xml:space="preserve"> </w:t>
      </w:r>
      <w:r w:rsidR="00D94576" w:rsidRPr="00781C34">
        <w:t>T</w:t>
      </w:r>
      <w:r w:rsidR="000073C4" w:rsidRPr="00781C34">
        <w:t xml:space="preserve">his dynamic would </w:t>
      </w:r>
      <w:r w:rsidR="00D94576" w:rsidRPr="00781C34">
        <w:t>likely have changed</w:t>
      </w:r>
      <w:r w:rsidR="000073C4" w:rsidRPr="00781C34">
        <w:t xml:space="preserve"> as megaliths became the anchors of seasonal movement.</w:t>
      </w:r>
      <w:r w:rsidR="000073C4" w:rsidRPr="00781C34">
        <w:rPr>
          <w:rStyle w:val="FootnoteReference"/>
        </w:rPr>
        <w:footnoteReference w:id="12"/>
      </w:r>
      <w:r w:rsidR="000073C4" w:rsidRPr="00781C34">
        <w:t xml:space="preserve"> </w:t>
      </w:r>
      <w:r w:rsidR="00553CB4" w:rsidRPr="00781C34">
        <w:t xml:space="preserve">Other researchers have also </w:t>
      </w:r>
      <w:r w:rsidR="00D94576" w:rsidRPr="00781C34">
        <w:t>identified</w:t>
      </w:r>
      <w:r w:rsidR="00553CB4" w:rsidRPr="00781C34">
        <w:t xml:space="preserve"> that settlements in the Mo</w:t>
      </w:r>
      <w:r w:rsidR="00BC663B" w:rsidRPr="00781C34">
        <w:t>n</w:t>
      </w:r>
      <w:r w:rsidR="00553CB4" w:rsidRPr="00781C34">
        <w:t xml:space="preserve">dego basin appear </w:t>
      </w:r>
      <w:r w:rsidR="00D94576" w:rsidRPr="00781C34">
        <w:t xml:space="preserve">close to the dolmens, suggesting </w:t>
      </w:r>
      <w:r w:rsidR="00553CB4" w:rsidRPr="00781C34">
        <w:t>autumn and winter occupation.</w:t>
      </w:r>
      <w:r w:rsidR="00553CB4" w:rsidRPr="00781C34">
        <w:rPr>
          <w:rStyle w:val="FootnoteReference"/>
        </w:rPr>
        <w:footnoteReference w:id="13"/>
      </w:r>
    </w:p>
    <w:p w14:paraId="5B069A90" w14:textId="77777777" w:rsidR="00FD17A6" w:rsidRPr="00781C34" w:rsidRDefault="00FD17A6" w:rsidP="007F62C7">
      <w:pPr>
        <w:pStyle w:val="MAPara1"/>
      </w:pPr>
    </w:p>
    <w:p w14:paraId="1AE90C5A" w14:textId="130411E5" w:rsidR="00CA5605" w:rsidRPr="00781C34" w:rsidRDefault="00D57BB0" w:rsidP="00CA5605">
      <w:pPr>
        <w:pStyle w:val="MAPara1"/>
      </w:pPr>
      <w:r w:rsidRPr="00781C34">
        <w:t xml:space="preserve">Despite claiming that agriculture may have played only a minor role in Neolithic communities, there is evidence of </w:t>
      </w:r>
      <w:r w:rsidR="00CA5605" w:rsidRPr="00781C34">
        <w:t>Neolithic settlers raising small livestock (sheep and goats), and Silva suggests winters were spent on low grounds and the spring and summer season on the high pastures of Serra da Estrela</w:t>
      </w:r>
      <w:r w:rsidR="00553CB4" w:rsidRPr="00781C34">
        <w:t>, further reinforcing seasonal movement</w:t>
      </w:r>
      <w:r w:rsidR="00CA5605" w:rsidRPr="00781C34">
        <w:t>.</w:t>
      </w:r>
      <w:r w:rsidR="00CA5605" w:rsidRPr="00781C34">
        <w:rPr>
          <w:rStyle w:val="FootnoteReference"/>
        </w:rPr>
        <w:footnoteReference w:id="14"/>
      </w:r>
      <w:r w:rsidR="00024EE6" w:rsidRPr="00781C34">
        <w:t xml:space="preserve"> </w:t>
      </w:r>
      <w:r w:rsidR="00D94576" w:rsidRPr="00781C34">
        <w:t>Hoskin also suggests that trans</w:t>
      </w:r>
      <w:r w:rsidR="00750C4E" w:rsidRPr="00781C34">
        <w:t>humance on the Mondego platform</w:t>
      </w:r>
      <w:r w:rsidR="00D94576" w:rsidRPr="00781C34">
        <w:t xml:space="preserve"> was </w:t>
      </w:r>
      <w:r w:rsidR="007160EE" w:rsidRPr="00781C34">
        <w:t>practised by</w:t>
      </w:r>
      <w:r w:rsidR="00D94576" w:rsidRPr="00781C34">
        <w:t xml:space="preserve"> those building and utilising the dolmens.</w:t>
      </w:r>
      <w:r w:rsidR="00D94576" w:rsidRPr="00781C34">
        <w:rPr>
          <w:rStyle w:val="FootnoteReference"/>
        </w:rPr>
        <w:footnoteReference w:id="15"/>
      </w:r>
      <w:r w:rsidR="00554368" w:rsidRPr="00781C34">
        <w:t xml:space="preserve"> </w:t>
      </w:r>
      <w:r w:rsidR="00CA5605" w:rsidRPr="00781C34">
        <w:t>Shedding one’s ‘agricultural thinking’, as has been suggested</w:t>
      </w:r>
      <w:r w:rsidR="00554368" w:rsidRPr="00781C34">
        <w:t xml:space="preserve"> by some scholars</w:t>
      </w:r>
      <w:r w:rsidR="00CA5605" w:rsidRPr="00781C34">
        <w:t xml:space="preserve">, </w:t>
      </w:r>
      <w:r w:rsidR="00554368" w:rsidRPr="00781C34">
        <w:t>may be</w:t>
      </w:r>
      <w:r w:rsidR="00CA5605" w:rsidRPr="00781C34">
        <w:t xml:space="preserve"> </w:t>
      </w:r>
      <w:r w:rsidR="00750C4E" w:rsidRPr="00781C34">
        <w:t>an</w:t>
      </w:r>
      <w:r w:rsidR="00CA5605" w:rsidRPr="00781C34">
        <w:t xml:space="preserve"> oversight and one that could be afforded a parallel track with the </w:t>
      </w:r>
      <w:r w:rsidR="00750C4E" w:rsidRPr="00781C34">
        <w:t>apparent</w:t>
      </w:r>
      <w:r w:rsidR="0078685E" w:rsidRPr="00781C34">
        <w:t xml:space="preserve"> ritual function of </w:t>
      </w:r>
      <w:r w:rsidR="00CA5605" w:rsidRPr="00781C34">
        <w:t>ceremonial feasts and initiation ri</w:t>
      </w:r>
      <w:r w:rsidR="001B131B" w:rsidRPr="00781C34">
        <w:t>te</w:t>
      </w:r>
      <w:r w:rsidR="00CA5605" w:rsidRPr="00781C34">
        <w:t>s derived from ethnographic analogy.</w:t>
      </w:r>
      <w:r w:rsidR="00CA5605" w:rsidRPr="00781C34">
        <w:rPr>
          <w:rStyle w:val="FootnoteReference"/>
        </w:rPr>
        <w:footnoteReference w:id="16"/>
      </w:r>
    </w:p>
    <w:p w14:paraId="75D1259C" w14:textId="77777777" w:rsidR="00CA5605" w:rsidRPr="00781C34" w:rsidRDefault="00CA5605" w:rsidP="007F62C7">
      <w:pPr>
        <w:pStyle w:val="MAPara1"/>
      </w:pPr>
    </w:p>
    <w:p w14:paraId="4904C513" w14:textId="1E2F2CF3" w:rsidR="002A7589" w:rsidRPr="00781C34" w:rsidRDefault="002A7589" w:rsidP="00784D88">
      <w:pPr>
        <w:pStyle w:val="MAPara1"/>
      </w:pPr>
      <w:r w:rsidRPr="00781C34">
        <w:t>Both Hoskin and Silva</w:t>
      </w:r>
      <w:r w:rsidR="009850E7" w:rsidRPr="00781C34">
        <w:t xml:space="preserve"> considered </w:t>
      </w:r>
      <w:r w:rsidRPr="00781C34">
        <w:t>whether the dolmens’ orientation had an astronomical connection</w:t>
      </w:r>
      <w:r w:rsidR="00512BB0" w:rsidRPr="00781C34">
        <w:t>.</w:t>
      </w:r>
      <w:r w:rsidRPr="00781C34">
        <w:t xml:space="preserve"> </w:t>
      </w:r>
      <w:r w:rsidR="00024EE6" w:rsidRPr="00781C34">
        <w:t>However, u</w:t>
      </w:r>
      <w:r w:rsidRPr="00781C34">
        <w:t>nlike Hoskin, Silva did not determine sun- or moon-rise, or any solar or lunar event</w:t>
      </w:r>
      <w:r w:rsidR="005143DE" w:rsidRPr="00781C34">
        <w:t xml:space="preserve"> as an </w:t>
      </w:r>
      <w:r w:rsidR="005143DE" w:rsidRPr="00781C34">
        <w:lastRenderedPageBreak/>
        <w:t>explanation for dolmen location</w:t>
      </w:r>
      <w:r w:rsidR="00750C4E" w:rsidRPr="00781C34">
        <w:t xml:space="preserve"> or orientation</w:t>
      </w:r>
      <w:r w:rsidR="005143DE" w:rsidRPr="00781C34">
        <w:t>.</w:t>
      </w:r>
      <w:r w:rsidR="005143DE" w:rsidRPr="00781C34">
        <w:rPr>
          <w:rStyle w:val="FootnoteReference"/>
        </w:rPr>
        <w:footnoteReference w:id="17"/>
      </w:r>
      <w:r w:rsidRPr="00781C34">
        <w:t xml:space="preserve"> </w:t>
      </w:r>
      <w:r w:rsidR="00B72BE4" w:rsidRPr="00781C34">
        <w:t>Oliviera and Da Silva suggest an awareness of the cosmic order beyond the immediate solar and lunar cycles may have been a result of the process of becoming sedentary</w:t>
      </w:r>
      <w:r w:rsidR="00750C4E" w:rsidRPr="00781C34">
        <w:t>.</w:t>
      </w:r>
      <w:r w:rsidR="00B72BE4" w:rsidRPr="00781C34">
        <w:rPr>
          <w:rStyle w:val="FootnoteReference"/>
        </w:rPr>
        <w:footnoteReference w:id="18"/>
      </w:r>
      <w:r w:rsidR="00B72BE4" w:rsidRPr="00781C34">
        <w:t xml:space="preserve"> They claim that</w:t>
      </w:r>
      <w:r w:rsidR="00B74E2A" w:rsidRPr="00781C34">
        <w:t xml:space="preserve">, </w:t>
      </w:r>
      <w:r w:rsidR="00B72BE4" w:rsidRPr="00781C34">
        <w:t xml:space="preserve">by </w:t>
      </w:r>
      <w:r w:rsidR="00B74E2A" w:rsidRPr="00781C34">
        <w:t xml:space="preserve">drawing on Hoskin’s ‘regular and meticulous’ measurements, </w:t>
      </w:r>
      <w:r w:rsidR="00B72BE4" w:rsidRPr="00781C34">
        <w:t xml:space="preserve">they </w:t>
      </w:r>
      <w:r w:rsidR="00B74E2A" w:rsidRPr="00781C34">
        <w:t>were able to ‘demonstrate the preferential corridor orientation of 8° south of East, and excellent correspondence between the range of the rising Spring Full Moon azimuths and the distribution of the dolmen’s orientations’.</w:t>
      </w:r>
      <w:r w:rsidR="00B74E2A" w:rsidRPr="00781C34">
        <w:rPr>
          <w:rStyle w:val="FootnoteReference"/>
        </w:rPr>
        <w:footnoteReference w:id="19"/>
      </w:r>
      <w:r w:rsidR="00B72BE4" w:rsidRPr="00781C34">
        <w:t xml:space="preserve"> Solar and lunar aspects aside, yet still </w:t>
      </w:r>
      <w:r w:rsidR="005143DE" w:rsidRPr="00781C34">
        <w:t xml:space="preserve">tying in with a seasonal model, Silva suggests that </w:t>
      </w:r>
      <w:r w:rsidR="007160EE" w:rsidRPr="00781C34">
        <w:t>Aldebaran</w:t>
      </w:r>
      <w:r w:rsidR="007160EE" w:rsidRPr="00781C34">
        <w:t>’s</w:t>
      </w:r>
      <w:r w:rsidR="007160EE" w:rsidRPr="00781C34">
        <w:t xml:space="preserve"> </w:t>
      </w:r>
      <w:r w:rsidR="005143DE" w:rsidRPr="00781C34">
        <w:t>heliacal rising may have been the trigger for seasonal movement to higher pastures.</w:t>
      </w:r>
      <w:r w:rsidR="005143DE" w:rsidRPr="00781C34">
        <w:rPr>
          <w:rStyle w:val="FootnoteReference"/>
        </w:rPr>
        <w:footnoteReference w:id="20"/>
      </w:r>
      <w:r w:rsidR="005143DE" w:rsidRPr="00781C34">
        <w:t xml:space="preserve"> The star’s invisibility from late February to early April, according to Silva, would provide the ‘perfect amount of time to make preparations for whatever rituals were going to be enacted at the dolmens, as well as to prepare for the move to higher ground’.</w:t>
      </w:r>
      <w:r w:rsidR="005143DE" w:rsidRPr="00781C34">
        <w:rPr>
          <w:rStyle w:val="FootnoteReference"/>
        </w:rPr>
        <w:footnoteReference w:id="21"/>
      </w:r>
      <w:r w:rsidR="005143DE" w:rsidRPr="00781C34">
        <w:t xml:space="preserve"> However this raises questions not only about Neolithic concepts of time, but also why so many dolmens would have been built for this purpose,</w:t>
      </w:r>
      <w:r w:rsidR="00230DB4" w:rsidRPr="00781C34">
        <w:t xml:space="preserve"> particularly</w:t>
      </w:r>
      <w:r w:rsidR="005143DE" w:rsidRPr="00781C34">
        <w:t xml:space="preserve"> </w:t>
      </w:r>
      <w:r w:rsidR="00230DB4" w:rsidRPr="00781C34">
        <w:t>since</w:t>
      </w:r>
      <w:r w:rsidR="005143DE" w:rsidRPr="00781C34">
        <w:t xml:space="preserve"> Aldebaran </w:t>
      </w:r>
      <w:r w:rsidR="00B72BE4" w:rsidRPr="00781C34">
        <w:t>could</w:t>
      </w:r>
      <w:r w:rsidR="005143DE" w:rsidRPr="00781C34">
        <w:t xml:space="preserve"> be seen with the naked eye.</w:t>
      </w:r>
      <w:r w:rsidR="00F53D97" w:rsidRPr="00781C34">
        <w:t xml:space="preserve"> Additionally, if </w:t>
      </w:r>
      <w:r w:rsidR="00BC1629" w:rsidRPr="00781C34">
        <w:t xml:space="preserve">the trigger for </w:t>
      </w:r>
      <w:r w:rsidR="00F53D97" w:rsidRPr="00781C34">
        <w:t xml:space="preserve">seasonal movement </w:t>
      </w:r>
      <w:r w:rsidR="00BC1629" w:rsidRPr="00781C34">
        <w:t xml:space="preserve">is attributed to </w:t>
      </w:r>
      <w:r w:rsidR="00F53D97" w:rsidRPr="00781C34">
        <w:t>star</w:t>
      </w:r>
      <w:r w:rsidR="00B72BE4" w:rsidRPr="00781C34">
        <w:t>-mountain-</w:t>
      </w:r>
      <w:r w:rsidR="00F53D97" w:rsidRPr="00781C34">
        <w:t>megalithic corridor</w:t>
      </w:r>
      <w:r w:rsidR="00B72BE4" w:rsidRPr="00781C34">
        <w:t xml:space="preserve"> alignment</w:t>
      </w:r>
      <w:r w:rsidR="00F53D97" w:rsidRPr="00781C34">
        <w:t xml:space="preserve">, </w:t>
      </w:r>
      <w:r w:rsidR="00BC1629" w:rsidRPr="00781C34">
        <w:t>this prompts the question as to what trigger, if any, there might have been for the reverse movement.</w:t>
      </w:r>
    </w:p>
    <w:p w14:paraId="5776C9A7" w14:textId="77777777" w:rsidR="00D94576" w:rsidRPr="00781C34" w:rsidRDefault="00D94576" w:rsidP="00784D88">
      <w:pPr>
        <w:pStyle w:val="MAPara1"/>
      </w:pPr>
    </w:p>
    <w:p w14:paraId="7C8CCBE7" w14:textId="1656B7B0" w:rsidR="00351228" w:rsidRPr="00781C34" w:rsidRDefault="00D94576" w:rsidP="00351228">
      <w:pPr>
        <w:pStyle w:val="MAPara1"/>
      </w:pPr>
      <w:r w:rsidRPr="00781C34">
        <w:t>Rodríguez-Rellán and Fábregas Valcarce’s paper on assessing megaliths</w:t>
      </w:r>
      <w:r w:rsidR="00750C4E" w:rsidRPr="00781C34">
        <w:t>’</w:t>
      </w:r>
      <w:r w:rsidRPr="00781C34">
        <w:t xml:space="preserve"> interaction with the </w:t>
      </w:r>
      <w:r w:rsidR="00750C4E" w:rsidRPr="00781C34">
        <w:t xml:space="preserve">northwestern Iberian landscape </w:t>
      </w:r>
      <w:r w:rsidRPr="00781C34">
        <w:t>suggests that megalithic architecture is dynamic and linked to not only a cognitive geography, but also represent</w:t>
      </w:r>
      <w:r w:rsidR="00750C4E" w:rsidRPr="00781C34">
        <w:t>s</w:t>
      </w:r>
      <w:r w:rsidRPr="00781C34">
        <w:t xml:space="preserve"> past memories and the dead, forever anchored to a particular place – fusing and intersecting time and space at specific points in the landscape.</w:t>
      </w:r>
      <w:r w:rsidRPr="00781C34">
        <w:rPr>
          <w:rStyle w:val="FootnoteReference"/>
        </w:rPr>
        <w:footnoteReference w:id="22"/>
      </w:r>
      <w:r w:rsidRPr="00781C34">
        <w:t xml:space="preserve"> </w:t>
      </w:r>
      <w:r w:rsidR="009850E7" w:rsidRPr="00781C34">
        <w:t xml:space="preserve">Silva </w:t>
      </w:r>
      <w:r w:rsidR="00B72BE4" w:rsidRPr="00781C34">
        <w:t>discusses</w:t>
      </w:r>
      <w:r w:rsidR="009850E7" w:rsidRPr="00781C34">
        <w:t xml:space="preserve"> Aldebaran</w:t>
      </w:r>
      <w:r w:rsidR="007160EE" w:rsidRPr="00781C34">
        <w:t>’s role</w:t>
      </w:r>
      <w:r w:rsidR="009850E7" w:rsidRPr="00781C34">
        <w:t xml:space="preserve"> in Neolithic cosmology and questions what role it would have played in megalith builders</w:t>
      </w:r>
      <w:r w:rsidR="007160EE" w:rsidRPr="00781C34">
        <w:t>’ beliefs</w:t>
      </w:r>
      <w:r w:rsidR="00230DB4" w:rsidRPr="00781C34">
        <w:t>, reaching the conclusion that the alignment was observed just before the seasonal move, or may have a symbolic and/or ritual connection with the dead</w:t>
      </w:r>
      <w:r w:rsidR="009850E7" w:rsidRPr="00781C34">
        <w:t>.</w:t>
      </w:r>
      <w:r w:rsidR="009850E7" w:rsidRPr="00781C34">
        <w:rPr>
          <w:rStyle w:val="FootnoteReference"/>
        </w:rPr>
        <w:footnoteReference w:id="23"/>
      </w:r>
      <w:r w:rsidR="00230DB4" w:rsidRPr="00781C34">
        <w:t xml:space="preserve"> </w:t>
      </w:r>
      <w:r w:rsidR="009850E7" w:rsidRPr="00781C34">
        <w:t>Whether Aldebaran was for the dead or the living is expanded on within the framework of ‘intangible afterlife ideologies of long-gone communities’.</w:t>
      </w:r>
      <w:r w:rsidR="009850E7" w:rsidRPr="00781C34">
        <w:rPr>
          <w:rStyle w:val="FootnoteReference"/>
        </w:rPr>
        <w:footnoteReference w:id="24"/>
      </w:r>
      <w:r w:rsidR="009850E7" w:rsidRPr="00781C34">
        <w:t xml:space="preserve"> </w:t>
      </w:r>
      <w:r w:rsidR="0046339A" w:rsidRPr="00781C34">
        <w:t>However</w:t>
      </w:r>
      <w:r w:rsidR="00CA3DC0" w:rsidRPr="00781C34">
        <w:t>, in many cultures it is believed the buried dead go to the moon to regenerate in a new existence</w:t>
      </w:r>
      <w:r w:rsidR="00750C4E" w:rsidRPr="00781C34">
        <w:t xml:space="preserve"> and,</w:t>
      </w:r>
      <w:r w:rsidR="00CA3DC0" w:rsidRPr="00781C34">
        <w:t xml:space="preserve"> </w:t>
      </w:r>
      <w:r w:rsidR="00750C4E" w:rsidRPr="00781C34">
        <w:t>a</w:t>
      </w:r>
      <w:r w:rsidR="0064504E" w:rsidRPr="00781C34">
        <w:t>ccording to Elizabeth McCormac</w:t>
      </w:r>
      <w:r w:rsidR="0046339A" w:rsidRPr="00781C34">
        <w:t>k</w:t>
      </w:r>
      <w:r w:rsidR="0064504E" w:rsidRPr="00781C34">
        <w:t xml:space="preserve">, passage grave </w:t>
      </w:r>
      <w:r w:rsidR="0046339A" w:rsidRPr="00781C34">
        <w:t>architecture</w:t>
      </w:r>
      <w:r w:rsidR="0064504E" w:rsidRPr="00781C34">
        <w:t xml:space="preserve"> bear</w:t>
      </w:r>
      <w:r w:rsidR="0046339A" w:rsidRPr="00781C34">
        <w:t>s</w:t>
      </w:r>
      <w:r w:rsidR="0064504E" w:rsidRPr="00781C34">
        <w:t xml:space="preserve"> a striking resemblance to </w:t>
      </w:r>
      <w:r w:rsidR="0046339A" w:rsidRPr="00781C34">
        <w:t>the</w:t>
      </w:r>
      <w:r w:rsidR="0064504E" w:rsidRPr="00781C34">
        <w:t xml:space="preserve"> realms </w:t>
      </w:r>
      <w:r w:rsidR="0046339A" w:rsidRPr="00781C34">
        <w:t>of</w:t>
      </w:r>
      <w:r w:rsidR="0064504E" w:rsidRPr="00781C34">
        <w:t xml:space="preserve"> the tiered cosmos</w:t>
      </w:r>
      <w:r w:rsidR="00B8572E" w:rsidRPr="00781C34">
        <w:t>: t</w:t>
      </w:r>
      <w:r w:rsidR="0064504E" w:rsidRPr="00781C34">
        <w:t>he realm of the living represented by the forecourt and entrance, the vortex by the passage, and the realm of the dead by the chamber.</w:t>
      </w:r>
      <w:r w:rsidR="0064504E" w:rsidRPr="00781C34">
        <w:rPr>
          <w:rStyle w:val="FootnoteReference"/>
        </w:rPr>
        <w:footnoteReference w:id="25"/>
      </w:r>
      <w:r w:rsidR="00B8572E" w:rsidRPr="00781C34">
        <w:t xml:space="preserve"> </w:t>
      </w:r>
      <w:r w:rsidR="0046339A" w:rsidRPr="00781C34">
        <w:t>A</w:t>
      </w:r>
      <w:r w:rsidR="00CA3DC0" w:rsidRPr="00781C34">
        <w:t xml:space="preserve">ll of </w:t>
      </w:r>
      <w:r w:rsidR="00230DB4" w:rsidRPr="00781C34">
        <w:t>these hypotheses</w:t>
      </w:r>
      <w:r w:rsidR="0046339A" w:rsidRPr="00781C34">
        <w:t>, however,</w:t>
      </w:r>
      <w:r w:rsidR="00230DB4" w:rsidRPr="00781C34">
        <w:t xml:space="preserve"> are</w:t>
      </w:r>
      <w:r w:rsidR="009850E7" w:rsidRPr="00781C34">
        <w:t xml:space="preserve"> based on the </w:t>
      </w:r>
      <w:r w:rsidR="00230DB4" w:rsidRPr="00781C34">
        <w:t>supposition</w:t>
      </w:r>
      <w:r w:rsidR="009850E7" w:rsidRPr="00781C34">
        <w:t xml:space="preserve"> that dolmens were tombs, which Silva claims is </w:t>
      </w:r>
      <w:r w:rsidR="00750C4E" w:rsidRPr="00781C34">
        <w:t>archaeology’s</w:t>
      </w:r>
      <w:r w:rsidR="009850E7" w:rsidRPr="00781C34">
        <w:t xml:space="preserve"> default assumption</w:t>
      </w:r>
      <w:r w:rsidR="00230DB4" w:rsidRPr="00781C34">
        <w:t>.</w:t>
      </w:r>
      <w:r w:rsidR="00230DB4" w:rsidRPr="00781C34">
        <w:rPr>
          <w:rStyle w:val="FootnoteReference"/>
        </w:rPr>
        <w:footnoteReference w:id="26"/>
      </w:r>
      <w:r w:rsidR="00024EE6" w:rsidRPr="00781C34">
        <w:t xml:space="preserve"> However, as Tilley points out, monuments ensure the ritual and mythological significance of a place is not forgotten and ‘stabilise both the cultural memory of the place</w:t>
      </w:r>
      <w:r w:rsidR="00B74E2A" w:rsidRPr="00781C34">
        <w:t xml:space="preserve"> and the relationship between places’.</w:t>
      </w:r>
      <w:r w:rsidR="00B74E2A" w:rsidRPr="00781C34">
        <w:rPr>
          <w:rStyle w:val="FootnoteReference"/>
        </w:rPr>
        <w:footnoteReference w:id="27"/>
      </w:r>
      <w:r w:rsidR="008B4248" w:rsidRPr="00781C34">
        <w:t xml:space="preserve"> </w:t>
      </w:r>
      <w:r w:rsidR="00351228" w:rsidRPr="00781C34">
        <w:t xml:space="preserve">Megalith builders, as Silva suggests, may have oriented the chambers </w:t>
      </w:r>
      <w:r w:rsidR="0046339A" w:rsidRPr="00781C34">
        <w:t>in the direction of an</w:t>
      </w:r>
      <w:r w:rsidR="00351228" w:rsidRPr="00781C34">
        <w:t xml:space="preserve"> ‘obvious’ topographical feature </w:t>
      </w:r>
      <w:r w:rsidR="0046339A" w:rsidRPr="00781C34">
        <w:t>that marked</w:t>
      </w:r>
      <w:r w:rsidR="00351228" w:rsidRPr="00781C34">
        <w:t xml:space="preserve"> </w:t>
      </w:r>
      <w:r w:rsidR="0046339A" w:rsidRPr="00781C34">
        <w:t>an</w:t>
      </w:r>
      <w:r w:rsidR="00351228" w:rsidRPr="00781C34">
        <w:t xml:space="preserve"> important </w:t>
      </w:r>
      <w:r w:rsidR="00351228" w:rsidRPr="00781C34">
        <w:lastRenderedPageBreak/>
        <w:t>astronomical event.</w:t>
      </w:r>
      <w:r w:rsidR="00351228" w:rsidRPr="00781C34">
        <w:rPr>
          <w:rStyle w:val="FootnoteReference"/>
        </w:rPr>
        <w:footnoteReference w:id="28"/>
      </w:r>
      <w:r w:rsidR="001D4EAE" w:rsidRPr="00781C34">
        <w:t xml:space="preserve"> While plausible as demonstrated by Silva’s research</w:t>
      </w:r>
      <w:r w:rsidR="00F04003" w:rsidRPr="00781C34">
        <w:t xml:space="preserve"> findings</w:t>
      </w:r>
      <w:r w:rsidR="001D4EAE" w:rsidRPr="00781C34">
        <w:t>, the dependence on a topographical feature</w:t>
      </w:r>
      <w:r w:rsidR="00351228" w:rsidRPr="00781C34">
        <w:t xml:space="preserve"> </w:t>
      </w:r>
      <w:r w:rsidR="001D4EAE" w:rsidRPr="00781C34">
        <w:t xml:space="preserve">and what would </w:t>
      </w:r>
      <w:r w:rsidR="00F04003" w:rsidRPr="00781C34">
        <w:t>have been considered</w:t>
      </w:r>
      <w:r w:rsidR="001D4EAE" w:rsidRPr="00781C34">
        <w:t xml:space="preserve"> an ‘</w:t>
      </w:r>
      <w:r w:rsidR="00351228" w:rsidRPr="00781C34">
        <w:t>important astronomical event</w:t>
      </w:r>
      <w:r w:rsidR="001D4EAE" w:rsidRPr="00781C34">
        <w:t>’ at that time</w:t>
      </w:r>
      <w:r w:rsidR="008B4248" w:rsidRPr="00781C34">
        <w:t xml:space="preserve"> could be queried.</w:t>
      </w:r>
    </w:p>
    <w:p w14:paraId="48A47D91" w14:textId="77777777" w:rsidR="00230DB4" w:rsidRPr="00781C34" w:rsidRDefault="00230DB4" w:rsidP="00784D88">
      <w:pPr>
        <w:pStyle w:val="MAPara1"/>
      </w:pPr>
    </w:p>
    <w:p w14:paraId="689E886F" w14:textId="5DE103B6" w:rsidR="00554368" w:rsidRPr="00781C34" w:rsidRDefault="00362DCE" w:rsidP="00554368">
      <w:pPr>
        <w:pStyle w:val="MAPara1"/>
      </w:pPr>
      <w:r w:rsidRPr="00781C34">
        <w:t xml:space="preserve">Using </w:t>
      </w:r>
      <w:r w:rsidR="00F04003" w:rsidRPr="00781C34">
        <w:t>a digital elevation model</w:t>
      </w:r>
      <w:r w:rsidR="002F4062" w:rsidRPr="00781C34">
        <w:t xml:space="preserve"> (DEM)</w:t>
      </w:r>
      <w:r w:rsidRPr="00781C34">
        <w:t xml:space="preserve">, </w:t>
      </w:r>
      <w:r w:rsidR="000073C4" w:rsidRPr="00781C34">
        <w:t xml:space="preserve">GPS readings and direct comparison to topographic charts, </w:t>
      </w:r>
      <w:r w:rsidRPr="00781C34">
        <w:t xml:space="preserve">Silva </w:t>
      </w:r>
      <w:r w:rsidR="000073C4" w:rsidRPr="00781C34">
        <w:t>clearly sets out the method used to reconstruct</w:t>
      </w:r>
      <w:r w:rsidRPr="00781C34">
        <w:t xml:space="preserve"> the </w:t>
      </w:r>
      <w:r w:rsidR="000073C4" w:rsidRPr="00781C34">
        <w:t>landscape surrounding the</w:t>
      </w:r>
      <w:r w:rsidR="00F04003" w:rsidRPr="00781C34">
        <w:t xml:space="preserve"> </w:t>
      </w:r>
      <w:r w:rsidRPr="00781C34">
        <w:t xml:space="preserve">surveyed </w:t>
      </w:r>
      <w:r w:rsidR="00F04003" w:rsidRPr="00781C34">
        <w:t xml:space="preserve">Mondego platform </w:t>
      </w:r>
      <w:r w:rsidRPr="00781C34">
        <w:t xml:space="preserve">dolmens, </w:t>
      </w:r>
      <w:r w:rsidR="00F04003" w:rsidRPr="00781C34">
        <w:t>using the</w:t>
      </w:r>
      <w:r w:rsidRPr="00781C34">
        <w:t xml:space="preserve"> window of visibility and the horizon visible from within all dolmens.</w:t>
      </w:r>
      <w:r w:rsidR="000073C4" w:rsidRPr="00781C34">
        <w:rPr>
          <w:rStyle w:val="FootnoteReference"/>
        </w:rPr>
        <w:footnoteReference w:id="29"/>
      </w:r>
      <w:r w:rsidR="00E65CBA" w:rsidRPr="00781C34">
        <w:t xml:space="preserve"> </w:t>
      </w:r>
      <w:r w:rsidR="00F04003" w:rsidRPr="00781C34">
        <w:t xml:space="preserve">It was found that the </w:t>
      </w:r>
      <w:r w:rsidR="00EE670C" w:rsidRPr="00781C34">
        <w:t>telescopic</w:t>
      </w:r>
      <w:r w:rsidR="00F04003" w:rsidRPr="00781C34">
        <w:t>-like</w:t>
      </w:r>
      <w:r w:rsidR="00EE670C" w:rsidRPr="00781C34">
        <w:t xml:space="preserve"> corridors </w:t>
      </w:r>
      <w:r w:rsidR="00171223" w:rsidRPr="00781C34">
        <w:t>were</w:t>
      </w:r>
      <w:r w:rsidR="00EE670C" w:rsidRPr="00781C34">
        <w:t xml:space="preserve"> all oriented towards Serra da Estrela</w:t>
      </w:r>
      <w:r w:rsidR="00F04003" w:rsidRPr="00781C34">
        <w:t>.</w:t>
      </w:r>
      <w:r w:rsidR="00F04003" w:rsidRPr="00781C34">
        <w:rPr>
          <w:rStyle w:val="FootnoteReference"/>
        </w:rPr>
        <w:footnoteReference w:id="30"/>
      </w:r>
      <w:r w:rsidR="00F04003" w:rsidRPr="00781C34">
        <w:t xml:space="preserve"> Silva contends that </w:t>
      </w:r>
      <w:r w:rsidR="002F4062" w:rsidRPr="00781C34">
        <w:t>this focus</w:t>
      </w:r>
      <w:r w:rsidR="00F04003" w:rsidRPr="00781C34">
        <w:t xml:space="preserve"> highlights the role of cosmology </w:t>
      </w:r>
      <w:r w:rsidR="001C57E9" w:rsidRPr="00781C34">
        <w:t>in</w:t>
      </w:r>
      <w:r w:rsidR="00F04003" w:rsidRPr="00781C34">
        <w:t xml:space="preserve"> Neolithic communities, with possible connection between the dolmens and the mountain range</w:t>
      </w:r>
      <w:r w:rsidR="008B4248" w:rsidRPr="00781C34">
        <w:t xml:space="preserve">, indicating </w:t>
      </w:r>
      <w:r w:rsidR="00F04003" w:rsidRPr="00781C34">
        <w:t xml:space="preserve">both human-made and natural landscape markers </w:t>
      </w:r>
      <w:r w:rsidR="008B4248" w:rsidRPr="00781C34">
        <w:t>anchored</w:t>
      </w:r>
      <w:r w:rsidR="00F04003" w:rsidRPr="00781C34">
        <w:t xml:space="preserve"> seasonal movement. Thus the </w:t>
      </w:r>
      <w:r w:rsidR="001C57E9" w:rsidRPr="00781C34">
        <w:t>dolmens’ orientation</w:t>
      </w:r>
      <w:r w:rsidR="00F04003" w:rsidRPr="00781C34">
        <w:t xml:space="preserve"> makes sense from a landscape perspective.</w:t>
      </w:r>
      <w:r w:rsidR="00F04003" w:rsidRPr="00781C34">
        <w:rPr>
          <w:rStyle w:val="FootnoteReference"/>
        </w:rPr>
        <w:footnoteReference w:id="31"/>
      </w:r>
      <w:r w:rsidR="00A02B8F" w:rsidRPr="00781C34">
        <w:t xml:space="preserve"> </w:t>
      </w:r>
      <w:r w:rsidR="00603AE9" w:rsidRPr="00781C34">
        <w:t xml:space="preserve">Due to their visual and physical impact on the landscape, </w:t>
      </w:r>
      <w:r w:rsidR="008B4248" w:rsidRPr="00781C34">
        <w:t xml:space="preserve">it is not implausible that </w:t>
      </w:r>
      <w:r w:rsidR="00603AE9" w:rsidRPr="00781C34">
        <w:t>the dolmens functioned as determinants in space-time understanding and determined people’s movement.</w:t>
      </w:r>
      <w:r w:rsidR="00603AE9" w:rsidRPr="00781C34">
        <w:rPr>
          <w:rStyle w:val="FootnoteReference"/>
        </w:rPr>
        <w:footnoteReference w:id="32"/>
      </w:r>
      <w:r w:rsidR="008B4248" w:rsidRPr="00781C34">
        <w:t xml:space="preserve"> </w:t>
      </w:r>
      <w:r w:rsidR="00554368" w:rsidRPr="00781C34">
        <w:t xml:space="preserve">With available GIS technology, </w:t>
      </w:r>
      <w:r w:rsidR="001C57E9" w:rsidRPr="00781C34">
        <w:t xml:space="preserve">an </w:t>
      </w:r>
      <w:r w:rsidR="00554368" w:rsidRPr="00781C34">
        <w:t xml:space="preserve">analysis of movement using a least cost path analysis model may offer additional insight into movement networks, potentially indicating connections between monuments rather than different places in the landscape, and reflect traditional movement strategies across the landscape. According to research conducted by Rodríguez-Rellán and Fábregas Valcarce, an analysis of </w:t>
      </w:r>
      <w:r w:rsidR="001C57E9" w:rsidRPr="00781C34">
        <w:t xml:space="preserve">Barbanza peninsula </w:t>
      </w:r>
      <w:r w:rsidR="001C57E9" w:rsidRPr="00781C34">
        <w:t xml:space="preserve">mounds and petroglyphs </w:t>
      </w:r>
      <w:r w:rsidR="00554368" w:rsidRPr="00781C34">
        <w:t>suggests a strong spatial relationship between tombs and transit routes.</w:t>
      </w:r>
      <w:r w:rsidR="00554368" w:rsidRPr="00781C34">
        <w:rPr>
          <w:rStyle w:val="FootnoteReference"/>
        </w:rPr>
        <w:footnoteReference w:id="33"/>
      </w:r>
    </w:p>
    <w:p w14:paraId="51B35A5D" w14:textId="77777777" w:rsidR="00554368" w:rsidRPr="00781C34" w:rsidRDefault="00554368" w:rsidP="00C4134D">
      <w:pPr>
        <w:pStyle w:val="MAPara1"/>
      </w:pPr>
    </w:p>
    <w:p w14:paraId="527DF7D4" w14:textId="1D0C44D0" w:rsidR="00076CFC" w:rsidRPr="00781C34" w:rsidRDefault="002F4062" w:rsidP="00784D88">
      <w:pPr>
        <w:pStyle w:val="MAPara1"/>
      </w:pPr>
      <w:r w:rsidRPr="00781C34">
        <w:t xml:space="preserve">There is no evidence </w:t>
      </w:r>
      <w:r w:rsidR="00012E57" w:rsidRPr="00781C34">
        <w:t>of</w:t>
      </w:r>
      <w:r w:rsidRPr="00781C34">
        <w:t xml:space="preserve"> Hoskin attempt</w:t>
      </w:r>
      <w:r w:rsidR="00012E57" w:rsidRPr="00781C34">
        <w:t>ing</w:t>
      </w:r>
      <w:r w:rsidRPr="00781C34">
        <w:t xml:space="preserve"> similar reconstructions using the data he collected. Orientations were measured using compass readings, </w:t>
      </w:r>
      <w:r w:rsidR="008B4248" w:rsidRPr="00781C34">
        <w:t>a</w:t>
      </w:r>
      <w:r w:rsidRPr="00781C34">
        <w:t>ltitudes were measured using a clinometer, and declination</w:t>
      </w:r>
      <w:r w:rsidR="008B4248" w:rsidRPr="00781C34">
        <w:t>s</w:t>
      </w:r>
      <w:r w:rsidRPr="00781C34">
        <w:t xml:space="preserve"> were calculated </w:t>
      </w:r>
      <w:r w:rsidR="008B4248" w:rsidRPr="00781C34">
        <w:t>using</w:t>
      </w:r>
      <w:r w:rsidRPr="00781C34">
        <w:t xml:space="preserve"> a computer program written by Dr Clive Ruggles.</w:t>
      </w:r>
      <w:r w:rsidRPr="00781C34">
        <w:rPr>
          <w:rStyle w:val="FootnoteReference"/>
        </w:rPr>
        <w:footnoteReference w:id="34"/>
      </w:r>
      <w:r w:rsidRPr="00781C34">
        <w:t xml:space="preserve"> No further information is given about </w:t>
      </w:r>
      <w:r w:rsidR="008B4248" w:rsidRPr="00781C34">
        <w:t>this</w:t>
      </w:r>
      <w:r w:rsidRPr="00781C34">
        <w:t xml:space="preserve"> computational method.</w:t>
      </w:r>
      <w:r w:rsidR="00553CB4" w:rsidRPr="00781C34">
        <w:t xml:space="preserve"> According to Silva, Hoskin was unable to find a distinct pattern </w:t>
      </w:r>
      <w:r w:rsidR="00012E57" w:rsidRPr="00781C34">
        <w:t>applicable</w:t>
      </w:r>
      <w:r w:rsidR="00553CB4" w:rsidRPr="00781C34">
        <w:t xml:space="preserve"> to all dolmens</w:t>
      </w:r>
      <w:r w:rsidR="00171223" w:rsidRPr="00781C34">
        <w:t>;</w:t>
      </w:r>
      <w:r w:rsidR="00553CB4" w:rsidRPr="00781C34">
        <w:t xml:space="preserve"> they all seemed to have different orientations, although within a given azimuthal range</w:t>
      </w:r>
      <w:r w:rsidR="008B4248" w:rsidRPr="00781C34">
        <w:t>, which</w:t>
      </w:r>
      <w:r w:rsidR="00553CB4" w:rsidRPr="00781C34">
        <w:t xml:space="preserve"> were then interpreted as solar alignments at the </w:t>
      </w:r>
      <w:r w:rsidR="001C57E9" w:rsidRPr="00781C34">
        <w:t>start</w:t>
      </w:r>
      <w:r w:rsidR="00553CB4" w:rsidRPr="00781C34">
        <w:t xml:space="preserve"> of construction</w:t>
      </w:r>
      <w:r w:rsidR="005D05BA" w:rsidRPr="00781C34">
        <w:t xml:space="preserve"> </w:t>
      </w:r>
      <w:r w:rsidR="008B4248" w:rsidRPr="00781C34">
        <w:t xml:space="preserve">to explain </w:t>
      </w:r>
      <w:r w:rsidR="00553CB4" w:rsidRPr="00781C34">
        <w:t>the variability in orientation.</w:t>
      </w:r>
      <w:r w:rsidR="00553CB4" w:rsidRPr="00781C34">
        <w:rPr>
          <w:rStyle w:val="FootnoteReference"/>
        </w:rPr>
        <w:footnoteReference w:id="35"/>
      </w:r>
      <w:r w:rsidR="00171223" w:rsidRPr="00781C34">
        <w:t xml:space="preserve"> </w:t>
      </w:r>
      <w:r w:rsidR="00076CFC" w:rsidRPr="00781C34">
        <w:t xml:space="preserve">Silva </w:t>
      </w:r>
      <w:r w:rsidR="00171223" w:rsidRPr="00781C34">
        <w:t>concludes</w:t>
      </w:r>
      <w:r w:rsidR="00076CFC" w:rsidRPr="00781C34">
        <w:t xml:space="preserve"> that the Mondego platform dolmens served a purpose other than territorial markers or tombs</w:t>
      </w:r>
      <w:r w:rsidR="008B4248" w:rsidRPr="00781C34">
        <w:t>, claiming</w:t>
      </w:r>
      <w:r w:rsidR="00076CFC" w:rsidRPr="00781C34">
        <w:t xml:space="preserve"> ‘they were the very materialisation of liminality’.</w:t>
      </w:r>
      <w:r w:rsidR="00076CFC" w:rsidRPr="00781C34">
        <w:rPr>
          <w:rStyle w:val="FootnoteReference"/>
        </w:rPr>
        <w:footnoteReference w:id="36"/>
      </w:r>
      <w:r w:rsidR="00076CFC" w:rsidRPr="00781C34">
        <w:t xml:space="preserve"> While this may be a reasonable assertion in this context, it is not necessarily a thematic universality</w:t>
      </w:r>
      <w:r w:rsidR="008B4248" w:rsidRPr="00781C34">
        <w:t>.</w:t>
      </w:r>
    </w:p>
    <w:p w14:paraId="71DA5E5A" w14:textId="77777777" w:rsidR="0053470C" w:rsidRPr="00781C34" w:rsidRDefault="0053470C" w:rsidP="007E58DE">
      <w:pPr>
        <w:pStyle w:val="MAPara1"/>
      </w:pPr>
    </w:p>
    <w:p w14:paraId="706AF8F7" w14:textId="2339419F" w:rsidR="003C7F20" w:rsidRPr="00781C34" w:rsidRDefault="007F795F" w:rsidP="002C617E">
      <w:pPr>
        <w:pStyle w:val="MAPara1"/>
      </w:pPr>
      <w:r w:rsidRPr="00781C34">
        <w:t>This review of the</w:t>
      </w:r>
      <w:r w:rsidR="00076CFC" w:rsidRPr="00781C34">
        <w:t xml:space="preserve"> interpretations of passage graves of western Iberia </w:t>
      </w:r>
      <w:r w:rsidRPr="00781C34">
        <w:t xml:space="preserve">suggested by Hoskin and Silva has considered the </w:t>
      </w:r>
      <w:r w:rsidR="00076CFC" w:rsidRPr="00781C34">
        <w:t xml:space="preserve">different methodologies, theories and evidence offered </w:t>
      </w:r>
      <w:r w:rsidRPr="00781C34">
        <w:t>by the authors.</w:t>
      </w:r>
      <w:r w:rsidR="008B4248" w:rsidRPr="00781C34">
        <w:t xml:space="preserve"> While the </w:t>
      </w:r>
      <w:r w:rsidRPr="00781C34">
        <w:t xml:space="preserve">seasonal model can be supported based on the archaeoastronomical </w:t>
      </w:r>
      <w:r w:rsidR="00BC52A8" w:rsidRPr="00781C34">
        <w:t xml:space="preserve">analysis of </w:t>
      </w:r>
      <w:r w:rsidR="001C57E9" w:rsidRPr="00781C34">
        <w:t>dolman entrance</w:t>
      </w:r>
      <w:r w:rsidR="00BC52A8" w:rsidRPr="00781C34">
        <w:t xml:space="preserve"> orientation conducted by Hoskin</w:t>
      </w:r>
      <w:r w:rsidR="00A3405D" w:rsidRPr="00781C34">
        <w:t xml:space="preserve">, </w:t>
      </w:r>
      <w:r w:rsidR="00171223" w:rsidRPr="00781C34">
        <w:t>this</w:t>
      </w:r>
      <w:r w:rsidR="00A3405D" w:rsidRPr="00781C34">
        <w:t xml:space="preserve"> should be recognised as a generalised solar interpretation</w:t>
      </w:r>
      <w:r w:rsidR="00BC52A8" w:rsidRPr="00781C34">
        <w:t>.</w:t>
      </w:r>
      <w:r w:rsidR="00BC52A8" w:rsidRPr="00781C34">
        <w:rPr>
          <w:rStyle w:val="FootnoteReference"/>
        </w:rPr>
        <w:footnoteReference w:id="37"/>
      </w:r>
      <w:r w:rsidRPr="00781C34">
        <w:t xml:space="preserve"> </w:t>
      </w:r>
      <w:r w:rsidRPr="00781C34">
        <w:lastRenderedPageBreak/>
        <w:t xml:space="preserve">Silva used a methodology that borrows and integrates elements from landscape archaeology and archaeoastronomy, and offered hypotheses based on ethnographic and historical analogy, drawing attention to alignment of rising Aldebaran, the Serra de Estrela and the dolmen corridors. </w:t>
      </w:r>
      <w:r w:rsidR="001C57E9" w:rsidRPr="00781C34">
        <w:t>Orientation consistency</w:t>
      </w:r>
      <w:r w:rsidRPr="00781C34">
        <w:t xml:space="preserve"> indicates some form of astronomical motivation in the absence of any other ways in which this consi</w:t>
      </w:r>
      <w:r w:rsidR="00F53D97" w:rsidRPr="00781C34">
        <w:t>stency could have been achieved.</w:t>
      </w:r>
      <w:r w:rsidR="00F53D97" w:rsidRPr="00781C34">
        <w:rPr>
          <w:rStyle w:val="FootnoteReference"/>
        </w:rPr>
        <w:footnoteReference w:id="38"/>
      </w:r>
      <w:r w:rsidR="00F53D97" w:rsidRPr="00781C34">
        <w:t xml:space="preserve"> </w:t>
      </w:r>
      <w:r w:rsidR="008B4248" w:rsidRPr="00781C34">
        <w:t xml:space="preserve">This may be particularly relevant </w:t>
      </w:r>
      <w:r w:rsidR="00F53D97" w:rsidRPr="00781C34">
        <w:t xml:space="preserve">where there </w:t>
      </w:r>
      <w:r w:rsidR="008B4248" w:rsidRPr="00781C34">
        <w:t>are</w:t>
      </w:r>
      <w:r w:rsidR="00F53D97" w:rsidRPr="00781C34">
        <w:t xml:space="preserve"> no terrestrial landmark</w:t>
      </w:r>
      <w:r w:rsidR="008B4248" w:rsidRPr="00781C34">
        <w:t>s</w:t>
      </w:r>
      <w:r w:rsidR="00F53D97" w:rsidRPr="00781C34">
        <w:t xml:space="preserve"> from which </w:t>
      </w:r>
      <w:r w:rsidR="008B4248" w:rsidRPr="00781C34">
        <w:t>tomb construction</w:t>
      </w:r>
      <w:r w:rsidR="00F53D97" w:rsidRPr="00781C34">
        <w:t xml:space="preserve"> could have taken a bearing. As Silva suggests, the </w:t>
      </w:r>
      <w:r w:rsidR="003C7F20" w:rsidRPr="00781C34">
        <w:t>hypotheses are many and varied, and constrained only by the limitations of ethnographic or historical analogy, and the imagination of the scholar.</w:t>
      </w:r>
      <w:r w:rsidR="003C7F20" w:rsidRPr="00781C34">
        <w:rPr>
          <w:rStyle w:val="FootnoteReference"/>
        </w:rPr>
        <w:footnoteReference w:id="39"/>
      </w:r>
    </w:p>
    <w:p w14:paraId="58233B97" w14:textId="77777777" w:rsidR="00F53D97" w:rsidRPr="00781C34" w:rsidRDefault="00F53D97" w:rsidP="006E1588">
      <w:pPr>
        <w:pStyle w:val="MAPara1"/>
      </w:pPr>
    </w:p>
    <w:p w14:paraId="0CF02B64" w14:textId="7B112349" w:rsidR="00F16157" w:rsidRPr="00781C34" w:rsidRDefault="00523020" w:rsidP="00E73DE3">
      <w:pPr>
        <w:spacing w:line="276" w:lineRule="auto"/>
        <w:rPr>
          <w:rFonts w:asciiTheme="minorHAnsi" w:hAnsiTheme="minorHAnsi" w:cstheme="minorHAnsi"/>
          <w:b/>
          <w:sz w:val="22"/>
          <w:szCs w:val="22"/>
        </w:rPr>
      </w:pPr>
      <w:r w:rsidRPr="00781C34">
        <w:rPr>
          <w:rFonts w:asciiTheme="minorHAnsi" w:hAnsiTheme="minorHAnsi" w:cstheme="minorHAnsi"/>
          <w:b/>
          <w:sz w:val="22"/>
          <w:szCs w:val="22"/>
        </w:rPr>
        <w:t>References</w:t>
      </w:r>
    </w:p>
    <w:p w14:paraId="2D483A84" w14:textId="77777777" w:rsidR="00F16157" w:rsidRPr="00781C34" w:rsidRDefault="00F16157" w:rsidP="00E73DE3">
      <w:pPr>
        <w:spacing w:line="276" w:lineRule="auto"/>
        <w:rPr>
          <w:rFonts w:asciiTheme="minorHAnsi" w:hAnsiTheme="minorHAnsi" w:cstheme="minorHAnsi"/>
          <w:sz w:val="20"/>
          <w:szCs w:val="20"/>
        </w:rPr>
      </w:pPr>
    </w:p>
    <w:p w14:paraId="54D25C9D" w14:textId="77777777" w:rsidR="00A656ED" w:rsidRPr="00781C34" w:rsidRDefault="00A656ED" w:rsidP="00E73DE3">
      <w:pPr>
        <w:spacing w:line="276" w:lineRule="auto"/>
        <w:rPr>
          <w:rFonts w:asciiTheme="minorHAnsi" w:hAnsiTheme="minorHAnsi" w:cstheme="minorHAnsi"/>
          <w:i/>
          <w:sz w:val="20"/>
          <w:szCs w:val="20"/>
        </w:rPr>
      </w:pPr>
      <w:r w:rsidRPr="00781C34">
        <w:rPr>
          <w:rFonts w:asciiTheme="minorHAnsi" w:hAnsiTheme="minorHAnsi" w:cstheme="minorHAnsi"/>
          <w:i/>
          <w:sz w:val="20"/>
          <w:szCs w:val="20"/>
        </w:rPr>
        <w:t>Primary sources</w:t>
      </w:r>
    </w:p>
    <w:p w14:paraId="35043552" w14:textId="77777777" w:rsidR="004B764A" w:rsidRPr="00781C34" w:rsidRDefault="004B764A" w:rsidP="00E73DE3">
      <w:pPr>
        <w:pStyle w:val="FootnoteText"/>
        <w:spacing w:line="276" w:lineRule="auto"/>
        <w:rPr>
          <w:rFonts w:asciiTheme="minorHAnsi" w:hAnsiTheme="minorHAnsi" w:cstheme="minorHAnsi"/>
        </w:rPr>
      </w:pPr>
    </w:p>
    <w:p w14:paraId="178FCB30" w14:textId="2AF46F5D" w:rsidR="00A546C7" w:rsidRPr="00781C34" w:rsidRDefault="00A546C7" w:rsidP="00BD41A1">
      <w:pPr>
        <w:pStyle w:val="FootnoteText"/>
        <w:ind w:left="426" w:hanging="426"/>
      </w:pPr>
      <w:r w:rsidRPr="00781C34">
        <w:t>Hoskin, M. ‘Studies in Iberian Archaeoastronomy (5) Orientations of Megalithic Tombs of Northern and Western Iberia’, Archaeoastronomy, 23 (JHA xxix) (1998), S39</w:t>
      </w:r>
      <w:r w:rsidRPr="00781C34">
        <w:sym w:font="Symbol" w:char="F02D"/>
      </w:r>
      <w:r w:rsidRPr="00781C34">
        <w:t>S48.</w:t>
      </w:r>
    </w:p>
    <w:p w14:paraId="31A3A1F0" w14:textId="2BBFB404" w:rsidR="00CB7BC1" w:rsidRPr="00781C34" w:rsidRDefault="00CB7BC1" w:rsidP="00BD41A1">
      <w:pPr>
        <w:pStyle w:val="FootnoteText"/>
        <w:ind w:left="426" w:hanging="426"/>
      </w:pPr>
      <w:r w:rsidRPr="00781C34">
        <w:t xml:space="preserve">Silva, F. ‘The View from Within: A </w:t>
      </w:r>
      <w:r w:rsidRPr="00781C34">
        <w:rPr>
          <w:rFonts w:cs="Calibri"/>
        </w:rPr>
        <w:t>“</w:t>
      </w:r>
      <w:r w:rsidR="000F5AAA" w:rsidRPr="00781C34">
        <w:t>T</w:t>
      </w:r>
      <w:r w:rsidRPr="00781C34">
        <w:t>ime-</w:t>
      </w:r>
      <w:r w:rsidR="000F5AAA" w:rsidRPr="00781C34">
        <w:t>S</w:t>
      </w:r>
      <w:r w:rsidRPr="00781C34">
        <w:t>pace-</w:t>
      </w:r>
      <w:r w:rsidR="000F5AAA" w:rsidRPr="00781C34">
        <w:t>A</w:t>
      </w:r>
      <w:r w:rsidRPr="00781C34">
        <w:t>ction</w:t>
      </w:r>
      <w:r w:rsidRPr="00781C34">
        <w:rPr>
          <w:rFonts w:cs="Calibri"/>
        </w:rPr>
        <w:t>”</w:t>
      </w:r>
      <w:r w:rsidRPr="00781C34">
        <w:t xml:space="preserve"> </w:t>
      </w:r>
      <w:r w:rsidR="000F5AAA" w:rsidRPr="00781C34">
        <w:t>A</w:t>
      </w:r>
      <w:r w:rsidRPr="00781C34">
        <w:t>pproach to Megalithism in Central Portugal</w:t>
      </w:r>
      <w:r w:rsidRPr="00781C34">
        <w:rPr>
          <w:rFonts w:cs="Calibri"/>
        </w:rPr>
        <w:t xml:space="preserve">’ in </w:t>
      </w:r>
      <w:r w:rsidR="00E73DE3" w:rsidRPr="00781C34">
        <w:rPr>
          <w:rFonts w:cs="Calibri"/>
        </w:rPr>
        <w:t xml:space="preserve">Silva, F. </w:t>
      </w:r>
      <w:r w:rsidRPr="00781C34">
        <w:rPr>
          <w:rFonts w:cs="Calibri"/>
        </w:rPr>
        <w:t>and Campion</w:t>
      </w:r>
      <w:r w:rsidR="00E73DE3" w:rsidRPr="00781C34">
        <w:rPr>
          <w:rFonts w:cs="Calibri"/>
        </w:rPr>
        <w:t>, N.</w:t>
      </w:r>
      <w:r w:rsidRPr="00781C34">
        <w:rPr>
          <w:rFonts w:cs="Calibri"/>
        </w:rPr>
        <w:t xml:space="preserve"> (eds)</w:t>
      </w:r>
      <w:r w:rsidR="00A02B8F" w:rsidRPr="00781C34">
        <w:rPr>
          <w:rFonts w:cs="Calibri"/>
        </w:rPr>
        <w:t>,</w:t>
      </w:r>
      <w:r w:rsidRPr="00781C34">
        <w:rPr>
          <w:rFonts w:cs="Calibri"/>
        </w:rPr>
        <w:t xml:space="preserve"> </w:t>
      </w:r>
      <w:r w:rsidRPr="00781C34">
        <w:rPr>
          <w:rFonts w:cs="Calibri"/>
          <w:i/>
        </w:rPr>
        <w:t>Skyscapes: The role and importance of the sky in archaeology</w:t>
      </w:r>
      <w:r w:rsidRPr="00781C34">
        <w:rPr>
          <w:rFonts w:cs="Calibri"/>
        </w:rPr>
        <w:t xml:space="preserve"> (Oxford: Oxbow Books, 2015).</w:t>
      </w:r>
    </w:p>
    <w:p w14:paraId="60B6B659" w14:textId="77777777" w:rsidR="00E70202" w:rsidRPr="00781C34" w:rsidRDefault="00E70202" w:rsidP="00E73DE3">
      <w:pPr>
        <w:spacing w:line="276" w:lineRule="auto"/>
        <w:rPr>
          <w:rFonts w:asciiTheme="minorHAnsi" w:hAnsiTheme="minorHAnsi" w:cstheme="minorHAnsi"/>
          <w:sz w:val="18"/>
          <w:szCs w:val="18"/>
        </w:rPr>
      </w:pPr>
    </w:p>
    <w:p w14:paraId="5C4FBE76" w14:textId="77777777" w:rsidR="0075562C" w:rsidRPr="00781C34" w:rsidRDefault="0075562C" w:rsidP="00E73DE3">
      <w:pPr>
        <w:spacing w:line="276" w:lineRule="auto"/>
        <w:rPr>
          <w:rFonts w:asciiTheme="minorHAnsi" w:hAnsiTheme="minorHAnsi" w:cstheme="minorHAnsi"/>
          <w:i/>
          <w:sz w:val="20"/>
          <w:szCs w:val="20"/>
        </w:rPr>
      </w:pPr>
      <w:r w:rsidRPr="00781C34">
        <w:rPr>
          <w:rFonts w:asciiTheme="minorHAnsi" w:hAnsiTheme="minorHAnsi" w:cstheme="minorHAnsi"/>
          <w:i/>
          <w:sz w:val="20"/>
          <w:szCs w:val="20"/>
        </w:rPr>
        <w:t>Secondary sources</w:t>
      </w:r>
    </w:p>
    <w:p w14:paraId="7B272786" w14:textId="77777777" w:rsidR="00A02B8F" w:rsidRPr="00781C34" w:rsidRDefault="00A02B8F" w:rsidP="00E73DE3">
      <w:pPr>
        <w:pStyle w:val="FootnoteText"/>
        <w:ind w:left="426" w:hanging="426"/>
      </w:pPr>
    </w:p>
    <w:p w14:paraId="2BA48C28" w14:textId="7F05C15A" w:rsidR="00A02B8F" w:rsidRPr="00781C34" w:rsidRDefault="00A02B8F" w:rsidP="00BD41A1">
      <w:pPr>
        <w:pStyle w:val="FootnoteText"/>
        <w:ind w:left="426" w:hanging="426"/>
      </w:pPr>
      <w:r w:rsidRPr="00781C34">
        <w:t xml:space="preserve">Darvill, Timothy, ‘The historic environment, historic landscapes, and space-time-action models in landscape archaeology’, in Ucko, P.J. and Layton, R. (eds), </w:t>
      </w:r>
      <w:r w:rsidRPr="00781C34">
        <w:rPr>
          <w:i/>
        </w:rPr>
        <w:t>The Archaeology and Anthropology of Landscape: Shaping your landscape</w:t>
      </w:r>
      <w:r w:rsidRPr="00781C34">
        <w:t xml:space="preserve"> (London and New York: Routledge, 1999), 104</w:t>
      </w:r>
      <w:r w:rsidR="00E73DE3" w:rsidRPr="00781C34">
        <w:rPr>
          <w:rFonts w:asciiTheme="minorHAnsi" w:hAnsiTheme="minorHAnsi" w:cstheme="minorHAnsi"/>
        </w:rPr>
        <w:sym w:font="Symbol" w:char="F02D"/>
      </w:r>
      <w:r w:rsidRPr="00781C34">
        <w:t>118.</w:t>
      </w:r>
    </w:p>
    <w:p w14:paraId="62A1A815" w14:textId="72DA9112"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Gamble, C., Davies, W., Pettit, P., Hazelwood, L. and Richards, M.</w:t>
      </w:r>
      <w:r w:rsidR="00E73DE3" w:rsidRPr="00781C34">
        <w:rPr>
          <w:rFonts w:asciiTheme="minorHAnsi" w:hAnsiTheme="minorHAnsi" w:cstheme="minorHAnsi"/>
          <w:sz w:val="20"/>
          <w:szCs w:val="20"/>
        </w:rPr>
        <w:t>,</w:t>
      </w:r>
      <w:r w:rsidRPr="00781C34">
        <w:rPr>
          <w:rFonts w:asciiTheme="minorHAnsi" w:hAnsiTheme="minorHAnsi" w:cstheme="minorHAnsi"/>
          <w:sz w:val="20"/>
          <w:szCs w:val="20"/>
        </w:rPr>
        <w:t xml:space="preserve"> ‘The Archaeological and Genetic Foundations of the European Population during the Late Glacial: Implications for “Agricultural Thinking”’, </w:t>
      </w:r>
      <w:r w:rsidRPr="00781C34">
        <w:rPr>
          <w:rFonts w:asciiTheme="minorHAnsi" w:hAnsiTheme="minorHAnsi" w:cstheme="minorHAnsi"/>
          <w:i/>
          <w:sz w:val="20"/>
          <w:szCs w:val="20"/>
        </w:rPr>
        <w:t>Cambridge Archaeological Journal</w:t>
      </w:r>
      <w:r w:rsidRPr="00781C34">
        <w:rPr>
          <w:rFonts w:asciiTheme="minorHAnsi" w:hAnsiTheme="minorHAnsi" w:cstheme="minorHAnsi"/>
          <w:sz w:val="20"/>
          <w:szCs w:val="20"/>
        </w:rPr>
        <w:t>, 15 (2005), 193</w:t>
      </w:r>
      <w:r w:rsidR="00E73DE3"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223.</w:t>
      </w:r>
    </w:p>
    <w:p w14:paraId="6EBA0764" w14:textId="3DBF0897"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Hayden, B. and Villeneuve, S.</w:t>
      </w:r>
      <w:r w:rsidR="00E73DE3" w:rsidRPr="00781C34">
        <w:rPr>
          <w:rFonts w:asciiTheme="minorHAnsi" w:hAnsiTheme="minorHAnsi" w:cstheme="minorHAnsi"/>
          <w:sz w:val="20"/>
          <w:szCs w:val="20"/>
        </w:rPr>
        <w:t>,</w:t>
      </w:r>
      <w:r w:rsidRPr="00781C34">
        <w:rPr>
          <w:rFonts w:asciiTheme="minorHAnsi" w:hAnsiTheme="minorHAnsi" w:cstheme="minorHAnsi"/>
          <w:sz w:val="20"/>
          <w:szCs w:val="20"/>
        </w:rPr>
        <w:t xml:space="preserve"> ‘Astronomy in the Upper </w:t>
      </w:r>
      <w:r w:rsidR="00BC663B" w:rsidRPr="00781C34">
        <w:rPr>
          <w:rFonts w:asciiTheme="minorHAnsi" w:hAnsiTheme="minorHAnsi" w:cstheme="minorHAnsi"/>
          <w:sz w:val="20"/>
          <w:szCs w:val="20"/>
        </w:rPr>
        <w:t>Palaeolithic</w:t>
      </w:r>
      <w:r w:rsidRPr="00781C34">
        <w:rPr>
          <w:rFonts w:asciiTheme="minorHAnsi" w:hAnsiTheme="minorHAnsi" w:cstheme="minorHAnsi"/>
          <w:sz w:val="20"/>
          <w:szCs w:val="20"/>
        </w:rPr>
        <w:t xml:space="preserve">?’, </w:t>
      </w:r>
      <w:r w:rsidRPr="00781C34">
        <w:rPr>
          <w:rFonts w:asciiTheme="minorHAnsi" w:hAnsiTheme="minorHAnsi" w:cstheme="minorHAnsi"/>
          <w:i/>
          <w:sz w:val="20"/>
          <w:szCs w:val="20"/>
        </w:rPr>
        <w:t>Cambridge Archaeological Journal</w:t>
      </w:r>
      <w:r w:rsidRPr="00781C34">
        <w:rPr>
          <w:rFonts w:asciiTheme="minorHAnsi" w:hAnsiTheme="minorHAnsi" w:cstheme="minorHAnsi"/>
          <w:sz w:val="20"/>
          <w:szCs w:val="20"/>
        </w:rPr>
        <w:t>, 21 (2011), 331</w:t>
      </w:r>
      <w:r w:rsidR="00171223"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355.</w:t>
      </w:r>
    </w:p>
    <w:p w14:paraId="71BA7864" w14:textId="77777777" w:rsidR="00A02B8F" w:rsidRPr="00781C34" w:rsidRDefault="00A02B8F" w:rsidP="00BD41A1">
      <w:pPr>
        <w:pStyle w:val="FootnoteText"/>
        <w:ind w:left="426" w:hanging="426"/>
      </w:pPr>
      <w:r w:rsidRPr="00781C34">
        <w:t xml:space="preserve">Hoskin, Michael, </w:t>
      </w:r>
      <w:r w:rsidRPr="00781C34">
        <w:rPr>
          <w:i/>
        </w:rPr>
        <w:t>Tombs, Temples and their Orientations</w:t>
      </w:r>
      <w:r w:rsidRPr="00781C34">
        <w:t xml:space="preserve"> (Bognor Regis: Ocarina Books, 2001).</w:t>
      </w:r>
    </w:p>
    <w:p w14:paraId="19A99848" w14:textId="77777777" w:rsidR="00A02B8F" w:rsidRPr="00781C34" w:rsidRDefault="00A02B8F" w:rsidP="00BD41A1">
      <w:pPr>
        <w:ind w:left="284" w:hanging="284"/>
        <w:rPr>
          <w:rFonts w:asciiTheme="minorHAnsi" w:hAnsiTheme="minorHAnsi" w:cstheme="minorHAnsi"/>
          <w:sz w:val="20"/>
          <w:szCs w:val="20"/>
        </w:rPr>
      </w:pPr>
      <w:r w:rsidRPr="00781C34">
        <w:rPr>
          <w:rFonts w:asciiTheme="minorHAnsi" w:hAnsiTheme="minorHAnsi" w:cstheme="minorHAnsi"/>
          <w:sz w:val="20"/>
          <w:szCs w:val="20"/>
        </w:rPr>
        <w:t xml:space="preserve">Jorge, Vítor Oliveira, ‘Interpreting the “megalithic art” of Western Iberia: Some preliminary remarks’, </w:t>
      </w:r>
      <w:r w:rsidRPr="00781C34">
        <w:rPr>
          <w:rFonts w:asciiTheme="minorHAnsi" w:hAnsiTheme="minorHAnsi" w:cstheme="minorHAnsi"/>
          <w:i/>
          <w:sz w:val="20"/>
          <w:szCs w:val="20"/>
        </w:rPr>
        <w:t>Journal of Iberian Archaeology</w:t>
      </w:r>
      <w:r w:rsidRPr="00781C34">
        <w:rPr>
          <w:rFonts w:asciiTheme="minorHAnsi" w:hAnsiTheme="minorHAnsi" w:cstheme="minorHAnsi"/>
          <w:sz w:val="20"/>
          <w:szCs w:val="20"/>
        </w:rPr>
        <w:t>, 0 (1998), 69</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81.</w:t>
      </w:r>
    </w:p>
    <w:p w14:paraId="1A43B0B0" w14:textId="6B4AD0F2" w:rsidR="00A02B8F" w:rsidRPr="00781C34" w:rsidRDefault="00A02B8F" w:rsidP="00BD41A1">
      <w:pPr>
        <w:pStyle w:val="FootnoteText"/>
        <w:ind w:left="426" w:hanging="426"/>
      </w:pPr>
      <w:r w:rsidRPr="00781C34">
        <w:t>McCluskey, Stephen, ‘Book Review: Cosmovisions and Power’, in Hoskin, M.</w:t>
      </w:r>
      <w:r w:rsidR="00E73DE3" w:rsidRPr="00781C34">
        <w:t>,</w:t>
      </w:r>
      <w:r w:rsidRPr="00781C34">
        <w:t xml:space="preserve"> ‘Studies in Iberian Archaeoastronomy (5) Orientations of Megalithic Tombs of Northern and Western Iberia’, </w:t>
      </w:r>
      <w:r w:rsidRPr="00781C34">
        <w:rPr>
          <w:i/>
        </w:rPr>
        <w:t>Archaeoastronomy</w:t>
      </w:r>
      <w:r w:rsidRPr="00781C34">
        <w:t>, 23 (JHA xxix) (1998), S89</w:t>
      </w:r>
      <w:r w:rsidRPr="00781C34">
        <w:sym w:font="Symbol" w:char="F02D"/>
      </w:r>
      <w:r w:rsidRPr="00781C34">
        <w:t>S90.</w:t>
      </w:r>
    </w:p>
    <w:p w14:paraId="31DE220F" w14:textId="33F2BC08"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McCormack, Elizabeth A., ‘Passages: The </w:t>
      </w:r>
      <w:r w:rsidR="00BC663B" w:rsidRPr="00781C34">
        <w:rPr>
          <w:rFonts w:asciiTheme="minorHAnsi" w:hAnsiTheme="minorHAnsi" w:cstheme="minorHAnsi"/>
          <w:sz w:val="20"/>
          <w:szCs w:val="20"/>
        </w:rPr>
        <w:t>Neolithic</w:t>
      </w:r>
      <w:r w:rsidRPr="00781C34">
        <w:rPr>
          <w:rFonts w:asciiTheme="minorHAnsi" w:hAnsiTheme="minorHAnsi" w:cstheme="minorHAnsi"/>
          <w:sz w:val="20"/>
          <w:szCs w:val="20"/>
        </w:rPr>
        <w:t xml:space="preserve"> passage grave as tiered cosmos’, Masters dissertation, Archaeology Department, University of Reading (2007). Available at: https://www.scribd.com/document/100825469/Neolithic-Passage-Graves-as-Tiered-Cosmos [Accessed 16 February 2019].</w:t>
      </w:r>
    </w:p>
    <w:p w14:paraId="31CD7649" w14:textId="77777777" w:rsidR="00A02B8F" w:rsidRPr="00781C34" w:rsidRDefault="00A02B8F" w:rsidP="00BD41A1">
      <w:pPr>
        <w:ind w:left="284" w:hanging="284"/>
        <w:rPr>
          <w:rFonts w:asciiTheme="minorHAnsi" w:hAnsiTheme="minorHAnsi" w:cstheme="minorHAnsi"/>
          <w:sz w:val="20"/>
          <w:szCs w:val="20"/>
        </w:rPr>
      </w:pPr>
      <w:r w:rsidRPr="00781C34">
        <w:rPr>
          <w:rFonts w:asciiTheme="minorHAnsi" w:hAnsiTheme="minorHAnsi" w:cstheme="minorHAnsi"/>
          <w:sz w:val="20"/>
          <w:szCs w:val="20"/>
        </w:rPr>
        <w:t xml:space="preserve">Oliviera, Catarina and Da Silva, C. Marciano, ‘Moon, Spring and Large Stones: Landscape and ritual calendar perception and symbolization’, in Calado, D., Baldia, M. and Boulanger, M. (eds), </w:t>
      </w:r>
      <w:r w:rsidRPr="00781C34">
        <w:rPr>
          <w:rFonts w:asciiTheme="minorHAnsi" w:hAnsiTheme="minorHAnsi" w:cstheme="minorHAnsi"/>
          <w:i/>
          <w:sz w:val="20"/>
          <w:szCs w:val="20"/>
        </w:rPr>
        <w:t xml:space="preserve">Monumental Questions: Prehistoric Megaliths, Mounds, and Enclosures, </w:t>
      </w:r>
      <w:r w:rsidRPr="00781C34">
        <w:rPr>
          <w:rFonts w:asciiTheme="minorHAnsi" w:hAnsiTheme="minorHAnsi" w:cstheme="minorHAnsi"/>
          <w:sz w:val="20"/>
          <w:szCs w:val="20"/>
        </w:rPr>
        <w:t>Proceedings of the XV World Congress UISPP (Lisbon, 4</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9 September 2006), (Oxford: BAR Publishing, 2010).</w:t>
      </w:r>
    </w:p>
    <w:p w14:paraId="323FAA62" w14:textId="77777777" w:rsidR="00A02B8F" w:rsidRPr="00781C34" w:rsidRDefault="00A02B8F" w:rsidP="00BD41A1">
      <w:pPr>
        <w:ind w:left="284" w:hanging="284"/>
        <w:rPr>
          <w:rFonts w:asciiTheme="minorHAnsi" w:hAnsiTheme="minorHAnsi" w:cstheme="minorHAnsi"/>
          <w:sz w:val="20"/>
          <w:szCs w:val="20"/>
        </w:rPr>
      </w:pPr>
      <w:r w:rsidRPr="00781C34">
        <w:rPr>
          <w:rFonts w:asciiTheme="minorHAnsi" w:hAnsiTheme="minorHAnsi" w:cstheme="minorHAnsi"/>
          <w:sz w:val="20"/>
          <w:szCs w:val="20"/>
        </w:rPr>
        <w:t xml:space="preserve">Rodríguez-Rellán, Carlos and Fábregas Valcarce, Ramón, ‘Monuments on the Move: Assessing megaliths’ interaction with the NW Iberian Landscapes’, in M. Hinz (ed.), </w:t>
      </w:r>
      <w:r w:rsidRPr="00781C34">
        <w:rPr>
          <w:rFonts w:asciiTheme="minorHAnsi" w:hAnsiTheme="minorHAnsi" w:cstheme="minorHAnsi"/>
          <w:i/>
          <w:sz w:val="20"/>
          <w:szCs w:val="20"/>
        </w:rPr>
        <w:t>Megaliths, Societies and Landscapes: Early Monumentality and Social Differentiation in Neolithic Europe</w:t>
      </w:r>
      <w:r w:rsidRPr="00781C34">
        <w:rPr>
          <w:rFonts w:asciiTheme="minorHAnsi" w:hAnsiTheme="minorHAnsi" w:cstheme="minorHAnsi"/>
          <w:sz w:val="20"/>
          <w:szCs w:val="20"/>
        </w:rPr>
        <w:t xml:space="preserve"> (Kiel: Universität zu Keil, 2018).</w:t>
      </w:r>
    </w:p>
    <w:p w14:paraId="4F783F9A" w14:textId="4A916C8F"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Ruggles, Clive, ‘Ritual Astronomy in the Neolithic and Bronze Age British Isles: Patterns of continuity and change’, in Gibson, A. and Simpson, D. (eds), </w:t>
      </w:r>
      <w:r w:rsidRPr="00781C34">
        <w:rPr>
          <w:rFonts w:asciiTheme="minorHAnsi" w:hAnsiTheme="minorHAnsi" w:cstheme="minorHAnsi"/>
          <w:i/>
          <w:sz w:val="20"/>
          <w:szCs w:val="20"/>
        </w:rPr>
        <w:t>Prehistoric Ritual and Religion</w:t>
      </w:r>
      <w:r w:rsidRPr="00781C34">
        <w:rPr>
          <w:rFonts w:asciiTheme="minorHAnsi" w:hAnsiTheme="minorHAnsi" w:cstheme="minorHAnsi"/>
          <w:sz w:val="20"/>
          <w:szCs w:val="20"/>
        </w:rPr>
        <w:t xml:space="preserve"> (London: Sutton Publishing).</w:t>
      </w:r>
    </w:p>
    <w:p w14:paraId="532CD428" w14:textId="77777777"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Sanchez, Maria de Jesus, ‘Passage-Graves of Northwestern Iberia: Setting and Movements. An approach to the relationship between architecture and iconography’, in Jorge, Vítor Oliveira (ed), </w:t>
      </w:r>
      <w:r w:rsidRPr="00781C34">
        <w:rPr>
          <w:rFonts w:asciiTheme="minorHAnsi" w:hAnsiTheme="minorHAnsi" w:cstheme="minorHAnsi"/>
          <w:i/>
          <w:sz w:val="20"/>
          <w:szCs w:val="20"/>
        </w:rPr>
        <w:t xml:space="preserve">Approaching ‘Prehistoric </w:t>
      </w:r>
      <w:r w:rsidRPr="00781C34">
        <w:rPr>
          <w:rFonts w:asciiTheme="minorHAnsi" w:hAnsiTheme="minorHAnsi" w:cstheme="minorHAnsi"/>
          <w:i/>
          <w:sz w:val="20"/>
          <w:szCs w:val="20"/>
        </w:rPr>
        <w:lastRenderedPageBreak/>
        <w:t>and Protohistoric Architectures’ of Europe from a ‘Dwelling Perspective’</w:t>
      </w:r>
      <w:r w:rsidRPr="00781C34">
        <w:rPr>
          <w:rFonts w:asciiTheme="minorHAnsi" w:hAnsiTheme="minorHAnsi" w:cstheme="minorHAnsi"/>
          <w:sz w:val="20"/>
          <w:szCs w:val="20"/>
        </w:rPr>
        <w:t>, Proceedings of the TAG session (Sheffield, 2005), (Porto: ADECAP, 2006).</w:t>
      </w:r>
    </w:p>
    <w:p w14:paraId="4F807CC5" w14:textId="7A33009E"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Senna Martinez, J.C. and Ventura, J.M.Q.</w:t>
      </w:r>
      <w:r w:rsidR="00E73DE3" w:rsidRPr="00781C34">
        <w:rPr>
          <w:rFonts w:asciiTheme="minorHAnsi" w:hAnsiTheme="minorHAnsi" w:cstheme="minorHAnsi"/>
          <w:sz w:val="20"/>
          <w:szCs w:val="20"/>
        </w:rPr>
        <w:t>,</w:t>
      </w:r>
      <w:r w:rsidRPr="00781C34">
        <w:rPr>
          <w:rFonts w:asciiTheme="minorHAnsi" w:hAnsiTheme="minorHAnsi" w:cstheme="minorHAnsi"/>
          <w:sz w:val="20"/>
          <w:szCs w:val="20"/>
        </w:rPr>
        <w:t xml:space="preserve"> ‘Neolitização e Megalitismo na Platforma do Mondego: Algumas Reflexões sobre a Transição Neol</w:t>
      </w:r>
      <w:r w:rsidR="00BC663B" w:rsidRPr="00781C34">
        <w:rPr>
          <w:rFonts w:asciiTheme="minorHAnsi" w:hAnsiTheme="minorHAnsi" w:cstheme="minorHAnsi"/>
          <w:sz w:val="20"/>
          <w:szCs w:val="20"/>
        </w:rPr>
        <w:t>í</w:t>
      </w:r>
      <w:r w:rsidRPr="00781C34">
        <w:rPr>
          <w:rFonts w:asciiTheme="minorHAnsi" w:hAnsiTheme="minorHAnsi" w:cstheme="minorHAnsi"/>
          <w:sz w:val="20"/>
          <w:szCs w:val="20"/>
        </w:rPr>
        <w:t xml:space="preserve">tico Antigo/Neolítico Médio’, </w:t>
      </w:r>
      <w:r w:rsidRPr="00781C34">
        <w:rPr>
          <w:rFonts w:asciiTheme="minorHAnsi" w:hAnsiTheme="minorHAnsi" w:cstheme="minorHAnsi"/>
          <w:i/>
          <w:sz w:val="20"/>
          <w:szCs w:val="20"/>
        </w:rPr>
        <w:t>Actas do IV Congreso del Neolítico en la Península Ibérica</w:t>
      </w:r>
      <w:r w:rsidRPr="00781C34">
        <w:rPr>
          <w:rFonts w:asciiTheme="minorHAnsi" w:hAnsiTheme="minorHAnsi" w:cstheme="minorHAnsi"/>
          <w:sz w:val="20"/>
          <w:szCs w:val="20"/>
        </w:rPr>
        <w:t xml:space="preserve"> (2008a), 77</w:t>
      </w:r>
      <w:r w:rsidR="00E73DE3"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84.</w:t>
      </w:r>
    </w:p>
    <w:p w14:paraId="58017C38" w14:textId="77777777" w:rsidR="001855F7" w:rsidRPr="00781C34" w:rsidRDefault="001855F7"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Senna Martinez, J.C. and Ventura, J.M.Q., ‘Do Mundo das Sombras ao Mundo dos Vivos: Octávio da Veiga Ferreira e o Megalitismo da Beira Alta, Meio Século Depois’, </w:t>
      </w:r>
      <w:r w:rsidRPr="00781C34">
        <w:rPr>
          <w:rFonts w:asciiTheme="minorHAnsi" w:hAnsiTheme="minorHAnsi" w:cstheme="minorHAnsi"/>
          <w:i/>
          <w:sz w:val="20"/>
          <w:szCs w:val="20"/>
        </w:rPr>
        <w:t>Estudos Arqueológicos de Oeiras</w:t>
      </w:r>
      <w:r w:rsidRPr="00781C34">
        <w:rPr>
          <w:rFonts w:asciiTheme="minorHAnsi" w:hAnsiTheme="minorHAnsi" w:cstheme="minorHAnsi"/>
          <w:sz w:val="20"/>
          <w:szCs w:val="20"/>
        </w:rPr>
        <w:t>, 16 (2008b), 317</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350.</w:t>
      </w:r>
    </w:p>
    <w:p w14:paraId="3CF08C48" w14:textId="3F470B9C" w:rsidR="00DF08E7" w:rsidRPr="00781C34" w:rsidRDefault="00DF08E7" w:rsidP="00DF08E7">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Silva, F., ‘Landscape and Astronomy in Megalithic Portugal: The Carregal do Sal Nucleus and Star Mountain Range’, </w:t>
      </w:r>
      <w:r w:rsidRPr="00781C34">
        <w:rPr>
          <w:rFonts w:asciiTheme="minorHAnsi" w:hAnsiTheme="minorHAnsi" w:cstheme="minorHAnsi"/>
          <w:i/>
          <w:sz w:val="20"/>
          <w:szCs w:val="20"/>
        </w:rPr>
        <w:t>Papers from the Institute of Archaeology</w:t>
      </w:r>
      <w:r w:rsidRPr="00781C34">
        <w:rPr>
          <w:rFonts w:asciiTheme="minorHAnsi" w:hAnsiTheme="minorHAnsi" w:cstheme="minorHAnsi"/>
          <w:sz w:val="20"/>
          <w:szCs w:val="20"/>
        </w:rPr>
        <w:t>, 22 (2013), 99</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114.</w:t>
      </w:r>
    </w:p>
    <w:p w14:paraId="0B14EFC6" w14:textId="5855F45D" w:rsidR="00DF08E7" w:rsidRPr="00781C34" w:rsidRDefault="00DF08E7" w:rsidP="00DF08E7">
      <w:pPr>
        <w:ind w:left="426" w:hanging="426"/>
        <w:rPr>
          <w:rFonts w:asciiTheme="minorHAnsi" w:hAnsiTheme="minorHAnsi" w:cstheme="minorHAnsi"/>
          <w:sz w:val="20"/>
          <w:szCs w:val="20"/>
        </w:rPr>
      </w:pPr>
      <w:r w:rsidRPr="00781C34">
        <w:rPr>
          <w:rFonts w:asciiTheme="minorHAnsi" w:hAnsiTheme="minorHAnsi" w:cstheme="minorHAnsi"/>
          <w:sz w:val="20"/>
          <w:szCs w:val="20"/>
        </w:rPr>
        <w:t>Silva,</w:t>
      </w:r>
      <w:r w:rsidRPr="00781C34">
        <w:rPr>
          <w:rFonts w:asciiTheme="minorHAnsi" w:hAnsiTheme="minorHAnsi" w:cstheme="minorHAnsi"/>
          <w:sz w:val="20"/>
          <w:szCs w:val="20"/>
        </w:rPr>
        <w:t xml:space="preserve"> F.,</w:t>
      </w:r>
      <w:r w:rsidRPr="00781C34">
        <w:rPr>
          <w:rFonts w:asciiTheme="minorHAnsi" w:hAnsiTheme="minorHAnsi" w:cstheme="minorHAnsi"/>
          <w:sz w:val="20"/>
          <w:szCs w:val="20"/>
        </w:rPr>
        <w:t xml:space="preserve"> ‘A Tomb with a View: New methods for bridging the gap between land and sky in megalithic archaeology’, </w:t>
      </w:r>
      <w:r w:rsidRPr="00781C34">
        <w:rPr>
          <w:rFonts w:asciiTheme="minorHAnsi" w:hAnsiTheme="minorHAnsi" w:cstheme="minorHAnsi"/>
          <w:i/>
          <w:sz w:val="20"/>
          <w:szCs w:val="20"/>
        </w:rPr>
        <w:t>Advances in Archaeological Practice</w:t>
      </w:r>
      <w:r w:rsidRPr="00781C34">
        <w:rPr>
          <w:rFonts w:asciiTheme="minorHAnsi" w:hAnsiTheme="minorHAnsi" w:cstheme="minorHAnsi"/>
          <w:sz w:val="20"/>
          <w:szCs w:val="20"/>
        </w:rPr>
        <w:t>, 2:1 (2014), 24</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37.</w:t>
      </w:r>
    </w:p>
    <w:p w14:paraId="0F3F70CE" w14:textId="513625AB" w:rsidR="00A02B8F" w:rsidRPr="00781C34" w:rsidRDefault="00A02B8F" w:rsidP="00BD41A1">
      <w:pPr>
        <w:pStyle w:val="FootnoteText"/>
        <w:ind w:left="426" w:hanging="426"/>
      </w:pPr>
      <w:r w:rsidRPr="00781C34">
        <w:t>Silva, F. and Frank, R.</w:t>
      </w:r>
      <w:r w:rsidR="00E73DE3" w:rsidRPr="00781C34">
        <w:t>,</w:t>
      </w:r>
      <w:r w:rsidRPr="00781C34">
        <w:t xml:space="preserve"> ‘Deconstructing the Neolithic Myth: The implications of continuity for European Late Prehistory’, </w:t>
      </w:r>
      <w:r w:rsidRPr="00781C34">
        <w:rPr>
          <w:i/>
        </w:rPr>
        <w:t>Anthropological Notebooks</w:t>
      </w:r>
      <w:r w:rsidRPr="00781C34">
        <w:t>, 2:1 (2013), 24</w:t>
      </w:r>
      <w:r w:rsidR="00E73DE3" w:rsidRPr="00781C34">
        <w:rPr>
          <w:rFonts w:asciiTheme="minorHAnsi" w:hAnsiTheme="minorHAnsi" w:cstheme="minorHAnsi"/>
        </w:rPr>
        <w:sym w:font="Symbol" w:char="F02D"/>
      </w:r>
      <w:r w:rsidRPr="00781C34">
        <w:t>37.</w:t>
      </w:r>
    </w:p>
    <w:p w14:paraId="0FD73D25" w14:textId="7436D403" w:rsidR="00A02B8F" w:rsidRPr="00781C34" w:rsidRDefault="00A02B8F" w:rsidP="00BD41A1">
      <w:pPr>
        <w:pStyle w:val="FootnoteText"/>
        <w:ind w:left="426" w:hanging="426"/>
      </w:pPr>
      <w:r w:rsidRPr="00781C34">
        <w:t>Soares, J and Da Silva, C.T., ‘A transi</w:t>
      </w:r>
      <w:r w:rsidRPr="00781C34">
        <w:rPr>
          <w:rFonts w:cs="Calibri"/>
        </w:rPr>
        <w:t>çã</w:t>
      </w:r>
      <w:r w:rsidRPr="00781C34">
        <w:t>o para o Neol</w:t>
      </w:r>
      <w:r w:rsidRPr="00781C34">
        <w:rPr>
          <w:rFonts w:cs="Calibri"/>
        </w:rPr>
        <w:t>í</w:t>
      </w:r>
      <w:r w:rsidRPr="00781C34">
        <w:t xml:space="preserve">tico na costa sudoeste portuguesa’, </w:t>
      </w:r>
      <w:r w:rsidRPr="00781C34">
        <w:rPr>
          <w:i/>
        </w:rPr>
        <w:t>Trabalhos de Arqueologia</w:t>
      </w:r>
      <w:r w:rsidRPr="00781C34">
        <w:t>, 25 (2003), 45</w:t>
      </w:r>
      <w:r w:rsidR="00E73DE3" w:rsidRPr="00781C34">
        <w:rPr>
          <w:rFonts w:asciiTheme="minorHAnsi" w:hAnsiTheme="minorHAnsi" w:cstheme="minorHAnsi"/>
        </w:rPr>
        <w:sym w:font="Symbol" w:char="F02D"/>
      </w:r>
      <w:r w:rsidRPr="00781C34">
        <w:t>56.</w:t>
      </w:r>
    </w:p>
    <w:p w14:paraId="0282233C" w14:textId="77777777"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Tilley, Christopher, </w:t>
      </w:r>
      <w:r w:rsidRPr="00781C34">
        <w:rPr>
          <w:rFonts w:asciiTheme="minorHAnsi" w:hAnsiTheme="minorHAnsi" w:cstheme="minorHAnsi"/>
          <w:i/>
          <w:sz w:val="20"/>
          <w:szCs w:val="20"/>
        </w:rPr>
        <w:t>A Phenomenology of Landscape</w:t>
      </w:r>
      <w:r w:rsidRPr="00781C34">
        <w:rPr>
          <w:rFonts w:asciiTheme="minorHAnsi" w:hAnsiTheme="minorHAnsi" w:cstheme="minorHAnsi"/>
          <w:sz w:val="20"/>
          <w:szCs w:val="20"/>
        </w:rPr>
        <w:t>, (Oxford: Berg, 1997).</w:t>
      </w:r>
    </w:p>
    <w:p w14:paraId="3DBF37FF" w14:textId="77777777" w:rsidR="00E73DE3" w:rsidRPr="00781C34" w:rsidRDefault="00E73DE3"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Tilley, Christopher (ed.), </w:t>
      </w:r>
      <w:r w:rsidRPr="00781C34">
        <w:rPr>
          <w:rFonts w:asciiTheme="minorHAnsi" w:hAnsiTheme="minorHAnsi" w:cstheme="minorHAnsi"/>
          <w:i/>
          <w:sz w:val="20"/>
          <w:szCs w:val="20"/>
        </w:rPr>
        <w:t>Interpretive Archaeology</w:t>
      </w:r>
      <w:r w:rsidRPr="00781C34">
        <w:rPr>
          <w:rFonts w:asciiTheme="minorHAnsi" w:hAnsiTheme="minorHAnsi" w:cstheme="minorHAnsi"/>
          <w:sz w:val="20"/>
          <w:szCs w:val="20"/>
        </w:rPr>
        <w:t>, (Oxford: Berg, 1994).</w:t>
      </w:r>
    </w:p>
    <w:p w14:paraId="558E692C" w14:textId="338D5B25"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Valcarce, </w:t>
      </w:r>
      <w:r w:rsidR="00E73DE3" w:rsidRPr="00781C34">
        <w:rPr>
          <w:rFonts w:asciiTheme="minorHAnsi" w:hAnsiTheme="minorHAnsi" w:cstheme="minorHAnsi"/>
          <w:sz w:val="20"/>
          <w:szCs w:val="20"/>
        </w:rPr>
        <w:t>R.</w:t>
      </w:r>
      <w:r w:rsidRPr="00781C34">
        <w:rPr>
          <w:rFonts w:asciiTheme="minorHAnsi" w:hAnsiTheme="minorHAnsi" w:cstheme="minorHAnsi"/>
          <w:sz w:val="20"/>
          <w:szCs w:val="20"/>
        </w:rPr>
        <w:t xml:space="preserve"> and Vilaseco Vázquez, </w:t>
      </w:r>
      <w:r w:rsidR="00E73DE3" w:rsidRPr="00781C34">
        <w:rPr>
          <w:rFonts w:asciiTheme="minorHAnsi" w:hAnsiTheme="minorHAnsi" w:cstheme="minorHAnsi"/>
          <w:sz w:val="20"/>
          <w:szCs w:val="20"/>
        </w:rPr>
        <w:t>X.,</w:t>
      </w:r>
      <w:r w:rsidRPr="00781C34">
        <w:rPr>
          <w:rFonts w:asciiTheme="minorHAnsi" w:hAnsiTheme="minorHAnsi" w:cstheme="minorHAnsi"/>
          <w:sz w:val="20"/>
          <w:szCs w:val="20"/>
        </w:rPr>
        <w:t xml:space="preserve"> ‘Building forever or just for the time being? A view from north-western Iberia’, in Laporte, L. and Scarre, C. (eds), </w:t>
      </w:r>
      <w:r w:rsidRPr="00781C34">
        <w:rPr>
          <w:rFonts w:asciiTheme="minorHAnsi" w:hAnsiTheme="minorHAnsi" w:cstheme="minorHAnsi"/>
          <w:i/>
          <w:sz w:val="20"/>
          <w:szCs w:val="20"/>
        </w:rPr>
        <w:t>The Megalithic Architectures of Europe</w:t>
      </w:r>
      <w:r w:rsidRPr="00781C34">
        <w:rPr>
          <w:rFonts w:asciiTheme="minorHAnsi" w:hAnsiTheme="minorHAnsi" w:cstheme="minorHAnsi"/>
          <w:sz w:val="20"/>
          <w:szCs w:val="20"/>
        </w:rPr>
        <w:t xml:space="preserve"> (Oxford: Oxbow Books, 2016).</w:t>
      </w:r>
    </w:p>
    <w:p w14:paraId="5365958D" w14:textId="50EE7567" w:rsidR="00A02B8F" w:rsidRPr="00781C34" w:rsidRDefault="00A02B8F" w:rsidP="00BD41A1">
      <w:pPr>
        <w:ind w:left="426" w:hanging="426"/>
        <w:rPr>
          <w:rFonts w:asciiTheme="minorHAnsi" w:hAnsiTheme="minorHAnsi" w:cstheme="minorHAnsi"/>
          <w:sz w:val="20"/>
          <w:szCs w:val="20"/>
        </w:rPr>
      </w:pPr>
      <w:r w:rsidRPr="00781C34">
        <w:rPr>
          <w:rFonts w:asciiTheme="minorHAnsi" w:hAnsiTheme="minorHAnsi" w:cstheme="minorHAnsi"/>
          <w:sz w:val="20"/>
          <w:szCs w:val="20"/>
        </w:rPr>
        <w:t xml:space="preserve">Zakšek, </w:t>
      </w:r>
      <w:r w:rsidR="00E73DE3" w:rsidRPr="00781C34">
        <w:rPr>
          <w:rFonts w:asciiTheme="minorHAnsi" w:hAnsiTheme="minorHAnsi" w:cstheme="minorHAnsi"/>
          <w:sz w:val="20"/>
          <w:szCs w:val="20"/>
        </w:rPr>
        <w:t>K.</w:t>
      </w:r>
      <w:r w:rsidRPr="00781C34">
        <w:rPr>
          <w:rFonts w:asciiTheme="minorHAnsi" w:hAnsiTheme="minorHAnsi" w:cstheme="minorHAnsi"/>
          <w:sz w:val="20"/>
          <w:szCs w:val="20"/>
        </w:rPr>
        <w:t xml:space="preserve">, Oštir, </w:t>
      </w:r>
      <w:r w:rsidR="00E73DE3" w:rsidRPr="00781C34">
        <w:rPr>
          <w:rFonts w:asciiTheme="minorHAnsi" w:hAnsiTheme="minorHAnsi" w:cstheme="minorHAnsi"/>
          <w:sz w:val="20"/>
          <w:szCs w:val="20"/>
        </w:rPr>
        <w:t>K.</w:t>
      </w:r>
      <w:r w:rsidRPr="00781C34">
        <w:rPr>
          <w:rFonts w:asciiTheme="minorHAnsi" w:hAnsiTheme="minorHAnsi" w:cstheme="minorHAnsi"/>
          <w:sz w:val="20"/>
          <w:szCs w:val="20"/>
        </w:rPr>
        <w:t xml:space="preserve"> and Kokalj, Ž</w:t>
      </w:r>
      <w:r w:rsidR="00E73DE3" w:rsidRPr="00781C34">
        <w:rPr>
          <w:rFonts w:asciiTheme="minorHAnsi" w:hAnsiTheme="minorHAnsi" w:cstheme="minorHAnsi"/>
          <w:sz w:val="20"/>
          <w:szCs w:val="20"/>
        </w:rPr>
        <w:t>.,</w:t>
      </w:r>
      <w:r w:rsidRPr="00781C34">
        <w:rPr>
          <w:rFonts w:asciiTheme="minorHAnsi" w:hAnsiTheme="minorHAnsi" w:cstheme="minorHAnsi"/>
          <w:sz w:val="20"/>
          <w:szCs w:val="20"/>
        </w:rPr>
        <w:t xml:space="preserve"> ‘Sky-View Factor as a Relief Visualisation Technique’, </w:t>
      </w:r>
      <w:r w:rsidRPr="00781C34">
        <w:rPr>
          <w:rFonts w:asciiTheme="minorHAnsi" w:hAnsiTheme="minorHAnsi" w:cstheme="minorHAnsi"/>
          <w:i/>
          <w:sz w:val="20"/>
          <w:szCs w:val="20"/>
        </w:rPr>
        <w:t>Remote Sensing</w:t>
      </w:r>
      <w:r w:rsidRPr="00781C34">
        <w:rPr>
          <w:rFonts w:asciiTheme="minorHAnsi" w:hAnsiTheme="minorHAnsi" w:cstheme="minorHAnsi"/>
          <w:sz w:val="20"/>
          <w:szCs w:val="20"/>
        </w:rPr>
        <w:t>, 3 (2011), 398</w:t>
      </w:r>
      <w:r w:rsidRPr="00781C34">
        <w:rPr>
          <w:rFonts w:asciiTheme="minorHAnsi" w:hAnsiTheme="minorHAnsi" w:cstheme="minorHAnsi"/>
          <w:sz w:val="20"/>
          <w:szCs w:val="20"/>
        </w:rPr>
        <w:sym w:font="Symbol" w:char="F02D"/>
      </w:r>
      <w:r w:rsidRPr="00781C34">
        <w:rPr>
          <w:rFonts w:asciiTheme="minorHAnsi" w:hAnsiTheme="minorHAnsi" w:cstheme="minorHAnsi"/>
          <w:sz w:val="20"/>
          <w:szCs w:val="20"/>
        </w:rPr>
        <w:t>415.</w:t>
      </w:r>
    </w:p>
    <w:sectPr w:rsidR="00A02B8F" w:rsidRPr="00781C34" w:rsidSect="00E471D2">
      <w:headerReference w:type="default" r:id="rId9"/>
      <w:pgSz w:w="11906" w:h="16838"/>
      <w:pgMar w:top="1440" w:right="1416"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BAC1D" w14:textId="77777777" w:rsidR="005E01E6" w:rsidRDefault="005E01E6" w:rsidP="00AD5D5A">
      <w:r>
        <w:separator/>
      </w:r>
    </w:p>
  </w:endnote>
  <w:endnote w:type="continuationSeparator" w:id="0">
    <w:p w14:paraId="16030C58" w14:textId="77777777" w:rsidR="005E01E6" w:rsidRDefault="005E01E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lbertu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ACD4F" w14:textId="77777777" w:rsidR="005E01E6" w:rsidRDefault="005E01E6" w:rsidP="00AD5D5A">
      <w:r>
        <w:separator/>
      </w:r>
    </w:p>
  </w:footnote>
  <w:footnote w:type="continuationSeparator" w:id="0">
    <w:p w14:paraId="2C0F7193" w14:textId="77777777" w:rsidR="005E01E6" w:rsidRDefault="005E01E6" w:rsidP="00AD5D5A">
      <w:r>
        <w:continuationSeparator/>
      </w:r>
    </w:p>
  </w:footnote>
  <w:footnote w:id="1">
    <w:p w14:paraId="0208E8A2" w14:textId="7158C3EF" w:rsidR="00CA5393" w:rsidRPr="00781C34" w:rsidRDefault="00CA5393">
      <w:pPr>
        <w:pStyle w:val="FootnoteText"/>
        <w:rPr>
          <w:sz w:val="18"/>
          <w:szCs w:val="18"/>
        </w:rPr>
      </w:pPr>
      <w:r w:rsidRPr="00781C34">
        <w:rPr>
          <w:rStyle w:val="FootnoteReference"/>
          <w:sz w:val="18"/>
          <w:szCs w:val="18"/>
        </w:rPr>
        <w:footnoteRef/>
      </w:r>
      <w:r w:rsidRPr="00781C34">
        <w:rPr>
          <w:sz w:val="18"/>
          <w:szCs w:val="18"/>
        </w:rPr>
        <w:t xml:space="preserve"> Michael Hoskin, ‘Studies in Iberian Archaeoastronomy (5) Orientations of Megalithic Tombs of Northern and Western Iberia’, </w:t>
      </w:r>
      <w:r w:rsidRPr="00781C34">
        <w:rPr>
          <w:i/>
          <w:sz w:val="18"/>
          <w:szCs w:val="18"/>
        </w:rPr>
        <w:t>Archaeoastronomy</w:t>
      </w:r>
      <w:r w:rsidRPr="00781C34">
        <w:rPr>
          <w:sz w:val="18"/>
          <w:szCs w:val="18"/>
        </w:rPr>
        <w:t>, 23 (JHA xxix) (1998), S39</w:t>
      </w:r>
      <w:r w:rsidRPr="00781C34">
        <w:rPr>
          <w:sz w:val="18"/>
          <w:szCs w:val="18"/>
        </w:rPr>
        <w:sym w:font="Symbol" w:char="F02D"/>
      </w:r>
      <w:r w:rsidRPr="00781C34">
        <w:rPr>
          <w:sz w:val="18"/>
          <w:szCs w:val="18"/>
        </w:rPr>
        <w:t xml:space="preserve">S48, which discusses areas of Western Catalunya, Alava, Burgos, La Rioja, Soria and Eastern Navarra; Fabio Silva, ‘The View from Within: A </w:t>
      </w:r>
      <w:r w:rsidRPr="00781C34">
        <w:rPr>
          <w:rFonts w:cs="Calibri"/>
          <w:sz w:val="18"/>
          <w:szCs w:val="18"/>
        </w:rPr>
        <w:t>“</w:t>
      </w:r>
      <w:r w:rsidRPr="00781C34">
        <w:rPr>
          <w:sz w:val="18"/>
          <w:szCs w:val="18"/>
        </w:rPr>
        <w:t>Time-Space-Action</w:t>
      </w:r>
      <w:r w:rsidRPr="00781C34">
        <w:rPr>
          <w:rFonts w:cs="Calibri"/>
          <w:sz w:val="18"/>
          <w:szCs w:val="18"/>
        </w:rPr>
        <w:t>”</w:t>
      </w:r>
      <w:r w:rsidRPr="00781C34">
        <w:rPr>
          <w:sz w:val="18"/>
          <w:szCs w:val="18"/>
        </w:rPr>
        <w:t xml:space="preserve"> Approach to Megalithism in Central Portugal</w:t>
      </w:r>
      <w:r w:rsidRPr="00781C34">
        <w:rPr>
          <w:rFonts w:cs="Calibri"/>
          <w:sz w:val="18"/>
          <w:szCs w:val="18"/>
        </w:rPr>
        <w:t>’</w:t>
      </w:r>
      <w:r w:rsidR="00305A31" w:rsidRPr="00781C34">
        <w:rPr>
          <w:rFonts w:cs="Calibri"/>
          <w:sz w:val="18"/>
          <w:szCs w:val="18"/>
        </w:rPr>
        <w:t>,</w:t>
      </w:r>
      <w:r w:rsidRPr="00781C34">
        <w:rPr>
          <w:rFonts w:cs="Calibri"/>
          <w:sz w:val="18"/>
          <w:szCs w:val="18"/>
        </w:rPr>
        <w:t xml:space="preserve"> in Fabio Silva and Nick Campion (eds) </w:t>
      </w:r>
      <w:r w:rsidRPr="00781C34">
        <w:rPr>
          <w:rFonts w:cs="Calibri"/>
          <w:i/>
          <w:sz w:val="18"/>
          <w:szCs w:val="18"/>
        </w:rPr>
        <w:t>Skyscapes: The role and importance of the sky in archaeology</w:t>
      </w:r>
      <w:r w:rsidRPr="00781C34">
        <w:rPr>
          <w:rFonts w:cs="Calibri"/>
          <w:sz w:val="18"/>
          <w:szCs w:val="18"/>
        </w:rPr>
        <w:t xml:space="preserve"> (Oxford: Oxbow Books, 2015) on the Mondego platform, with specific reference to Serra da Estrela.</w:t>
      </w:r>
    </w:p>
  </w:footnote>
  <w:footnote w:id="2">
    <w:p w14:paraId="61EA75D3" w14:textId="75618961" w:rsidR="00CA5393" w:rsidRPr="00781C34" w:rsidRDefault="00CA5393" w:rsidP="00460F8B">
      <w:pPr>
        <w:pStyle w:val="FootnoteText"/>
        <w:rPr>
          <w:sz w:val="18"/>
          <w:szCs w:val="18"/>
        </w:rPr>
      </w:pPr>
      <w:r w:rsidRPr="00781C34">
        <w:rPr>
          <w:rStyle w:val="FootnoteReference"/>
          <w:sz w:val="18"/>
          <w:szCs w:val="18"/>
        </w:rPr>
        <w:footnoteRef/>
      </w:r>
      <w:r w:rsidRPr="00781C34">
        <w:rPr>
          <w:sz w:val="18"/>
          <w:szCs w:val="18"/>
        </w:rPr>
        <w:t xml:space="preserve"> Hoskin, ‘Studies in Iberian Archaeoastronomy’, S39, S41</w:t>
      </w:r>
      <w:r w:rsidR="00305A31" w:rsidRPr="00781C34">
        <w:rPr>
          <w:sz w:val="18"/>
          <w:szCs w:val="18"/>
        </w:rPr>
        <w:t>.</w:t>
      </w:r>
    </w:p>
  </w:footnote>
  <w:footnote w:id="3">
    <w:p w14:paraId="5B23EEA5" w14:textId="39E03B42" w:rsidR="00CA5393" w:rsidRPr="00781C34" w:rsidRDefault="00CA5393" w:rsidP="00785217">
      <w:pPr>
        <w:pStyle w:val="FootnoteText"/>
        <w:rPr>
          <w:sz w:val="18"/>
          <w:szCs w:val="18"/>
        </w:rPr>
      </w:pPr>
      <w:r w:rsidRPr="00781C34">
        <w:rPr>
          <w:rStyle w:val="FootnoteReference"/>
          <w:sz w:val="18"/>
          <w:szCs w:val="18"/>
        </w:rPr>
        <w:footnoteRef/>
      </w:r>
      <w:r w:rsidRPr="00781C34">
        <w:rPr>
          <w:sz w:val="18"/>
          <w:szCs w:val="18"/>
        </w:rPr>
        <w:t xml:space="preserve"> Hoskin, ‘Studies in Iberian Archaeoastronomy’, S39</w:t>
      </w:r>
      <w:r w:rsidR="00305A31" w:rsidRPr="00781C34">
        <w:rPr>
          <w:sz w:val="18"/>
          <w:szCs w:val="18"/>
        </w:rPr>
        <w:t>.</w:t>
      </w:r>
    </w:p>
  </w:footnote>
  <w:footnote w:id="4">
    <w:p w14:paraId="544141AF" w14:textId="6A4E37E7" w:rsidR="00CA5393" w:rsidRPr="00781C34" w:rsidRDefault="00CA5393" w:rsidP="00A3405D">
      <w:pPr>
        <w:pStyle w:val="FootnoteText"/>
        <w:rPr>
          <w:sz w:val="18"/>
          <w:szCs w:val="18"/>
        </w:rPr>
      </w:pPr>
      <w:r w:rsidRPr="00781C34">
        <w:rPr>
          <w:rStyle w:val="FootnoteReference"/>
          <w:sz w:val="18"/>
          <w:szCs w:val="18"/>
        </w:rPr>
        <w:footnoteRef/>
      </w:r>
      <w:r w:rsidRPr="00781C34">
        <w:rPr>
          <w:sz w:val="18"/>
          <w:szCs w:val="18"/>
        </w:rPr>
        <w:t xml:space="preserve"> Silva, ‘The View from Within’, 140, 143</w:t>
      </w:r>
      <w:r w:rsidR="00305A31" w:rsidRPr="00781C34">
        <w:rPr>
          <w:sz w:val="18"/>
          <w:szCs w:val="18"/>
        </w:rPr>
        <w:t>.</w:t>
      </w:r>
    </w:p>
  </w:footnote>
  <w:footnote w:id="5">
    <w:p w14:paraId="6DC12621" w14:textId="49F041CA" w:rsidR="00CA5393" w:rsidRPr="00781C34" w:rsidRDefault="00CA5393" w:rsidP="00415DA5">
      <w:pPr>
        <w:pStyle w:val="FootnoteText"/>
        <w:rPr>
          <w:sz w:val="18"/>
          <w:szCs w:val="18"/>
        </w:rPr>
      </w:pPr>
      <w:r w:rsidRPr="00781C34">
        <w:rPr>
          <w:rStyle w:val="FootnoteReference"/>
          <w:sz w:val="18"/>
          <w:szCs w:val="18"/>
        </w:rPr>
        <w:footnoteRef/>
      </w:r>
      <w:r w:rsidRPr="00781C34">
        <w:rPr>
          <w:sz w:val="18"/>
          <w:szCs w:val="18"/>
        </w:rPr>
        <w:t xml:space="preserve"> Time-space-action model is attributed to Darvill: Timothy Darvill, ‘The historic environment, historic landscapes, and space-time-action models in landscape archaeology’, in Ucko, P.J. and Layton, R. (eds), </w:t>
      </w:r>
      <w:r w:rsidRPr="00781C34">
        <w:rPr>
          <w:i/>
          <w:sz w:val="18"/>
          <w:szCs w:val="18"/>
        </w:rPr>
        <w:t>The Archaeology and Anthropology of Landscape: Shaping your landscape</w:t>
      </w:r>
      <w:r w:rsidRPr="00781C34">
        <w:rPr>
          <w:sz w:val="18"/>
          <w:szCs w:val="18"/>
        </w:rPr>
        <w:t xml:space="preserve"> (London and New York: Routledge, 1999), 104</w:t>
      </w:r>
      <w:r w:rsidR="00305A31" w:rsidRPr="00781C34">
        <w:rPr>
          <w:sz w:val="18"/>
          <w:szCs w:val="18"/>
        </w:rPr>
        <w:sym w:font="Symbol" w:char="F02D"/>
      </w:r>
      <w:r w:rsidRPr="00781C34">
        <w:rPr>
          <w:sz w:val="18"/>
          <w:szCs w:val="18"/>
        </w:rPr>
        <w:t xml:space="preserve">118, cited in in Silva, ‘The View from Within’, 140; Michael Hoskin, </w:t>
      </w:r>
      <w:r w:rsidRPr="00781C34">
        <w:rPr>
          <w:i/>
          <w:sz w:val="18"/>
          <w:szCs w:val="18"/>
        </w:rPr>
        <w:t>Tombs, Temples and their Orientations</w:t>
      </w:r>
      <w:r w:rsidRPr="00781C34">
        <w:rPr>
          <w:sz w:val="18"/>
          <w:szCs w:val="18"/>
        </w:rPr>
        <w:t xml:space="preserve"> (Bognor Regis: Ocarina Books, 2001), 12, cited by Silva, ‘The View from Within’, 142; Silva, ‘The View from Within’, 143.</w:t>
      </w:r>
    </w:p>
  </w:footnote>
  <w:footnote w:id="6">
    <w:p w14:paraId="3BC5BCB7" w14:textId="4DCB7EF0" w:rsidR="00CA5393" w:rsidRPr="00781C34" w:rsidRDefault="00CA5393" w:rsidP="008919AB">
      <w:pPr>
        <w:pStyle w:val="FootnoteText"/>
        <w:rPr>
          <w:sz w:val="18"/>
          <w:szCs w:val="18"/>
        </w:rPr>
      </w:pPr>
      <w:r w:rsidRPr="00781C34">
        <w:rPr>
          <w:rStyle w:val="FootnoteReference"/>
          <w:sz w:val="18"/>
          <w:szCs w:val="18"/>
        </w:rPr>
        <w:footnoteRef/>
      </w:r>
      <w:r w:rsidRPr="00781C34">
        <w:rPr>
          <w:sz w:val="18"/>
          <w:szCs w:val="18"/>
        </w:rPr>
        <w:t xml:space="preserve"> </w:t>
      </w:r>
      <w:r w:rsidR="00DF08E7" w:rsidRPr="00781C34">
        <w:rPr>
          <w:sz w:val="18"/>
          <w:szCs w:val="18"/>
        </w:rPr>
        <w:t>Fabio Silva</w:t>
      </w:r>
      <w:r w:rsidR="00305A31" w:rsidRPr="00781C34">
        <w:rPr>
          <w:sz w:val="18"/>
          <w:szCs w:val="18"/>
        </w:rPr>
        <w:t>,</w:t>
      </w:r>
      <w:r w:rsidR="00DF08E7" w:rsidRPr="00781C34">
        <w:rPr>
          <w:sz w:val="18"/>
          <w:szCs w:val="18"/>
        </w:rPr>
        <w:t xml:space="preserve"> ‘Landscape and Astronomy in Megalithic Portugal: The Carregal do Sal Nucleus and Star Mountain Range’, </w:t>
      </w:r>
      <w:r w:rsidR="00DF08E7" w:rsidRPr="00781C34">
        <w:rPr>
          <w:i/>
          <w:sz w:val="18"/>
          <w:szCs w:val="18"/>
        </w:rPr>
        <w:t>Papers from the Institute of Archaeology</w:t>
      </w:r>
      <w:r w:rsidR="00DF08E7" w:rsidRPr="00781C34">
        <w:rPr>
          <w:sz w:val="18"/>
          <w:szCs w:val="18"/>
        </w:rPr>
        <w:t>, 22 (2013), 99</w:t>
      </w:r>
      <w:r w:rsidR="00DF08E7" w:rsidRPr="00781C34">
        <w:rPr>
          <w:sz w:val="18"/>
          <w:szCs w:val="18"/>
        </w:rPr>
        <w:sym w:font="Symbol" w:char="F02D"/>
      </w:r>
      <w:r w:rsidR="00DF08E7" w:rsidRPr="00781C34">
        <w:rPr>
          <w:sz w:val="18"/>
          <w:szCs w:val="18"/>
        </w:rPr>
        <w:t xml:space="preserve">114; Fabio Silva, ‘A Tomb with a View: New methods for bridging the gap between land and sky in megalithic archaeology’, </w:t>
      </w:r>
      <w:r w:rsidR="00DF08E7" w:rsidRPr="00781C34">
        <w:rPr>
          <w:i/>
          <w:sz w:val="18"/>
          <w:szCs w:val="18"/>
        </w:rPr>
        <w:t>Advances in Archaeological Practice</w:t>
      </w:r>
      <w:r w:rsidR="00DF08E7" w:rsidRPr="00781C34">
        <w:rPr>
          <w:sz w:val="18"/>
          <w:szCs w:val="18"/>
        </w:rPr>
        <w:t>, 2:1 (2014), 24</w:t>
      </w:r>
      <w:r w:rsidR="00DF08E7" w:rsidRPr="00781C34">
        <w:rPr>
          <w:sz w:val="18"/>
          <w:szCs w:val="18"/>
        </w:rPr>
        <w:sym w:font="Symbol" w:char="F02D"/>
      </w:r>
      <w:r w:rsidR="00DF08E7" w:rsidRPr="00781C34">
        <w:rPr>
          <w:sz w:val="18"/>
          <w:szCs w:val="18"/>
        </w:rPr>
        <w:t>37.</w:t>
      </w:r>
    </w:p>
  </w:footnote>
  <w:footnote w:id="7">
    <w:p w14:paraId="104536E2" w14:textId="6027778B" w:rsidR="00CA5393" w:rsidRPr="00781C34" w:rsidRDefault="00CA5393" w:rsidP="008919AB">
      <w:pPr>
        <w:pStyle w:val="FootnoteText"/>
        <w:rPr>
          <w:sz w:val="18"/>
          <w:szCs w:val="18"/>
        </w:rPr>
      </w:pPr>
      <w:r w:rsidRPr="00781C34">
        <w:rPr>
          <w:rStyle w:val="FootnoteReference"/>
          <w:sz w:val="18"/>
          <w:szCs w:val="18"/>
        </w:rPr>
        <w:footnoteRef/>
      </w:r>
      <w:r w:rsidRPr="00781C34">
        <w:rPr>
          <w:sz w:val="18"/>
          <w:szCs w:val="18"/>
        </w:rPr>
        <w:t xml:space="preserve"> Silva, ‘The View from Within’, 143.</w:t>
      </w:r>
    </w:p>
  </w:footnote>
  <w:footnote w:id="8">
    <w:p w14:paraId="4BE4DD23" w14:textId="07E8924A" w:rsidR="00CA5393" w:rsidRPr="00781C34" w:rsidRDefault="00CA5393" w:rsidP="00374263">
      <w:pPr>
        <w:pStyle w:val="FootnoteText"/>
        <w:rPr>
          <w:sz w:val="18"/>
          <w:szCs w:val="18"/>
        </w:rPr>
      </w:pPr>
      <w:r w:rsidRPr="00781C34">
        <w:rPr>
          <w:rStyle w:val="FootnoteReference"/>
          <w:sz w:val="18"/>
          <w:szCs w:val="18"/>
        </w:rPr>
        <w:footnoteRef/>
      </w:r>
      <w:r w:rsidRPr="00781C34">
        <w:rPr>
          <w:sz w:val="18"/>
          <w:szCs w:val="18"/>
        </w:rPr>
        <w:t xml:space="preserve"> Silva, ‘The View from Within’, 141.</w:t>
      </w:r>
    </w:p>
  </w:footnote>
  <w:footnote w:id="9">
    <w:p w14:paraId="4229C5E5" w14:textId="75E0B2B1" w:rsidR="00CA5393" w:rsidRPr="00781C34" w:rsidRDefault="00CA5393" w:rsidP="00BB6A9D">
      <w:pPr>
        <w:pStyle w:val="FootnoteText"/>
        <w:rPr>
          <w:sz w:val="18"/>
          <w:szCs w:val="18"/>
        </w:rPr>
      </w:pPr>
      <w:r w:rsidRPr="00781C34">
        <w:rPr>
          <w:rStyle w:val="FootnoteReference"/>
          <w:sz w:val="18"/>
          <w:szCs w:val="18"/>
        </w:rPr>
        <w:footnoteRef/>
      </w:r>
      <w:r w:rsidRPr="00781C34">
        <w:rPr>
          <w:sz w:val="18"/>
          <w:szCs w:val="18"/>
        </w:rPr>
        <w:t xml:space="preserve"> Silva, ‘The View from Within’, 140; F. Silva and R. Frank, ‘Deconstructing the Neolithic Myth: The implications of continuity for European Late Prehistory’, </w:t>
      </w:r>
      <w:r w:rsidRPr="00781C34">
        <w:rPr>
          <w:i/>
          <w:sz w:val="18"/>
          <w:szCs w:val="18"/>
        </w:rPr>
        <w:t>Anthropological Notebooks</w:t>
      </w:r>
      <w:r w:rsidRPr="00781C34">
        <w:rPr>
          <w:sz w:val="18"/>
          <w:szCs w:val="18"/>
        </w:rPr>
        <w:t>, 2:1 (2013), 24</w:t>
      </w:r>
      <w:r w:rsidR="00750C4E" w:rsidRPr="00781C34">
        <w:rPr>
          <w:sz w:val="18"/>
          <w:szCs w:val="18"/>
        </w:rPr>
        <w:sym w:font="Symbol" w:char="F02D"/>
      </w:r>
      <w:r w:rsidRPr="00781C34">
        <w:rPr>
          <w:sz w:val="18"/>
          <w:szCs w:val="18"/>
        </w:rPr>
        <w:t>37, cited in Silva, ‘The View from Within’, 140</w:t>
      </w:r>
      <w:r w:rsidR="00750C4E" w:rsidRPr="00781C34">
        <w:rPr>
          <w:sz w:val="18"/>
          <w:szCs w:val="18"/>
        </w:rPr>
        <w:sym w:font="Symbol" w:char="F02D"/>
      </w:r>
      <w:r w:rsidRPr="00781C34">
        <w:rPr>
          <w:sz w:val="18"/>
          <w:szCs w:val="18"/>
        </w:rPr>
        <w:t>141.</w:t>
      </w:r>
    </w:p>
  </w:footnote>
  <w:footnote w:id="10">
    <w:p w14:paraId="3446C49E" w14:textId="3E45D21F" w:rsidR="00CA5393" w:rsidRPr="00781C34" w:rsidRDefault="00CA5393" w:rsidP="00EC41C2">
      <w:pPr>
        <w:pStyle w:val="FootnoteText"/>
        <w:rPr>
          <w:sz w:val="18"/>
          <w:szCs w:val="18"/>
        </w:rPr>
      </w:pPr>
      <w:r w:rsidRPr="00781C34">
        <w:rPr>
          <w:rStyle w:val="FootnoteReference"/>
          <w:sz w:val="18"/>
          <w:szCs w:val="18"/>
        </w:rPr>
        <w:footnoteRef/>
      </w:r>
      <w:r w:rsidRPr="00781C34">
        <w:rPr>
          <w:sz w:val="18"/>
          <w:szCs w:val="18"/>
        </w:rPr>
        <w:t xml:space="preserve"> J. Soares and C.T. da Silva, ‘A transi</w:t>
      </w:r>
      <w:r w:rsidRPr="00781C34">
        <w:rPr>
          <w:rFonts w:cs="Calibri"/>
          <w:sz w:val="18"/>
          <w:szCs w:val="18"/>
        </w:rPr>
        <w:t>çã</w:t>
      </w:r>
      <w:r w:rsidRPr="00781C34">
        <w:rPr>
          <w:sz w:val="18"/>
          <w:szCs w:val="18"/>
        </w:rPr>
        <w:t>o para o Neol</w:t>
      </w:r>
      <w:r w:rsidRPr="00781C34">
        <w:rPr>
          <w:rFonts w:cs="Calibri"/>
          <w:sz w:val="18"/>
          <w:szCs w:val="18"/>
        </w:rPr>
        <w:t>í</w:t>
      </w:r>
      <w:r w:rsidRPr="00781C34">
        <w:rPr>
          <w:sz w:val="18"/>
          <w:szCs w:val="18"/>
        </w:rPr>
        <w:t xml:space="preserve">tico na costa sudoeste portuguesa’, </w:t>
      </w:r>
      <w:r w:rsidRPr="00781C34">
        <w:rPr>
          <w:i/>
          <w:sz w:val="18"/>
          <w:szCs w:val="18"/>
        </w:rPr>
        <w:t>Trabalhos de Arqueologia</w:t>
      </w:r>
      <w:r w:rsidRPr="00781C34">
        <w:rPr>
          <w:sz w:val="18"/>
          <w:szCs w:val="18"/>
        </w:rPr>
        <w:t>, 25 (2003), 51, cited in Silva, ‘The View from Within’, 140.</w:t>
      </w:r>
    </w:p>
  </w:footnote>
  <w:footnote w:id="11">
    <w:p w14:paraId="76BCC80A" w14:textId="68FE88FC" w:rsidR="00CA5393" w:rsidRPr="00781C34" w:rsidRDefault="00CA5393" w:rsidP="000073C4">
      <w:pPr>
        <w:pStyle w:val="FootnoteText"/>
        <w:rPr>
          <w:sz w:val="18"/>
          <w:szCs w:val="18"/>
        </w:rPr>
      </w:pPr>
      <w:r w:rsidRPr="00781C34">
        <w:rPr>
          <w:rStyle w:val="FootnoteReference"/>
          <w:sz w:val="18"/>
          <w:szCs w:val="18"/>
        </w:rPr>
        <w:footnoteRef/>
      </w:r>
      <w:r w:rsidRPr="00781C34">
        <w:rPr>
          <w:sz w:val="18"/>
          <w:szCs w:val="18"/>
        </w:rPr>
        <w:t xml:space="preserve"> Christopher Tilley, </w:t>
      </w:r>
      <w:r w:rsidRPr="00781C34">
        <w:rPr>
          <w:i/>
          <w:sz w:val="18"/>
          <w:szCs w:val="18"/>
        </w:rPr>
        <w:t>A Phenomenology of Landscape</w:t>
      </w:r>
      <w:r w:rsidRPr="00781C34">
        <w:rPr>
          <w:sz w:val="18"/>
          <w:szCs w:val="18"/>
        </w:rPr>
        <w:t xml:space="preserve"> (Oxford: Berg Publishers, 1994), 202.</w:t>
      </w:r>
    </w:p>
  </w:footnote>
  <w:footnote w:id="12">
    <w:p w14:paraId="4353145B" w14:textId="3651485F" w:rsidR="00CA5393" w:rsidRPr="00781C34" w:rsidRDefault="00CA5393" w:rsidP="000073C4">
      <w:pPr>
        <w:pStyle w:val="FootnoteText"/>
        <w:rPr>
          <w:sz w:val="18"/>
          <w:szCs w:val="18"/>
        </w:rPr>
      </w:pPr>
      <w:r w:rsidRPr="00781C34">
        <w:rPr>
          <w:rStyle w:val="FootnoteReference"/>
          <w:sz w:val="18"/>
          <w:szCs w:val="18"/>
        </w:rPr>
        <w:footnoteRef/>
      </w:r>
      <w:r w:rsidRPr="00781C34">
        <w:rPr>
          <w:sz w:val="18"/>
          <w:szCs w:val="18"/>
        </w:rPr>
        <w:t xml:space="preserve"> Tilley, </w:t>
      </w:r>
      <w:r w:rsidRPr="00781C34">
        <w:rPr>
          <w:i/>
          <w:sz w:val="18"/>
          <w:szCs w:val="18"/>
        </w:rPr>
        <w:t>A Phenomenology of Landscape</w:t>
      </w:r>
      <w:r w:rsidRPr="00781C34">
        <w:rPr>
          <w:sz w:val="18"/>
          <w:szCs w:val="18"/>
        </w:rPr>
        <w:t>, 202</w:t>
      </w:r>
      <w:r w:rsidR="00750C4E" w:rsidRPr="00781C34">
        <w:rPr>
          <w:sz w:val="18"/>
          <w:szCs w:val="18"/>
        </w:rPr>
        <w:sym w:font="Symbol" w:char="F02D"/>
      </w:r>
      <w:r w:rsidR="00750C4E" w:rsidRPr="00781C34">
        <w:rPr>
          <w:sz w:val="18"/>
          <w:szCs w:val="18"/>
        </w:rPr>
        <w:t>20</w:t>
      </w:r>
      <w:r w:rsidRPr="00781C34">
        <w:rPr>
          <w:sz w:val="18"/>
          <w:szCs w:val="18"/>
        </w:rPr>
        <w:t>3.</w:t>
      </w:r>
    </w:p>
  </w:footnote>
  <w:footnote w:id="13">
    <w:p w14:paraId="6EEBA0B6" w14:textId="4D82E440" w:rsidR="00CA5393" w:rsidRPr="00781C34" w:rsidRDefault="00CA5393" w:rsidP="00553CB4">
      <w:pPr>
        <w:pStyle w:val="FootnoteText"/>
        <w:rPr>
          <w:sz w:val="18"/>
          <w:szCs w:val="18"/>
        </w:rPr>
      </w:pPr>
      <w:r w:rsidRPr="00781C34">
        <w:rPr>
          <w:rStyle w:val="FootnoteReference"/>
          <w:sz w:val="18"/>
          <w:szCs w:val="18"/>
        </w:rPr>
        <w:footnoteRef/>
      </w:r>
      <w:r w:rsidRPr="00781C34">
        <w:rPr>
          <w:sz w:val="18"/>
          <w:szCs w:val="18"/>
        </w:rPr>
        <w:t xml:space="preserve"> J.C. Senna Martinez and J.M.Q. Ventura, ‘Neolitiza</w:t>
      </w:r>
      <w:r w:rsidRPr="00781C34">
        <w:rPr>
          <w:rFonts w:cs="Calibri"/>
          <w:sz w:val="18"/>
          <w:szCs w:val="18"/>
        </w:rPr>
        <w:t>çã</w:t>
      </w:r>
      <w:r w:rsidRPr="00781C34">
        <w:rPr>
          <w:sz w:val="18"/>
          <w:szCs w:val="18"/>
        </w:rPr>
        <w:t>o e Megalitismo na Platforma do Mondego: Algumas Reflex</w:t>
      </w:r>
      <w:r w:rsidRPr="00781C34">
        <w:rPr>
          <w:rFonts w:cs="Calibri"/>
          <w:sz w:val="18"/>
          <w:szCs w:val="18"/>
        </w:rPr>
        <w:t>õ</w:t>
      </w:r>
      <w:r w:rsidRPr="00781C34">
        <w:rPr>
          <w:sz w:val="18"/>
          <w:szCs w:val="18"/>
        </w:rPr>
        <w:t>es sobre a Transi</w:t>
      </w:r>
      <w:r w:rsidRPr="00781C34">
        <w:rPr>
          <w:rFonts w:cs="Calibri"/>
          <w:sz w:val="18"/>
          <w:szCs w:val="18"/>
        </w:rPr>
        <w:t>çã</w:t>
      </w:r>
      <w:r w:rsidRPr="00781C34">
        <w:rPr>
          <w:sz w:val="18"/>
          <w:szCs w:val="18"/>
        </w:rPr>
        <w:t>o Neolitico Antigo/Neol</w:t>
      </w:r>
      <w:r w:rsidRPr="00781C34">
        <w:rPr>
          <w:rFonts w:cs="Calibri"/>
          <w:sz w:val="18"/>
          <w:szCs w:val="18"/>
        </w:rPr>
        <w:t>í</w:t>
      </w:r>
      <w:r w:rsidRPr="00781C34">
        <w:rPr>
          <w:sz w:val="18"/>
          <w:szCs w:val="18"/>
        </w:rPr>
        <w:t>tico M</w:t>
      </w:r>
      <w:r w:rsidRPr="00781C34">
        <w:rPr>
          <w:rFonts w:cs="Calibri"/>
          <w:sz w:val="18"/>
          <w:szCs w:val="18"/>
        </w:rPr>
        <w:t>é</w:t>
      </w:r>
      <w:r w:rsidRPr="00781C34">
        <w:rPr>
          <w:sz w:val="18"/>
          <w:szCs w:val="18"/>
        </w:rPr>
        <w:t xml:space="preserve">dio’, </w:t>
      </w:r>
      <w:r w:rsidRPr="00781C34">
        <w:rPr>
          <w:i/>
          <w:sz w:val="18"/>
          <w:szCs w:val="18"/>
        </w:rPr>
        <w:t>Actas do IV Congreso del Neol</w:t>
      </w:r>
      <w:r w:rsidRPr="00781C34">
        <w:rPr>
          <w:rFonts w:cs="Calibri"/>
          <w:i/>
          <w:sz w:val="18"/>
          <w:szCs w:val="18"/>
        </w:rPr>
        <w:t>í</w:t>
      </w:r>
      <w:r w:rsidRPr="00781C34">
        <w:rPr>
          <w:i/>
          <w:sz w:val="18"/>
          <w:szCs w:val="18"/>
        </w:rPr>
        <w:t>tico en la Pen</w:t>
      </w:r>
      <w:r w:rsidRPr="00781C34">
        <w:rPr>
          <w:rFonts w:cs="Calibri"/>
          <w:i/>
          <w:sz w:val="18"/>
          <w:szCs w:val="18"/>
        </w:rPr>
        <w:t>í</w:t>
      </w:r>
      <w:r w:rsidRPr="00781C34">
        <w:rPr>
          <w:i/>
          <w:sz w:val="18"/>
          <w:szCs w:val="18"/>
        </w:rPr>
        <w:t>nsula Ib</w:t>
      </w:r>
      <w:r w:rsidRPr="00781C34">
        <w:rPr>
          <w:rFonts w:cs="Calibri"/>
          <w:i/>
          <w:sz w:val="18"/>
          <w:szCs w:val="18"/>
        </w:rPr>
        <w:t>é</w:t>
      </w:r>
      <w:r w:rsidRPr="00781C34">
        <w:rPr>
          <w:i/>
          <w:sz w:val="18"/>
          <w:szCs w:val="18"/>
        </w:rPr>
        <w:t>rica</w:t>
      </w:r>
      <w:r w:rsidRPr="00781C34">
        <w:rPr>
          <w:sz w:val="18"/>
          <w:szCs w:val="18"/>
        </w:rPr>
        <w:t xml:space="preserve"> (2008a), 82, and J.C. Senna Martinez and J.M.Q. Ventura, ‘Do Mundo das Sombras ao Mundo dos Vivos: Oct</w:t>
      </w:r>
      <w:r w:rsidRPr="00781C34">
        <w:rPr>
          <w:rFonts w:cs="Calibri"/>
          <w:sz w:val="18"/>
          <w:szCs w:val="18"/>
        </w:rPr>
        <w:t>á</w:t>
      </w:r>
      <w:r w:rsidRPr="00781C34">
        <w:rPr>
          <w:sz w:val="18"/>
          <w:szCs w:val="18"/>
        </w:rPr>
        <w:t>vio da Veiga Ferreira e o Megalitismo da Beira Alta, Meio S</w:t>
      </w:r>
      <w:r w:rsidRPr="00781C34">
        <w:rPr>
          <w:rFonts w:cs="Calibri"/>
          <w:sz w:val="18"/>
          <w:szCs w:val="18"/>
        </w:rPr>
        <w:t>é</w:t>
      </w:r>
      <w:r w:rsidRPr="00781C34">
        <w:rPr>
          <w:sz w:val="18"/>
          <w:szCs w:val="18"/>
        </w:rPr>
        <w:t xml:space="preserve">culo Depois’, </w:t>
      </w:r>
      <w:r w:rsidRPr="00781C34">
        <w:rPr>
          <w:i/>
          <w:sz w:val="18"/>
          <w:szCs w:val="18"/>
        </w:rPr>
        <w:t>Estudos Arqueol</w:t>
      </w:r>
      <w:r w:rsidRPr="00781C34">
        <w:rPr>
          <w:rFonts w:cs="Calibri"/>
          <w:i/>
          <w:sz w:val="18"/>
          <w:szCs w:val="18"/>
        </w:rPr>
        <w:t>ó</w:t>
      </w:r>
      <w:r w:rsidRPr="00781C34">
        <w:rPr>
          <w:i/>
          <w:sz w:val="18"/>
          <w:szCs w:val="18"/>
        </w:rPr>
        <w:t>gicos de Oeiras</w:t>
      </w:r>
      <w:r w:rsidRPr="00781C34">
        <w:rPr>
          <w:sz w:val="18"/>
          <w:szCs w:val="18"/>
        </w:rPr>
        <w:t>, 16 (2008b), cited in Silva, ‘The View from Within’, 142.</w:t>
      </w:r>
    </w:p>
  </w:footnote>
  <w:footnote w:id="14">
    <w:p w14:paraId="296A8085" w14:textId="39921955" w:rsidR="00CA5393" w:rsidRPr="00781C34" w:rsidRDefault="00CA5393" w:rsidP="00CA5605">
      <w:pPr>
        <w:pStyle w:val="FootnoteText"/>
        <w:rPr>
          <w:sz w:val="18"/>
          <w:szCs w:val="18"/>
        </w:rPr>
      </w:pPr>
      <w:r w:rsidRPr="00781C34">
        <w:rPr>
          <w:rStyle w:val="FootnoteReference"/>
          <w:sz w:val="18"/>
          <w:szCs w:val="18"/>
        </w:rPr>
        <w:footnoteRef/>
      </w:r>
      <w:r w:rsidRPr="00781C34">
        <w:rPr>
          <w:sz w:val="18"/>
          <w:szCs w:val="18"/>
        </w:rPr>
        <w:t xml:space="preserve"> Silva, ‘The View from Within’, 141</w:t>
      </w:r>
      <w:r w:rsidR="001B4731" w:rsidRPr="00781C34">
        <w:rPr>
          <w:sz w:val="18"/>
          <w:szCs w:val="18"/>
        </w:rPr>
        <w:t>.</w:t>
      </w:r>
    </w:p>
  </w:footnote>
  <w:footnote w:id="15">
    <w:p w14:paraId="5790386E" w14:textId="77777777" w:rsidR="00D94576" w:rsidRPr="00781C34" w:rsidRDefault="00D94576" w:rsidP="00D94576">
      <w:pPr>
        <w:pStyle w:val="FootnoteText"/>
        <w:rPr>
          <w:sz w:val="18"/>
          <w:szCs w:val="18"/>
        </w:rPr>
      </w:pPr>
      <w:r w:rsidRPr="00781C34">
        <w:rPr>
          <w:rStyle w:val="FootnoteReference"/>
          <w:sz w:val="18"/>
          <w:szCs w:val="18"/>
        </w:rPr>
        <w:footnoteRef/>
      </w:r>
      <w:r w:rsidRPr="00781C34">
        <w:rPr>
          <w:sz w:val="18"/>
          <w:szCs w:val="18"/>
        </w:rPr>
        <w:t xml:space="preserve"> Hoskin, ‘Studies in Iberian Archaeoastronomy’, S63.</w:t>
      </w:r>
    </w:p>
  </w:footnote>
  <w:footnote w:id="16">
    <w:p w14:paraId="653B8E3F" w14:textId="42E52FF7" w:rsidR="00CA5393" w:rsidRPr="00781C34" w:rsidRDefault="00CA5393" w:rsidP="00CA5605">
      <w:pPr>
        <w:pStyle w:val="FootnoteText"/>
        <w:rPr>
          <w:sz w:val="18"/>
          <w:szCs w:val="18"/>
        </w:rPr>
      </w:pPr>
      <w:r w:rsidRPr="00781C34">
        <w:rPr>
          <w:rStyle w:val="FootnoteReference"/>
          <w:sz w:val="18"/>
          <w:szCs w:val="18"/>
        </w:rPr>
        <w:footnoteRef/>
      </w:r>
      <w:r w:rsidRPr="00781C34">
        <w:rPr>
          <w:sz w:val="18"/>
          <w:szCs w:val="18"/>
        </w:rPr>
        <w:t xml:space="preserve"> </w:t>
      </w:r>
      <w:r w:rsidR="001B4731" w:rsidRPr="00781C34">
        <w:rPr>
          <w:sz w:val="18"/>
          <w:szCs w:val="18"/>
        </w:rPr>
        <w:t xml:space="preserve">C. </w:t>
      </w:r>
      <w:r w:rsidRPr="00781C34">
        <w:rPr>
          <w:sz w:val="18"/>
          <w:szCs w:val="18"/>
        </w:rPr>
        <w:t>Gamble,</w:t>
      </w:r>
      <w:r w:rsidR="001B4731" w:rsidRPr="00781C34">
        <w:rPr>
          <w:sz w:val="18"/>
          <w:szCs w:val="18"/>
        </w:rPr>
        <w:t xml:space="preserve"> W. Davies, P. Pettit, L</w:t>
      </w:r>
      <w:r w:rsidR="00A02B8F" w:rsidRPr="00781C34">
        <w:rPr>
          <w:sz w:val="18"/>
          <w:szCs w:val="18"/>
        </w:rPr>
        <w:t>.</w:t>
      </w:r>
      <w:r w:rsidR="001B4731" w:rsidRPr="00781C34">
        <w:rPr>
          <w:sz w:val="18"/>
          <w:szCs w:val="18"/>
        </w:rPr>
        <w:t xml:space="preserve"> Hazelwood and M. Richards, ‘The Archaeological and Genetic Foundations of the European Population during the Late Glacial: Implications for </w:t>
      </w:r>
      <w:r w:rsidR="001B4731" w:rsidRPr="00781C34">
        <w:rPr>
          <w:rFonts w:cs="Calibri"/>
          <w:sz w:val="18"/>
          <w:szCs w:val="18"/>
        </w:rPr>
        <w:t>“</w:t>
      </w:r>
      <w:r w:rsidR="001B4731" w:rsidRPr="00781C34">
        <w:rPr>
          <w:sz w:val="18"/>
          <w:szCs w:val="18"/>
        </w:rPr>
        <w:t>Agricultural Thinking</w:t>
      </w:r>
      <w:r w:rsidR="001B4731" w:rsidRPr="00781C34">
        <w:rPr>
          <w:rFonts w:cs="Calibri"/>
          <w:sz w:val="18"/>
          <w:szCs w:val="18"/>
        </w:rPr>
        <w:t>”</w:t>
      </w:r>
      <w:r w:rsidR="001B4731" w:rsidRPr="00781C34">
        <w:rPr>
          <w:sz w:val="18"/>
          <w:szCs w:val="18"/>
        </w:rPr>
        <w:t xml:space="preserve">’, </w:t>
      </w:r>
      <w:r w:rsidR="001B4731" w:rsidRPr="00781C34">
        <w:rPr>
          <w:i/>
          <w:sz w:val="18"/>
          <w:szCs w:val="18"/>
        </w:rPr>
        <w:t>Cambridge Archaeological Journal</w:t>
      </w:r>
      <w:r w:rsidR="001B4731" w:rsidRPr="00781C34">
        <w:rPr>
          <w:sz w:val="18"/>
          <w:szCs w:val="18"/>
        </w:rPr>
        <w:t>, 15 (</w:t>
      </w:r>
      <w:r w:rsidRPr="00781C34">
        <w:rPr>
          <w:sz w:val="18"/>
          <w:szCs w:val="18"/>
        </w:rPr>
        <w:t>2005</w:t>
      </w:r>
      <w:r w:rsidR="001B4731" w:rsidRPr="00781C34">
        <w:rPr>
          <w:sz w:val="18"/>
          <w:szCs w:val="18"/>
        </w:rPr>
        <w:t>), 193</w:t>
      </w:r>
      <w:r w:rsidR="00750C4E" w:rsidRPr="00781C34">
        <w:rPr>
          <w:sz w:val="18"/>
          <w:szCs w:val="18"/>
        </w:rPr>
        <w:sym w:font="Symbol" w:char="F02D"/>
      </w:r>
      <w:r w:rsidR="001B4731" w:rsidRPr="00781C34">
        <w:rPr>
          <w:sz w:val="18"/>
          <w:szCs w:val="18"/>
        </w:rPr>
        <w:t>223,</w:t>
      </w:r>
      <w:r w:rsidRPr="00781C34">
        <w:rPr>
          <w:sz w:val="18"/>
          <w:szCs w:val="18"/>
        </w:rPr>
        <w:t xml:space="preserve"> and Silva </w:t>
      </w:r>
      <w:r w:rsidR="001B4731" w:rsidRPr="00781C34">
        <w:rPr>
          <w:sz w:val="18"/>
          <w:szCs w:val="18"/>
        </w:rPr>
        <w:t xml:space="preserve">and Frank, </w:t>
      </w:r>
      <w:r w:rsidR="001B4731" w:rsidRPr="00781C34">
        <w:rPr>
          <w:i/>
          <w:sz w:val="18"/>
          <w:szCs w:val="18"/>
        </w:rPr>
        <w:t>Deconstructing the Neolithic Myth</w:t>
      </w:r>
      <w:r w:rsidRPr="00781C34">
        <w:rPr>
          <w:sz w:val="18"/>
          <w:szCs w:val="18"/>
        </w:rPr>
        <w:t xml:space="preserve">, cited in Silva, </w:t>
      </w:r>
      <w:r w:rsidR="001B4731" w:rsidRPr="00781C34">
        <w:rPr>
          <w:sz w:val="18"/>
          <w:szCs w:val="18"/>
        </w:rPr>
        <w:t xml:space="preserve">‘The View from Within’, </w:t>
      </w:r>
      <w:r w:rsidRPr="00781C34">
        <w:rPr>
          <w:sz w:val="18"/>
          <w:szCs w:val="18"/>
        </w:rPr>
        <w:t xml:space="preserve">155; </w:t>
      </w:r>
      <w:r w:rsidR="001B4731" w:rsidRPr="00781C34">
        <w:rPr>
          <w:sz w:val="18"/>
          <w:szCs w:val="18"/>
        </w:rPr>
        <w:t xml:space="preserve">B. </w:t>
      </w:r>
      <w:r w:rsidRPr="00781C34">
        <w:rPr>
          <w:sz w:val="18"/>
          <w:szCs w:val="18"/>
        </w:rPr>
        <w:t>Hayden</w:t>
      </w:r>
      <w:r w:rsidR="001B4731" w:rsidRPr="00781C34">
        <w:rPr>
          <w:sz w:val="18"/>
          <w:szCs w:val="18"/>
        </w:rPr>
        <w:t xml:space="preserve"> and S. Villeneuve, ‘Astronomy in the Upper </w:t>
      </w:r>
      <w:r w:rsidR="00781C34" w:rsidRPr="00781C34">
        <w:rPr>
          <w:sz w:val="18"/>
          <w:szCs w:val="18"/>
        </w:rPr>
        <w:t>Palaeolithic</w:t>
      </w:r>
      <w:r w:rsidR="001B4731" w:rsidRPr="00781C34">
        <w:rPr>
          <w:sz w:val="18"/>
          <w:szCs w:val="18"/>
        </w:rPr>
        <w:t xml:space="preserve">?’, </w:t>
      </w:r>
      <w:r w:rsidR="001B4731" w:rsidRPr="00781C34">
        <w:rPr>
          <w:i/>
          <w:sz w:val="18"/>
          <w:szCs w:val="18"/>
        </w:rPr>
        <w:t>Cambridge Archaeological Journal</w:t>
      </w:r>
      <w:r w:rsidR="001B4731" w:rsidRPr="00781C34">
        <w:rPr>
          <w:sz w:val="18"/>
          <w:szCs w:val="18"/>
        </w:rPr>
        <w:t>, 21 (2011), 331</w:t>
      </w:r>
      <w:r w:rsidR="00750C4E" w:rsidRPr="00781C34">
        <w:rPr>
          <w:sz w:val="18"/>
          <w:szCs w:val="18"/>
        </w:rPr>
        <w:sym w:font="Symbol" w:char="F02D"/>
      </w:r>
      <w:r w:rsidR="001B4731" w:rsidRPr="00781C34">
        <w:rPr>
          <w:sz w:val="18"/>
          <w:szCs w:val="18"/>
        </w:rPr>
        <w:t>355</w:t>
      </w:r>
      <w:r w:rsidRPr="00781C34">
        <w:rPr>
          <w:sz w:val="18"/>
          <w:szCs w:val="18"/>
        </w:rPr>
        <w:t xml:space="preserve">, cited in Silva, </w:t>
      </w:r>
      <w:r w:rsidR="001B4731" w:rsidRPr="00781C34">
        <w:rPr>
          <w:sz w:val="18"/>
          <w:szCs w:val="18"/>
        </w:rPr>
        <w:t xml:space="preserve">‘The View from Within’, </w:t>
      </w:r>
      <w:r w:rsidRPr="00781C34">
        <w:rPr>
          <w:sz w:val="18"/>
          <w:szCs w:val="18"/>
        </w:rPr>
        <w:t>155</w:t>
      </w:r>
      <w:r w:rsidR="001B4731" w:rsidRPr="00781C34">
        <w:rPr>
          <w:sz w:val="18"/>
          <w:szCs w:val="18"/>
        </w:rPr>
        <w:t>.</w:t>
      </w:r>
    </w:p>
  </w:footnote>
  <w:footnote w:id="17">
    <w:p w14:paraId="2476A455" w14:textId="743F2DFC" w:rsidR="00CA5393" w:rsidRPr="00781C34" w:rsidRDefault="00CA5393" w:rsidP="005143DE">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150</w:t>
      </w:r>
      <w:r w:rsidR="00750C4E" w:rsidRPr="00781C34">
        <w:rPr>
          <w:sz w:val="18"/>
          <w:szCs w:val="18"/>
        </w:rPr>
        <w:sym w:font="Symbol" w:char="F02D"/>
      </w:r>
      <w:r w:rsidRPr="00781C34">
        <w:rPr>
          <w:sz w:val="18"/>
          <w:szCs w:val="18"/>
        </w:rPr>
        <w:t>151</w:t>
      </w:r>
      <w:r w:rsidR="001B4731" w:rsidRPr="00781C34">
        <w:rPr>
          <w:sz w:val="18"/>
          <w:szCs w:val="18"/>
        </w:rPr>
        <w:t>.</w:t>
      </w:r>
    </w:p>
  </w:footnote>
  <w:footnote w:id="18">
    <w:p w14:paraId="216D265E" w14:textId="77777777" w:rsidR="00B72BE4" w:rsidRPr="00781C34" w:rsidRDefault="00B72BE4" w:rsidP="00B72BE4">
      <w:pPr>
        <w:jc w:val="both"/>
        <w:rPr>
          <w:sz w:val="18"/>
          <w:szCs w:val="18"/>
        </w:rPr>
      </w:pPr>
      <w:r w:rsidRPr="00781C34">
        <w:rPr>
          <w:rStyle w:val="FootnoteReference"/>
          <w:rFonts w:asciiTheme="minorHAnsi" w:hAnsiTheme="minorHAnsi" w:cstheme="minorHAnsi"/>
          <w:sz w:val="18"/>
          <w:szCs w:val="18"/>
        </w:rPr>
        <w:footnoteRef/>
      </w:r>
      <w:r w:rsidRPr="00781C34">
        <w:rPr>
          <w:rFonts w:asciiTheme="minorHAnsi" w:hAnsiTheme="minorHAnsi" w:cstheme="minorHAnsi"/>
          <w:sz w:val="18"/>
          <w:szCs w:val="18"/>
        </w:rPr>
        <w:t xml:space="preserve"> Catarina Oliviera and C. Marciano da Silva, ‘Moon, Spring and Large Stones: Landscape and ritual calendar perception and symbolization’, in Calado, D., Baldia, M. and Boulanger, M. (eds), </w:t>
      </w:r>
      <w:r w:rsidRPr="00781C34">
        <w:rPr>
          <w:rFonts w:asciiTheme="minorHAnsi" w:hAnsiTheme="minorHAnsi" w:cstheme="minorHAnsi"/>
          <w:i/>
          <w:sz w:val="18"/>
          <w:szCs w:val="18"/>
        </w:rPr>
        <w:t xml:space="preserve">Monumental Questions: Prehistoric Megaliths, Mounds, and Enclosures, </w:t>
      </w:r>
      <w:r w:rsidRPr="00781C34">
        <w:rPr>
          <w:rFonts w:asciiTheme="minorHAnsi" w:hAnsiTheme="minorHAnsi" w:cstheme="minorHAnsi"/>
          <w:sz w:val="18"/>
          <w:szCs w:val="18"/>
        </w:rPr>
        <w:t>Proceedings of the XV World Congress UISPP (Lisbon, 4</w:t>
      </w:r>
      <w:r w:rsidRPr="00781C34">
        <w:rPr>
          <w:rFonts w:asciiTheme="minorHAnsi" w:hAnsiTheme="minorHAnsi" w:cstheme="minorHAnsi"/>
          <w:sz w:val="18"/>
          <w:szCs w:val="18"/>
        </w:rPr>
        <w:sym w:font="Symbol" w:char="F02D"/>
      </w:r>
      <w:r w:rsidRPr="00781C34">
        <w:rPr>
          <w:rFonts w:asciiTheme="minorHAnsi" w:hAnsiTheme="minorHAnsi" w:cstheme="minorHAnsi"/>
          <w:sz w:val="18"/>
          <w:szCs w:val="18"/>
        </w:rPr>
        <w:t>9 September 2006), (Oxford: BAR Publishing, 2010).</w:t>
      </w:r>
    </w:p>
  </w:footnote>
  <w:footnote w:id="19">
    <w:p w14:paraId="498D4967" w14:textId="396C85E7" w:rsidR="00B74E2A" w:rsidRPr="00781C34" w:rsidRDefault="00B74E2A">
      <w:pPr>
        <w:pStyle w:val="FootnoteText"/>
        <w:rPr>
          <w:sz w:val="18"/>
          <w:szCs w:val="18"/>
        </w:rPr>
      </w:pPr>
      <w:r w:rsidRPr="00781C34">
        <w:rPr>
          <w:rStyle w:val="FootnoteReference"/>
          <w:sz w:val="18"/>
          <w:szCs w:val="18"/>
        </w:rPr>
        <w:footnoteRef/>
      </w:r>
      <w:r w:rsidRPr="00781C34">
        <w:rPr>
          <w:sz w:val="18"/>
          <w:szCs w:val="18"/>
        </w:rPr>
        <w:t xml:space="preserve"> </w:t>
      </w:r>
      <w:r w:rsidRPr="00781C34">
        <w:rPr>
          <w:rFonts w:asciiTheme="minorHAnsi" w:hAnsiTheme="minorHAnsi" w:cstheme="minorHAnsi"/>
          <w:sz w:val="18"/>
          <w:szCs w:val="18"/>
        </w:rPr>
        <w:t>Oliviera and Da Silva, ‘Moon, Spring and Large Stones’</w:t>
      </w:r>
      <w:r w:rsidR="00E73DE3" w:rsidRPr="00781C34">
        <w:rPr>
          <w:rFonts w:asciiTheme="minorHAnsi" w:hAnsiTheme="minorHAnsi" w:cstheme="minorHAnsi"/>
          <w:sz w:val="18"/>
          <w:szCs w:val="18"/>
        </w:rPr>
        <w:t>, 84.</w:t>
      </w:r>
    </w:p>
  </w:footnote>
  <w:footnote w:id="20">
    <w:p w14:paraId="6E81673D" w14:textId="360091B6" w:rsidR="00CA5393" w:rsidRPr="00781C34" w:rsidRDefault="00CA5393" w:rsidP="005143DE">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151</w:t>
      </w:r>
      <w:r w:rsidR="001B4731" w:rsidRPr="00781C34">
        <w:rPr>
          <w:sz w:val="18"/>
          <w:szCs w:val="18"/>
        </w:rPr>
        <w:t>.</w:t>
      </w:r>
    </w:p>
  </w:footnote>
  <w:footnote w:id="21">
    <w:p w14:paraId="4E8F7504" w14:textId="4E65E49F" w:rsidR="00CA5393" w:rsidRPr="00781C34" w:rsidRDefault="00CA5393" w:rsidP="005143DE">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151</w:t>
      </w:r>
      <w:r w:rsidR="001B4731" w:rsidRPr="00781C34">
        <w:rPr>
          <w:sz w:val="18"/>
          <w:szCs w:val="18"/>
        </w:rPr>
        <w:t>.</w:t>
      </w:r>
    </w:p>
  </w:footnote>
  <w:footnote w:id="22">
    <w:p w14:paraId="5D454A33" w14:textId="690C7CFC" w:rsidR="00D94576" w:rsidRPr="00781C34" w:rsidRDefault="00D94576" w:rsidP="00D94576">
      <w:pPr>
        <w:rPr>
          <w:rFonts w:asciiTheme="minorHAnsi" w:hAnsiTheme="minorHAnsi" w:cstheme="minorHAnsi"/>
          <w:sz w:val="18"/>
          <w:szCs w:val="18"/>
        </w:rPr>
      </w:pPr>
      <w:r w:rsidRPr="00781C34">
        <w:rPr>
          <w:rStyle w:val="FootnoteReference"/>
          <w:rFonts w:asciiTheme="minorHAnsi" w:hAnsiTheme="minorHAnsi" w:cstheme="minorHAnsi"/>
          <w:sz w:val="18"/>
          <w:szCs w:val="18"/>
        </w:rPr>
        <w:footnoteRef/>
      </w:r>
      <w:r w:rsidRPr="00781C34">
        <w:rPr>
          <w:rFonts w:asciiTheme="minorHAnsi" w:hAnsiTheme="minorHAnsi" w:cstheme="minorHAnsi"/>
          <w:sz w:val="18"/>
          <w:szCs w:val="18"/>
        </w:rPr>
        <w:t xml:space="preserve"> Carlos Rodríguez-Rellán</w:t>
      </w:r>
      <w:r w:rsidR="00750C4E" w:rsidRPr="00781C34">
        <w:rPr>
          <w:rFonts w:asciiTheme="minorHAnsi" w:hAnsiTheme="minorHAnsi" w:cstheme="minorHAnsi"/>
          <w:sz w:val="18"/>
          <w:szCs w:val="18"/>
        </w:rPr>
        <w:t xml:space="preserve"> and Ramón Fábregas Valcarce,</w:t>
      </w:r>
      <w:r w:rsidRPr="00781C34">
        <w:rPr>
          <w:rFonts w:asciiTheme="minorHAnsi" w:hAnsiTheme="minorHAnsi" w:cstheme="minorHAnsi"/>
          <w:sz w:val="18"/>
          <w:szCs w:val="18"/>
        </w:rPr>
        <w:t xml:space="preserve"> ‘Monuments on the Move: Assessing megaliths’ interaction with the NW Iberian Landscapes’, in Hinz</w:t>
      </w:r>
      <w:r w:rsidR="00750C4E" w:rsidRPr="00781C34">
        <w:rPr>
          <w:rFonts w:asciiTheme="minorHAnsi" w:hAnsiTheme="minorHAnsi" w:cstheme="minorHAnsi"/>
          <w:sz w:val="18"/>
          <w:szCs w:val="18"/>
        </w:rPr>
        <w:t>, M.</w:t>
      </w:r>
      <w:r w:rsidRPr="00781C34">
        <w:rPr>
          <w:rFonts w:asciiTheme="minorHAnsi" w:hAnsiTheme="minorHAnsi" w:cstheme="minorHAnsi"/>
          <w:sz w:val="18"/>
          <w:szCs w:val="18"/>
        </w:rPr>
        <w:t xml:space="preserve"> (ed.), </w:t>
      </w:r>
      <w:r w:rsidRPr="00781C34">
        <w:rPr>
          <w:rFonts w:asciiTheme="minorHAnsi" w:hAnsiTheme="minorHAnsi" w:cstheme="minorHAnsi"/>
          <w:i/>
          <w:sz w:val="18"/>
          <w:szCs w:val="18"/>
        </w:rPr>
        <w:t>Megaliths, Societies and Landscapes: Early Monumentality and Social Differentiation in Neolithic Europe</w:t>
      </w:r>
      <w:r w:rsidRPr="00781C34">
        <w:rPr>
          <w:rFonts w:asciiTheme="minorHAnsi" w:hAnsiTheme="minorHAnsi" w:cstheme="minorHAnsi"/>
          <w:sz w:val="18"/>
          <w:szCs w:val="18"/>
        </w:rPr>
        <w:t xml:space="preserve"> (Kiel: Universität zu Keil, 2018).</w:t>
      </w:r>
    </w:p>
  </w:footnote>
  <w:footnote w:id="23">
    <w:p w14:paraId="4160EC00" w14:textId="5562E7DD" w:rsidR="00CA5393" w:rsidRPr="00781C34" w:rsidRDefault="00CA5393" w:rsidP="009850E7">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153, 154</w:t>
      </w:r>
      <w:r w:rsidR="001B4731" w:rsidRPr="00781C34">
        <w:rPr>
          <w:sz w:val="18"/>
          <w:szCs w:val="18"/>
        </w:rPr>
        <w:t>.</w:t>
      </w:r>
    </w:p>
  </w:footnote>
  <w:footnote w:id="24">
    <w:p w14:paraId="7BC1FF73" w14:textId="1BDF022B" w:rsidR="00CA5393" w:rsidRPr="00781C34" w:rsidRDefault="00CA5393" w:rsidP="009850E7">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154</w:t>
      </w:r>
      <w:r w:rsidR="001B4731" w:rsidRPr="00781C34">
        <w:rPr>
          <w:sz w:val="18"/>
          <w:szCs w:val="18"/>
        </w:rPr>
        <w:t>.</w:t>
      </w:r>
    </w:p>
  </w:footnote>
  <w:footnote w:id="25">
    <w:p w14:paraId="755D6C94" w14:textId="2F6D8ECC" w:rsidR="0064504E" w:rsidRPr="00781C34" w:rsidRDefault="0064504E" w:rsidP="0064504E">
      <w:pPr>
        <w:rPr>
          <w:rFonts w:asciiTheme="minorHAnsi" w:hAnsiTheme="minorHAnsi" w:cstheme="minorHAnsi"/>
          <w:sz w:val="18"/>
          <w:szCs w:val="18"/>
        </w:rPr>
      </w:pPr>
      <w:r w:rsidRPr="00781C34">
        <w:rPr>
          <w:rStyle w:val="FootnoteReference"/>
          <w:rFonts w:asciiTheme="minorHAnsi" w:hAnsiTheme="minorHAnsi" w:cstheme="minorHAnsi"/>
          <w:sz w:val="18"/>
          <w:szCs w:val="18"/>
        </w:rPr>
        <w:footnoteRef/>
      </w:r>
      <w:r w:rsidRPr="00781C34">
        <w:rPr>
          <w:rFonts w:asciiTheme="minorHAnsi" w:hAnsiTheme="minorHAnsi" w:cstheme="minorHAnsi"/>
          <w:sz w:val="18"/>
          <w:szCs w:val="18"/>
        </w:rPr>
        <w:t xml:space="preserve"> </w:t>
      </w:r>
      <w:r w:rsidR="00750C4E" w:rsidRPr="00781C34">
        <w:rPr>
          <w:rFonts w:asciiTheme="minorHAnsi" w:hAnsiTheme="minorHAnsi" w:cstheme="minorHAnsi"/>
          <w:sz w:val="18"/>
          <w:szCs w:val="18"/>
        </w:rPr>
        <w:t>Oliviera and Da Silva, ‘Moon, Spring and Large Stones</w:t>
      </w:r>
      <w:r w:rsidR="00750C4E" w:rsidRPr="00781C34">
        <w:rPr>
          <w:rFonts w:asciiTheme="minorHAnsi" w:hAnsiTheme="minorHAnsi" w:cstheme="minorHAnsi"/>
          <w:sz w:val="18"/>
          <w:szCs w:val="18"/>
        </w:rPr>
        <w:t xml:space="preserve">’, 86; </w:t>
      </w:r>
      <w:r w:rsidRPr="00781C34">
        <w:rPr>
          <w:rFonts w:asciiTheme="minorHAnsi" w:hAnsiTheme="minorHAnsi" w:cstheme="minorHAnsi"/>
          <w:sz w:val="18"/>
          <w:szCs w:val="18"/>
        </w:rPr>
        <w:t xml:space="preserve">Elizabeth A. McCormack, ‘Passages: The </w:t>
      </w:r>
      <w:r w:rsidR="00781C34" w:rsidRPr="00781C34">
        <w:rPr>
          <w:rFonts w:asciiTheme="minorHAnsi" w:hAnsiTheme="minorHAnsi" w:cstheme="minorHAnsi"/>
          <w:sz w:val="18"/>
          <w:szCs w:val="18"/>
        </w:rPr>
        <w:t>Neolithic</w:t>
      </w:r>
      <w:r w:rsidRPr="00781C34">
        <w:rPr>
          <w:rFonts w:asciiTheme="minorHAnsi" w:hAnsiTheme="minorHAnsi" w:cstheme="minorHAnsi"/>
          <w:sz w:val="18"/>
          <w:szCs w:val="18"/>
        </w:rPr>
        <w:t xml:space="preserve"> passage grave as tiered cosmos’, Masters dissertation, Archaeology Department, University of Reading (2007). Available at: https://www.scribd.com/document/100825469/Neolithic-Passage-Graves-as-Tiered-Cosmos [Accessed 16 February 2019].</w:t>
      </w:r>
    </w:p>
  </w:footnote>
  <w:footnote w:id="26">
    <w:p w14:paraId="1ED6D7AA" w14:textId="1AE9F169" w:rsidR="00CA5393" w:rsidRPr="00781C34" w:rsidRDefault="00CA5393" w:rsidP="00230DB4">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154</w:t>
      </w:r>
      <w:r w:rsidR="001B4731" w:rsidRPr="00781C34">
        <w:rPr>
          <w:sz w:val="18"/>
          <w:szCs w:val="18"/>
        </w:rPr>
        <w:t>.</w:t>
      </w:r>
    </w:p>
  </w:footnote>
  <w:footnote w:id="27">
    <w:p w14:paraId="443A233B" w14:textId="4D5116FF" w:rsidR="00B74E2A" w:rsidRPr="00781C34" w:rsidRDefault="00B74E2A">
      <w:pPr>
        <w:pStyle w:val="FootnoteText"/>
        <w:rPr>
          <w:sz w:val="18"/>
          <w:szCs w:val="18"/>
        </w:rPr>
      </w:pPr>
      <w:r w:rsidRPr="00781C34">
        <w:rPr>
          <w:rStyle w:val="FootnoteReference"/>
          <w:sz w:val="18"/>
          <w:szCs w:val="18"/>
        </w:rPr>
        <w:footnoteRef/>
      </w:r>
      <w:r w:rsidRPr="00781C34">
        <w:rPr>
          <w:sz w:val="18"/>
          <w:szCs w:val="18"/>
        </w:rPr>
        <w:t xml:space="preserve"> Tilley, </w:t>
      </w:r>
      <w:r w:rsidRPr="00781C34">
        <w:rPr>
          <w:i/>
          <w:sz w:val="18"/>
          <w:szCs w:val="18"/>
        </w:rPr>
        <w:t>The Phenomenology of Landscape</w:t>
      </w:r>
      <w:r w:rsidRPr="00781C34">
        <w:rPr>
          <w:sz w:val="18"/>
          <w:szCs w:val="18"/>
        </w:rPr>
        <w:t>, 204.</w:t>
      </w:r>
    </w:p>
  </w:footnote>
  <w:footnote w:id="28">
    <w:p w14:paraId="40774D16" w14:textId="753204AA" w:rsidR="00CA5393" w:rsidRPr="00781C34" w:rsidRDefault="00CA5393" w:rsidP="00351228">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143</w:t>
      </w:r>
      <w:r w:rsidR="001B4731" w:rsidRPr="00781C34">
        <w:rPr>
          <w:sz w:val="18"/>
          <w:szCs w:val="18"/>
        </w:rPr>
        <w:t>.</w:t>
      </w:r>
    </w:p>
  </w:footnote>
  <w:footnote w:id="29">
    <w:p w14:paraId="2940DE5F" w14:textId="0643E197" w:rsidR="00CA5393" w:rsidRPr="00781C34" w:rsidRDefault="00CA5393" w:rsidP="000073C4">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146</w:t>
      </w:r>
      <w:r w:rsidR="001B4731" w:rsidRPr="00781C34">
        <w:rPr>
          <w:sz w:val="18"/>
          <w:szCs w:val="18"/>
        </w:rPr>
        <w:t>.</w:t>
      </w:r>
    </w:p>
  </w:footnote>
  <w:footnote w:id="30">
    <w:p w14:paraId="55235CE9" w14:textId="1B64D4C9" w:rsidR="00CA5393" w:rsidRPr="00781C34" w:rsidRDefault="00CA5393" w:rsidP="00F04003">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146, 150</w:t>
      </w:r>
      <w:r w:rsidR="001B4731" w:rsidRPr="00781C34">
        <w:rPr>
          <w:sz w:val="18"/>
          <w:szCs w:val="18"/>
        </w:rPr>
        <w:t>.</w:t>
      </w:r>
    </w:p>
  </w:footnote>
  <w:footnote w:id="31">
    <w:p w14:paraId="270F6C0D" w14:textId="361930AD" w:rsidR="00CA5393" w:rsidRPr="00781C34" w:rsidRDefault="00CA5393" w:rsidP="00F04003">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150</w:t>
      </w:r>
      <w:r w:rsidR="001B4731" w:rsidRPr="00781C34">
        <w:rPr>
          <w:sz w:val="18"/>
          <w:szCs w:val="18"/>
        </w:rPr>
        <w:t>.</w:t>
      </w:r>
    </w:p>
  </w:footnote>
  <w:footnote w:id="32">
    <w:p w14:paraId="5F692EE9" w14:textId="31E69393" w:rsidR="00603AE9" w:rsidRPr="00781C34" w:rsidRDefault="00603AE9" w:rsidP="005521FD">
      <w:pPr>
        <w:rPr>
          <w:rFonts w:asciiTheme="minorHAnsi" w:hAnsiTheme="minorHAnsi" w:cstheme="minorHAnsi"/>
          <w:sz w:val="18"/>
          <w:szCs w:val="18"/>
        </w:rPr>
      </w:pPr>
      <w:r w:rsidRPr="00781C34">
        <w:rPr>
          <w:rStyle w:val="FootnoteReference"/>
          <w:rFonts w:asciiTheme="minorHAnsi" w:hAnsiTheme="minorHAnsi" w:cstheme="minorHAnsi"/>
          <w:sz w:val="18"/>
          <w:szCs w:val="18"/>
        </w:rPr>
        <w:footnoteRef/>
      </w:r>
      <w:r w:rsidRPr="00781C34">
        <w:rPr>
          <w:rFonts w:asciiTheme="minorHAnsi" w:hAnsiTheme="minorHAnsi" w:cstheme="minorHAnsi"/>
          <w:sz w:val="18"/>
          <w:szCs w:val="18"/>
        </w:rPr>
        <w:t xml:space="preserve"> Maria de Jesus Sanchez, ‘Passage-Graves of Northwestern Iberia: Setting and Movements. An approach to the relationship between architecture and iconography’, in Jorge, Vítor Oliveira (ed), </w:t>
      </w:r>
      <w:r w:rsidRPr="00781C34">
        <w:rPr>
          <w:rFonts w:asciiTheme="minorHAnsi" w:hAnsiTheme="minorHAnsi" w:cstheme="minorHAnsi"/>
          <w:i/>
          <w:sz w:val="18"/>
          <w:szCs w:val="18"/>
        </w:rPr>
        <w:t>Approaching ‘Prehistoric and Protohistoric Architectures’ of Europe from a ‘Dwelling Perspective’</w:t>
      </w:r>
      <w:r w:rsidRPr="00781C34">
        <w:rPr>
          <w:rFonts w:asciiTheme="minorHAnsi" w:hAnsiTheme="minorHAnsi" w:cstheme="minorHAnsi"/>
          <w:sz w:val="18"/>
          <w:szCs w:val="18"/>
        </w:rPr>
        <w:t>, Proceedings of the TAG session (Sheffiel</w:t>
      </w:r>
      <w:r w:rsidR="005521FD" w:rsidRPr="00781C34">
        <w:rPr>
          <w:rFonts w:asciiTheme="minorHAnsi" w:hAnsiTheme="minorHAnsi" w:cstheme="minorHAnsi"/>
          <w:sz w:val="18"/>
          <w:szCs w:val="18"/>
        </w:rPr>
        <w:t>d, 2005), (Porto: ADECAP, 2006), 133.</w:t>
      </w:r>
    </w:p>
  </w:footnote>
  <w:footnote w:id="33">
    <w:p w14:paraId="24E504AF" w14:textId="5D4A39C4" w:rsidR="00554368" w:rsidRPr="00781C34" w:rsidRDefault="00554368" w:rsidP="00554368">
      <w:pPr>
        <w:pStyle w:val="FootnoteText"/>
        <w:rPr>
          <w:sz w:val="18"/>
          <w:szCs w:val="18"/>
        </w:rPr>
      </w:pPr>
      <w:r w:rsidRPr="00781C34">
        <w:rPr>
          <w:rStyle w:val="FootnoteReference"/>
          <w:sz w:val="18"/>
          <w:szCs w:val="18"/>
        </w:rPr>
        <w:footnoteRef/>
      </w:r>
      <w:r w:rsidRPr="00781C34">
        <w:rPr>
          <w:sz w:val="18"/>
          <w:szCs w:val="18"/>
        </w:rPr>
        <w:t xml:space="preserve"> </w:t>
      </w:r>
      <w:r w:rsidRPr="00781C34">
        <w:rPr>
          <w:rFonts w:asciiTheme="minorHAnsi" w:hAnsiTheme="minorHAnsi" w:cstheme="minorHAnsi"/>
          <w:sz w:val="18"/>
          <w:szCs w:val="18"/>
        </w:rPr>
        <w:t>Rodríguez</w:t>
      </w:r>
      <w:r w:rsidR="00171223" w:rsidRPr="00781C34">
        <w:rPr>
          <w:rFonts w:asciiTheme="minorHAnsi" w:hAnsiTheme="minorHAnsi" w:cstheme="minorHAnsi"/>
          <w:sz w:val="18"/>
          <w:szCs w:val="18"/>
        </w:rPr>
        <w:t xml:space="preserve">-Rellán and Fábregas Valcarce, </w:t>
      </w:r>
      <w:r w:rsidRPr="00781C34">
        <w:rPr>
          <w:rFonts w:asciiTheme="minorHAnsi" w:hAnsiTheme="minorHAnsi" w:cstheme="minorHAnsi"/>
          <w:sz w:val="18"/>
          <w:szCs w:val="18"/>
        </w:rPr>
        <w:t>‘Monuments on the Move’.</w:t>
      </w:r>
    </w:p>
  </w:footnote>
  <w:footnote w:id="34">
    <w:p w14:paraId="79156F7C" w14:textId="0935D916" w:rsidR="00CA5393" w:rsidRPr="00781C34" w:rsidRDefault="00CA5393" w:rsidP="002F4062">
      <w:pPr>
        <w:pStyle w:val="FootnoteText"/>
        <w:rPr>
          <w:sz w:val="18"/>
          <w:szCs w:val="18"/>
        </w:rPr>
      </w:pPr>
      <w:r w:rsidRPr="00781C34">
        <w:rPr>
          <w:rStyle w:val="FootnoteReference"/>
          <w:sz w:val="18"/>
          <w:szCs w:val="18"/>
        </w:rPr>
        <w:footnoteRef/>
      </w:r>
      <w:r w:rsidRPr="00781C34">
        <w:rPr>
          <w:sz w:val="18"/>
          <w:szCs w:val="18"/>
        </w:rPr>
        <w:t xml:space="preserve"> Hoskin, ‘Studies in Iberian Archaeoastronomy’, S40</w:t>
      </w:r>
      <w:r w:rsidR="001B4731" w:rsidRPr="00781C34">
        <w:rPr>
          <w:sz w:val="18"/>
          <w:szCs w:val="18"/>
        </w:rPr>
        <w:t>.</w:t>
      </w:r>
    </w:p>
  </w:footnote>
  <w:footnote w:id="35">
    <w:p w14:paraId="234022CD" w14:textId="57378D55" w:rsidR="00CA5393" w:rsidRPr="00781C34" w:rsidRDefault="00CA5393" w:rsidP="00553CB4">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142</w:t>
      </w:r>
      <w:r w:rsidR="001B4731" w:rsidRPr="00781C34">
        <w:rPr>
          <w:sz w:val="18"/>
          <w:szCs w:val="18"/>
        </w:rPr>
        <w:t>.</w:t>
      </w:r>
    </w:p>
  </w:footnote>
  <w:footnote w:id="36">
    <w:p w14:paraId="3E3B8AA9" w14:textId="31E5C807" w:rsidR="00CA5393" w:rsidRPr="00781C34" w:rsidRDefault="00CA5393" w:rsidP="00076CFC">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156</w:t>
      </w:r>
      <w:r w:rsidR="001B4731" w:rsidRPr="00781C34">
        <w:rPr>
          <w:sz w:val="18"/>
          <w:szCs w:val="18"/>
        </w:rPr>
        <w:t>.</w:t>
      </w:r>
    </w:p>
  </w:footnote>
  <w:footnote w:id="37">
    <w:p w14:paraId="52A8B0DF" w14:textId="74D1DBAF" w:rsidR="00CA5393" w:rsidRPr="00781C34" w:rsidRDefault="00CA5393" w:rsidP="00BC52A8">
      <w:pPr>
        <w:pStyle w:val="FootnoteText"/>
        <w:rPr>
          <w:sz w:val="18"/>
          <w:szCs w:val="18"/>
        </w:rPr>
      </w:pPr>
      <w:r w:rsidRPr="00781C34">
        <w:rPr>
          <w:rStyle w:val="FootnoteReference"/>
          <w:sz w:val="18"/>
          <w:szCs w:val="18"/>
        </w:rPr>
        <w:footnoteRef/>
      </w:r>
      <w:r w:rsidRPr="00781C34">
        <w:rPr>
          <w:sz w:val="18"/>
          <w:szCs w:val="18"/>
        </w:rPr>
        <w:t xml:space="preserve"> Hoskin</w:t>
      </w:r>
      <w:r w:rsidR="001B4731" w:rsidRPr="00781C34">
        <w:rPr>
          <w:sz w:val="18"/>
          <w:szCs w:val="18"/>
        </w:rPr>
        <w:t xml:space="preserve">, </w:t>
      </w:r>
      <w:r w:rsidR="001B4731" w:rsidRPr="00781C34">
        <w:rPr>
          <w:i/>
          <w:sz w:val="18"/>
          <w:szCs w:val="18"/>
        </w:rPr>
        <w:t>Tombs, Temples and their Orientation</w:t>
      </w:r>
      <w:r w:rsidRPr="00781C34">
        <w:rPr>
          <w:sz w:val="18"/>
          <w:szCs w:val="18"/>
        </w:rPr>
        <w:t xml:space="preserve">, cited in Silva, </w:t>
      </w:r>
      <w:r w:rsidR="001B4731" w:rsidRPr="00781C34">
        <w:rPr>
          <w:sz w:val="18"/>
          <w:szCs w:val="18"/>
        </w:rPr>
        <w:t xml:space="preserve">‘The View from Within’, </w:t>
      </w:r>
      <w:r w:rsidRPr="00781C34">
        <w:rPr>
          <w:sz w:val="18"/>
          <w:szCs w:val="18"/>
        </w:rPr>
        <w:t>142</w:t>
      </w:r>
      <w:r w:rsidR="001B4731" w:rsidRPr="00781C34">
        <w:rPr>
          <w:sz w:val="18"/>
          <w:szCs w:val="18"/>
        </w:rPr>
        <w:t>.</w:t>
      </w:r>
    </w:p>
  </w:footnote>
  <w:footnote w:id="38">
    <w:p w14:paraId="3A1BF45B" w14:textId="10144619" w:rsidR="00CA5393" w:rsidRPr="00781C34" w:rsidRDefault="00CA5393" w:rsidP="00F53D97">
      <w:pPr>
        <w:pStyle w:val="FootnoteText"/>
        <w:rPr>
          <w:sz w:val="18"/>
          <w:szCs w:val="18"/>
        </w:rPr>
      </w:pPr>
      <w:r w:rsidRPr="00781C34">
        <w:rPr>
          <w:rStyle w:val="FootnoteReference"/>
          <w:sz w:val="18"/>
          <w:szCs w:val="18"/>
        </w:rPr>
        <w:footnoteRef/>
      </w:r>
      <w:r w:rsidRPr="00781C34">
        <w:rPr>
          <w:sz w:val="18"/>
          <w:szCs w:val="18"/>
        </w:rPr>
        <w:t xml:space="preserve"> Hoskin, ‘Studies in Iberian Archaeoastronomy’, S77, S79</w:t>
      </w:r>
      <w:r w:rsidR="001B4731" w:rsidRPr="00781C34">
        <w:rPr>
          <w:sz w:val="18"/>
          <w:szCs w:val="18"/>
        </w:rPr>
        <w:t>.</w:t>
      </w:r>
    </w:p>
  </w:footnote>
  <w:footnote w:id="39">
    <w:p w14:paraId="23DA58FA" w14:textId="2BE52048" w:rsidR="00CA5393" w:rsidRPr="00773148" w:rsidRDefault="00CA5393">
      <w:pPr>
        <w:pStyle w:val="FootnoteText"/>
        <w:rPr>
          <w:sz w:val="18"/>
          <w:szCs w:val="18"/>
        </w:rPr>
      </w:pPr>
      <w:r w:rsidRPr="00781C34">
        <w:rPr>
          <w:rStyle w:val="FootnoteReference"/>
          <w:sz w:val="18"/>
          <w:szCs w:val="18"/>
        </w:rPr>
        <w:footnoteRef/>
      </w:r>
      <w:r w:rsidRPr="00781C34">
        <w:rPr>
          <w:sz w:val="18"/>
          <w:szCs w:val="18"/>
        </w:rPr>
        <w:t xml:space="preserve"> Silva, </w:t>
      </w:r>
      <w:r w:rsidR="001B4731" w:rsidRPr="00781C34">
        <w:rPr>
          <w:sz w:val="18"/>
          <w:szCs w:val="18"/>
        </w:rPr>
        <w:t xml:space="preserve">‘The View from Within’, </w:t>
      </w:r>
      <w:r w:rsidRPr="00781C34">
        <w:rPr>
          <w:sz w:val="18"/>
          <w:szCs w:val="18"/>
        </w:rPr>
        <w:t>156</w:t>
      </w:r>
      <w:r w:rsidR="001B4731" w:rsidRPr="00781C34">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B6FF1" w14:textId="263929A7" w:rsidR="00CA5393" w:rsidRPr="006C48A6" w:rsidRDefault="00CA5393" w:rsidP="00CE08F2">
    <w:pPr>
      <w:pStyle w:val="Header"/>
      <w:rPr>
        <w:rFonts w:asciiTheme="minorHAnsi" w:hAnsiTheme="minorHAnsi" w:cstheme="minorHAnsi"/>
        <w:sz w:val="18"/>
        <w:szCs w:val="18"/>
      </w:rPr>
    </w:pPr>
    <w:r w:rsidRPr="006C48A6">
      <w:rPr>
        <w:rFonts w:asciiTheme="minorHAnsi" w:hAnsiTheme="minorHAnsi" w:cstheme="minorHAnsi"/>
        <w:sz w:val="18"/>
        <w:szCs w:val="18"/>
        <w:lang w:val="en-GB"/>
      </w:rPr>
      <w:t>Hilda Hermann 1706721</w:t>
    </w:r>
    <w:r w:rsidRPr="006C48A6">
      <w:rPr>
        <w:rFonts w:asciiTheme="minorHAnsi" w:hAnsiTheme="minorHAnsi" w:cstheme="minorHAnsi"/>
        <w:sz w:val="18"/>
        <w:szCs w:val="18"/>
      </w:rPr>
      <w:tab/>
    </w:r>
    <w:r w:rsidRPr="006C48A6">
      <w:rPr>
        <w:rFonts w:asciiTheme="minorHAnsi" w:hAnsiTheme="minorHAnsi" w:cstheme="minorHAnsi"/>
        <w:sz w:val="18"/>
        <w:szCs w:val="18"/>
      </w:rPr>
      <w:tab/>
    </w:r>
    <w:r w:rsidRPr="00ED6FE1">
      <w:rPr>
        <w:rFonts w:asciiTheme="minorHAnsi" w:hAnsiTheme="minorHAnsi" w:cstheme="minorHAnsi"/>
        <w:sz w:val="18"/>
        <w:szCs w:val="18"/>
        <w:lang w:val="en-GB"/>
      </w:rPr>
      <w:t xml:space="preserve">Page </w:t>
    </w:r>
    <w:r w:rsidRPr="00ED6FE1">
      <w:rPr>
        <w:rFonts w:asciiTheme="minorHAnsi" w:hAnsiTheme="minorHAnsi" w:cstheme="minorHAnsi"/>
        <w:sz w:val="18"/>
        <w:szCs w:val="18"/>
        <w:lang w:val="en-GB"/>
      </w:rPr>
      <w:fldChar w:fldCharType="begin"/>
    </w:r>
    <w:r w:rsidRPr="00ED6FE1">
      <w:rPr>
        <w:rFonts w:asciiTheme="minorHAnsi" w:hAnsiTheme="minorHAnsi" w:cstheme="minorHAnsi"/>
        <w:sz w:val="18"/>
        <w:szCs w:val="18"/>
        <w:lang w:val="en-GB"/>
      </w:rPr>
      <w:instrText xml:space="preserve"> PAGE   \* MERGEFORMAT </w:instrText>
    </w:r>
    <w:r w:rsidRPr="00ED6FE1">
      <w:rPr>
        <w:rFonts w:asciiTheme="minorHAnsi" w:hAnsiTheme="minorHAnsi" w:cstheme="minorHAnsi"/>
        <w:sz w:val="18"/>
        <w:szCs w:val="18"/>
        <w:lang w:val="en-GB"/>
      </w:rPr>
      <w:fldChar w:fldCharType="separate"/>
    </w:r>
    <w:r w:rsidR="00781C34">
      <w:rPr>
        <w:rFonts w:asciiTheme="minorHAnsi" w:hAnsiTheme="minorHAnsi" w:cstheme="minorHAnsi"/>
        <w:noProof/>
        <w:sz w:val="18"/>
        <w:szCs w:val="18"/>
        <w:lang w:val="en-GB"/>
      </w:rPr>
      <w:t>6</w:t>
    </w:r>
    <w:r w:rsidRPr="00ED6FE1">
      <w:rPr>
        <w:rFonts w:asciiTheme="minorHAnsi" w:hAnsiTheme="minorHAnsi" w:cstheme="minorHAnsi"/>
        <w:noProof/>
        <w:sz w:val="18"/>
        <w:szCs w:val="18"/>
        <w:lang w:val="en-GB"/>
      </w:rPr>
      <w:fldChar w:fldCharType="end"/>
    </w:r>
    <w:r w:rsidRPr="00ED6FE1">
      <w:rPr>
        <w:rFonts w:asciiTheme="minorHAnsi" w:hAnsiTheme="minorHAnsi" w:cstheme="minorHAnsi"/>
        <w:noProof/>
        <w:sz w:val="18"/>
        <w:szCs w:val="18"/>
        <w:lang w:val="en-GB"/>
      </w:rPr>
      <w:t xml:space="preserve"> of </w:t>
    </w:r>
    <w:r w:rsidR="00773148">
      <w:rPr>
        <w:rFonts w:asciiTheme="minorHAnsi" w:hAnsiTheme="minorHAnsi" w:cstheme="minorHAnsi"/>
        <w:noProof/>
        <w:sz w:val="18"/>
        <w:szCs w:val="18"/>
        <w:lang w:val="en-GB"/>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1ED161F9"/>
    <w:multiLevelType w:val="hybridMultilevel"/>
    <w:tmpl w:val="625835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0D12F0A"/>
    <w:multiLevelType w:val="hybridMultilevel"/>
    <w:tmpl w:val="C9ECF8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A0E1136"/>
    <w:multiLevelType w:val="multilevel"/>
    <w:tmpl w:val="DE2C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5A6BDF"/>
    <w:multiLevelType w:val="hybridMultilevel"/>
    <w:tmpl w:val="FFDC4784"/>
    <w:lvl w:ilvl="0" w:tplc="D57CA456">
      <w:start w:val="29"/>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1">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4">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41BD2AC3"/>
    <w:multiLevelType w:val="multilevel"/>
    <w:tmpl w:val="4CF01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nsid w:val="5BCC7587"/>
    <w:multiLevelType w:val="hybridMultilevel"/>
    <w:tmpl w:val="CFBCFC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7">
    <w:nsid w:val="71DD7077"/>
    <w:multiLevelType w:val="multilevel"/>
    <w:tmpl w:val="97A4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3A30118"/>
    <w:multiLevelType w:val="hybridMultilevel"/>
    <w:tmpl w:val="180600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1">
    <w:nsid w:val="7C494BF9"/>
    <w:multiLevelType w:val="hybridMultilevel"/>
    <w:tmpl w:val="15666A44"/>
    <w:lvl w:ilvl="0" w:tplc="C9927FE0">
      <w:start w:val="29"/>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4"/>
  </w:num>
  <w:num w:numId="2">
    <w:abstractNumId w:val="26"/>
  </w:num>
  <w:num w:numId="3">
    <w:abstractNumId w:val="13"/>
  </w:num>
  <w:num w:numId="4">
    <w:abstractNumId w:val="10"/>
  </w:num>
  <w:num w:numId="5">
    <w:abstractNumId w:val="2"/>
  </w:num>
  <w:num w:numId="6">
    <w:abstractNumId w:val="4"/>
  </w:num>
  <w:num w:numId="7">
    <w:abstractNumId w:val="18"/>
  </w:num>
  <w:num w:numId="8">
    <w:abstractNumId w:val="29"/>
  </w:num>
  <w:num w:numId="9">
    <w:abstractNumId w:val="32"/>
  </w:num>
  <w:num w:numId="10">
    <w:abstractNumId w:val="5"/>
  </w:num>
  <w:num w:numId="11">
    <w:abstractNumId w:val="25"/>
  </w:num>
  <w:num w:numId="12">
    <w:abstractNumId w:val="30"/>
  </w:num>
  <w:num w:numId="13">
    <w:abstractNumId w:val="16"/>
  </w:num>
  <w:num w:numId="14">
    <w:abstractNumId w:val="19"/>
  </w:num>
  <w:num w:numId="15">
    <w:abstractNumId w:val="21"/>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4"/>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7"/>
  </w:num>
  <w:num w:numId="20">
    <w:abstractNumId w:val="23"/>
  </w:num>
  <w:num w:numId="21">
    <w:abstractNumId w:val="3"/>
  </w:num>
  <w:num w:numId="22">
    <w:abstractNumId w:val="11"/>
  </w:num>
  <w:num w:numId="23">
    <w:abstractNumId w:val="20"/>
  </w:num>
  <w:num w:numId="24">
    <w:abstractNumId w:val="12"/>
  </w:num>
  <w:num w:numId="25">
    <w:abstractNumId w:val="1"/>
  </w:num>
  <w:num w:numId="26">
    <w:abstractNumId w:val="27"/>
  </w:num>
  <w:num w:numId="27">
    <w:abstractNumId w:val="8"/>
  </w:num>
  <w:num w:numId="28">
    <w:abstractNumId w:val="15"/>
  </w:num>
  <w:num w:numId="29">
    <w:abstractNumId w:val="22"/>
  </w:num>
  <w:num w:numId="30">
    <w:abstractNumId w:val="6"/>
  </w:num>
  <w:num w:numId="31">
    <w:abstractNumId w:val="28"/>
  </w:num>
  <w:num w:numId="32">
    <w:abstractNumId w:val="7"/>
  </w:num>
  <w:num w:numId="33">
    <w:abstractNumId w:val="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0405B"/>
    <w:rsid w:val="0000645A"/>
    <w:rsid w:val="000073C4"/>
    <w:rsid w:val="00007688"/>
    <w:rsid w:val="00012E57"/>
    <w:rsid w:val="00013545"/>
    <w:rsid w:val="00014629"/>
    <w:rsid w:val="00014A97"/>
    <w:rsid w:val="0001575F"/>
    <w:rsid w:val="00015B32"/>
    <w:rsid w:val="00016A0F"/>
    <w:rsid w:val="00022345"/>
    <w:rsid w:val="00024EE6"/>
    <w:rsid w:val="0002535F"/>
    <w:rsid w:val="00026363"/>
    <w:rsid w:val="000264CC"/>
    <w:rsid w:val="0003036F"/>
    <w:rsid w:val="0003208D"/>
    <w:rsid w:val="0003234F"/>
    <w:rsid w:val="00035288"/>
    <w:rsid w:val="000357DB"/>
    <w:rsid w:val="00036A2B"/>
    <w:rsid w:val="00036B9A"/>
    <w:rsid w:val="00037940"/>
    <w:rsid w:val="00043247"/>
    <w:rsid w:val="00043549"/>
    <w:rsid w:val="00046981"/>
    <w:rsid w:val="00046A16"/>
    <w:rsid w:val="00047074"/>
    <w:rsid w:val="00050C55"/>
    <w:rsid w:val="000537B9"/>
    <w:rsid w:val="000539BB"/>
    <w:rsid w:val="00056A20"/>
    <w:rsid w:val="00057E1B"/>
    <w:rsid w:val="00057E27"/>
    <w:rsid w:val="00062614"/>
    <w:rsid w:val="000639A1"/>
    <w:rsid w:val="00066F02"/>
    <w:rsid w:val="00067F51"/>
    <w:rsid w:val="000725DE"/>
    <w:rsid w:val="00075947"/>
    <w:rsid w:val="000760C4"/>
    <w:rsid w:val="00076A0B"/>
    <w:rsid w:val="00076CFC"/>
    <w:rsid w:val="00082EFB"/>
    <w:rsid w:val="000854DF"/>
    <w:rsid w:val="00087E2A"/>
    <w:rsid w:val="00091BFB"/>
    <w:rsid w:val="00092EBB"/>
    <w:rsid w:val="00095CE5"/>
    <w:rsid w:val="00096EDE"/>
    <w:rsid w:val="00097DCF"/>
    <w:rsid w:val="000A1449"/>
    <w:rsid w:val="000A6D49"/>
    <w:rsid w:val="000A74D9"/>
    <w:rsid w:val="000B18A3"/>
    <w:rsid w:val="000B6F4F"/>
    <w:rsid w:val="000C11F2"/>
    <w:rsid w:val="000C25AE"/>
    <w:rsid w:val="000C2FDF"/>
    <w:rsid w:val="000C46D9"/>
    <w:rsid w:val="000C4DB1"/>
    <w:rsid w:val="000D483D"/>
    <w:rsid w:val="000D516F"/>
    <w:rsid w:val="000E13B5"/>
    <w:rsid w:val="000E1E91"/>
    <w:rsid w:val="000E3682"/>
    <w:rsid w:val="000E3751"/>
    <w:rsid w:val="000E45A8"/>
    <w:rsid w:val="000E487C"/>
    <w:rsid w:val="000E5402"/>
    <w:rsid w:val="000F3674"/>
    <w:rsid w:val="000F4F9B"/>
    <w:rsid w:val="000F5AAA"/>
    <w:rsid w:val="0010199D"/>
    <w:rsid w:val="0010282B"/>
    <w:rsid w:val="00105583"/>
    <w:rsid w:val="001070F2"/>
    <w:rsid w:val="00111283"/>
    <w:rsid w:val="0011161A"/>
    <w:rsid w:val="001139CB"/>
    <w:rsid w:val="00115695"/>
    <w:rsid w:val="00116CB8"/>
    <w:rsid w:val="00123736"/>
    <w:rsid w:val="00132073"/>
    <w:rsid w:val="00132D4E"/>
    <w:rsid w:val="00133131"/>
    <w:rsid w:val="0013361F"/>
    <w:rsid w:val="00136CA5"/>
    <w:rsid w:val="00137818"/>
    <w:rsid w:val="0014078A"/>
    <w:rsid w:val="001409EE"/>
    <w:rsid w:val="00141C08"/>
    <w:rsid w:val="0014354E"/>
    <w:rsid w:val="00147F90"/>
    <w:rsid w:val="001519BD"/>
    <w:rsid w:val="00152E33"/>
    <w:rsid w:val="0015385B"/>
    <w:rsid w:val="001542BF"/>
    <w:rsid w:val="00160268"/>
    <w:rsid w:val="00164FA5"/>
    <w:rsid w:val="00165047"/>
    <w:rsid w:val="00171223"/>
    <w:rsid w:val="00172497"/>
    <w:rsid w:val="0017402C"/>
    <w:rsid w:val="001777E9"/>
    <w:rsid w:val="001836D0"/>
    <w:rsid w:val="001855F7"/>
    <w:rsid w:val="001870C6"/>
    <w:rsid w:val="001901A7"/>
    <w:rsid w:val="00193A03"/>
    <w:rsid w:val="001A3737"/>
    <w:rsid w:val="001A51B6"/>
    <w:rsid w:val="001A73BE"/>
    <w:rsid w:val="001B0DF4"/>
    <w:rsid w:val="001B131B"/>
    <w:rsid w:val="001B4731"/>
    <w:rsid w:val="001B5794"/>
    <w:rsid w:val="001C0B52"/>
    <w:rsid w:val="001C133B"/>
    <w:rsid w:val="001C3895"/>
    <w:rsid w:val="001C4B2D"/>
    <w:rsid w:val="001C57E9"/>
    <w:rsid w:val="001C75DF"/>
    <w:rsid w:val="001D4EAE"/>
    <w:rsid w:val="001D55B2"/>
    <w:rsid w:val="001E0B1C"/>
    <w:rsid w:val="001E0E06"/>
    <w:rsid w:val="001E1FFB"/>
    <w:rsid w:val="001E36D0"/>
    <w:rsid w:val="001E3BA1"/>
    <w:rsid w:val="001E5CA9"/>
    <w:rsid w:val="001F16E9"/>
    <w:rsid w:val="001F1AFC"/>
    <w:rsid w:val="001F4CE1"/>
    <w:rsid w:val="001F642C"/>
    <w:rsid w:val="001F775F"/>
    <w:rsid w:val="001F7C2C"/>
    <w:rsid w:val="00202D85"/>
    <w:rsid w:val="00206FA2"/>
    <w:rsid w:val="002073B2"/>
    <w:rsid w:val="002124F6"/>
    <w:rsid w:val="002132DC"/>
    <w:rsid w:val="00213405"/>
    <w:rsid w:val="00216211"/>
    <w:rsid w:val="00224B95"/>
    <w:rsid w:val="002278D8"/>
    <w:rsid w:val="00227978"/>
    <w:rsid w:val="002302AD"/>
    <w:rsid w:val="00230DB4"/>
    <w:rsid w:val="00230F35"/>
    <w:rsid w:val="002319DA"/>
    <w:rsid w:val="002335E3"/>
    <w:rsid w:val="00236C5A"/>
    <w:rsid w:val="00237C21"/>
    <w:rsid w:val="002410E2"/>
    <w:rsid w:val="00245BAD"/>
    <w:rsid w:val="0025530E"/>
    <w:rsid w:val="002602C7"/>
    <w:rsid w:val="002602FF"/>
    <w:rsid w:val="0026070B"/>
    <w:rsid w:val="00265D84"/>
    <w:rsid w:val="002715FA"/>
    <w:rsid w:val="0027529B"/>
    <w:rsid w:val="00275A87"/>
    <w:rsid w:val="00276002"/>
    <w:rsid w:val="00276F7E"/>
    <w:rsid w:val="00277421"/>
    <w:rsid w:val="002777A6"/>
    <w:rsid w:val="0028464D"/>
    <w:rsid w:val="002851BD"/>
    <w:rsid w:val="0028672E"/>
    <w:rsid w:val="00290783"/>
    <w:rsid w:val="00292004"/>
    <w:rsid w:val="00293061"/>
    <w:rsid w:val="002966AD"/>
    <w:rsid w:val="002A3389"/>
    <w:rsid w:val="002A3870"/>
    <w:rsid w:val="002A3997"/>
    <w:rsid w:val="002A4954"/>
    <w:rsid w:val="002A6004"/>
    <w:rsid w:val="002A6F4C"/>
    <w:rsid w:val="002A7589"/>
    <w:rsid w:val="002A7869"/>
    <w:rsid w:val="002B3592"/>
    <w:rsid w:val="002B4CB0"/>
    <w:rsid w:val="002C11BE"/>
    <w:rsid w:val="002C27CA"/>
    <w:rsid w:val="002C491C"/>
    <w:rsid w:val="002C4FD8"/>
    <w:rsid w:val="002C617E"/>
    <w:rsid w:val="002D0F65"/>
    <w:rsid w:val="002D2A04"/>
    <w:rsid w:val="002D68AB"/>
    <w:rsid w:val="002E0113"/>
    <w:rsid w:val="002E08E3"/>
    <w:rsid w:val="002E14C3"/>
    <w:rsid w:val="002E2031"/>
    <w:rsid w:val="002E2BA0"/>
    <w:rsid w:val="002E52DE"/>
    <w:rsid w:val="002E5859"/>
    <w:rsid w:val="002E5ECA"/>
    <w:rsid w:val="002E67CE"/>
    <w:rsid w:val="002E6997"/>
    <w:rsid w:val="002E6E7A"/>
    <w:rsid w:val="002E7E0D"/>
    <w:rsid w:val="002F02A6"/>
    <w:rsid w:val="002F0686"/>
    <w:rsid w:val="002F1475"/>
    <w:rsid w:val="002F1B53"/>
    <w:rsid w:val="002F25C5"/>
    <w:rsid w:val="002F385E"/>
    <w:rsid w:val="002F4062"/>
    <w:rsid w:val="002F467C"/>
    <w:rsid w:val="002F7E8F"/>
    <w:rsid w:val="00303123"/>
    <w:rsid w:val="00305185"/>
    <w:rsid w:val="00305A31"/>
    <w:rsid w:val="00305A59"/>
    <w:rsid w:val="003069C6"/>
    <w:rsid w:val="00307A86"/>
    <w:rsid w:val="00307B22"/>
    <w:rsid w:val="00311AA6"/>
    <w:rsid w:val="0031564B"/>
    <w:rsid w:val="00315A38"/>
    <w:rsid w:val="0031606A"/>
    <w:rsid w:val="00316416"/>
    <w:rsid w:val="0032417F"/>
    <w:rsid w:val="00324FAF"/>
    <w:rsid w:val="00326631"/>
    <w:rsid w:val="00327FE6"/>
    <w:rsid w:val="003317EA"/>
    <w:rsid w:val="00331FCB"/>
    <w:rsid w:val="00333E8C"/>
    <w:rsid w:val="003351E2"/>
    <w:rsid w:val="0033693A"/>
    <w:rsid w:val="00337A70"/>
    <w:rsid w:val="00341D2F"/>
    <w:rsid w:val="00344DF7"/>
    <w:rsid w:val="003453E3"/>
    <w:rsid w:val="00350B11"/>
    <w:rsid w:val="00351228"/>
    <w:rsid w:val="00351F4B"/>
    <w:rsid w:val="003529F5"/>
    <w:rsid w:val="00353135"/>
    <w:rsid w:val="00353A5C"/>
    <w:rsid w:val="00354805"/>
    <w:rsid w:val="00357121"/>
    <w:rsid w:val="003608FA"/>
    <w:rsid w:val="00361E4E"/>
    <w:rsid w:val="00362DCE"/>
    <w:rsid w:val="00365F04"/>
    <w:rsid w:val="00366344"/>
    <w:rsid w:val="003672F5"/>
    <w:rsid w:val="00373CFB"/>
    <w:rsid w:val="00373CFC"/>
    <w:rsid w:val="00374263"/>
    <w:rsid w:val="0037446F"/>
    <w:rsid w:val="00374D3C"/>
    <w:rsid w:val="003750DC"/>
    <w:rsid w:val="0038005A"/>
    <w:rsid w:val="0038112A"/>
    <w:rsid w:val="0038342D"/>
    <w:rsid w:val="0038391C"/>
    <w:rsid w:val="0038688C"/>
    <w:rsid w:val="00387791"/>
    <w:rsid w:val="00393041"/>
    <w:rsid w:val="00394B0B"/>
    <w:rsid w:val="003A132E"/>
    <w:rsid w:val="003A2E3B"/>
    <w:rsid w:val="003A39F6"/>
    <w:rsid w:val="003A6480"/>
    <w:rsid w:val="003A689F"/>
    <w:rsid w:val="003A7347"/>
    <w:rsid w:val="003A73FD"/>
    <w:rsid w:val="003B0791"/>
    <w:rsid w:val="003B16E8"/>
    <w:rsid w:val="003B1F4C"/>
    <w:rsid w:val="003B3247"/>
    <w:rsid w:val="003B5606"/>
    <w:rsid w:val="003B6649"/>
    <w:rsid w:val="003B798B"/>
    <w:rsid w:val="003C1F52"/>
    <w:rsid w:val="003C230C"/>
    <w:rsid w:val="003C38DA"/>
    <w:rsid w:val="003C3F4F"/>
    <w:rsid w:val="003C64E3"/>
    <w:rsid w:val="003C7409"/>
    <w:rsid w:val="003C7F20"/>
    <w:rsid w:val="003C7F6F"/>
    <w:rsid w:val="003D3504"/>
    <w:rsid w:val="003D4C6D"/>
    <w:rsid w:val="003D6255"/>
    <w:rsid w:val="003D6D63"/>
    <w:rsid w:val="003D7007"/>
    <w:rsid w:val="003E06C4"/>
    <w:rsid w:val="003E08F3"/>
    <w:rsid w:val="003E3097"/>
    <w:rsid w:val="003F0545"/>
    <w:rsid w:val="003F0AD2"/>
    <w:rsid w:val="003F2296"/>
    <w:rsid w:val="003F3F6B"/>
    <w:rsid w:val="003F5922"/>
    <w:rsid w:val="003F7176"/>
    <w:rsid w:val="003F737B"/>
    <w:rsid w:val="00401635"/>
    <w:rsid w:val="004020ED"/>
    <w:rsid w:val="00402DB0"/>
    <w:rsid w:val="0040732D"/>
    <w:rsid w:val="004077F0"/>
    <w:rsid w:val="00411EE9"/>
    <w:rsid w:val="00412473"/>
    <w:rsid w:val="0041507B"/>
    <w:rsid w:val="00415DA5"/>
    <w:rsid w:val="00417F2C"/>
    <w:rsid w:val="00423EE6"/>
    <w:rsid w:val="00424907"/>
    <w:rsid w:val="004250DD"/>
    <w:rsid w:val="004269E3"/>
    <w:rsid w:val="00426A14"/>
    <w:rsid w:val="00431396"/>
    <w:rsid w:val="00431561"/>
    <w:rsid w:val="004322AB"/>
    <w:rsid w:val="00432694"/>
    <w:rsid w:val="004359F8"/>
    <w:rsid w:val="00435A15"/>
    <w:rsid w:val="0043758C"/>
    <w:rsid w:val="0044129B"/>
    <w:rsid w:val="0044185E"/>
    <w:rsid w:val="004469B5"/>
    <w:rsid w:val="00447497"/>
    <w:rsid w:val="00447767"/>
    <w:rsid w:val="00447B8D"/>
    <w:rsid w:val="00453BA1"/>
    <w:rsid w:val="00455897"/>
    <w:rsid w:val="0045636A"/>
    <w:rsid w:val="00456CFE"/>
    <w:rsid w:val="00460A5C"/>
    <w:rsid w:val="00460F8B"/>
    <w:rsid w:val="004627BA"/>
    <w:rsid w:val="0046339A"/>
    <w:rsid w:val="00467631"/>
    <w:rsid w:val="004724D6"/>
    <w:rsid w:val="004729E7"/>
    <w:rsid w:val="00473057"/>
    <w:rsid w:val="0047534C"/>
    <w:rsid w:val="00475C78"/>
    <w:rsid w:val="00475F3E"/>
    <w:rsid w:val="00476CFD"/>
    <w:rsid w:val="0049368A"/>
    <w:rsid w:val="004948A5"/>
    <w:rsid w:val="00494AEC"/>
    <w:rsid w:val="00494F55"/>
    <w:rsid w:val="0049716F"/>
    <w:rsid w:val="0049718C"/>
    <w:rsid w:val="004A024B"/>
    <w:rsid w:val="004A080B"/>
    <w:rsid w:val="004A1418"/>
    <w:rsid w:val="004A28AF"/>
    <w:rsid w:val="004A3B50"/>
    <w:rsid w:val="004A4A9B"/>
    <w:rsid w:val="004A511A"/>
    <w:rsid w:val="004A614A"/>
    <w:rsid w:val="004A6779"/>
    <w:rsid w:val="004A7743"/>
    <w:rsid w:val="004B0117"/>
    <w:rsid w:val="004B28DF"/>
    <w:rsid w:val="004B4F7B"/>
    <w:rsid w:val="004B664A"/>
    <w:rsid w:val="004B73BA"/>
    <w:rsid w:val="004B764A"/>
    <w:rsid w:val="004C27C1"/>
    <w:rsid w:val="004C2872"/>
    <w:rsid w:val="004C305C"/>
    <w:rsid w:val="004C3A5F"/>
    <w:rsid w:val="004C6B0B"/>
    <w:rsid w:val="004C79CE"/>
    <w:rsid w:val="004D2555"/>
    <w:rsid w:val="004D758C"/>
    <w:rsid w:val="004E04ED"/>
    <w:rsid w:val="004E1C6D"/>
    <w:rsid w:val="004E203F"/>
    <w:rsid w:val="004E5644"/>
    <w:rsid w:val="004E74A3"/>
    <w:rsid w:val="004F0E3F"/>
    <w:rsid w:val="004F2B31"/>
    <w:rsid w:val="004F389D"/>
    <w:rsid w:val="004F3AB1"/>
    <w:rsid w:val="004F5BFC"/>
    <w:rsid w:val="004F65D4"/>
    <w:rsid w:val="0050434D"/>
    <w:rsid w:val="00504FCC"/>
    <w:rsid w:val="00505D69"/>
    <w:rsid w:val="00507161"/>
    <w:rsid w:val="00510755"/>
    <w:rsid w:val="00511CE7"/>
    <w:rsid w:val="00512BB0"/>
    <w:rsid w:val="005143DE"/>
    <w:rsid w:val="005162E3"/>
    <w:rsid w:val="005174BC"/>
    <w:rsid w:val="00521E0F"/>
    <w:rsid w:val="00522838"/>
    <w:rsid w:val="00523020"/>
    <w:rsid w:val="005242B2"/>
    <w:rsid w:val="005258F0"/>
    <w:rsid w:val="00530CDC"/>
    <w:rsid w:val="00531109"/>
    <w:rsid w:val="005324B3"/>
    <w:rsid w:val="0053470C"/>
    <w:rsid w:val="00536FC3"/>
    <w:rsid w:val="00537B4C"/>
    <w:rsid w:val="0054102B"/>
    <w:rsid w:val="00541B9D"/>
    <w:rsid w:val="005429EF"/>
    <w:rsid w:val="00544237"/>
    <w:rsid w:val="0054465B"/>
    <w:rsid w:val="005458D2"/>
    <w:rsid w:val="00547807"/>
    <w:rsid w:val="005521FD"/>
    <w:rsid w:val="00553CB4"/>
    <w:rsid w:val="00554368"/>
    <w:rsid w:val="0055687E"/>
    <w:rsid w:val="00557876"/>
    <w:rsid w:val="00560E1D"/>
    <w:rsid w:val="0056263C"/>
    <w:rsid w:val="005627D4"/>
    <w:rsid w:val="00566875"/>
    <w:rsid w:val="00574206"/>
    <w:rsid w:val="00574675"/>
    <w:rsid w:val="005755BA"/>
    <w:rsid w:val="005776FD"/>
    <w:rsid w:val="00580D04"/>
    <w:rsid w:val="00583643"/>
    <w:rsid w:val="00585939"/>
    <w:rsid w:val="0058726A"/>
    <w:rsid w:val="00590E9A"/>
    <w:rsid w:val="00591AA0"/>
    <w:rsid w:val="005942E9"/>
    <w:rsid w:val="005953A0"/>
    <w:rsid w:val="00596147"/>
    <w:rsid w:val="005A27E5"/>
    <w:rsid w:val="005A3070"/>
    <w:rsid w:val="005B11A4"/>
    <w:rsid w:val="005B1C84"/>
    <w:rsid w:val="005B7087"/>
    <w:rsid w:val="005C232A"/>
    <w:rsid w:val="005C6560"/>
    <w:rsid w:val="005D05BA"/>
    <w:rsid w:val="005D1754"/>
    <w:rsid w:val="005D1DBC"/>
    <w:rsid w:val="005D28F7"/>
    <w:rsid w:val="005D2E38"/>
    <w:rsid w:val="005D2E81"/>
    <w:rsid w:val="005D40BE"/>
    <w:rsid w:val="005D5118"/>
    <w:rsid w:val="005D5C11"/>
    <w:rsid w:val="005D6CC7"/>
    <w:rsid w:val="005E01E6"/>
    <w:rsid w:val="005E0408"/>
    <w:rsid w:val="005E06D6"/>
    <w:rsid w:val="005E59A7"/>
    <w:rsid w:val="005E6891"/>
    <w:rsid w:val="005F205E"/>
    <w:rsid w:val="005F2B3D"/>
    <w:rsid w:val="005F4951"/>
    <w:rsid w:val="005F65AC"/>
    <w:rsid w:val="00601401"/>
    <w:rsid w:val="00603A5B"/>
    <w:rsid w:val="00603AE9"/>
    <w:rsid w:val="0060618A"/>
    <w:rsid w:val="0060748D"/>
    <w:rsid w:val="00610138"/>
    <w:rsid w:val="00610318"/>
    <w:rsid w:val="006128EF"/>
    <w:rsid w:val="00613B15"/>
    <w:rsid w:val="006153B0"/>
    <w:rsid w:val="006154B3"/>
    <w:rsid w:val="006155A0"/>
    <w:rsid w:val="006229F2"/>
    <w:rsid w:val="00626011"/>
    <w:rsid w:val="00626068"/>
    <w:rsid w:val="00626AEC"/>
    <w:rsid w:val="00627497"/>
    <w:rsid w:val="00632689"/>
    <w:rsid w:val="00632832"/>
    <w:rsid w:val="00632937"/>
    <w:rsid w:val="00633072"/>
    <w:rsid w:val="006335B4"/>
    <w:rsid w:val="00635E99"/>
    <w:rsid w:val="00636035"/>
    <w:rsid w:val="006379BD"/>
    <w:rsid w:val="00641C69"/>
    <w:rsid w:val="006434BE"/>
    <w:rsid w:val="0064504E"/>
    <w:rsid w:val="00646A07"/>
    <w:rsid w:val="0065116B"/>
    <w:rsid w:val="00653094"/>
    <w:rsid w:val="00654D9C"/>
    <w:rsid w:val="0065654E"/>
    <w:rsid w:val="0065746A"/>
    <w:rsid w:val="006612CC"/>
    <w:rsid w:val="00662A40"/>
    <w:rsid w:val="006645B2"/>
    <w:rsid w:val="00666BB4"/>
    <w:rsid w:val="006707F8"/>
    <w:rsid w:val="00671E02"/>
    <w:rsid w:val="00672881"/>
    <w:rsid w:val="00675EC0"/>
    <w:rsid w:val="006805EC"/>
    <w:rsid w:val="006809F3"/>
    <w:rsid w:val="00681C8B"/>
    <w:rsid w:val="00685B13"/>
    <w:rsid w:val="00691819"/>
    <w:rsid w:val="00692585"/>
    <w:rsid w:val="00693C4D"/>
    <w:rsid w:val="00696D98"/>
    <w:rsid w:val="006A205D"/>
    <w:rsid w:val="006A65E9"/>
    <w:rsid w:val="006B21DF"/>
    <w:rsid w:val="006C0A3A"/>
    <w:rsid w:val="006C48A6"/>
    <w:rsid w:val="006C502F"/>
    <w:rsid w:val="006C582C"/>
    <w:rsid w:val="006C5E96"/>
    <w:rsid w:val="006C65F0"/>
    <w:rsid w:val="006C6F72"/>
    <w:rsid w:val="006E13D5"/>
    <w:rsid w:val="006E1588"/>
    <w:rsid w:val="006E17D8"/>
    <w:rsid w:val="006E4F24"/>
    <w:rsid w:val="006E57C6"/>
    <w:rsid w:val="006F003B"/>
    <w:rsid w:val="006F181C"/>
    <w:rsid w:val="006F1E60"/>
    <w:rsid w:val="006F2734"/>
    <w:rsid w:val="006F6772"/>
    <w:rsid w:val="00700D1D"/>
    <w:rsid w:val="00700D92"/>
    <w:rsid w:val="0070159E"/>
    <w:rsid w:val="00701A42"/>
    <w:rsid w:val="00704C53"/>
    <w:rsid w:val="007051A9"/>
    <w:rsid w:val="0070742D"/>
    <w:rsid w:val="00707DBB"/>
    <w:rsid w:val="0071175B"/>
    <w:rsid w:val="00713109"/>
    <w:rsid w:val="007160EE"/>
    <w:rsid w:val="00720AF8"/>
    <w:rsid w:val="007243A4"/>
    <w:rsid w:val="0072558F"/>
    <w:rsid w:val="00727442"/>
    <w:rsid w:val="00727CFE"/>
    <w:rsid w:val="0073194C"/>
    <w:rsid w:val="00732034"/>
    <w:rsid w:val="007322D8"/>
    <w:rsid w:val="0073248D"/>
    <w:rsid w:val="0073737B"/>
    <w:rsid w:val="00740368"/>
    <w:rsid w:val="00744B4A"/>
    <w:rsid w:val="00744CE2"/>
    <w:rsid w:val="007477E7"/>
    <w:rsid w:val="00747E29"/>
    <w:rsid w:val="00750C4E"/>
    <w:rsid w:val="0075133E"/>
    <w:rsid w:val="00751BE2"/>
    <w:rsid w:val="0075562C"/>
    <w:rsid w:val="0075643B"/>
    <w:rsid w:val="007571F6"/>
    <w:rsid w:val="00760671"/>
    <w:rsid w:val="00761E1D"/>
    <w:rsid w:val="00762814"/>
    <w:rsid w:val="00765417"/>
    <w:rsid w:val="00767A82"/>
    <w:rsid w:val="00770595"/>
    <w:rsid w:val="00770733"/>
    <w:rsid w:val="00771CF9"/>
    <w:rsid w:val="00772AFD"/>
    <w:rsid w:val="00773148"/>
    <w:rsid w:val="00773D0E"/>
    <w:rsid w:val="00774FF5"/>
    <w:rsid w:val="0077568F"/>
    <w:rsid w:val="00777275"/>
    <w:rsid w:val="00780B82"/>
    <w:rsid w:val="007818F9"/>
    <w:rsid w:val="00781C34"/>
    <w:rsid w:val="00784D88"/>
    <w:rsid w:val="00785217"/>
    <w:rsid w:val="00785A78"/>
    <w:rsid w:val="007860A7"/>
    <w:rsid w:val="0078685E"/>
    <w:rsid w:val="007905FB"/>
    <w:rsid w:val="00790A10"/>
    <w:rsid w:val="00790E2F"/>
    <w:rsid w:val="00791707"/>
    <w:rsid w:val="007A1770"/>
    <w:rsid w:val="007A1B19"/>
    <w:rsid w:val="007A294A"/>
    <w:rsid w:val="007A29E2"/>
    <w:rsid w:val="007A2E11"/>
    <w:rsid w:val="007A7927"/>
    <w:rsid w:val="007B01AF"/>
    <w:rsid w:val="007B4923"/>
    <w:rsid w:val="007B70C7"/>
    <w:rsid w:val="007B721A"/>
    <w:rsid w:val="007B7987"/>
    <w:rsid w:val="007C01ED"/>
    <w:rsid w:val="007C098A"/>
    <w:rsid w:val="007C099F"/>
    <w:rsid w:val="007C36FF"/>
    <w:rsid w:val="007C6085"/>
    <w:rsid w:val="007C654A"/>
    <w:rsid w:val="007C6F33"/>
    <w:rsid w:val="007D1200"/>
    <w:rsid w:val="007D1671"/>
    <w:rsid w:val="007D580C"/>
    <w:rsid w:val="007D7715"/>
    <w:rsid w:val="007D77AA"/>
    <w:rsid w:val="007E3A27"/>
    <w:rsid w:val="007E402A"/>
    <w:rsid w:val="007E58DE"/>
    <w:rsid w:val="007F4AB0"/>
    <w:rsid w:val="007F540A"/>
    <w:rsid w:val="007F62C7"/>
    <w:rsid w:val="007F6FD2"/>
    <w:rsid w:val="007F795F"/>
    <w:rsid w:val="008001F2"/>
    <w:rsid w:val="00803C71"/>
    <w:rsid w:val="00806323"/>
    <w:rsid w:val="0080781B"/>
    <w:rsid w:val="008102EC"/>
    <w:rsid w:val="0081120E"/>
    <w:rsid w:val="00811397"/>
    <w:rsid w:val="00811ABA"/>
    <w:rsid w:val="00811F23"/>
    <w:rsid w:val="00823016"/>
    <w:rsid w:val="00823895"/>
    <w:rsid w:val="00823C8A"/>
    <w:rsid w:val="00827063"/>
    <w:rsid w:val="0083033F"/>
    <w:rsid w:val="00833B03"/>
    <w:rsid w:val="0083442E"/>
    <w:rsid w:val="00834778"/>
    <w:rsid w:val="00836197"/>
    <w:rsid w:val="00836D4E"/>
    <w:rsid w:val="00840B95"/>
    <w:rsid w:val="0084250C"/>
    <w:rsid w:val="0084272E"/>
    <w:rsid w:val="00843DE9"/>
    <w:rsid w:val="00845939"/>
    <w:rsid w:val="008515E3"/>
    <w:rsid w:val="00853AB2"/>
    <w:rsid w:val="00854981"/>
    <w:rsid w:val="00860711"/>
    <w:rsid w:val="00866B28"/>
    <w:rsid w:val="00866F80"/>
    <w:rsid w:val="00872B6A"/>
    <w:rsid w:val="008758FD"/>
    <w:rsid w:val="00876C27"/>
    <w:rsid w:val="00877671"/>
    <w:rsid w:val="00884757"/>
    <w:rsid w:val="00890498"/>
    <w:rsid w:val="008919AB"/>
    <w:rsid w:val="00893DAE"/>
    <w:rsid w:val="0089447F"/>
    <w:rsid w:val="0089588A"/>
    <w:rsid w:val="00897956"/>
    <w:rsid w:val="008A0510"/>
    <w:rsid w:val="008A0847"/>
    <w:rsid w:val="008A0D21"/>
    <w:rsid w:val="008A2DED"/>
    <w:rsid w:val="008A335A"/>
    <w:rsid w:val="008A378E"/>
    <w:rsid w:val="008A4DCC"/>
    <w:rsid w:val="008A5D77"/>
    <w:rsid w:val="008A7060"/>
    <w:rsid w:val="008B0EBF"/>
    <w:rsid w:val="008B3A97"/>
    <w:rsid w:val="008B4248"/>
    <w:rsid w:val="008B46BC"/>
    <w:rsid w:val="008B46F2"/>
    <w:rsid w:val="008C39C7"/>
    <w:rsid w:val="008C4814"/>
    <w:rsid w:val="008C613B"/>
    <w:rsid w:val="008C6C0C"/>
    <w:rsid w:val="008C7061"/>
    <w:rsid w:val="008D0152"/>
    <w:rsid w:val="008D03F0"/>
    <w:rsid w:val="008D1E3B"/>
    <w:rsid w:val="008D4178"/>
    <w:rsid w:val="008D4DCE"/>
    <w:rsid w:val="008D5D96"/>
    <w:rsid w:val="008D61D3"/>
    <w:rsid w:val="008D674F"/>
    <w:rsid w:val="008E3CF2"/>
    <w:rsid w:val="008E525C"/>
    <w:rsid w:val="008E5801"/>
    <w:rsid w:val="008E6D19"/>
    <w:rsid w:val="008E7283"/>
    <w:rsid w:val="008F2113"/>
    <w:rsid w:val="008F2415"/>
    <w:rsid w:val="008F31FA"/>
    <w:rsid w:val="008F625D"/>
    <w:rsid w:val="00900B19"/>
    <w:rsid w:val="00901157"/>
    <w:rsid w:val="0091189D"/>
    <w:rsid w:val="00914769"/>
    <w:rsid w:val="00915A5C"/>
    <w:rsid w:val="00915C69"/>
    <w:rsid w:val="0091744F"/>
    <w:rsid w:val="00917B66"/>
    <w:rsid w:val="009205DE"/>
    <w:rsid w:val="00920BC6"/>
    <w:rsid w:val="009229E5"/>
    <w:rsid w:val="0092343D"/>
    <w:rsid w:val="00924B82"/>
    <w:rsid w:val="009254B2"/>
    <w:rsid w:val="009257F1"/>
    <w:rsid w:val="00930033"/>
    <w:rsid w:val="00930346"/>
    <w:rsid w:val="00930C37"/>
    <w:rsid w:val="00931455"/>
    <w:rsid w:val="00934A86"/>
    <w:rsid w:val="009353F3"/>
    <w:rsid w:val="00936CF7"/>
    <w:rsid w:val="00941977"/>
    <w:rsid w:val="009425AC"/>
    <w:rsid w:val="0094399B"/>
    <w:rsid w:val="00944FD1"/>
    <w:rsid w:val="009463AD"/>
    <w:rsid w:val="009521FC"/>
    <w:rsid w:val="00952CA7"/>
    <w:rsid w:val="00953CC2"/>
    <w:rsid w:val="00956122"/>
    <w:rsid w:val="009614BA"/>
    <w:rsid w:val="009627EF"/>
    <w:rsid w:val="00962975"/>
    <w:rsid w:val="00963E27"/>
    <w:rsid w:val="0096695D"/>
    <w:rsid w:val="00967A87"/>
    <w:rsid w:val="009708CC"/>
    <w:rsid w:val="00971750"/>
    <w:rsid w:val="00972993"/>
    <w:rsid w:val="009733DF"/>
    <w:rsid w:val="00973B44"/>
    <w:rsid w:val="00974F3D"/>
    <w:rsid w:val="0097523E"/>
    <w:rsid w:val="00976148"/>
    <w:rsid w:val="009801D3"/>
    <w:rsid w:val="00981886"/>
    <w:rsid w:val="0098227A"/>
    <w:rsid w:val="00984AE0"/>
    <w:rsid w:val="00984FAC"/>
    <w:rsid w:val="009850E7"/>
    <w:rsid w:val="00985488"/>
    <w:rsid w:val="00987834"/>
    <w:rsid w:val="00990C95"/>
    <w:rsid w:val="009926E5"/>
    <w:rsid w:val="00992ACE"/>
    <w:rsid w:val="009959B5"/>
    <w:rsid w:val="00995ABC"/>
    <w:rsid w:val="009A1C40"/>
    <w:rsid w:val="009A28A7"/>
    <w:rsid w:val="009A3D0A"/>
    <w:rsid w:val="009A42C5"/>
    <w:rsid w:val="009A78EB"/>
    <w:rsid w:val="009A7D92"/>
    <w:rsid w:val="009B1760"/>
    <w:rsid w:val="009B285C"/>
    <w:rsid w:val="009B29C3"/>
    <w:rsid w:val="009B2D10"/>
    <w:rsid w:val="009B394A"/>
    <w:rsid w:val="009B4299"/>
    <w:rsid w:val="009B79C3"/>
    <w:rsid w:val="009C01A3"/>
    <w:rsid w:val="009C1A08"/>
    <w:rsid w:val="009C3927"/>
    <w:rsid w:val="009C396A"/>
    <w:rsid w:val="009C4041"/>
    <w:rsid w:val="009C4786"/>
    <w:rsid w:val="009C78D4"/>
    <w:rsid w:val="009D06E9"/>
    <w:rsid w:val="009D76CE"/>
    <w:rsid w:val="009E177F"/>
    <w:rsid w:val="009E23BE"/>
    <w:rsid w:val="009E4B7F"/>
    <w:rsid w:val="009E6558"/>
    <w:rsid w:val="009F17E3"/>
    <w:rsid w:val="009F1E05"/>
    <w:rsid w:val="009F2623"/>
    <w:rsid w:val="009F57B8"/>
    <w:rsid w:val="009F6B8A"/>
    <w:rsid w:val="009F76F0"/>
    <w:rsid w:val="00A011F2"/>
    <w:rsid w:val="00A0166F"/>
    <w:rsid w:val="00A02174"/>
    <w:rsid w:val="00A02B8F"/>
    <w:rsid w:val="00A02C62"/>
    <w:rsid w:val="00A05BF1"/>
    <w:rsid w:val="00A067B2"/>
    <w:rsid w:val="00A06B16"/>
    <w:rsid w:val="00A06B94"/>
    <w:rsid w:val="00A10088"/>
    <w:rsid w:val="00A103BB"/>
    <w:rsid w:val="00A1058C"/>
    <w:rsid w:val="00A11364"/>
    <w:rsid w:val="00A15794"/>
    <w:rsid w:val="00A2073F"/>
    <w:rsid w:val="00A20CC9"/>
    <w:rsid w:val="00A2161C"/>
    <w:rsid w:val="00A25B48"/>
    <w:rsid w:val="00A303FE"/>
    <w:rsid w:val="00A31050"/>
    <w:rsid w:val="00A3405D"/>
    <w:rsid w:val="00A350CE"/>
    <w:rsid w:val="00A372AA"/>
    <w:rsid w:val="00A3767E"/>
    <w:rsid w:val="00A37DA9"/>
    <w:rsid w:val="00A41032"/>
    <w:rsid w:val="00A41AF9"/>
    <w:rsid w:val="00A440C2"/>
    <w:rsid w:val="00A507E4"/>
    <w:rsid w:val="00A546C7"/>
    <w:rsid w:val="00A55484"/>
    <w:rsid w:val="00A57268"/>
    <w:rsid w:val="00A57F50"/>
    <w:rsid w:val="00A61A96"/>
    <w:rsid w:val="00A628AA"/>
    <w:rsid w:val="00A62E68"/>
    <w:rsid w:val="00A6497F"/>
    <w:rsid w:val="00A656ED"/>
    <w:rsid w:val="00A7006C"/>
    <w:rsid w:val="00A745B6"/>
    <w:rsid w:val="00A74A08"/>
    <w:rsid w:val="00A77011"/>
    <w:rsid w:val="00A826AB"/>
    <w:rsid w:val="00A90391"/>
    <w:rsid w:val="00A918B0"/>
    <w:rsid w:val="00A92415"/>
    <w:rsid w:val="00A945DD"/>
    <w:rsid w:val="00A972E4"/>
    <w:rsid w:val="00A9744A"/>
    <w:rsid w:val="00A97AE1"/>
    <w:rsid w:val="00AA0A44"/>
    <w:rsid w:val="00AA4BB8"/>
    <w:rsid w:val="00AA6D4F"/>
    <w:rsid w:val="00AB00A5"/>
    <w:rsid w:val="00AB1AF8"/>
    <w:rsid w:val="00AB1C74"/>
    <w:rsid w:val="00AB1E31"/>
    <w:rsid w:val="00AB1F2C"/>
    <w:rsid w:val="00AB232E"/>
    <w:rsid w:val="00AB6E59"/>
    <w:rsid w:val="00AB7272"/>
    <w:rsid w:val="00AB7989"/>
    <w:rsid w:val="00AC0BB5"/>
    <w:rsid w:val="00AC1F12"/>
    <w:rsid w:val="00AC2624"/>
    <w:rsid w:val="00AC36E3"/>
    <w:rsid w:val="00AC371D"/>
    <w:rsid w:val="00AC431A"/>
    <w:rsid w:val="00AC6213"/>
    <w:rsid w:val="00AC643E"/>
    <w:rsid w:val="00AC66D5"/>
    <w:rsid w:val="00AD36EB"/>
    <w:rsid w:val="00AD4F41"/>
    <w:rsid w:val="00AD5C60"/>
    <w:rsid w:val="00AD5D5A"/>
    <w:rsid w:val="00AD78F4"/>
    <w:rsid w:val="00AE0EFF"/>
    <w:rsid w:val="00AE1688"/>
    <w:rsid w:val="00AE218B"/>
    <w:rsid w:val="00AE3217"/>
    <w:rsid w:val="00AE69A7"/>
    <w:rsid w:val="00AF3CFF"/>
    <w:rsid w:val="00AF5EC5"/>
    <w:rsid w:val="00AF64DD"/>
    <w:rsid w:val="00AF78C3"/>
    <w:rsid w:val="00B00161"/>
    <w:rsid w:val="00B0075A"/>
    <w:rsid w:val="00B00C4B"/>
    <w:rsid w:val="00B068B8"/>
    <w:rsid w:val="00B104DD"/>
    <w:rsid w:val="00B10A6C"/>
    <w:rsid w:val="00B11E29"/>
    <w:rsid w:val="00B12C1E"/>
    <w:rsid w:val="00B20C7B"/>
    <w:rsid w:val="00B256BD"/>
    <w:rsid w:val="00B25CF2"/>
    <w:rsid w:val="00B275E3"/>
    <w:rsid w:val="00B3085B"/>
    <w:rsid w:val="00B30ED4"/>
    <w:rsid w:val="00B34964"/>
    <w:rsid w:val="00B367E4"/>
    <w:rsid w:val="00B36F4A"/>
    <w:rsid w:val="00B37224"/>
    <w:rsid w:val="00B42501"/>
    <w:rsid w:val="00B42F80"/>
    <w:rsid w:val="00B43E0E"/>
    <w:rsid w:val="00B44C4E"/>
    <w:rsid w:val="00B45FEF"/>
    <w:rsid w:val="00B462B1"/>
    <w:rsid w:val="00B46813"/>
    <w:rsid w:val="00B46E33"/>
    <w:rsid w:val="00B550D0"/>
    <w:rsid w:val="00B55AC0"/>
    <w:rsid w:val="00B56E7B"/>
    <w:rsid w:val="00B61B5D"/>
    <w:rsid w:val="00B62203"/>
    <w:rsid w:val="00B6733B"/>
    <w:rsid w:val="00B67583"/>
    <w:rsid w:val="00B721B8"/>
    <w:rsid w:val="00B72BE4"/>
    <w:rsid w:val="00B72F46"/>
    <w:rsid w:val="00B7319E"/>
    <w:rsid w:val="00B74DDC"/>
    <w:rsid w:val="00B74E2A"/>
    <w:rsid w:val="00B76BC9"/>
    <w:rsid w:val="00B76D0F"/>
    <w:rsid w:val="00B77943"/>
    <w:rsid w:val="00B77BEE"/>
    <w:rsid w:val="00B801D1"/>
    <w:rsid w:val="00B81E0A"/>
    <w:rsid w:val="00B81E5D"/>
    <w:rsid w:val="00B82D8F"/>
    <w:rsid w:val="00B839A3"/>
    <w:rsid w:val="00B84AD1"/>
    <w:rsid w:val="00B8572E"/>
    <w:rsid w:val="00B968F8"/>
    <w:rsid w:val="00B96983"/>
    <w:rsid w:val="00B9724B"/>
    <w:rsid w:val="00B972DD"/>
    <w:rsid w:val="00BA1649"/>
    <w:rsid w:val="00BA198D"/>
    <w:rsid w:val="00BA5AC5"/>
    <w:rsid w:val="00BA79CB"/>
    <w:rsid w:val="00BB3184"/>
    <w:rsid w:val="00BB5FEA"/>
    <w:rsid w:val="00BB6A9D"/>
    <w:rsid w:val="00BB7DC4"/>
    <w:rsid w:val="00BB7E6E"/>
    <w:rsid w:val="00BC0DC7"/>
    <w:rsid w:val="00BC1629"/>
    <w:rsid w:val="00BC17F1"/>
    <w:rsid w:val="00BC2715"/>
    <w:rsid w:val="00BC45C0"/>
    <w:rsid w:val="00BC4AE3"/>
    <w:rsid w:val="00BC4B07"/>
    <w:rsid w:val="00BC52A8"/>
    <w:rsid w:val="00BC5447"/>
    <w:rsid w:val="00BC663B"/>
    <w:rsid w:val="00BC76E7"/>
    <w:rsid w:val="00BD1733"/>
    <w:rsid w:val="00BD373D"/>
    <w:rsid w:val="00BD41A1"/>
    <w:rsid w:val="00BE1B15"/>
    <w:rsid w:val="00BE4A3E"/>
    <w:rsid w:val="00BE7B7A"/>
    <w:rsid w:val="00BF0119"/>
    <w:rsid w:val="00BF22DC"/>
    <w:rsid w:val="00BF330D"/>
    <w:rsid w:val="00BF3D29"/>
    <w:rsid w:val="00BF6291"/>
    <w:rsid w:val="00BF6A7B"/>
    <w:rsid w:val="00BF7CF8"/>
    <w:rsid w:val="00C00908"/>
    <w:rsid w:val="00C00DF4"/>
    <w:rsid w:val="00C04303"/>
    <w:rsid w:val="00C06B71"/>
    <w:rsid w:val="00C0706F"/>
    <w:rsid w:val="00C1091A"/>
    <w:rsid w:val="00C11164"/>
    <w:rsid w:val="00C1234F"/>
    <w:rsid w:val="00C129C7"/>
    <w:rsid w:val="00C13527"/>
    <w:rsid w:val="00C15322"/>
    <w:rsid w:val="00C15FAA"/>
    <w:rsid w:val="00C166E7"/>
    <w:rsid w:val="00C16CB0"/>
    <w:rsid w:val="00C173B7"/>
    <w:rsid w:val="00C22A88"/>
    <w:rsid w:val="00C25D2E"/>
    <w:rsid w:val="00C27CD1"/>
    <w:rsid w:val="00C309FB"/>
    <w:rsid w:val="00C32F64"/>
    <w:rsid w:val="00C34152"/>
    <w:rsid w:val="00C3755E"/>
    <w:rsid w:val="00C40CAB"/>
    <w:rsid w:val="00C4134D"/>
    <w:rsid w:val="00C42404"/>
    <w:rsid w:val="00C42984"/>
    <w:rsid w:val="00C51C12"/>
    <w:rsid w:val="00C52556"/>
    <w:rsid w:val="00C529F3"/>
    <w:rsid w:val="00C52E4B"/>
    <w:rsid w:val="00C60407"/>
    <w:rsid w:val="00C632C3"/>
    <w:rsid w:val="00C65437"/>
    <w:rsid w:val="00C65E7F"/>
    <w:rsid w:val="00C66124"/>
    <w:rsid w:val="00C71872"/>
    <w:rsid w:val="00C74041"/>
    <w:rsid w:val="00C75BA7"/>
    <w:rsid w:val="00C75E76"/>
    <w:rsid w:val="00C77B41"/>
    <w:rsid w:val="00C829C9"/>
    <w:rsid w:val="00C82CC0"/>
    <w:rsid w:val="00C852B1"/>
    <w:rsid w:val="00C86586"/>
    <w:rsid w:val="00C86E77"/>
    <w:rsid w:val="00C87F96"/>
    <w:rsid w:val="00C90243"/>
    <w:rsid w:val="00C93249"/>
    <w:rsid w:val="00C93CD4"/>
    <w:rsid w:val="00C951C9"/>
    <w:rsid w:val="00CA15D0"/>
    <w:rsid w:val="00CA20E4"/>
    <w:rsid w:val="00CA3DC0"/>
    <w:rsid w:val="00CA5393"/>
    <w:rsid w:val="00CA5605"/>
    <w:rsid w:val="00CA5F32"/>
    <w:rsid w:val="00CA6D7F"/>
    <w:rsid w:val="00CA74F5"/>
    <w:rsid w:val="00CA76D1"/>
    <w:rsid w:val="00CB1D0C"/>
    <w:rsid w:val="00CB1F98"/>
    <w:rsid w:val="00CB1FDA"/>
    <w:rsid w:val="00CB395F"/>
    <w:rsid w:val="00CB5E37"/>
    <w:rsid w:val="00CB6775"/>
    <w:rsid w:val="00CB7BC1"/>
    <w:rsid w:val="00CC3FF7"/>
    <w:rsid w:val="00CC52A3"/>
    <w:rsid w:val="00CC7C1C"/>
    <w:rsid w:val="00CD02EA"/>
    <w:rsid w:val="00CD2031"/>
    <w:rsid w:val="00CD394A"/>
    <w:rsid w:val="00CD397C"/>
    <w:rsid w:val="00CD59A8"/>
    <w:rsid w:val="00CD7F5E"/>
    <w:rsid w:val="00CE08F2"/>
    <w:rsid w:val="00CE3B79"/>
    <w:rsid w:val="00CE4E1F"/>
    <w:rsid w:val="00CE5337"/>
    <w:rsid w:val="00CE7E0D"/>
    <w:rsid w:val="00CF1198"/>
    <w:rsid w:val="00CF4109"/>
    <w:rsid w:val="00CF6077"/>
    <w:rsid w:val="00CF623D"/>
    <w:rsid w:val="00CF649E"/>
    <w:rsid w:val="00D01E47"/>
    <w:rsid w:val="00D04871"/>
    <w:rsid w:val="00D056AD"/>
    <w:rsid w:val="00D05E00"/>
    <w:rsid w:val="00D0754F"/>
    <w:rsid w:val="00D13520"/>
    <w:rsid w:val="00D13F36"/>
    <w:rsid w:val="00D160F2"/>
    <w:rsid w:val="00D164DC"/>
    <w:rsid w:val="00D17C44"/>
    <w:rsid w:val="00D201B6"/>
    <w:rsid w:val="00D2131F"/>
    <w:rsid w:val="00D25540"/>
    <w:rsid w:val="00D25720"/>
    <w:rsid w:val="00D25CDC"/>
    <w:rsid w:val="00D25D16"/>
    <w:rsid w:val="00D27650"/>
    <w:rsid w:val="00D30F7D"/>
    <w:rsid w:val="00D328AB"/>
    <w:rsid w:val="00D429CC"/>
    <w:rsid w:val="00D44382"/>
    <w:rsid w:val="00D449CD"/>
    <w:rsid w:val="00D453A8"/>
    <w:rsid w:val="00D459DC"/>
    <w:rsid w:val="00D46506"/>
    <w:rsid w:val="00D469F8"/>
    <w:rsid w:val="00D46B0D"/>
    <w:rsid w:val="00D511BE"/>
    <w:rsid w:val="00D51A59"/>
    <w:rsid w:val="00D51D5B"/>
    <w:rsid w:val="00D56EFA"/>
    <w:rsid w:val="00D578EE"/>
    <w:rsid w:val="00D57BB0"/>
    <w:rsid w:val="00D61099"/>
    <w:rsid w:val="00D614B1"/>
    <w:rsid w:val="00D61CBC"/>
    <w:rsid w:val="00D644A2"/>
    <w:rsid w:val="00D64512"/>
    <w:rsid w:val="00D661B4"/>
    <w:rsid w:val="00D664B8"/>
    <w:rsid w:val="00D67BF8"/>
    <w:rsid w:val="00D774B2"/>
    <w:rsid w:val="00D77687"/>
    <w:rsid w:val="00D77B74"/>
    <w:rsid w:val="00D81551"/>
    <w:rsid w:val="00D8370F"/>
    <w:rsid w:val="00D85988"/>
    <w:rsid w:val="00D85E54"/>
    <w:rsid w:val="00D875D7"/>
    <w:rsid w:val="00D91D99"/>
    <w:rsid w:val="00D93333"/>
    <w:rsid w:val="00D94576"/>
    <w:rsid w:val="00D94A53"/>
    <w:rsid w:val="00D964BB"/>
    <w:rsid w:val="00D96B70"/>
    <w:rsid w:val="00D973F1"/>
    <w:rsid w:val="00DA02B1"/>
    <w:rsid w:val="00DA3217"/>
    <w:rsid w:val="00DA360E"/>
    <w:rsid w:val="00DA36A6"/>
    <w:rsid w:val="00DA3DD5"/>
    <w:rsid w:val="00DA3E0F"/>
    <w:rsid w:val="00DA7442"/>
    <w:rsid w:val="00DB137D"/>
    <w:rsid w:val="00DB185F"/>
    <w:rsid w:val="00DB1A1D"/>
    <w:rsid w:val="00DB24E9"/>
    <w:rsid w:val="00DB351C"/>
    <w:rsid w:val="00DB43BB"/>
    <w:rsid w:val="00DB4E80"/>
    <w:rsid w:val="00DB677D"/>
    <w:rsid w:val="00DB70C7"/>
    <w:rsid w:val="00DC4CEA"/>
    <w:rsid w:val="00DC55D7"/>
    <w:rsid w:val="00DD01C3"/>
    <w:rsid w:val="00DD363B"/>
    <w:rsid w:val="00DD394F"/>
    <w:rsid w:val="00DD43D2"/>
    <w:rsid w:val="00DD7842"/>
    <w:rsid w:val="00DE0C09"/>
    <w:rsid w:val="00DE1FC3"/>
    <w:rsid w:val="00DE54B1"/>
    <w:rsid w:val="00DE55DD"/>
    <w:rsid w:val="00DE7CFE"/>
    <w:rsid w:val="00DF08E7"/>
    <w:rsid w:val="00DF092C"/>
    <w:rsid w:val="00DF2F03"/>
    <w:rsid w:val="00DF7413"/>
    <w:rsid w:val="00DF7E47"/>
    <w:rsid w:val="00E00113"/>
    <w:rsid w:val="00E02ACA"/>
    <w:rsid w:val="00E07030"/>
    <w:rsid w:val="00E07526"/>
    <w:rsid w:val="00E10694"/>
    <w:rsid w:val="00E117CA"/>
    <w:rsid w:val="00E119DA"/>
    <w:rsid w:val="00E125AE"/>
    <w:rsid w:val="00E133DE"/>
    <w:rsid w:val="00E13656"/>
    <w:rsid w:val="00E15B75"/>
    <w:rsid w:val="00E163DD"/>
    <w:rsid w:val="00E17D8A"/>
    <w:rsid w:val="00E20C26"/>
    <w:rsid w:val="00E224F5"/>
    <w:rsid w:val="00E23107"/>
    <w:rsid w:val="00E23EF2"/>
    <w:rsid w:val="00E251B2"/>
    <w:rsid w:val="00E25BFB"/>
    <w:rsid w:val="00E25C4E"/>
    <w:rsid w:val="00E2684B"/>
    <w:rsid w:val="00E31697"/>
    <w:rsid w:val="00E3180A"/>
    <w:rsid w:val="00E36BF1"/>
    <w:rsid w:val="00E3766D"/>
    <w:rsid w:val="00E4159D"/>
    <w:rsid w:val="00E41EB4"/>
    <w:rsid w:val="00E423DF"/>
    <w:rsid w:val="00E4364F"/>
    <w:rsid w:val="00E4427E"/>
    <w:rsid w:val="00E454FC"/>
    <w:rsid w:val="00E471D2"/>
    <w:rsid w:val="00E502BA"/>
    <w:rsid w:val="00E52FAB"/>
    <w:rsid w:val="00E5376D"/>
    <w:rsid w:val="00E53AE2"/>
    <w:rsid w:val="00E53FBF"/>
    <w:rsid w:val="00E5403C"/>
    <w:rsid w:val="00E57529"/>
    <w:rsid w:val="00E61731"/>
    <w:rsid w:val="00E623D8"/>
    <w:rsid w:val="00E6350B"/>
    <w:rsid w:val="00E63512"/>
    <w:rsid w:val="00E647EF"/>
    <w:rsid w:val="00E65CBA"/>
    <w:rsid w:val="00E67719"/>
    <w:rsid w:val="00E70202"/>
    <w:rsid w:val="00E737E6"/>
    <w:rsid w:val="00E73B03"/>
    <w:rsid w:val="00E73DE3"/>
    <w:rsid w:val="00E747CB"/>
    <w:rsid w:val="00E75B27"/>
    <w:rsid w:val="00E75D06"/>
    <w:rsid w:val="00E7707C"/>
    <w:rsid w:val="00E81364"/>
    <w:rsid w:val="00E83133"/>
    <w:rsid w:val="00E841EF"/>
    <w:rsid w:val="00E84F5D"/>
    <w:rsid w:val="00E94AEF"/>
    <w:rsid w:val="00E94B69"/>
    <w:rsid w:val="00E97789"/>
    <w:rsid w:val="00EA145F"/>
    <w:rsid w:val="00EA1601"/>
    <w:rsid w:val="00EA204D"/>
    <w:rsid w:val="00EA4F10"/>
    <w:rsid w:val="00EA5C1C"/>
    <w:rsid w:val="00EA6C31"/>
    <w:rsid w:val="00EA7688"/>
    <w:rsid w:val="00EB4064"/>
    <w:rsid w:val="00EB41CD"/>
    <w:rsid w:val="00EB72D7"/>
    <w:rsid w:val="00EC13F2"/>
    <w:rsid w:val="00EC26DB"/>
    <w:rsid w:val="00EC35CA"/>
    <w:rsid w:val="00EC41C2"/>
    <w:rsid w:val="00EC5DAC"/>
    <w:rsid w:val="00EC6708"/>
    <w:rsid w:val="00EC7546"/>
    <w:rsid w:val="00EC7C0B"/>
    <w:rsid w:val="00ED0C8E"/>
    <w:rsid w:val="00ED2CCF"/>
    <w:rsid w:val="00ED6688"/>
    <w:rsid w:val="00ED6FE1"/>
    <w:rsid w:val="00ED7135"/>
    <w:rsid w:val="00EE0108"/>
    <w:rsid w:val="00EE075C"/>
    <w:rsid w:val="00EE24B4"/>
    <w:rsid w:val="00EE2951"/>
    <w:rsid w:val="00EE29E6"/>
    <w:rsid w:val="00EE3498"/>
    <w:rsid w:val="00EE670C"/>
    <w:rsid w:val="00EE7188"/>
    <w:rsid w:val="00EE7295"/>
    <w:rsid w:val="00EE72B3"/>
    <w:rsid w:val="00EF0107"/>
    <w:rsid w:val="00EF115F"/>
    <w:rsid w:val="00EF218B"/>
    <w:rsid w:val="00EF5E6C"/>
    <w:rsid w:val="00F02F49"/>
    <w:rsid w:val="00F03AE6"/>
    <w:rsid w:val="00F04003"/>
    <w:rsid w:val="00F05B81"/>
    <w:rsid w:val="00F12A24"/>
    <w:rsid w:val="00F1490A"/>
    <w:rsid w:val="00F16157"/>
    <w:rsid w:val="00F16608"/>
    <w:rsid w:val="00F1661E"/>
    <w:rsid w:val="00F2020D"/>
    <w:rsid w:val="00F239DE"/>
    <w:rsid w:val="00F2453C"/>
    <w:rsid w:val="00F269C2"/>
    <w:rsid w:val="00F301DC"/>
    <w:rsid w:val="00F340A3"/>
    <w:rsid w:val="00F346BE"/>
    <w:rsid w:val="00F351E4"/>
    <w:rsid w:val="00F417AC"/>
    <w:rsid w:val="00F44B66"/>
    <w:rsid w:val="00F53D97"/>
    <w:rsid w:val="00F548D8"/>
    <w:rsid w:val="00F5520C"/>
    <w:rsid w:val="00F56E9B"/>
    <w:rsid w:val="00F573FC"/>
    <w:rsid w:val="00F5778E"/>
    <w:rsid w:val="00F57DE9"/>
    <w:rsid w:val="00F6030E"/>
    <w:rsid w:val="00F628C5"/>
    <w:rsid w:val="00F63366"/>
    <w:rsid w:val="00F65C3C"/>
    <w:rsid w:val="00F7156D"/>
    <w:rsid w:val="00F73533"/>
    <w:rsid w:val="00F74D31"/>
    <w:rsid w:val="00F77C83"/>
    <w:rsid w:val="00F81A56"/>
    <w:rsid w:val="00F869F7"/>
    <w:rsid w:val="00F8724F"/>
    <w:rsid w:val="00F96A6F"/>
    <w:rsid w:val="00F973AE"/>
    <w:rsid w:val="00FA07E9"/>
    <w:rsid w:val="00FA27C5"/>
    <w:rsid w:val="00FA2A4C"/>
    <w:rsid w:val="00FA64DD"/>
    <w:rsid w:val="00FA6D42"/>
    <w:rsid w:val="00FB1203"/>
    <w:rsid w:val="00FB30A1"/>
    <w:rsid w:val="00FB3301"/>
    <w:rsid w:val="00FB45E7"/>
    <w:rsid w:val="00FB5FD5"/>
    <w:rsid w:val="00FB7221"/>
    <w:rsid w:val="00FB7FB1"/>
    <w:rsid w:val="00FC18C2"/>
    <w:rsid w:val="00FC1F0D"/>
    <w:rsid w:val="00FC426A"/>
    <w:rsid w:val="00FC4F30"/>
    <w:rsid w:val="00FD0BB3"/>
    <w:rsid w:val="00FD17A6"/>
    <w:rsid w:val="00FD69B9"/>
    <w:rsid w:val="00FE21DF"/>
    <w:rsid w:val="00FE2806"/>
    <w:rsid w:val="00FE4166"/>
    <w:rsid w:val="00FE422D"/>
    <w:rsid w:val="00FE495A"/>
    <w:rsid w:val="00FF1125"/>
    <w:rsid w:val="00FF426D"/>
    <w:rsid w:val="00FF5097"/>
    <w:rsid w:val="00FF6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0F7D37"/>
  <w15:chartTrackingRefBased/>
  <w15:docId w15:val="{86C9B229-2C62-4ACD-9285-CC9D36DE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uiPriority w:val="99"/>
    <w:rsid w:val="00840B95"/>
    <w:rPr>
      <w:sz w:val="16"/>
      <w:szCs w:val="16"/>
    </w:rPr>
  </w:style>
  <w:style w:type="paragraph" w:styleId="CommentText">
    <w:name w:val="annotation text"/>
    <w:basedOn w:val="Normal"/>
    <w:link w:val="CommentTextChar"/>
    <w:uiPriority w:val="99"/>
    <w:rsid w:val="00840B95"/>
    <w:rPr>
      <w:sz w:val="20"/>
      <w:szCs w:val="20"/>
      <w:lang w:val="x-none"/>
    </w:rPr>
  </w:style>
  <w:style w:type="character" w:customStyle="1" w:styleId="CommentTextChar">
    <w:name w:val="Comment Text Char"/>
    <w:link w:val="CommentText"/>
    <w:uiPriority w:val="99"/>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uiPriority w:val="39"/>
    <w:rsid w:val="00D67BF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CE08F2"/>
    <w:rPr>
      <w:rFonts w:ascii="Calibri" w:eastAsia="Calibri" w:hAnsi="Calibri"/>
      <w:sz w:val="20"/>
      <w:szCs w:val="20"/>
      <w:lang w:eastAsia="en-US"/>
    </w:rPr>
  </w:style>
  <w:style w:type="character" w:customStyle="1" w:styleId="FootnoteTextChar">
    <w:name w:val="Footnote Text Char"/>
    <w:link w:val="FootnoteText"/>
    <w:uiPriority w:val="99"/>
    <w:rsid w:val="00CE08F2"/>
    <w:rPr>
      <w:rFonts w:ascii="Calibri" w:eastAsia="Calibri" w:hAnsi="Calibri"/>
      <w:lang w:eastAsia="en-US"/>
    </w:rPr>
  </w:style>
  <w:style w:type="character" w:styleId="FootnoteReference">
    <w:name w:val="footnote reference"/>
    <w:uiPriority w:val="99"/>
    <w:unhideWhenUsed/>
    <w:rsid w:val="00CE08F2"/>
    <w:rPr>
      <w:vertAlign w:val="superscript"/>
    </w:rPr>
  </w:style>
  <w:style w:type="character" w:customStyle="1" w:styleId="Heading3Char">
    <w:name w:val="Heading 3 Char"/>
    <w:link w:val="Heading3"/>
    <w:uiPriority w:val="9"/>
    <w:rsid w:val="00CE08F2"/>
    <w:rPr>
      <w:rFonts w:ascii="Tahoma" w:hAnsi="Tahoma" w:cs="Tahoma"/>
      <w:b/>
      <w:bCs/>
      <w:lang w:eastAsia="zh-CN"/>
    </w:rPr>
  </w:style>
  <w:style w:type="character" w:styleId="Hyperlink">
    <w:name w:val="Hyperlink"/>
    <w:uiPriority w:val="99"/>
    <w:unhideWhenUsed/>
    <w:rsid w:val="00CE08F2"/>
    <w:rPr>
      <w:color w:val="0000FF"/>
      <w:u w:val="single"/>
    </w:rPr>
  </w:style>
  <w:style w:type="character" w:styleId="HTMLCite">
    <w:name w:val="HTML Cite"/>
    <w:uiPriority w:val="99"/>
    <w:unhideWhenUsed/>
    <w:rsid w:val="00CE08F2"/>
    <w:rPr>
      <w:i/>
      <w:iCs/>
    </w:rPr>
  </w:style>
  <w:style w:type="character" w:styleId="Emphasis">
    <w:name w:val="Emphasis"/>
    <w:basedOn w:val="DefaultParagraphFont"/>
    <w:uiPriority w:val="20"/>
    <w:qFormat/>
    <w:rsid w:val="00CF1198"/>
    <w:rPr>
      <w:b/>
      <w:bCs/>
      <w:i w:val="0"/>
      <w:iCs w:val="0"/>
    </w:rPr>
  </w:style>
  <w:style w:type="character" w:customStyle="1" w:styleId="st1">
    <w:name w:val="st1"/>
    <w:basedOn w:val="DefaultParagraphFont"/>
    <w:rsid w:val="00CF1198"/>
  </w:style>
  <w:style w:type="character" w:styleId="FollowedHyperlink">
    <w:name w:val="FollowedHyperlink"/>
    <w:basedOn w:val="DefaultParagraphFont"/>
    <w:rsid w:val="00393041"/>
    <w:rPr>
      <w:color w:val="954F72" w:themeColor="followedHyperlink"/>
      <w:u w:val="single"/>
    </w:rPr>
  </w:style>
  <w:style w:type="paragraph" w:customStyle="1" w:styleId="Default">
    <w:name w:val="Default"/>
    <w:rsid w:val="00603A5B"/>
    <w:pPr>
      <w:autoSpaceDE w:val="0"/>
      <w:autoSpaceDN w:val="0"/>
      <w:adjustRightInd w:val="0"/>
    </w:pPr>
    <w:rPr>
      <w:rFonts w:ascii="Georgia" w:hAnsi="Georgia" w:cs="Georgia"/>
      <w:color w:val="000000"/>
      <w:sz w:val="24"/>
      <w:szCs w:val="24"/>
    </w:rPr>
  </w:style>
  <w:style w:type="paragraph" w:styleId="Caption">
    <w:name w:val="caption"/>
    <w:basedOn w:val="Normal"/>
    <w:next w:val="Normal"/>
    <w:uiPriority w:val="35"/>
    <w:unhideWhenUsed/>
    <w:qFormat/>
    <w:rsid w:val="00523020"/>
    <w:pPr>
      <w:spacing w:after="200"/>
    </w:pPr>
    <w:rPr>
      <w:rFonts w:asciiTheme="minorHAnsi" w:eastAsiaTheme="minorHAnsi" w:hAnsiTheme="minorHAnsi" w:cstheme="minorBidi"/>
      <w:i/>
      <w:iCs/>
      <w:color w:val="44546A" w:themeColor="text2"/>
      <w:sz w:val="18"/>
      <w:szCs w:val="18"/>
      <w:lang w:eastAsia="en-US"/>
    </w:rPr>
  </w:style>
  <w:style w:type="paragraph" w:customStyle="1" w:styleId="MAPara1">
    <w:name w:val="MA Para1"/>
    <w:basedOn w:val="Normal"/>
    <w:link w:val="MAPara1Char"/>
    <w:qFormat/>
    <w:rsid w:val="00F16157"/>
    <w:pPr>
      <w:spacing w:line="276" w:lineRule="auto"/>
      <w:jc w:val="both"/>
    </w:pPr>
    <w:rPr>
      <w:rFonts w:asciiTheme="minorHAnsi" w:hAnsiTheme="minorHAnsi" w:cstheme="minorHAnsi"/>
      <w:sz w:val="22"/>
      <w:szCs w:val="22"/>
    </w:rPr>
  </w:style>
  <w:style w:type="paragraph" w:customStyle="1" w:styleId="MAPara2">
    <w:name w:val="MA Para2"/>
    <w:basedOn w:val="Normal"/>
    <w:link w:val="MAPara2Char"/>
    <w:qFormat/>
    <w:rsid w:val="00F16157"/>
    <w:pPr>
      <w:spacing w:line="276" w:lineRule="auto"/>
      <w:ind w:firstLine="284"/>
      <w:jc w:val="both"/>
    </w:pPr>
    <w:rPr>
      <w:rFonts w:asciiTheme="minorHAnsi" w:hAnsiTheme="minorHAnsi" w:cstheme="minorHAnsi"/>
      <w:sz w:val="22"/>
      <w:szCs w:val="22"/>
      <w:lang w:eastAsia="en-GB"/>
    </w:rPr>
  </w:style>
  <w:style w:type="character" w:customStyle="1" w:styleId="MAPara1Char">
    <w:name w:val="MA Para1 Char"/>
    <w:basedOn w:val="DefaultParagraphFont"/>
    <w:link w:val="MAPara1"/>
    <w:rsid w:val="00F16157"/>
    <w:rPr>
      <w:rFonts w:asciiTheme="minorHAnsi" w:hAnsiTheme="minorHAnsi" w:cstheme="minorHAnsi"/>
      <w:sz w:val="22"/>
      <w:szCs w:val="22"/>
      <w:lang w:eastAsia="zh-CN"/>
    </w:rPr>
  </w:style>
  <w:style w:type="paragraph" w:styleId="ListParagraph">
    <w:name w:val="List Paragraph"/>
    <w:basedOn w:val="Normal"/>
    <w:uiPriority w:val="34"/>
    <w:qFormat/>
    <w:rsid w:val="008E3CF2"/>
    <w:pPr>
      <w:ind w:left="720"/>
      <w:contextualSpacing/>
    </w:pPr>
  </w:style>
  <w:style w:type="character" w:customStyle="1" w:styleId="MAPara2Char">
    <w:name w:val="MA Para2 Char"/>
    <w:basedOn w:val="DefaultParagraphFont"/>
    <w:link w:val="MAPara2"/>
    <w:rsid w:val="00F16157"/>
    <w:rPr>
      <w:rFonts w:asciiTheme="minorHAnsi" w:hAnsiTheme="minorHAnsi" w:cstheme="minorHAnsi"/>
      <w:sz w:val="22"/>
      <w:szCs w:val="22"/>
    </w:rPr>
  </w:style>
  <w:style w:type="paragraph" w:styleId="EndnoteText">
    <w:name w:val="endnote text"/>
    <w:basedOn w:val="Normal"/>
    <w:link w:val="EndnoteTextChar"/>
    <w:rsid w:val="00412473"/>
    <w:rPr>
      <w:sz w:val="20"/>
      <w:szCs w:val="20"/>
    </w:rPr>
  </w:style>
  <w:style w:type="character" w:customStyle="1" w:styleId="EndnoteTextChar">
    <w:name w:val="Endnote Text Char"/>
    <w:basedOn w:val="DefaultParagraphFont"/>
    <w:link w:val="EndnoteText"/>
    <w:rsid w:val="00412473"/>
    <w:rPr>
      <w:lang w:eastAsia="zh-CN"/>
    </w:rPr>
  </w:style>
  <w:style w:type="character" w:styleId="EndnoteReference">
    <w:name w:val="endnote reference"/>
    <w:basedOn w:val="DefaultParagraphFont"/>
    <w:rsid w:val="00412473"/>
    <w:rPr>
      <w:vertAlign w:val="superscript"/>
    </w:rPr>
  </w:style>
  <w:style w:type="character" w:styleId="Strong">
    <w:name w:val="Strong"/>
    <w:basedOn w:val="DefaultParagraphFont"/>
    <w:uiPriority w:val="22"/>
    <w:qFormat/>
    <w:rsid w:val="00FB4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8855088">
      <w:bodyDiv w:val="1"/>
      <w:marLeft w:val="0"/>
      <w:marRight w:val="0"/>
      <w:marTop w:val="0"/>
      <w:marBottom w:val="0"/>
      <w:divBdr>
        <w:top w:val="none" w:sz="0" w:space="0" w:color="auto"/>
        <w:left w:val="none" w:sz="0" w:space="0" w:color="auto"/>
        <w:bottom w:val="none" w:sz="0" w:space="0" w:color="auto"/>
        <w:right w:val="none" w:sz="0" w:space="0" w:color="auto"/>
      </w:divBdr>
      <w:divsChild>
        <w:div w:id="1103186458">
          <w:marLeft w:val="0"/>
          <w:marRight w:val="0"/>
          <w:marTop w:val="0"/>
          <w:marBottom w:val="0"/>
          <w:divBdr>
            <w:top w:val="none" w:sz="0" w:space="0" w:color="auto"/>
            <w:left w:val="none" w:sz="0" w:space="0" w:color="auto"/>
            <w:bottom w:val="none" w:sz="0" w:space="0" w:color="auto"/>
            <w:right w:val="none" w:sz="0" w:space="0" w:color="auto"/>
          </w:divBdr>
        </w:div>
        <w:div w:id="1519078374">
          <w:marLeft w:val="0"/>
          <w:marRight w:val="0"/>
          <w:marTop w:val="0"/>
          <w:marBottom w:val="0"/>
          <w:divBdr>
            <w:top w:val="none" w:sz="0" w:space="0" w:color="auto"/>
            <w:left w:val="none" w:sz="0" w:space="0" w:color="auto"/>
            <w:bottom w:val="none" w:sz="0" w:space="0" w:color="auto"/>
            <w:right w:val="none" w:sz="0" w:space="0" w:color="auto"/>
          </w:divBdr>
        </w:div>
        <w:div w:id="1664356340">
          <w:marLeft w:val="0"/>
          <w:marRight w:val="0"/>
          <w:marTop w:val="0"/>
          <w:marBottom w:val="0"/>
          <w:divBdr>
            <w:top w:val="none" w:sz="0" w:space="0" w:color="auto"/>
            <w:left w:val="none" w:sz="0" w:space="0" w:color="auto"/>
            <w:bottom w:val="none" w:sz="0" w:space="0" w:color="auto"/>
            <w:right w:val="none" w:sz="0" w:space="0" w:color="auto"/>
          </w:divBdr>
        </w:div>
      </w:divsChild>
    </w:div>
    <w:div w:id="791634165">
      <w:bodyDiv w:val="1"/>
      <w:marLeft w:val="0"/>
      <w:marRight w:val="0"/>
      <w:marTop w:val="0"/>
      <w:marBottom w:val="0"/>
      <w:divBdr>
        <w:top w:val="none" w:sz="0" w:space="0" w:color="auto"/>
        <w:left w:val="none" w:sz="0" w:space="0" w:color="auto"/>
        <w:bottom w:val="none" w:sz="0" w:space="0" w:color="auto"/>
        <w:right w:val="none" w:sz="0" w:space="0" w:color="auto"/>
      </w:divBdr>
      <w:divsChild>
        <w:div w:id="1183082484">
          <w:marLeft w:val="0"/>
          <w:marRight w:val="0"/>
          <w:marTop w:val="0"/>
          <w:marBottom w:val="0"/>
          <w:divBdr>
            <w:top w:val="none" w:sz="0" w:space="0" w:color="auto"/>
            <w:left w:val="none" w:sz="0" w:space="0" w:color="auto"/>
            <w:bottom w:val="none" w:sz="0" w:space="0" w:color="auto"/>
            <w:right w:val="none" w:sz="0" w:space="0" w:color="auto"/>
          </w:divBdr>
          <w:divsChild>
            <w:div w:id="112293508">
              <w:marLeft w:val="0"/>
              <w:marRight w:val="0"/>
              <w:marTop w:val="0"/>
              <w:marBottom w:val="0"/>
              <w:divBdr>
                <w:top w:val="none" w:sz="0" w:space="0" w:color="auto"/>
                <w:left w:val="none" w:sz="0" w:space="0" w:color="auto"/>
                <w:bottom w:val="none" w:sz="0" w:space="0" w:color="auto"/>
                <w:right w:val="none" w:sz="0" w:space="0" w:color="auto"/>
              </w:divBdr>
              <w:divsChild>
                <w:div w:id="8794753">
                  <w:marLeft w:val="0"/>
                  <w:marRight w:val="0"/>
                  <w:marTop w:val="0"/>
                  <w:marBottom w:val="0"/>
                  <w:divBdr>
                    <w:top w:val="none" w:sz="0" w:space="0" w:color="auto"/>
                    <w:left w:val="none" w:sz="0" w:space="0" w:color="auto"/>
                    <w:bottom w:val="none" w:sz="0" w:space="0" w:color="auto"/>
                    <w:right w:val="none" w:sz="0" w:space="0" w:color="auto"/>
                  </w:divBdr>
                  <w:divsChild>
                    <w:div w:id="979729500">
                      <w:marLeft w:val="0"/>
                      <w:marRight w:val="0"/>
                      <w:marTop w:val="45"/>
                      <w:marBottom w:val="0"/>
                      <w:divBdr>
                        <w:top w:val="none" w:sz="0" w:space="0" w:color="auto"/>
                        <w:left w:val="none" w:sz="0" w:space="0" w:color="auto"/>
                        <w:bottom w:val="none" w:sz="0" w:space="0" w:color="auto"/>
                        <w:right w:val="none" w:sz="0" w:space="0" w:color="auto"/>
                      </w:divBdr>
                      <w:divsChild>
                        <w:div w:id="876619366">
                          <w:marLeft w:val="0"/>
                          <w:marRight w:val="0"/>
                          <w:marTop w:val="0"/>
                          <w:marBottom w:val="0"/>
                          <w:divBdr>
                            <w:top w:val="none" w:sz="0" w:space="0" w:color="auto"/>
                            <w:left w:val="none" w:sz="0" w:space="0" w:color="auto"/>
                            <w:bottom w:val="none" w:sz="0" w:space="0" w:color="auto"/>
                            <w:right w:val="none" w:sz="0" w:space="0" w:color="auto"/>
                          </w:divBdr>
                          <w:divsChild>
                            <w:div w:id="269627950">
                              <w:marLeft w:val="2070"/>
                              <w:marRight w:val="3960"/>
                              <w:marTop w:val="0"/>
                              <w:marBottom w:val="0"/>
                              <w:divBdr>
                                <w:top w:val="none" w:sz="0" w:space="0" w:color="auto"/>
                                <w:left w:val="none" w:sz="0" w:space="0" w:color="auto"/>
                                <w:bottom w:val="none" w:sz="0" w:space="0" w:color="auto"/>
                                <w:right w:val="none" w:sz="0" w:space="0" w:color="auto"/>
                              </w:divBdr>
                              <w:divsChild>
                                <w:div w:id="1751584593">
                                  <w:marLeft w:val="0"/>
                                  <w:marRight w:val="0"/>
                                  <w:marTop w:val="0"/>
                                  <w:marBottom w:val="0"/>
                                  <w:divBdr>
                                    <w:top w:val="none" w:sz="0" w:space="0" w:color="auto"/>
                                    <w:left w:val="none" w:sz="0" w:space="0" w:color="auto"/>
                                    <w:bottom w:val="none" w:sz="0" w:space="0" w:color="auto"/>
                                    <w:right w:val="none" w:sz="0" w:space="0" w:color="auto"/>
                                  </w:divBdr>
                                  <w:divsChild>
                                    <w:div w:id="913199149">
                                      <w:marLeft w:val="0"/>
                                      <w:marRight w:val="0"/>
                                      <w:marTop w:val="0"/>
                                      <w:marBottom w:val="0"/>
                                      <w:divBdr>
                                        <w:top w:val="none" w:sz="0" w:space="0" w:color="auto"/>
                                        <w:left w:val="none" w:sz="0" w:space="0" w:color="auto"/>
                                        <w:bottom w:val="none" w:sz="0" w:space="0" w:color="auto"/>
                                        <w:right w:val="none" w:sz="0" w:space="0" w:color="auto"/>
                                      </w:divBdr>
                                      <w:divsChild>
                                        <w:div w:id="780495360">
                                          <w:marLeft w:val="0"/>
                                          <w:marRight w:val="0"/>
                                          <w:marTop w:val="0"/>
                                          <w:marBottom w:val="0"/>
                                          <w:divBdr>
                                            <w:top w:val="none" w:sz="0" w:space="0" w:color="auto"/>
                                            <w:left w:val="none" w:sz="0" w:space="0" w:color="auto"/>
                                            <w:bottom w:val="none" w:sz="0" w:space="0" w:color="auto"/>
                                            <w:right w:val="none" w:sz="0" w:space="0" w:color="auto"/>
                                          </w:divBdr>
                                          <w:divsChild>
                                            <w:div w:id="642202085">
                                              <w:marLeft w:val="0"/>
                                              <w:marRight w:val="0"/>
                                              <w:marTop w:val="90"/>
                                              <w:marBottom w:val="0"/>
                                              <w:divBdr>
                                                <w:top w:val="none" w:sz="0" w:space="0" w:color="auto"/>
                                                <w:left w:val="none" w:sz="0" w:space="0" w:color="auto"/>
                                                <w:bottom w:val="none" w:sz="0" w:space="0" w:color="auto"/>
                                                <w:right w:val="none" w:sz="0" w:space="0" w:color="auto"/>
                                              </w:divBdr>
                                              <w:divsChild>
                                                <w:div w:id="553740183">
                                                  <w:marLeft w:val="0"/>
                                                  <w:marRight w:val="0"/>
                                                  <w:marTop w:val="0"/>
                                                  <w:marBottom w:val="0"/>
                                                  <w:divBdr>
                                                    <w:top w:val="none" w:sz="0" w:space="0" w:color="auto"/>
                                                    <w:left w:val="none" w:sz="0" w:space="0" w:color="auto"/>
                                                    <w:bottom w:val="none" w:sz="0" w:space="0" w:color="auto"/>
                                                    <w:right w:val="none" w:sz="0" w:space="0" w:color="auto"/>
                                                  </w:divBdr>
                                                  <w:divsChild>
                                                    <w:div w:id="1344625708">
                                                      <w:marLeft w:val="0"/>
                                                      <w:marRight w:val="0"/>
                                                      <w:marTop w:val="0"/>
                                                      <w:marBottom w:val="0"/>
                                                      <w:divBdr>
                                                        <w:top w:val="none" w:sz="0" w:space="0" w:color="auto"/>
                                                        <w:left w:val="none" w:sz="0" w:space="0" w:color="auto"/>
                                                        <w:bottom w:val="none" w:sz="0" w:space="0" w:color="auto"/>
                                                        <w:right w:val="none" w:sz="0" w:space="0" w:color="auto"/>
                                                      </w:divBdr>
                                                      <w:divsChild>
                                                        <w:div w:id="651982028">
                                                          <w:marLeft w:val="0"/>
                                                          <w:marRight w:val="0"/>
                                                          <w:marTop w:val="0"/>
                                                          <w:marBottom w:val="390"/>
                                                          <w:divBdr>
                                                            <w:top w:val="none" w:sz="0" w:space="0" w:color="auto"/>
                                                            <w:left w:val="none" w:sz="0" w:space="0" w:color="auto"/>
                                                            <w:bottom w:val="none" w:sz="0" w:space="0" w:color="auto"/>
                                                            <w:right w:val="none" w:sz="0" w:space="0" w:color="auto"/>
                                                          </w:divBdr>
                                                          <w:divsChild>
                                                            <w:div w:id="175196086">
                                                              <w:marLeft w:val="0"/>
                                                              <w:marRight w:val="0"/>
                                                              <w:marTop w:val="0"/>
                                                              <w:marBottom w:val="0"/>
                                                              <w:divBdr>
                                                                <w:top w:val="none" w:sz="0" w:space="0" w:color="auto"/>
                                                                <w:left w:val="none" w:sz="0" w:space="0" w:color="auto"/>
                                                                <w:bottom w:val="none" w:sz="0" w:space="0" w:color="auto"/>
                                                                <w:right w:val="none" w:sz="0" w:space="0" w:color="auto"/>
                                                              </w:divBdr>
                                                              <w:divsChild>
                                                                <w:div w:id="456411251">
                                                                  <w:marLeft w:val="0"/>
                                                                  <w:marRight w:val="0"/>
                                                                  <w:marTop w:val="0"/>
                                                                  <w:marBottom w:val="0"/>
                                                                  <w:divBdr>
                                                                    <w:top w:val="none" w:sz="0" w:space="0" w:color="auto"/>
                                                                    <w:left w:val="none" w:sz="0" w:space="0" w:color="auto"/>
                                                                    <w:bottom w:val="none" w:sz="0" w:space="0" w:color="auto"/>
                                                                    <w:right w:val="none" w:sz="0" w:space="0" w:color="auto"/>
                                                                  </w:divBdr>
                                                                  <w:divsChild>
                                                                    <w:div w:id="430786659">
                                                                      <w:marLeft w:val="0"/>
                                                                      <w:marRight w:val="0"/>
                                                                      <w:marTop w:val="0"/>
                                                                      <w:marBottom w:val="0"/>
                                                                      <w:divBdr>
                                                                        <w:top w:val="none" w:sz="0" w:space="0" w:color="auto"/>
                                                                        <w:left w:val="none" w:sz="0" w:space="0" w:color="auto"/>
                                                                        <w:bottom w:val="none" w:sz="0" w:space="0" w:color="auto"/>
                                                                        <w:right w:val="none" w:sz="0" w:space="0" w:color="auto"/>
                                                                      </w:divBdr>
                                                                      <w:divsChild>
                                                                        <w:div w:id="1677229522">
                                                                          <w:marLeft w:val="0"/>
                                                                          <w:marRight w:val="0"/>
                                                                          <w:marTop w:val="0"/>
                                                                          <w:marBottom w:val="0"/>
                                                                          <w:divBdr>
                                                                            <w:top w:val="none" w:sz="0" w:space="0" w:color="auto"/>
                                                                            <w:left w:val="none" w:sz="0" w:space="0" w:color="auto"/>
                                                                            <w:bottom w:val="none" w:sz="0" w:space="0" w:color="auto"/>
                                                                            <w:right w:val="none" w:sz="0" w:space="0" w:color="auto"/>
                                                                          </w:divBdr>
                                                                          <w:divsChild>
                                                                            <w:div w:id="199781399">
                                                                              <w:marLeft w:val="0"/>
                                                                              <w:marRight w:val="0"/>
                                                                              <w:marTop w:val="0"/>
                                                                              <w:marBottom w:val="0"/>
                                                                              <w:divBdr>
                                                                                <w:top w:val="none" w:sz="0" w:space="0" w:color="auto"/>
                                                                                <w:left w:val="none" w:sz="0" w:space="0" w:color="auto"/>
                                                                                <w:bottom w:val="none" w:sz="0" w:space="0" w:color="auto"/>
                                                                                <w:right w:val="none" w:sz="0" w:space="0" w:color="auto"/>
                                                                              </w:divBdr>
                                                                              <w:divsChild>
                                                                                <w:div w:id="1837723362">
                                                                                  <w:marLeft w:val="0"/>
                                                                                  <w:marRight w:val="0"/>
                                                                                  <w:marTop w:val="0"/>
                                                                                  <w:marBottom w:val="0"/>
                                                                                  <w:divBdr>
                                                                                    <w:top w:val="none" w:sz="0" w:space="0" w:color="auto"/>
                                                                                    <w:left w:val="none" w:sz="0" w:space="0" w:color="auto"/>
                                                                                    <w:bottom w:val="none" w:sz="0" w:space="0" w:color="auto"/>
                                                                                    <w:right w:val="none" w:sz="0" w:space="0" w:color="auto"/>
                                                                                  </w:divBdr>
                                                                                  <w:divsChild>
                                                                                    <w:div w:id="895899543">
                                                                                      <w:marLeft w:val="0"/>
                                                                                      <w:marRight w:val="0"/>
                                                                                      <w:marTop w:val="0"/>
                                                                                      <w:marBottom w:val="0"/>
                                                                                      <w:divBdr>
                                                                                        <w:top w:val="none" w:sz="0" w:space="0" w:color="auto"/>
                                                                                        <w:left w:val="none" w:sz="0" w:space="0" w:color="auto"/>
                                                                                        <w:bottom w:val="none" w:sz="0" w:space="0" w:color="auto"/>
                                                                                        <w:right w:val="none" w:sz="0" w:space="0" w:color="auto"/>
                                                                                      </w:divBdr>
                                                                                      <w:divsChild>
                                                                                        <w:div w:id="107357365">
                                                                                          <w:marLeft w:val="0"/>
                                                                                          <w:marRight w:val="0"/>
                                                                                          <w:marTop w:val="0"/>
                                                                                          <w:marBottom w:val="0"/>
                                                                                          <w:divBdr>
                                                                                            <w:top w:val="none" w:sz="0" w:space="0" w:color="auto"/>
                                                                                            <w:left w:val="none" w:sz="0" w:space="0" w:color="auto"/>
                                                                                            <w:bottom w:val="none" w:sz="0" w:space="0" w:color="auto"/>
                                                                                            <w:right w:val="none" w:sz="0" w:space="0" w:color="auto"/>
                                                                                          </w:divBdr>
                                                                                          <w:divsChild>
                                                                                            <w:div w:id="641082114">
                                                                                              <w:marLeft w:val="0"/>
                                                                                              <w:marRight w:val="0"/>
                                                                                              <w:marTop w:val="0"/>
                                                                                              <w:marBottom w:val="0"/>
                                                                                              <w:divBdr>
                                                                                                <w:top w:val="none" w:sz="0" w:space="0" w:color="auto"/>
                                                                                                <w:left w:val="none" w:sz="0" w:space="0" w:color="auto"/>
                                                                                                <w:bottom w:val="none" w:sz="0" w:space="0" w:color="auto"/>
                                                                                                <w:right w:val="none" w:sz="0" w:space="0" w:color="auto"/>
                                                                                              </w:divBdr>
                                                                                              <w:divsChild>
                                                                                                <w:div w:id="513231077">
                                                                                                  <w:marLeft w:val="0"/>
                                                                                                  <w:marRight w:val="0"/>
                                                                                                  <w:marTop w:val="0"/>
                                                                                                  <w:marBottom w:val="0"/>
                                                                                                  <w:divBdr>
                                                                                                    <w:top w:val="none" w:sz="0" w:space="0" w:color="auto"/>
                                                                                                    <w:left w:val="none" w:sz="0" w:space="0" w:color="auto"/>
                                                                                                    <w:bottom w:val="none" w:sz="0" w:space="0" w:color="auto"/>
                                                                                                    <w:right w:val="none" w:sz="0" w:space="0" w:color="auto"/>
                                                                                                  </w:divBdr>
                                                                                                  <w:divsChild>
                                                                                                    <w:div w:id="1386880453">
                                                                                                      <w:marLeft w:val="0"/>
                                                                                                      <w:marRight w:val="0"/>
                                                                                                      <w:marTop w:val="0"/>
                                                                                                      <w:marBottom w:val="0"/>
                                                                                                      <w:divBdr>
                                                                                                        <w:top w:val="none" w:sz="0" w:space="0" w:color="auto"/>
                                                                                                        <w:left w:val="none" w:sz="0" w:space="0" w:color="auto"/>
                                                                                                        <w:bottom w:val="none" w:sz="0" w:space="0" w:color="auto"/>
                                                                                                        <w:right w:val="none" w:sz="0" w:space="0" w:color="auto"/>
                                                                                                      </w:divBdr>
                                                                                                      <w:divsChild>
                                                                                                        <w:div w:id="344283875">
                                                                                                          <w:marLeft w:val="0"/>
                                                                                                          <w:marRight w:val="0"/>
                                                                                                          <w:marTop w:val="0"/>
                                                                                                          <w:marBottom w:val="0"/>
                                                                                                          <w:divBdr>
                                                                                                            <w:top w:val="none" w:sz="0" w:space="0" w:color="auto"/>
                                                                                                            <w:left w:val="none" w:sz="0" w:space="0" w:color="auto"/>
                                                                                                            <w:bottom w:val="none" w:sz="0" w:space="0" w:color="auto"/>
                                                                                                            <w:right w:val="none" w:sz="0" w:space="0" w:color="auto"/>
                                                                                                          </w:divBdr>
                                                                                                          <w:divsChild>
                                                                                                            <w:div w:id="271591861">
                                                                                                              <w:marLeft w:val="300"/>
                                                                                                              <w:marRight w:val="0"/>
                                                                                                              <w:marTop w:val="0"/>
                                                                                                              <w:marBottom w:val="0"/>
                                                                                                              <w:divBdr>
                                                                                                                <w:top w:val="none" w:sz="0" w:space="0" w:color="auto"/>
                                                                                                                <w:left w:val="none" w:sz="0" w:space="0" w:color="auto"/>
                                                                                                                <w:bottom w:val="none" w:sz="0" w:space="0" w:color="auto"/>
                                                                                                                <w:right w:val="none" w:sz="0" w:space="0" w:color="auto"/>
                                                                                                              </w:divBdr>
                                                                                                              <w:divsChild>
                                                                                                                <w:div w:id="1746101012">
                                                                                                                  <w:marLeft w:val="-300"/>
                                                                                                                  <w:marRight w:val="0"/>
                                                                                                                  <w:marTop w:val="0"/>
                                                                                                                  <w:marBottom w:val="0"/>
                                                                                                                  <w:divBdr>
                                                                                                                    <w:top w:val="none" w:sz="0" w:space="0" w:color="auto"/>
                                                                                                                    <w:left w:val="none" w:sz="0" w:space="0" w:color="auto"/>
                                                                                                                    <w:bottom w:val="none" w:sz="0" w:space="0" w:color="auto"/>
                                                                                                                    <w:right w:val="none" w:sz="0" w:space="0" w:color="auto"/>
                                                                                                                  </w:divBdr>
                                                                                                                  <w:divsChild>
                                                                                                                    <w:div w:id="7907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5800362">
      <w:bodyDiv w:val="1"/>
      <w:marLeft w:val="0"/>
      <w:marRight w:val="0"/>
      <w:marTop w:val="0"/>
      <w:marBottom w:val="0"/>
      <w:divBdr>
        <w:top w:val="none" w:sz="0" w:space="0" w:color="auto"/>
        <w:left w:val="none" w:sz="0" w:space="0" w:color="auto"/>
        <w:bottom w:val="none" w:sz="0" w:space="0" w:color="auto"/>
        <w:right w:val="none" w:sz="0" w:space="0" w:color="auto"/>
      </w:divBdr>
      <w:divsChild>
        <w:div w:id="2109813591">
          <w:marLeft w:val="0"/>
          <w:marRight w:val="0"/>
          <w:marTop w:val="0"/>
          <w:marBottom w:val="0"/>
          <w:divBdr>
            <w:top w:val="none" w:sz="0" w:space="0" w:color="auto"/>
            <w:left w:val="none" w:sz="0" w:space="0" w:color="auto"/>
            <w:bottom w:val="none" w:sz="0" w:space="0" w:color="auto"/>
            <w:right w:val="none" w:sz="0" w:space="0" w:color="auto"/>
          </w:divBdr>
          <w:divsChild>
            <w:div w:id="51083496">
              <w:marLeft w:val="0"/>
              <w:marRight w:val="0"/>
              <w:marTop w:val="0"/>
              <w:marBottom w:val="0"/>
              <w:divBdr>
                <w:top w:val="none" w:sz="0" w:space="0" w:color="auto"/>
                <w:left w:val="none" w:sz="0" w:space="0" w:color="auto"/>
                <w:bottom w:val="none" w:sz="0" w:space="0" w:color="auto"/>
                <w:right w:val="none" w:sz="0" w:space="0" w:color="auto"/>
              </w:divBdr>
              <w:divsChild>
                <w:div w:id="608318918">
                  <w:marLeft w:val="0"/>
                  <w:marRight w:val="0"/>
                  <w:marTop w:val="0"/>
                  <w:marBottom w:val="0"/>
                  <w:divBdr>
                    <w:top w:val="none" w:sz="0" w:space="0" w:color="auto"/>
                    <w:left w:val="none" w:sz="0" w:space="0" w:color="auto"/>
                    <w:bottom w:val="none" w:sz="0" w:space="0" w:color="auto"/>
                    <w:right w:val="none" w:sz="0" w:space="0" w:color="auto"/>
                  </w:divBdr>
                  <w:divsChild>
                    <w:div w:id="1442991647">
                      <w:marLeft w:val="0"/>
                      <w:marRight w:val="0"/>
                      <w:marTop w:val="45"/>
                      <w:marBottom w:val="0"/>
                      <w:divBdr>
                        <w:top w:val="none" w:sz="0" w:space="0" w:color="auto"/>
                        <w:left w:val="none" w:sz="0" w:space="0" w:color="auto"/>
                        <w:bottom w:val="none" w:sz="0" w:space="0" w:color="auto"/>
                        <w:right w:val="none" w:sz="0" w:space="0" w:color="auto"/>
                      </w:divBdr>
                      <w:divsChild>
                        <w:div w:id="979458790">
                          <w:marLeft w:val="0"/>
                          <w:marRight w:val="0"/>
                          <w:marTop w:val="0"/>
                          <w:marBottom w:val="0"/>
                          <w:divBdr>
                            <w:top w:val="none" w:sz="0" w:space="0" w:color="auto"/>
                            <w:left w:val="none" w:sz="0" w:space="0" w:color="auto"/>
                            <w:bottom w:val="none" w:sz="0" w:space="0" w:color="auto"/>
                            <w:right w:val="none" w:sz="0" w:space="0" w:color="auto"/>
                          </w:divBdr>
                          <w:divsChild>
                            <w:div w:id="208956568">
                              <w:marLeft w:val="2070"/>
                              <w:marRight w:val="3960"/>
                              <w:marTop w:val="0"/>
                              <w:marBottom w:val="0"/>
                              <w:divBdr>
                                <w:top w:val="none" w:sz="0" w:space="0" w:color="auto"/>
                                <w:left w:val="none" w:sz="0" w:space="0" w:color="auto"/>
                                <w:bottom w:val="none" w:sz="0" w:space="0" w:color="auto"/>
                                <w:right w:val="none" w:sz="0" w:space="0" w:color="auto"/>
                              </w:divBdr>
                              <w:divsChild>
                                <w:div w:id="1823809812">
                                  <w:marLeft w:val="0"/>
                                  <w:marRight w:val="0"/>
                                  <w:marTop w:val="0"/>
                                  <w:marBottom w:val="0"/>
                                  <w:divBdr>
                                    <w:top w:val="none" w:sz="0" w:space="0" w:color="auto"/>
                                    <w:left w:val="none" w:sz="0" w:space="0" w:color="auto"/>
                                    <w:bottom w:val="none" w:sz="0" w:space="0" w:color="auto"/>
                                    <w:right w:val="none" w:sz="0" w:space="0" w:color="auto"/>
                                  </w:divBdr>
                                  <w:divsChild>
                                    <w:div w:id="2111781625">
                                      <w:marLeft w:val="0"/>
                                      <w:marRight w:val="0"/>
                                      <w:marTop w:val="0"/>
                                      <w:marBottom w:val="0"/>
                                      <w:divBdr>
                                        <w:top w:val="none" w:sz="0" w:space="0" w:color="auto"/>
                                        <w:left w:val="none" w:sz="0" w:space="0" w:color="auto"/>
                                        <w:bottom w:val="none" w:sz="0" w:space="0" w:color="auto"/>
                                        <w:right w:val="none" w:sz="0" w:space="0" w:color="auto"/>
                                      </w:divBdr>
                                      <w:divsChild>
                                        <w:div w:id="142629474">
                                          <w:marLeft w:val="0"/>
                                          <w:marRight w:val="0"/>
                                          <w:marTop w:val="0"/>
                                          <w:marBottom w:val="0"/>
                                          <w:divBdr>
                                            <w:top w:val="none" w:sz="0" w:space="0" w:color="auto"/>
                                            <w:left w:val="none" w:sz="0" w:space="0" w:color="auto"/>
                                            <w:bottom w:val="none" w:sz="0" w:space="0" w:color="auto"/>
                                            <w:right w:val="none" w:sz="0" w:space="0" w:color="auto"/>
                                          </w:divBdr>
                                          <w:divsChild>
                                            <w:div w:id="1461341356">
                                              <w:marLeft w:val="0"/>
                                              <w:marRight w:val="0"/>
                                              <w:marTop w:val="90"/>
                                              <w:marBottom w:val="0"/>
                                              <w:divBdr>
                                                <w:top w:val="none" w:sz="0" w:space="0" w:color="auto"/>
                                                <w:left w:val="none" w:sz="0" w:space="0" w:color="auto"/>
                                                <w:bottom w:val="none" w:sz="0" w:space="0" w:color="auto"/>
                                                <w:right w:val="none" w:sz="0" w:space="0" w:color="auto"/>
                                              </w:divBdr>
                                              <w:divsChild>
                                                <w:div w:id="715662167">
                                                  <w:marLeft w:val="0"/>
                                                  <w:marRight w:val="0"/>
                                                  <w:marTop w:val="0"/>
                                                  <w:marBottom w:val="0"/>
                                                  <w:divBdr>
                                                    <w:top w:val="none" w:sz="0" w:space="0" w:color="auto"/>
                                                    <w:left w:val="none" w:sz="0" w:space="0" w:color="auto"/>
                                                    <w:bottom w:val="none" w:sz="0" w:space="0" w:color="auto"/>
                                                    <w:right w:val="none" w:sz="0" w:space="0" w:color="auto"/>
                                                  </w:divBdr>
                                                  <w:divsChild>
                                                    <w:div w:id="858543952">
                                                      <w:marLeft w:val="0"/>
                                                      <w:marRight w:val="0"/>
                                                      <w:marTop w:val="0"/>
                                                      <w:marBottom w:val="0"/>
                                                      <w:divBdr>
                                                        <w:top w:val="none" w:sz="0" w:space="0" w:color="auto"/>
                                                        <w:left w:val="none" w:sz="0" w:space="0" w:color="auto"/>
                                                        <w:bottom w:val="none" w:sz="0" w:space="0" w:color="auto"/>
                                                        <w:right w:val="none" w:sz="0" w:space="0" w:color="auto"/>
                                                      </w:divBdr>
                                                      <w:divsChild>
                                                        <w:div w:id="1112896418">
                                                          <w:marLeft w:val="0"/>
                                                          <w:marRight w:val="0"/>
                                                          <w:marTop w:val="0"/>
                                                          <w:marBottom w:val="0"/>
                                                          <w:divBdr>
                                                            <w:top w:val="none" w:sz="0" w:space="0" w:color="auto"/>
                                                            <w:left w:val="none" w:sz="0" w:space="0" w:color="auto"/>
                                                            <w:bottom w:val="none" w:sz="0" w:space="0" w:color="auto"/>
                                                            <w:right w:val="none" w:sz="0" w:space="0" w:color="auto"/>
                                                          </w:divBdr>
                                                          <w:divsChild>
                                                            <w:div w:id="356152266">
                                                              <w:marLeft w:val="0"/>
                                                              <w:marRight w:val="0"/>
                                                              <w:marTop w:val="0"/>
                                                              <w:marBottom w:val="390"/>
                                                              <w:divBdr>
                                                                <w:top w:val="none" w:sz="0" w:space="0" w:color="auto"/>
                                                                <w:left w:val="none" w:sz="0" w:space="0" w:color="auto"/>
                                                                <w:bottom w:val="none" w:sz="0" w:space="0" w:color="auto"/>
                                                                <w:right w:val="none" w:sz="0" w:space="0" w:color="auto"/>
                                                              </w:divBdr>
                                                              <w:divsChild>
                                                                <w:div w:id="629438977">
                                                                  <w:marLeft w:val="0"/>
                                                                  <w:marRight w:val="0"/>
                                                                  <w:marTop w:val="0"/>
                                                                  <w:marBottom w:val="0"/>
                                                                  <w:divBdr>
                                                                    <w:top w:val="none" w:sz="0" w:space="0" w:color="auto"/>
                                                                    <w:left w:val="none" w:sz="0" w:space="0" w:color="auto"/>
                                                                    <w:bottom w:val="none" w:sz="0" w:space="0" w:color="auto"/>
                                                                    <w:right w:val="none" w:sz="0" w:space="0" w:color="auto"/>
                                                                  </w:divBdr>
                                                                  <w:divsChild>
                                                                    <w:div w:id="1804619245">
                                                                      <w:marLeft w:val="0"/>
                                                                      <w:marRight w:val="0"/>
                                                                      <w:marTop w:val="0"/>
                                                                      <w:marBottom w:val="0"/>
                                                                      <w:divBdr>
                                                                        <w:top w:val="none" w:sz="0" w:space="0" w:color="auto"/>
                                                                        <w:left w:val="none" w:sz="0" w:space="0" w:color="auto"/>
                                                                        <w:bottom w:val="none" w:sz="0" w:space="0" w:color="auto"/>
                                                                        <w:right w:val="none" w:sz="0" w:space="0" w:color="auto"/>
                                                                      </w:divBdr>
                                                                      <w:divsChild>
                                                                        <w:div w:id="1214272901">
                                                                          <w:marLeft w:val="0"/>
                                                                          <w:marRight w:val="0"/>
                                                                          <w:marTop w:val="0"/>
                                                                          <w:marBottom w:val="0"/>
                                                                          <w:divBdr>
                                                                            <w:top w:val="none" w:sz="0" w:space="0" w:color="auto"/>
                                                                            <w:left w:val="none" w:sz="0" w:space="0" w:color="auto"/>
                                                                            <w:bottom w:val="none" w:sz="0" w:space="0" w:color="auto"/>
                                                                            <w:right w:val="none" w:sz="0" w:space="0" w:color="auto"/>
                                                                          </w:divBdr>
                                                                          <w:divsChild>
                                                                            <w:div w:id="1610157275">
                                                                              <w:marLeft w:val="0"/>
                                                                              <w:marRight w:val="0"/>
                                                                              <w:marTop w:val="0"/>
                                                                              <w:marBottom w:val="0"/>
                                                                              <w:divBdr>
                                                                                <w:top w:val="none" w:sz="0" w:space="0" w:color="auto"/>
                                                                                <w:left w:val="none" w:sz="0" w:space="0" w:color="auto"/>
                                                                                <w:bottom w:val="none" w:sz="0" w:space="0" w:color="auto"/>
                                                                                <w:right w:val="none" w:sz="0" w:space="0" w:color="auto"/>
                                                                              </w:divBdr>
                                                                              <w:divsChild>
                                                                                <w:div w:id="16063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856561">
      <w:bodyDiv w:val="1"/>
      <w:marLeft w:val="0"/>
      <w:marRight w:val="0"/>
      <w:marTop w:val="0"/>
      <w:marBottom w:val="0"/>
      <w:divBdr>
        <w:top w:val="none" w:sz="0" w:space="0" w:color="auto"/>
        <w:left w:val="none" w:sz="0" w:space="0" w:color="auto"/>
        <w:bottom w:val="none" w:sz="0" w:space="0" w:color="auto"/>
        <w:right w:val="none" w:sz="0" w:space="0" w:color="auto"/>
      </w:divBdr>
      <w:divsChild>
        <w:div w:id="1347905284">
          <w:marLeft w:val="0"/>
          <w:marRight w:val="0"/>
          <w:marTop w:val="0"/>
          <w:marBottom w:val="0"/>
          <w:divBdr>
            <w:top w:val="none" w:sz="0" w:space="0" w:color="auto"/>
            <w:left w:val="none" w:sz="0" w:space="0" w:color="auto"/>
            <w:bottom w:val="none" w:sz="0" w:space="0" w:color="auto"/>
            <w:right w:val="none" w:sz="0" w:space="0" w:color="auto"/>
          </w:divBdr>
          <w:divsChild>
            <w:div w:id="1277178031">
              <w:marLeft w:val="0"/>
              <w:marRight w:val="0"/>
              <w:marTop w:val="0"/>
              <w:marBottom w:val="0"/>
              <w:divBdr>
                <w:top w:val="none" w:sz="0" w:space="0" w:color="auto"/>
                <w:left w:val="none" w:sz="0" w:space="0" w:color="auto"/>
                <w:bottom w:val="none" w:sz="0" w:space="0" w:color="auto"/>
                <w:right w:val="none" w:sz="0" w:space="0" w:color="auto"/>
              </w:divBdr>
              <w:divsChild>
                <w:div w:id="1725714780">
                  <w:marLeft w:val="0"/>
                  <w:marRight w:val="0"/>
                  <w:marTop w:val="0"/>
                  <w:marBottom w:val="0"/>
                  <w:divBdr>
                    <w:top w:val="none" w:sz="0" w:space="0" w:color="auto"/>
                    <w:left w:val="none" w:sz="0" w:space="0" w:color="auto"/>
                    <w:bottom w:val="none" w:sz="0" w:space="0" w:color="auto"/>
                    <w:right w:val="none" w:sz="0" w:space="0" w:color="auto"/>
                  </w:divBdr>
                  <w:divsChild>
                    <w:div w:id="924414266">
                      <w:marLeft w:val="0"/>
                      <w:marRight w:val="0"/>
                      <w:marTop w:val="45"/>
                      <w:marBottom w:val="0"/>
                      <w:divBdr>
                        <w:top w:val="none" w:sz="0" w:space="0" w:color="auto"/>
                        <w:left w:val="none" w:sz="0" w:space="0" w:color="auto"/>
                        <w:bottom w:val="none" w:sz="0" w:space="0" w:color="auto"/>
                        <w:right w:val="none" w:sz="0" w:space="0" w:color="auto"/>
                      </w:divBdr>
                      <w:divsChild>
                        <w:div w:id="35592692">
                          <w:marLeft w:val="0"/>
                          <w:marRight w:val="0"/>
                          <w:marTop w:val="0"/>
                          <w:marBottom w:val="0"/>
                          <w:divBdr>
                            <w:top w:val="none" w:sz="0" w:space="0" w:color="auto"/>
                            <w:left w:val="none" w:sz="0" w:space="0" w:color="auto"/>
                            <w:bottom w:val="none" w:sz="0" w:space="0" w:color="auto"/>
                            <w:right w:val="none" w:sz="0" w:space="0" w:color="auto"/>
                          </w:divBdr>
                          <w:divsChild>
                            <w:div w:id="1656951299">
                              <w:marLeft w:val="2070"/>
                              <w:marRight w:val="3960"/>
                              <w:marTop w:val="0"/>
                              <w:marBottom w:val="0"/>
                              <w:divBdr>
                                <w:top w:val="none" w:sz="0" w:space="0" w:color="auto"/>
                                <w:left w:val="none" w:sz="0" w:space="0" w:color="auto"/>
                                <w:bottom w:val="none" w:sz="0" w:space="0" w:color="auto"/>
                                <w:right w:val="none" w:sz="0" w:space="0" w:color="auto"/>
                              </w:divBdr>
                              <w:divsChild>
                                <w:div w:id="1973972572">
                                  <w:marLeft w:val="0"/>
                                  <w:marRight w:val="0"/>
                                  <w:marTop w:val="0"/>
                                  <w:marBottom w:val="0"/>
                                  <w:divBdr>
                                    <w:top w:val="none" w:sz="0" w:space="0" w:color="auto"/>
                                    <w:left w:val="none" w:sz="0" w:space="0" w:color="auto"/>
                                    <w:bottom w:val="none" w:sz="0" w:space="0" w:color="auto"/>
                                    <w:right w:val="none" w:sz="0" w:space="0" w:color="auto"/>
                                  </w:divBdr>
                                  <w:divsChild>
                                    <w:div w:id="652762899">
                                      <w:marLeft w:val="0"/>
                                      <w:marRight w:val="0"/>
                                      <w:marTop w:val="0"/>
                                      <w:marBottom w:val="0"/>
                                      <w:divBdr>
                                        <w:top w:val="none" w:sz="0" w:space="0" w:color="auto"/>
                                        <w:left w:val="none" w:sz="0" w:space="0" w:color="auto"/>
                                        <w:bottom w:val="none" w:sz="0" w:space="0" w:color="auto"/>
                                        <w:right w:val="none" w:sz="0" w:space="0" w:color="auto"/>
                                      </w:divBdr>
                                      <w:divsChild>
                                        <w:div w:id="921064295">
                                          <w:marLeft w:val="0"/>
                                          <w:marRight w:val="0"/>
                                          <w:marTop w:val="0"/>
                                          <w:marBottom w:val="0"/>
                                          <w:divBdr>
                                            <w:top w:val="none" w:sz="0" w:space="0" w:color="auto"/>
                                            <w:left w:val="none" w:sz="0" w:space="0" w:color="auto"/>
                                            <w:bottom w:val="none" w:sz="0" w:space="0" w:color="auto"/>
                                            <w:right w:val="none" w:sz="0" w:space="0" w:color="auto"/>
                                          </w:divBdr>
                                          <w:divsChild>
                                            <w:div w:id="319968457">
                                              <w:marLeft w:val="0"/>
                                              <w:marRight w:val="0"/>
                                              <w:marTop w:val="90"/>
                                              <w:marBottom w:val="0"/>
                                              <w:divBdr>
                                                <w:top w:val="none" w:sz="0" w:space="0" w:color="auto"/>
                                                <w:left w:val="none" w:sz="0" w:space="0" w:color="auto"/>
                                                <w:bottom w:val="none" w:sz="0" w:space="0" w:color="auto"/>
                                                <w:right w:val="none" w:sz="0" w:space="0" w:color="auto"/>
                                              </w:divBdr>
                                              <w:divsChild>
                                                <w:div w:id="1881622653">
                                                  <w:marLeft w:val="0"/>
                                                  <w:marRight w:val="0"/>
                                                  <w:marTop w:val="0"/>
                                                  <w:marBottom w:val="0"/>
                                                  <w:divBdr>
                                                    <w:top w:val="none" w:sz="0" w:space="0" w:color="auto"/>
                                                    <w:left w:val="none" w:sz="0" w:space="0" w:color="auto"/>
                                                    <w:bottom w:val="none" w:sz="0" w:space="0" w:color="auto"/>
                                                    <w:right w:val="none" w:sz="0" w:space="0" w:color="auto"/>
                                                  </w:divBdr>
                                                  <w:divsChild>
                                                    <w:div w:id="710302175">
                                                      <w:marLeft w:val="0"/>
                                                      <w:marRight w:val="0"/>
                                                      <w:marTop w:val="0"/>
                                                      <w:marBottom w:val="0"/>
                                                      <w:divBdr>
                                                        <w:top w:val="none" w:sz="0" w:space="0" w:color="auto"/>
                                                        <w:left w:val="none" w:sz="0" w:space="0" w:color="auto"/>
                                                        <w:bottom w:val="none" w:sz="0" w:space="0" w:color="auto"/>
                                                        <w:right w:val="none" w:sz="0" w:space="0" w:color="auto"/>
                                                      </w:divBdr>
                                                      <w:divsChild>
                                                        <w:div w:id="953943945">
                                                          <w:marLeft w:val="0"/>
                                                          <w:marRight w:val="0"/>
                                                          <w:marTop w:val="0"/>
                                                          <w:marBottom w:val="390"/>
                                                          <w:divBdr>
                                                            <w:top w:val="none" w:sz="0" w:space="0" w:color="auto"/>
                                                            <w:left w:val="none" w:sz="0" w:space="0" w:color="auto"/>
                                                            <w:bottom w:val="none" w:sz="0" w:space="0" w:color="auto"/>
                                                            <w:right w:val="none" w:sz="0" w:space="0" w:color="auto"/>
                                                          </w:divBdr>
                                                          <w:divsChild>
                                                            <w:div w:id="55862607">
                                                              <w:marLeft w:val="0"/>
                                                              <w:marRight w:val="0"/>
                                                              <w:marTop w:val="0"/>
                                                              <w:marBottom w:val="0"/>
                                                              <w:divBdr>
                                                                <w:top w:val="none" w:sz="0" w:space="0" w:color="auto"/>
                                                                <w:left w:val="none" w:sz="0" w:space="0" w:color="auto"/>
                                                                <w:bottom w:val="none" w:sz="0" w:space="0" w:color="auto"/>
                                                                <w:right w:val="none" w:sz="0" w:space="0" w:color="auto"/>
                                                              </w:divBdr>
                                                              <w:divsChild>
                                                                <w:div w:id="288510058">
                                                                  <w:marLeft w:val="0"/>
                                                                  <w:marRight w:val="0"/>
                                                                  <w:marTop w:val="0"/>
                                                                  <w:marBottom w:val="0"/>
                                                                  <w:divBdr>
                                                                    <w:top w:val="none" w:sz="0" w:space="0" w:color="auto"/>
                                                                    <w:left w:val="none" w:sz="0" w:space="0" w:color="auto"/>
                                                                    <w:bottom w:val="none" w:sz="0" w:space="0" w:color="auto"/>
                                                                    <w:right w:val="none" w:sz="0" w:space="0" w:color="auto"/>
                                                                  </w:divBdr>
                                                                  <w:divsChild>
                                                                    <w:div w:id="288896574">
                                                                      <w:marLeft w:val="0"/>
                                                                      <w:marRight w:val="0"/>
                                                                      <w:marTop w:val="0"/>
                                                                      <w:marBottom w:val="0"/>
                                                                      <w:divBdr>
                                                                        <w:top w:val="none" w:sz="0" w:space="0" w:color="auto"/>
                                                                        <w:left w:val="none" w:sz="0" w:space="0" w:color="auto"/>
                                                                        <w:bottom w:val="none" w:sz="0" w:space="0" w:color="auto"/>
                                                                        <w:right w:val="none" w:sz="0" w:space="0" w:color="auto"/>
                                                                      </w:divBdr>
                                                                      <w:divsChild>
                                                                        <w:div w:id="1285041773">
                                                                          <w:marLeft w:val="0"/>
                                                                          <w:marRight w:val="0"/>
                                                                          <w:marTop w:val="0"/>
                                                                          <w:marBottom w:val="0"/>
                                                                          <w:divBdr>
                                                                            <w:top w:val="none" w:sz="0" w:space="0" w:color="auto"/>
                                                                            <w:left w:val="none" w:sz="0" w:space="0" w:color="auto"/>
                                                                            <w:bottom w:val="none" w:sz="0" w:space="0" w:color="auto"/>
                                                                            <w:right w:val="none" w:sz="0" w:space="0" w:color="auto"/>
                                                                          </w:divBdr>
                                                                          <w:divsChild>
                                                                            <w:div w:id="1627538772">
                                                                              <w:marLeft w:val="0"/>
                                                                              <w:marRight w:val="0"/>
                                                                              <w:marTop w:val="0"/>
                                                                              <w:marBottom w:val="0"/>
                                                                              <w:divBdr>
                                                                                <w:top w:val="none" w:sz="0" w:space="0" w:color="auto"/>
                                                                                <w:left w:val="none" w:sz="0" w:space="0" w:color="auto"/>
                                                                                <w:bottom w:val="none" w:sz="0" w:space="0" w:color="auto"/>
                                                                                <w:right w:val="none" w:sz="0" w:space="0" w:color="auto"/>
                                                                              </w:divBdr>
                                                                              <w:divsChild>
                                                                                <w:div w:id="11611468">
                                                                                  <w:marLeft w:val="0"/>
                                                                                  <w:marRight w:val="0"/>
                                                                                  <w:marTop w:val="0"/>
                                                                                  <w:marBottom w:val="0"/>
                                                                                  <w:divBdr>
                                                                                    <w:top w:val="none" w:sz="0" w:space="0" w:color="auto"/>
                                                                                    <w:left w:val="none" w:sz="0" w:space="0" w:color="auto"/>
                                                                                    <w:bottom w:val="none" w:sz="0" w:space="0" w:color="auto"/>
                                                                                    <w:right w:val="none" w:sz="0" w:space="0" w:color="auto"/>
                                                                                  </w:divBdr>
                                                                                  <w:divsChild>
                                                                                    <w:div w:id="859468998">
                                                                                      <w:marLeft w:val="0"/>
                                                                                      <w:marRight w:val="0"/>
                                                                                      <w:marTop w:val="0"/>
                                                                                      <w:marBottom w:val="0"/>
                                                                                      <w:divBdr>
                                                                                        <w:top w:val="none" w:sz="0" w:space="0" w:color="auto"/>
                                                                                        <w:left w:val="none" w:sz="0" w:space="0" w:color="auto"/>
                                                                                        <w:bottom w:val="none" w:sz="0" w:space="0" w:color="auto"/>
                                                                                        <w:right w:val="none" w:sz="0" w:space="0" w:color="auto"/>
                                                                                      </w:divBdr>
                                                                                      <w:divsChild>
                                                                                        <w:div w:id="693844764">
                                                                                          <w:marLeft w:val="0"/>
                                                                                          <w:marRight w:val="0"/>
                                                                                          <w:marTop w:val="0"/>
                                                                                          <w:marBottom w:val="0"/>
                                                                                          <w:divBdr>
                                                                                            <w:top w:val="none" w:sz="0" w:space="0" w:color="auto"/>
                                                                                            <w:left w:val="none" w:sz="0" w:space="0" w:color="auto"/>
                                                                                            <w:bottom w:val="none" w:sz="0" w:space="0" w:color="auto"/>
                                                                                            <w:right w:val="none" w:sz="0" w:space="0" w:color="auto"/>
                                                                                          </w:divBdr>
                                                                                          <w:divsChild>
                                                                                            <w:div w:id="442578976">
                                                                                              <w:marLeft w:val="0"/>
                                                                                              <w:marRight w:val="0"/>
                                                                                              <w:marTop w:val="0"/>
                                                                                              <w:marBottom w:val="0"/>
                                                                                              <w:divBdr>
                                                                                                <w:top w:val="none" w:sz="0" w:space="0" w:color="auto"/>
                                                                                                <w:left w:val="none" w:sz="0" w:space="0" w:color="auto"/>
                                                                                                <w:bottom w:val="none" w:sz="0" w:space="0" w:color="auto"/>
                                                                                                <w:right w:val="none" w:sz="0" w:space="0" w:color="auto"/>
                                                                                              </w:divBdr>
                                                                                              <w:divsChild>
                                                                                                <w:div w:id="445076189">
                                                                                                  <w:marLeft w:val="0"/>
                                                                                                  <w:marRight w:val="0"/>
                                                                                                  <w:marTop w:val="0"/>
                                                                                                  <w:marBottom w:val="0"/>
                                                                                                  <w:divBdr>
                                                                                                    <w:top w:val="none" w:sz="0" w:space="0" w:color="auto"/>
                                                                                                    <w:left w:val="none" w:sz="0" w:space="0" w:color="auto"/>
                                                                                                    <w:bottom w:val="none" w:sz="0" w:space="0" w:color="auto"/>
                                                                                                    <w:right w:val="none" w:sz="0" w:space="0" w:color="auto"/>
                                                                                                  </w:divBdr>
                                                                                                  <w:divsChild>
                                                                                                    <w:div w:id="2026592169">
                                                                                                      <w:marLeft w:val="0"/>
                                                                                                      <w:marRight w:val="0"/>
                                                                                                      <w:marTop w:val="0"/>
                                                                                                      <w:marBottom w:val="0"/>
                                                                                                      <w:divBdr>
                                                                                                        <w:top w:val="none" w:sz="0" w:space="0" w:color="auto"/>
                                                                                                        <w:left w:val="none" w:sz="0" w:space="0" w:color="auto"/>
                                                                                                        <w:bottom w:val="none" w:sz="0" w:space="0" w:color="auto"/>
                                                                                                        <w:right w:val="none" w:sz="0" w:space="0" w:color="auto"/>
                                                                                                      </w:divBdr>
                                                                                                      <w:divsChild>
                                                                                                        <w:div w:id="919368658">
                                                                                                          <w:marLeft w:val="0"/>
                                                                                                          <w:marRight w:val="0"/>
                                                                                                          <w:marTop w:val="0"/>
                                                                                                          <w:marBottom w:val="0"/>
                                                                                                          <w:divBdr>
                                                                                                            <w:top w:val="none" w:sz="0" w:space="0" w:color="auto"/>
                                                                                                            <w:left w:val="none" w:sz="0" w:space="0" w:color="auto"/>
                                                                                                            <w:bottom w:val="none" w:sz="0" w:space="0" w:color="auto"/>
                                                                                                            <w:right w:val="none" w:sz="0" w:space="0" w:color="auto"/>
                                                                                                          </w:divBdr>
                                                                                                          <w:divsChild>
                                                                                                            <w:div w:id="2035884009">
                                                                                                              <w:marLeft w:val="300"/>
                                                                                                              <w:marRight w:val="0"/>
                                                                                                              <w:marTop w:val="0"/>
                                                                                                              <w:marBottom w:val="0"/>
                                                                                                              <w:divBdr>
                                                                                                                <w:top w:val="none" w:sz="0" w:space="0" w:color="auto"/>
                                                                                                                <w:left w:val="none" w:sz="0" w:space="0" w:color="auto"/>
                                                                                                                <w:bottom w:val="none" w:sz="0" w:space="0" w:color="auto"/>
                                                                                                                <w:right w:val="none" w:sz="0" w:space="0" w:color="auto"/>
                                                                                                              </w:divBdr>
                                                                                                              <w:divsChild>
                                                                                                                <w:div w:id="1883589921">
                                                                                                                  <w:marLeft w:val="-300"/>
                                                                                                                  <w:marRight w:val="0"/>
                                                                                                                  <w:marTop w:val="0"/>
                                                                                                                  <w:marBottom w:val="0"/>
                                                                                                                  <w:divBdr>
                                                                                                                    <w:top w:val="none" w:sz="0" w:space="0" w:color="auto"/>
                                                                                                                    <w:left w:val="none" w:sz="0" w:space="0" w:color="auto"/>
                                                                                                                    <w:bottom w:val="none" w:sz="0" w:space="0" w:color="auto"/>
                                                                                                                    <w:right w:val="none" w:sz="0" w:space="0" w:color="auto"/>
                                                                                                                  </w:divBdr>
                                                                                                                  <w:divsChild>
                                                                                                                    <w:div w:id="16367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404112">
      <w:bodyDiv w:val="1"/>
      <w:marLeft w:val="0"/>
      <w:marRight w:val="0"/>
      <w:marTop w:val="0"/>
      <w:marBottom w:val="0"/>
      <w:divBdr>
        <w:top w:val="none" w:sz="0" w:space="0" w:color="auto"/>
        <w:left w:val="none" w:sz="0" w:space="0" w:color="auto"/>
        <w:bottom w:val="none" w:sz="0" w:space="0" w:color="auto"/>
        <w:right w:val="none" w:sz="0" w:space="0" w:color="auto"/>
      </w:divBdr>
      <w:divsChild>
        <w:div w:id="1598370298">
          <w:marLeft w:val="0"/>
          <w:marRight w:val="0"/>
          <w:marTop w:val="0"/>
          <w:marBottom w:val="0"/>
          <w:divBdr>
            <w:top w:val="none" w:sz="0" w:space="0" w:color="auto"/>
            <w:left w:val="none" w:sz="0" w:space="0" w:color="auto"/>
            <w:bottom w:val="none" w:sz="0" w:space="0" w:color="auto"/>
            <w:right w:val="none" w:sz="0" w:space="0" w:color="auto"/>
          </w:divBdr>
          <w:divsChild>
            <w:div w:id="647825868">
              <w:marLeft w:val="0"/>
              <w:marRight w:val="0"/>
              <w:marTop w:val="0"/>
              <w:marBottom w:val="0"/>
              <w:divBdr>
                <w:top w:val="none" w:sz="0" w:space="0" w:color="auto"/>
                <w:left w:val="none" w:sz="0" w:space="0" w:color="auto"/>
                <w:bottom w:val="none" w:sz="0" w:space="0" w:color="auto"/>
                <w:right w:val="none" w:sz="0" w:space="0" w:color="auto"/>
              </w:divBdr>
              <w:divsChild>
                <w:div w:id="1952736944">
                  <w:marLeft w:val="0"/>
                  <w:marRight w:val="0"/>
                  <w:marTop w:val="0"/>
                  <w:marBottom w:val="0"/>
                  <w:divBdr>
                    <w:top w:val="none" w:sz="0" w:space="0" w:color="auto"/>
                    <w:left w:val="none" w:sz="0" w:space="0" w:color="auto"/>
                    <w:bottom w:val="none" w:sz="0" w:space="0" w:color="auto"/>
                    <w:right w:val="none" w:sz="0" w:space="0" w:color="auto"/>
                  </w:divBdr>
                  <w:divsChild>
                    <w:div w:id="573008923">
                      <w:marLeft w:val="0"/>
                      <w:marRight w:val="0"/>
                      <w:marTop w:val="45"/>
                      <w:marBottom w:val="0"/>
                      <w:divBdr>
                        <w:top w:val="none" w:sz="0" w:space="0" w:color="auto"/>
                        <w:left w:val="none" w:sz="0" w:space="0" w:color="auto"/>
                        <w:bottom w:val="none" w:sz="0" w:space="0" w:color="auto"/>
                        <w:right w:val="none" w:sz="0" w:space="0" w:color="auto"/>
                      </w:divBdr>
                      <w:divsChild>
                        <w:div w:id="1188370845">
                          <w:marLeft w:val="0"/>
                          <w:marRight w:val="0"/>
                          <w:marTop w:val="0"/>
                          <w:marBottom w:val="0"/>
                          <w:divBdr>
                            <w:top w:val="none" w:sz="0" w:space="0" w:color="auto"/>
                            <w:left w:val="none" w:sz="0" w:space="0" w:color="auto"/>
                            <w:bottom w:val="none" w:sz="0" w:space="0" w:color="auto"/>
                            <w:right w:val="none" w:sz="0" w:space="0" w:color="auto"/>
                          </w:divBdr>
                          <w:divsChild>
                            <w:div w:id="633682109">
                              <w:marLeft w:val="2070"/>
                              <w:marRight w:val="3960"/>
                              <w:marTop w:val="0"/>
                              <w:marBottom w:val="0"/>
                              <w:divBdr>
                                <w:top w:val="none" w:sz="0" w:space="0" w:color="auto"/>
                                <w:left w:val="none" w:sz="0" w:space="0" w:color="auto"/>
                                <w:bottom w:val="none" w:sz="0" w:space="0" w:color="auto"/>
                                <w:right w:val="none" w:sz="0" w:space="0" w:color="auto"/>
                              </w:divBdr>
                              <w:divsChild>
                                <w:div w:id="228805758">
                                  <w:marLeft w:val="0"/>
                                  <w:marRight w:val="0"/>
                                  <w:marTop w:val="0"/>
                                  <w:marBottom w:val="0"/>
                                  <w:divBdr>
                                    <w:top w:val="none" w:sz="0" w:space="0" w:color="auto"/>
                                    <w:left w:val="none" w:sz="0" w:space="0" w:color="auto"/>
                                    <w:bottom w:val="none" w:sz="0" w:space="0" w:color="auto"/>
                                    <w:right w:val="none" w:sz="0" w:space="0" w:color="auto"/>
                                  </w:divBdr>
                                  <w:divsChild>
                                    <w:div w:id="959266290">
                                      <w:marLeft w:val="0"/>
                                      <w:marRight w:val="0"/>
                                      <w:marTop w:val="0"/>
                                      <w:marBottom w:val="0"/>
                                      <w:divBdr>
                                        <w:top w:val="none" w:sz="0" w:space="0" w:color="auto"/>
                                        <w:left w:val="none" w:sz="0" w:space="0" w:color="auto"/>
                                        <w:bottom w:val="none" w:sz="0" w:space="0" w:color="auto"/>
                                        <w:right w:val="none" w:sz="0" w:space="0" w:color="auto"/>
                                      </w:divBdr>
                                      <w:divsChild>
                                        <w:div w:id="262959133">
                                          <w:marLeft w:val="0"/>
                                          <w:marRight w:val="0"/>
                                          <w:marTop w:val="0"/>
                                          <w:marBottom w:val="0"/>
                                          <w:divBdr>
                                            <w:top w:val="none" w:sz="0" w:space="0" w:color="auto"/>
                                            <w:left w:val="none" w:sz="0" w:space="0" w:color="auto"/>
                                            <w:bottom w:val="none" w:sz="0" w:space="0" w:color="auto"/>
                                            <w:right w:val="none" w:sz="0" w:space="0" w:color="auto"/>
                                          </w:divBdr>
                                          <w:divsChild>
                                            <w:div w:id="2018732140">
                                              <w:marLeft w:val="0"/>
                                              <w:marRight w:val="0"/>
                                              <w:marTop w:val="90"/>
                                              <w:marBottom w:val="0"/>
                                              <w:divBdr>
                                                <w:top w:val="none" w:sz="0" w:space="0" w:color="auto"/>
                                                <w:left w:val="none" w:sz="0" w:space="0" w:color="auto"/>
                                                <w:bottom w:val="none" w:sz="0" w:space="0" w:color="auto"/>
                                                <w:right w:val="none" w:sz="0" w:space="0" w:color="auto"/>
                                              </w:divBdr>
                                              <w:divsChild>
                                                <w:div w:id="1947931322">
                                                  <w:marLeft w:val="0"/>
                                                  <w:marRight w:val="0"/>
                                                  <w:marTop w:val="0"/>
                                                  <w:marBottom w:val="0"/>
                                                  <w:divBdr>
                                                    <w:top w:val="none" w:sz="0" w:space="0" w:color="auto"/>
                                                    <w:left w:val="none" w:sz="0" w:space="0" w:color="auto"/>
                                                    <w:bottom w:val="none" w:sz="0" w:space="0" w:color="auto"/>
                                                    <w:right w:val="none" w:sz="0" w:space="0" w:color="auto"/>
                                                  </w:divBdr>
                                                  <w:divsChild>
                                                    <w:div w:id="1939632793">
                                                      <w:marLeft w:val="0"/>
                                                      <w:marRight w:val="0"/>
                                                      <w:marTop w:val="0"/>
                                                      <w:marBottom w:val="0"/>
                                                      <w:divBdr>
                                                        <w:top w:val="none" w:sz="0" w:space="0" w:color="auto"/>
                                                        <w:left w:val="none" w:sz="0" w:space="0" w:color="auto"/>
                                                        <w:bottom w:val="none" w:sz="0" w:space="0" w:color="auto"/>
                                                        <w:right w:val="none" w:sz="0" w:space="0" w:color="auto"/>
                                                      </w:divBdr>
                                                      <w:divsChild>
                                                        <w:div w:id="1889023840">
                                                          <w:marLeft w:val="0"/>
                                                          <w:marRight w:val="0"/>
                                                          <w:marTop w:val="0"/>
                                                          <w:marBottom w:val="390"/>
                                                          <w:divBdr>
                                                            <w:top w:val="none" w:sz="0" w:space="0" w:color="auto"/>
                                                            <w:left w:val="none" w:sz="0" w:space="0" w:color="auto"/>
                                                            <w:bottom w:val="none" w:sz="0" w:space="0" w:color="auto"/>
                                                            <w:right w:val="none" w:sz="0" w:space="0" w:color="auto"/>
                                                          </w:divBdr>
                                                          <w:divsChild>
                                                            <w:div w:id="1058675006">
                                                              <w:marLeft w:val="0"/>
                                                              <w:marRight w:val="0"/>
                                                              <w:marTop w:val="0"/>
                                                              <w:marBottom w:val="0"/>
                                                              <w:divBdr>
                                                                <w:top w:val="none" w:sz="0" w:space="0" w:color="auto"/>
                                                                <w:left w:val="none" w:sz="0" w:space="0" w:color="auto"/>
                                                                <w:bottom w:val="none" w:sz="0" w:space="0" w:color="auto"/>
                                                                <w:right w:val="none" w:sz="0" w:space="0" w:color="auto"/>
                                                              </w:divBdr>
                                                              <w:divsChild>
                                                                <w:div w:id="204953197">
                                                                  <w:marLeft w:val="0"/>
                                                                  <w:marRight w:val="0"/>
                                                                  <w:marTop w:val="0"/>
                                                                  <w:marBottom w:val="0"/>
                                                                  <w:divBdr>
                                                                    <w:top w:val="none" w:sz="0" w:space="0" w:color="auto"/>
                                                                    <w:left w:val="none" w:sz="0" w:space="0" w:color="auto"/>
                                                                    <w:bottom w:val="none" w:sz="0" w:space="0" w:color="auto"/>
                                                                    <w:right w:val="none" w:sz="0" w:space="0" w:color="auto"/>
                                                                  </w:divBdr>
                                                                  <w:divsChild>
                                                                    <w:div w:id="19671527">
                                                                      <w:marLeft w:val="0"/>
                                                                      <w:marRight w:val="0"/>
                                                                      <w:marTop w:val="0"/>
                                                                      <w:marBottom w:val="0"/>
                                                                      <w:divBdr>
                                                                        <w:top w:val="none" w:sz="0" w:space="0" w:color="auto"/>
                                                                        <w:left w:val="none" w:sz="0" w:space="0" w:color="auto"/>
                                                                        <w:bottom w:val="none" w:sz="0" w:space="0" w:color="auto"/>
                                                                        <w:right w:val="none" w:sz="0" w:space="0" w:color="auto"/>
                                                                      </w:divBdr>
                                                                      <w:divsChild>
                                                                        <w:div w:id="838033948">
                                                                          <w:marLeft w:val="0"/>
                                                                          <w:marRight w:val="0"/>
                                                                          <w:marTop w:val="0"/>
                                                                          <w:marBottom w:val="0"/>
                                                                          <w:divBdr>
                                                                            <w:top w:val="none" w:sz="0" w:space="0" w:color="auto"/>
                                                                            <w:left w:val="none" w:sz="0" w:space="0" w:color="auto"/>
                                                                            <w:bottom w:val="none" w:sz="0" w:space="0" w:color="auto"/>
                                                                            <w:right w:val="none" w:sz="0" w:space="0" w:color="auto"/>
                                                                          </w:divBdr>
                                                                          <w:divsChild>
                                                                            <w:div w:id="495533912">
                                                                              <w:marLeft w:val="0"/>
                                                                              <w:marRight w:val="0"/>
                                                                              <w:marTop w:val="0"/>
                                                                              <w:marBottom w:val="0"/>
                                                                              <w:divBdr>
                                                                                <w:top w:val="none" w:sz="0" w:space="0" w:color="auto"/>
                                                                                <w:left w:val="none" w:sz="0" w:space="0" w:color="auto"/>
                                                                                <w:bottom w:val="none" w:sz="0" w:space="0" w:color="auto"/>
                                                                                <w:right w:val="none" w:sz="0" w:space="0" w:color="auto"/>
                                                                              </w:divBdr>
                                                                              <w:divsChild>
                                                                                <w:div w:id="2039116402">
                                                                                  <w:marLeft w:val="0"/>
                                                                                  <w:marRight w:val="0"/>
                                                                                  <w:marTop w:val="0"/>
                                                                                  <w:marBottom w:val="0"/>
                                                                                  <w:divBdr>
                                                                                    <w:top w:val="none" w:sz="0" w:space="0" w:color="auto"/>
                                                                                    <w:left w:val="none" w:sz="0" w:space="0" w:color="auto"/>
                                                                                    <w:bottom w:val="none" w:sz="0" w:space="0" w:color="auto"/>
                                                                                    <w:right w:val="none" w:sz="0" w:space="0" w:color="auto"/>
                                                                                  </w:divBdr>
                                                                                  <w:divsChild>
                                                                                    <w:div w:id="2047021370">
                                                                                      <w:marLeft w:val="0"/>
                                                                                      <w:marRight w:val="0"/>
                                                                                      <w:marTop w:val="0"/>
                                                                                      <w:marBottom w:val="0"/>
                                                                                      <w:divBdr>
                                                                                        <w:top w:val="none" w:sz="0" w:space="0" w:color="auto"/>
                                                                                        <w:left w:val="none" w:sz="0" w:space="0" w:color="auto"/>
                                                                                        <w:bottom w:val="none" w:sz="0" w:space="0" w:color="auto"/>
                                                                                        <w:right w:val="none" w:sz="0" w:space="0" w:color="auto"/>
                                                                                      </w:divBdr>
                                                                                      <w:divsChild>
                                                                                        <w:div w:id="316688946">
                                                                                          <w:marLeft w:val="0"/>
                                                                                          <w:marRight w:val="0"/>
                                                                                          <w:marTop w:val="0"/>
                                                                                          <w:marBottom w:val="0"/>
                                                                                          <w:divBdr>
                                                                                            <w:top w:val="none" w:sz="0" w:space="0" w:color="auto"/>
                                                                                            <w:left w:val="none" w:sz="0" w:space="0" w:color="auto"/>
                                                                                            <w:bottom w:val="none" w:sz="0" w:space="0" w:color="auto"/>
                                                                                            <w:right w:val="none" w:sz="0" w:space="0" w:color="auto"/>
                                                                                          </w:divBdr>
                                                                                          <w:divsChild>
                                                                                            <w:div w:id="1089544528">
                                                                                              <w:marLeft w:val="0"/>
                                                                                              <w:marRight w:val="0"/>
                                                                                              <w:marTop w:val="0"/>
                                                                                              <w:marBottom w:val="0"/>
                                                                                              <w:divBdr>
                                                                                                <w:top w:val="none" w:sz="0" w:space="0" w:color="auto"/>
                                                                                                <w:left w:val="none" w:sz="0" w:space="0" w:color="auto"/>
                                                                                                <w:bottom w:val="none" w:sz="0" w:space="0" w:color="auto"/>
                                                                                                <w:right w:val="none" w:sz="0" w:space="0" w:color="auto"/>
                                                                                              </w:divBdr>
                                                                                              <w:divsChild>
                                                                                                <w:div w:id="1825388039">
                                                                                                  <w:marLeft w:val="0"/>
                                                                                                  <w:marRight w:val="0"/>
                                                                                                  <w:marTop w:val="0"/>
                                                                                                  <w:marBottom w:val="0"/>
                                                                                                  <w:divBdr>
                                                                                                    <w:top w:val="none" w:sz="0" w:space="0" w:color="auto"/>
                                                                                                    <w:left w:val="none" w:sz="0" w:space="0" w:color="auto"/>
                                                                                                    <w:bottom w:val="none" w:sz="0" w:space="0" w:color="auto"/>
                                                                                                    <w:right w:val="none" w:sz="0" w:space="0" w:color="auto"/>
                                                                                                  </w:divBdr>
                                                                                                  <w:divsChild>
                                                                                                    <w:div w:id="2021076821">
                                                                                                      <w:marLeft w:val="0"/>
                                                                                                      <w:marRight w:val="0"/>
                                                                                                      <w:marTop w:val="0"/>
                                                                                                      <w:marBottom w:val="0"/>
                                                                                                      <w:divBdr>
                                                                                                        <w:top w:val="none" w:sz="0" w:space="0" w:color="auto"/>
                                                                                                        <w:left w:val="none" w:sz="0" w:space="0" w:color="auto"/>
                                                                                                        <w:bottom w:val="none" w:sz="0" w:space="0" w:color="auto"/>
                                                                                                        <w:right w:val="none" w:sz="0" w:space="0" w:color="auto"/>
                                                                                                      </w:divBdr>
                                                                                                      <w:divsChild>
                                                                                                        <w:div w:id="708993608">
                                                                                                          <w:marLeft w:val="0"/>
                                                                                                          <w:marRight w:val="0"/>
                                                                                                          <w:marTop w:val="0"/>
                                                                                                          <w:marBottom w:val="0"/>
                                                                                                          <w:divBdr>
                                                                                                            <w:top w:val="none" w:sz="0" w:space="0" w:color="auto"/>
                                                                                                            <w:left w:val="none" w:sz="0" w:space="0" w:color="auto"/>
                                                                                                            <w:bottom w:val="none" w:sz="0" w:space="0" w:color="auto"/>
                                                                                                            <w:right w:val="none" w:sz="0" w:space="0" w:color="auto"/>
                                                                                                          </w:divBdr>
                                                                                                          <w:divsChild>
                                                                                                            <w:div w:id="1236627225">
                                                                                                              <w:marLeft w:val="300"/>
                                                                                                              <w:marRight w:val="0"/>
                                                                                                              <w:marTop w:val="0"/>
                                                                                                              <w:marBottom w:val="0"/>
                                                                                                              <w:divBdr>
                                                                                                                <w:top w:val="none" w:sz="0" w:space="0" w:color="auto"/>
                                                                                                                <w:left w:val="none" w:sz="0" w:space="0" w:color="auto"/>
                                                                                                                <w:bottom w:val="none" w:sz="0" w:space="0" w:color="auto"/>
                                                                                                                <w:right w:val="none" w:sz="0" w:space="0" w:color="auto"/>
                                                                                                              </w:divBdr>
                                                                                                              <w:divsChild>
                                                                                                                <w:div w:id="384649466">
                                                                                                                  <w:marLeft w:val="0"/>
                                                                                                                  <w:marRight w:val="0"/>
                                                                                                                  <w:marTop w:val="0"/>
                                                                                                                  <w:marBottom w:val="0"/>
                                                                                                                  <w:divBdr>
                                                                                                                    <w:top w:val="none" w:sz="0" w:space="0" w:color="auto"/>
                                                                                                                    <w:left w:val="none" w:sz="0" w:space="0" w:color="auto"/>
                                                                                                                    <w:bottom w:val="none" w:sz="0" w:space="0" w:color="auto"/>
                                                                                                                    <w:right w:val="none" w:sz="0" w:space="0" w:color="auto"/>
                                                                                                                  </w:divBdr>
                                                                                                                  <w:divsChild>
                                                                                                                    <w:div w:id="12132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4764465">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15964-39A2-4266-92E5-8ECD2E349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16848</TotalTime>
  <Pages>9</Pages>
  <Words>2680</Words>
  <Characters>15281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17926</CharactersWithSpaces>
  <SharedDoc>false</SharedDoc>
  <HLinks>
    <vt:vector size="12" baseType="variant">
      <vt:variant>
        <vt:i4>5832710</vt:i4>
      </vt:variant>
      <vt:variant>
        <vt:i4>15</vt:i4>
      </vt:variant>
      <vt:variant>
        <vt:i4>0</vt:i4>
      </vt:variant>
      <vt:variant>
        <vt:i4>5</vt:i4>
      </vt:variant>
      <vt:variant>
        <vt:lpwstr>http://www.jstor.org.ezproxy.uwtsd.ac.uk/action/doAdvancedSearch?si=1&amp;Query=au%3A%22Th.+G.+Sinnige%22&amp;f4=all&amp;c2=AND&amp;c6=AND&amp;group=none&amp;q0=Sinnige&amp;f5=all&amp;c1=AND&amp;c3=AND&amp;q1=Plotinus&amp;c4=AND&amp;c5=AND&amp;f3=all&amp;f0=au&amp;f1=all&amp;f6=all&amp;f2=all&amp;acc=on</vt:lpwstr>
      </vt:variant>
      <vt:variant>
        <vt:lpwstr/>
      </vt:variant>
      <vt:variant>
        <vt:i4>2949155</vt:i4>
      </vt:variant>
      <vt:variant>
        <vt:i4>12</vt:i4>
      </vt:variant>
      <vt:variant>
        <vt:i4>0</vt:i4>
      </vt:variant>
      <vt:variant>
        <vt:i4>5</vt:i4>
      </vt:variant>
      <vt:variant>
        <vt:lpwstr>http://www.jstor.org.ezproxy.uwtsd.ac.uk/stable/10.2307/1584657?Search=yes&amp;resultItemClick=true&amp;searchText=Sinnige&amp;searchText=Plotinus&amp;searchUri=%2Faction%2FdoAdvancedSearch%3Ff4%3Dall%26amp%3Bpt%3D%26amp%3Bq6%3D%26amp%3Bsd%3D%26amp%3Bed%3D%26amp%3Bq3%3D%26amp%3Bc2%3DAND%26amp%3Bc6%3DAND%26amp%3Bc1%3DAND%26amp%3Bgroup%3Dnone%26amp%3Bf0%3Dau%26amp%3Bc5%3DAND%26amp%3Bc3%3DAND%26amp%3Bq1%3DPlotinus%26amp%3Bc4%3DAND%26amp%3Bf3%3Dall%26amp%3Bq5%3D%26amp%3Bisbn%3D%26amp%3Bf1%3Dall%26amp%3Bf6%3Dall%26amp%3Bf2%3Dall%26amp%3Bacc%3Don%26amp%3Bf5%3Dall%26amp%3Bq2%3D%26amp%3Bq0%3DSinnige%26amp%3Bla%3D%26amp%3Bq4%3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Hilda Hermann</cp:lastModifiedBy>
  <cp:revision>576</cp:revision>
  <cp:lastPrinted>2019-03-04T14:22:00Z</cp:lastPrinted>
  <dcterms:created xsi:type="dcterms:W3CDTF">2018-03-21T17:32:00Z</dcterms:created>
  <dcterms:modified xsi:type="dcterms:W3CDTF">2019-03-04T15:58:00Z</dcterms:modified>
</cp:coreProperties>
</file>