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5"/>
        <w:gridCol w:w="1294"/>
        <w:gridCol w:w="2604"/>
        <w:gridCol w:w="2886"/>
        <w:gridCol w:w="2729"/>
        <w:gridCol w:w="2840"/>
      </w:tblGrid>
      <w:tr w:rsidR="00BA018A" w:rsidRPr="00BA018A" w14:paraId="224CF313" w14:textId="77777777" w:rsidTr="00BA018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5C1B884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Topic</w:t>
            </w:r>
          </w:p>
        </w:tc>
        <w:tc>
          <w:tcPr>
            <w:tcW w:w="0" w:type="auto"/>
            <w:vAlign w:val="center"/>
            <w:hideMark/>
          </w:tcPr>
          <w:p w14:paraId="03D08F3A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Paradigm</w:t>
            </w:r>
          </w:p>
        </w:tc>
        <w:tc>
          <w:tcPr>
            <w:tcW w:w="0" w:type="auto"/>
            <w:vAlign w:val="center"/>
            <w:hideMark/>
          </w:tcPr>
          <w:p w14:paraId="73134D6E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Ontology</w:t>
            </w:r>
          </w:p>
        </w:tc>
        <w:tc>
          <w:tcPr>
            <w:tcW w:w="0" w:type="auto"/>
            <w:vAlign w:val="center"/>
            <w:hideMark/>
          </w:tcPr>
          <w:p w14:paraId="468E58FD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Epistemology</w:t>
            </w:r>
          </w:p>
        </w:tc>
        <w:tc>
          <w:tcPr>
            <w:tcW w:w="0" w:type="auto"/>
            <w:vAlign w:val="center"/>
            <w:hideMark/>
          </w:tcPr>
          <w:p w14:paraId="5DF8CEA1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Axiology</w:t>
            </w:r>
          </w:p>
        </w:tc>
        <w:tc>
          <w:tcPr>
            <w:tcW w:w="0" w:type="auto"/>
            <w:vAlign w:val="center"/>
            <w:hideMark/>
          </w:tcPr>
          <w:p w14:paraId="2D1BE5D5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Methodology</w:t>
            </w:r>
          </w:p>
        </w:tc>
      </w:tr>
      <w:tr w:rsidR="00BA018A" w:rsidRPr="00BA018A" w14:paraId="344A2099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5D972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1. Digital Marketing &amp; Consumer Behaviour</w:t>
            </w:r>
          </w:p>
        </w:tc>
        <w:tc>
          <w:tcPr>
            <w:tcW w:w="0" w:type="auto"/>
            <w:vAlign w:val="center"/>
            <w:hideMark/>
          </w:tcPr>
          <w:p w14:paraId="4A43D76F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Positivist</w:t>
            </w:r>
          </w:p>
        </w:tc>
        <w:tc>
          <w:tcPr>
            <w:tcW w:w="0" w:type="auto"/>
            <w:vAlign w:val="center"/>
            <w:hideMark/>
          </w:tcPr>
          <w:p w14:paraId="27ACA241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Single objective reality exists regarding consumer behaviour and trust. Consumer responses to AI personalisation can be measured as definitive facts.</w:t>
            </w:r>
          </w:p>
        </w:tc>
        <w:tc>
          <w:tcPr>
            <w:tcW w:w="0" w:type="auto"/>
            <w:vAlign w:val="center"/>
            <w:hideMark/>
          </w:tcPr>
          <w:p w14:paraId="24D964CB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Knowledge can be measured objectively through consumer responses. The relationship between personalisation features and trust can be scientifically observed and measured.</w:t>
            </w:r>
          </w:p>
        </w:tc>
        <w:tc>
          <w:tcPr>
            <w:tcW w:w="0" w:type="auto"/>
            <w:vAlign w:val="center"/>
            <w:hideMark/>
          </w:tcPr>
          <w:p w14:paraId="42FC76AB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Value-free; researcher remains detached from data collection and analysis. The researcher's personal views on AI personalisation do not influence the research process.</w:t>
            </w:r>
          </w:p>
        </w:tc>
        <w:tc>
          <w:tcPr>
            <w:tcW w:w="0" w:type="auto"/>
            <w:vAlign w:val="center"/>
            <w:hideMark/>
          </w:tcPr>
          <w:p w14:paraId="6A615D6D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Quantitative surveys, statistical analysis of consumer behaviour data. Large-scale data collection enables statistical testing of relationships between variables.</w:t>
            </w:r>
          </w:p>
        </w:tc>
      </w:tr>
      <w:tr w:rsidR="00BA018A" w:rsidRPr="00BA018A" w14:paraId="487E2D74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16D0B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10234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Postpositivist</w:t>
            </w:r>
          </w:p>
        </w:tc>
        <w:tc>
          <w:tcPr>
            <w:tcW w:w="0" w:type="auto"/>
            <w:vAlign w:val="center"/>
            <w:hideMark/>
          </w:tcPr>
          <w:p w14:paraId="11CE8279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Reality exists but can only be approximated due to consumer complexity. Consumer behaviour patterns are real but influenced by multiple contextual factors.</w:t>
            </w:r>
          </w:p>
        </w:tc>
        <w:tc>
          <w:tcPr>
            <w:tcW w:w="0" w:type="auto"/>
            <w:vAlign w:val="center"/>
            <w:hideMark/>
          </w:tcPr>
          <w:p w14:paraId="3A701FEB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Probabilistic understanding through multiple measures. Knowledge about personalisation effects is probable rather than absolute, requiring multiple measurement approaches.</w:t>
            </w:r>
          </w:p>
        </w:tc>
        <w:tc>
          <w:tcPr>
            <w:tcW w:w="0" w:type="auto"/>
            <w:vAlign w:val="center"/>
            <w:hideMark/>
          </w:tcPr>
          <w:p w14:paraId="7A854A8B" w14:textId="63326232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Minim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ised</w:t>
            </w: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bias but acknowledges researcher influence. Researcher's experience in digital marketing may shape interpretation but is controlled through rigorous methods.</w:t>
            </w:r>
          </w:p>
        </w:tc>
        <w:tc>
          <w:tcPr>
            <w:tcW w:w="0" w:type="auto"/>
            <w:vAlign w:val="center"/>
            <w:hideMark/>
          </w:tcPr>
          <w:p w14:paraId="66899DF8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Mixed methods, combining surveys with follow-up interviews. Multiple data collection methods provide broader understanding of personalisation impacts.</w:t>
            </w:r>
          </w:p>
        </w:tc>
      </w:tr>
      <w:tr w:rsidR="00BA018A" w:rsidRPr="00BA018A" w14:paraId="315826A4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2865F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2. Sustainable Tourism Management</w:t>
            </w:r>
          </w:p>
        </w:tc>
        <w:tc>
          <w:tcPr>
            <w:tcW w:w="0" w:type="auto"/>
            <w:vAlign w:val="center"/>
            <w:hideMark/>
          </w:tcPr>
          <w:p w14:paraId="1509AC14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Interpretivist</w:t>
            </w:r>
          </w:p>
        </w:tc>
        <w:tc>
          <w:tcPr>
            <w:tcW w:w="0" w:type="auto"/>
            <w:vAlign w:val="center"/>
            <w:hideMark/>
          </w:tcPr>
          <w:p w14:paraId="2F1B2C45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Multiple realities exist based on stakeholder perspectives. Different stakeholders in York experience tourism impacts in uniquely personal ways.</w:t>
            </w:r>
          </w:p>
        </w:tc>
        <w:tc>
          <w:tcPr>
            <w:tcW w:w="0" w:type="auto"/>
            <w:vAlign w:val="center"/>
            <w:hideMark/>
          </w:tcPr>
          <w:p w14:paraId="407E24F7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Knowledge is socially constructed through stakeholder interactions. Understanding of sustainable tourism emerges through dialogue with residents, businesses, and tourists.</w:t>
            </w:r>
          </w:p>
        </w:tc>
        <w:tc>
          <w:tcPr>
            <w:tcW w:w="0" w:type="auto"/>
            <w:vAlign w:val="center"/>
            <w:hideMark/>
          </w:tcPr>
          <w:p w14:paraId="425CDFA9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Value-bound; researcher acknowledges their role in interpretation. The researcher's background in tourism studies shapes their interpretation of stakeholder views.</w:t>
            </w:r>
          </w:p>
        </w:tc>
        <w:tc>
          <w:tcPr>
            <w:tcW w:w="0" w:type="auto"/>
            <w:vAlign w:val="center"/>
            <w:hideMark/>
          </w:tcPr>
          <w:p w14:paraId="7FFD3E9E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Qualitative interviews, focus groups, thematic analysis. Rich data collection through extended engagement with York's tourism stakeholders.</w:t>
            </w:r>
          </w:p>
        </w:tc>
      </w:tr>
      <w:tr w:rsidR="00BA018A" w:rsidRPr="00BA018A" w14:paraId="51AA93A6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F2325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83F372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Pragmatism</w:t>
            </w:r>
          </w:p>
        </w:tc>
        <w:tc>
          <w:tcPr>
            <w:tcW w:w="0" w:type="auto"/>
            <w:vAlign w:val="center"/>
            <w:hideMark/>
          </w:tcPr>
          <w:p w14:paraId="171F2E50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Reality is the practical effect of ideas. Tourism management strategies are real when they produce measurable outcomes in York.</w:t>
            </w:r>
          </w:p>
        </w:tc>
        <w:tc>
          <w:tcPr>
            <w:tcW w:w="0" w:type="auto"/>
            <w:vAlign w:val="center"/>
            <w:hideMark/>
          </w:tcPr>
          <w:p w14:paraId="22407AFF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Knowledge comes from practical application and outcomes. Understanding develops through observing which tourism management approaches work in practice.</w:t>
            </w:r>
          </w:p>
        </w:tc>
        <w:tc>
          <w:tcPr>
            <w:tcW w:w="0" w:type="auto"/>
            <w:vAlign w:val="center"/>
            <w:hideMark/>
          </w:tcPr>
          <w:p w14:paraId="1EBB4A80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Values guide research process and interpretation. Research priorities are shaped by what works for both tourism growth and community wellbeing.</w:t>
            </w:r>
          </w:p>
        </w:tc>
        <w:tc>
          <w:tcPr>
            <w:tcW w:w="0" w:type="auto"/>
            <w:vAlign w:val="center"/>
            <w:hideMark/>
          </w:tcPr>
          <w:p w14:paraId="1225DD61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Mixed methods, case studies, action research. Combining multiple data sources to understand practical effectiveness of tourism strategies.</w:t>
            </w:r>
          </w:p>
        </w:tc>
      </w:tr>
      <w:tr w:rsidR="00BA018A" w:rsidRPr="00BA018A" w14:paraId="6014421D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F371A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3. Strategic Management</w:t>
            </w:r>
          </w:p>
        </w:tc>
        <w:tc>
          <w:tcPr>
            <w:tcW w:w="0" w:type="auto"/>
            <w:vAlign w:val="center"/>
            <w:hideMark/>
          </w:tcPr>
          <w:p w14:paraId="4F219438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Pragmatism</w:t>
            </w:r>
          </w:p>
        </w:tc>
        <w:tc>
          <w:tcPr>
            <w:tcW w:w="0" w:type="auto"/>
            <w:vAlign w:val="center"/>
            <w:hideMark/>
          </w:tcPr>
          <w:p w14:paraId="564015E3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Reality is what works in practice. Digital transformation success is </w:t>
            </w: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>defined by practical outcomes in manufacturing firms.</w:t>
            </w:r>
          </w:p>
        </w:tc>
        <w:tc>
          <w:tcPr>
            <w:tcW w:w="0" w:type="auto"/>
            <w:vAlign w:val="center"/>
            <w:hideMark/>
          </w:tcPr>
          <w:p w14:paraId="739494BB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 xml:space="preserve">Knowledge derived from practical implementation. Understanding comes from </w:t>
            </w: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>observing actual digital transformation processes and outcomes.</w:t>
            </w:r>
          </w:p>
        </w:tc>
        <w:tc>
          <w:tcPr>
            <w:tcW w:w="0" w:type="auto"/>
            <w:vAlign w:val="center"/>
            <w:hideMark/>
          </w:tcPr>
          <w:p w14:paraId="261AC006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 xml:space="preserve">Value-driven focus on practical outcomes. Research choices guided by what helps </w:t>
            </w: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>manufacturers implement digital change.</w:t>
            </w:r>
          </w:p>
        </w:tc>
        <w:tc>
          <w:tcPr>
            <w:tcW w:w="0" w:type="auto"/>
            <w:vAlign w:val="center"/>
            <w:hideMark/>
          </w:tcPr>
          <w:p w14:paraId="6B4563D8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 xml:space="preserve">Mixed methods, case studies, process analysis. Multiple </w:t>
            </w: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>approaches to understand implementation effectiveness.</w:t>
            </w:r>
          </w:p>
        </w:tc>
      </w:tr>
      <w:tr w:rsidR="00BA018A" w:rsidRPr="00BA018A" w14:paraId="53397BE5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93B10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9B9733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Critical Theory</w:t>
            </w:r>
          </w:p>
        </w:tc>
        <w:tc>
          <w:tcPr>
            <w:tcW w:w="0" w:type="auto"/>
            <w:vAlign w:val="center"/>
            <w:hideMark/>
          </w:tcPr>
          <w:p w14:paraId="460456D2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Reality shaped by social, political, economic values. Digital transformation is influenced by power structures within manufacturing firms.</w:t>
            </w:r>
          </w:p>
        </w:tc>
        <w:tc>
          <w:tcPr>
            <w:tcW w:w="0" w:type="auto"/>
            <w:vAlign w:val="center"/>
            <w:hideMark/>
          </w:tcPr>
          <w:p w14:paraId="2F838138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Knowledge is power-mediated. Understanding digital transformation requires examining power dynamics and resource control.</w:t>
            </w:r>
          </w:p>
        </w:tc>
        <w:tc>
          <w:tcPr>
            <w:tcW w:w="0" w:type="auto"/>
            <w:vAlign w:val="center"/>
            <w:hideMark/>
          </w:tcPr>
          <w:p w14:paraId="63010D65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Value-mediated; researcher advocates for change. Research aims to improve digital transformation outcomes for all stakeholders.</w:t>
            </w:r>
          </w:p>
        </w:tc>
        <w:tc>
          <w:tcPr>
            <w:tcW w:w="0" w:type="auto"/>
            <w:vAlign w:val="center"/>
            <w:hideMark/>
          </w:tcPr>
          <w:p w14:paraId="3A6BC38B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Document analysis, critical discourse analysis. Examining how power relations influence digital transformation processes.</w:t>
            </w:r>
          </w:p>
        </w:tc>
      </w:tr>
      <w:tr w:rsidR="00BA018A" w:rsidRPr="00BA018A" w14:paraId="6D168B39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2D635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F09D2D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Constructivist</w:t>
            </w:r>
          </w:p>
        </w:tc>
        <w:tc>
          <w:tcPr>
            <w:tcW w:w="0" w:type="auto"/>
            <w:vAlign w:val="center"/>
            <w:hideMark/>
          </w:tcPr>
          <w:p w14:paraId="34CA8CBB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Multiple constructed realities exist. Each stakeholder group constructs their own understanding of digital transformation.</w:t>
            </w:r>
          </w:p>
        </w:tc>
        <w:tc>
          <w:tcPr>
            <w:tcW w:w="0" w:type="auto"/>
            <w:vAlign w:val="center"/>
            <w:hideMark/>
          </w:tcPr>
          <w:p w14:paraId="5985C36A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Knowledge co-created through interaction. Understanding emerges through dialogue between researchers and manufacturing stakeholders.</w:t>
            </w:r>
          </w:p>
        </w:tc>
        <w:tc>
          <w:tcPr>
            <w:tcW w:w="0" w:type="auto"/>
            <w:vAlign w:val="center"/>
            <w:hideMark/>
          </w:tcPr>
          <w:p w14:paraId="7BA69F68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Value-bound research process. Researcher's manufacturing experience shapes interpretation of findings.</w:t>
            </w:r>
          </w:p>
        </w:tc>
        <w:tc>
          <w:tcPr>
            <w:tcW w:w="0" w:type="auto"/>
            <w:vAlign w:val="center"/>
            <w:hideMark/>
          </w:tcPr>
          <w:p w14:paraId="423E5A2F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Interviews, observation, narrative analysis. Rich data collection through engagement with multiple stakeholders.</w:t>
            </w:r>
          </w:p>
        </w:tc>
      </w:tr>
      <w:tr w:rsidR="00BA018A" w:rsidRPr="00BA018A" w14:paraId="75E2544C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7F4DC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4. Organisational Leadership</w:t>
            </w:r>
          </w:p>
        </w:tc>
        <w:tc>
          <w:tcPr>
            <w:tcW w:w="0" w:type="auto"/>
            <w:vAlign w:val="center"/>
            <w:hideMark/>
          </w:tcPr>
          <w:p w14:paraId="21A945CF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Interpretivist</w:t>
            </w:r>
          </w:p>
        </w:tc>
        <w:tc>
          <w:tcPr>
            <w:tcW w:w="0" w:type="auto"/>
            <w:vAlign w:val="center"/>
            <w:hideMark/>
          </w:tcPr>
          <w:p w14:paraId="75E7DE47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Multiple realities based on manager experiences. Each middle manager experiences hybrid working leadership uniquely.</w:t>
            </w:r>
          </w:p>
        </w:tc>
        <w:tc>
          <w:tcPr>
            <w:tcW w:w="0" w:type="auto"/>
            <w:vAlign w:val="center"/>
            <w:hideMark/>
          </w:tcPr>
          <w:p w14:paraId="5B473FF4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Understanding through interpretation of experiences. Knowledge comes from </w:t>
            </w:r>
            <w:proofErr w:type="spellStart"/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analyzing</w:t>
            </w:r>
            <w:proofErr w:type="spellEnd"/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how managers make sense of hybrid leadership.</w:t>
            </w:r>
          </w:p>
        </w:tc>
        <w:tc>
          <w:tcPr>
            <w:tcW w:w="0" w:type="auto"/>
            <w:vAlign w:val="center"/>
            <w:hideMark/>
          </w:tcPr>
          <w:p w14:paraId="576D5EB6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Value-bound; researcher part of meaning-making. Researcher's leadership experience influences interpretation of manager narratives.</w:t>
            </w:r>
          </w:p>
        </w:tc>
        <w:tc>
          <w:tcPr>
            <w:tcW w:w="0" w:type="auto"/>
            <w:vAlign w:val="center"/>
            <w:hideMark/>
          </w:tcPr>
          <w:p w14:paraId="19D75B9D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In-depth interviews, thematic analysis. Detailed exploration of managers' lived experiences.</w:t>
            </w:r>
          </w:p>
        </w:tc>
      </w:tr>
      <w:tr w:rsidR="00BA018A" w:rsidRPr="00BA018A" w14:paraId="63BFE530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8E5A5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1E8C22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Constructivist</w:t>
            </w:r>
          </w:p>
        </w:tc>
        <w:tc>
          <w:tcPr>
            <w:tcW w:w="0" w:type="auto"/>
            <w:vAlign w:val="center"/>
            <w:hideMark/>
          </w:tcPr>
          <w:p w14:paraId="02F2E01A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Leadership reality socially constructed. Hybrid working practices are created through social interaction and shared understanding.</w:t>
            </w:r>
          </w:p>
        </w:tc>
        <w:tc>
          <w:tcPr>
            <w:tcW w:w="0" w:type="auto"/>
            <w:vAlign w:val="center"/>
            <w:hideMark/>
          </w:tcPr>
          <w:p w14:paraId="3A8C0090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Knowledge created through social interaction. Understanding emerges through examining how leadership practices develop in hybrid environments.</w:t>
            </w:r>
          </w:p>
        </w:tc>
        <w:tc>
          <w:tcPr>
            <w:tcW w:w="0" w:type="auto"/>
            <w:vAlign w:val="center"/>
            <w:hideMark/>
          </w:tcPr>
          <w:p w14:paraId="27FE7A38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Values integral to research process. Researcher's views on hybrid working shape study design and interpretation.</w:t>
            </w:r>
          </w:p>
        </w:tc>
        <w:tc>
          <w:tcPr>
            <w:tcW w:w="0" w:type="auto"/>
            <w:vAlign w:val="center"/>
            <w:hideMark/>
          </w:tcPr>
          <w:p w14:paraId="68A38205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Participant observation, narrative inquiry. Extended engagement with managers in their natural setting.</w:t>
            </w:r>
          </w:p>
        </w:tc>
      </w:tr>
      <w:tr w:rsidR="00BA018A" w:rsidRPr="00BA018A" w14:paraId="0197DC17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84771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5. Business Ethics</w:t>
            </w:r>
          </w:p>
        </w:tc>
        <w:tc>
          <w:tcPr>
            <w:tcW w:w="0" w:type="auto"/>
            <w:vAlign w:val="center"/>
            <w:hideMark/>
          </w:tcPr>
          <w:p w14:paraId="45698E32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Critical Theory</w:t>
            </w:r>
          </w:p>
        </w:tc>
        <w:tc>
          <w:tcPr>
            <w:tcW w:w="0" w:type="auto"/>
            <w:vAlign w:val="center"/>
            <w:hideMark/>
          </w:tcPr>
          <w:p w14:paraId="7D80ED53" w14:textId="2B584BCB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Reality shaped by corporate power structures. Environmental </w:t>
            </w: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>commitments reflect organ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isa</w:t>
            </w: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tional power dynamics.</w:t>
            </w:r>
          </w:p>
        </w:tc>
        <w:tc>
          <w:tcPr>
            <w:tcW w:w="0" w:type="auto"/>
            <w:vAlign w:val="center"/>
            <w:hideMark/>
          </w:tcPr>
          <w:p w14:paraId="561D8F33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 xml:space="preserve">Knowledge reveals power relationships. Understanding comes from examining how </w:t>
            </w: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>power influences environmental actions.</w:t>
            </w:r>
          </w:p>
        </w:tc>
        <w:tc>
          <w:tcPr>
            <w:tcW w:w="0" w:type="auto"/>
            <w:vAlign w:val="center"/>
            <w:hideMark/>
          </w:tcPr>
          <w:p w14:paraId="470B6FB8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 xml:space="preserve">Value-mediated findings promote change. Research aims to improve corporate </w:t>
            </w: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>environmental accountability.</w:t>
            </w:r>
          </w:p>
        </w:tc>
        <w:tc>
          <w:tcPr>
            <w:tcW w:w="0" w:type="auto"/>
            <w:vAlign w:val="center"/>
            <w:hideMark/>
          </w:tcPr>
          <w:p w14:paraId="1CC9B7AB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 xml:space="preserve">Document analysis, critical discourse analysis. Examining </w:t>
            </w: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>how power relations influence environmental reporting.</w:t>
            </w:r>
          </w:p>
        </w:tc>
      </w:tr>
      <w:tr w:rsidR="00BA018A" w:rsidRPr="00BA018A" w14:paraId="5ECBA492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2FDFA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362C53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Positivist</w:t>
            </w:r>
          </w:p>
        </w:tc>
        <w:tc>
          <w:tcPr>
            <w:tcW w:w="0" w:type="auto"/>
            <w:vAlign w:val="center"/>
            <w:hideMark/>
          </w:tcPr>
          <w:p w14:paraId="3D4F3C8D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Objective reality exists in corporate actions. Environmental commitments and actions can be measured objectively.</w:t>
            </w:r>
          </w:p>
        </w:tc>
        <w:tc>
          <w:tcPr>
            <w:tcW w:w="0" w:type="auto"/>
            <w:vAlign w:val="center"/>
            <w:hideMark/>
          </w:tcPr>
          <w:p w14:paraId="23D2C33E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Knowledge measured through evidence. Understanding comes from quantifying the gap between commitments and actions.</w:t>
            </w:r>
          </w:p>
        </w:tc>
        <w:tc>
          <w:tcPr>
            <w:tcW w:w="0" w:type="auto"/>
            <w:vAlign w:val="center"/>
            <w:hideMark/>
          </w:tcPr>
          <w:p w14:paraId="6798E914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Value-free analysis of data. Researcher remains neutral in </w:t>
            </w:r>
            <w:proofErr w:type="spellStart"/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analyzing</w:t>
            </w:r>
            <w:proofErr w:type="spellEnd"/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environmental performance.</w:t>
            </w:r>
          </w:p>
        </w:tc>
        <w:tc>
          <w:tcPr>
            <w:tcW w:w="0" w:type="auto"/>
            <w:vAlign w:val="center"/>
            <w:hideMark/>
          </w:tcPr>
          <w:p w14:paraId="70329003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Content analysis, quantitative metrics. Systematic measurement of environmental claims versus actions.</w:t>
            </w:r>
          </w:p>
        </w:tc>
      </w:tr>
      <w:tr w:rsidR="00BA018A" w:rsidRPr="00BA018A" w14:paraId="7022B131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55B04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6. Supply Chain Management</w:t>
            </w:r>
          </w:p>
        </w:tc>
        <w:tc>
          <w:tcPr>
            <w:tcW w:w="0" w:type="auto"/>
            <w:vAlign w:val="center"/>
            <w:hideMark/>
          </w:tcPr>
          <w:p w14:paraId="42318A76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Pragmatism</w:t>
            </w:r>
          </w:p>
        </w:tc>
        <w:tc>
          <w:tcPr>
            <w:tcW w:w="0" w:type="auto"/>
            <w:vAlign w:val="center"/>
            <w:hideMark/>
          </w:tcPr>
          <w:p w14:paraId="01999AD3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Reality based on practical outcomes. Blockchain effectiveness is determined by real-world supply chain improvements.</w:t>
            </w:r>
          </w:p>
        </w:tc>
        <w:tc>
          <w:tcPr>
            <w:tcW w:w="0" w:type="auto"/>
            <w:vAlign w:val="center"/>
            <w:hideMark/>
          </w:tcPr>
          <w:p w14:paraId="7CD54ED7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Knowledge through practical application. Understanding comes from observing actual blockchain implementation results.</w:t>
            </w:r>
          </w:p>
        </w:tc>
        <w:tc>
          <w:tcPr>
            <w:tcW w:w="0" w:type="auto"/>
            <w:vAlign w:val="center"/>
            <w:hideMark/>
          </w:tcPr>
          <w:p w14:paraId="1E3E852C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Value-oriented towards solutions. Research focuses on practical blockchain benefits and challenges.</w:t>
            </w:r>
          </w:p>
        </w:tc>
        <w:tc>
          <w:tcPr>
            <w:tcW w:w="0" w:type="auto"/>
            <w:vAlign w:val="center"/>
            <w:hideMark/>
          </w:tcPr>
          <w:p w14:paraId="5F8799C3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Mixed methods, process analysis. Multiple approaches to evaluate blockchain implementation.</w:t>
            </w:r>
          </w:p>
        </w:tc>
      </w:tr>
      <w:tr w:rsidR="00BA018A" w:rsidRPr="00BA018A" w14:paraId="7F57640E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49F74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632AF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Positivist</w:t>
            </w:r>
          </w:p>
        </w:tc>
        <w:tc>
          <w:tcPr>
            <w:tcW w:w="0" w:type="auto"/>
            <w:vAlign w:val="center"/>
            <w:hideMark/>
          </w:tcPr>
          <w:p w14:paraId="19231BB3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Single measurable reality exists. Blockchain impacts can be objectively measured and quantified.</w:t>
            </w:r>
          </w:p>
        </w:tc>
        <w:tc>
          <w:tcPr>
            <w:tcW w:w="0" w:type="auto"/>
            <w:vAlign w:val="center"/>
            <w:hideMark/>
          </w:tcPr>
          <w:p w14:paraId="72EA5760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Objective measurement of outcomes. Knowledge comes from measuring specific blockchain performance metrics.</w:t>
            </w:r>
          </w:p>
        </w:tc>
        <w:tc>
          <w:tcPr>
            <w:tcW w:w="0" w:type="auto"/>
            <w:vAlign w:val="center"/>
            <w:hideMark/>
          </w:tcPr>
          <w:p w14:paraId="2326E44E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Value-neutral observation. Researcher remains detached from blockchain implementation process.</w:t>
            </w:r>
          </w:p>
        </w:tc>
        <w:tc>
          <w:tcPr>
            <w:tcW w:w="0" w:type="auto"/>
            <w:vAlign w:val="center"/>
            <w:hideMark/>
          </w:tcPr>
          <w:p w14:paraId="26114381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Quantitative analysis, performance metrics. Systematic measurement of blockchain effectiveness.</w:t>
            </w:r>
          </w:p>
        </w:tc>
      </w:tr>
      <w:tr w:rsidR="00BA018A" w:rsidRPr="00BA018A" w14:paraId="1E48A99B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67621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7. Organisational Behaviour</w:t>
            </w:r>
          </w:p>
        </w:tc>
        <w:tc>
          <w:tcPr>
            <w:tcW w:w="0" w:type="auto"/>
            <w:vAlign w:val="center"/>
            <w:hideMark/>
          </w:tcPr>
          <w:p w14:paraId="4B0EB25E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Interpretivist</w:t>
            </w:r>
          </w:p>
        </w:tc>
        <w:tc>
          <w:tcPr>
            <w:tcW w:w="0" w:type="auto"/>
            <w:vAlign w:val="center"/>
            <w:hideMark/>
          </w:tcPr>
          <w:p w14:paraId="0DDDACF3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Multiple realities of workplace experience. Each neurodiverse professional experiences work uniquely.</w:t>
            </w:r>
          </w:p>
        </w:tc>
        <w:tc>
          <w:tcPr>
            <w:tcW w:w="0" w:type="auto"/>
            <w:vAlign w:val="center"/>
            <w:hideMark/>
          </w:tcPr>
          <w:p w14:paraId="0C408FDE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Understanding through interpretation. Knowledge comes from </w:t>
            </w:r>
            <w:proofErr w:type="spellStart"/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analyzing</w:t>
            </w:r>
            <w:proofErr w:type="spellEnd"/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how neurodiverse professionals experience work.</w:t>
            </w:r>
          </w:p>
        </w:tc>
        <w:tc>
          <w:tcPr>
            <w:tcW w:w="0" w:type="auto"/>
            <w:vAlign w:val="center"/>
            <w:hideMark/>
          </w:tcPr>
          <w:p w14:paraId="23DBE3DC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Value-bound research process. Researcher's views on neurodiversity shape interpretation.</w:t>
            </w:r>
          </w:p>
        </w:tc>
        <w:tc>
          <w:tcPr>
            <w:tcW w:w="0" w:type="auto"/>
            <w:vAlign w:val="center"/>
            <w:hideMark/>
          </w:tcPr>
          <w:p w14:paraId="45C128D7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Phenomenological interviews. Deep exploration of lived experiences.</w:t>
            </w:r>
          </w:p>
        </w:tc>
      </w:tr>
      <w:tr w:rsidR="00BA018A" w:rsidRPr="00BA018A" w14:paraId="4032A930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F6F8E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78908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Critical Theory</w:t>
            </w:r>
          </w:p>
        </w:tc>
        <w:tc>
          <w:tcPr>
            <w:tcW w:w="0" w:type="auto"/>
            <w:vAlign w:val="center"/>
            <w:hideMark/>
          </w:tcPr>
          <w:p w14:paraId="11A0C7B5" w14:textId="0FFCA080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Reality shaped by power structures. Inclusion barriers reflect organ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isa</w:t>
            </w: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tional power dynamics.</w:t>
            </w:r>
          </w:p>
        </w:tc>
        <w:tc>
          <w:tcPr>
            <w:tcW w:w="0" w:type="auto"/>
            <w:vAlign w:val="center"/>
            <w:hideMark/>
          </w:tcPr>
          <w:p w14:paraId="601A2F63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Knowledge reveals inclusion barriers. Understanding comes from examining how power influences inclusion.</w:t>
            </w:r>
          </w:p>
        </w:tc>
        <w:tc>
          <w:tcPr>
            <w:tcW w:w="0" w:type="auto"/>
            <w:vAlign w:val="center"/>
            <w:hideMark/>
          </w:tcPr>
          <w:p w14:paraId="6798D17D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Value-mediated for social change. Research aims to improve workplace inclusion.</w:t>
            </w:r>
          </w:p>
        </w:tc>
        <w:tc>
          <w:tcPr>
            <w:tcW w:w="0" w:type="auto"/>
            <w:vAlign w:val="center"/>
            <w:hideMark/>
          </w:tcPr>
          <w:p w14:paraId="6CA99128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Critical narrative analysis. Examining power relations in workplace experiences.</w:t>
            </w:r>
          </w:p>
        </w:tc>
      </w:tr>
      <w:tr w:rsidR="00BA018A" w:rsidRPr="00BA018A" w14:paraId="3E171099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16170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lastRenderedPageBreak/>
              <w:t>8. Innovation Management</w:t>
            </w:r>
          </w:p>
        </w:tc>
        <w:tc>
          <w:tcPr>
            <w:tcW w:w="0" w:type="auto"/>
            <w:vAlign w:val="center"/>
            <w:hideMark/>
          </w:tcPr>
          <w:p w14:paraId="4E53FF12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Constructivist</w:t>
            </w:r>
          </w:p>
        </w:tc>
        <w:tc>
          <w:tcPr>
            <w:tcW w:w="0" w:type="auto"/>
            <w:vAlign w:val="center"/>
            <w:hideMark/>
          </w:tcPr>
          <w:p w14:paraId="076D3946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Knowledge transfer socially constructed. Digital knowledge transfer shaped by family business interactions.</w:t>
            </w:r>
          </w:p>
        </w:tc>
        <w:tc>
          <w:tcPr>
            <w:tcW w:w="0" w:type="auto"/>
            <w:vAlign w:val="center"/>
            <w:hideMark/>
          </w:tcPr>
          <w:p w14:paraId="043ADCD8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Understanding through interaction. Knowledge emerges from examining intergenerational relationships.</w:t>
            </w:r>
          </w:p>
        </w:tc>
        <w:tc>
          <w:tcPr>
            <w:tcW w:w="0" w:type="auto"/>
            <w:vAlign w:val="center"/>
            <w:hideMark/>
          </w:tcPr>
          <w:p w14:paraId="6136F69A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Values central to interpretation. Family business dynamics influence research process.</w:t>
            </w:r>
          </w:p>
        </w:tc>
        <w:tc>
          <w:tcPr>
            <w:tcW w:w="0" w:type="auto"/>
            <w:vAlign w:val="center"/>
            <w:hideMark/>
          </w:tcPr>
          <w:p w14:paraId="149F4B43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Case studies, narrative inquiry. Rich exploration of family business knowledge transfer.</w:t>
            </w:r>
          </w:p>
        </w:tc>
      </w:tr>
      <w:tr w:rsidR="00BA018A" w:rsidRPr="00BA018A" w14:paraId="5381C8B6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48D75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138D1A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Interpretivist</w:t>
            </w:r>
          </w:p>
        </w:tc>
        <w:tc>
          <w:tcPr>
            <w:tcW w:w="0" w:type="auto"/>
            <w:vAlign w:val="center"/>
            <w:hideMark/>
          </w:tcPr>
          <w:p w14:paraId="15192937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Multiple family business realities. Each generation experiences knowledge transfer differently.</w:t>
            </w:r>
          </w:p>
        </w:tc>
        <w:tc>
          <w:tcPr>
            <w:tcW w:w="0" w:type="auto"/>
            <w:vAlign w:val="center"/>
            <w:hideMark/>
          </w:tcPr>
          <w:p w14:paraId="014EE5BF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Knowledge through interpretation. Understanding comes from </w:t>
            </w:r>
            <w:proofErr w:type="spellStart"/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analyzing</w:t>
            </w:r>
            <w:proofErr w:type="spellEnd"/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generational perspectives.</w:t>
            </w:r>
          </w:p>
        </w:tc>
        <w:tc>
          <w:tcPr>
            <w:tcW w:w="0" w:type="auto"/>
            <w:vAlign w:val="center"/>
            <w:hideMark/>
          </w:tcPr>
          <w:p w14:paraId="4AD07DCB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Value-bound understanding. Researcher's family business experience shapes interpretation.</w:t>
            </w:r>
          </w:p>
        </w:tc>
        <w:tc>
          <w:tcPr>
            <w:tcW w:w="0" w:type="auto"/>
            <w:vAlign w:val="center"/>
            <w:hideMark/>
          </w:tcPr>
          <w:p w14:paraId="3B76B16F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In-depth interviews, thematic analysis. Detailed exploration of knowledge transfer processes.</w:t>
            </w:r>
          </w:p>
        </w:tc>
      </w:tr>
      <w:tr w:rsidR="00BA018A" w:rsidRPr="00BA018A" w14:paraId="4D4B9650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DE2B5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9. Corporate Governance</w:t>
            </w:r>
          </w:p>
        </w:tc>
        <w:tc>
          <w:tcPr>
            <w:tcW w:w="0" w:type="auto"/>
            <w:vAlign w:val="center"/>
            <w:hideMark/>
          </w:tcPr>
          <w:p w14:paraId="0AEF0583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Positivist</w:t>
            </w:r>
          </w:p>
        </w:tc>
        <w:tc>
          <w:tcPr>
            <w:tcW w:w="0" w:type="auto"/>
            <w:vAlign w:val="center"/>
            <w:hideMark/>
          </w:tcPr>
          <w:p w14:paraId="0EB31835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Objective reality in governance relationships. Board diversity impacts can be measured objectively.</w:t>
            </w:r>
          </w:p>
        </w:tc>
        <w:tc>
          <w:tcPr>
            <w:tcW w:w="0" w:type="auto"/>
            <w:vAlign w:val="center"/>
            <w:hideMark/>
          </w:tcPr>
          <w:p w14:paraId="07B463C7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Measurable knowledge exists. Understanding comes from quantifying diversity-disclosure relationships.</w:t>
            </w:r>
          </w:p>
        </w:tc>
        <w:tc>
          <w:tcPr>
            <w:tcW w:w="0" w:type="auto"/>
            <w:vAlign w:val="center"/>
            <w:hideMark/>
          </w:tcPr>
          <w:p w14:paraId="2E647773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Value-free analysis. Researcher remains neutral in </w:t>
            </w:r>
            <w:proofErr w:type="spellStart"/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analyzing</w:t>
            </w:r>
            <w:proofErr w:type="spellEnd"/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governance patterns.</w:t>
            </w:r>
          </w:p>
        </w:tc>
        <w:tc>
          <w:tcPr>
            <w:tcW w:w="0" w:type="auto"/>
            <w:vAlign w:val="center"/>
            <w:hideMark/>
          </w:tcPr>
          <w:p w14:paraId="5F474C6B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Statistical analysis, content analysis. Systematic measurement of diversity impacts.</w:t>
            </w:r>
          </w:p>
        </w:tc>
      </w:tr>
      <w:tr w:rsidR="00BA018A" w:rsidRPr="00BA018A" w14:paraId="5A85831D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2550D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5B356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Critical Theory</w:t>
            </w:r>
          </w:p>
        </w:tc>
        <w:tc>
          <w:tcPr>
            <w:tcW w:w="0" w:type="auto"/>
            <w:vAlign w:val="center"/>
            <w:hideMark/>
          </w:tcPr>
          <w:p w14:paraId="5A8D9506" w14:textId="1FC0AFD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Reality shaped by power dynamics. Board composition reflects organ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isa</w:t>
            </w: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tional power structures.</w:t>
            </w:r>
          </w:p>
        </w:tc>
        <w:tc>
          <w:tcPr>
            <w:tcW w:w="0" w:type="auto"/>
            <w:vAlign w:val="center"/>
            <w:hideMark/>
          </w:tcPr>
          <w:p w14:paraId="049AFC85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Knowledge reveals governance structures. Understanding comes from examining power in governance.</w:t>
            </w:r>
          </w:p>
        </w:tc>
        <w:tc>
          <w:tcPr>
            <w:tcW w:w="0" w:type="auto"/>
            <w:vAlign w:val="center"/>
            <w:hideMark/>
          </w:tcPr>
          <w:p w14:paraId="48D63F07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Value-mediated findings. Research aims to improve governance practices.</w:t>
            </w:r>
          </w:p>
        </w:tc>
        <w:tc>
          <w:tcPr>
            <w:tcW w:w="0" w:type="auto"/>
            <w:vAlign w:val="center"/>
            <w:hideMark/>
          </w:tcPr>
          <w:p w14:paraId="5E3CB8AC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Critical discourse analysis. Examining power relations in governance.</w:t>
            </w:r>
          </w:p>
        </w:tc>
      </w:tr>
      <w:tr w:rsidR="00BA018A" w:rsidRPr="00BA018A" w14:paraId="245BADE2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3C733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10. Hospitality Management</w:t>
            </w:r>
          </w:p>
        </w:tc>
        <w:tc>
          <w:tcPr>
            <w:tcW w:w="0" w:type="auto"/>
            <w:vAlign w:val="center"/>
            <w:hideMark/>
          </w:tcPr>
          <w:p w14:paraId="5EFDDD4C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Pragmatism</w:t>
            </w:r>
          </w:p>
        </w:tc>
        <w:tc>
          <w:tcPr>
            <w:tcW w:w="0" w:type="auto"/>
            <w:vAlign w:val="center"/>
            <w:hideMark/>
          </w:tcPr>
          <w:p w14:paraId="4C1F8A6B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Reality based on practical service outcomes. Digital innovation success determined by guest satisfaction.</w:t>
            </w:r>
          </w:p>
        </w:tc>
        <w:tc>
          <w:tcPr>
            <w:tcW w:w="0" w:type="auto"/>
            <w:vAlign w:val="center"/>
            <w:hideMark/>
          </w:tcPr>
          <w:p w14:paraId="710E1498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Knowledge through practical implementation. Understanding comes from observing service innovation results.</w:t>
            </w:r>
          </w:p>
        </w:tc>
        <w:tc>
          <w:tcPr>
            <w:tcW w:w="0" w:type="auto"/>
            <w:vAlign w:val="center"/>
            <w:hideMark/>
          </w:tcPr>
          <w:p w14:paraId="4438F05F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Value-oriented towards solutions. Research focuses on practical service improvements.</w:t>
            </w:r>
          </w:p>
        </w:tc>
        <w:tc>
          <w:tcPr>
            <w:tcW w:w="0" w:type="auto"/>
            <w:vAlign w:val="center"/>
            <w:hideMark/>
          </w:tcPr>
          <w:p w14:paraId="576A4EBE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Mixed methods, case studies. Multiple approaches to evaluate service innovation.</w:t>
            </w:r>
          </w:p>
        </w:tc>
      </w:tr>
      <w:tr w:rsidR="00BA018A" w:rsidRPr="00BA018A" w14:paraId="172B7C63" w14:textId="77777777" w:rsidTr="00BA0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A8F4A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80212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Interpretivist</w:t>
            </w:r>
          </w:p>
        </w:tc>
        <w:tc>
          <w:tcPr>
            <w:tcW w:w="0" w:type="auto"/>
            <w:vAlign w:val="center"/>
            <w:hideMark/>
          </w:tcPr>
          <w:p w14:paraId="0F042D81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Multiple </w:t>
            </w:r>
            <w:proofErr w:type="gramStart"/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guest</w:t>
            </w:r>
            <w:proofErr w:type="gramEnd"/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experience realities. Each guest experiences digital services uniquely.</w:t>
            </w:r>
          </w:p>
        </w:tc>
        <w:tc>
          <w:tcPr>
            <w:tcW w:w="0" w:type="auto"/>
            <w:vAlign w:val="center"/>
            <w:hideMark/>
          </w:tcPr>
          <w:p w14:paraId="2E5273D9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Understanding through interpretation. Knowledge comes from </w:t>
            </w:r>
            <w:proofErr w:type="spellStart"/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analyzing</w:t>
            </w:r>
            <w:proofErr w:type="spellEnd"/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how guests perceive service innovations.</w:t>
            </w:r>
          </w:p>
        </w:tc>
        <w:tc>
          <w:tcPr>
            <w:tcW w:w="0" w:type="auto"/>
            <w:vAlign w:val="center"/>
            <w:hideMark/>
          </w:tcPr>
          <w:p w14:paraId="2C331856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Value-bound research process. Researcher's hospitality experience shapes interpretation.</w:t>
            </w:r>
          </w:p>
        </w:tc>
        <w:tc>
          <w:tcPr>
            <w:tcW w:w="0" w:type="auto"/>
            <w:vAlign w:val="center"/>
            <w:hideMark/>
          </w:tcPr>
          <w:p w14:paraId="3F39602D" w14:textId="77777777" w:rsidR="00BA018A" w:rsidRPr="00BA018A" w:rsidRDefault="00BA018A" w:rsidP="00BA018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BA018A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Qualitative interviews, observation. Rich exploration of guest experiences.</w:t>
            </w:r>
          </w:p>
        </w:tc>
      </w:tr>
    </w:tbl>
    <w:p w14:paraId="2E8EF4F4" w14:textId="77777777" w:rsidR="00447586" w:rsidRPr="00BA018A" w:rsidRDefault="00447586" w:rsidP="00BA018A">
      <w:pPr>
        <w:rPr>
          <w:rFonts w:ascii="Calibri" w:hAnsi="Calibri" w:cs="Calibri"/>
          <w:sz w:val="22"/>
          <w:szCs w:val="22"/>
        </w:rPr>
      </w:pPr>
    </w:p>
    <w:sectPr w:rsidR="00447586" w:rsidRPr="00BA018A" w:rsidSect="00BA018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18A"/>
    <w:rsid w:val="00447586"/>
    <w:rsid w:val="005F3F8D"/>
    <w:rsid w:val="00BA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F410E"/>
  <w15:chartTrackingRefBased/>
  <w15:docId w15:val="{ACBD4023-0C97-4E95-B74A-32ABF25D4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01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01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01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01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01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01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01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01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01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01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01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01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01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01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01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01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01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01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01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01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01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01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01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01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01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01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01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01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01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92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1524</Words>
  <Characters>8693</Characters>
  <Application>Microsoft Office Word</Application>
  <DocSecurity>0</DocSecurity>
  <Lines>72</Lines>
  <Paragraphs>20</Paragraphs>
  <ScaleCrop>false</ScaleCrop>
  <Company/>
  <LinksUpToDate>false</LinksUpToDate>
  <CharactersWithSpaces>10197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2025-01-19T12:44:00Z</dcterms:created>
  <dcterms:modified xsi:type="dcterms:W3CDTF">2025-01-19T12:49:00Z</dcterms:modified>
</cp:coreProperties>
</file>