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eastAsiaTheme="minorHAnsi"/>
          <w:color w:val="5B9BD5" w:themeColor="accent1"/>
          <w:lang w:val="en-GB"/>
          <w14:textFill>
            <w14:solidFill>
              <w14:schemeClr w14:val="accent1"/>
            </w14:solidFill>
          </w14:textFill>
        </w:rPr>
        <w:id w:val="-1522475554"/>
        <w:docPartObj>
          <w:docPartGallery w:val="autotext"/>
        </w:docPartObj>
      </w:sdtPr>
      <w:sdtEndPr>
        <w:rPr>
          <w:rFonts w:ascii="Times New Roman" w:hAnsi="Times New Roman" w:cs="Times New Roman" w:eastAsiaTheme="minorHAnsi"/>
          <w:color w:val="auto"/>
          <w:sz w:val="24"/>
          <w:szCs w:val="24"/>
          <w:lang w:val="en-GB"/>
        </w:rPr>
      </w:sdtEndPr>
      <w:sdtContent>
        <w:p>
          <w:pPr>
            <w:pStyle w:val="15"/>
            <w:spacing w:before="1540" w:after="240"/>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pPr>
            <w:pStyle w:val="15"/>
            <w:pBdr>
              <w:top w:val="single" w:color="5B9BD5" w:themeColor="accent1" w:sz="6" w:space="6"/>
              <w:bottom w:val="single" w:color="5B9BD5" w:themeColor="accent1" w:sz="6" w:space="6"/>
            </w:pBdr>
            <w:spacing w:after="240"/>
            <w:jc w:val="center"/>
            <w:rPr>
              <w:color w:val="000000" w:themeColor="text1"/>
              <w:sz w:val="28"/>
              <w:szCs w:val="28"/>
              <w14:textFill>
                <w14:solidFill>
                  <w14:schemeClr w14:val="tx1"/>
                </w14:solidFill>
              </w14:textFill>
            </w:rPr>
          </w:pPr>
          <w:r>
            <w:rPr>
              <w:rFonts w:asciiTheme="majorHAnsi" w:hAnsiTheme="majorHAnsi" w:eastAsiaTheme="majorEastAsia" w:cstheme="majorBidi"/>
              <w:caps/>
              <w:color w:val="000000" w:themeColor="text1"/>
              <w:sz w:val="72"/>
              <w:szCs w:val="72"/>
              <w14:textFill>
                <w14:solidFill>
                  <w14:schemeClr w14:val="tx1"/>
                </w14:solidFill>
              </w14:textFill>
            </w:rPr>
            <w:t xml:space="preserve">A Critical Assessment of Amazon’s Competitive Environment </w:t>
          </w:r>
          <w:sdt>
            <w:sdtPr>
              <w:rPr>
                <w:color w:val="000000" w:themeColor="text1"/>
                <w:sz w:val="28"/>
                <w:szCs w:val="28"/>
                <w14:textFill>
                  <w14:solidFill>
                    <w14:schemeClr w14:val="tx1"/>
                  </w14:solidFill>
                </w14:textFill>
              </w:rPr>
              <w:alias w:val="Subtitle"/>
              <w:id w:val="328029620"/>
              <w:showingPlcHdr/>
              <w:dataBinding w:prefixMappings="xmlns:ns0='http://purl.org/dc/elements/1.1/' xmlns:ns1='http://schemas.openxmlformats.org/package/2006/metadata/core-properties' " w:xpath="/ns1:coreProperties[1]/ns0:subject[1]" w:storeItemID="{6C3C8BC8-F283-45AE-878A-BAB7291924A1}"/>
              <w:text/>
            </w:sdtPr>
            <w:sdtEndPr>
              <w:rPr>
                <w:color w:val="000000" w:themeColor="text1"/>
                <w:sz w:val="28"/>
                <w:szCs w:val="28"/>
                <w14:textFill>
                  <w14:solidFill>
                    <w14:schemeClr w14:val="tx1"/>
                  </w14:solidFill>
                </w14:textFill>
              </w:rPr>
            </w:sdtEndPr>
            <w:sdtContent>
              <w:r>
                <w:rPr>
                  <w:color w:val="000000" w:themeColor="text1"/>
                  <w:sz w:val="28"/>
                  <w:szCs w:val="28"/>
                  <w14:textFill>
                    <w14:solidFill>
                      <w14:schemeClr w14:val="tx1"/>
                    </w14:solidFill>
                  </w14:textFill>
                </w:rPr>
                <w:t xml:space="preserve">     </w:t>
              </w:r>
            </w:sdtContent>
          </w:sdt>
        </w:p>
        <w:p>
          <w:pPr>
            <w:pStyle w:val="15"/>
            <w:spacing w:before="480"/>
            <w:jc w:val="center"/>
            <w:rPr>
              <w:rFonts w:eastAsiaTheme="minorHAnsi" w:cstheme="minorHAnsi"/>
              <w:color w:val="000000" w:themeColor="text1"/>
              <w:sz w:val="28"/>
              <w:szCs w:val="24"/>
              <w:lang w:val="en-GB"/>
              <w14:textFill>
                <w14:solidFill>
                  <w14:schemeClr w14:val="tx1"/>
                </w14:solidFill>
              </w14:textFill>
            </w:rPr>
          </w:pPr>
          <w:r>
            <w:rPr>
              <w:rFonts w:hint="eastAsia" w:eastAsiaTheme="minorHAnsi" w:cstheme="minorHAnsi"/>
              <w:color w:val="000000" w:themeColor="text1"/>
              <w:sz w:val="28"/>
              <w:szCs w:val="24"/>
              <w:lang w:val="en-GB"/>
              <w14:textFill>
                <w14:solidFill>
                  <w14:schemeClr w14:val="tx1"/>
                </w14:solidFill>
              </w14:textFill>
            </w:rPr>
            <w:t>Aim: Assess the position of Amazon in the international market and provide recommendations for future decisions</w:t>
          </w:r>
        </w:p>
        <w:p>
          <w:pPr>
            <w:pStyle w:val="15"/>
            <w:spacing w:before="480"/>
            <w:jc w:val="both"/>
            <w:rPr>
              <w:rFonts w:eastAsiaTheme="minorHAnsi" w:cstheme="minorHAnsi"/>
              <w:color w:val="000000" w:themeColor="text1"/>
              <w:sz w:val="28"/>
              <w:szCs w:val="24"/>
              <w:lang w:val="en-GB"/>
              <w14:textFill>
                <w14:solidFill>
                  <w14:schemeClr w14:val="tx1"/>
                </w14:solidFill>
              </w14:textFill>
            </w:rPr>
          </w:pPr>
        </w:p>
        <w:p>
          <w:pPr>
            <w:pStyle w:val="15"/>
            <w:spacing w:before="480"/>
            <w:jc w:val="center"/>
            <w:rPr>
              <w:rFonts w:eastAsiaTheme="minorHAnsi" w:cstheme="minorHAnsi"/>
              <w:color w:val="000000" w:themeColor="text1"/>
              <w:sz w:val="28"/>
              <w:szCs w:val="24"/>
              <w:lang w:val="en-GB"/>
              <w14:textFill>
                <w14:solidFill>
                  <w14:schemeClr w14:val="tx1"/>
                </w14:solidFill>
              </w14:textFill>
            </w:rPr>
          </w:pPr>
          <w:r>
            <w:rPr>
              <w:rFonts w:hint="eastAsia" w:eastAsiaTheme="minorHAnsi" w:cstheme="minorHAnsi"/>
              <w:color w:val="000000" w:themeColor="text1"/>
              <w:sz w:val="28"/>
              <w:szCs w:val="24"/>
              <w:lang w:val="en-GB"/>
              <w14:textFill>
                <w14:solidFill>
                  <w14:schemeClr w14:val="tx1"/>
                </w14:solidFill>
              </w14:textFill>
            </w:rPr>
            <w:t>Student: Suibin YANG</w:t>
          </w:r>
        </w:p>
        <w:p>
          <w:pPr>
            <w:pStyle w:val="15"/>
            <w:spacing w:before="480"/>
            <w:jc w:val="center"/>
            <w:rPr>
              <w:rFonts w:eastAsiaTheme="minorHAnsi" w:cstheme="minorHAnsi"/>
              <w:color w:val="000000" w:themeColor="text1"/>
              <w:sz w:val="28"/>
              <w:szCs w:val="24"/>
              <w:lang w:val="en-GB"/>
              <w14:textFill>
                <w14:solidFill>
                  <w14:schemeClr w14:val="tx1"/>
                </w14:solidFill>
              </w14:textFill>
            </w:rPr>
          </w:pPr>
          <w:r>
            <w:rPr>
              <w:rFonts w:hint="eastAsia" w:eastAsiaTheme="minorHAnsi" w:cstheme="minorHAnsi"/>
              <w:color w:val="000000" w:themeColor="text1"/>
              <w:sz w:val="28"/>
              <w:szCs w:val="24"/>
              <w:lang w:val="en-GB"/>
              <w14:textFill>
                <w14:solidFill>
                  <w14:schemeClr w14:val="tx1"/>
                </w14:solidFill>
              </w14:textFill>
            </w:rPr>
            <w:t>Student’s Number:2227824</w:t>
          </w:r>
        </w:p>
        <w:p>
          <w:pPr>
            <w:pStyle w:val="15"/>
            <w:spacing w:before="480"/>
            <w:jc w:val="center"/>
            <w:rPr>
              <w:rFonts w:eastAsiaTheme="minorHAnsi" w:cstheme="minorHAnsi"/>
              <w:color w:val="000000" w:themeColor="text1"/>
              <w:sz w:val="28"/>
              <w:szCs w:val="24"/>
              <w:lang w:val="en-GB"/>
              <w14:textFill>
                <w14:solidFill>
                  <w14:schemeClr w14:val="tx1"/>
                </w14:solidFill>
              </w14:textFill>
            </w:rPr>
          </w:pPr>
          <w:r>
            <w:rPr>
              <w:rFonts w:hint="eastAsia" w:eastAsiaTheme="minorHAnsi" w:cstheme="minorHAnsi"/>
              <w:color w:val="000000" w:themeColor="text1"/>
              <w:sz w:val="28"/>
              <w:szCs w:val="24"/>
              <w:lang w:val="en-GB"/>
              <w14:textFill>
                <w14:solidFill>
                  <w14:schemeClr w14:val="tx1"/>
                </w14:solidFill>
              </w14:textFill>
            </w:rPr>
            <w:t>Global Business Challenges (BMMB 7006)</w:t>
          </w:r>
        </w:p>
        <w:p>
          <w:pPr>
            <w:pStyle w:val="15"/>
            <w:spacing w:before="480"/>
            <w:jc w:val="center"/>
            <w:rPr>
              <w:rFonts w:cstheme="minorHAnsi"/>
              <w:color w:val="000000" w:themeColor="text1"/>
              <w:sz w:val="28"/>
              <w:szCs w:val="24"/>
              <w14:textFill>
                <w14:solidFill>
                  <w14:schemeClr w14:val="tx1"/>
                </w14:solidFill>
              </w14:textFill>
            </w:rPr>
          </w:pPr>
          <w:r>
            <w:rPr>
              <w:rFonts w:eastAsiaTheme="minorHAnsi" w:cstheme="minorHAnsi"/>
              <w:color w:val="000000" w:themeColor="text1"/>
              <w:sz w:val="28"/>
              <w:szCs w:val="24"/>
              <w:lang w:val="en-GB"/>
              <w14:textFill>
                <w14:solidFill>
                  <w14:schemeClr w14:val="tx1"/>
                </w14:solidFill>
              </w14:textFill>
            </w:rPr>
            <w:t>BMMB7006</w:t>
          </w:r>
        </w:p>
        <w:p>
          <w:pPr>
            <w:pStyle w:val="15"/>
            <w:spacing w:before="480"/>
            <w:jc w:val="center"/>
            <w:rPr>
              <w:color w:val="000000" w:themeColor="text1"/>
              <w14:textFill>
                <w14:solidFill>
                  <w14:schemeClr w14:val="tx1"/>
                </w14:solidFill>
              </w14:textFill>
            </w:rPr>
          </w:pPr>
          <w:r>
            <w:rPr>
              <w:color w:val="000000" w:themeColor="text1"/>
              <w14:textFill>
                <w14:solidFill>
                  <w14:schemeClr w14:val="tx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58992727"/>
                                  <w:showingPlcHdr/>
                                  <w:dataBinding w:prefixMappings="xmlns:ns0='http://schemas.microsoft.com/office/2006/coverPageProps' " w:xpath="/ns0:CoverPageProperties[1]/ns0:PublishDate[1]" w:storeItemID="{55AF091B-3C7A-41E3-B477-F2FDAA23CFDA}"/>
                                  <w:date w:fullDate="2023-11-30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5"/>
                                      <w:spacing w:after="40"/>
                                      <w:jc w:val="center"/>
                                      <w:rPr>
                                        <w:caps/>
                                        <w:color w:val="5B9BD5" w:themeColor="accent1"/>
                                        <w:sz w:val="28"/>
                                        <w:szCs w:val="28"/>
                                        <w14:textFill>
                                          <w14:solidFill>
                                            <w14:schemeClr w14:val="accent1"/>
                                          </w14:solidFill>
                                        </w14:textFill>
                                      </w:rPr>
                                    </w:pPr>
                                    <w:r>
                                      <w:rPr>
                                        <w:caps/>
                                        <w:color w:val="5B9BD5" w:themeColor="accent1"/>
                                        <w:sz w:val="28"/>
                                        <w:szCs w:val="28"/>
                                        <w14:textFill>
                                          <w14:solidFill>
                                            <w14:schemeClr w14:val="accent1"/>
                                          </w14:solidFill>
                                        </w14:textFill>
                                      </w:rPr>
                                      <w:t xml:space="preserve">     </w:t>
                                    </w:r>
                                  </w:p>
                                </w:sdtContent>
                              </w:sdt>
                              <w:p>
                                <w:pPr>
                                  <w:pStyle w:val="15"/>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202722205"/>
                                    <w:showingPlcHdr/>
                                    <w: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14:textFill>
                                          <w14:solidFill>
                                            <w14:schemeClr w14:val="accent1"/>
                                          </w14:solidFill>
                                        </w14:textFill>
                                      </w:rPr>
                                      <w:t xml:space="preserve">     </w:t>
                                    </w:r>
                                  </w:sdtContent>
                                </w:sdt>
                              </w:p>
                              <w:p>
                                <w:pPr>
                                  <w:pStyle w:val="15"/>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1871447282"/>
                                    <w:showingPlcHdr/>
                                    <w: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Text Box 142" o:spid="_x0000_s1026" o:spt="202" type="#_x0000_t202" style="position:absolute;left:0pt;margin-left:72pt;margin-top:715.6pt;height:46.45pt;width:451.3pt;mso-position-horizontal-relative:page;mso-position-vertical-relative:page;z-index:251659264;v-text-anchor:bottom;mso-width-relative:margin;mso-height-relative:page;mso-width-percent:1000;" filled="f" stroked="f" coordsize="21600,21600" o:gfxdata="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JMIHEjWAAAABAEAAA8AAAAAAAAAAQAgAAAAIgAAAGRycy9kb3ducmV2LnhtbFBLAQIUABQA&#10;AAAIAIdO4kBmP0cWKwIAAGcEAAAOAAAAAAAAAAEAIAAAACUBAABkcnMvZTJvRG9jLnhtbFBLBQYA&#10;AAAABgAGAFkBAADCBQ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58992727"/>
                            <w:showingPlcHdr/>
                            <w:dataBinding w:prefixMappings="xmlns:ns0='http://schemas.microsoft.com/office/2006/coverPageProps' " w:xpath="/ns0:CoverPageProperties[1]/ns0:PublishDate[1]" w:storeItemID="{55AF091B-3C7A-41E3-B477-F2FDAA23CFDA}"/>
                            <w:date w:fullDate="2023-11-30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5"/>
                                <w:spacing w:after="40"/>
                                <w:jc w:val="center"/>
                                <w:rPr>
                                  <w:caps/>
                                  <w:color w:val="5B9BD5" w:themeColor="accent1"/>
                                  <w:sz w:val="28"/>
                                  <w:szCs w:val="28"/>
                                  <w14:textFill>
                                    <w14:solidFill>
                                      <w14:schemeClr w14:val="accent1"/>
                                    </w14:solidFill>
                                  </w14:textFill>
                                </w:rPr>
                              </w:pPr>
                              <w:r>
                                <w:rPr>
                                  <w:caps/>
                                  <w:color w:val="5B9BD5" w:themeColor="accent1"/>
                                  <w:sz w:val="28"/>
                                  <w:szCs w:val="28"/>
                                  <w14:textFill>
                                    <w14:solidFill>
                                      <w14:schemeClr w14:val="accent1"/>
                                    </w14:solidFill>
                                  </w14:textFill>
                                </w:rPr>
                                <w:t xml:space="preserve">     </w:t>
                              </w:r>
                            </w:p>
                          </w:sdtContent>
                        </w:sdt>
                        <w:p>
                          <w:pPr>
                            <w:pStyle w:val="15"/>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202722205"/>
                              <w:showingPlcHdr/>
                              <w: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14:textFill>
                                    <w14:solidFill>
                                      <w14:schemeClr w14:val="accent1"/>
                                    </w14:solidFill>
                                  </w14:textFill>
                                </w:rPr>
                                <w:t xml:space="preserve">     </w:t>
                              </w:r>
                            </w:sdtContent>
                          </w:sdt>
                        </w:p>
                        <w:p>
                          <w:pPr>
                            <w:pStyle w:val="15"/>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1871447282"/>
                              <w:showingPlcHdr/>
                              <w: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r>
            <w:rPr>
              <w:color w:val="000000" w:themeColor="text1"/>
              <w14:textFill>
                <w14:solidFill>
                  <w14:schemeClr w14:val="tx1"/>
                </w14:solidFill>
              </w14:textFill>
            </w:rPr>
            <w:drawing>
              <wp:inline distT="0" distB="0" distL="0" distR="0">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pStyle w:val="2"/>
            <w:rPr>
              <w:color w:val="000000" w:themeColor="text1"/>
              <w14:textFill>
                <w14:solidFill>
                  <w14:schemeClr w14:val="tx1"/>
                </w14:solidFill>
              </w14:textFill>
            </w:rPr>
          </w:pPr>
          <w:r>
            <w:rPr>
              <w:color w:val="000000" w:themeColor="text1"/>
              <w14:textFill>
                <w14:solidFill>
                  <w14:schemeClr w14:val="tx1"/>
                </w14:solidFill>
              </w14:textFill>
            </w:rPr>
            <w:br w:type="page"/>
          </w:r>
          <w:bookmarkStart w:id="0" w:name="_Toc12078"/>
          <w:r>
            <w:rPr>
              <w:color w:val="000000" w:themeColor="text1"/>
              <w14:textFill>
                <w14:solidFill>
                  <w14:schemeClr w14:val="tx1"/>
                </w14:solidFill>
              </w14:textFill>
            </w:rPr>
            <w:t>Executive Summary</w:t>
          </w:r>
          <w:bookmarkEnd w:id="0"/>
        </w:p>
        <w:p>
          <w:pPr>
            <w:spacing w:line="480" w:lineRule="auto"/>
            <w:ind w:firstLine="240" w:firstLineChars="100"/>
            <w:jc w:val="both"/>
            <w:rPr>
              <w:rFonts w:ascii="Times New Roman" w:hAnsi="Times New Roman" w:cs="Times New Roman"/>
              <w:color w:val="000000" w:themeColor="text1"/>
              <w:sz w:val="24"/>
              <w:szCs w:val="24"/>
              <w14:textFill>
                <w14:solidFill>
                  <w14:schemeClr w14:val="tx1"/>
                </w14:solidFill>
              </w14:textFill>
            </w:rPr>
          </w:pPr>
          <w:bookmarkStart w:id="1" w:name="OLE_LINK470"/>
          <w:bookmarkStart w:id="2" w:name="OLE_LINK469"/>
          <w:r>
            <w:rPr>
              <w:rFonts w:ascii="Times New Roman" w:hAnsi="Times New Roman" w:cs="Times New Roman"/>
              <w:color w:val="000000" w:themeColor="text1"/>
              <w:sz w:val="24"/>
              <w:szCs w:val="24"/>
              <w14:textFill>
                <w14:solidFill>
                  <w14:schemeClr w14:val="tx1"/>
                </w14:solidFill>
              </w14:textFill>
            </w:rPr>
            <w:t>This report assesses the current environmental forces impacting Amazon and their implications for the organization. It is structured into sections, beginning with a concise overview of Amazon's operations and achievements. The subsequent section focuses on the discussion and analysis of Amazon's current environmental forces, emphasizing the effects of these factors on the organization. Proposals for effectively managing various aspects of the organization's environment are also presented.</w:t>
          </w:r>
        </w:p>
        <w:p>
          <w:pPr>
            <w:spacing w:line="480" w:lineRule="auto"/>
            <w:ind w:firstLine="240" w:firstLineChars="10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Through a critical examination, this paper concludes that organizations must prioritize understanding present and future trends to gain a competitive advantage and outperform market rivals. The significance of considering both internal and external factors within an industry is emphasized due to their substantial influence on a firm's success.</w:t>
          </w:r>
        </w:p>
        <w:p>
          <w:pPr>
            <w:spacing w:line="480" w:lineRule="auto"/>
            <w:ind w:firstLine="240" w:firstLineChars="10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Drawing on the findings of the PEST</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LE</w:t>
          </w:r>
          <w:r>
            <w:rPr>
              <w:rFonts w:ascii="Times New Roman" w:hAnsi="Times New Roman" w:cs="Times New Roman"/>
              <w:color w:val="000000" w:themeColor="text1"/>
              <w:sz w:val="24"/>
              <w:szCs w:val="24"/>
              <w14:textFill>
                <w14:solidFill>
                  <w14:schemeClr w14:val="tx1"/>
                </w14:solidFill>
              </w14:textFill>
            </w:rPr>
            <w:t xml:space="preserve"> analysis, multiple factors influencing Amazon's operations are identified. For instance, increasing internet accessibility, advancements in online payment services, and the significant growth of social media marketing have all contributed to the widespread popularity of e-commerce and online shopping through Amazon. Additionally, the report highlights the potential advantages for Amazon in leveraging economic opportunities in underdeveloped nations.</w:t>
          </w:r>
        </w:p>
        <w:p>
          <w:pPr>
            <w:spacing w:line="480" w:lineRule="auto"/>
            <w:ind w:firstLine="240" w:firstLineChars="100"/>
            <w:jc w:val="both"/>
            <w:rPr>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Overall, the report underscores the importance of comprehending and effectively managing the environmental forces impacting Amazon to ensure sustained success in the dynamic business landscape.</w:t>
          </w:r>
          <w:r>
            <w:rPr>
              <w:color w:val="000000" w:themeColor="text1"/>
              <w:sz w:val="24"/>
              <w:szCs w:val="24"/>
              <w14:textFill>
                <w14:solidFill>
                  <w14:schemeClr w14:val="tx1"/>
                </w14:solidFill>
              </w14:textFill>
            </w:rPr>
            <w:t xml:space="preserve"> </w:t>
          </w:r>
        </w:p>
        <w:bookmarkEnd w:id="1"/>
        <w:bookmarkEnd w:id="2"/>
        <w:p>
          <w:pPr>
            <w:spacing w:line="480" w:lineRule="auto"/>
            <w:rPr>
              <w:color w:val="000000" w:themeColor="text1"/>
              <w14:textFill>
                <w14:solidFill>
                  <w14:schemeClr w14:val="tx1"/>
                </w14:solidFill>
              </w14:textFill>
            </w:rPr>
          </w:pPr>
        </w:p>
        <w:p>
          <w:pPr>
            <w:spacing w:line="480" w:lineRule="auto"/>
            <w:rPr>
              <w:color w:val="000000" w:themeColor="text1"/>
              <w14:textFill>
                <w14:solidFill>
                  <w14:schemeClr w14:val="tx1"/>
                </w14:solidFill>
              </w14:textFill>
            </w:rPr>
          </w:pPr>
        </w:p>
        <w:p>
          <w:pPr>
            <w:spacing w:line="480" w:lineRule="auto"/>
            <w:rPr>
              <w:color w:val="000000" w:themeColor="text1"/>
              <w14:textFill>
                <w14:solidFill>
                  <w14:schemeClr w14:val="tx1"/>
                </w14:solidFill>
              </w14:textFill>
            </w:rPr>
          </w:pPr>
        </w:p>
        <w:p>
          <w:pPr>
            <w:spacing w:line="480" w:lineRule="auto"/>
            <w:rPr>
              <w:color w:val="000000" w:themeColor="text1"/>
              <w14:textFill>
                <w14:solidFill>
                  <w14:schemeClr w14:val="tx1"/>
                </w14:solidFill>
              </w14:textFill>
            </w:rPr>
          </w:pPr>
        </w:p>
        <w:sdt>
          <w:sdtPr>
            <w:rPr>
              <w:rFonts w:asciiTheme="minorHAnsi" w:hAnsiTheme="minorHAnsi" w:eastAsiaTheme="minorHAnsi" w:cstheme="minorBidi"/>
              <w:b w:val="0"/>
              <w:color w:val="000000" w:themeColor="text1"/>
              <w:sz w:val="22"/>
              <w:szCs w:val="22"/>
              <w:lang w:val="en-GB"/>
              <w14:textFill>
                <w14:solidFill>
                  <w14:schemeClr w14:val="tx1"/>
                </w14:solidFill>
              </w14:textFill>
            </w:rPr>
            <w:id w:val="-1297214018"/>
            <w:docPartObj>
              <w:docPartGallery w:val="Table of Contents"/>
              <w:docPartUnique/>
            </w:docPartObj>
          </w:sdtPr>
          <w:sdtEndPr>
            <w:rPr>
              <w:rFonts w:ascii="Times New Roman" w:hAnsi="Times New Roman" w:cs="Times New Roman" w:eastAsiaTheme="minorHAnsi"/>
              <w:b w:val="0"/>
              <w:bCs/>
              <w:color w:val="000000" w:themeColor="text1"/>
              <w:sz w:val="24"/>
              <w:szCs w:val="22"/>
              <w:lang w:val="en-GB"/>
              <w14:textFill>
                <w14:solidFill>
                  <w14:schemeClr w14:val="tx1"/>
                </w14:solidFill>
              </w14:textFill>
            </w:rPr>
          </w:sdtEndPr>
          <w:sdtContent>
            <w:p>
              <w:pPr>
                <w:pStyle w:val="18"/>
                <w:rPr>
                  <w:color w:val="000000" w:themeColor="text1"/>
                  <w14:textFill>
                    <w14:solidFill>
                      <w14:schemeClr w14:val="tx1"/>
                    </w14:solidFill>
                  </w14:textFill>
                </w:rPr>
              </w:pPr>
              <w:r>
                <w:rPr>
                  <w:color w:val="000000" w:themeColor="text1"/>
                  <w14:textFill>
                    <w14:solidFill>
                      <w14:schemeClr w14:val="tx1"/>
                    </w14:solidFill>
                  </w14:textFill>
                </w:rPr>
                <w:t>Table of Contents</w:t>
              </w:r>
            </w:p>
            <w:p>
              <w:pPr>
                <w:pStyle w:val="8"/>
                <w:tabs>
                  <w:tab w:val="right" w:leader="dot" w:pos="9026"/>
                </w:tabs>
                <w:rPr>
                  <w:color w:val="000000" w:themeColor="text1"/>
                  <w14:textFill>
                    <w14:solidFill>
                      <w14:schemeClr w14:val="tx1"/>
                    </w14:solidFill>
                  </w14:textFill>
                </w:rPr>
              </w:pPr>
              <w:r>
                <w:rPr>
                  <w:rFonts w:ascii="Times New Roman" w:hAnsi="Times New Roman" w:cs="Times New Roman"/>
                  <w:color w:val="000000" w:themeColor="text1"/>
                  <w:sz w:val="24"/>
                  <w14:textFill>
                    <w14:solidFill>
                      <w14:schemeClr w14:val="tx1"/>
                    </w14:solidFill>
                  </w14:textFill>
                </w:rPr>
                <w:fldChar w:fldCharType="begin"/>
              </w:r>
              <w:r>
                <w:rPr>
                  <w:rFonts w:ascii="Times New Roman" w:hAnsi="Times New Roman" w:cs="Times New Roman"/>
                  <w:color w:val="000000" w:themeColor="text1"/>
                  <w:sz w:val="24"/>
                  <w14:textFill>
                    <w14:solidFill>
                      <w14:schemeClr w14:val="tx1"/>
                    </w14:solidFill>
                  </w14:textFill>
                </w:rPr>
                <w:instrText xml:space="preserve"> TOC \o "1-3" \h \z \u </w:instrText>
              </w:r>
              <w:r>
                <w:rPr>
                  <w:rFonts w:ascii="Times New Roman" w:hAnsi="Times New Roman" w:cs="Times New Roman"/>
                  <w:color w:val="000000" w:themeColor="text1"/>
                  <w:sz w:val="24"/>
                  <w14:textFill>
                    <w14:solidFill>
                      <w14:schemeClr w14:val="tx1"/>
                    </w14:solidFill>
                  </w14:textFill>
                </w:rPr>
                <w:fldChar w:fldCharType="separate"/>
              </w:r>
              <w:r>
                <w:fldChar w:fldCharType="begin"/>
              </w:r>
              <w:r>
                <w:instrText xml:space="preserve"> HYPERLINK \l "_Toc12078" </w:instrText>
              </w:r>
              <w:r>
                <w:fldChar w:fldCharType="separate"/>
              </w:r>
              <w:r>
                <w:rPr>
                  <w:color w:val="000000" w:themeColor="text1"/>
                  <w14:textFill>
                    <w14:solidFill>
                      <w14:schemeClr w14:val="tx1"/>
                    </w14:solidFill>
                  </w14:textFill>
                </w:rPr>
                <w:t>Executive Summary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_Toc12078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8"/>
                <w:tabs>
                  <w:tab w:val="right" w:leader="dot" w:pos="9026"/>
                </w:tabs>
                <w:rPr>
                  <w:color w:val="000000" w:themeColor="text1"/>
                  <w14:textFill>
                    <w14:solidFill>
                      <w14:schemeClr w14:val="tx1"/>
                    </w14:solidFill>
                  </w14:textFill>
                </w:rPr>
              </w:pPr>
              <w:r>
                <w:fldChar w:fldCharType="begin"/>
              </w:r>
              <w:r>
                <w:instrText xml:space="preserve"> HYPERLINK \l "_Toc26779" </w:instrText>
              </w:r>
              <w:r>
                <w:fldChar w:fldCharType="separate"/>
              </w:r>
              <w:r>
                <w:rPr>
                  <w:color w:val="000000" w:themeColor="text1"/>
                  <w14:textFill>
                    <w14:solidFill>
                      <w14:schemeClr w14:val="tx1"/>
                    </w14:solidFill>
                  </w14:textFill>
                </w:rPr>
                <w:t>Introduction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_Toc26779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8"/>
                <w:tabs>
                  <w:tab w:val="right" w:leader="dot" w:pos="9026"/>
                </w:tabs>
                <w:rPr>
                  <w:color w:val="000000" w:themeColor="text1"/>
                  <w14:textFill>
                    <w14:solidFill>
                      <w14:schemeClr w14:val="tx1"/>
                    </w14:solidFill>
                  </w14:textFill>
                </w:rPr>
              </w:pPr>
              <w:r>
                <w:fldChar w:fldCharType="begin"/>
              </w:r>
              <w:r>
                <w:instrText xml:space="preserve"> HYPERLINK \l "_Toc10746" </w:instrText>
              </w:r>
              <w:r>
                <w:fldChar w:fldCharType="separate"/>
              </w:r>
              <w:r>
                <w:rPr>
                  <w:color w:val="000000" w:themeColor="text1"/>
                  <w14:textFill>
                    <w14:solidFill>
                      <w14:schemeClr w14:val="tx1"/>
                    </w14:solidFill>
                  </w14:textFill>
                </w:rPr>
                <w:t>Overview and Background of Amazon Company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_Toc10746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9"/>
                <w:tabs>
                  <w:tab w:val="right" w:leader="dot" w:pos="9026"/>
                </w:tabs>
                <w:rPr>
                  <w:color w:val="000000" w:themeColor="text1"/>
                  <w14:textFill>
                    <w14:solidFill>
                      <w14:schemeClr w14:val="tx1"/>
                    </w14:solidFill>
                  </w14:textFill>
                </w:rPr>
              </w:pPr>
              <w:r>
                <w:fldChar w:fldCharType="begin"/>
              </w:r>
              <w:r>
                <w:instrText xml:space="preserve"> HYPERLINK \l "_Toc10847" </w:instrText>
              </w:r>
              <w:r>
                <w:fldChar w:fldCharType="separate"/>
              </w:r>
              <w:r>
                <w:rPr>
                  <w:color w:val="000000" w:themeColor="text1"/>
                  <w14:textFill>
                    <w14:solidFill>
                      <w14:schemeClr w14:val="tx1"/>
                    </w14:solidFill>
                  </w14:textFill>
                </w:rPr>
                <w:t>Amazon’s E-Commerce Business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_Toc10847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9"/>
                <w:tabs>
                  <w:tab w:val="right" w:leader="dot" w:pos="9026"/>
                </w:tabs>
                <w:rPr>
                  <w:color w:val="000000" w:themeColor="text1"/>
                  <w14:textFill>
                    <w14:solidFill>
                      <w14:schemeClr w14:val="tx1"/>
                    </w14:solidFill>
                  </w14:textFill>
                </w:rPr>
              </w:pPr>
              <w:r>
                <w:fldChar w:fldCharType="begin"/>
              </w:r>
              <w:r>
                <w:instrText xml:space="preserve"> HYPERLINK \l "_Toc29529" </w:instrText>
              </w:r>
              <w:r>
                <w:fldChar w:fldCharType="separate"/>
              </w:r>
              <w:r>
                <w:rPr>
                  <w:color w:val="000000" w:themeColor="text1"/>
                  <w14:textFill>
                    <w14:solidFill>
                      <w14:schemeClr w14:val="tx1"/>
                    </w14:solidFill>
                  </w14:textFill>
                </w:rPr>
                <w:t>Amazon Web Services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_Toc29529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9"/>
                <w:tabs>
                  <w:tab w:val="right" w:leader="dot" w:pos="9026"/>
                </w:tabs>
                <w:rPr>
                  <w:color w:val="000000" w:themeColor="text1"/>
                  <w14:textFill>
                    <w14:solidFill>
                      <w14:schemeClr w14:val="tx1"/>
                    </w14:solidFill>
                  </w14:textFill>
                </w:rPr>
              </w:pPr>
              <w:r>
                <w:fldChar w:fldCharType="begin"/>
              </w:r>
              <w:r>
                <w:instrText xml:space="preserve"> HYPERLINK \l "_Toc13022" </w:instrText>
              </w:r>
              <w:r>
                <w:fldChar w:fldCharType="separate"/>
              </w:r>
              <w:r>
                <w:rPr>
                  <w:color w:val="000000" w:themeColor="text1"/>
                  <w14:textFill>
                    <w14:solidFill>
                      <w14:schemeClr w14:val="tx1"/>
                    </w14:solidFill>
                  </w14:textFill>
                </w:rPr>
                <w:t>Technologies for Homes and Individuals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_Toc13022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8"/>
                <w:tabs>
                  <w:tab w:val="right" w:leader="dot" w:pos="9026"/>
                </w:tabs>
                <w:rPr>
                  <w:color w:val="000000" w:themeColor="text1"/>
                  <w14:textFill>
                    <w14:solidFill>
                      <w14:schemeClr w14:val="tx1"/>
                    </w14:solidFill>
                  </w14:textFill>
                </w:rPr>
              </w:pPr>
              <w:r>
                <w:fldChar w:fldCharType="begin"/>
              </w:r>
              <w:r>
                <w:instrText xml:space="preserve"> HYPERLINK \l "_Toc31267" </w:instrText>
              </w:r>
              <w:r>
                <w:fldChar w:fldCharType="separate"/>
              </w:r>
              <w:r>
                <w:rPr>
                  <w:color w:val="000000" w:themeColor="text1"/>
                  <w14:textFill>
                    <w14:solidFill>
                      <w14:schemeClr w14:val="tx1"/>
                    </w14:solidFill>
                  </w14:textFill>
                </w:rPr>
                <w:t>Main Findings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_Toc31267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8"/>
                <w:tabs>
                  <w:tab w:val="right" w:leader="dot" w:pos="9026"/>
                </w:tabs>
                <w:rPr>
                  <w:color w:val="000000" w:themeColor="text1"/>
                  <w14:textFill>
                    <w14:solidFill>
                      <w14:schemeClr w14:val="tx1"/>
                    </w14:solidFill>
                  </w14:textFill>
                </w:rPr>
              </w:pPr>
              <w:r>
                <w:fldChar w:fldCharType="begin"/>
              </w:r>
              <w:r>
                <w:instrText xml:space="preserve"> HYPERLINK \l "_Toc21316" </w:instrText>
              </w:r>
              <w:r>
                <w:fldChar w:fldCharType="separate"/>
              </w:r>
              <w:r>
                <w:rPr>
                  <w:color w:val="000000" w:themeColor="text1"/>
                  <w14:textFill>
                    <w14:solidFill>
                      <w14:schemeClr w14:val="tx1"/>
                    </w14:solidFill>
                  </w14:textFill>
                </w:rPr>
                <w:t>The business’s competitive environment</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_Toc21316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8"/>
                <w:tabs>
                  <w:tab w:val="right" w:leader="dot" w:pos="9026"/>
                </w:tabs>
                <w:rPr>
                  <w:color w:val="000000" w:themeColor="text1"/>
                  <w14:textFill>
                    <w14:solidFill>
                      <w14:schemeClr w14:val="tx1"/>
                    </w14:solidFill>
                  </w14:textFill>
                </w:rPr>
              </w:pPr>
              <w:r>
                <w:fldChar w:fldCharType="begin"/>
              </w:r>
              <w:r>
                <w:instrText xml:space="preserve"> HYPERLINK \l "_Toc14787" </w:instrText>
              </w:r>
              <w:r>
                <w:fldChar w:fldCharType="separate"/>
              </w:r>
              <w:r>
                <w:rPr>
                  <w:color w:val="000000" w:themeColor="text1"/>
                  <w14:textFill>
                    <w14:solidFill>
                      <w14:schemeClr w14:val="tx1"/>
                    </w14:solidFill>
                  </w14:textFill>
                </w:rPr>
                <w:t>PEST</w:t>
              </w:r>
              <w:r>
                <w:rPr>
                  <w:rFonts w:hint="eastAsia" w:eastAsia="宋体"/>
                  <w:color w:val="000000" w:themeColor="text1"/>
                  <w:lang w:val="en-US" w:eastAsia="zh-CN"/>
                  <w14:textFill>
                    <w14:solidFill>
                      <w14:schemeClr w14:val="tx1"/>
                    </w14:solidFill>
                  </w14:textFill>
                </w:rPr>
                <w:t>LE</w:t>
              </w:r>
              <w:r>
                <w:rPr>
                  <w:color w:val="000000" w:themeColor="text1"/>
                  <w14:textFill>
                    <w14:solidFill>
                      <w14:schemeClr w14:val="tx1"/>
                    </w14:solidFill>
                  </w14:textFill>
                </w:rPr>
                <w:t xml:space="preserve"> Analysis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_Toc14787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9"/>
                <w:tabs>
                  <w:tab w:val="right" w:leader="dot" w:pos="9026"/>
                </w:tabs>
                <w:rPr>
                  <w:color w:val="000000" w:themeColor="text1"/>
                  <w14:textFill>
                    <w14:solidFill>
                      <w14:schemeClr w14:val="tx1"/>
                    </w14:solidFill>
                  </w14:textFill>
                </w:rPr>
              </w:pPr>
              <w:r>
                <w:fldChar w:fldCharType="begin"/>
              </w:r>
              <w:r>
                <w:instrText xml:space="preserve"> HYPERLINK \l "_Toc29843" </w:instrText>
              </w:r>
              <w:r>
                <w:fldChar w:fldCharType="separate"/>
              </w:r>
              <w:r>
                <w:rPr>
                  <w:color w:val="000000" w:themeColor="text1"/>
                  <w14:textFill>
                    <w14:solidFill>
                      <w14:schemeClr w14:val="tx1"/>
                    </w14:solidFill>
                  </w14:textFill>
                </w:rPr>
                <w:t>Political Factors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_Toc29843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9"/>
                <w:tabs>
                  <w:tab w:val="right" w:leader="dot" w:pos="9026"/>
                </w:tabs>
                <w:rPr>
                  <w:color w:val="000000" w:themeColor="text1"/>
                  <w14:textFill>
                    <w14:solidFill>
                      <w14:schemeClr w14:val="tx1"/>
                    </w14:solidFill>
                  </w14:textFill>
                </w:rPr>
              </w:pPr>
              <w:r>
                <w:fldChar w:fldCharType="begin"/>
              </w:r>
              <w:r>
                <w:instrText xml:space="preserve"> HYPERLINK \l "_Toc28006" </w:instrText>
              </w:r>
              <w:r>
                <w:fldChar w:fldCharType="separate"/>
              </w:r>
              <w:r>
                <w:rPr>
                  <w:color w:val="000000" w:themeColor="text1"/>
                  <w14:textFill>
                    <w14:solidFill>
                      <w14:schemeClr w14:val="tx1"/>
                    </w14:solidFill>
                  </w14:textFill>
                </w:rPr>
                <w:t>Economic Factors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_Toc28006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11</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9"/>
                <w:tabs>
                  <w:tab w:val="right" w:leader="dot" w:pos="9026"/>
                </w:tabs>
                <w:rPr>
                  <w:color w:val="000000" w:themeColor="text1"/>
                  <w14:textFill>
                    <w14:solidFill>
                      <w14:schemeClr w14:val="tx1"/>
                    </w14:solidFill>
                  </w14:textFill>
                </w:rPr>
              </w:pPr>
              <w:r>
                <w:fldChar w:fldCharType="begin"/>
              </w:r>
              <w:r>
                <w:instrText xml:space="preserve"> HYPERLINK \l "_Toc27288" </w:instrText>
              </w:r>
              <w:r>
                <w:fldChar w:fldCharType="separate"/>
              </w:r>
              <w:r>
                <w:rPr>
                  <w:color w:val="000000" w:themeColor="text1"/>
                  <w14:textFill>
                    <w14:solidFill>
                      <w14:schemeClr w14:val="tx1"/>
                    </w14:solidFill>
                  </w14:textFill>
                </w:rPr>
                <w:t>Social Factors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_Toc27288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bookmarkStart w:id="154" w:name="_GoBack"/>
              <w:bookmarkEnd w:id="154"/>
            </w:p>
            <w:p>
              <w:pPr>
                <w:pStyle w:val="9"/>
                <w:tabs>
                  <w:tab w:val="right" w:leader="dot" w:pos="9026"/>
                </w:tabs>
                <w:rPr>
                  <w:color w:val="000000" w:themeColor="text1"/>
                  <w14:textFill>
                    <w14:solidFill>
                      <w14:schemeClr w14:val="tx1"/>
                    </w14:solidFill>
                  </w14:textFill>
                </w:rPr>
              </w:pPr>
              <w:r>
                <w:fldChar w:fldCharType="begin"/>
              </w:r>
              <w:r>
                <w:instrText xml:space="preserve"> HYPERLINK \l "_Toc20917" </w:instrText>
              </w:r>
              <w:r>
                <w:fldChar w:fldCharType="separate"/>
              </w:r>
              <w:r>
                <w:rPr>
                  <w:color w:val="000000" w:themeColor="text1"/>
                  <w14:textFill>
                    <w14:solidFill>
                      <w14:schemeClr w14:val="tx1"/>
                    </w14:solidFill>
                  </w14:textFill>
                </w:rPr>
                <w:t>Technological factors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_Toc20917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9"/>
                <w:tabs>
                  <w:tab w:val="right" w:leader="dot" w:pos="9026"/>
                </w:tabs>
                <w:rPr>
                  <w:color w:val="000000" w:themeColor="text1"/>
                  <w14:textFill>
                    <w14:solidFill>
                      <w14:schemeClr w14:val="tx1"/>
                    </w14:solidFill>
                  </w14:textFill>
                </w:rPr>
              </w:pPr>
              <w:r>
                <w:fldChar w:fldCharType="begin"/>
              </w:r>
              <w:r>
                <w:instrText xml:space="preserve"> HYPERLINK \l "_Toc32563" </w:instrText>
              </w:r>
              <w:r>
                <w:fldChar w:fldCharType="separate"/>
              </w:r>
              <w:r>
                <w:rPr>
                  <w:color w:val="000000" w:themeColor="text1"/>
                  <w14:textFill>
                    <w14:solidFill>
                      <w14:schemeClr w14:val="tx1"/>
                    </w14:solidFill>
                  </w14:textFill>
                </w:rPr>
                <w:t>Legal factors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_Toc32563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9"/>
                <w:tabs>
                  <w:tab w:val="right" w:leader="dot" w:pos="9026"/>
                </w:tabs>
                <w:rPr>
                  <w:color w:val="000000" w:themeColor="text1"/>
                  <w14:textFill>
                    <w14:solidFill>
                      <w14:schemeClr w14:val="tx1"/>
                    </w14:solidFill>
                  </w14:textFill>
                </w:rPr>
              </w:pPr>
              <w:r>
                <w:fldChar w:fldCharType="begin"/>
              </w:r>
              <w:r>
                <w:instrText xml:space="preserve"> HYPERLINK \l "_Toc4453" </w:instrText>
              </w:r>
              <w:r>
                <w:fldChar w:fldCharType="separate"/>
              </w:r>
              <w:r>
                <w:rPr>
                  <w:color w:val="000000" w:themeColor="text1"/>
                  <w14:textFill>
                    <w14:solidFill>
                      <w14:schemeClr w14:val="tx1"/>
                    </w14:solidFill>
                  </w14:textFill>
                </w:rPr>
                <w:t>Environmental factors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_Toc4453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8"/>
                <w:tabs>
                  <w:tab w:val="right" w:leader="dot" w:pos="9026"/>
                </w:tabs>
                <w:rPr>
                  <w:color w:val="000000" w:themeColor="text1"/>
                  <w14:textFill>
                    <w14:solidFill>
                      <w14:schemeClr w14:val="tx1"/>
                    </w14:solidFill>
                  </w14:textFill>
                </w:rPr>
              </w:pPr>
              <w:r>
                <w:fldChar w:fldCharType="begin"/>
              </w:r>
              <w:r>
                <w:instrText xml:space="preserve"> HYPERLINK \l "_Toc318" </w:instrText>
              </w:r>
              <w:r>
                <w:fldChar w:fldCharType="separate"/>
              </w:r>
              <w:r>
                <w:rPr>
                  <w:color w:val="000000" w:themeColor="text1"/>
                  <w14:textFill>
                    <w14:solidFill>
                      <w14:schemeClr w14:val="tx1"/>
                    </w14:solidFill>
                  </w14:textFill>
                </w:rPr>
                <w:t>SWOT analysis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_Toc318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9"/>
                <w:tabs>
                  <w:tab w:val="right" w:leader="dot" w:pos="9026"/>
                </w:tabs>
                <w:rPr>
                  <w:color w:val="000000" w:themeColor="text1"/>
                  <w14:textFill>
                    <w14:solidFill>
                      <w14:schemeClr w14:val="tx1"/>
                    </w14:solidFill>
                  </w14:textFill>
                </w:rPr>
              </w:pPr>
              <w:r>
                <w:fldChar w:fldCharType="begin"/>
              </w:r>
              <w:r>
                <w:instrText xml:space="preserve"> HYPERLINK \l "_Toc6933" </w:instrText>
              </w:r>
              <w:r>
                <w:fldChar w:fldCharType="separate"/>
              </w:r>
              <w:r>
                <w:rPr>
                  <w:color w:val="000000" w:themeColor="text1"/>
                  <w:lang w:val="en-IN" w:eastAsia="en-IN"/>
                  <w14:textFill>
                    <w14:solidFill>
                      <w14:schemeClr w14:val="tx1"/>
                    </w14:solidFill>
                  </w14:textFill>
                </w:rPr>
                <w:t>Strength </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_Toc6933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9"/>
                <w:tabs>
                  <w:tab w:val="right" w:leader="dot" w:pos="9026"/>
                </w:tabs>
                <w:rPr>
                  <w:color w:val="000000" w:themeColor="text1"/>
                  <w14:textFill>
                    <w14:solidFill>
                      <w14:schemeClr w14:val="tx1"/>
                    </w14:solidFill>
                  </w14:textFill>
                </w:rPr>
              </w:pPr>
              <w:r>
                <w:fldChar w:fldCharType="begin"/>
              </w:r>
              <w:r>
                <w:instrText xml:space="preserve"> HYPERLINK \l "_Toc15196" </w:instrText>
              </w:r>
              <w:r>
                <w:fldChar w:fldCharType="separate"/>
              </w:r>
              <w:r>
                <w:rPr>
                  <w:color w:val="000000" w:themeColor="text1"/>
                  <w:lang w:val="en-IN" w:eastAsia="en-IN"/>
                  <w14:textFill>
                    <w14:solidFill>
                      <w14:schemeClr w14:val="tx1"/>
                    </w14:solidFill>
                  </w14:textFill>
                </w:rPr>
                <w:t>Weakness </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_Toc15196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9"/>
                <w:tabs>
                  <w:tab w:val="right" w:leader="dot" w:pos="9026"/>
                </w:tabs>
                <w:rPr>
                  <w:color w:val="000000" w:themeColor="text1"/>
                  <w14:textFill>
                    <w14:solidFill>
                      <w14:schemeClr w14:val="tx1"/>
                    </w14:solidFill>
                  </w14:textFill>
                </w:rPr>
              </w:pPr>
              <w:r>
                <w:fldChar w:fldCharType="begin"/>
              </w:r>
              <w:r>
                <w:instrText xml:space="preserve"> HYPERLINK \l "_Toc21334" </w:instrText>
              </w:r>
              <w:r>
                <w:fldChar w:fldCharType="separate"/>
              </w:r>
              <w:r>
                <w:rPr>
                  <w:color w:val="000000" w:themeColor="text1"/>
                  <w:lang w:val="en-IN" w:eastAsia="en-IN"/>
                  <w14:textFill>
                    <w14:solidFill>
                      <w14:schemeClr w14:val="tx1"/>
                    </w14:solidFill>
                  </w14:textFill>
                </w:rPr>
                <w:t>Opportunities </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_Toc21334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9"/>
                <w:tabs>
                  <w:tab w:val="right" w:leader="dot" w:pos="9026"/>
                </w:tabs>
                <w:rPr>
                  <w:color w:val="000000" w:themeColor="text1"/>
                  <w14:textFill>
                    <w14:solidFill>
                      <w14:schemeClr w14:val="tx1"/>
                    </w14:solidFill>
                  </w14:textFill>
                </w:rPr>
              </w:pPr>
              <w:r>
                <w:fldChar w:fldCharType="begin"/>
              </w:r>
              <w:r>
                <w:instrText xml:space="preserve"> HYPERLINK \l "_Toc6762" </w:instrText>
              </w:r>
              <w:r>
                <w:fldChar w:fldCharType="separate"/>
              </w:r>
              <w:r>
                <w:rPr>
                  <w:color w:val="000000" w:themeColor="text1"/>
                  <w:lang w:val="en-IN" w:eastAsia="en-IN"/>
                  <w14:textFill>
                    <w14:solidFill>
                      <w14:schemeClr w14:val="tx1"/>
                    </w14:solidFill>
                  </w14:textFill>
                </w:rPr>
                <w:t>Threats </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_Toc6762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8"/>
                <w:tabs>
                  <w:tab w:val="right" w:leader="dot" w:pos="9026"/>
                </w:tabs>
                <w:rPr>
                  <w:color w:val="000000" w:themeColor="text1"/>
                  <w14:textFill>
                    <w14:solidFill>
                      <w14:schemeClr w14:val="tx1"/>
                    </w14:solidFill>
                  </w14:textFill>
                </w:rPr>
              </w:pPr>
              <w:r>
                <w:fldChar w:fldCharType="begin"/>
              </w:r>
              <w:r>
                <w:instrText xml:space="preserve"> HYPERLINK \l "_Toc27609" </w:instrText>
              </w:r>
              <w:r>
                <w:fldChar w:fldCharType="separate"/>
              </w:r>
              <w:r>
                <w:rPr>
                  <w:color w:val="000000" w:themeColor="text1"/>
                  <w14:textFill>
                    <w14:solidFill>
                      <w14:schemeClr w14:val="tx1"/>
                    </w14:solidFill>
                  </w14:textFill>
                </w:rPr>
                <w:t>Assessment of Performance indicators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_Toc27609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8"/>
                <w:tabs>
                  <w:tab w:val="right" w:leader="dot" w:pos="9026"/>
                </w:tabs>
                <w:rPr>
                  <w:color w:val="000000" w:themeColor="text1"/>
                  <w14:textFill>
                    <w14:solidFill>
                      <w14:schemeClr w14:val="tx1"/>
                    </w14:solidFill>
                  </w14:textFill>
                </w:rPr>
              </w:pPr>
              <w:r>
                <w:fldChar w:fldCharType="begin"/>
              </w:r>
              <w:r>
                <w:instrText xml:space="preserve"> HYPERLINK \l "_Toc18550" </w:instrText>
              </w:r>
              <w:r>
                <w:fldChar w:fldCharType="separate"/>
              </w:r>
              <w:r>
                <w:rPr>
                  <w:color w:val="000000" w:themeColor="text1"/>
                  <w14:textFill>
                    <w14:solidFill>
                      <w14:schemeClr w14:val="tx1"/>
                    </w14:solidFill>
                  </w14:textFill>
                </w:rPr>
                <w:t>Conclusion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_Toc18550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w:t>
              </w:r>
              <w:r>
                <w:rPr>
                  <w:rFonts w:hint="eastAsia" w:eastAsia="宋体"/>
                  <w:color w:val="000000" w:themeColor="text1"/>
                  <w:lang w:val="en-US" w:eastAsia="zh-CN"/>
                  <w14:textFill>
                    <w14:solidFill>
                      <w14:schemeClr w14:val="tx1"/>
                    </w14:solidFill>
                  </w14:textFill>
                </w:rPr>
                <w:t>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8"/>
                <w:tabs>
                  <w:tab w:val="right" w:leader="dot" w:pos="9026"/>
                </w:tabs>
                <w:rPr>
                  <w:color w:val="000000" w:themeColor="text1"/>
                  <w14:textFill>
                    <w14:solidFill>
                      <w14:schemeClr w14:val="tx1"/>
                    </w14:solidFill>
                  </w14:textFill>
                </w:rPr>
              </w:pPr>
              <w:r>
                <w:fldChar w:fldCharType="begin"/>
              </w:r>
              <w:r>
                <w:instrText xml:space="preserve"> HYPERLINK \l "_Toc12560" </w:instrText>
              </w:r>
              <w:r>
                <w:fldChar w:fldCharType="separate"/>
              </w:r>
              <w:r>
                <w:rPr>
                  <w:color w:val="000000" w:themeColor="text1"/>
                  <w14:textFill>
                    <w14:solidFill>
                      <w14:schemeClr w14:val="tx1"/>
                    </w14:solidFill>
                  </w14:textFill>
                </w:rPr>
                <w:t>Recommendations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_Toc12560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w:t>
              </w:r>
              <w:r>
                <w:rPr>
                  <w:rFonts w:hint="eastAsia" w:eastAsia="宋体"/>
                  <w:color w:val="000000" w:themeColor="text1"/>
                  <w:lang w:val="en-US" w:eastAsia="zh-CN"/>
                  <w14:textFill>
                    <w14:solidFill>
                      <w14:schemeClr w14:val="tx1"/>
                    </w14:solidFill>
                  </w14:textFill>
                </w:rPr>
                <w:t>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8"/>
                <w:tabs>
                  <w:tab w:val="right" w:leader="dot" w:pos="9026"/>
                </w:tabs>
                <w:rPr>
                  <w:color w:val="000000" w:themeColor="text1"/>
                  <w14:textFill>
                    <w14:solidFill>
                      <w14:schemeClr w14:val="tx1"/>
                    </w14:solidFill>
                  </w14:textFill>
                </w:rPr>
              </w:pPr>
              <w:r>
                <w:fldChar w:fldCharType="begin"/>
              </w:r>
              <w:r>
                <w:instrText xml:space="preserve"> HYPERLINK \l "_Toc26721" </w:instrText>
              </w:r>
              <w:r>
                <w:fldChar w:fldCharType="separate"/>
              </w:r>
              <w:r>
                <w:rPr>
                  <w:rFonts w:hint="eastAsia"/>
                  <w:color w:val="000000" w:themeColor="text1"/>
                  <w:lang w:val="en-US" w:eastAsia="zh-CN"/>
                  <w14:textFill>
                    <w14:solidFill>
                      <w14:schemeClr w14:val="tx1"/>
                    </w14:solidFill>
                  </w14:textFill>
                </w:rPr>
                <w:t>References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_Toc26721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w:t>
              </w:r>
              <w:r>
                <w:rPr>
                  <w:rFonts w:hint="eastAsia" w:eastAsia="宋体"/>
                  <w:color w:val="000000" w:themeColor="text1"/>
                  <w:lang w:val="en-US" w:eastAsia="zh-CN"/>
                  <w14:textFill>
                    <w14:solidFill>
                      <w14:schemeClr w14:val="tx1"/>
                    </w14:solidFill>
                  </w14:textFill>
                </w:rPr>
                <w:t>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spacing w:line="480" w:lineRule="auto"/>
                <w:jc w:val="both"/>
                <w:rPr>
                  <w:rFonts w:ascii="Times New Roman" w:hAnsi="Times New Roman" w:cs="Times New Roman"/>
                  <w:color w:val="000000" w:themeColor="text1"/>
                  <w:sz w:val="24"/>
                  <w14:textFill>
                    <w14:solidFill>
                      <w14:schemeClr w14:val="tx1"/>
                    </w14:solidFill>
                  </w14:textFill>
                </w:rPr>
              </w:pPr>
              <w:r>
                <w:rPr>
                  <w:rFonts w:ascii="Times New Roman" w:hAnsi="Times New Roman" w:cs="Times New Roman"/>
                  <w:bCs/>
                  <w:color w:val="000000" w:themeColor="text1"/>
                  <w14:textFill>
                    <w14:solidFill>
                      <w14:schemeClr w14:val="tx1"/>
                    </w14:solidFill>
                  </w14:textFill>
                </w:rPr>
                <w:fldChar w:fldCharType="end"/>
              </w:r>
            </w:p>
          </w:sdtContent>
        </w:sdt>
        <w:p>
          <w:pPr>
            <w:spacing w:line="480" w:lineRule="auto"/>
            <w:rPr>
              <w:color w:val="000000" w:themeColor="text1"/>
              <w14:textFill>
                <w14:solidFill>
                  <w14:schemeClr w14:val="tx1"/>
                </w14:solidFill>
              </w14:textFill>
            </w:rPr>
          </w:pPr>
        </w:p>
        <w:p>
          <w:pPr>
            <w:spacing w:line="480" w:lineRule="auto"/>
            <w:rPr>
              <w:color w:val="000000" w:themeColor="text1"/>
              <w14:textFill>
                <w14:solidFill>
                  <w14:schemeClr w14:val="tx1"/>
                </w14:solidFill>
              </w14:textFill>
            </w:rPr>
          </w:pPr>
        </w:p>
        <w:p>
          <w:pPr>
            <w:spacing w:line="480" w:lineRule="auto"/>
            <w:rPr>
              <w:color w:val="000000" w:themeColor="text1"/>
              <w14:textFill>
                <w14:solidFill>
                  <w14:schemeClr w14:val="tx1"/>
                </w14:solidFill>
              </w14:textFill>
            </w:rPr>
          </w:pPr>
        </w:p>
        <w:p>
          <w:pPr>
            <w:spacing w:line="480" w:lineRule="auto"/>
            <w:rPr>
              <w:color w:val="000000" w:themeColor="text1"/>
              <w14:textFill>
                <w14:solidFill>
                  <w14:schemeClr w14:val="tx1"/>
                </w14:solidFill>
              </w14:textFill>
            </w:rPr>
          </w:pPr>
        </w:p>
        <w:p>
          <w:pPr>
            <w:spacing w:line="480" w:lineRule="auto"/>
            <w:rPr>
              <w:color w:val="000000" w:themeColor="text1"/>
              <w14:textFill>
                <w14:solidFill>
                  <w14:schemeClr w14:val="tx1"/>
                </w14:solidFill>
              </w14:textFill>
            </w:rPr>
          </w:pPr>
        </w:p>
        <w:p>
          <w:pPr>
            <w:pStyle w:val="2"/>
            <w:rPr>
              <w:color w:val="000000" w:themeColor="text1"/>
              <w14:textFill>
                <w14:solidFill>
                  <w14:schemeClr w14:val="tx1"/>
                </w14:solidFill>
              </w14:textFill>
            </w:rPr>
          </w:pPr>
          <w:bookmarkStart w:id="3" w:name="_Toc26779"/>
          <w:bookmarkStart w:id="4" w:name="_Toc148998325"/>
          <w:r>
            <w:rPr>
              <w:color w:val="000000" w:themeColor="text1"/>
              <w14:textFill>
                <w14:solidFill>
                  <w14:schemeClr w14:val="tx1"/>
                </w14:solidFill>
              </w14:textFill>
            </w:rPr>
            <w:t>Introduction</w:t>
          </w:r>
          <w:bookmarkEnd w:id="3"/>
          <w:bookmarkEnd w:id="4"/>
        </w:p>
        <w:p>
          <w:pPr>
            <w:pStyle w:val="10"/>
            <w:spacing w:after="0" w:line="480" w:lineRule="auto"/>
            <w:ind w:firstLine="720"/>
            <w:jc w:val="both"/>
            <w:rPr>
              <w:color w:val="000000" w:themeColor="text1"/>
              <w14:textFill>
                <w14:solidFill>
                  <w14:schemeClr w14:val="tx1"/>
                </w14:solidFill>
              </w14:textFill>
            </w:rPr>
          </w:pPr>
          <w:bookmarkStart w:id="5" w:name="OLE_LINK300"/>
          <w:bookmarkStart w:id="6" w:name="OLE_LINK301"/>
          <w:bookmarkStart w:id="7" w:name="OLE_LINK471"/>
          <w:bookmarkStart w:id="8" w:name="OLE_LINK472"/>
          <w:r>
            <w:rPr>
              <w:color w:val="000000" w:themeColor="text1"/>
              <w14:textFill>
                <w14:solidFill>
                  <w14:schemeClr w14:val="tx1"/>
                </w14:solidFill>
              </w14:textFill>
            </w:rPr>
            <w:t>The primary objective of a business or organization is to enhance its market share and achieve success within its industry (Pedrini and Ferri, 2019). To accomplish these goals, effective management of stakeholders, including workers, customers, suppliers, competitors, and society, is crucial. Challenges can arise in local and international markets as organizations strive to achieve their objectives. To gain a competitive advantage and overcome competition, organizations must focus on understanding current trends and, more importantly, predicting future trends. Additionally, organizations should consider various factors, such as the external and internal environment of the industry, as these factors directly and indirectly impact the organization's operations and overall success.</w:t>
          </w:r>
        </w:p>
        <w:p>
          <w:pPr>
            <w:pStyle w:val="10"/>
            <w:spacing w:after="0" w:line="480" w:lineRule="auto"/>
            <w:ind w:firstLine="720"/>
            <w:jc w:val="both"/>
            <w:rPr>
              <w:color w:val="000000" w:themeColor="text1"/>
              <w14:textFill>
                <w14:solidFill>
                  <w14:schemeClr w14:val="tx1"/>
                </w14:solidFill>
              </w14:textFill>
            </w:rPr>
          </w:pPr>
          <w:r>
            <w:rPr>
              <w:color w:val="000000" w:themeColor="text1"/>
              <w14:textFill>
                <w14:solidFill>
                  <w14:schemeClr w14:val="tx1"/>
                </w14:solidFill>
              </w14:textFill>
            </w:rPr>
            <w:t>The business environment can be categorized into three main types: general, industrial, and competitive environments (Nudurupati et al., 2021). The general environment encompasses political, economic, global, sociocultural, technological, and demographic dimensions, which significantly impact businesses across sectors. To identify threats and opportunities within the environment, organizations must clearly understand the various aspects of the general environment specific to their sector.</w:t>
          </w:r>
        </w:p>
        <w:p>
          <w:pPr>
            <w:pStyle w:val="10"/>
            <w:spacing w:before="0" w:beforeAutospacing="0" w:after="0" w:afterAutospacing="0" w:line="480" w:lineRule="auto"/>
            <w:ind w:firstLine="720"/>
            <w:jc w:val="both"/>
            <w:rPr>
              <w:color w:val="000000" w:themeColor="text1"/>
              <w14:textFill>
                <w14:solidFill>
                  <w14:schemeClr w14:val="tx1"/>
                </w14:solidFill>
              </w14:textFill>
            </w:rPr>
          </w:pPr>
          <w:r>
            <w:rPr>
              <w:color w:val="000000" w:themeColor="text1"/>
              <w14:textFill>
                <w14:solidFill>
                  <w14:schemeClr w14:val="tx1"/>
                </w14:solidFill>
              </w14:textFill>
            </w:rPr>
            <w:t>This report aims to assess Amazon's business environment, examining various factors' actual and potential implications on the organization. This assessment will encompass the internal and external environments to understand the overall situation comprehensively.</w:t>
          </w:r>
          <w:bookmarkEnd w:id="5"/>
          <w:bookmarkEnd w:id="6"/>
          <w:r>
            <w:rPr>
              <w:color w:val="000000" w:themeColor="text1"/>
              <w14:textFill>
                <w14:solidFill>
                  <w14:schemeClr w14:val="tx1"/>
                </w14:solidFill>
              </w14:textFill>
            </w:rPr>
            <w:t xml:space="preserve"> </w:t>
          </w:r>
        </w:p>
        <w:bookmarkEnd w:id="7"/>
        <w:bookmarkEnd w:id="8"/>
        <w:p>
          <w:pPr>
            <w:pStyle w:val="2"/>
            <w:jc w:val="both"/>
            <w:rPr>
              <w:color w:val="000000" w:themeColor="text1"/>
              <w14:textFill>
                <w14:solidFill>
                  <w14:schemeClr w14:val="tx1"/>
                </w14:solidFill>
              </w14:textFill>
            </w:rPr>
          </w:pPr>
          <w:bookmarkStart w:id="9" w:name="_Toc148998326"/>
          <w:bookmarkStart w:id="10" w:name="_Toc10746"/>
          <w:r>
            <w:rPr>
              <w:color w:val="000000" w:themeColor="text1"/>
              <w14:textFill>
                <w14:solidFill>
                  <w14:schemeClr w14:val="tx1"/>
                </w14:solidFill>
              </w14:textFill>
            </w:rPr>
            <w:t>Overview and Background of Amazon Company</w:t>
          </w:r>
          <w:bookmarkEnd w:id="9"/>
          <w:bookmarkEnd w:id="10"/>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11" w:name="OLE_LINK348"/>
          <w:bookmarkStart w:id="12" w:name="OLE_LINK347"/>
          <w:bookmarkStart w:id="13" w:name="OLE_LINK473"/>
          <w:r>
            <w:rPr>
              <w:rFonts w:ascii="Times New Roman" w:hAnsi="Times New Roman" w:cs="Times New Roman"/>
              <w:color w:val="000000" w:themeColor="text1"/>
              <w:sz w:val="24"/>
              <w:szCs w:val="24"/>
              <w14:textFill>
                <w14:solidFill>
                  <w14:schemeClr w14:val="tx1"/>
                </w14:solidFill>
              </w14:textFill>
            </w:rPr>
            <w:t xml:space="preserve">In 1995, Amazon began conducting business as an online bookseller. The company grew over time to become a significant force in e-commerce, cloud computing, and interactive technologies for homes and people (Annual Reports, 2022). </w:t>
          </w:r>
        </w:p>
        <w:bookmarkEnd w:id="11"/>
        <w:bookmarkEnd w:id="12"/>
        <w:bookmarkEnd w:id="13"/>
        <w:p>
          <w:pPr>
            <w:pStyle w:val="3"/>
            <w:rPr>
              <w:color w:val="000000" w:themeColor="text1"/>
              <w14:textFill>
                <w14:solidFill>
                  <w14:schemeClr w14:val="tx1"/>
                </w14:solidFill>
              </w14:textFill>
            </w:rPr>
          </w:pPr>
          <w:bookmarkStart w:id="14" w:name="_Toc10847"/>
          <w:bookmarkStart w:id="15" w:name="_Toc148998327"/>
          <w:r>
            <w:rPr>
              <w:color w:val="000000" w:themeColor="text1"/>
              <w14:textFill>
                <w14:solidFill>
                  <w14:schemeClr w14:val="tx1"/>
                </w14:solidFill>
              </w14:textFill>
            </w:rPr>
            <w:t>Amazon’s E-Commerce Business</w:t>
          </w:r>
          <w:bookmarkEnd w:id="14"/>
          <w:bookmarkEnd w:id="15"/>
          <w:r>
            <w:rPr>
              <w:color w:val="000000" w:themeColor="text1"/>
              <w14:textFill>
                <w14:solidFill>
                  <w14:schemeClr w14:val="tx1"/>
                </w14:solidFill>
              </w14:textFill>
            </w:rPr>
            <w:t xml:space="preserve"> </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16" w:name="OLE_LINK349"/>
          <w:bookmarkStart w:id="17" w:name="OLE_LINK474"/>
          <w:bookmarkStart w:id="18" w:name="OLE_LINK350"/>
          <w:r>
            <w:rPr>
              <w:rFonts w:ascii="Times New Roman" w:hAnsi="Times New Roman" w:cs="Times New Roman"/>
              <w:color w:val="000000" w:themeColor="text1"/>
              <w:sz w:val="24"/>
              <w:szCs w:val="24"/>
              <w14:textFill>
                <w14:solidFill>
                  <w14:schemeClr w14:val="tx1"/>
                </w14:solidFill>
              </w14:textFill>
            </w:rPr>
            <w:t>The rise of internet usage in the 1990s created a shift from traditional retail to online shopping. Recognizing this opportunity, Jeff Bezos founded Amazon to meet the growing consumer demand in the United States (Ives et al., 2019). Initially focused on selling books, Amazon differentiated itself from traditional retailers by implementing various online features such as user reviews, comprehensive search functionality, tailored suggestions, hypertext-enabled research, and the Look Inside feature (Türegün, 2019). These online tactics and strategies resonated with customers, resulting in a significant customer base and sales growth. By the end of its first year of operation in 1996, Amazon had 180,000 customers and sold books worth $15.7 million (Liberty et al., 2020). In their second year, the customer base expanded to over 1.5 million, with sales reaching $147.8 million (Liberty et al., 2020).</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Amazon differentiated itself from competitors by implementing five fundamental changes to its e-commerce business model. Firstly, the company expanded into multiple product categories, including jewellery, DVDs, CDs, home products, health and beauty items, digital audio devices, and pet products. This horizontal expansion solidified Amazon's position as a popular destination for online shopping in the United States. Secondly, Amazon invested in classic marketing strategies, such as introducing the Amazon Prime customer category, offering branded credit cards, and launching new products under the Amazon Basics brand (Bidkar, 2019). These initiatives successfully attracted more customers and increased online sales. Additionally, Amazon's acquisition of technology in 1999 focused on tracking customer traffic within and across various websites, providing the organization with a wealth of customer information (Rikap, 2022).</w:t>
          </w:r>
        </w:p>
        <w:bookmarkEnd w:id="16"/>
        <w:bookmarkEnd w:id="17"/>
        <w:bookmarkEnd w:id="18"/>
        <w:p>
          <w:pPr>
            <w:pStyle w:val="3"/>
            <w:rPr>
              <w:color w:val="000000" w:themeColor="text1"/>
              <w14:textFill>
                <w14:solidFill>
                  <w14:schemeClr w14:val="tx1"/>
                </w14:solidFill>
              </w14:textFill>
            </w:rPr>
          </w:pPr>
          <w:bookmarkStart w:id="19" w:name="_Toc148998328"/>
          <w:bookmarkStart w:id="20" w:name="_Toc29529"/>
          <w:r>
            <w:rPr>
              <w:color w:val="000000" w:themeColor="text1"/>
              <w14:textFill>
                <w14:solidFill>
                  <w14:schemeClr w14:val="tx1"/>
                </w14:solidFill>
              </w14:textFill>
            </w:rPr>
            <w:t>Amazon Web Services</w:t>
          </w:r>
          <w:bookmarkEnd w:id="19"/>
          <w:bookmarkEnd w:id="20"/>
          <w:r>
            <w:rPr>
              <w:color w:val="000000" w:themeColor="text1"/>
              <w14:textFill>
                <w14:solidFill>
                  <w14:schemeClr w14:val="tx1"/>
                </w14:solidFill>
              </w14:textFill>
            </w:rPr>
            <w:t xml:space="preserve"> </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21" w:name="OLE_LINK351"/>
          <w:bookmarkStart w:id="22" w:name="OLE_LINK475"/>
          <w:bookmarkStart w:id="23" w:name="OLE_LINK352"/>
          <w:r>
            <w:rPr>
              <w:rFonts w:ascii="Times New Roman" w:hAnsi="Times New Roman" w:cs="Times New Roman"/>
              <w:color w:val="000000" w:themeColor="text1"/>
              <w:sz w:val="24"/>
              <w:szCs w:val="24"/>
              <w14:textFill>
                <w14:solidFill>
                  <w14:schemeClr w14:val="tx1"/>
                </w14:solidFill>
              </w14:textFill>
            </w:rPr>
            <w:t>Amazon's success is attributed to its e-commerce business and its cloud computing services, which have played a critical role in the company's growth. The demand for cloud-based services increased in the early 21st century, driven by the declining costs of migrating data to remote servers over the Internet. In 2002, Amazon launched Amazon Web Services (AWS), which has become one of the leading global web service providers (Hassel and Sieker, 2022). As Amazon's e-commerce business expanded, it faced challenges in efficiently organizing, storing, and analyzing the vast amount of data generated through its sales operations (Dutta and Dutta, 2019). The early introduction of AWS allowed Amazon to gain a competitive advantage over other cloud service providers, including Google Cloud and Microsoft Azure. By 2004, AWS was already serving over 65,000 developers worldwide. Today, Amazon holds a significant market share in the cloud services industry, with approximately 33% of the global infrastructure market hosting over 9 million websites (Snyder et al., 2022). However, the company faces intense competition from other industry players such as Alibaba, Microsoft, IBM, and Alphabet.</w:t>
          </w:r>
        </w:p>
        <w:bookmarkEnd w:id="21"/>
        <w:bookmarkEnd w:id="22"/>
        <w:bookmarkEnd w:id="23"/>
        <w:p>
          <w:pPr>
            <w:pStyle w:val="3"/>
            <w:rPr>
              <w:color w:val="000000" w:themeColor="text1"/>
              <w14:textFill>
                <w14:solidFill>
                  <w14:schemeClr w14:val="tx1"/>
                </w14:solidFill>
              </w14:textFill>
            </w:rPr>
          </w:pPr>
          <w:bookmarkStart w:id="24" w:name="_Toc13022"/>
          <w:bookmarkStart w:id="25" w:name="_Toc148998329"/>
          <w:r>
            <w:rPr>
              <w:color w:val="000000" w:themeColor="text1"/>
              <w14:textFill>
                <w14:solidFill>
                  <w14:schemeClr w14:val="tx1"/>
                </w14:solidFill>
              </w14:textFill>
            </w:rPr>
            <w:t>Technologies for Homes and Individuals</w:t>
          </w:r>
          <w:bookmarkEnd w:id="24"/>
          <w:bookmarkEnd w:id="25"/>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26" w:name="OLE_LINK476"/>
          <w:bookmarkStart w:id="27" w:name="OLE_LINK354"/>
          <w:bookmarkStart w:id="28" w:name="OLE_LINK353"/>
          <w:r>
            <w:rPr>
              <w:rFonts w:ascii="Times New Roman" w:hAnsi="Times New Roman" w:cs="Times New Roman"/>
              <w:color w:val="000000" w:themeColor="text1"/>
              <w:sz w:val="24"/>
              <w:szCs w:val="24"/>
              <w14:textFill>
                <w14:solidFill>
                  <w14:schemeClr w14:val="tx1"/>
                </w14:solidFill>
              </w14:textFill>
            </w:rPr>
            <w:t>The launch of Amazon's technology for homes and individuals business line is a logical progression from its online books division, likely influenced by Apple's introduction of iTunes in 2003 (Snyder et al., 2022). iTunes gave customers a more efficient way to access digital music than individual CDs. Recognizing the shift towards digital content, Amazon began planning the development of an eReader capable of storing multiple books. 2007, the company released the Kindle, which was widely regarded as an innovative product (Luo, 2020). Despite its initial high price, the Kindle offered customers the advantage of downloading books at a lower cost.</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Building on this success, Amazon expanded its product lineup to focus on producing technologies and devices that provided digital interfaces for individuals and homes. Through the production and sales of virtual assistants (Alexa) and smart speakers (Echo), Amazon gained a significant market share in the technology for homes and individuals market. The company also diversified its offerings to include cameras, Wi-Fi systems, streaming media devices for smart TVs, and home security systems.</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These achievements reflect a standard business approach for high-tech firms: building a loyal customer base and providing complementary services (Culpepper and Thelen, 2020). By leveraging shared technologies across products, Amazon encourages users to design customized solutions for their homes. For example, Ring and Amazon Music can be integrated with Amazon's Echo speakers, allowing customers to place online orders for goods. The complementary nature of these devices encourages customers to acquire sets of Amazon goods and services. Amazon aims to gain a competitive advantage over digital platforms and retailers by focusing on further engaging customers.</w:t>
          </w:r>
          <w:bookmarkEnd w:id="26"/>
          <w:bookmarkEnd w:id="27"/>
          <w:bookmarkEnd w:id="28"/>
          <w:bookmarkStart w:id="29" w:name="_Toc148998330"/>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p>
        <w:p>
          <w:pPr>
            <w:pStyle w:val="2"/>
            <w:rPr>
              <w:color w:val="000000" w:themeColor="text1"/>
              <w14:textFill>
                <w14:solidFill>
                  <w14:schemeClr w14:val="tx1"/>
                </w14:solidFill>
              </w14:textFill>
            </w:rPr>
          </w:pPr>
          <w:bookmarkStart w:id="30" w:name="_Toc31267"/>
          <w:r>
            <w:rPr>
              <w:color w:val="000000" w:themeColor="text1"/>
              <w14:textFill>
                <w14:solidFill>
                  <w14:schemeClr w14:val="tx1"/>
                </w14:solidFill>
              </w14:textFill>
            </w:rPr>
            <w:t>Main Findings</w:t>
          </w:r>
          <w:bookmarkEnd w:id="29"/>
          <w:bookmarkEnd w:id="30"/>
        </w:p>
        <w:p>
          <w:pPr>
            <w:pStyle w:val="2"/>
            <w:jc w:val="both"/>
            <w:rPr>
              <w:color w:val="000000" w:themeColor="text1"/>
              <w14:textFill>
                <w14:solidFill>
                  <w14:schemeClr w14:val="tx1"/>
                </w14:solidFill>
              </w14:textFill>
            </w:rPr>
          </w:pPr>
          <w:bookmarkStart w:id="31" w:name="_Toc148998331"/>
          <w:bookmarkStart w:id="32" w:name="_Toc21316"/>
          <w:r>
            <w:rPr>
              <w:color w:val="000000" w:themeColor="text1"/>
              <w14:textFill>
                <w14:solidFill>
                  <w14:schemeClr w14:val="tx1"/>
                </w14:solidFill>
              </w14:textFill>
            </w:rPr>
            <w:t>The business’s competitive environment</w:t>
          </w:r>
          <w:bookmarkEnd w:id="31"/>
          <w:bookmarkEnd w:id="32"/>
          <w:r>
            <w:rPr>
              <w:color w:val="000000" w:themeColor="text1"/>
              <w14:textFill>
                <w14:solidFill>
                  <w14:schemeClr w14:val="tx1"/>
                </w14:solidFill>
              </w14:textFill>
            </w:rPr>
            <w:t xml:space="preserve"> </w:t>
          </w:r>
        </w:p>
        <w:p>
          <w:pPr>
            <w:pStyle w:val="10"/>
            <w:spacing w:before="0" w:beforeAutospacing="0" w:after="0" w:afterAutospacing="0" w:line="480" w:lineRule="auto"/>
            <w:rPr>
              <w:b/>
              <w:color w:val="000000" w:themeColor="text1"/>
              <w:lang w:val="en-US"/>
              <w14:textFill>
                <w14:solidFill>
                  <w14:schemeClr w14:val="tx1"/>
                </w14:solidFill>
              </w14:textFill>
            </w:rPr>
          </w:pPr>
          <w:r>
            <w:rPr>
              <w:b/>
              <w:bCs/>
              <w:color w:val="000000" w:themeColor="text1"/>
              <w14:textFill>
                <w14:solidFill>
                  <w14:schemeClr w14:val="tx1"/>
                </w14:solidFill>
              </w14:textFill>
            </w:rPr>
            <w:t>Porter's Five Forces </w:t>
          </w:r>
        </w:p>
        <w:p>
          <w:pPr>
            <w:pStyle w:val="10"/>
            <w:spacing w:before="0" w:beforeAutospacing="0" w:after="0" w:afterAutospacing="0" w:line="480" w:lineRule="auto"/>
            <w:jc w:val="both"/>
            <w:rPr>
              <w:color w:val="000000" w:themeColor="text1"/>
              <w14:textFill>
                <w14:solidFill>
                  <w14:schemeClr w14:val="tx1"/>
                </w14:solidFill>
              </w14:textFill>
            </w:rPr>
          </w:pPr>
          <w:r>
            <w:rPr>
              <w:b/>
              <w:bCs/>
              <w:i/>
              <w:iCs/>
              <w:color w:val="000000" w:themeColor="text1"/>
              <w14:textFill>
                <w14:solidFill>
                  <w14:schemeClr w14:val="tx1"/>
                </w14:solidFill>
              </w14:textFill>
            </w:rPr>
            <w:t>Competitive Industry Rivalry</w:t>
          </w:r>
          <w:r>
            <w:rPr>
              <w:color w:val="000000" w:themeColor="text1"/>
              <w14:textFill>
                <w14:solidFill>
                  <w14:schemeClr w14:val="tx1"/>
                </w14:solidFill>
              </w14:textFill>
            </w:rPr>
            <w:t> </w:t>
          </w:r>
        </w:p>
        <w:p>
          <w:pPr>
            <w:pStyle w:val="10"/>
            <w:spacing w:before="0" w:beforeAutospacing="0" w:after="0" w:afterAutospacing="0" w:line="480" w:lineRule="auto"/>
            <w:ind w:firstLine="720"/>
            <w:jc w:val="both"/>
            <w:rPr>
              <w:color w:val="000000" w:themeColor="text1"/>
              <w14:textFill>
                <w14:solidFill>
                  <w14:schemeClr w14:val="tx1"/>
                </w14:solidFill>
              </w14:textFill>
            </w:rPr>
          </w:pPr>
          <w:bookmarkStart w:id="33" w:name="OLE_LINK477"/>
          <w:bookmarkStart w:id="34" w:name="OLE_LINK364"/>
          <w:bookmarkStart w:id="35" w:name="OLE_LINK478"/>
          <w:bookmarkStart w:id="36" w:name="OLE_LINK479"/>
          <w:bookmarkStart w:id="37" w:name="OLE_LINK365"/>
          <w:r>
            <w:rPr>
              <w:color w:val="000000" w:themeColor="text1"/>
              <w14:textFill>
                <w14:solidFill>
                  <w14:schemeClr w14:val="tx1"/>
                </w14:solidFill>
              </w14:textFill>
            </w:rPr>
            <w:t>The E-commerce industry has witnessed a rapid intensification of competition driven by technological advancements in recent years. In this highly saturated and competitive marketplace, Amazon faces intense competition from various rivals. Due to the low switching costs, the industry has experienced an influx of players, including small-scale brands and startups (Shen, 2019). Key competitors such as Alibaba, Flipkart, Walmart, and eBay have strategically positioned themselves, further increasing the competitive pressure. The market dynamics, characterized by high aggressiveness and substitute availability, have significantly heightened rivalry. Consequently, this intensified competition among competitors has impacted Amazon's market share and profit margins.</w:t>
          </w:r>
        </w:p>
        <w:bookmarkEnd w:id="33"/>
        <w:bookmarkEnd w:id="34"/>
        <w:bookmarkEnd w:id="35"/>
        <w:bookmarkEnd w:id="36"/>
        <w:bookmarkEnd w:id="37"/>
        <w:p>
          <w:pPr>
            <w:pStyle w:val="10"/>
            <w:spacing w:before="0" w:beforeAutospacing="0" w:after="0" w:afterAutospacing="0" w:line="480" w:lineRule="auto"/>
            <w:jc w:val="both"/>
            <w:rPr>
              <w:color w:val="000000" w:themeColor="text1"/>
              <w14:textFill>
                <w14:solidFill>
                  <w14:schemeClr w14:val="tx1"/>
                </w14:solidFill>
              </w14:textFill>
            </w:rPr>
          </w:pPr>
          <w:r>
            <w:rPr>
              <w:b/>
              <w:bCs/>
              <w:i/>
              <w:iCs/>
              <w:color w:val="000000" w:themeColor="text1"/>
              <w14:textFill>
                <w14:solidFill>
                  <w14:schemeClr w14:val="tx1"/>
                </w14:solidFill>
              </w14:textFill>
            </w:rPr>
            <w:t>Bargaining Power of Buyers</w:t>
          </w:r>
          <w:r>
            <w:rPr>
              <w:color w:val="000000" w:themeColor="text1"/>
              <w14:textFill>
                <w14:solidFill>
                  <w14:schemeClr w14:val="tx1"/>
                </w14:solidFill>
              </w14:textFill>
            </w:rPr>
            <w:t> </w:t>
          </w:r>
        </w:p>
        <w:p>
          <w:pPr>
            <w:pStyle w:val="10"/>
            <w:spacing w:before="0" w:beforeAutospacing="0" w:after="0" w:afterAutospacing="0" w:line="480" w:lineRule="auto"/>
            <w:ind w:firstLine="720"/>
            <w:jc w:val="both"/>
            <w:rPr>
              <w:color w:val="000000" w:themeColor="text1"/>
              <w14:textFill>
                <w14:solidFill>
                  <w14:schemeClr w14:val="tx1"/>
                </w14:solidFill>
              </w14:textFill>
            </w:rPr>
          </w:pPr>
          <w:bookmarkStart w:id="38" w:name="OLE_LINK480"/>
          <w:bookmarkStart w:id="39" w:name="OLE_LINK366"/>
          <w:bookmarkStart w:id="40" w:name="OLE_LINK367"/>
          <w:r>
            <w:rPr>
              <w:color w:val="000000" w:themeColor="text1"/>
              <w14:textFill>
                <w14:solidFill>
                  <w14:schemeClr w14:val="tx1"/>
                </w14:solidFill>
              </w14:textFill>
            </w:rPr>
            <w:t xml:space="preserve">Amazon's consumer-centric approach aligns with its vision statement, emphasizing a focus on meeting customer needs. In the E-commerce industry, consumers can easily access information about various services and products from different suppliers, enabling them to explore alternatives. This accessibility, combined with low switching costs and the availability of substitutes, strengthens the bargaining power of consumers (Takigawa, 2022). Informed consumers, being price-sensitive, negatively impacts Amazon's pricing strategy, leading to lower market profitability and reduced industry attractiveness. The company's success is also built on its commitment to product quality and customer satisfaction.   </w:t>
          </w:r>
        </w:p>
        <w:bookmarkEnd w:id="38"/>
        <w:bookmarkEnd w:id="39"/>
        <w:bookmarkEnd w:id="40"/>
        <w:p>
          <w:pPr>
            <w:pStyle w:val="10"/>
            <w:spacing w:before="0" w:beforeAutospacing="0" w:after="0" w:afterAutospacing="0" w:line="480" w:lineRule="auto"/>
            <w:jc w:val="center"/>
            <w:rPr>
              <w:color w:val="000000" w:themeColor="text1"/>
              <w14:textFill>
                <w14:solidFill>
                  <w14:schemeClr w14:val="tx1"/>
                </w14:solidFill>
              </w14:textFill>
            </w:rPr>
          </w:pPr>
          <w:r>
            <w:rPr>
              <w:color w:val="000000" w:themeColor="text1"/>
              <w:lang w:val="en-US" w:eastAsia="en-US"/>
              <w14:textFill>
                <w14:solidFill>
                  <w14:schemeClr w14:val="tx1"/>
                </w14:solidFill>
              </w14:textFill>
            </w:rPr>
            <w:drawing>
              <wp:inline distT="0" distB="0" distL="0" distR="0">
                <wp:extent cx="4529455" cy="2881630"/>
                <wp:effectExtent l="0" t="0" r="4445" b="1270"/>
                <wp:docPr id="1" name="Picture 1" descr="https://lh7-us.googleusercontent.com/vPakfHoX-JESMmxeQBWlrJ19q0VZiRforttJzUO61HqgYaCZk7fdX9l866ZSPDgeGIK19m2UvW2FuI2KhiPmafM057Kr-orz9JBmkwKE2yeeKbgGYnX2KQtH7voXBef_ExOBdH3rirfGupPX3AyQ2q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7-us.googleusercontent.com/vPakfHoX-JESMmxeQBWlrJ19q0VZiRforttJzUO61HqgYaCZk7fdX9l866ZSPDgeGIK19m2UvW2FuI2KhiPmafM057Kr-orz9JBmkwKE2yeeKbgGYnX2KQtH7voXBef_ExOBdH3rirfGupPX3AyQ2qE"/>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a:xfrm>
                          <a:off x="0" y="0"/>
                          <a:ext cx="4544480" cy="2891098"/>
                        </a:xfrm>
                        <a:prstGeom prst="rect">
                          <a:avLst/>
                        </a:prstGeom>
                        <a:noFill/>
                        <a:ln>
                          <a:noFill/>
                        </a:ln>
                      </pic:spPr>
                    </pic:pic>
                  </a:graphicData>
                </a:graphic>
              </wp:inline>
            </w:drawing>
          </w:r>
        </w:p>
        <w:p>
          <w:pPr>
            <w:pStyle w:val="10"/>
            <w:spacing w:before="0" w:beforeAutospacing="0" w:after="0" w:afterAutospacing="0" w:line="480" w:lineRule="auto"/>
            <w:jc w:val="center"/>
            <w:rPr>
              <w:color w:val="000000" w:themeColor="text1"/>
              <w14:textFill>
                <w14:solidFill>
                  <w14:schemeClr w14:val="tx1"/>
                </w14:solidFill>
              </w14:textFill>
            </w:rPr>
          </w:pPr>
          <w:r>
            <w:rPr>
              <w:b/>
              <w:bCs/>
              <w:color w:val="000000" w:themeColor="text1"/>
              <w14:textFill>
                <w14:solidFill>
                  <w14:schemeClr w14:val="tx1"/>
                </w14:solidFill>
              </w14:textFill>
            </w:rPr>
            <w:t>Figure 1: Porter Five Force Framework</w:t>
          </w:r>
        </w:p>
        <w:p>
          <w:pPr>
            <w:pStyle w:val="10"/>
            <w:spacing w:before="0" w:beforeAutospacing="0" w:after="0" w:afterAutospacing="0" w:line="480" w:lineRule="auto"/>
            <w:jc w:val="center"/>
            <w:rPr>
              <w:color w:val="000000" w:themeColor="text1"/>
              <w14:textFill>
                <w14:solidFill>
                  <w14:schemeClr w14:val="tx1"/>
                </w14:solidFill>
              </w14:textFill>
            </w:rPr>
          </w:pPr>
          <w:r>
            <w:rPr>
              <w:color w:val="000000" w:themeColor="text1"/>
              <w14:textFill>
                <w14:solidFill>
                  <w14:schemeClr w14:val="tx1"/>
                </w14:solidFill>
              </w14:textFill>
            </w:rPr>
            <w:t>(Source: Isabelle et al., 2020)</w:t>
          </w:r>
        </w:p>
        <w:p>
          <w:pPr>
            <w:pStyle w:val="10"/>
            <w:spacing w:before="0" w:beforeAutospacing="0" w:after="0" w:afterAutospacing="0" w:line="480" w:lineRule="auto"/>
            <w:jc w:val="center"/>
            <w:rPr>
              <w:color w:val="000000" w:themeColor="text1"/>
              <w14:textFill>
                <w14:solidFill>
                  <w14:schemeClr w14:val="tx1"/>
                </w14:solidFill>
              </w14:textFill>
            </w:rPr>
          </w:pPr>
        </w:p>
        <w:p>
          <w:pPr>
            <w:pStyle w:val="10"/>
            <w:spacing w:before="0" w:beforeAutospacing="0" w:after="0" w:afterAutospacing="0" w:line="480" w:lineRule="auto"/>
            <w:jc w:val="both"/>
            <w:rPr>
              <w:color w:val="000000" w:themeColor="text1"/>
              <w14:textFill>
                <w14:solidFill>
                  <w14:schemeClr w14:val="tx1"/>
                </w14:solidFill>
              </w14:textFill>
            </w:rPr>
          </w:pPr>
          <w:r>
            <w:rPr>
              <w:b/>
              <w:bCs/>
              <w:i/>
              <w:iCs/>
              <w:color w:val="000000" w:themeColor="text1"/>
              <w14:textFill>
                <w14:solidFill>
                  <w14:schemeClr w14:val="tx1"/>
                </w14:solidFill>
              </w14:textFill>
            </w:rPr>
            <w:t>Bargaining Power of Suppliers </w:t>
          </w:r>
        </w:p>
        <w:p>
          <w:pPr>
            <w:pStyle w:val="10"/>
            <w:spacing w:before="0" w:beforeAutospacing="0" w:after="0" w:afterAutospacing="0" w:line="480" w:lineRule="auto"/>
            <w:ind w:firstLine="720"/>
            <w:jc w:val="both"/>
            <w:rPr>
              <w:color w:val="000000" w:themeColor="text1"/>
              <w14:textFill>
                <w14:solidFill>
                  <w14:schemeClr w14:val="tx1"/>
                </w14:solidFill>
              </w14:textFill>
            </w:rPr>
          </w:pPr>
          <w:bookmarkStart w:id="41" w:name="OLE_LINK370"/>
          <w:bookmarkStart w:id="42" w:name="OLE_LINK369"/>
          <w:bookmarkStart w:id="43" w:name="OLE_LINK368"/>
          <w:bookmarkStart w:id="44" w:name="OLE_LINK481"/>
          <w:r>
            <w:rPr>
              <w:color w:val="000000" w:themeColor="text1"/>
              <w14:textFill>
                <w14:solidFill>
                  <w14:schemeClr w14:val="tx1"/>
                </w14:solidFill>
              </w14:textFill>
            </w:rPr>
            <w:t>Suppliers play a crucial role in the availability of services and products for e-commerce operations, directly impacting profits and prices. Amazon experiences a moderate bargaining power of its suppliers due to factors such as the small population and moderate forward integration (Niu and Zhao, 2023). The company relies on suppliers for hardware and equipment in its cloud services' information systems. Given that most suppliers value selling products in high volumes, Amazon's ability to purchase large quantities limits the supplier's bargaining power, as they do not want to lose a significant buyer (Varma and  Ray, 2023). Additionally, the differentiation of products delivered by suppliers has a moderate impact on the company, considering Amazon's substantial market share.</w:t>
          </w:r>
        </w:p>
        <w:bookmarkEnd w:id="41"/>
        <w:bookmarkEnd w:id="42"/>
        <w:bookmarkEnd w:id="43"/>
        <w:bookmarkEnd w:id="44"/>
        <w:p>
          <w:pPr>
            <w:pStyle w:val="10"/>
            <w:spacing w:before="0" w:beforeAutospacing="0" w:after="0" w:afterAutospacing="0" w:line="480" w:lineRule="auto"/>
            <w:jc w:val="both"/>
            <w:rPr>
              <w:color w:val="000000" w:themeColor="text1"/>
              <w14:textFill>
                <w14:solidFill>
                  <w14:schemeClr w14:val="tx1"/>
                </w14:solidFill>
              </w14:textFill>
            </w:rPr>
          </w:pPr>
          <w:r>
            <w:rPr>
              <w:b/>
              <w:bCs/>
              <w:i/>
              <w:iCs/>
              <w:color w:val="000000" w:themeColor="text1"/>
              <w14:textFill>
                <w14:solidFill>
                  <w14:schemeClr w14:val="tx1"/>
                </w14:solidFill>
              </w14:textFill>
            </w:rPr>
            <w:t>The threat of substitutes </w:t>
          </w:r>
        </w:p>
        <w:p>
          <w:pPr>
            <w:pStyle w:val="10"/>
            <w:spacing w:before="0" w:beforeAutospacing="0" w:after="0" w:afterAutospacing="0" w:line="480" w:lineRule="auto"/>
            <w:ind w:firstLine="720"/>
            <w:jc w:val="both"/>
            <w:rPr>
              <w:color w:val="000000" w:themeColor="text1"/>
              <w14:textFill>
                <w14:solidFill>
                  <w14:schemeClr w14:val="tx1"/>
                </w14:solidFill>
              </w14:textFill>
            </w:rPr>
          </w:pPr>
          <w:bookmarkStart w:id="45" w:name="OLE_LINK371"/>
          <w:bookmarkStart w:id="46" w:name="OLE_LINK482"/>
          <w:bookmarkStart w:id="47" w:name="OLE_LINK372"/>
          <w:r>
            <w:rPr>
              <w:color w:val="000000" w:themeColor="text1"/>
              <w14:textFill>
                <w14:solidFill>
                  <w14:schemeClr w14:val="tx1"/>
                </w14:solidFill>
              </w14:textFill>
            </w:rPr>
            <w:t>Amazon faces a significant threat from substitute services and products in its market operations, primarily due to low switching costs and the abundance of substitute options. The ease with which consumers can transfer their purchases from Amazon to substitute providers is a testament to low switching costs. For example, consumers can opt to buy from retailers like Walmart instead of Amazon, thanks to the wide availability of substitute products (West, 2022). Consequently, Amazon continuously competes against these substitutes to uphold its market leadership position. By delivering effective consumer services, Amazon builds customer loyalty and maintains its market share. However, the presence of close substitutes substantially adversely impacts the company's performance.</w:t>
          </w:r>
        </w:p>
        <w:bookmarkEnd w:id="45"/>
        <w:bookmarkEnd w:id="46"/>
        <w:bookmarkEnd w:id="47"/>
        <w:p>
          <w:pPr>
            <w:pStyle w:val="10"/>
            <w:spacing w:before="0" w:beforeAutospacing="0" w:after="0" w:afterAutospacing="0" w:line="480" w:lineRule="auto"/>
            <w:jc w:val="both"/>
            <w:rPr>
              <w:color w:val="000000" w:themeColor="text1"/>
              <w14:textFill>
                <w14:solidFill>
                  <w14:schemeClr w14:val="tx1"/>
                </w14:solidFill>
              </w14:textFill>
            </w:rPr>
          </w:pPr>
          <w:r>
            <w:rPr>
              <w:b/>
              <w:bCs/>
              <w:i/>
              <w:iCs/>
              <w:color w:val="000000" w:themeColor="text1"/>
              <w14:textFill>
                <w14:solidFill>
                  <w14:schemeClr w14:val="tx1"/>
                </w14:solidFill>
              </w14:textFill>
            </w:rPr>
            <w:t>The threat of new entry </w:t>
          </w:r>
        </w:p>
        <w:p>
          <w:pPr>
            <w:pStyle w:val="10"/>
            <w:spacing w:before="0" w:beforeAutospacing="0" w:after="0" w:afterAutospacing="0" w:line="480" w:lineRule="auto"/>
            <w:ind w:firstLine="720"/>
            <w:jc w:val="both"/>
            <w:rPr>
              <w:color w:val="000000" w:themeColor="text1"/>
              <w14:textFill>
                <w14:solidFill>
                  <w14:schemeClr w14:val="tx1"/>
                </w14:solidFill>
              </w14:textFill>
            </w:rPr>
          </w:pPr>
          <w:bookmarkStart w:id="48" w:name="OLE_LINK374"/>
          <w:bookmarkStart w:id="49" w:name="OLE_LINK373"/>
          <w:bookmarkStart w:id="50" w:name="OLE_LINK483"/>
          <w:r>
            <w:rPr>
              <w:color w:val="000000" w:themeColor="text1"/>
              <w14:textFill>
                <w14:solidFill>
                  <w14:schemeClr w14:val="tx1"/>
                </w14:solidFill>
              </w14:textFill>
            </w:rPr>
            <w:t>Amazon's strong brand image and consistent profitability position it as a market giant in the e-commerce industry. The company benefits from a high economic scale and an adequate profit margin, primarily due to the low threat of new entrants. The high cost of brand development and low switching costs create barriers to entry, limiting the scope for new competitors (Zenkina, 2022). Establishing a large-scale operation in e-commerce requires significant investments in areas such as logistics, consumer services, and marketing. Small-scale companies also face challenges in capturing a significant consumer segment due to the low switching costs. Overall, the threat of new entrants could be stronger, posing no substantial setback for Amazon.</w:t>
          </w:r>
        </w:p>
        <w:bookmarkEnd w:id="48"/>
        <w:bookmarkEnd w:id="49"/>
        <w:bookmarkEnd w:id="50"/>
        <w:p>
          <w:pPr>
            <w:pStyle w:val="2"/>
            <w:jc w:val="both"/>
            <w:rPr>
              <w:color w:val="000000" w:themeColor="text1"/>
              <w14:textFill>
                <w14:solidFill>
                  <w14:schemeClr w14:val="tx1"/>
                </w14:solidFill>
              </w14:textFill>
            </w:rPr>
          </w:pPr>
          <w:bookmarkStart w:id="51" w:name="_Toc14787"/>
          <w:bookmarkStart w:id="52" w:name="_Toc148998332"/>
          <w:r>
            <w:rPr>
              <w:color w:val="000000" w:themeColor="text1"/>
              <w14:textFill>
                <w14:solidFill>
                  <w14:schemeClr w14:val="tx1"/>
                </w14:solidFill>
              </w14:textFill>
            </w:rPr>
            <w:t>PEST</w:t>
          </w:r>
          <w:r>
            <w:rPr>
              <w:rFonts w:hint="eastAsia"/>
              <w:color w:val="000000" w:themeColor="text1"/>
              <w:lang w:val="en-US" w:eastAsia="zh-CN"/>
              <w14:textFill>
                <w14:solidFill>
                  <w14:schemeClr w14:val="tx1"/>
                </w14:solidFill>
              </w14:textFill>
            </w:rPr>
            <w:t>LE</w:t>
          </w:r>
          <w:r>
            <w:rPr>
              <w:color w:val="000000" w:themeColor="text1"/>
              <w14:textFill>
                <w14:solidFill>
                  <w14:schemeClr w14:val="tx1"/>
                </w14:solidFill>
              </w14:textFill>
            </w:rPr>
            <w:t xml:space="preserve"> Analysis</w:t>
          </w:r>
          <w:bookmarkEnd w:id="51"/>
          <w:bookmarkEnd w:id="52"/>
        </w:p>
        <w:p>
          <w:pPr>
            <w:pStyle w:val="3"/>
            <w:rPr>
              <w:color w:val="000000" w:themeColor="text1"/>
              <w14:textFill>
                <w14:solidFill>
                  <w14:schemeClr w14:val="tx1"/>
                </w14:solidFill>
              </w14:textFill>
            </w:rPr>
          </w:pPr>
          <w:bookmarkStart w:id="53" w:name="_Toc29843"/>
          <w:bookmarkStart w:id="54" w:name="_Toc148998333"/>
          <w:r>
            <w:rPr>
              <w:color w:val="000000" w:themeColor="text1"/>
              <w14:textFill>
                <w14:solidFill>
                  <w14:schemeClr w14:val="tx1"/>
                </w14:solidFill>
              </w14:textFill>
            </w:rPr>
            <w:t>Political Factors</w:t>
          </w:r>
          <w:bookmarkEnd w:id="53"/>
          <w:bookmarkEnd w:id="54"/>
          <w:r>
            <w:rPr>
              <w:color w:val="000000" w:themeColor="text1"/>
              <w14:textFill>
                <w14:solidFill>
                  <w14:schemeClr w14:val="tx1"/>
                </w14:solidFill>
              </w14:textFill>
            </w:rPr>
            <w:t xml:space="preserve"> </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55" w:name="OLE_LINK376"/>
          <w:bookmarkStart w:id="56" w:name="OLE_LINK375"/>
          <w:bookmarkStart w:id="57" w:name="OLE_LINK484"/>
          <w:bookmarkStart w:id="58" w:name="OLE_LINK485"/>
          <w:r>
            <w:rPr>
              <w:rFonts w:ascii="Times New Roman" w:hAnsi="Times New Roman" w:cs="Times New Roman"/>
              <w:color w:val="000000" w:themeColor="text1"/>
              <w:sz w:val="24"/>
              <w:szCs w:val="24"/>
              <w14:textFill>
                <w14:solidFill>
                  <w14:schemeClr w14:val="tx1"/>
                </w14:solidFill>
              </w14:textFill>
            </w:rPr>
            <w:t>Political factors play a crucial role in the success or failure of multinational corporations like Amazon. Government legislation and regulations, particularly those related to e-commerce and online sales, significantly impact the company's operations and profitability. For example, favourable policies in the US allowed Amazon to expand its operations and save on operational costs by avoiding taxes in states lacking a physical presence, enabling it to offer products at competitive prices (Huang et al., 2020). However, a landmark Supreme Court ruling in 2018 required the company to collect sales taxes even in areas without a physical presence, impacting its operations (Ford and Palmer, 2019). Additionally, in response to geopolitical situations, Amazon has made strategic decisions such as scaling down operations in Russia during the Ukraine-Russia war to support Ukraine.</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As one of the largest multinational organizations globally, Amazon's operations and supply chains span multiple continents, regions, and countries. International trade agreements play a significant role in the company's ability to establish operations and expand its extensive supply chains worldwide (Çitilci and Akbalık, 2020). Government tax policies also have a substantial impact on the organization. Different tariff and taxation policies in different countries can affect Amazon's operations. Governments often use unfair tax policies to discourage the growth of multinational corporations like Amazon (Pierleoni et al., 2019). Moreover, political stability is crucial for the success of the organization. Complex supply chains, reliable financial and legal services, and a skilled workforce rely on political stability to ensure smooth operations (Aversa et al., 2021).</w:t>
          </w:r>
          <w:bookmarkEnd w:id="55"/>
          <w:bookmarkEnd w:id="56"/>
          <w:bookmarkStart w:id="59" w:name="OLE_LINK377"/>
          <w:bookmarkStart w:id="60" w:name="OLE_LINK378"/>
        </w:p>
        <w:bookmarkEnd w:id="57"/>
        <w:bookmarkEnd w:id="58"/>
        <w:bookmarkEnd w:id="59"/>
        <w:bookmarkEnd w:id="60"/>
        <w:p>
          <w:pPr>
            <w:pStyle w:val="3"/>
            <w:rPr>
              <w:color w:val="000000" w:themeColor="text1"/>
              <w14:textFill>
                <w14:solidFill>
                  <w14:schemeClr w14:val="tx1"/>
                </w14:solidFill>
              </w14:textFill>
            </w:rPr>
          </w:pPr>
          <w:bookmarkStart w:id="61" w:name="_Toc28006"/>
          <w:bookmarkStart w:id="62" w:name="_Toc148998334"/>
          <w:r>
            <w:rPr>
              <w:color w:val="000000" w:themeColor="text1"/>
              <w14:textFill>
                <w14:solidFill>
                  <w14:schemeClr w14:val="tx1"/>
                </w14:solidFill>
              </w14:textFill>
            </w:rPr>
            <w:t>Economic Factors</w:t>
          </w:r>
          <w:bookmarkEnd w:id="61"/>
          <w:bookmarkEnd w:id="62"/>
          <w:r>
            <w:rPr>
              <w:color w:val="000000" w:themeColor="text1"/>
              <w14:textFill>
                <w14:solidFill>
                  <w14:schemeClr w14:val="tx1"/>
                </w14:solidFill>
              </w14:textFill>
            </w:rPr>
            <w:t xml:space="preserve"> </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63" w:name="OLE_LINK383"/>
          <w:bookmarkStart w:id="64" w:name="OLE_LINK384"/>
          <w:bookmarkStart w:id="65" w:name="OLE_LINK486"/>
          <w:bookmarkStart w:id="66" w:name="OLE_LINK487"/>
          <w:r>
            <w:rPr>
              <w:rFonts w:ascii="Times New Roman" w:hAnsi="Times New Roman" w:cs="Times New Roman"/>
              <w:color w:val="000000" w:themeColor="text1"/>
              <w:sz w:val="24"/>
              <w:szCs w:val="24"/>
              <w14:textFill>
                <w14:solidFill>
                  <w14:schemeClr w14:val="tx1"/>
                </w14:solidFill>
              </w14:textFill>
            </w:rPr>
            <w:t>Several economic factors have a significant impact on Amazon. These factors include interest rates, consumer spending patterns, inflationary pressure, new demand pressure, and changes in exchange rates. The profitability of multinational firms like Amazon is influenced by the macroeconomic situation (Globocnik et al., 2020).</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Consumer spending patterns are crucial for companies like Amazon, as their ability to provide a wide range of goods and services quickly and affordably relies on consumerism. Economic downturns and inflation can decrease consumers' purchasing power, reducing consumer spending. This, in turn, adversely affects Amazon's revenue (Delfanti, 2021). However, recent trends have shown that online retailers like Amazon are often less affected by economic conditions due to the necessity of their products.</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Fluctuations in exchange rates also impact Amazon's operations. Since Amazon operates in many countries, changes in exchange rates can harm the company's ability to compete internationally (Hassel and Sieker, 2022). Strengthening the currency can force Amazon to sell its products at higher prices, making them less attractive to consumers. Fluctuations in exchange rates may also result in losses for Amazon, such as in investments across different nations, employee salary payments, and overall profitability. However, it is essential to note that fluctuations in exchange rates can sometimes favour the organization.</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Amazon has a significant opportunity to gain market share, particularly in developing nations where internet penetration is increasing. The company can leverage this growth in internet users to expand its customer base. Developing nations also offer advantages such as low-cost products and labour costs, which can be beneficial for Amazon (Wang and Miller, 2020).</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Favorable economic policies are crucial for Amazon's growth. Economies of scale play a significant role in the company's success. These economies of scale provide advantages such as efficient supply chains, cost savings, market dominance, diversification into new markets, and a competitive edge over smaller firms (Sandhya, 2023).</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Global supply networks are essential for Amazon's ability to offer products at reasonable prices and efficiently ship them worldwide. These supply chains give Amazon access to a wide range of products and enable the organization to transport them quickly and effectively across different regions (Delfanti, 2021). This allows Amazon to provide customers with diverse products, including those that may not be readily available in local markets (Goel et al., 2020).</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In summary, the increase in internet penetration in developing nations presents an opportunity for Amazon to expand its market share. Favourable economic policies and efficient global supply chains further contribute to the company's success by enabling cost savings, diversification, and effective product delivery.</w:t>
          </w:r>
          <w:bookmarkEnd w:id="63"/>
          <w:bookmarkEnd w:id="64"/>
          <w:bookmarkStart w:id="67" w:name="OLE_LINK385"/>
          <w:bookmarkStart w:id="68" w:name="OLE_LINK386"/>
        </w:p>
        <w:bookmarkEnd w:id="65"/>
        <w:bookmarkEnd w:id="66"/>
        <w:bookmarkEnd w:id="67"/>
        <w:bookmarkEnd w:id="68"/>
        <w:p>
          <w:pPr>
            <w:pStyle w:val="3"/>
            <w:rPr>
              <w:color w:val="000000" w:themeColor="text1"/>
              <w14:textFill>
                <w14:solidFill>
                  <w14:schemeClr w14:val="tx1"/>
                </w14:solidFill>
              </w14:textFill>
            </w:rPr>
          </w:pPr>
          <w:bookmarkStart w:id="69" w:name="_Toc27288"/>
          <w:bookmarkStart w:id="70" w:name="_Toc148998335"/>
          <w:r>
            <w:rPr>
              <w:color w:val="000000" w:themeColor="text1"/>
              <w14:textFill>
                <w14:solidFill>
                  <w14:schemeClr w14:val="tx1"/>
                </w14:solidFill>
              </w14:textFill>
            </w:rPr>
            <w:t>Social Factors</w:t>
          </w:r>
          <w:bookmarkEnd w:id="69"/>
          <w:bookmarkEnd w:id="70"/>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71" w:name="OLE_LINK391"/>
          <w:bookmarkStart w:id="72" w:name="OLE_LINK390"/>
          <w:bookmarkStart w:id="73" w:name="OLE_LINK488"/>
          <w:r>
            <w:rPr>
              <w:rFonts w:ascii="Times New Roman" w:hAnsi="Times New Roman" w:cs="Times New Roman"/>
              <w:color w:val="000000" w:themeColor="text1"/>
              <w:sz w:val="24"/>
              <w:szCs w:val="24"/>
              <w14:textFill>
                <w14:solidFill>
                  <w14:schemeClr w14:val="tx1"/>
                </w14:solidFill>
              </w14:textFill>
            </w:rPr>
            <w:t>Favorable social factors have been instrumental in driving Amazon's success. The popularity of e-commerce and online shopping has provided a solid foundation for the company's growth and market presence (Alshmrani, 2021). Amazon has capitalized on the rapid rise of these industries, positioning itself as a leader in the expanding market. The increasing popularity of e-commerce and online shopping can be attributed to several factors, including greater internet penetration, convenience, the advent of payment processing services, increased availability of mobile devices, and the significant surge in social media marketing (Ross et al., 2019).</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Changes in consumer spending patterns also play a pivotal role in Amazon's success. As a multinational corporation, Amazon must consider and adapt to local cultural customs and preferences, which can vary significantly across different countries (Rikap and Lundvall, 2022). Understanding and accommodating these cultural factors are essential for Amazon to effectively cater to diverse markets and establish a strong presence internationally.</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Demographic trends are another critical social factor influencing Amazon's market operations (Altrad et al., 2021). The company needs to consider demographics such as the aging population. Older individuals, who may have difficulty with mobility, value the convenience offered by Internet retail services. Understanding the shifting customer preferences of this age group is crucial for Amazon's future success. Moreover, addressing technological barriers and building trust among older customers is essential for Amazon to tap into this segment effectively.</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Amazon's positive social impact has significantly contributed to its popularity. The company has created employment opportunities worldwide, benefiting numerous individuals. Additionally, Amazon's economic strategy has enhanced access to a wide range of products for people, particularly those in rural areas. The company's commitment to affordability and price competition has improved the accessibility of its products globally. Furthermore, Amazon's research and development efforts in technical innovation have positively affected other sectors and industries (Delfanti and Frey, 2021). The company is also dedicated to philanthropy, supporting various charitable organizations addressing diverse challenges such as natural disasters and education initiatives. Moreover, Amazon's initiatives, such as Amazon Web Services and Amazon Marketplace, aim to support small businesses in reaching a global audience.</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In conclusion, favourable social factors, including the popularity of e-commerce, changes in consumer spending patterns, demographic trends, and Amazon's positive social impact, have contributed to the company's success. Understanding and adapting to these social factors are crucial for Amazon to maintain its market leadership and continue its growth trajectory.</w:t>
          </w:r>
        </w:p>
        <w:bookmarkEnd w:id="71"/>
        <w:bookmarkEnd w:id="72"/>
        <w:bookmarkEnd w:id="73"/>
        <w:p>
          <w:pPr>
            <w:pStyle w:val="3"/>
            <w:rPr>
              <w:color w:val="000000" w:themeColor="text1"/>
              <w14:textFill>
                <w14:solidFill>
                  <w14:schemeClr w14:val="tx1"/>
                </w14:solidFill>
              </w14:textFill>
            </w:rPr>
          </w:pPr>
          <w:bookmarkStart w:id="74" w:name="_Toc148998336"/>
          <w:bookmarkStart w:id="75" w:name="_Toc20917"/>
          <w:r>
            <w:rPr>
              <w:color w:val="000000" w:themeColor="text1"/>
              <w14:textFill>
                <w14:solidFill>
                  <w14:schemeClr w14:val="tx1"/>
                </w14:solidFill>
              </w14:textFill>
            </w:rPr>
            <w:t>Technological factors</w:t>
          </w:r>
          <w:bookmarkEnd w:id="74"/>
          <w:bookmarkEnd w:id="75"/>
          <w:r>
            <w:rPr>
              <w:color w:val="000000" w:themeColor="text1"/>
              <w14:textFill>
                <w14:solidFill>
                  <w14:schemeClr w14:val="tx1"/>
                </w14:solidFill>
              </w14:textFill>
            </w:rPr>
            <w:t xml:space="preserve"> </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76" w:name="OLE_LINK392"/>
          <w:bookmarkStart w:id="77" w:name="OLE_LINK393"/>
          <w:bookmarkStart w:id="78" w:name="OLE_LINK489"/>
          <w:r>
            <w:rPr>
              <w:rFonts w:ascii="Times New Roman" w:hAnsi="Times New Roman" w:cs="Times New Roman"/>
              <w:color w:val="000000" w:themeColor="text1"/>
              <w:sz w:val="24"/>
              <w:szCs w:val="24"/>
              <w14:textFill>
                <w14:solidFill>
                  <w14:schemeClr w14:val="tx1"/>
                </w14:solidFill>
              </w14:textFill>
            </w:rPr>
            <w:t>Technological factors significantly influence Amazon's operations and contribute to its overall success. As a technology-focused company, Amazon prioritizes integrating advanced technology into its business model. The organization's constant drive towards innovation is a crucial technological factor that shapes its operations, positioning Amazon as a leader in implementing new technologies (West, 2019). This commitment to innovation is evident in the company's investments across various industries, including cloud computing, Artificial Intelligence (AI), and robotics</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The emergence and implementation of AI have positively impacted Amazon's operations and competitiveness. The organization leverages AI in multiple aspects of its business. By utilizing AI and machine learning algorithms, Amazon can provide more personalized product recommendations to customers based on their purchasing history and buying behaviour (Goel et al., 2020). AI technology is also integrated into Amazon's products, such as Alexa, enabling voice-activated assistance and smart home automation. These AI-driven innovations enhance the customer experience and contribute to the company's success.</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Additionally, Amazon recognizes the potential of automation in addressing societal challenges, such as ageing populations and declining birth rates, which impact the labour market and the availability of skilled workers (Rikap, 2022). Implementing automation technologies can mitigate these challenges and ensure efficient operations within the organization.</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Furthermore, Amazon focuses on utilizing technology to enhance its delivery services. One notable example is the company's investment in drone delivery. By leveraging drone technology, Amazon aims to improve the effectiveness and speed of product delivery to customers, providing a more seamless and convenient experience (West, 2019).</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In summary, technological factors are crucial in Amazon's operations and contribute to its success. The company's emphasis on innovation, utilization of AI in various business operations, investment in automation, and exploration of advanced delivery technologies demonstrates its commitment to leveraging technology to improve efficiency, customer experience, and overall competitiveness.</w:t>
          </w:r>
        </w:p>
        <w:bookmarkEnd w:id="76"/>
        <w:bookmarkEnd w:id="77"/>
        <w:bookmarkEnd w:id="78"/>
        <w:p>
          <w:pPr>
            <w:pStyle w:val="3"/>
            <w:rPr>
              <w:color w:val="000000" w:themeColor="text1"/>
              <w14:textFill>
                <w14:solidFill>
                  <w14:schemeClr w14:val="tx1"/>
                </w14:solidFill>
              </w14:textFill>
            </w:rPr>
          </w:pPr>
          <w:bookmarkStart w:id="79" w:name="_Toc32563"/>
          <w:bookmarkStart w:id="80" w:name="_Toc148998337"/>
          <w:r>
            <w:rPr>
              <w:color w:val="000000" w:themeColor="text1"/>
              <w14:textFill>
                <w14:solidFill>
                  <w14:schemeClr w14:val="tx1"/>
                </w14:solidFill>
              </w14:textFill>
            </w:rPr>
            <w:t>Legal factors</w:t>
          </w:r>
          <w:bookmarkEnd w:id="79"/>
          <w:bookmarkEnd w:id="80"/>
          <w:r>
            <w:rPr>
              <w:color w:val="000000" w:themeColor="text1"/>
              <w14:textFill>
                <w14:solidFill>
                  <w14:schemeClr w14:val="tx1"/>
                </w14:solidFill>
              </w14:textFill>
            </w:rPr>
            <w:t xml:space="preserve"> </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81" w:name="OLE_LINK394"/>
          <w:bookmarkStart w:id="82" w:name="OLE_LINK490"/>
          <w:bookmarkStart w:id="83" w:name="OLE_LINK395"/>
          <w:r>
            <w:rPr>
              <w:rFonts w:ascii="Times New Roman" w:hAnsi="Times New Roman" w:cs="Times New Roman"/>
              <w:color w:val="000000" w:themeColor="text1"/>
              <w:sz w:val="24"/>
              <w:szCs w:val="24"/>
              <w14:textFill>
                <w14:solidFill>
                  <w14:schemeClr w14:val="tx1"/>
                </w14:solidFill>
              </w14:textFill>
            </w:rPr>
            <w:t>Effective legal frameworks are crucial for Amazon to operate efficiently and conduct its operations worldwide. As a multinational corporation, Amazon is subject to various laws and regulations in its operating countries (Waseem et al., 2019). Several vital legal factors influence Amazon's operations, including intellectual property laws.</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Intellectual property laws are of paramount importance for large corporations like Amazon, as they significantly impact various aspects of the company's operations, particularly in technology, product sales, and shipment. These laws protect Amazon's trademarks, ensuring that the company does not infringe on the trademark rights of other businesses.</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Copyright protection laws also play a critical role in safeguarding technologies and proprietary information used by firms like Amazon, including unique algorithms, packaging, and delivery technologies (Laudon and Traver, 2021). Compliance with standards and protocols related to using customers' personal information and national security and the potential consequences for violating these standards are examples of how cybersecurity legislation can impact Amazon's operations.</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Legislation regarding workers' rights also significantly influences Amazon's operations. As one of the largest employers globally, Amazon has faced controversies in areas where it operates. Various labour regulations, such as those governing minimum wage, worker categorization, and workplace safety, profoundly impact the company's hiring practices.</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In summary, legal factors are crucial in shaping Amazon's operations. Intellectual property laws protect the company's trademarks and proprietary technologies, while copyright laws safeguard its unique algorithms and delivery systems. Compliance with cybersecurity legislation ensures the protection of customer data and national security. Additionally, labour laws impact Amazon's employment practices, including issues related to minimum wage, worker classification, and workplace safety. Adhering to these legal frameworks is essential for Amazon to operate within the boundaries set by regulatory authorities and ensure its long-term success.</w:t>
          </w:r>
        </w:p>
        <w:bookmarkEnd w:id="81"/>
        <w:bookmarkEnd w:id="82"/>
        <w:bookmarkEnd w:id="83"/>
        <w:p>
          <w:pPr>
            <w:pStyle w:val="3"/>
            <w:rPr>
              <w:color w:val="000000" w:themeColor="text1"/>
              <w14:textFill>
                <w14:solidFill>
                  <w14:schemeClr w14:val="tx1"/>
                </w14:solidFill>
              </w14:textFill>
            </w:rPr>
          </w:pPr>
          <w:bookmarkStart w:id="84" w:name="_Toc4453"/>
          <w:bookmarkStart w:id="85" w:name="_Toc148998338"/>
          <w:r>
            <w:rPr>
              <w:color w:val="000000" w:themeColor="text1"/>
              <w14:textFill>
                <w14:solidFill>
                  <w14:schemeClr w14:val="tx1"/>
                </w14:solidFill>
              </w14:textFill>
            </w:rPr>
            <w:t>Environmental factors</w:t>
          </w:r>
          <w:bookmarkEnd w:id="84"/>
          <w:bookmarkEnd w:id="85"/>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bookmarkStart w:id="86" w:name="OLE_LINK397"/>
          <w:bookmarkStart w:id="87" w:name="OLE_LINK396"/>
          <w:bookmarkStart w:id="88" w:name="OLE_LINK491"/>
          <w:r>
            <w:rPr>
              <w:rFonts w:ascii="Times New Roman" w:hAnsi="Times New Roman" w:cs="Times New Roman"/>
              <w:color w:val="000000" w:themeColor="text1"/>
              <w:sz w:val="24"/>
              <w:szCs w:val="24"/>
              <w14:textFill>
                <w14:solidFill>
                  <w14:schemeClr w14:val="tx1"/>
                </w14:solidFill>
              </w14:textFill>
            </w:rPr>
            <w:t>Environmental factors significantly influence Amazon's operations, and the company has made notable commitments to reduce its environmental impact and promote sustainability. One of Amazon's primary environmental goals is to achieve net-zero carbon emissions by 2040 through its Amazon Climate Change initiative (Backes et al., 2019). This commitment drives the organization to invest in various environmental initiatives and adopt eco-friendly technologies.</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Amazon has increased its investment in sustainable energy and technology sources to reduce its carbon footprint. This includes transitioning to renewable energy for its operations, such as powering data and fulfilment centres with solar and wind energy. The company also aims to enhance the utilization of electric vehicles in its delivery and logistics practices, reducing reliance on fossil fuel-powered vehicles.</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Using sustainable building materials is another aspect of Amazon's environmental initiatives. The company focuses on environmentally friendly buildings incorporating energy-efficient systems and materials with reduced environmental impact.</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Furthermore, Amazon recognizes the issue of excessive packaging materials and has taken steps to address it. While the company has been criticized for its packaging practices (Castro et al., 2019), it has implemented waste management measures. Initiatives include reducing packaging size by 7%, which helps decrease the amount of waste generated. Through awareness campaigns and initiatives, Amazon also encourages customers to reuse or recycle packaging materials.</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It is important to note that investing in sustainable energy and implementing waste management measures may require significant capital investment and can impact the company's overhead costs. However, Amazon's dedication to environmental protection aligns with growing consumer expectations for sustainable practices and can enhance the company's reputation as an environmentally responsible organization.</w:t>
          </w:r>
        </w:p>
        <w:p>
          <w:pPr>
            <w:spacing w:line="480" w:lineRule="auto"/>
            <w:ind w:firstLine="720"/>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In summary, environmental factors significantly influence Amazon's operations. The company's commitment to achieving net-zero carbon emissions, investing in sustainable energy, utilizing electric vehicles, adopting sustainable building materials, and addressing packaging waste demonstrates its dedication to environmental sustainability. By implementing these initiatives, Amazon aims to reduce its environmental impact and meet the expectations of environmentally conscious consumers.</w:t>
          </w:r>
        </w:p>
        <w:bookmarkEnd w:id="86"/>
        <w:bookmarkEnd w:id="87"/>
        <w:bookmarkEnd w:id="88"/>
        <w:p>
          <w:pPr>
            <w:pStyle w:val="2"/>
            <w:jc w:val="both"/>
            <w:rPr>
              <w:color w:val="000000" w:themeColor="text1"/>
              <w14:textFill>
                <w14:solidFill>
                  <w14:schemeClr w14:val="tx1"/>
                </w14:solidFill>
              </w14:textFill>
            </w:rPr>
          </w:pPr>
          <w:bookmarkStart w:id="89" w:name="_Toc318"/>
          <w:bookmarkStart w:id="90" w:name="_Toc148998339"/>
          <w:r>
            <w:rPr>
              <w:color w:val="000000" w:themeColor="text1"/>
              <w14:textFill>
                <w14:solidFill>
                  <w14:schemeClr w14:val="tx1"/>
                </w14:solidFill>
              </w14:textFill>
            </w:rPr>
            <w:t>SWOT analysis</w:t>
          </w:r>
          <w:bookmarkEnd w:id="89"/>
          <w:bookmarkEnd w:id="90"/>
          <w:r>
            <w:rPr>
              <w:color w:val="000000" w:themeColor="text1"/>
              <w14:textFill>
                <w14:solidFill>
                  <w14:schemeClr w14:val="tx1"/>
                </w14:solidFill>
              </w14:textFill>
            </w:rPr>
            <w:t xml:space="preserve"> </w:t>
          </w:r>
        </w:p>
        <w:p>
          <w:pPr>
            <w:pStyle w:val="3"/>
            <w:rPr>
              <w:color w:val="000000" w:themeColor="text1"/>
              <w:lang w:val="en-IN" w:eastAsia="en-IN"/>
              <w14:textFill>
                <w14:solidFill>
                  <w14:schemeClr w14:val="tx1"/>
                </w14:solidFill>
              </w14:textFill>
            </w:rPr>
          </w:pPr>
          <w:bookmarkStart w:id="91" w:name="_Toc148998340"/>
          <w:bookmarkStart w:id="92" w:name="_Toc6933"/>
          <w:r>
            <w:rPr>
              <w:color w:val="000000" w:themeColor="text1"/>
              <w:lang w:val="en-IN" w:eastAsia="en-IN"/>
              <w14:textFill>
                <w14:solidFill>
                  <w14:schemeClr w14:val="tx1"/>
                </w14:solidFill>
              </w14:textFill>
            </w:rPr>
            <w:t>Strength</w:t>
          </w:r>
          <w:bookmarkEnd w:id="91"/>
          <w:r>
            <w:rPr>
              <w:color w:val="000000" w:themeColor="text1"/>
              <w:lang w:val="en-IN" w:eastAsia="en-IN"/>
              <w14:textFill>
                <w14:solidFill>
                  <w14:schemeClr w14:val="tx1"/>
                </w14:solidFill>
              </w14:textFill>
            </w:rPr>
            <w:t> </w:t>
          </w:r>
          <w:bookmarkEnd w:id="92"/>
        </w:p>
        <w:p>
          <w:pPr>
            <w:spacing w:line="480" w:lineRule="auto"/>
            <w:ind w:firstLine="720"/>
            <w:jc w:val="both"/>
            <w:rPr>
              <w:rFonts w:ascii="Times New Roman" w:hAnsi="Times New Roman" w:eastAsia="Times New Roman" w:cs="Times New Roman"/>
              <w:color w:val="000000" w:themeColor="text1"/>
              <w:sz w:val="24"/>
              <w:szCs w:val="24"/>
              <w:lang w:val="en-US" w:eastAsia="en-IN"/>
              <w14:textFill>
                <w14:solidFill>
                  <w14:schemeClr w14:val="tx1"/>
                </w14:solidFill>
              </w14:textFill>
            </w:rPr>
          </w:pPr>
          <w:bookmarkStart w:id="93" w:name="OLE_LINK492"/>
          <w:bookmarkStart w:id="94" w:name="OLE_LINK399"/>
          <w:bookmarkStart w:id="95" w:name="OLE_LINK398"/>
          <w:r>
            <w:rPr>
              <w:rFonts w:ascii="Times New Roman" w:hAnsi="Times New Roman" w:eastAsia="Times New Roman" w:cs="Times New Roman"/>
              <w:color w:val="000000" w:themeColor="text1"/>
              <w:sz w:val="24"/>
              <w:szCs w:val="24"/>
              <w:lang w:val="en-US" w:eastAsia="en-IN"/>
              <w14:textFill>
                <w14:solidFill>
                  <w14:schemeClr w14:val="tx1"/>
                </w14:solidFill>
              </w14:textFill>
            </w:rPr>
            <w:t>Amazon has a strong market reputation and brand recognition, providing a competitive operation advantage. The company's history and successful marketing campaigns have contributed to its market leadership. However, the market in which Amazon operates is highly competitive, necessitating adopting strategies that differentiate it from competitors. A consumer-centric approach is Amazon's core strength, enabling the establishment of a reliable and trusted brand. The company's diversified product portfolio appeals to a wide range of consumers. However, managing the diverse needs and queries of customers can present challenges. Amazon's Prime memberships, free shipping, and live streaming contribute to consumer loyalty and increased purchasing frequency. Additionally, the company benefits from a robust logistics and delivery network supported by advanced technologies, bolstering its consumer base and financial performance.</w:t>
          </w:r>
        </w:p>
        <w:bookmarkEnd w:id="93"/>
        <w:bookmarkEnd w:id="94"/>
        <w:bookmarkEnd w:id="95"/>
        <w:p>
          <w:pPr>
            <w:pStyle w:val="3"/>
            <w:rPr>
              <w:color w:val="000000" w:themeColor="text1"/>
              <w:lang w:val="en-IN" w:eastAsia="en-IN"/>
              <w14:textFill>
                <w14:solidFill>
                  <w14:schemeClr w14:val="tx1"/>
                </w14:solidFill>
              </w14:textFill>
            </w:rPr>
          </w:pPr>
          <w:bookmarkStart w:id="96" w:name="_Toc148998341"/>
          <w:bookmarkStart w:id="97" w:name="_Toc15196"/>
          <w:r>
            <w:rPr>
              <w:color w:val="000000" w:themeColor="text1"/>
              <w:lang w:val="en-IN" w:eastAsia="en-IN"/>
              <w14:textFill>
                <w14:solidFill>
                  <w14:schemeClr w14:val="tx1"/>
                </w14:solidFill>
              </w14:textFill>
            </w:rPr>
            <w:t>Weakness</w:t>
          </w:r>
          <w:bookmarkEnd w:id="96"/>
          <w:r>
            <w:rPr>
              <w:color w:val="000000" w:themeColor="text1"/>
              <w:lang w:val="en-IN" w:eastAsia="en-IN"/>
              <w14:textFill>
                <w14:solidFill>
                  <w14:schemeClr w14:val="tx1"/>
                </w14:solidFill>
              </w14:textFill>
            </w:rPr>
            <w:t> </w:t>
          </w:r>
          <w:bookmarkEnd w:id="97"/>
        </w:p>
        <w:p>
          <w:pPr>
            <w:spacing w:line="480" w:lineRule="auto"/>
            <w:ind w:firstLine="720"/>
            <w:jc w:val="both"/>
            <w:rPr>
              <w:rFonts w:ascii="Times New Roman" w:hAnsi="Times New Roman" w:eastAsia="Times New Roman" w:cs="Times New Roman"/>
              <w:color w:val="000000" w:themeColor="text1"/>
              <w:sz w:val="24"/>
              <w:szCs w:val="24"/>
              <w:lang w:val="en-IN" w:eastAsia="en-IN"/>
              <w14:textFill>
                <w14:solidFill>
                  <w14:schemeClr w14:val="tx1"/>
                </w14:solidFill>
              </w14:textFill>
            </w:rPr>
          </w:pPr>
          <w:bookmarkStart w:id="98" w:name="OLE_LINK401"/>
          <w:bookmarkStart w:id="99" w:name="OLE_LINK493"/>
          <w:bookmarkStart w:id="100" w:name="OLE_LINK400"/>
          <w:r>
            <w:rPr>
              <w:rFonts w:ascii="Times New Roman" w:hAnsi="Times New Roman" w:eastAsia="Times New Roman" w:cs="Times New Roman"/>
              <w:color w:val="000000" w:themeColor="text1"/>
              <w:sz w:val="24"/>
              <w:szCs w:val="24"/>
              <w:lang w:val="en-IN" w:eastAsia="en-IN"/>
              <w14:textFill>
                <w14:solidFill>
                  <w14:schemeClr w14:val="tx1"/>
                </w14:solidFill>
              </w14:textFill>
            </w:rPr>
            <w:t>One of Amazon's key weaknesses is its thin profit margins, resulting from its focus on fast shipping and low prices. However, offering low prices is crucial in attracting customers. The company's reliance on third-party sellers is another weakness, posing risks of quality control issues and counterfeit products. Regulatory scrutiny due to market dominance has negatively impacted Amazon's public relations. Labour disputes have disrupted operations and led to poor outcomes. Data security concerns have also been a weakness, potentially resulting in the loss of consumer trust. However, the company has recently taken initiatives to enhance customer data protection.</w:t>
          </w:r>
        </w:p>
        <w:bookmarkEnd w:id="98"/>
        <w:bookmarkEnd w:id="99"/>
        <w:bookmarkEnd w:id="100"/>
        <w:p>
          <w:pPr>
            <w:pStyle w:val="3"/>
            <w:rPr>
              <w:color w:val="000000" w:themeColor="text1"/>
              <w:lang w:val="en-IN" w:eastAsia="en-IN"/>
              <w14:textFill>
                <w14:solidFill>
                  <w14:schemeClr w14:val="tx1"/>
                </w14:solidFill>
              </w14:textFill>
            </w:rPr>
          </w:pPr>
          <w:bookmarkStart w:id="101" w:name="_Toc148998342"/>
          <w:bookmarkStart w:id="102" w:name="_Toc21334"/>
          <w:r>
            <w:rPr>
              <w:color w:val="000000" w:themeColor="text1"/>
              <w:lang w:val="en-IN" w:eastAsia="en-IN"/>
              <w14:textFill>
                <w14:solidFill>
                  <w14:schemeClr w14:val="tx1"/>
                </w14:solidFill>
              </w14:textFill>
            </w:rPr>
            <w:t>Opportunities</w:t>
          </w:r>
          <w:bookmarkEnd w:id="101"/>
          <w:r>
            <w:rPr>
              <w:color w:val="000000" w:themeColor="text1"/>
              <w:lang w:val="en-IN" w:eastAsia="en-IN"/>
              <w14:textFill>
                <w14:solidFill>
                  <w14:schemeClr w14:val="tx1"/>
                </w14:solidFill>
              </w14:textFill>
            </w:rPr>
            <w:t> </w:t>
          </w:r>
          <w:bookmarkEnd w:id="102"/>
        </w:p>
        <w:p>
          <w:pPr>
            <w:spacing w:line="480" w:lineRule="auto"/>
            <w:ind w:firstLine="720"/>
            <w:jc w:val="both"/>
            <w:rPr>
              <w:rFonts w:ascii="Times New Roman" w:hAnsi="Times New Roman" w:eastAsia="Times New Roman" w:cs="Times New Roman"/>
              <w:color w:val="000000" w:themeColor="text1"/>
              <w:sz w:val="24"/>
              <w:szCs w:val="24"/>
              <w:lang w:val="en-IN" w:eastAsia="en-IN"/>
              <w14:textFill>
                <w14:solidFill>
                  <w14:schemeClr w14:val="tx1"/>
                </w14:solidFill>
              </w14:textFill>
            </w:rPr>
          </w:pPr>
          <w:bookmarkStart w:id="103" w:name="OLE_LINK402"/>
          <w:bookmarkStart w:id="104" w:name="OLE_LINK403"/>
          <w:bookmarkStart w:id="105" w:name="OLE_LINK494"/>
          <w:r>
            <w:rPr>
              <w:rFonts w:ascii="Times New Roman" w:hAnsi="Times New Roman" w:eastAsia="Times New Roman" w:cs="Times New Roman"/>
              <w:color w:val="000000" w:themeColor="text1"/>
              <w:sz w:val="24"/>
              <w:szCs w:val="24"/>
              <w:lang w:val="en-IN" w:eastAsia="en-IN"/>
              <w14:textFill>
                <w14:solidFill>
                  <w14:schemeClr w14:val="tx1"/>
                </w14:solidFill>
              </w14:textFill>
            </w:rPr>
            <w:t>Expanding into new markets globally is a crucial opportunity for Amazon to improve its revenue stream (Ives et al., 2019). The company's focus on increasing its connection with third-party sellers can also contribute to sales growth. Furthermore, entering the physical retail sector through Amazon Go stores and Whole Foods presents a potential avenue for significant expansion (Garrett et al., 2021). Adopting new technologies like machine learning and automation can enhance the consumer experience and drive operational efficiency. Additionally, emphasizing sustainable operations, investing in new ventures, and expanding into the entertainment industry offer further growth opportunities for Amazon (Heredia et al., 2020). The company has also tried to enhance its corporate social responsibility practices to manage sustainability operations effectively.</w:t>
          </w:r>
        </w:p>
        <w:bookmarkEnd w:id="103"/>
        <w:bookmarkEnd w:id="104"/>
        <w:bookmarkEnd w:id="105"/>
        <w:p>
          <w:pPr>
            <w:pStyle w:val="3"/>
            <w:rPr>
              <w:color w:val="000000" w:themeColor="text1"/>
              <w:lang w:val="en-IN" w:eastAsia="en-IN"/>
              <w14:textFill>
                <w14:solidFill>
                  <w14:schemeClr w14:val="tx1"/>
                </w14:solidFill>
              </w14:textFill>
            </w:rPr>
          </w:pPr>
          <w:bookmarkStart w:id="106" w:name="_Toc148998343"/>
          <w:bookmarkStart w:id="107" w:name="_Toc6762"/>
          <w:r>
            <w:rPr>
              <w:color w:val="000000" w:themeColor="text1"/>
              <w:lang w:val="en-IN" w:eastAsia="en-IN"/>
              <w14:textFill>
                <w14:solidFill>
                  <w14:schemeClr w14:val="tx1"/>
                </w14:solidFill>
              </w14:textFill>
            </w:rPr>
            <w:t>Threats</w:t>
          </w:r>
          <w:bookmarkEnd w:id="106"/>
          <w:r>
            <w:rPr>
              <w:color w:val="000000" w:themeColor="text1"/>
              <w:lang w:val="en-IN" w:eastAsia="en-IN"/>
              <w14:textFill>
                <w14:solidFill>
                  <w14:schemeClr w14:val="tx1"/>
                </w14:solidFill>
              </w14:textFill>
            </w:rPr>
            <w:t> </w:t>
          </w:r>
          <w:bookmarkEnd w:id="107"/>
        </w:p>
        <w:p>
          <w:pPr>
            <w:spacing w:line="480" w:lineRule="auto"/>
            <w:ind w:firstLine="720"/>
            <w:jc w:val="both"/>
            <w:rPr>
              <w:rFonts w:ascii="Times New Roman" w:hAnsi="Times New Roman" w:eastAsia="Times New Roman" w:cs="Times New Roman"/>
              <w:color w:val="000000" w:themeColor="text1"/>
              <w:sz w:val="24"/>
              <w:szCs w:val="24"/>
              <w:lang w:val="en-IN" w:eastAsia="en-IN"/>
              <w14:textFill>
                <w14:solidFill>
                  <w14:schemeClr w14:val="tx1"/>
                </w14:solidFill>
              </w14:textFill>
            </w:rPr>
          </w:pPr>
          <w:bookmarkStart w:id="108" w:name="OLE_LINK495"/>
          <w:bookmarkStart w:id="109" w:name="OLE_LINK405"/>
          <w:bookmarkStart w:id="110" w:name="OLE_LINK404"/>
          <w:r>
            <w:rPr>
              <w:rFonts w:ascii="Times New Roman" w:hAnsi="Times New Roman" w:eastAsia="Times New Roman" w:cs="Times New Roman"/>
              <w:color w:val="000000" w:themeColor="text1"/>
              <w:sz w:val="24"/>
              <w:szCs w:val="24"/>
              <w:lang w:val="en-IN" w:eastAsia="en-IN"/>
              <w14:textFill>
                <w14:solidFill>
                  <w14:schemeClr w14:val="tx1"/>
                </w14:solidFill>
              </w14:textFill>
            </w:rPr>
            <w:t>Intensified competition from both offline and online retailers poses a threat to Amazon's market share and profitability. To sustain itself in the competitive market, the company employs comparative strategies. Cybersecurity threats and regulatory issues in different markets present risks and challenges to its operations. Economic recessions have also negatively impacted the company's sales. The environmental impact of Amazon's operations has come under scrutiny, but the company has implemented sustainable initiatives to promote environmental protection.</w:t>
          </w:r>
        </w:p>
        <w:bookmarkEnd w:id="108"/>
        <w:bookmarkEnd w:id="109"/>
        <w:bookmarkEnd w:id="110"/>
        <w:p>
          <w:pPr>
            <w:pStyle w:val="2"/>
            <w:jc w:val="both"/>
            <w:rPr>
              <w:color w:val="000000" w:themeColor="text1"/>
              <w14:textFill>
                <w14:solidFill>
                  <w14:schemeClr w14:val="tx1"/>
                </w14:solidFill>
              </w14:textFill>
            </w:rPr>
          </w:pPr>
          <w:bookmarkStart w:id="111" w:name="_Toc27609"/>
          <w:bookmarkStart w:id="112" w:name="_Toc148998344"/>
          <w:r>
            <w:rPr>
              <w:color w:val="000000" w:themeColor="text1"/>
              <w14:textFill>
                <w14:solidFill>
                  <w14:schemeClr w14:val="tx1"/>
                </w14:solidFill>
              </w14:textFill>
            </w:rPr>
            <w:t>Assessment of Performance indicators</w:t>
          </w:r>
          <w:bookmarkEnd w:id="111"/>
          <w:bookmarkEnd w:id="112"/>
          <w:r>
            <w:rPr>
              <w:color w:val="000000" w:themeColor="text1"/>
              <w14:textFill>
                <w14:solidFill>
                  <w14:schemeClr w14:val="tx1"/>
                </w14:solidFill>
              </w14:textFill>
            </w:rPr>
            <w:t xml:space="preserve"> </w:t>
          </w:r>
        </w:p>
        <w:p>
          <w:pPr>
            <w:pStyle w:val="10"/>
            <w:spacing w:before="0" w:beforeAutospacing="0" w:after="0" w:afterAutospacing="0" w:line="480" w:lineRule="auto"/>
            <w:ind w:firstLine="720"/>
            <w:jc w:val="both"/>
            <w:rPr>
              <w:color w:val="000000" w:themeColor="text1"/>
              <w14:textFill>
                <w14:solidFill>
                  <w14:schemeClr w14:val="tx1"/>
                </w14:solidFill>
              </w14:textFill>
            </w:rPr>
          </w:pPr>
          <w:r>
            <w:rPr>
              <w:color w:val="000000" w:themeColor="text1"/>
              <w14:textFill>
                <w14:solidFill>
                  <w14:schemeClr w14:val="tx1"/>
                </w14:solidFill>
              </w14:textFill>
            </w:rPr>
            <w:t>The national and international macro-economic performance indicators of Amazon are as follows:</w:t>
          </w:r>
        </w:p>
        <w:p>
          <w:pPr>
            <w:pStyle w:val="10"/>
            <w:spacing w:before="0" w:beforeAutospacing="0" w:after="0" w:afterAutospacing="0" w:line="480" w:lineRule="auto"/>
            <w:jc w:val="both"/>
            <w:rPr>
              <w:i/>
              <w:color w:val="000000" w:themeColor="text1"/>
              <w14:textFill>
                <w14:solidFill>
                  <w14:schemeClr w14:val="tx1"/>
                </w14:solidFill>
              </w14:textFill>
            </w:rPr>
          </w:pPr>
          <w:r>
            <w:rPr>
              <w:b/>
              <w:bCs/>
              <w:i/>
              <w:color w:val="000000" w:themeColor="text1"/>
              <w14:textFill>
                <w14:solidFill>
                  <w14:schemeClr w14:val="tx1"/>
                </w14:solidFill>
              </w14:textFill>
            </w:rPr>
            <w:t>Economic growth and trade policies </w:t>
          </w:r>
        </w:p>
        <w:p>
          <w:pPr>
            <w:pStyle w:val="10"/>
            <w:spacing w:before="0" w:beforeAutospacing="0" w:after="0" w:afterAutospacing="0" w:line="480" w:lineRule="auto"/>
            <w:ind w:firstLine="720"/>
            <w:jc w:val="both"/>
            <w:rPr>
              <w:color w:val="000000" w:themeColor="text1"/>
              <w14:textFill>
                <w14:solidFill>
                  <w14:schemeClr w14:val="tx1"/>
                </w14:solidFill>
              </w14:textFill>
            </w:rPr>
          </w:pPr>
          <w:bookmarkStart w:id="113" w:name="OLE_LINK496"/>
          <w:bookmarkStart w:id="114" w:name="OLE_LINK406"/>
          <w:bookmarkStart w:id="115" w:name="OLE_LINK407"/>
          <w:r>
            <w:rPr>
              <w:color w:val="000000" w:themeColor="text1"/>
              <w14:textFill>
                <w14:solidFill>
                  <w14:schemeClr w14:val="tx1"/>
                </w14:solidFill>
              </w14:textFill>
            </w:rPr>
            <w:t>A recession is apparent in the current uncertain economic environment, leading to reduced investment and lower share prices. Lag indicators such as unemployment and GDP growth significantly impact the performance of companies, including Amazon (Yin and Choi, 2021). Trade policies have also positively contributed to Amazon's financial situation. Given the company's continued success in this dynamic economy, a thorough understanding of macroeconomic indicators is crucial for its operations.</w:t>
          </w:r>
        </w:p>
        <w:bookmarkEnd w:id="113"/>
        <w:bookmarkEnd w:id="114"/>
        <w:bookmarkEnd w:id="115"/>
        <w:p>
          <w:pPr>
            <w:pStyle w:val="10"/>
            <w:spacing w:before="0" w:beforeAutospacing="0" w:after="0" w:afterAutospacing="0" w:line="480" w:lineRule="auto"/>
            <w:jc w:val="center"/>
            <w:rPr>
              <w:color w:val="000000" w:themeColor="text1"/>
              <w14:textFill>
                <w14:solidFill>
                  <w14:schemeClr w14:val="tx1"/>
                </w14:solidFill>
              </w14:textFill>
            </w:rPr>
          </w:pPr>
          <w:r>
            <w:rPr>
              <w:color w:val="000000" w:themeColor="text1"/>
              <w:bdr w:val="single" w:color="000000" w:sz="8" w:space="0"/>
              <w:lang w:val="en-US" w:eastAsia="en-US"/>
              <w14:textFill>
                <w14:solidFill>
                  <w14:schemeClr w14:val="tx1"/>
                </w14:solidFill>
              </w14:textFill>
            </w:rPr>
            <w:drawing>
              <wp:inline distT="0" distB="0" distL="0" distR="0">
                <wp:extent cx="5949950" cy="3747770"/>
                <wp:effectExtent l="0" t="0" r="0" b="5080"/>
                <wp:docPr id="3" name="Picture 3" descr="https://lh7-us.googleusercontent.com/2SgP8KES3bFVd0MyJCY8LyNVEN14mvjs7cs4E3rnRhj9tHllZ-rE9VPjFwqSM9pFt_8hyemGbP6v6NW8foErG9rgV6hvp9AqQwtrttkFhVYz8evzUWr9aymGKXygtbR-uQcRNKv04IulIHk78m5mgc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https://lh7-us.googleusercontent.com/2SgP8KES3bFVd0MyJCY8LyNVEN14mvjs7cs4E3rnRhj9tHllZ-rE9VPjFwqSM9pFt_8hyemGbP6v6NW8foErG9rgV6hvp9AqQwtrttkFhVYz8evzUWr9aymGKXygtbR-uQcRNKv04IulIHk78m5mgcc"/>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a:xfrm>
                          <a:off x="0" y="0"/>
                          <a:ext cx="5949950" cy="3747770"/>
                        </a:xfrm>
                        <a:prstGeom prst="rect">
                          <a:avLst/>
                        </a:prstGeom>
                        <a:noFill/>
                        <a:ln>
                          <a:noFill/>
                        </a:ln>
                      </pic:spPr>
                    </pic:pic>
                  </a:graphicData>
                </a:graphic>
              </wp:inline>
            </w:drawing>
          </w:r>
        </w:p>
        <w:p>
          <w:pPr>
            <w:pStyle w:val="10"/>
            <w:spacing w:before="0" w:beforeAutospacing="0" w:after="0" w:afterAutospacing="0" w:line="480" w:lineRule="auto"/>
            <w:jc w:val="center"/>
            <w:rPr>
              <w:color w:val="000000" w:themeColor="text1"/>
              <w14:textFill>
                <w14:solidFill>
                  <w14:schemeClr w14:val="tx1"/>
                </w14:solidFill>
              </w14:textFill>
            </w:rPr>
          </w:pPr>
          <w:r>
            <w:rPr>
              <w:b/>
              <w:bCs/>
              <w:color w:val="000000" w:themeColor="text1"/>
              <w14:textFill>
                <w14:solidFill>
                  <w14:schemeClr w14:val="tx1"/>
                </w14:solidFill>
              </w14:textFill>
            </w:rPr>
            <w:t>Figure 3: Annual net sales of Amazon</w:t>
          </w:r>
        </w:p>
        <w:p>
          <w:pPr>
            <w:pStyle w:val="10"/>
            <w:spacing w:before="0" w:beforeAutospacing="0" w:after="0" w:afterAutospacing="0" w:line="480" w:lineRule="auto"/>
            <w:jc w:val="center"/>
            <w:rPr>
              <w:color w:val="000000" w:themeColor="text1"/>
              <w14:textFill>
                <w14:solidFill>
                  <w14:schemeClr w14:val="tx1"/>
                </w14:solidFill>
              </w14:textFill>
            </w:rPr>
          </w:pPr>
          <w:r>
            <w:rPr>
              <w:color w:val="000000" w:themeColor="text1"/>
              <w14:textFill>
                <w14:solidFill>
                  <w14:schemeClr w14:val="tx1"/>
                </w14:solidFill>
              </w14:textFill>
            </w:rPr>
            <w:t>(Source: Statista, 2023)</w:t>
          </w:r>
        </w:p>
        <w:p>
          <w:pPr>
            <w:pStyle w:val="10"/>
            <w:spacing w:before="0" w:beforeAutospacing="0" w:after="0" w:afterAutospacing="0" w:line="480" w:lineRule="auto"/>
            <w:jc w:val="both"/>
            <w:rPr>
              <w:i/>
              <w:color w:val="000000" w:themeColor="text1"/>
              <w14:textFill>
                <w14:solidFill>
                  <w14:schemeClr w14:val="tx1"/>
                </w14:solidFill>
              </w14:textFill>
            </w:rPr>
          </w:pPr>
          <w:r>
            <w:rPr>
              <w:b/>
              <w:bCs/>
              <w:i/>
              <w:color w:val="000000" w:themeColor="text1"/>
              <w14:textFill>
                <w14:solidFill>
                  <w14:schemeClr w14:val="tx1"/>
                </w14:solidFill>
              </w14:textFill>
            </w:rPr>
            <w:t>National income and industrial production</w:t>
          </w:r>
        </w:p>
        <w:p>
          <w:pPr>
            <w:pStyle w:val="10"/>
            <w:spacing w:before="0" w:beforeAutospacing="0" w:after="0" w:afterAutospacing="0" w:line="480" w:lineRule="auto"/>
            <w:ind w:firstLine="720"/>
            <w:jc w:val="both"/>
            <w:rPr>
              <w:color w:val="000000" w:themeColor="text1"/>
              <w14:textFill>
                <w14:solidFill>
                  <w14:schemeClr w14:val="tx1"/>
                </w14:solidFill>
              </w14:textFill>
            </w:rPr>
          </w:pPr>
          <w:bookmarkStart w:id="116" w:name="OLE_LINK497"/>
          <w:bookmarkStart w:id="117" w:name="OLE_LINK408"/>
          <w:bookmarkStart w:id="118" w:name="OLE_LINK409"/>
          <w:r>
            <w:rPr>
              <w:color w:val="000000" w:themeColor="text1"/>
              <w14:textFill>
                <w14:solidFill>
                  <w14:schemeClr w14:val="tx1"/>
                </w14:solidFill>
              </w14:textFill>
            </w:rPr>
            <w:t>Macroeconomic indicators, such as the industrial production rate and income drivers, significantly impact Amazon's performance. A high level of disposable income in the country makes the industry attractive for investment, leading to increased production rates and supporting Amazon's market operations (Huera-Lucero et al., 2020). Moreover, consumers tend to make significant purchases from Amazon, as the company provides a sense of financial comfort.</w:t>
          </w:r>
        </w:p>
        <w:bookmarkEnd w:id="116"/>
        <w:bookmarkEnd w:id="117"/>
        <w:bookmarkEnd w:id="118"/>
        <w:p>
          <w:pPr>
            <w:pStyle w:val="10"/>
            <w:spacing w:before="0" w:beforeAutospacing="0" w:after="0" w:afterAutospacing="0" w:line="480" w:lineRule="auto"/>
            <w:jc w:val="both"/>
            <w:rPr>
              <w:i/>
              <w:color w:val="000000" w:themeColor="text1"/>
              <w14:textFill>
                <w14:solidFill>
                  <w14:schemeClr w14:val="tx1"/>
                </w14:solidFill>
              </w14:textFill>
            </w:rPr>
          </w:pPr>
          <w:r>
            <w:rPr>
              <w:b/>
              <w:bCs/>
              <w:i/>
              <w:color w:val="000000" w:themeColor="text1"/>
              <w14:textFill>
                <w14:solidFill>
                  <w14:schemeClr w14:val="tx1"/>
                </w14:solidFill>
              </w14:textFill>
            </w:rPr>
            <w:t>Commodity prices and interest rates</w:t>
          </w:r>
        </w:p>
        <w:p>
          <w:pPr>
            <w:pStyle w:val="10"/>
            <w:spacing w:before="0" w:beforeAutospacing="0" w:after="0" w:afterAutospacing="0" w:line="480" w:lineRule="auto"/>
            <w:ind w:firstLine="720"/>
            <w:jc w:val="both"/>
            <w:rPr>
              <w:color w:val="000000" w:themeColor="text1"/>
              <w14:textFill>
                <w14:solidFill>
                  <w14:schemeClr w14:val="tx1"/>
                </w14:solidFill>
              </w14:textFill>
            </w:rPr>
          </w:pPr>
          <w:bookmarkStart w:id="119" w:name="OLE_LINK499"/>
          <w:bookmarkStart w:id="120" w:name="OLE_LINK498"/>
          <w:bookmarkStart w:id="121" w:name="OLE_LINK411"/>
          <w:bookmarkStart w:id="122" w:name="OLE_LINK410"/>
          <w:r>
            <w:rPr>
              <w:color w:val="000000" w:themeColor="text1"/>
              <w14:textFill>
                <w14:solidFill>
                  <w14:schemeClr w14:val="tx1"/>
                </w14:solidFill>
              </w14:textFill>
            </w:rPr>
            <w:t>In the macroeconomic environment, interest rates and commodity prices influence Amazon's performance. The relationship between interest rates and commodity prices is endogenous (Mietule et al., 2019). Higher interest rates and low commodity prices have benefited Amazon, increasing sales and attracting foreign investment. This allows the company to leverage the economy of scale.</w:t>
          </w:r>
        </w:p>
        <w:bookmarkEnd w:id="119"/>
        <w:bookmarkEnd w:id="120"/>
        <w:p>
          <w:pPr>
            <w:rPr>
              <w:rFonts w:asciiTheme="majorHAnsi" w:hAnsiTheme="majorHAnsi" w:eastAsiaTheme="majorEastAsia" w:cstheme="majorBidi"/>
              <w:b/>
              <w:color w:val="000000" w:themeColor="text1"/>
              <w:sz w:val="28"/>
              <w:szCs w:val="32"/>
              <w14:textFill>
                <w14:solidFill>
                  <w14:schemeClr w14:val="tx1"/>
                </w14:solidFill>
              </w14:textFill>
            </w:rPr>
          </w:pPr>
          <w:bookmarkStart w:id="123" w:name="_Toc148998345"/>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p>
          <w:pPr>
            <w:rPr>
              <w:rFonts w:asciiTheme="majorHAnsi" w:hAnsiTheme="majorHAnsi" w:eastAsiaTheme="majorEastAsia" w:cstheme="majorBidi"/>
              <w:b/>
              <w:color w:val="000000" w:themeColor="text1"/>
              <w:sz w:val="28"/>
              <w:szCs w:val="32"/>
              <w14:textFill>
                <w14:solidFill>
                  <w14:schemeClr w14:val="tx1"/>
                </w14:solidFill>
              </w14:textFill>
            </w:rPr>
          </w:pPr>
        </w:p>
        <w:bookmarkEnd w:id="121"/>
        <w:bookmarkEnd w:id="122"/>
        <w:p>
          <w:pPr>
            <w:pStyle w:val="2"/>
            <w:rPr>
              <w:color w:val="000000" w:themeColor="text1"/>
              <w14:textFill>
                <w14:solidFill>
                  <w14:schemeClr w14:val="tx1"/>
                </w14:solidFill>
              </w14:textFill>
            </w:rPr>
          </w:pPr>
          <w:bookmarkStart w:id="124" w:name="_Toc18550"/>
          <w:r>
            <w:rPr>
              <w:color w:val="000000" w:themeColor="text1"/>
              <w14:textFill>
                <w14:solidFill>
                  <w14:schemeClr w14:val="tx1"/>
                </w14:solidFill>
              </w14:textFill>
            </w:rPr>
            <w:t>Conclusion</w:t>
          </w:r>
          <w:bookmarkEnd w:id="123"/>
          <w:bookmarkEnd w:id="124"/>
        </w:p>
        <w:p>
          <w:pPr>
            <w:spacing w:line="480" w:lineRule="auto"/>
            <w:ind w:firstLine="709"/>
            <w:jc w:val="both"/>
            <w:rPr>
              <w:rFonts w:ascii="Times New Roman" w:hAnsi="Times New Roman" w:cs="Times New Roman"/>
              <w:color w:val="000000" w:themeColor="text1"/>
              <w:sz w:val="24"/>
              <w:szCs w:val="24"/>
              <w14:textFill>
                <w14:solidFill>
                  <w14:schemeClr w14:val="tx1"/>
                </w14:solidFill>
              </w14:textFill>
            </w:rPr>
          </w:pPr>
          <w:bookmarkStart w:id="125" w:name="OLE_LINK412"/>
          <w:bookmarkStart w:id="126" w:name="OLE_LINK500"/>
          <w:bookmarkStart w:id="127" w:name="OLE_LINK413"/>
          <w:r>
            <w:rPr>
              <w:rFonts w:ascii="Times New Roman" w:hAnsi="Times New Roman" w:cs="Times New Roman"/>
              <w:color w:val="000000" w:themeColor="text1"/>
              <w:sz w:val="24"/>
              <w:szCs w:val="24"/>
              <w14:textFill>
                <w14:solidFill>
                  <w14:schemeClr w14:val="tx1"/>
                </w14:solidFill>
              </w14:textFill>
            </w:rPr>
            <w:t>In conclusion, gaining a competitive advantage and achieving superior performance in the market requires organizations to understand present and future trends. An industry's internal and external factors significantly influence a firm's success. The business environment can be categorized into general, industrial, and competitive. Initially an online bookseller, Amazon expanded its business into cloud computing, interactive technologies, and e-commerce. The rise of internet access in the 1990s enabled customers to shift from traditional retail to online purchasing. Amazon differentiated itself by offering a wide selection of books and fulfilling orders from independent publishers.</w:t>
          </w:r>
        </w:p>
        <w:p>
          <w:pPr>
            <w:spacing w:line="480" w:lineRule="auto"/>
            <w:ind w:firstLine="709"/>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PEST</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LE</w:t>
          </w:r>
          <w:r>
            <w:rPr>
              <w:rFonts w:ascii="Times New Roman" w:hAnsi="Times New Roman" w:cs="Times New Roman"/>
              <w:color w:val="000000" w:themeColor="text1"/>
              <w:sz w:val="24"/>
              <w:szCs w:val="24"/>
              <w14:textFill>
                <w14:solidFill>
                  <w14:schemeClr w14:val="tx1"/>
                </w14:solidFill>
              </w14:textFill>
            </w:rPr>
            <w:t xml:space="preserve"> analysis reveals various factors influencing Amazon's operations. Factors such as increased internet access, convenience, payment processing services, mobile device availability, and social media marketing have contributed to the popularity of e-commerce and online shopping. Changing demographics and public perceptions of social concerns also impact consumer preferences, with a growing emphasis on eco-friendly products. While some factors enhance Amazon's efficiency and profitability, others challenge its operations. Economic opportunities in underdeveloped nations and the increasing number of internet users present growth prospects for Amazon.</w:t>
          </w:r>
        </w:p>
        <w:bookmarkEnd w:id="125"/>
        <w:bookmarkEnd w:id="126"/>
        <w:bookmarkEnd w:id="127"/>
        <w:p>
          <w:pPr>
            <w:pStyle w:val="2"/>
            <w:jc w:val="both"/>
            <w:rPr>
              <w:color w:val="000000" w:themeColor="text1"/>
              <w14:textFill>
                <w14:solidFill>
                  <w14:schemeClr w14:val="tx1"/>
                </w14:solidFill>
              </w14:textFill>
            </w:rPr>
          </w:pPr>
          <w:bookmarkStart w:id="128" w:name="_Toc12560"/>
          <w:bookmarkStart w:id="129" w:name="_Toc148998346"/>
          <w:r>
            <w:rPr>
              <w:color w:val="000000" w:themeColor="text1"/>
              <w14:textFill>
                <w14:solidFill>
                  <w14:schemeClr w14:val="tx1"/>
                </w14:solidFill>
              </w14:textFill>
            </w:rPr>
            <w:t>Recommendations</w:t>
          </w:r>
          <w:bookmarkEnd w:id="128"/>
          <w:bookmarkEnd w:id="129"/>
        </w:p>
        <w:p>
          <w:pPr>
            <w:spacing w:line="480" w:lineRule="auto"/>
            <w:ind w:firstLine="709"/>
            <w:jc w:val="both"/>
            <w:rPr>
              <w:rFonts w:ascii="Times New Roman" w:hAnsi="Times New Roman" w:cs="Times New Roman"/>
              <w:color w:val="000000" w:themeColor="text1"/>
              <w:sz w:val="24"/>
              <w:szCs w:val="24"/>
              <w14:textFill>
                <w14:solidFill>
                  <w14:schemeClr w14:val="tx1"/>
                </w14:solidFill>
              </w14:textFill>
            </w:rPr>
          </w:pPr>
          <w:bookmarkStart w:id="130" w:name="OLE_LINK414"/>
          <w:bookmarkStart w:id="131" w:name="OLE_LINK501"/>
          <w:bookmarkStart w:id="132" w:name="OLE_LINK415"/>
          <w:r>
            <w:rPr>
              <w:rFonts w:ascii="Times New Roman" w:hAnsi="Times New Roman" w:cs="Times New Roman"/>
              <w:color w:val="000000" w:themeColor="text1"/>
              <w:sz w:val="24"/>
              <w:szCs w:val="24"/>
              <w14:textFill>
                <w14:solidFill>
                  <w14:schemeClr w14:val="tx1"/>
                </w14:solidFill>
              </w14:textFill>
            </w:rPr>
            <w:t>Indeed, this analysis was crucial in identifying Amazon's fundamental problems and determining how to take advantage of or address them to achieve long-term profitability, growth, and market dominance. Based on the PEST</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LE</w:t>
          </w:r>
          <w:r>
            <w:rPr>
              <w:rFonts w:ascii="Times New Roman" w:hAnsi="Times New Roman" w:cs="Times New Roman"/>
              <w:color w:val="000000" w:themeColor="text1"/>
              <w:sz w:val="24"/>
              <w:szCs w:val="24"/>
              <w14:textFill>
                <w14:solidFill>
                  <w14:schemeClr w14:val="tx1"/>
                </w14:solidFill>
              </w14:textFill>
            </w:rPr>
            <w:t xml:space="preserve"> analysis above, there are numerous recommendations that the organization can implement to enhance its business operations, which are shared below. </w:t>
          </w:r>
        </w:p>
        <w:bookmarkEnd w:id="130"/>
        <w:bookmarkEnd w:id="131"/>
        <w:bookmarkEnd w:id="132"/>
        <w:p>
          <w:pPr>
            <w:pStyle w:val="10"/>
            <w:spacing w:before="0" w:beforeAutospacing="0" w:after="0" w:afterAutospacing="0" w:line="480" w:lineRule="auto"/>
            <w:jc w:val="both"/>
            <w:rPr>
              <w:i/>
              <w:color w:val="000000" w:themeColor="text1"/>
              <w14:textFill>
                <w14:solidFill>
                  <w14:schemeClr w14:val="tx1"/>
                </w14:solidFill>
              </w14:textFill>
            </w:rPr>
          </w:pPr>
          <w:r>
            <w:rPr>
              <w:b/>
              <w:bCs/>
              <w:i/>
              <w:color w:val="000000" w:themeColor="text1"/>
              <w14:textFill>
                <w14:solidFill>
                  <w14:schemeClr w14:val="tx1"/>
                </w14:solidFill>
              </w14:textFill>
            </w:rPr>
            <w:t>Recom</w:t>
          </w:r>
          <w:bookmarkStart w:id="133" w:name="OLE_LINK416"/>
          <w:bookmarkStart w:id="134" w:name="OLE_LINK417"/>
          <w:r>
            <w:rPr>
              <w:b/>
              <w:bCs/>
              <w:i/>
              <w:color w:val="000000" w:themeColor="text1"/>
              <w14:textFill>
                <w14:solidFill>
                  <w14:schemeClr w14:val="tx1"/>
                </w14:solidFill>
              </w14:textFill>
            </w:rPr>
            <w:t>mendation 1: Reframing of corporate strategy   </w:t>
          </w:r>
        </w:p>
        <w:p>
          <w:pPr>
            <w:pStyle w:val="10"/>
            <w:spacing w:before="0" w:beforeAutospacing="0" w:after="0" w:afterAutospacing="0" w:line="480" w:lineRule="auto"/>
            <w:ind w:firstLine="720"/>
            <w:jc w:val="both"/>
            <w:rPr>
              <w:color w:val="000000" w:themeColor="text1"/>
              <w14:textFill>
                <w14:solidFill>
                  <w14:schemeClr w14:val="tx1"/>
                </w14:solidFill>
              </w14:textFill>
            </w:rPr>
          </w:pPr>
          <w:bookmarkStart w:id="135" w:name="OLE_LINK503"/>
          <w:bookmarkStart w:id="136" w:name="OLE_LINK502"/>
          <w:r>
            <w:rPr>
              <w:color w:val="000000" w:themeColor="text1"/>
              <w14:textFill>
                <w14:solidFill>
                  <w14:schemeClr w14:val="tx1"/>
                </w14:solidFill>
              </w14:textFill>
            </w:rPr>
            <w:t>Amazon should consider reframing its corporate strategy by identifying its core competencies and setting a clear target. This involves leveraging the company's internal strengths and resources while considering long-term and short-term profitability (Maedche et al., 2019). Amazon can enhance its competitive advantage and drive sustained growth by aligning its strategy with its strengths and focusing on targeted market segments.</w:t>
          </w:r>
        </w:p>
        <w:bookmarkEnd w:id="133"/>
        <w:bookmarkEnd w:id="134"/>
        <w:bookmarkEnd w:id="135"/>
        <w:bookmarkEnd w:id="136"/>
        <w:p>
          <w:pPr>
            <w:spacing w:line="480" w:lineRule="auto"/>
            <w:jc w:val="both"/>
            <w:rPr>
              <w:rFonts w:ascii="Times New Roman" w:hAnsi="Times New Roman" w:cs="Times New Roman"/>
              <w:b/>
              <w:i/>
              <w:color w:val="000000" w:themeColor="text1"/>
              <w14:textFill>
                <w14:solidFill>
                  <w14:schemeClr w14:val="tx1"/>
                </w14:solidFill>
              </w14:textFill>
            </w:rPr>
          </w:pPr>
          <w:r>
            <w:rPr>
              <w:rFonts w:ascii="Times New Roman" w:hAnsi="Times New Roman" w:cs="Times New Roman"/>
              <w:b/>
              <w:i/>
              <w:color w:val="000000" w:themeColor="text1"/>
              <w14:textFill>
                <w14:solidFill>
                  <w14:schemeClr w14:val="tx1"/>
                </w14:solidFill>
              </w14:textFill>
            </w:rPr>
            <w:t>Recommendation 2: Improving consumer's experiences</w:t>
          </w:r>
        </w:p>
        <w:p>
          <w:pPr>
            <w:pStyle w:val="10"/>
            <w:spacing w:after="0" w:line="480" w:lineRule="auto"/>
            <w:ind w:firstLine="720"/>
            <w:jc w:val="both"/>
            <w:rPr>
              <w:color w:val="000000" w:themeColor="text1"/>
              <w:lang w:val="en-GB" w:eastAsia="zh-CN"/>
              <w14:textFill>
                <w14:solidFill>
                  <w14:schemeClr w14:val="tx1"/>
                </w14:solidFill>
              </w14:textFill>
            </w:rPr>
          </w:pPr>
          <w:bookmarkStart w:id="137" w:name="OLE_LINK504"/>
          <w:bookmarkStart w:id="138" w:name="OLE_LINK505"/>
          <w:r>
            <w:rPr>
              <w:color w:val="000000" w:themeColor="text1"/>
              <w:lang w:val="en-GB" w:eastAsia="zh-CN"/>
              <w14:textFill>
                <w14:solidFill>
                  <w14:schemeClr w14:val="tx1"/>
                </w14:solidFill>
              </w14:textFill>
            </w:rPr>
            <w:t>To succeed in the Chinese market, Amazon can implement several strategies.</w:t>
          </w:r>
        </w:p>
        <w:p>
          <w:pPr>
            <w:pStyle w:val="10"/>
            <w:spacing w:after="0" w:line="480" w:lineRule="auto"/>
            <w:ind w:firstLine="720"/>
            <w:jc w:val="both"/>
            <w:rPr>
              <w:color w:val="000000" w:themeColor="text1"/>
              <w:lang w:val="en-GB" w:eastAsia="zh-CN"/>
              <w14:textFill>
                <w14:solidFill>
                  <w14:schemeClr w14:val="tx1"/>
                </w14:solidFill>
              </w14:textFill>
            </w:rPr>
          </w:pPr>
          <w:r>
            <w:rPr>
              <w:color w:val="000000" w:themeColor="text1"/>
              <w:lang w:val="en-GB" w:eastAsia="zh-CN"/>
              <w14:textFill>
                <w14:solidFill>
                  <w14:schemeClr w14:val="tx1"/>
                </w14:solidFill>
              </w14:textFill>
            </w:rPr>
            <w:t>Firstly, it should prioritize the development of a user-friendly mobile application that complements its website. The mobile app should be designed to provide a seamless shopping experience and facilitate easy payments for Chinese consumers (Shoja and Tabrizi, 2019).</w:t>
          </w:r>
        </w:p>
        <w:p>
          <w:pPr>
            <w:pStyle w:val="10"/>
            <w:spacing w:after="0" w:line="480" w:lineRule="auto"/>
            <w:ind w:firstLine="720"/>
            <w:jc w:val="both"/>
            <w:rPr>
              <w:color w:val="000000" w:themeColor="text1"/>
              <w:lang w:val="en-GB" w:eastAsia="zh-CN"/>
              <w14:textFill>
                <w14:solidFill>
                  <w14:schemeClr w14:val="tx1"/>
                </w14:solidFill>
              </w14:textFill>
            </w:rPr>
          </w:pPr>
          <w:r>
            <w:rPr>
              <w:color w:val="000000" w:themeColor="text1"/>
              <w:lang w:val="en-GB" w:eastAsia="zh-CN"/>
              <w14:textFill>
                <w14:solidFill>
                  <w14:schemeClr w14:val="tx1"/>
                </w14:solidFill>
              </w14:textFill>
            </w:rPr>
            <w:t>Secondly, Amazon can explore partnerships or mergers with popular Chinese social media platforms such as WeChat or Weibo. By integrating with these platforms, Amazon can leverage their in-app social systems to allow consumers to share their opinions and reviews on products, delivery experiences, and customer service quality.</w:t>
          </w:r>
        </w:p>
        <w:p>
          <w:pPr>
            <w:pStyle w:val="10"/>
            <w:spacing w:after="0" w:line="480" w:lineRule="auto"/>
            <w:ind w:firstLine="720"/>
            <w:jc w:val="both"/>
            <w:rPr>
              <w:color w:val="000000" w:themeColor="text1"/>
              <w:lang w:val="en-GB" w:eastAsia="zh-CN"/>
              <w14:textFill>
                <w14:solidFill>
                  <w14:schemeClr w14:val="tx1"/>
                </w14:solidFill>
              </w14:textFill>
            </w:rPr>
          </w:pPr>
          <w:r>
            <w:rPr>
              <w:color w:val="000000" w:themeColor="text1"/>
              <w:lang w:val="en-GB" w:eastAsia="zh-CN"/>
              <w14:textFill>
                <w14:solidFill>
                  <w14:schemeClr w14:val="tx1"/>
                </w14:solidFill>
              </w14:textFill>
            </w:rPr>
            <w:t>Lastly, Amazon should tap into the potential of cross-border e-commerce. Chinese consumers often have a strong interest in Western products, and cross-border e-commerce can serve as a powerful tool for Amazon to gain market share. Amazon can attract Chinese consumers who seek quality and authenticity by offering a wide range of Western products and ensuring efficient cross-border logistics.</w:t>
          </w:r>
        </w:p>
        <w:p>
          <w:pPr>
            <w:pStyle w:val="10"/>
            <w:spacing w:before="0" w:beforeAutospacing="0" w:after="0" w:afterAutospacing="0" w:line="480" w:lineRule="auto"/>
            <w:ind w:firstLine="720"/>
            <w:jc w:val="both"/>
            <w:rPr>
              <w:color w:val="000000" w:themeColor="text1"/>
              <w:lang w:val="en-GB" w:eastAsia="zh-CN"/>
              <w14:textFill>
                <w14:solidFill>
                  <w14:schemeClr w14:val="tx1"/>
                </w14:solidFill>
              </w14:textFill>
            </w:rPr>
          </w:pPr>
          <w:r>
            <w:rPr>
              <w:color w:val="000000" w:themeColor="text1"/>
              <w:lang w:val="en-GB" w:eastAsia="zh-CN"/>
              <w14:textFill>
                <w14:solidFill>
                  <w14:schemeClr w14:val="tx1"/>
                </w14:solidFill>
              </w14:textFill>
            </w:rPr>
            <w:t>By implementing these strategies, Amazon can enhance its presence in the Chinese market and effectively cater to the preferences and needs of Chinese consumers.</w:t>
          </w:r>
          <w:bookmarkStart w:id="139" w:name="OLE_LINK429"/>
          <w:bookmarkStart w:id="140" w:name="OLE_LINK428"/>
        </w:p>
        <w:bookmarkEnd w:id="137"/>
        <w:bookmarkEnd w:id="138"/>
        <w:bookmarkEnd w:id="139"/>
        <w:bookmarkEnd w:id="140"/>
        <w:p>
          <w:pPr>
            <w:spacing w:line="480" w:lineRule="auto"/>
            <w:jc w:val="both"/>
            <w:rPr>
              <w:rFonts w:ascii="Times New Roman" w:hAnsi="Times New Roman" w:cs="Times New Roman"/>
              <w:b/>
              <w:i/>
              <w:color w:val="000000" w:themeColor="text1"/>
              <w14:textFill>
                <w14:solidFill>
                  <w14:schemeClr w14:val="tx1"/>
                </w14:solidFill>
              </w14:textFill>
            </w:rPr>
          </w:pPr>
          <w:r>
            <w:rPr>
              <w:rFonts w:ascii="Times New Roman" w:hAnsi="Times New Roman" w:cs="Times New Roman"/>
              <w:b/>
              <w:i/>
              <w:color w:val="000000" w:themeColor="text1"/>
              <w14:textFill>
                <w14:solidFill>
                  <w14:schemeClr w14:val="tx1"/>
                </w14:solidFill>
              </w14:textFill>
            </w:rPr>
            <w:t>Recommendation 3: Higher-yielding alternatives</w:t>
          </w:r>
          <w:bookmarkStart w:id="141" w:name="OLE_LINK421"/>
          <w:bookmarkStart w:id="142" w:name="OLE_LINK420"/>
        </w:p>
        <w:p>
          <w:pPr>
            <w:pStyle w:val="10"/>
            <w:spacing w:before="0" w:beforeAutospacing="0" w:after="0" w:afterAutospacing="0" w:line="480" w:lineRule="auto"/>
            <w:ind w:firstLine="720"/>
            <w:jc w:val="both"/>
            <w:rPr>
              <w:color w:val="000000" w:themeColor="text1"/>
              <w14:textFill>
                <w14:solidFill>
                  <w14:schemeClr w14:val="tx1"/>
                </w14:solidFill>
              </w14:textFill>
            </w:rPr>
          </w:pPr>
          <w:bookmarkStart w:id="143" w:name="OLE_LINK507"/>
          <w:bookmarkStart w:id="144" w:name="OLE_LINK506"/>
          <w:r>
            <w:rPr>
              <w:color w:val="000000" w:themeColor="text1"/>
              <w14:textFill>
                <w14:solidFill>
                  <w14:schemeClr w14:val="tx1"/>
                </w14:solidFill>
              </w14:textFill>
            </w:rPr>
            <w:t>To mitigate the adverse impacts of exchange rate fluctuations, Amazon can implement strategies to protect against currency risk. One effective strategy is to invoice and conduct transactions primarily in U.S. dollars, ensuring that expenses and revenues remain in the same currency (Ford and Palmer, 2019). This approach helps to minimize the exposure to exchange rate fluctuations and provides stability in financial reporting.</w:t>
          </w:r>
        </w:p>
        <w:p>
          <w:pPr>
            <w:pStyle w:val="10"/>
            <w:spacing w:before="0" w:beforeAutospacing="0" w:after="0" w:afterAutospacing="0" w:line="480" w:lineRule="auto"/>
            <w:ind w:firstLine="720"/>
            <w:jc w:val="both"/>
            <w:rPr>
              <w:color w:val="000000" w:themeColor="text1"/>
              <w:lang w:val="en-GB" w:eastAsia="zh-CN"/>
              <w14:textFill>
                <w14:solidFill>
                  <w14:schemeClr w14:val="tx1"/>
                </w14:solidFill>
              </w14:textFill>
            </w:rPr>
          </w:pPr>
          <w:r>
            <w:rPr>
              <w:color w:val="000000" w:themeColor="text1"/>
              <w14:textFill>
                <w14:solidFill>
                  <w14:schemeClr w14:val="tx1"/>
                </w14:solidFill>
              </w14:textFill>
            </w:rPr>
            <w:t>By adopting a consistent currency for transactions, Amazon can reduce the uncertainty associated with fluctuating exchange rates and simplify its financial management processes. This strategy allows the company to maintain a more predictable and stable financial position, particularly in volatile currency markets.</w:t>
          </w:r>
          <w:r>
            <w:rPr>
              <w:rFonts w:hint="eastAsia"/>
              <w:color w:val="000000" w:themeColor="text1"/>
              <w:lang w:eastAsia="zh-CN"/>
              <w14:textFill>
                <w14:solidFill>
                  <w14:schemeClr w14:val="tx1"/>
                </w14:solidFill>
              </w14:textFill>
            </w:rPr>
            <w:t xml:space="preserve"> </w:t>
          </w:r>
          <w:bookmarkEnd w:id="141"/>
          <w:bookmarkEnd w:id="142"/>
        </w:p>
        <w:bookmarkEnd w:id="143"/>
        <w:bookmarkEnd w:id="144"/>
        <w:p>
          <w:pPr>
            <w:spacing w:line="480" w:lineRule="auto"/>
            <w:rPr>
              <w:rFonts w:asciiTheme="majorHAnsi" w:hAnsiTheme="majorHAnsi" w:eastAsiaTheme="majorEastAsia" w:cstheme="majorBidi"/>
              <w:color w:val="000000" w:themeColor="text1"/>
              <w:sz w:val="32"/>
              <w:szCs w:val="32"/>
              <w14:textFill>
                <w14:solidFill>
                  <w14:schemeClr w14:val="tx1"/>
                </w14:solidFill>
              </w14:textFill>
            </w:rPr>
          </w:pPr>
          <w:bookmarkStart w:id="145" w:name="_Toc137934960"/>
          <w:bookmarkStart w:id="146" w:name="_Toc149502656"/>
          <w:r>
            <w:rPr>
              <w:color w:val="000000" w:themeColor="text1"/>
              <w14:textFill>
                <w14:solidFill>
                  <w14:schemeClr w14:val="tx1"/>
                </w14:solidFill>
              </w14:textFill>
            </w:rPr>
            <w:br w:type="page"/>
          </w:r>
        </w:p>
        <w:bookmarkEnd w:id="145"/>
        <w:bookmarkEnd w:id="146"/>
        <w:p>
          <w:pPr>
            <w:pStyle w:val="2"/>
            <w:jc w:val="both"/>
            <w:rPr>
              <w:color w:val="auto"/>
              <w:lang w:val="en-US" w:eastAsia="zh-CN"/>
            </w:rPr>
          </w:pPr>
          <w:bookmarkStart w:id="147" w:name="_Toc26721"/>
          <w:r>
            <w:rPr>
              <w:rFonts w:hint="eastAsia"/>
              <w:color w:val="auto"/>
              <w:lang w:val="en-US" w:eastAsia="zh-CN"/>
            </w:rPr>
            <w:t>References</w:t>
          </w:r>
          <w:bookmarkEnd w:id="147"/>
        </w:p>
        <w:p>
          <w:pPr>
            <w:pStyle w:val="10"/>
            <w:spacing w:before="240" w:beforeAutospacing="0" w:after="0" w:afterAutospacing="0" w:line="480" w:lineRule="auto"/>
            <w:ind w:left="720" w:hanging="720"/>
            <w:jc w:val="both"/>
          </w:pPr>
          <w:r>
            <w:t xml:space="preserve">Alshmrani, H.M., (2021) </w:t>
          </w:r>
          <w:r>
            <w:rPr>
              <w:i/>
            </w:rPr>
            <w:t>An analytical view of Amazon's success worldwide</w:t>
          </w:r>
          <w:r>
            <w:t xml:space="preserve">, </w:t>
          </w:r>
          <w:r>
            <w:rPr>
              <w:lang w:eastAsia="zh-CN"/>
            </w:rPr>
            <w:t>in</w:t>
          </w:r>
          <w:r>
            <w:t xml:space="preserve"> </w:t>
          </w:r>
          <w:r>
            <w:rPr>
              <w:i/>
            </w:rPr>
            <w:t>Life Science Journal</w:t>
          </w:r>
          <w:r>
            <w:t>, 18(6).</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Altrad, A., </w:t>
          </w:r>
          <w:bookmarkStart w:id="148" w:name="OLE_LINK437"/>
          <w:bookmarkStart w:id="149" w:name="OLE_LINK436"/>
          <w:r>
            <w:rPr>
              <w:rFonts w:ascii="Times New Roman" w:hAnsi="Times New Roman" w:cs="Times New Roman"/>
              <w:sz w:val="24"/>
              <w:szCs w:val="24"/>
              <w:lang w:eastAsia="zh-CN"/>
            </w:rPr>
            <w:t>et al.</w:t>
          </w:r>
          <w:bookmarkEnd w:id="148"/>
          <w:bookmarkEnd w:id="149"/>
          <w:r>
            <w:rPr>
              <w:rFonts w:ascii="Times New Roman" w:hAnsi="Times New Roman" w:cs="Times New Roman"/>
              <w:sz w:val="24"/>
              <w:szCs w:val="24"/>
            </w:rPr>
            <w:t xml:space="preserve"> (2021) </w:t>
          </w:r>
          <w:r>
            <w:rPr>
              <w:rFonts w:ascii="Times New Roman" w:hAnsi="Times New Roman" w:cs="Times New Roman"/>
              <w:i/>
              <w:sz w:val="24"/>
              <w:szCs w:val="24"/>
            </w:rPr>
            <w:t>Amazon in Business to Customers and Overcoming Obstacles</w:t>
          </w:r>
          <w:r>
            <w:rPr>
              <w:rFonts w:ascii="Times New Roman" w:hAnsi="Times New Roman" w:cs="Times New Roman"/>
              <w:sz w:val="24"/>
              <w:szCs w:val="24"/>
            </w:rPr>
            <w:t xml:space="preserve">, </w:t>
          </w:r>
          <w:r>
            <w:rPr>
              <w:rFonts w:ascii="Times New Roman" w:hAnsi="Times New Roman" w:cs="Times New Roman"/>
              <w:sz w:val="24"/>
              <w:szCs w:val="24"/>
              <w:lang w:eastAsia="zh-CN"/>
            </w:rPr>
            <w:t>in</w:t>
          </w:r>
          <w:r>
            <w:rPr>
              <w:rFonts w:ascii="Times New Roman" w:hAnsi="Times New Roman" w:cs="Times New Roman"/>
              <w:sz w:val="24"/>
              <w:szCs w:val="24"/>
            </w:rPr>
            <w:t xml:space="preserve"> </w:t>
          </w:r>
          <w:r>
            <w:rPr>
              <w:rFonts w:ascii="Times New Roman" w:hAnsi="Times New Roman" w:cs="Times New Roman"/>
              <w:i/>
              <w:sz w:val="24"/>
              <w:szCs w:val="24"/>
            </w:rPr>
            <w:t xml:space="preserve">In 2021 2nd International Conference on Smart Computing and Electronic Enterprise (ICSCEE), </w:t>
          </w:r>
          <w:r>
            <w:rPr>
              <w:rFonts w:ascii="Times New Roman" w:hAnsi="Times New Roman" w:cs="Times New Roman"/>
              <w:sz w:val="24"/>
              <w:szCs w:val="24"/>
            </w:rPr>
            <w:t xml:space="preserve">pp. 175-179. IEEE. </w:t>
          </w:r>
        </w:p>
        <w:p>
          <w:pPr>
            <w:pStyle w:val="10"/>
            <w:spacing w:before="0" w:beforeAutospacing="0" w:after="0" w:afterAutospacing="0" w:line="480" w:lineRule="auto"/>
            <w:ind w:left="720" w:hanging="720"/>
          </w:pPr>
          <w:r>
            <w:t xml:space="preserve">Annual reports, (2022) </w:t>
          </w:r>
          <w:r>
            <w:rPr>
              <w:i/>
              <w:iCs/>
            </w:rPr>
            <w:t>ANNUAL REPORT.</w:t>
          </w:r>
          <w:r>
            <w:t xml:space="preserve"> https://www.annualreports.com/HostedData/AnnualReports/PDF/NASDAQ_AMZN_2022.pdf[Accessed on: October 18th, 2023]</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Aversa, P., Haefliger, S., Hueller, F. and Reza, D.G. (2021)</w:t>
          </w:r>
          <w:r>
            <w:rPr>
              <w:rFonts w:ascii="Times New Roman" w:hAnsi="Times New Roman" w:cs="Times New Roman"/>
              <w:i/>
              <w:sz w:val="24"/>
              <w:szCs w:val="24"/>
            </w:rPr>
            <w:t xml:space="preserve"> ‘Customer complementarity in the digital space: Exploring Amazon’s business model diversification’</w:t>
          </w:r>
          <w:r>
            <w:rPr>
              <w:rFonts w:ascii="Times New Roman" w:hAnsi="Times New Roman" w:cs="Times New Roman"/>
              <w:sz w:val="24"/>
              <w:szCs w:val="24"/>
            </w:rPr>
            <w:t>, in Long Range Planning, 54(5).</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Backes, J., </w:t>
          </w:r>
          <w:bookmarkStart w:id="150" w:name="OLE_LINK439"/>
          <w:bookmarkStart w:id="151" w:name="OLE_LINK438"/>
          <w:r>
            <w:rPr>
              <w:rFonts w:ascii="Times New Roman" w:hAnsi="Times New Roman" w:cs="Times New Roman"/>
              <w:sz w:val="24"/>
              <w:szCs w:val="24"/>
              <w:lang w:eastAsia="zh-CN"/>
            </w:rPr>
            <w:t>et al.</w:t>
          </w:r>
          <w:bookmarkEnd w:id="150"/>
          <w:bookmarkEnd w:id="151"/>
          <w:r>
            <w:rPr>
              <w:rFonts w:ascii="Times New Roman" w:hAnsi="Times New Roman" w:cs="Times New Roman"/>
              <w:sz w:val="24"/>
              <w:szCs w:val="24"/>
            </w:rPr>
            <w:t xml:space="preserve"> (2019)</w:t>
          </w:r>
          <w:r>
            <w:rPr>
              <w:rFonts w:ascii="Times New Roman" w:hAnsi="Times New Roman" w:cs="Times New Roman"/>
              <w:i/>
              <w:sz w:val="24"/>
              <w:szCs w:val="24"/>
            </w:rPr>
            <w:t xml:space="preserve"> ‘Reachability analysis for AWS-based networks’, In Computer Aided Verification</w:t>
          </w:r>
          <w:r>
            <w:rPr>
              <w:rFonts w:ascii="Times New Roman" w:hAnsi="Times New Roman" w:cs="Times New Roman"/>
              <w:sz w:val="24"/>
              <w:szCs w:val="24"/>
            </w:rPr>
            <w:t>:</w:t>
          </w:r>
          <w:r>
            <w:rPr>
              <w:rFonts w:ascii="Times New Roman" w:hAnsi="Times New Roman" w:cs="Times New Roman"/>
              <w:i/>
              <w:sz w:val="24"/>
              <w:szCs w:val="24"/>
            </w:rPr>
            <w:t xml:space="preserve"> 31st International Conference</w:t>
          </w:r>
          <w:r>
            <w:rPr>
              <w:rFonts w:ascii="Times New Roman" w:hAnsi="Times New Roman" w:cs="Times New Roman"/>
              <w:sz w:val="24"/>
              <w:szCs w:val="24"/>
            </w:rPr>
            <w:t>. Springer International Publishing.</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Bidkar, S. V. (2019) </w:t>
          </w:r>
          <w:r>
            <w:rPr>
              <w:rFonts w:ascii="Times New Roman" w:hAnsi="Times New Roman" w:cs="Times New Roman"/>
              <w:i/>
              <w:sz w:val="24"/>
              <w:szCs w:val="24"/>
            </w:rPr>
            <w:t>Paradigm shift in e-commerce-a case study of amazon</w:t>
          </w:r>
          <w:r>
            <w:rPr>
              <w:rFonts w:ascii="Times New Roman" w:hAnsi="Times New Roman" w:cs="Times New Roman"/>
              <w:sz w:val="24"/>
              <w:szCs w:val="24"/>
            </w:rPr>
            <w:t xml:space="preserve">, in Sumedha Journal of Management, 8(3), pp. 445-452. </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Castro, M. C., </w:t>
          </w:r>
          <w:r>
            <w:rPr>
              <w:rFonts w:ascii="Times New Roman" w:hAnsi="Times New Roman" w:cs="Times New Roman"/>
              <w:sz w:val="24"/>
              <w:szCs w:val="24"/>
              <w:lang w:eastAsia="zh-CN"/>
            </w:rPr>
            <w:t>et al.</w:t>
          </w:r>
          <w:r>
            <w:rPr>
              <w:rFonts w:ascii="Times New Roman" w:hAnsi="Times New Roman" w:cs="Times New Roman"/>
              <w:sz w:val="24"/>
              <w:szCs w:val="24"/>
            </w:rPr>
            <w:t xml:space="preserve"> (2019) </w:t>
          </w:r>
          <w:r>
            <w:rPr>
              <w:rFonts w:ascii="Times New Roman" w:hAnsi="Times New Roman" w:cs="Times New Roman"/>
              <w:i/>
              <w:sz w:val="24"/>
              <w:szCs w:val="24"/>
            </w:rPr>
            <w:t>Development, environmental degradation, and disease spread in the Brazilian Amazon</w:t>
          </w:r>
          <w:r>
            <w:rPr>
              <w:rFonts w:ascii="Times New Roman" w:hAnsi="Times New Roman" w:cs="Times New Roman"/>
              <w:sz w:val="24"/>
              <w:szCs w:val="24"/>
            </w:rPr>
            <w:t>, in PLoS biology, 17(11).</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Çitilci, T. and Akbalık, M. (2020) </w:t>
          </w:r>
          <w:r>
            <w:rPr>
              <w:rFonts w:ascii="Times New Roman" w:hAnsi="Times New Roman" w:cs="Times New Roman"/>
              <w:i/>
              <w:sz w:val="24"/>
              <w:szCs w:val="24"/>
            </w:rPr>
            <w:t>‘The importance of PESTEL analysis for environmental scanning process’</w:t>
          </w:r>
          <w:r>
            <w:rPr>
              <w:rFonts w:ascii="Times New Roman" w:hAnsi="Times New Roman" w:cs="Times New Roman"/>
              <w:sz w:val="24"/>
              <w:szCs w:val="24"/>
            </w:rPr>
            <w:t>, in</w:t>
          </w:r>
          <w:r>
            <w:rPr>
              <w:rFonts w:ascii="Times New Roman" w:hAnsi="Times New Roman" w:cs="Times New Roman"/>
              <w:i/>
              <w:sz w:val="24"/>
              <w:szCs w:val="24"/>
            </w:rPr>
            <w:t xml:space="preserve"> Handbook of Research on Decision-Making Techniques in Financial Marketing</w:t>
          </w:r>
          <w:r>
            <w:rPr>
              <w:rFonts w:ascii="Times New Roman" w:hAnsi="Times New Roman" w:cs="Times New Roman"/>
              <w:sz w:val="24"/>
              <w:szCs w:val="24"/>
            </w:rPr>
            <w:t>,</w:t>
          </w:r>
          <w:r>
            <w:rPr>
              <w:rFonts w:ascii="Times New Roman" w:hAnsi="Times New Roman" w:cs="Times New Roman"/>
              <w:i/>
              <w:sz w:val="24"/>
              <w:szCs w:val="24"/>
            </w:rPr>
            <w:t xml:space="preserve"> </w:t>
          </w:r>
          <w:r>
            <w:rPr>
              <w:rFonts w:ascii="Times New Roman" w:hAnsi="Times New Roman" w:cs="Times New Roman"/>
              <w:sz w:val="24"/>
              <w:szCs w:val="24"/>
            </w:rPr>
            <w:t>pp. 336-357. IGI Global.</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Culpepper, P.D. and Thelen, K. (2020) </w:t>
          </w:r>
          <w:r>
            <w:rPr>
              <w:rFonts w:ascii="Times New Roman" w:hAnsi="Times New Roman" w:cs="Times New Roman"/>
              <w:i/>
              <w:sz w:val="24"/>
              <w:szCs w:val="24"/>
            </w:rPr>
            <w:t>‘Are we all Amazon primed? Consumers and the politics of platform power,’</w:t>
          </w:r>
          <w:r>
            <w:rPr>
              <w:rFonts w:ascii="Times New Roman" w:hAnsi="Times New Roman" w:cs="Times New Roman"/>
              <w:sz w:val="24"/>
              <w:szCs w:val="24"/>
            </w:rPr>
            <w:t xml:space="preserve"> in </w:t>
          </w:r>
          <w:r>
            <w:rPr>
              <w:rFonts w:ascii="Times New Roman" w:hAnsi="Times New Roman" w:cs="Times New Roman"/>
              <w:i/>
              <w:sz w:val="24"/>
              <w:szCs w:val="24"/>
            </w:rPr>
            <w:t>Comparative Political Studies</w:t>
          </w:r>
          <w:r>
            <w:rPr>
              <w:rFonts w:ascii="Times New Roman" w:hAnsi="Times New Roman" w:cs="Times New Roman"/>
              <w:sz w:val="24"/>
              <w:szCs w:val="24"/>
            </w:rPr>
            <w:t>, 53(2), pp. 288-318.</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Delfanti, A. (2021) </w:t>
          </w:r>
          <w:r>
            <w:rPr>
              <w:rFonts w:ascii="Times New Roman" w:hAnsi="Times New Roman" w:cs="Times New Roman"/>
              <w:i/>
              <w:sz w:val="24"/>
              <w:szCs w:val="24"/>
            </w:rPr>
            <w:t>‘Machinic dispossession and augmented despotism: Digital work in an Amazon warehouse’</w:t>
          </w:r>
          <w:r>
            <w:rPr>
              <w:rFonts w:ascii="Times New Roman" w:hAnsi="Times New Roman" w:cs="Times New Roman"/>
              <w:sz w:val="24"/>
              <w:szCs w:val="24"/>
            </w:rPr>
            <w:t xml:space="preserve">, in </w:t>
          </w:r>
          <w:r>
            <w:rPr>
              <w:rFonts w:ascii="Times New Roman" w:hAnsi="Times New Roman" w:cs="Times New Roman"/>
              <w:i/>
              <w:sz w:val="24"/>
              <w:szCs w:val="24"/>
            </w:rPr>
            <w:t>New Media and  Society</w:t>
          </w:r>
          <w:r>
            <w:rPr>
              <w:rFonts w:ascii="Times New Roman" w:hAnsi="Times New Roman" w:cs="Times New Roman"/>
              <w:sz w:val="24"/>
              <w:szCs w:val="24"/>
            </w:rPr>
            <w:t>, 23(1), pp. 39-55.</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Delfanti, A. and Frey, B. (2021) </w:t>
          </w:r>
          <w:r>
            <w:rPr>
              <w:rFonts w:ascii="Times New Roman" w:hAnsi="Times New Roman" w:cs="Times New Roman"/>
              <w:i/>
              <w:sz w:val="24"/>
              <w:szCs w:val="24"/>
            </w:rPr>
            <w:t>‘Humanly extended automation or the future of work seen through Amazon patents’</w:t>
          </w:r>
          <w:r>
            <w:rPr>
              <w:rFonts w:ascii="Times New Roman" w:hAnsi="Times New Roman" w:cs="Times New Roman"/>
              <w:sz w:val="24"/>
              <w:szCs w:val="24"/>
            </w:rPr>
            <w:t xml:space="preserve">, in </w:t>
          </w:r>
          <w:r>
            <w:rPr>
              <w:rFonts w:ascii="Times New Roman" w:hAnsi="Times New Roman" w:cs="Times New Roman"/>
              <w:i/>
              <w:sz w:val="24"/>
              <w:szCs w:val="24"/>
            </w:rPr>
            <w:t>Science, Technology, and  Human Values</w:t>
          </w:r>
          <w:r>
            <w:rPr>
              <w:rFonts w:ascii="Times New Roman" w:hAnsi="Times New Roman" w:cs="Times New Roman"/>
              <w:sz w:val="24"/>
              <w:szCs w:val="24"/>
            </w:rPr>
            <w:t>, 46(3), pp. 655-682.</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Dutta, P. and Dutta, P. (2019) </w:t>
          </w:r>
          <w:r>
            <w:rPr>
              <w:rFonts w:ascii="Times New Roman" w:hAnsi="Times New Roman" w:cs="Times New Roman"/>
              <w:i/>
              <w:sz w:val="24"/>
              <w:szCs w:val="24"/>
            </w:rPr>
            <w:t>‘Comparative study of cloud services offered by Amazon, Microsoft and  Google’</w:t>
          </w:r>
          <w:r>
            <w:rPr>
              <w:rFonts w:ascii="Times New Roman" w:hAnsi="Times New Roman" w:cs="Times New Roman"/>
              <w:sz w:val="24"/>
              <w:szCs w:val="24"/>
            </w:rPr>
            <w:t xml:space="preserve">, in </w:t>
          </w:r>
          <w:r>
            <w:rPr>
              <w:rFonts w:ascii="Times New Roman" w:hAnsi="Times New Roman" w:cs="Times New Roman"/>
              <w:i/>
              <w:sz w:val="24"/>
              <w:szCs w:val="24"/>
            </w:rPr>
            <w:t>International Journal of Trend in Scientific Research and Development</w:t>
          </w:r>
          <w:r>
            <w:rPr>
              <w:rFonts w:ascii="Times New Roman" w:hAnsi="Times New Roman" w:cs="Times New Roman"/>
              <w:sz w:val="24"/>
              <w:szCs w:val="24"/>
            </w:rPr>
            <w:t>, 3(3), pp. 981-985.</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Ford, M. and Palmer, W. (2019) </w:t>
          </w:r>
          <w:r>
            <w:rPr>
              <w:rFonts w:ascii="Times New Roman" w:hAnsi="Times New Roman" w:cs="Times New Roman"/>
              <w:i/>
              <w:sz w:val="24"/>
              <w:szCs w:val="24"/>
            </w:rPr>
            <w:t>‘Alexa, are you listening to me? An analysis of Alexa voice service network traffic’</w:t>
          </w:r>
          <w:r>
            <w:rPr>
              <w:rFonts w:ascii="Times New Roman" w:hAnsi="Times New Roman" w:cs="Times New Roman"/>
              <w:sz w:val="24"/>
              <w:szCs w:val="24"/>
            </w:rPr>
            <w:t>, in</w:t>
          </w:r>
          <w:r>
            <w:rPr>
              <w:rFonts w:ascii="Times New Roman" w:hAnsi="Times New Roman" w:cs="Times New Roman"/>
              <w:i/>
              <w:sz w:val="24"/>
              <w:szCs w:val="24"/>
            </w:rPr>
            <w:t xml:space="preserve"> Personal and ubiquitous computing</w:t>
          </w:r>
          <w:r>
            <w:rPr>
              <w:rFonts w:ascii="Times New Roman" w:hAnsi="Times New Roman" w:cs="Times New Roman"/>
              <w:sz w:val="24"/>
              <w:szCs w:val="24"/>
            </w:rPr>
            <w:t>, 23, pp. 67-79.</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Garrett, R. D., </w:t>
          </w:r>
          <w:r>
            <w:rPr>
              <w:rFonts w:hint="eastAsia" w:ascii="Times New Roman" w:hAnsi="Times New Roman" w:cs="Times New Roman"/>
              <w:sz w:val="24"/>
              <w:lang w:eastAsia="zh-CN"/>
            </w:rPr>
            <w:t>et</w:t>
          </w:r>
          <w:r>
            <w:rPr>
              <w:rFonts w:ascii="Times New Roman" w:hAnsi="Times New Roman" w:cs="Times New Roman"/>
              <w:sz w:val="24"/>
              <w:lang w:eastAsia="zh-CN"/>
            </w:rPr>
            <w:t xml:space="preserve"> </w:t>
          </w:r>
          <w:r>
            <w:rPr>
              <w:rFonts w:hint="eastAsia" w:ascii="Times New Roman" w:hAnsi="Times New Roman" w:cs="Times New Roman"/>
              <w:sz w:val="24"/>
              <w:lang w:eastAsia="zh-CN"/>
            </w:rPr>
            <w:t>al</w:t>
          </w:r>
          <w:r>
            <w:rPr>
              <w:rFonts w:ascii="Times New Roman" w:hAnsi="Times New Roman" w:cs="Times New Roman"/>
              <w:sz w:val="24"/>
              <w:lang w:eastAsia="zh-CN"/>
            </w:rPr>
            <w:t>.</w:t>
          </w:r>
          <w:r>
            <w:rPr>
              <w:rFonts w:ascii="Times New Roman" w:hAnsi="Times New Roman" w:cs="Times New Roman"/>
              <w:sz w:val="24"/>
              <w:szCs w:val="24"/>
            </w:rPr>
            <w:t xml:space="preserve"> (2021) </w:t>
          </w:r>
          <w:r>
            <w:rPr>
              <w:rFonts w:ascii="Times New Roman" w:hAnsi="Times New Roman" w:cs="Times New Roman"/>
              <w:i/>
              <w:sz w:val="24"/>
              <w:szCs w:val="24"/>
            </w:rPr>
            <w:t>Forests and sustainable development in the Brazilian Amazon: history, trends, and future prospects</w:t>
          </w:r>
          <w:r>
            <w:rPr>
              <w:rFonts w:ascii="Times New Roman" w:hAnsi="Times New Roman" w:cs="Times New Roman"/>
              <w:sz w:val="24"/>
              <w:szCs w:val="24"/>
            </w:rPr>
            <w:t xml:space="preserve">, in </w:t>
          </w:r>
          <w:r>
            <w:rPr>
              <w:rFonts w:ascii="Times New Roman" w:hAnsi="Times New Roman" w:cs="Times New Roman"/>
              <w:i/>
              <w:sz w:val="24"/>
              <w:szCs w:val="24"/>
            </w:rPr>
            <w:t>Annual Review of Environment and Resources</w:t>
          </w:r>
          <w:r>
            <w:rPr>
              <w:rFonts w:ascii="Times New Roman" w:hAnsi="Times New Roman" w:cs="Times New Roman"/>
              <w:sz w:val="24"/>
              <w:szCs w:val="24"/>
            </w:rPr>
            <w:t>, 46, 625-652.</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Globocnik, D., Faullant, R. and Parastuty, Z. (2020) </w:t>
          </w:r>
          <w:r>
            <w:rPr>
              <w:rFonts w:ascii="Times New Roman" w:hAnsi="Times New Roman" w:cs="Times New Roman"/>
              <w:i/>
              <w:sz w:val="24"/>
              <w:szCs w:val="24"/>
            </w:rPr>
            <w:t>‘Bridging strategic planning and business model management–A formal control framework to manage business model portfolios and dynamics’</w:t>
          </w:r>
          <w:r>
            <w:rPr>
              <w:rFonts w:ascii="Times New Roman" w:hAnsi="Times New Roman" w:cs="Times New Roman"/>
              <w:sz w:val="24"/>
              <w:szCs w:val="24"/>
            </w:rPr>
            <w:t xml:space="preserve">, in </w:t>
          </w:r>
          <w:r>
            <w:rPr>
              <w:rFonts w:ascii="Times New Roman" w:hAnsi="Times New Roman" w:cs="Times New Roman"/>
              <w:i/>
              <w:sz w:val="24"/>
              <w:szCs w:val="24"/>
            </w:rPr>
            <w:t>European Management Journa</w:t>
          </w:r>
          <w:r>
            <w:rPr>
              <w:rFonts w:ascii="Times New Roman" w:hAnsi="Times New Roman" w:cs="Times New Roman"/>
              <w:sz w:val="24"/>
              <w:szCs w:val="24"/>
            </w:rPr>
            <w:t>l, 38(2), pp. 231-243.</w:t>
          </w:r>
        </w:p>
        <w:p>
          <w:pPr>
            <w:pStyle w:val="10"/>
            <w:spacing w:before="240" w:beforeAutospacing="0" w:after="0" w:afterAutospacing="0" w:line="480" w:lineRule="auto"/>
            <w:ind w:left="720" w:hanging="720"/>
            <w:jc w:val="both"/>
          </w:pPr>
          <w:r>
            <w:t xml:space="preserve">Goel, P., </w:t>
          </w:r>
          <w:r>
            <w:rPr>
              <w:rFonts w:hint="eastAsia"/>
              <w:lang w:eastAsia="zh-CN"/>
            </w:rPr>
            <w:t>et</w:t>
          </w:r>
          <w:r>
            <w:rPr>
              <w:lang w:eastAsia="zh-CN"/>
            </w:rPr>
            <w:t xml:space="preserve"> </w:t>
          </w:r>
          <w:r>
            <w:rPr>
              <w:rFonts w:hint="eastAsia"/>
              <w:lang w:eastAsia="zh-CN"/>
            </w:rPr>
            <w:t>al</w:t>
          </w:r>
          <w:r>
            <w:rPr>
              <w:lang w:eastAsia="zh-CN"/>
            </w:rPr>
            <w:t>.</w:t>
          </w:r>
          <w:r>
            <w:t xml:space="preserve"> (2020) </w:t>
          </w:r>
          <w:r>
            <w:rPr>
              <w:i/>
            </w:rPr>
            <w:t>Customer Experiences, Expectations and Satisfaction Level Towards Services Provided by Amazon</w:t>
          </w:r>
          <w:r>
            <w:t xml:space="preserve">, in </w:t>
          </w:r>
          <w:r>
            <w:rPr>
              <w:i/>
            </w:rPr>
            <w:t>International Journal of Tourism and Hospitality in Asia Pacific (IJTHAP)</w:t>
          </w:r>
          <w:r>
            <w:t>, 3(1), pp.89-101.</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Hassel, A. and Sieker, F. (2022) </w:t>
          </w:r>
          <w:r>
            <w:rPr>
              <w:rFonts w:ascii="Times New Roman" w:hAnsi="Times New Roman" w:cs="Times New Roman"/>
              <w:i/>
              <w:sz w:val="24"/>
              <w:szCs w:val="24"/>
            </w:rPr>
            <w:t>‘The platform effect: How Amazon changed work in logistics in Germany, the United States and the United Kingdom’</w:t>
          </w:r>
          <w:r>
            <w:rPr>
              <w:rFonts w:ascii="Times New Roman" w:hAnsi="Times New Roman" w:cs="Times New Roman"/>
              <w:sz w:val="24"/>
              <w:szCs w:val="24"/>
            </w:rPr>
            <w:t xml:space="preserve">, in </w:t>
          </w:r>
          <w:r>
            <w:rPr>
              <w:rFonts w:ascii="Times New Roman" w:hAnsi="Times New Roman" w:cs="Times New Roman"/>
              <w:i/>
              <w:sz w:val="24"/>
              <w:szCs w:val="24"/>
            </w:rPr>
            <w:t>European Journal of Industrial Relations</w:t>
          </w:r>
          <w:r>
            <w:rPr>
              <w:rFonts w:ascii="Times New Roman" w:hAnsi="Times New Roman" w:cs="Times New Roman"/>
              <w:sz w:val="24"/>
              <w:szCs w:val="24"/>
            </w:rPr>
            <w:t>, 28(3), pp. 363-382.</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Heredia-R, M., </w:t>
          </w:r>
          <w:r>
            <w:rPr>
              <w:rFonts w:hint="eastAsia" w:ascii="Times New Roman" w:hAnsi="Times New Roman" w:cs="Times New Roman"/>
              <w:sz w:val="24"/>
              <w:lang w:eastAsia="zh-CN"/>
            </w:rPr>
            <w:t>et</w:t>
          </w:r>
          <w:r>
            <w:rPr>
              <w:rFonts w:ascii="Times New Roman" w:hAnsi="Times New Roman" w:cs="Times New Roman"/>
              <w:sz w:val="24"/>
              <w:lang w:eastAsia="zh-CN"/>
            </w:rPr>
            <w:t xml:space="preserve"> </w:t>
          </w:r>
          <w:r>
            <w:rPr>
              <w:rFonts w:hint="eastAsia" w:ascii="Times New Roman" w:hAnsi="Times New Roman" w:cs="Times New Roman"/>
              <w:sz w:val="24"/>
              <w:lang w:eastAsia="zh-CN"/>
            </w:rPr>
            <w:t>al</w:t>
          </w:r>
          <w:r>
            <w:rPr>
              <w:rFonts w:ascii="Times New Roman" w:hAnsi="Times New Roman" w:cs="Times New Roman"/>
              <w:sz w:val="24"/>
              <w:lang w:eastAsia="zh-CN"/>
            </w:rPr>
            <w:t>.</w:t>
          </w:r>
          <w:r>
            <w:rPr>
              <w:rFonts w:ascii="Times New Roman" w:hAnsi="Times New Roman" w:cs="Times New Roman"/>
              <w:sz w:val="24"/>
              <w:szCs w:val="24"/>
            </w:rPr>
            <w:t xml:space="preserve"> (2020) </w:t>
          </w:r>
          <w:r>
            <w:rPr>
              <w:rFonts w:ascii="Times New Roman" w:hAnsi="Times New Roman" w:cs="Times New Roman"/>
              <w:i/>
              <w:sz w:val="24"/>
              <w:szCs w:val="24"/>
            </w:rPr>
            <w:t>Sustainability Assessment of Smallholder Agroforestry Indigenous Farming in the Amazon: A Case Study of Ecuadorian Kichwas</w:t>
          </w:r>
          <w:r>
            <w:rPr>
              <w:rFonts w:ascii="Times New Roman" w:hAnsi="Times New Roman" w:cs="Times New Roman"/>
              <w:sz w:val="24"/>
              <w:szCs w:val="24"/>
            </w:rPr>
            <w:t xml:space="preserve">, in </w:t>
          </w:r>
          <w:r>
            <w:rPr>
              <w:rFonts w:ascii="Times New Roman" w:hAnsi="Times New Roman" w:cs="Times New Roman"/>
              <w:i/>
              <w:sz w:val="24"/>
              <w:szCs w:val="24"/>
            </w:rPr>
            <w:t>Agronomy</w:t>
          </w:r>
          <w:r>
            <w:rPr>
              <w:rFonts w:ascii="Times New Roman" w:hAnsi="Times New Roman" w:cs="Times New Roman"/>
              <w:sz w:val="24"/>
              <w:szCs w:val="24"/>
            </w:rPr>
            <w:t>, 10(12).</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Huang, Y., Obada-Obieh, B. and Beznosov, K. (2020) ‘</w:t>
          </w:r>
          <w:r>
            <w:rPr>
              <w:rFonts w:ascii="Times New Roman" w:hAnsi="Times New Roman" w:cs="Times New Roman"/>
              <w:i/>
              <w:sz w:val="24"/>
              <w:szCs w:val="24"/>
            </w:rPr>
            <w:t>April. Amazon vs. my brother: How users of shared smart speakers perceive and cope with privacy risks’</w:t>
          </w:r>
          <w:r>
            <w:rPr>
              <w:rFonts w:ascii="Times New Roman" w:hAnsi="Times New Roman" w:cs="Times New Roman"/>
              <w:sz w:val="24"/>
              <w:szCs w:val="24"/>
            </w:rPr>
            <w:t xml:space="preserve">, in </w:t>
          </w:r>
          <w:r>
            <w:rPr>
              <w:rFonts w:ascii="Times New Roman" w:hAnsi="Times New Roman" w:cs="Times New Roman"/>
              <w:i/>
              <w:sz w:val="24"/>
              <w:szCs w:val="24"/>
            </w:rPr>
            <w:t>Proceedings of the 2020 CHI conference on human factors in computing systems</w:t>
          </w:r>
          <w:r>
            <w:rPr>
              <w:rFonts w:ascii="Times New Roman" w:hAnsi="Times New Roman" w:cs="Times New Roman"/>
              <w:sz w:val="24"/>
              <w:szCs w:val="24"/>
            </w:rPr>
            <w:t>, pp. 1-13.</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Huera-Lucero, T.,</w:t>
          </w:r>
          <w:r>
            <w:rPr>
              <w:rFonts w:hint="eastAsia" w:ascii="Times New Roman" w:hAnsi="Times New Roman" w:cs="Times New Roman"/>
              <w:sz w:val="24"/>
              <w:lang w:eastAsia="zh-CN"/>
            </w:rPr>
            <w:t xml:space="preserve"> et</w:t>
          </w:r>
          <w:r>
            <w:rPr>
              <w:rFonts w:ascii="Times New Roman" w:hAnsi="Times New Roman" w:cs="Times New Roman"/>
              <w:sz w:val="24"/>
              <w:lang w:eastAsia="zh-CN"/>
            </w:rPr>
            <w:t xml:space="preserve"> </w:t>
          </w:r>
          <w:r>
            <w:rPr>
              <w:rFonts w:hint="eastAsia" w:ascii="Times New Roman" w:hAnsi="Times New Roman" w:cs="Times New Roman"/>
              <w:sz w:val="24"/>
              <w:lang w:eastAsia="zh-CN"/>
            </w:rPr>
            <w:t>al</w:t>
          </w:r>
          <w:r>
            <w:rPr>
              <w:rFonts w:ascii="Times New Roman" w:hAnsi="Times New Roman" w:cs="Times New Roman"/>
              <w:sz w:val="24"/>
              <w:lang w:eastAsia="zh-CN"/>
            </w:rPr>
            <w:t>.</w:t>
          </w:r>
          <w:r>
            <w:rPr>
              <w:rFonts w:ascii="Times New Roman" w:hAnsi="Times New Roman" w:cs="Times New Roman"/>
              <w:sz w:val="24"/>
              <w:szCs w:val="24"/>
            </w:rPr>
            <w:t xml:space="preserve"> (2020) </w:t>
          </w:r>
          <w:r>
            <w:rPr>
              <w:rFonts w:ascii="Times New Roman" w:hAnsi="Times New Roman" w:cs="Times New Roman"/>
              <w:i/>
              <w:sz w:val="24"/>
              <w:szCs w:val="24"/>
            </w:rPr>
            <w:t>A framework to incorporate biological soil quality indicators into assessing the sustainability of territories in the Ecuadorian Amazon</w:t>
          </w:r>
          <w:r>
            <w:rPr>
              <w:rFonts w:ascii="Times New Roman" w:hAnsi="Times New Roman" w:cs="Times New Roman"/>
              <w:sz w:val="24"/>
              <w:szCs w:val="24"/>
            </w:rPr>
            <w:t xml:space="preserve">, in </w:t>
          </w:r>
          <w:r>
            <w:rPr>
              <w:rFonts w:ascii="Times New Roman" w:hAnsi="Times New Roman" w:cs="Times New Roman"/>
              <w:i/>
              <w:sz w:val="24"/>
              <w:szCs w:val="24"/>
            </w:rPr>
            <w:t>Sustainability</w:t>
          </w:r>
          <w:r>
            <w:rPr>
              <w:rFonts w:ascii="Times New Roman" w:hAnsi="Times New Roman" w:cs="Times New Roman"/>
              <w:sz w:val="24"/>
              <w:szCs w:val="24"/>
            </w:rPr>
            <w:t>, 12(7).</w:t>
          </w:r>
        </w:p>
        <w:p>
          <w:pPr>
            <w:pStyle w:val="10"/>
            <w:spacing w:before="240" w:beforeAutospacing="0" w:after="0" w:afterAutospacing="0" w:line="480" w:lineRule="auto"/>
            <w:ind w:left="720" w:hanging="720"/>
            <w:jc w:val="both"/>
          </w:pPr>
          <w:r>
            <w:t xml:space="preserve">Isabelle, D., </w:t>
          </w:r>
          <w:r>
            <w:rPr>
              <w:rFonts w:hint="eastAsia"/>
              <w:lang w:eastAsia="zh-CN"/>
            </w:rPr>
            <w:t>et</w:t>
          </w:r>
          <w:r>
            <w:rPr>
              <w:lang w:eastAsia="zh-CN"/>
            </w:rPr>
            <w:t xml:space="preserve"> </w:t>
          </w:r>
          <w:r>
            <w:rPr>
              <w:rFonts w:hint="eastAsia"/>
              <w:lang w:eastAsia="zh-CN"/>
            </w:rPr>
            <w:t>al</w:t>
          </w:r>
          <w:r>
            <w:rPr>
              <w:lang w:eastAsia="zh-CN"/>
            </w:rPr>
            <w:t>.</w:t>
          </w:r>
          <w:r>
            <w:t xml:space="preserve"> (2020) </w:t>
          </w:r>
          <w:r>
            <w:rPr>
              <w:i/>
            </w:rPr>
            <w:t>Is Porter's Five Forces Framework Still Relevant? A study of the capital/labour intensity continuum via mining and IT industries</w:t>
          </w:r>
          <w:r>
            <w:t xml:space="preserve">, in </w:t>
          </w:r>
          <w:r>
            <w:rPr>
              <w:i/>
            </w:rPr>
            <w:t>Technology Innovation Management Review</w:t>
          </w:r>
          <w:r>
            <w:t>, 10(6).</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Ives, B., Cossick, K. and Adams, D. (2019) </w:t>
          </w:r>
          <w:r>
            <w:rPr>
              <w:rFonts w:ascii="Times New Roman" w:hAnsi="Times New Roman" w:cs="Times New Roman"/>
              <w:i/>
              <w:sz w:val="24"/>
              <w:szCs w:val="24"/>
            </w:rPr>
            <w:t>‘Amazon Go: disrupting retail?’</w:t>
          </w:r>
          <w:r>
            <w:rPr>
              <w:rFonts w:ascii="Times New Roman" w:hAnsi="Times New Roman" w:cs="Times New Roman"/>
              <w:sz w:val="24"/>
              <w:szCs w:val="24"/>
            </w:rPr>
            <w:t xml:space="preserve">, in </w:t>
          </w:r>
          <w:r>
            <w:rPr>
              <w:rFonts w:ascii="Times New Roman" w:hAnsi="Times New Roman" w:cs="Times New Roman"/>
              <w:i/>
              <w:sz w:val="24"/>
              <w:szCs w:val="24"/>
            </w:rPr>
            <w:t>Journal of Information Technology Teaching Cases</w:t>
          </w:r>
          <w:r>
            <w:rPr>
              <w:rFonts w:ascii="Times New Roman" w:hAnsi="Times New Roman" w:cs="Times New Roman"/>
              <w:sz w:val="24"/>
              <w:szCs w:val="24"/>
            </w:rPr>
            <w:t>, 9(1), pp. 2-12.</w:t>
          </w:r>
        </w:p>
        <w:p>
          <w:pPr>
            <w:pStyle w:val="10"/>
            <w:spacing w:before="240" w:beforeAutospacing="0" w:after="0" w:afterAutospacing="0" w:line="480" w:lineRule="auto"/>
            <w:ind w:left="720" w:hanging="720"/>
            <w:jc w:val="both"/>
          </w:pPr>
          <w:r>
            <w:t xml:space="preserve">Kashaf, A., Sekar, V. and Agarwal, Y., (2020) </w:t>
          </w:r>
          <w:r>
            <w:rPr>
              <w:i/>
            </w:rPr>
            <w:t>Analyzing third-party service dependencies in modern web services: Have we learned from the Mirai-dyn incident?</w:t>
          </w:r>
          <w:r>
            <w:t xml:space="preserve"> in </w:t>
          </w:r>
          <w:r>
            <w:rPr>
              <w:i/>
            </w:rPr>
            <w:t>Proceedings of the ACM Internet Measurement Conference</w:t>
          </w:r>
          <w:r>
            <w:t>, pp. 634-647.</w:t>
          </w:r>
        </w:p>
        <w:p>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Laudon, K.C. and Traver, C.G. (2021) </w:t>
          </w:r>
          <w:r>
            <w:rPr>
              <w:rFonts w:ascii="Times New Roman" w:hAnsi="Times New Roman" w:cs="Times New Roman"/>
              <w:i/>
              <w:sz w:val="24"/>
              <w:szCs w:val="24"/>
            </w:rPr>
            <w:t>E-commerce 2020-2021: business, technology, society</w:t>
          </w:r>
          <w:r>
            <w:rPr>
              <w:rFonts w:ascii="Times New Roman" w:hAnsi="Times New Roman" w:cs="Times New Roman"/>
              <w:sz w:val="24"/>
              <w:szCs w:val="24"/>
            </w:rPr>
            <w:t>. Pearson.</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Leite-Filho, A. T.,</w:t>
          </w:r>
          <w:bookmarkStart w:id="152" w:name="OLE_LINK508"/>
          <w:bookmarkStart w:id="153" w:name="OLE_LINK509"/>
          <w:r>
            <w:rPr>
              <w:rFonts w:ascii="Times New Roman" w:hAnsi="Times New Roman" w:cs="Times New Roman"/>
              <w:sz w:val="24"/>
              <w:szCs w:val="24"/>
            </w:rPr>
            <w:t xml:space="preserve"> et al.</w:t>
          </w:r>
          <w:bookmarkEnd w:id="152"/>
          <w:bookmarkEnd w:id="153"/>
          <w:r>
            <w:rPr>
              <w:rFonts w:ascii="Times New Roman" w:hAnsi="Times New Roman" w:cs="Times New Roman"/>
              <w:sz w:val="24"/>
              <w:szCs w:val="24"/>
            </w:rPr>
            <w:t xml:space="preserve"> (2021) </w:t>
          </w:r>
          <w:r>
            <w:rPr>
              <w:rFonts w:ascii="Times New Roman" w:hAnsi="Times New Roman" w:cs="Times New Roman"/>
              <w:i/>
              <w:sz w:val="24"/>
              <w:szCs w:val="24"/>
            </w:rPr>
            <w:t>Deforestation reduces rainfall and agricultural revenues in the Brazilian Amazon</w:t>
          </w:r>
          <w:r>
            <w:rPr>
              <w:rFonts w:ascii="Times New Roman" w:hAnsi="Times New Roman" w:cs="Times New Roman"/>
              <w:sz w:val="24"/>
              <w:szCs w:val="24"/>
            </w:rPr>
            <w:t xml:space="preserve">, in </w:t>
          </w:r>
          <w:r>
            <w:rPr>
              <w:rFonts w:ascii="Times New Roman" w:hAnsi="Times New Roman" w:cs="Times New Roman"/>
              <w:i/>
              <w:sz w:val="24"/>
              <w:szCs w:val="24"/>
            </w:rPr>
            <w:t>Nature Communications</w:t>
          </w:r>
          <w:r>
            <w:rPr>
              <w:rFonts w:ascii="Times New Roman" w:hAnsi="Times New Roman" w:cs="Times New Roman"/>
              <w:sz w:val="24"/>
              <w:szCs w:val="24"/>
            </w:rPr>
            <w:t xml:space="preserve">, 12(1), p. 291. </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Liberty, E., et al. (2020) </w:t>
          </w:r>
          <w:r>
            <w:rPr>
              <w:rFonts w:ascii="Times New Roman" w:hAnsi="Times New Roman" w:cs="Times New Roman"/>
              <w:i/>
              <w:sz w:val="24"/>
              <w:szCs w:val="24"/>
            </w:rPr>
            <w:t>‘June. Elastic machine learning algorithms in Amazon PageMaker</w:t>
          </w:r>
          <w:r>
            <w:rPr>
              <w:rFonts w:ascii="Times New Roman" w:hAnsi="Times New Roman" w:cs="Times New Roman"/>
              <w:sz w:val="24"/>
              <w:szCs w:val="24"/>
            </w:rPr>
            <w:t xml:space="preserve">, in </w:t>
          </w:r>
          <w:r>
            <w:rPr>
              <w:rFonts w:ascii="Times New Roman" w:hAnsi="Times New Roman" w:cs="Times New Roman"/>
              <w:i/>
              <w:sz w:val="24"/>
              <w:szCs w:val="24"/>
            </w:rPr>
            <w:t xml:space="preserve">Proceedings of the 2020 ACM SIGMOD International Conference on Management of Data </w:t>
          </w:r>
          <w:r>
            <w:rPr>
              <w:rFonts w:ascii="Times New Roman" w:hAnsi="Times New Roman" w:cs="Times New Roman"/>
              <w:sz w:val="24"/>
              <w:szCs w:val="24"/>
            </w:rPr>
            <w:t>,pp. 731-737.</w:t>
          </w:r>
        </w:p>
        <w:p>
          <w:pPr>
            <w:pStyle w:val="10"/>
            <w:spacing w:before="240" w:beforeAutospacing="0" w:after="0" w:afterAutospacing="0" w:line="480" w:lineRule="auto"/>
            <w:ind w:left="720" w:hanging="720"/>
            <w:jc w:val="both"/>
          </w:pPr>
          <w:r>
            <w:t xml:space="preserve">Maedche, A., et al. (2019) </w:t>
          </w:r>
          <w:r>
            <w:rPr>
              <w:i/>
            </w:rPr>
            <w:t xml:space="preserve">AI-based digital assistants: Opportunities, threats, and research perspectives, </w:t>
          </w:r>
          <w:r>
            <w:t xml:space="preserve">in </w:t>
          </w:r>
          <w:r>
            <w:rPr>
              <w:i/>
            </w:rPr>
            <w:t>Business and  Information Systems Engineering</w:t>
          </w:r>
          <w:r>
            <w:t>, 61, pp.535-544.</w:t>
          </w:r>
        </w:p>
        <w:p>
          <w:pPr>
            <w:pStyle w:val="10"/>
            <w:spacing w:before="240" w:beforeAutospacing="0" w:after="0" w:afterAutospacing="0" w:line="480" w:lineRule="auto"/>
            <w:ind w:left="720" w:hanging="720"/>
            <w:jc w:val="both"/>
          </w:pPr>
          <w:r>
            <w:t xml:space="preserve">Mietule, I., Maksymova, I. and Holikova, K. (2019, May) </w:t>
          </w:r>
          <w:r>
            <w:rPr>
              <w:i/>
            </w:rPr>
            <w:t>Key trends in the development of marketplaces as a trigger for the transformation of global business</w:t>
          </w:r>
          <w:r>
            <w:t xml:space="preserve">, in </w:t>
          </w:r>
          <w:r>
            <w:rPr>
              <w:i/>
            </w:rPr>
            <w:t>SOCIETY. INTEGRATION. EDUCATION</w:t>
          </w:r>
          <w:r>
            <w:t>, 6, pp. 374-386.</w:t>
          </w:r>
        </w:p>
        <w:p>
          <w:pPr>
            <w:pStyle w:val="10"/>
            <w:spacing w:before="240" w:beforeAutospacing="0" w:after="0" w:afterAutospacing="0" w:line="480" w:lineRule="auto"/>
            <w:ind w:left="720" w:hanging="720"/>
            <w:jc w:val="both"/>
          </w:pPr>
          <w:r>
            <w:t xml:space="preserve">Niu, B. and Zhao, J. (2023) </w:t>
          </w:r>
          <w:r>
            <w:rPr>
              <w:i/>
            </w:rPr>
            <w:t>E-Commerce Industry: A Comprehensive Analysis of its Competitive Advantages</w:t>
          </w:r>
          <w:r>
            <w:t xml:space="preserve">, in </w:t>
          </w:r>
          <w:r>
            <w:rPr>
              <w:i/>
            </w:rPr>
            <w:t>Highlights in Business, Economics and Management</w:t>
          </w:r>
          <w:r>
            <w:t>, 15, pp.93-98.</w:t>
          </w:r>
        </w:p>
        <w:p>
          <w:pPr>
            <w:pStyle w:val="10"/>
            <w:spacing w:before="240" w:beforeAutospacing="0" w:after="0" w:afterAutospacing="0" w:line="480" w:lineRule="auto"/>
            <w:ind w:left="720" w:hanging="720"/>
            <w:jc w:val="both"/>
          </w:pPr>
          <w:r>
            <w:t xml:space="preserve">Nudurupati, S.S., Garengo, P. and Bititci, U.S. (2021) </w:t>
          </w:r>
          <w:r>
            <w:rPr>
              <w:i/>
            </w:rPr>
            <w:t>Impact of the changing business environment on performance measurement and management practices</w:t>
          </w:r>
          <w:r>
            <w:t xml:space="preserve">, in </w:t>
          </w:r>
          <w:r>
            <w:rPr>
              <w:i/>
            </w:rPr>
            <w:t>International Journal of Production Economics</w:t>
          </w:r>
          <w:r>
            <w:t>, 232, p.107.</w:t>
          </w:r>
        </w:p>
        <w:p>
          <w:pPr>
            <w:pStyle w:val="10"/>
            <w:spacing w:before="240" w:beforeAutospacing="0" w:after="0" w:afterAutospacing="0" w:line="480" w:lineRule="auto"/>
            <w:ind w:left="720" w:hanging="720"/>
            <w:jc w:val="both"/>
          </w:pPr>
          <w:r>
            <w:t>Pedrini, M. and Ferri, L.M. (2019) S</w:t>
          </w:r>
          <w:r>
            <w:rPr>
              <w:i/>
            </w:rPr>
            <w:t>takeholder management: a systematic literature review</w:t>
          </w:r>
          <w:r>
            <w:t xml:space="preserve">, in </w:t>
          </w:r>
          <w:r>
            <w:rPr>
              <w:i/>
            </w:rPr>
            <w:t>Corporate Governance: The International Journal of Business in Society</w:t>
          </w:r>
          <w:r>
            <w:t>, 19(1), pp.44-59.</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Pierleoni, P., Concetti, R., Belli, A. and Palma, L. (2019)</w:t>
          </w:r>
          <w:r>
            <w:rPr>
              <w:rFonts w:ascii="Times New Roman" w:hAnsi="Times New Roman" w:cs="Times New Roman"/>
              <w:i/>
              <w:sz w:val="24"/>
              <w:szCs w:val="24"/>
            </w:rPr>
            <w:t xml:space="preserve"> 'Amazon, Google and Microsoft solutions for IoT: Architectures and a performance comparison'</w:t>
          </w:r>
          <w:r>
            <w:rPr>
              <w:rFonts w:ascii="Times New Roman" w:hAnsi="Times New Roman" w:cs="Times New Roman"/>
              <w:sz w:val="24"/>
              <w:szCs w:val="24"/>
            </w:rPr>
            <w:t xml:space="preserve">, in </w:t>
          </w:r>
          <w:r>
            <w:rPr>
              <w:rFonts w:ascii="Times New Roman" w:hAnsi="Times New Roman" w:cs="Times New Roman"/>
              <w:i/>
              <w:sz w:val="24"/>
              <w:szCs w:val="24"/>
            </w:rPr>
            <w:t>IEEE Access</w:t>
          </w:r>
          <w:r>
            <w:rPr>
              <w:rFonts w:ascii="Times New Roman" w:hAnsi="Times New Roman" w:cs="Times New Roman"/>
              <w:sz w:val="24"/>
              <w:szCs w:val="24"/>
            </w:rPr>
            <w:t>, 8, pp. 5455-5470.</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Rikap, C. (2022) </w:t>
          </w:r>
          <w:r>
            <w:rPr>
              <w:rFonts w:ascii="Times New Roman" w:hAnsi="Times New Roman" w:cs="Times New Roman"/>
              <w:i/>
              <w:sz w:val="24"/>
              <w:szCs w:val="24"/>
            </w:rPr>
            <w:t>‘Amazon: A story of accumulation through intellectual rentiership and predation’</w:t>
          </w:r>
          <w:r>
            <w:rPr>
              <w:rFonts w:ascii="Times New Roman" w:hAnsi="Times New Roman" w:cs="Times New Roman"/>
              <w:sz w:val="24"/>
              <w:szCs w:val="24"/>
            </w:rPr>
            <w:t xml:space="preserve">, in </w:t>
          </w:r>
          <w:r>
            <w:rPr>
              <w:rFonts w:ascii="Times New Roman" w:hAnsi="Times New Roman" w:cs="Times New Roman"/>
              <w:i/>
              <w:sz w:val="24"/>
              <w:szCs w:val="24"/>
            </w:rPr>
            <w:t>Competition and  Change</w:t>
          </w:r>
          <w:r>
            <w:rPr>
              <w:rFonts w:ascii="Times New Roman" w:hAnsi="Times New Roman" w:cs="Times New Roman"/>
              <w:sz w:val="24"/>
              <w:szCs w:val="24"/>
            </w:rPr>
            <w:t>, 26(3-4), pp. 436-466.</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Rikap, C. and Lundvall, B.Å. (2022) </w:t>
          </w:r>
          <w:r>
            <w:rPr>
              <w:rFonts w:ascii="Times New Roman" w:hAnsi="Times New Roman" w:cs="Times New Roman"/>
              <w:i/>
              <w:sz w:val="24"/>
              <w:szCs w:val="24"/>
            </w:rPr>
            <w:t>‘Big tech, knowledge predation and the implications for development’</w:t>
          </w:r>
          <w:r>
            <w:rPr>
              <w:rFonts w:ascii="Times New Roman" w:hAnsi="Times New Roman" w:cs="Times New Roman"/>
              <w:sz w:val="24"/>
              <w:szCs w:val="24"/>
            </w:rPr>
            <w:t xml:space="preserve">, in </w:t>
          </w:r>
          <w:r>
            <w:rPr>
              <w:rFonts w:ascii="Times New Roman" w:hAnsi="Times New Roman" w:cs="Times New Roman"/>
              <w:i/>
              <w:sz w:val="24"/>
              <w:szCs w:val="24"/>
            </w:rPr>
            <w:t>Innovation and Development</w:t>
          </w:r>
          <w:r>
            <w:rPr>
              <w:rFonts w:ascii="Times New Roman" w:hAnsi="Times New Roman" w:cs="Times New Roman"/>
              <w:sz w:val="24"/>
              <w:szCs w:val="24"/>
            </w:rPr>
            <w:t>, 12(3), pp. 389-416.</w:t>
          </w:r>
        </w:p>
        <w:p>
          <w:pPr>
            <w:pStyle w:val="10"/>
            <w:spacing w:before="240" w:beforeAutospacing="0" w:after="0" w:afterAutospacing="0" w:line="480" w:lineRule="auto"/>
            <w:ind w:left="720" w:hanging="720"/>
            <w:jc w:val="both"/>
          </w:pPr>
          <w:r>
            <w:t xml:space="preserve">Rikap, C., (2022) </w:t>
          </w:r>
          <w:r>
            <w:rPr>
              <w:i/>
            </w:rPr>
            <w:t>Amazon: A story of accumulation through intellectual rentiers and predation</w:t>
          </w:r>
          <w:r>
            <w:t xml:space="preserve">, in </w:t>
          </w:r>
          <w:r>
            <w:rPr>
              <w:i/>
            </w:rPr>
            <w:t>Competition and  Change</w:t>
          </w:r>
          <w:r>
            <w:t>, 26(3), pp.436-466.</w:t>
          </w:r>
        </w:p>
        <w:p>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Ross, J.W., Beath, C.M. and Mocker, M. (2019) </w:t>
          </w:r>
          <w:r>
            <w:rPr>
              <w:rFonts w:ascii="Times New Roman" w:hAnsi="Times New Roman" w:cs="Times New Roman"/>
              <w:i/>
              <w:sz w:val="24"/>
              <w:szCs w:val="24"/>
            </w:rPr>
            <w:t>Designed for digital: How to architect your business for sustained success</w:t>
          </w:r>
          <w:r>
            <w:rPr>
              <w:rFonts w:ascii="Times New Roman" w:hAnsi="Times New Roman" w:cs="Times New Roman"/>
              <w:sz w:val="24"/>
              <w:szCs w:val="24"/>
            </w:rPr>
            <w:t>. MIT Press.</w:t>
          </w:r>
        </w:p>
        <w:p>
          <w:pPr>
            <w:pStyle w:val="10"/>
            <w:spacing w:before="240" w:beforeAutospacing="0" w:after="0" w:afterAutospacing="0" w:line="480" w:lineRule="auto"/>
            <w:ind w:left="720" w:hanging="720"/>
            <w:jc w:val="both"/>
          </w:pPr>
          <w:r>
            <w:t>Sandhya, C. (2023)</w:t>
          </w:r>
          <w:r>
            <w:rPr>
              <w:i/>
            </w:rPr>
            <w:t xml:space="preserve"> Competitive Digital Strategic Model of Amazon-A Case Study Analysis</w:t>
          </w:r>
          <w:r>
            <w:t xml:space="preserve">, in </w:t>
          </w:r>
          <w:r>
            <w:rPr>
              <w:i/>
            </w:rPr>
            <w:t>International Journal of Case Studies in Business, IT and Education (IJCSBE)</w:t>
          </w:r>
          <w:r>
            <w:t>, 7(2), pp.198-213.</w:t>
          </w:r>
        </w:p>
        <w:p>
          <w:pPr>
            <w:pStyle w:val="10"/>
            <w:spacing w:before="240" w:beforeAutospacing="0" w:after="0" w:afterAutospacing="0" w:line="480" w:lineRule="auto"/>
            <w:ind w:left="720" w:hanging="720"/>
            <w:jc w:val="both"/>
          </w:pPr>
          <w:r>
            <w:t xml:space="preserve">Shen, R., (2019) </w:t>
          </w:r>
          <w:r>
            <w:rPr>
              <w:i/>
            </w:rPr>
            <w:t>The comparative history and development of E-commerce in China and the United States</w:t>
          </w:r>
          <w:r>
            <w:t xml:space="preserve">, in </w:t>
          </w:r>
          <w:r>
            <w:rPr>
              <w:i/>
            </w:rPr>
            <w:t xml:space="preserve">International Seminar on Education, Management and Social Sciences (ISEMSS 2019), </w:t>
          </w:r>
          <w:r>
            <w:t>pp. 9-20. Atlantis Press.</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Shoja, B.M. and Tabrizi, N. (2019) </w:t>
          </w:r>
          <w:r>
            <w:rPr>
              <w:rFonts w:ascii="Times New Roman" w:hAnsi="Times New Roman" w:cs="Times New Roman"/>
              <w:i/>
              <w:sz w:val="24"/>
              <w:szCs w:val="24"/>
            </w:rPr>
            <w:t>'Customer reviews analysis with deep neural networks for e-commerce recommender systems'</w:t>
          </w:r>
          <w:r>
            <w:rPr>
              <w:rFonts w:ascii="Times New Roman" w:hAnsi="Times New Roman" w:cs="Times New Roman"/>
              <w:sz w:val="24"/>
              <w:szCs w:val="24"/>
            </w:rPr>
            <w:t xml:space="preserve">, in </w:t>
          </w:r>
          <w:r>
            <w:rPr>
              <w:rFonts w:ascii="Times New Roman" w:hAnsi="Times New Roman" w:cs="Times New Roman"/>
              <w:i/>
              <w:sz w:val="24"/>
              <w:szCs w:val="24"/>
            </w:rPr>
            <w:t>IEEE Access</w:t>
          </w:r>
          <w:r>
            <w:rPr>
              <w:rFonts w:ascii="Times New Roman" w:hAnsi="Times New Roman" w:cs="Times New Roman"/>
              <w:sz w:val="24"/>
              <w:szCs w:val="24"/>
            </w:rPr>
            <w:t>, 7, pp. 119-130.</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Snyder, E.A., Canaday, J. and Hughes, M. (2022) </w:t>
          </w:r>
          <w:r>
            <w:rPr>
              <w:rFonts w:ascii="Times New Roman" w:hAnsi="Times New Roman" w:cs="Times New Roman"/>
              <w:i/>
              <w:sz w:val="24"/>
              <w:szCs w:val="24"/>
            </w:rPr>
            <w:t xml:space="preserve">‘Amazon’s Three Major Lines of Business,’ </w:t>
          </w:r>
          <w:r>
            <w:rPr>
              <w:rFonts w:ascii="Times New Roman" w:hAnsi="Times New Roman" w:cs="Times New Roman"/>
              <w:sz w:val="24"/>
              <w:szCs w:val="24"/>
            </w:rPr>
            <w:t xml:space="preserve">in </w:t>
          </w:r>
          <w:r>
            <w:rPr>
              <w:rFonts w:ascii="Times New Roman" w:hAnsi="Times New Roman" w:cs="Times New Roman"/>
              <w:i/>
              <w:sz w:val="24"/>
              <w:szCs w:val="24"/>
            </w:rPr>
            <w:t>George J. Stigler Center for the Study of the Economy and  the State Working Paper</w:t>
          </w:r>
          <w:r>
            <w:rPr>
              <w:rFonts w:ascii="Times New Roman" w:hAnsi="Times New Roman" w:cs="Times New Roman"/>
              <w:sz w:val="24"/>
              <w:szCs w:val="24"/>
            </w:rPr>
            <w:t>, 319.</w:t>
          </w:r>
        </w:p>
        <w:p>
          <w:pPr>
            <w:pStyle w:val="10"/>
            <w:spacing w:before="0" w:beforeAutospacing="0" w:after="0" w:afterAutospacing="0" w:line="480" w:lineRule="auto"/>
            <w:ind w:left="720" w:hanging="720"/>
            <w:jc w:val="both"/>
          </w:pPr>
          <w:r>
            <w:t xml:space="preserve">Statista, (2023) </w:t>
          </w:r>
          <w:r>
            <w:rPr>
              <w:i/>
              <w:iCs/>
            </w:rPr>
            <w:t>Annual net sales revenue of Amazon from 2004 to 2022</w:t>
          </w:r>
          <w:r>
            <w:t>. Available at: https://www.statista.com/statistics/266282/annual-net-revenue-of-amazoncom/</w:t>
          </w:r>
        </w:p>
        <w:p>
          <w:pPr>
            <w:pStyle w:val="10"/>
            <w:spacing w:before="240" w:beforeAutospacing="0" w:after="0" w:afterAutospacing="0" w:line="480" w:lineRule="auto"/>
            <w:ind w:left="720" w:hanging="720"/>
            <w:jc w:val="both"/>
          </w:pPr>
          <w:r>
            <w:t xml:space="preserve">Takigawa, T., (2022) </w:t>
          </w:r>
          <w:r>
            <w:rPr>
              <w:i/>
            </w:rPr>
            <w:t>What Should We Do about E-Commerce Platform Giants?—The Antitrust and Regulatory Approaches in the US, EU, China, and Japan</w:t>
          </w:r>
          <w:r>
            <w:t xml:space="preserve">, in </w:t>
          </w:r>
          <w:r>
            <w:rPr>
              <w:i/>
            </w:rPr>
            <w:t>The Antitrust and Regulatory Approaches in the US, EU, China, and Japan</w:t>
          </w:r>
          <w:r>
            <w:t>.</w:t>
          </w:r>
        </w:p>
        <w:p>
          <w:pPr>
            <w:pStyle w:val="10"/>
            <w:spacing w:before="240" w:beforeAutospacing="0" w:after="0" w:afterAutospacing="0" w:line="480" w:lineRule="auto"/>
            <w:ind w:left="720" w:hanging="720"/>
            <w:jc w:val="both"/>
          </w:pPr>
          <w:r>
            <w:t xml:space="preserve">Türegün, N. (2019) </w:t>
          </w:r>
          <w:r>
            <w:rPr>
              <w:i/>
            </w:rPr>
            <w:t>‘Impact of technology in financial reporting: The case of Amazon Go’</w:t>
          </w:r>
          <w:r>
            <w:t xml:space="preserve">, in </w:t>
          </w:r>
          <w:r>
            <w:rPr>
              <w:i/>
            </w:rPr>
            <w:t>Journal of Corporate Accounting and  Finance</w:t>
          </w:r>
          <w:r>
            <w:t>, 30(3), pp. 90-95.</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Varma, A., and  Ray, S. (2023) </w:t>
          </w:r>
          <w:r>
            <w:rPr>
              <w:rFonts w:ascii="Times New Roman" w:hAnsi="Times New Roman" w:cs="Times New Roman"/>
              <w:i/>
              <w:sz w:val="24"/>
              <w:szCs w:val="24"/>
            </w:rPr>
            <w:t>The case of amazons E-commerce digital strategy in India</w:t>
          </w:r>
          <w:r>
            <w:rPr>
              <w:rFonts w:ascii="Times New Roman" w:hAnsi="Times New Roman" w:cs="Times New Roman"/>
              <w:sz w:val="24"/>
              <w:szCs w:val="24"/>
            </w:rPr>
            <w:t xml:space="preserve">. </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Wang, R.D. and Miller, C.D. (2020)</w:t>
          </w:r>
          <w:r>
            <w:rPr>
              <w:rFonts w:ascii="Times New Roman" w:hAnsi="Times New Roman" w:cs="Times New Roman"/>
              <w:i/>
              <w:sz w:val="24"/>
              <w:szCs w:val="24"/>
            </w:rPr>
            <w:t xml:space="preserve"> ‘Complements' engagement in an ecosystem: A study of publishers’ e</w:t>
          </w:r>
          <w:r>
            <w:rPr>
              <w:rFonts w:ascii="Cambria Math" w:hAnsi="Cambria Math" w:cs="Cambria Math"/>
              <w:i/>
              <w:sz w:val="24"/>
              <w:szCs w:val="24"/>
            </w:rPr>
            <w:t>‐</w:t>
          </w:r>
          <w:r>
            <w:rPr>
              <w:rFonts w:ascii="Times New Roman" w:hAnsi="Times New Roman" w:cs="Times New Roman"/>
              <w:i/>
              <w:sz w:val="24"/>
              <w:szCs w:val="24"/>
            </w:rPr>
            <w:t>book offerings on Amazon Kindle’</w:t>
          </w:r>
          <w:r>
            <w:rPr>
              <w:rFonts w:ascii="Times New Roman" w:hAnsi="Times New Roman" w:cs="Times New Roman"/>
              <w:sz w:val="24"/>
              <w:szCs w:val="24"/>
            </w:rPr>
            <w:t xml:space="preserve">, in </w:t>
          </w:r>
          <w:r>
            <w:rPr>
              <w:rFonts w:ascii="Times New Roman" w:hAnsi="Times New Roman" w:cs="Times New Roman"/>
              <w:i/>
              <w:sz w:val="24"/>
              <w:szCs w:val="24"/>
            </w:rPr>
            <w:t>Strategic Management Journal</w:t>
          </w:r>
          <w:r>
            <w:rPr>
              <w:rFonts w:ascii="Times New Roman" w:hAnsi="Times New Roman" w:cs="Times New Roman"/>
              <w:sz w:val="24"/>
              <w:szCs w:val="24"/>
            </w:rPr>
            <w:t>, 41(1), pp. 3-26.</w:t>
          </w:r>
        </w:p>
        <w:p>
          <w:pPr>
            <w:pStyle w:val="10"/>
            <w:spacing w:before="240" w:beforeAutospacing="0" w:after="0" w:afterAutospacing="0" w:line="480" w:lineRule="auto"/>
            <w:ind w:left="720" w:hanging="720"/>
            <w:jc w:val="both"/>
          </w:pPr>
          <w:r>
            <w:t xml:space="preserve">Waseem, A., et al. (2019) </w:t>
          </w:r>
          <w:r>
            <w:rPr>
              <w:i/>
            </w:rPr>
            <w:t>Factors affecting the E-commerce potential of any country using multiple regression analysis</w:t>
          </w:r>
          <w:r>
            <w:t xml:space="preserve">, in </w:t>
          </w:r>
          <w:r>
            <w:rPr>
              <w:i/>
            </w:rPr>
            <w:t>Journal of Internet Banking and Commerce</w:t>
          </w:r>
          <w:r>
            <w:t>, 24(3), pp.1-28.</w:t>
          </w:r>
        </w:p>
        <w:p>
          <w:pPr>
            <w:spacing w:before="24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West, E. (2022) </w:t>
          </w:r>
          <w:r>
            <w:rPr>
              <w:rFonts w:ascii="Times New Roman" w:hAnsi="Times New Roman" w:cs="Times New Roman"/>
              <w:i/>
              <w:sz w:val="24"/>
              <w:szCs w:val="24"/>
            </w:rPr>
            <w:t>Buy now: How Amazon branded convenience and normalized monopoly</w:t>
          </w:r>
          <w:r>
            <w:rPr>
              <w:rFonts w:ascii="Times New Roman" w:hAnsi="Times New Roman" w:cs="Times New Roman"/>
              <w:sz w:val="24"/>
              <w:szCs w:val="24"/>
            </w:rPr>
            <w:t xml:space="preserve">. MIT Press. </w:t>
          </w:r>
        </w:p>
        <w:p>
          <w:pPr>
            <w:pStyle w:val="10"/>
            <w:spacing w:before="240" w:beforeAutospacing="0" w:after="0" w:afterAutospacing="0" w:line="480" w:lineRule="auto"/>
            <w:ind w:left="720" w:hanging="720"/>
            <w:jc w:val="both"/>
          </w:pPr>
          <w:r>
            <w:t xml:space="preserve">West, E., (2019) </w:t>
          </w:r>
          <w:r>
            <w:rPr>
              <w:i/>
            </w:rPr>
            <w:t>Amazon: Surveillance as a service. Surveillance and  Society</w:t>
          </w:r>
          <w:r>
            <w:t>, 17(1), pp.27-33.</w:t>
          </w:r>
        </w:p>
        <w:p>
          <w:pPr>
            <w:pStyle w:val="10"/>
            <w:spacing w:before="240" w:beforeAutospacing="0" w:after="0" w:afterAutospacing="0" w:line="480" w:lineRule="auto"/>
            <w:ind w:left="720" w:hanging="720"/>
            <w:jc w:val="both"/>
          </w:pPr>
          <w:r>
            <w:t xml:space="preserve">Yin, Z.H. and Choi, C.H., (2021) </w:t>
          </w:r>
          <w:r>
            <w:rPr>
              <w:i/>
            </w:rPr>
            <w:t>The effects of China’s cross-border e-commerce on its exports: a comparative analysis of goods and services trade</w:t>
          </w:r>
          <w:r>
            <w:t xml:space="preserve">, in </w:t>
          </w:r>
          <w:r>
            <w:rPr>
              <w:i/>
            </w:rPr>
            <w:t>Electronic Commerce Research</w:t>
          </w:r>
          <w:r>
            <w:t>, pp.1-32.</w:t>
          </w:r>
        </w:p>
        <w:p>
          <w:pPr>
            <w:pStyle w:val="10"/>
            <w:spacing w:before="240" w:beforeAutospacing="0" w:after="0" w:afterAutospacing="0" w:line="480" w:lineRule="auto"/>
            <w:ind w:left="720" w:hanging="720"/>
            <w:jc w:val="both"/>
          </w:pPr>
          <w:r>
            <w:t xml:space="preserve">Zenkina, E.V., (2022) </w:t>
          </w:r>
          <w:r>
            <w:rPr>
              <w:i/>
            </w:rPr>
            <w:t>About current trends in global e-commerce</w:t>
          </w:r>
          <w:r>
            <w:t xml:space="preserve">, in </w:t>
          </w:r>
          <w:r>
            <w:rPr>
              <w:i/>
            </w:rPr>
            <w:t>Beneficium</w:t>
          </w:r>
          <w:r>
            <w:t>, 1 (42), pp.68-73.</w:t>
          </w:r>
        </w:p>
        <w:p>
          <w:pPr>
            <w:spacing w:line="480" w:lineRule="auto"/>
            <w:rPr>
              <w:rFonts w:ascii="Times New Roman" w:hAnsi="Times New Roman" w:cs="Times New Roman"/>
              <w:sz w:val="24"/>
              <w:szCs w:val="24"/>
            </w:rPr>
          </w:pPr>
        </w:p>
      </w:sdtContent>
    </w:sdt>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rial">
    <w:panose1 w:val="020B0604020202020204"/>
    <w:charset w:val="00"/>
    <w:family w:val="auto"/>
    <w:pitch w:val="default"/>
    <w:sig w:usb0="E0002EFF" w:usb1="C000785B" w:usb2="00000009" w:usb3="00000000" w:csb0="400001FF" w:csb1="FFFF0000"/>
  </w:font>
  <w:font w:name="Calibri Light">
    <w:panose1 w:val="020F0302020204030204"/>
    <w:charset w:val="00"/>
    <w:family w:val="swiss"/>
    <w:pitch w:val="default"/>
    <w:sig w:usb0="E4002EFF" w:usb1="C200247B" w:usb2="00000009" w:usb3="00000000" w:csb0="200001FF" w:csb1="00000000"/>
  </w:font>
  <w:font w:name="Liberation Serif">
    <w:altName w:val="Times New Roman"/>
    <w:panose1 w:val="020B0604020202020204"/>
    <w:charset w:val="01"/>
    <w:family w:val="roman"/>
    <w:pitch w:val="default"/>
    <w:sig w:usb0="00000000" w:usb1="00000000" w:usb2="00000000" w:usb3="00000000" w:csb0="00000000" w:csb1="00000000"/>
  </w:font>
  <w:font w:name="Noto Serif CJK SC">
    <w:altName w:val="宋体"/>
    <w:panose1 w:val="020B0604020202020204"/>
    <w:charset w:val="86"/>
    <w:family w:val="roman"/>
    <w:pitch w:val="default"/>
    <w:sig w:usb0="00000000" w:usb1="00000000" w:usb2="00000000" w:usb3="00000000" w:csb0="00000000" w:csb1="00000000"/>
  </w:font>
  <w:font w:name="Lohit Devanagari">
    <w:altName w:val="Cambria"/>
    <w:panose1 w:val="020B0604020202020204"/>
    <w:charset w:val="00"/>
    <w:family w:val="roman"/>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Cambria Math">
    <w:panose1 w:val="02040503050406030204"/>
    <w:charset w:val="00"/>
    <w:family w:val="roman"/>
    <w:pitch w:val="default"/>
    <w:sig w:usb0="E00006FF" w:usb1="420024FF" w:usb2="02000000" w:usb3="00000000" w:csb0="2000019F" w:csb1="00000000"/>
  </w:font>
  <w:font w:name="Cambria">
    <w:panose1 w:val="02040503050406030204"/>
    <w:charset w:val="00"/>
    <w:family w:val="auto"/>
    <w:pitch w:val="default"/>
    <w:sig w:usb0="E00006FF" w:usb1="420024FF" w:usb2="02000000" w:usb3="00000000" w:csb0="2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WY1N2QwNGY4YTVjZmFiYTQwNjFiODQxMWU0MTczNTIifQ=="/>
  </w:docVars>
  <w:rsids>
    <w:rsidRoot w:val="007D1947"/>
    <w:rsid w:val="00020AEC"/>
    <w:rsid w:val="00031CD5"/>
    <w:rsid w:val="000364B8"/>
    <w:rsid w:val="00080B57"/>
    <w:rsid w:val="0008284B"/>
    <w:rsid w:val="00084B4C"/>
    <w:rsid w:val="000859C6"/>
    <w:rsid w:val="00086958"/>
    <w:rsid w:val="00093261"/>
    <w:rsid w:val="000A48DD"/>
    <w:rsid w:val="000A4A4D"/>
    <w:rsid w:val="000B0E98"/>
    <w:rsid w:val="000B2F87"/>
    <w:rsid w:val="000C3CD6"/>
    <w:rsid w:val="00107936"/>
    <w:rsid w:val="00115B96"/>
    <w:rsid w:val="00133627"/>
    <w:rsid w:val="00137024"/>
    <w:rsid w:val="001402A4"/>
    <w:rsid w:val="00143579"/>
    <w:rsid w:val="0016197D"/>
    <w:rsid w:val="0016614C"/>
    <w:rsid w:val="00176315"/>
    <w:rsid w:val="0018619B"/>
    <w:rsid w:val="001A3477"/>
    <w:rsid w:val="001B0445"/>
    <w:rsid w:val="001B0ADC"/>
    <w:rsid w:val="001B52A0"/>
    <w:rsid w:val="001C12AE"/>
    <w:rsid w:val="001C588A"/>
    <w:rsid w:val="001C6B60"/>
    <w:rsid w:val="001D3B74"/>
    <w:rsid w:val="001E27D1"/>
    <w:rsid w:val="00213B7A"/>
    <w:rsid w:val="00214B3A"/>
    <w:rsid w:val="002312BD"/>
    <w:rsid w:val="0023414D"/>
    <w:rsid w:val="0024004F"/>
    <w:rsid w:val="00242DAF"/>
    <w:rsid w:val="00245268"/>
    <w:rsid w:val="00245915"/>
    <w:rsid w:val="002474C3"/>
    <w:rsid w:val="00252953"/>
    <w:rsid w:val="0025362E"/>
    <w:rsid w:val="00263674"/>
    <w:rsid w:val="002666EF"/>
    <w:rsid w:val="0027142A"/>
    <w:rsid w:val="002756E7"/>
    <w:rsid w:val="002808A0"/>
    <w:rsid w:val="0028655D"/>
    <w:rsid w:val="00294DEB"/>
    <w:rsid w:val="002A04D9"/>
    <w:rsid w:val="002A6282"/>
    <w:rsid w:val="002B070B"/>
    <w:rsid w:val="002D7F88"/>
    <w:rsid w:val="002E0EF6"/>
    <w:rsid w:val="002E13A5"/>
    <w:rsid w:val="002E5507"/>
    <w:rsid w:val="002E7477"/>
    <w:rsid w:val="002E7924"/>
    <w:rsid w:val="002F0D4D"/>
    <w:rsid w:val="002F0FFA"/>
    <w:rsid w:val="00302111"/>
    <w:rsid w:val="00305DEB"/>
    <w:rsid w:val="00306248"/>
    <w:rsid w:val="00324CCD"/>
    <w:rsid w:val="00326CBD"/>
    <w:rsid w:val="00326E19"/>
    <w:rsid w:val="00341303"/>
    <w:rsid w:val="00341E61"/>
    <w:rsid w:val="00371569"/>
    <w:rsid w:val="00380A8B"/>
    <w:rsid w:val="0038268D"/>
    <w:rsid w:val="00382F2E"/>
    <w:rsid w:val="00383BA5"/>
    <w:rsid w:val="00394E44"/>
    <w:rsid w:val="003A6838"/>
    <w:rsid w:val="003B3D8D"/>
    <w:rsid w:val="003B623B"/>
    <w:rsid w:val="003E1910"/>
    <w:rsid w:val="003F0B38"/>
    <w:rsid w:val="003F16DF"/>
    <w:rsid w:val="003F6F82"/>
    <w:rsid w:val="00401033"/>
    <w:rsid w:val="00405EAE"/>
    <w:rsid w:val="00407968"/>
    <w:rsid w:val="0041064D"/>
    <w:rsid w:val="00412F04"/>
    <w:rsid w:val="00450853"/>
    <w:rsid w:val="004530A8"/>
    <w:rsid w:val="00455367"/>
    <w:rsid w:val="00455A4D"/>
    <w:rsid w:val="004577B7"/>
    <w:rsid w:val="00460153"/>
    <w:rsid w:val="004764B1"/>
    <w:rsid w:val="00480872"/>
    <w:rsid w:val="004844A6"/>
    <w:rsid w:val="00493421"/>
    <w:rsid w:val="00497D5A"/>
    <w:rsid w:val="004A11F6"/>
    <w:rsid w:val="004B2239"/>
    <w:rsid w:val="004C47B2"/>
    <w:rsid w:val="004D1DC5"/>
    <w:rsid w:val="004D519C"/>
    <w:rsid w:val="004D6DF5"/>
    <w:rsid w:val="004F67FA"/>
    <w:rsid w:val="004F7267"/>
    <w:rsid w:val="00512A71"/>
    <w:rsid w:val="00530FBD"/>
    <w:rsid w:val="00593753"/>
    <w:rsid w:val="00596764"/>
    <w:rsid w:val="005A7418"/>
    <w:rsid w:val="005B0563"/>
    <w:rsid w:val="005C48A3"/>
    <w:rsid w:val="005D0824"/>
    <w:rsid w:val="005D4B26"/>
    <w:rsid w:val="005E72F3"/>
    <w:rsid w:val="005E7E2E"/>
    <w:rsid w:val="005F1460"/>
    <w:rsid w:val="00603348"/>
    <w:rsid w:val="006118D3"/>
    <w:rsid w:val="006161A1"/>
    <w:rsid w:val="00621CAE"/>
    <w:rsid w:val="00645FD9"/>
    <w:rsid w:val="006520AC"/>
    <w:rsid w:val="00652687"/>
    <w:rsid w:val="00676718"/>
    <w:rsid w:val="0068095F"/>
    <w:rsid w:val="00686627"/>
    <w:rsid w:val="006A3C3D"/>
    <w:rsid w:val="006B164A"/>
    <w:rsid w:val="006B67B7"/>
    <w:rsid w:val="006C30CA"/>
    <w:rsid w:val="006C418C"/>
    <w:rsid w:val="006D316E"/>
    <w:rsid w:val="006D46AA"/>
    <w:rsid w:val="006D5293"/>
    <w:rsid w:val="00702464"/>
    <w:rsid w:val="00704311"/>
    <w:rsid w:val="007167A9"/>
    <w:rsid w:val="00724039"/>
    <w:rsid w:val="00730AB7"/>
    <w:rsid w:val="007441F1"/>
    <w:rsid w:val="00744675"/>
    <w:rsid w:val="007530A0"/>
    <w:rsid w:val="00763007"/>
    <w:rsid w:val="00767EBA"/>
    <w:rsid w:val="00795588"/>
    <w:rsid w:val="007B12AD"/>
    <w:rsid w:val="007D1947"/>
    <w:rsid w:val="007D7E42"/>
    <w:rsid w:val="007F4B9C"/>
    <w:rsid w:val="007F7559"/>
    <w:rsid w:val="00800B02"/>
    <w:rsid w:val="00804DC3"/>
    <w:rsid w:val="00832C16"/>
    <w:rsid w:val="00832DBF"/>
    <w:rsid w:val="008431B4"/>
    <w:rsid w:val="00850882"/>
    <w:rsid w:val="00853820"/>
    <w:rsid w:val="00866B9E"/>
    <w:rsid w:val="00874C11"/>
    <w:rsid w:val="00875469"/>
    <w:rsid w:val="00887508"/>
    <w:rsid w:val="0089420D"/>
    <w:rsid w:val="008B089F"/>
    <w:rsid w:val="008B136A"/>
    <w:rsid w:val="008D0F40"/>
    <w:rsid w:val="008F2C2C"/>
    <w:rsid w:val="00931CAA"/>
    <w:rsid w:val="00934216"/>
    <w:rsid w:val="00964AC7"/>
    <w:rsid w:val="00965790"/>
    <w:rsid w:val="0097551B"/>
    <w:rsid w:val="00985E44"/>
    <w:rsid w:val="00990F2C"/>
    <w:rsid w:val="009A0B2E"/>
    <w:rsid w:val="009C09E4"/>
    <w:rsid w:val="009D64CB"/>
    <w:rsid w:val="009F061B"/>
    <w:rsid w:val="009F3972"/>
    <w:rsid w:val="009F692B"/>
    <w:rsid w:val="00A12B58"/>
    <w:rsid w:val="00A13F23"/>
    <w:rsid w:val="00A244C2"/>
    <w:rsid w:val="00A30950"/>
    <w:rsid w:val="00A311C4"/>
    <w:rsid w:val="00A312B9"/>
    <w:rsid w:val="00A47C68"/>
    <w:rsid w:val="00A52927"/>
    <w:rsid w:val="00A679D8"/>
    <w:rsid w:val="00A720C0"/>
    <w:rsid w:val="00A8345B"/>
    <w:rsid w:val="00A84B79"/>
    <w:rsid w:val="00A91875"/>
    <w:rsid w:val="00A93BAD"/>
    <w:rsid w:val="00AA0779"/>
    <w:rsid w:val="00AA10EC"/>
    <w:rsid w:val="00AA2A91"/>
    <w:rsid w:val="00AB075A"/>
    <w:rsid w:val="00AB5F13"/>
    <w:rsid w:val="00AE5130"/>
    <w:rsid w:val="00AF4B4F"/>
    <w:rsid w:val="00B14589"/>
    <w:rsid w:val="00B204DB"/>
    <w:rsid w:val="00B22A6F"/>
    <w:rsid w:val="00B33903"/>
    <w:rsid w:val="00B50628"/>
    <w:rsid w:val="00B531BB"/>
    <w:rsid w:val="00B54A16"/>
    <w:rsid w:val="00B63F5C"/>
    <w:rsid w:val="00B6557B"/>
    <w:rsid w:val="00B83FF5"/>
    <w:rsid w:val="00BA3DF2"/>
    <w:rsid w:val="00BA73B3"/>
    <w:rsid w:val="00BC178E"/>
    <w:rsid w:val="00BD18F4"/>
    <w:rsid w:val="00BD5140"/>
    <w:rsid w:val="00BD79EB"/>
    <w:rsid w:val="00C351E4"/>
    <w:rsid w:val="00C7006A"/>
    <w:rsid w:val="00C70D12"/>
    <w:rsid w:val="00C722AF"/>
    <w:rsid w:val="00C749C4"/>
    <w:rsid w:val="00C75F08"/>
    <w:rsid w:val="00C903C1"/>
    <w:rsid w:val="00C95470"/>
    <w:rsid w:val="00CA09F3"/>
    <w:rsid w:val="00CB0F1A"/>
    <w:rsid w:val="00CB279E"/>
    <w:rsid w:val="00CC4F85"/>
    <w:rsid w:val="00CD1C88"/>
    <w:rsid w:val="00CE2862"/>
    <w:rsid w:val="00CE616D"/>
    <w:rsid w:val="00CF4EB4"/>
    <w:rsid w:val="00D12D08"/>
    <w:rsid w:val="00D41A32"/>
    <w:rsid w:val="00D425E2"/>
    <w:rsid w:val="00D43B1A"/>
    <w:rsid w:val="00D53BFC"/>
    <w:rsid w:val="00D63B73"/>
    <w:rsid w:val="00D64049"/>
    <w:rsid w:val="00D72067"/>
    <w:rsid w:val="00D73228"/>
    <w:rsid w:val="00D75E29"/>
    <w:rsid w:val="00D77F05"/>
    <w:rsid w:val="00D854A5"/>
    <w:rsid w:val="00D964B1"/>
    <w:rsid w:val="00DB0F19"/>
    <w:rsid w:val="00DB4101"/>
    <w:rsid w:val="00DC1F72"/>
    <w:rsid w:val="00DE3D47"/>
    <w:rsid w:val="00DE6D1D"/>
    <w:rsid w:val="00DF1FFE"/>
    <w:rsid w:val="00E04E0C"/>
    <w:rsid w:val="00E15338"/>
    <w:rsid w:val="00E205BF"/>
    <w:rsid w:val="00E23981"/>
    <w:rsid w:val="00E30B81"/>
    <w:rsid w:val="00E42C7E"/>
    <w:rsid w:val="00E55D6A"/>
    <w:rsid w:val="00E56FB2"/>
    <w:rsid w:val="00E71741"/>
    <w:rsid w:val="00E84FC5"/>
    <w:rsid w:val="00E85AC7"/>
    <w:rsid w:val="00EA0977"/>
    <w:rsid w:val="00EB3716"/>
    <w:rsid w:val="00EB3EF1"/>
    <w:rsid w:val="00EB6C97"/>
    <w:rsid w:val="00EC0080"/>
    <w:rsid w:val="00F05A77"/>
    <w:rsid w:val="00F319FA"/>
    <w:rsid w:val="00F337AF"/>
    <w:rsid w:val="00F5354A"/>
    <w:rsid w:val="00F60E54"/>
    <w:rsid w:val="00F63165"/>
    <w:rsid w:val="00F671E4"/>
    <w:rsid w:val="00F707CF"/>
    <w:rsid w:val="00F768FA"/>
    <w:rsid w:val="00F927E2"/>
    <w:rsid w:val="00F94B3E"/>
    <w:rsid w:val="00F97955"/>
    <w:rsid w:val="00FA4E28"/>
    <w:rsid w:val="00FB4AD6"/>
    <w:rsid w:val="00FC28A9"/>
    <w:rsid w:val="00FC70CC"/>
    <w:rsid w:val="00FE01A9"/>
    <w:rsid w:val="00FE1711"/>
    <w:rsid w:val="00FF4EE2"/>
    <w:rsid w:val="1B1B28C4"/>
    <w:rsid w:val="303B1AC0"/>
    <w:rsid w:val="333A7FD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qFormat="1"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7"/>
    <w:qFormat/>
    <w:uiPriority w:val="9"/>
    <w:pPr>
      <w:keepNext/>
      <w:keepLines/>
      <w:spacing w:before="240" w:after="0" w:line="480" w:lineRule="auto"/>
      <w:jc w:val="center"/>
      <w:outlineLvl w:val="0"/>
    </w:pPr>
    <w:rPr>
      <w:rFonts w:asciiTheme="majorHAnsi" w:hAnsiTheme="majorHAnsi" w:eastAsiaTheme="majorEastAsia" w:cstheme="majorBidi"/>
      <w:b/>
      <w:color w:val="2E75B6" w:themeColor="accent1" w:themeShade="BF"/>
      <w:sz w:val="28"/>
      <w:szCs w:val="32"/>
    </w:rPr>
  </w:style>
  <w:style w:type="paragraph" w:styleId="3">
    <w:name w:val="heading 2"/>
    <w:basedOn w:val="1"/>
    <w:next w:val="1"/>
    <w:link w:val="19"/>
    <w:unhideWhenUsed/>
    <w:qFormat/>
    <w:uiPriority w:val="9"/>
    <w:pPr>
      <w:keepNext/>
      <w:tabs>
        <w:tab w:val="left" w:pos="0"/>
      </w:tabs>
      <w:suppressAutoHyphens/>
      <w:spacing w:before="200" w:after="120" w:line="480" w:lineRule="auto"/>
      <w:jc w:val="both"/>
      <w:outlineLvl w:val="1"/>
    </w:pPr>
    <w:rPr>
      <w:rFonts w:eastAsiaTheme="majorEastAsia" w:cstheme="minorHAnsi"/>
      <w:b/>
      <w:color w:val="2E75B6" w:themeColor="accent1" w:themeShade="BF"/>
      <w:sz w:val="28"/>
      <w:szCs w:val="24"/>
    </w:rPr>
  </w:style>
  <w:style w:type="paragraph" w:styleId="4">
    <w:name w:val="heading 3"/>
    <w:basedOn w:val="1"/>
    <w:next w:val="1"/>
    <w:link w:val="21"/>
    <w:semiHidden/>
    <w:unhideWhenUsed/>
    <w:qFormat/>
    <w:uiPriority w:val="9"/>
    <w:pPr>
      <w:keepNext/>
      <w:keepLines/>
      <w:spacing w:before="200" w:after="0"/>
      <w:outlineLvl w:val="2"/>
    </w:pPr>
    <w:rPr>
      <w:rFonts w:asciiTheme="majorHAnsi" w:hAnsiTheme="majorHAnsi" w:eastAsiaTheme="majorEastAsia" w:cstheme="majorBidi"/>
      <w:b/>
      <w:bCs/>
      <w:color w:val="5B9BD5" w:themeColor="accent1"/>
      <w14:textFill>
        <w14:solidFill>
          <w14:schemeClr w14:val="accent1"/>
        </w14:solidFill>
      </w14:textFill>
    </w:rPr>
  </w:style>
  <w:style w:type="character" w:default="1" w:styleId="13">
    <w:name w:val="Default Paragraph Font"/>
    <w:semiHidden/>
    <w:unhideWhenUsed/>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5">
    <w:name w:val="Body Text"/>
    <w:basedOn w:val="1"/>
    <w:link w:val="22"/>
    <w:qFormat/>
    <w:uiPriority w:val="0"/>
    <w:pPr>
      <w:suppressAutoHyphens/>
      <w:spacing w:after="140" w:line="276" w:lineRule="auto"/>
    </w:pPr>
    <w:rPr>
      <w:rFonts w:ascii="Liberation Serif" w:hAnsi="Liberation Serif" w:eastAsia="Noto Serif CJK SC" w:cs="Lohit Devanagari"/>
      <w:kern w:val="2"/>
      <w:sz w:val="24"/>
      <w:szCs w:val="24"/>
      <w:lang w:val="en-US" w:eastAsia="zh-CN" w:bidi="hi-IN"/>
    </w:rPr>
  </w:style>
  <w:style w:type="paragraph" w:styleId="6">
    <w:name w:val="toc 3"/>
    <w:basedOn w:val="1"/>
    <w:next w:val="1"/>
    <w:unhideWhenUsed/>
    <w:qFormat/>
    <w:uiPriority w:val="39"/>
    <w:pPr>
      <w:spacing w:after="100"/>
      <w:ind w:left="440"/>
    </w:pPr>
  </w:style>
  <w:style w:type="paragraph" w:styleId="7">
    <w:name w:val="Balloon Text"/>
    <w:basedOn w:val="1"/>
    <w:link w:val="20"/>
    <w:semiHidden/>
    <w:unhideWhenUsed/>
    <w:qFormat/>
    <w:uiPriority w:val="99"/>
    <w:pPr>
      <w:spacing w:after="0" w:line="240" w:lineRule="auto"/>
    </w:pPr>
    <w:rPr>
      <w:rFonts w:ascii="Tahoma" w:hAnsi="Tahoma" w:cs="Tahoma"/>
      <w:sz w:val="16"/>
      <w:szCs w:val="16"/>
    </w:rPr>
  </w:style>
  <w:style w:type="paragraph" w:styleId="8">
    <w:name w:val="toc 1"/>
    <w:basedOn w:val="1"/>
    <w:next w:val="1"/>
    <w:unhideWhenUsed/>
    <w:qFormat/>
    <w:uiPriority w:val="39"/>
    <w:pPr>
      <w:spacing w:after="100"/>
    </w:pPr>
  </w:style>
  <w:style w:type="paragraph" w:styleId="9">
    <w:name w:val="toc 2"/>
    <w:basedOn w:val="1"/>
    <w:next w:val="1"/>
    <w:unhideWhenUsed/>
    <w:qFormat/>
    <w:uiPriority w:val="39"/>
    <w:pPr>
      <w:spacing w:after="100"/>
      <w:ind w:left="220"/>
    </w:pPr>
  </w:style>
  <w:style w:type="paragraph" w:styleId="10">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lang w:val="en-IN" w:eastAsia="en-IN"/>
    </w:rPr>
  </w:style>
  <w:style w:type="table" w:styleId="12">
    <w:name w:val="Table Grid"/>
    <w:basedOn w:val="11"/>
    <w:qFormat/>
    <w:uiPriority w:val="39"/>
    <w:rPr>
      <w:rFonts w:ascii="Liberation Serif" w:hAnsi="Liberation Serif" w:eastAsia="Noto Serif CJK SC" w:cs="Lohit Devanagari"/>
      <w:lang w:val="en-IN" w:eastAsia="en-I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Hyperlink"/>
    <w:basedOn w:val="13"/>
    <w:unhideWhenUsed/>
    <w:qFormat/>
    <w:uiPriority w:val="99"/>
    <w:rPr>
      <w:color w:val="0563C1" w:themeColor="hyperlink"/>
      <w:u w:val="single"/>
      <w14:textFill>
        <w14:solidFill>
          <w14:schemeClr w14:val="hlink"/>
        </w14:solidFill>
      </w14:textFill>
    </w:rPr>
  </w:style>
  <w:style w:type="paragraph" w:styleId="15">
    <w:name w:val="No Spacing"/>
    <w:link w:val="16"/>
    <w:qFormat/>
    <w:uiPriority w:val="1"/>
    <w:rPr>
      <w:rFonts w:asciiTheme="minorHAnsi" w:hAnsiTheme="minorHAnsi" w:eastAsiaTheme="minorEastAsia" w:cstheme="minorBidi"/>
      <w:sz w:val="22"/>
      <w:szCs w:val="22"/>
      <w:lang w:val="en-US" w:eastAsia="en-US" w:bidi="ar-SA"/>
    </w:rPr>
  </w:style>
  <w:style w:type="character" w:customStyle="1" w:styleId="16">
    <w:name w:val="无间隔 字符"/>
    <w:basedOn w:val="13"/>
    <w:link w:val="15"/>
    <w:qFormat/>
    <w:uiPriority w:val="1"/>
    <w:rPr>
      <w:rFonts w:eastAsiaTheme="minorEastAsia"/>
      <w:lang w:val="en-US"/>
    </w:rPr>
  </w:style>
  <w:style w:type="character" w:customStyle="1" w:styleId="17">
    <w:name w:val="标题 1 字符"/>
    <w:basedOn w:val="13"/>
    <w:link w:val="2"/>
    <w:qFormat/>
    <w:uiPriority w:val="9"/>
    <w:rPr>
      <w:rFonts w:asciiTheme="majorHAnsi" w:hAnsiTheme="majorHAnsi" w:eastAsiaTheme="majorEastAsia" w:cstheme="majorBidi"/>
      <w:b/>
      <w:color w:val="2E75B6" w:themeColor="accent1" w:themeShade="BF"/>
      <w:sz w:val="28"/>
      <w:szCs w:val="32"/>
    </w:rPr>
  </w:style>
  <w:style w:type="paragraph" w:customStyle="1" w:styleId="18">
    <w:name w:val="TOC 标题1"/>
    <w:basedOn w:val="2"/>
    <w:next w:val="1"/>
    <w:unhideWhenUsed/>
    <w:qFormat/>
    <w:uiPriority w:val="39"/>
    <w:pPr>
      <w:outlineLvl w:val="9"/>
    </w:pPr>
    <w:rPr>
      <w:lang w:val="en-US"/>
    </w:rPr>
  </w:style>
  <w:style w:type="character" w:customStyle="1" w:styleId="19">
    <w:name w:val="标题 2 字符"/>
    <w:basedOn w:val="13"/>
    <w:link w:val="3"/>
    <w:qFormat/>
    <w:uiPriority w:val="9"/>
    <w:rPr>
      <w:rFonts w:eastAsiaTheme="majorEastAsia" w:cstheme="minorHAnsi"/>
      <w:b/>
      <w:color w:val="2E75B6" w:themeColor="accent1" w:themeShade="BF"/>
      <w:sz w:val="28"/>
      <w:szCs w:val="24"/>
    </w:rPr>
  </w:style>
  <w:style w:type="character" w:customStyle="1" w:styleId="20">
    <w:name w:val="批注框文本 字符"/>
    <w:basedOn w:val="13"/>
    <w:link w:val="7"/>
    <w:semiHidden/>
    <w:qFormat/>
    <w:uiPriority w:val="99"/>
    <w:rPr>
      <w:rFonts w:ascii="Tahoma" w:hAnsi="Tahoma" w:cs="Tahoma"/>
      <w:sz w:val="16"/>
      <w:szCs w:val="16"/>
    </w:rPr>
  </w:style>
  <w:style w:type="character" w:customStyle="1" w:styleId="21">
    <w:name w:val="标题 3 字符"/>
    <w:basedOn w:val="13"/>
    <w:link w:val="4"/>
    <w:semiHidden/>
    <w:qFormat/>
    <w:uiPriority w:val="9"/>
    <w:rPr>
      <w:rFonts w:asciiTheme="majorHAnsi" w:hAnsiTheme="majorHAnsi" w:eastAsiaTheme="majorEastAsia" w:cstheme="majorBidi"/>
      <w:b/>
      <w:bCs/>
      <w:color w:val="5B9BD5" w:themeColor="accent1"/>
      <w14:textFill>
        <w14:solidFill>
          <w14:schemeClr w14:val="accent1"/>
        </w14:solidFill>
      </w14:textFill>
    </w:rPr>
  </w:style>
  <w:style w:type="character" w:customStyle="1" w:styleId="22">
    <w:name w:val="正文文本 字符"/>
    <w:basedOn w:val="13"/>
    <w:link w:val="5"/>
    <w:qFormat/>
    <w:uiPriority w:val="0"/>
    <w:rPr>
      <w:rFonts w:ascii="Liberation Serif" w:hAnsi="Liberation Serif" w:eastAsia="Noto Serif CJK SC" w:cs="Lohit Devanagari"/>
      <w:kern w:val="2"/>
      <w:sz w:val="24"/>
      <w:szCs w:val="24"/>
      <w:lang w:val="en-US" w:eastAsia="zh-CN" w:bidi="hi-IN"/>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EBA89D1-78F5-8142-A434-200D8C79976F}">
  <ds:schemaRefs/>
</ds:datastoreItem>
</file>

<file path=docProps/app.xml><?xml version="1.0" encoding="utf-8"?>
<Properties xmlns="http://schemas.openxmlformats.org/officeDocument/2006/extended-properties" xmlns:vt="http://schemas.openxmlformats.org/officeDocument/2006/docPropsVTypes">
  <Template>Normal.dotm</Template>
  <Pages>30</Pages>
  <Words>6995</Words>
  <Characters>39875</Characters>
  <Lines>332</Lines>
  <Paragraphs>93</Paragraphs>
  <TotalTime>46</TotalTime>
  <ScaleCrop>false</ScaleCrop>
  <LinksUpToDate>false</LinksUpToDate>
  <CharactersWithSpaces>46777</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2023-12-01T10:13:00Z</dcterms:created>
  <dc:creator>lenovo</dc:creator>
  <cp:lastModifiedBy>小杨</cp:lastModifiedBy>
  <dcterms:modified xsi:type="dcterms:W3CDTF">2023-12-01T18:42:37Z</dcterms:modified>
  <cp:revision>192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7F78E9A30DEA4D59B2EA843BCF4D8859_13</vt:lpwstr>
  </property>
</Properties>
</file>