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1652A315">
      <w:pPr>
        <w:pStyle w:val="style0"/>
        <w:jc w:val="center"/>
        <w:rPr/>
      </w:pPr>
      <w:r>
        <w:rPr>
          <w:noProof/>
          <w:lang w:val="en-IN" w:eastAsia="en-IN"/>
        </w:rPr>
        <w:drawing>
          <wp:inline distL="0" distT="0" distB="0" distR="0">
            <wp:extent cx="1905165" cy="784928"/>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1905165" cy="784928"/>
                    </a:xfrm>
                    <a:prstGeom prst="rect"/>
                  </pic:spPr>
                </pic:pic>
              </a:graphicData>
            </a:graphic>
          </wp:inline>
        </w:drawing>
      </w:r>
    </w:p>
    <w:p w14:paraId="7B4713C6">
      <w:pPr>
        <w:pStyle w:val="style0"/>
        <w:rPr/>
      </w:pPr>
    </w:p>
    <w:p w14:paraId="70CE8724">
      <w:pPr>
        <w:pStyle w:val="style0"/>
        <w:rPr/>
      </w:pPr>
    </w:p>
    <w:p w14:paraId="3E2365CA">
      <w:pPr>
        <w:pStyle w:val="style0"/>
        <w:jc w:val="center"/>
        <w:rPr>
          <w:b/>
          <w:bCs/>
          <w:sz w:val="44"/>
          <w:szCs w:val="32"/>
        </w:rPr>
      </w:pPr>
      <w:r>
        <w:rPr>
          <w:b/>
          <w:bCs/>
          <w:sz w:val="44"/>
          <w:szCs w:val="32"/>
        </w:rPr>
        <w:t>Master of Business Administration</w:t>
      </w:r>
    </w:p>
    <w:p w14:paraId="6F04DE02">
      <w:pPr>
        <w:pStyle w:val="style62"/>
        <w:jc w:val="center"/>
        <w:rPr>
          <w:rFonts w:ascii="Arial" w:cs="Arial" w:hAnsi="Arial"/>
          <w:b/>
          <w:sz w:val="40"/>
        </w:rPr>
      </w:pPr>
      <w:r>
        <w:rPr>
          <w:rFonts w:ascii="Arial" w:cs="Arial" w:hAnsi="Arial"/>
          <w:b/>
          <w:sz w:val="40"/>
        </w:rPr>
        <w:t>Assessment Component 1</w:t>
      </w:r>
      <w:r>
        <w:rPr>
          <w:rFonts w:ascii="Arial" w:cs="Arial" w:hAnsi="Arial"/>
          <w:b/>
          <w:sz w:val="40"/>
        </w:rPr>
        <w:t xml:space="preserve">: </w:t>
      </w:r>
      <w:r>
        <w:rPr>
          <w:rFonts w:ascii="Arial" w:cs="Arial" w:hAnsi="Arial"/>
          <w:b/>
          <w:sz w:val="40"/>
        </w:rPr>
        <w:t>Individual Report</w:t>
      </w:r>
    </w:p>
    <w:p w14:paraId="28C5D496">
      <w:pPr>
        <w:pStyle w:val="style0"/>
        <w:rPr/>
      </w:pPr>
    </w:p>
    <w:p w14:paraId="48793AA9">
      <w:pPr>
        <w:pStyle w:val="style0"/>
        <w:jc w:val="center"/>
        <w:rPr>
          <w:b/>
          <w:bCs/>
          <w:sz w:val="28"/>
        </w:rPr>
      </w:pPr>
      <w:r>
        <w:rPr>
          <w:b/>
          <w:bCs/>
          <w:sz w:val="28"/>
        </w:rPr>
        <w:t>Module</w:t>
      </w:r>
      <w:r>
        <w:rPr>
          <w:sz w:val="28"/>
        </w:rPr>
        <w:t xml:space="preserve">: </w:t>
      </w:r>
      <w:r>
        <w:rPr>
          <w:b/>
          <w:bCs/>
          <w:sz w:val="28"/>
        </w:rPr>
        <w:t>Human Capital Management</w:t>
      </w:r>
    </w:p>
    <w:p w14:paraId="6DCC39C3">
      <w:pPr>
        <w:pStyle w:val="style0"/>
        <w:jc w:val="center"/>
        <w:rPr>
          <w:b/>
          <w:bCs/>
          <w:sz w:val="28"/>
        </w:rPr>
      </w:pPr>
      <w:r>
        <w:rPr>
          <w:b/>
          <w:bCs/>
          <w:sz w:val="28"/>
        </w:rPr>
        <w:t>Module Code: LCMB7023</w:t>
      </w:r>
    </w:p>
    <w:p w14:paraId="4ED0DBE9">
      <w:pPr>
        <w:pStyle w:val="style0"/>
        <w:jc w:val="center"/>
        <w:rPr>
          <w:b/>
          <w:bCs/>
          <w:sz w:val="28"/>
        </w:rPr>
      </w:pPr>
      <w:r>
        <w:rPr>
          <w:b/>
          <w:bCs/>
          <w:sz w:val="28"/>
        </w:rPr>
        <w:t>Lecturer’s Name:</w:t>
      </w:r>
      <w:r>
        <w:rPr>
          <w:b/>
          <w:bCs/>
        </w:rPr>
        <w:t xml:space="preserve"> </w:t>
      </w:r>
      <w:r>
        <w:rPr>
          <w:b/>
          <w:bCs/>
          <w:sz w:val="28"/>
          <w:szCs w:val="28"/>
          <w:lang w:val="en-US"/>
        </w:rPr>
        <w:t>Dr. Eno Maycock</w:t>
      </w:r>
    </w:p>
    <w:p w14:paraId="3D914D0A">
      <w:pPr>
        <w:pStyle w:val="style0"/>
        <w:jc w:val="center"/>
        <w:rPr>
          <w:b/>
          <w:bCs/>
          <w:sz w:val="28"/>
        </w:rPr>
      </w:pPr>
    </w:p>
    <w:p w14:paraId="5798476F">
      <w:pPr>
        <w:pStyle w:val="style0"/>
        <w:jc w:val="center"/>
        <w:rPr>
          <w:b/>
          <w:bCs/>
          <w:sz w:val="28"/>
          <w:lang w:val="en-US"/>
        </w:rPr>
      </w:pPr>
      <w:r>
        <w:rPr>
          <w:b/>
          <w:bCs/>
          <w:sz w:val="28"/>
        </w:rPr>
        <w:t>Student Name</w:t>
      </w:r>
      <w:r>
        <w:rPr>
          <w:b/>
          <w:bCs/>
          <w:sz w:val="28"/>
          <w:lang w:val="en-US"/>
        </w:rPr>
        <w:t>: Mohammad Adnan Khan</w:t>
      </w:r>
    </w:p>
    <w:p w14:paraId="0A4558D8">
      <w:pPr>
        <w:pStyle w:val="style0"/>
        <w:jc w:val="center"/>
        <w:rPr>
          <w:b/>
          <w:bCs/>
          <w:sz w:val="28"/>
        </w:rPr>
      </w:pPr>
      <w:r>
        <w:rPr>
          <w:b/>
          <w:bCs/>
          <w:sz w:val="28"/>
          <w:lang w:val="en-US"/>
        </w:rPr>
        <w:t>Student</w:t>
      </w:r>
      <w:r>
        <w:rPr>
          <w:b/>
          <w:bCs/>
          <w:sz w:val="28"/>
        </w:rPr>
        <w:t xml:space="preserve"> ID:</w:t>
      </w:r>
      <w:r>
        <w:rPr>
          <w:b/>
          <w:bCs/>
          <w:sz w:val="28"/>
          <w:lang w:val="en-US"/>
        </w:rPr>
        <w:t xml:space="preserve"> 2612128</w:t>
      </w:r>
    </w:p>
    <w:p w14:paraId="216E12A3">
      <w:pPr>
        <w:pStyle w:val="style0"/>
        <w:jc w:val="center"/>
        <w:rPr>
          <w:b/>
          <w:bCs/>
          <w:sz w:val="28"/>
        </w:rPr>
      </w:pPr>
      <w:r>
        <w:rPr>
          <w:b/>
          <w:bCs/>
          <w:sz w:val="28"/>
        </w:rPr>
        <w:t>Word Count:</w:t>
      </w:r>
      <w:r>
        <w:rPr>
          <w:b/>
          <w:bCs/>
          <w:sz w:val="28"/>
        </w:rPr>
        <w:t xml:space="preserve"> 2500</w:t>
      </w:r>
    </w:p>
    <w:p w14:paraId="16CDCB96">
      <w:pPr>
        <w:pStyle w:val="style0"/>
        <w:jc w:val="center"/>
        <w:rPr>
          <w:b/>
          <w:bCs/>
          <w:sz w:val="28"/>
        </w:rPr>
      </w:pPr>
      <w:r>
        <w:rPr>
          <w:b/>
          <w:bCs/>
          <w:sz w:val="28"/>
        </w:rPr>
        <w:t xml:space="preserve">Submission Date: </w:t>
      </w:r>
      <w:r>
        <w:rPr>
          <w:b/>
          <w:bCs/>
          <w:sz w:val="28"/>
          <w:lang w:val="en-US"/>
        </w:rPr>
        <w:t>15/10/2026</w:t>
      </w:r>
    </w:p>
    <w:p w14:paraId="70080132">
      <w:pPr>
        <w:pStyle w:val="style0"/>
        <w:rPr/>
      </w:pPr>
    </w:p>
    <w:p w14:paraId="7E22D4D8">
      <w:pPr>
        <w:pStyle w:val="style0"/>
        <w:rPr/>
      </w:pPr>
    </w:p>
    <w:p w14:paraId="194C6213">
      <w:pPr>
        <w:pStyle w:val="style0"/>
        <w:rPr/>
      </w:pPr>
    </w:p>
    <w:p w14:paraId="225B3345">
      <w:pPr>
        <w:pStyle w:val="style0"/>
        <w:rPr/>
      </w:pPr>
    </w:p>
    <w:p w14:paraId="1FCA92AB">
      <w:pPr>
        <w:pStyle w:val="style0"/>
        <w:spacing w:lineRule="auto" w:line="259"/>
        <w:jc w:val="left"/>
        <w:rPr/>
      </w:pPr>
      <w:r>
        <w:br w:type="page"/>
      </w:r>
    </w:p>
    <w:p w14:paraId="3969713B">
      <w:pPr>
        <w:pStyle w:val="style266"/>
        <w:rPr>
          <w:rFonts w:cs="Times New Roman"/>
          <w:b/>
        </w:rPr>
      </w:pPr>
      <w:r>
        <w:rPr>
          <w:rFonts w:cs="Times New Roman"/>
          <w:b/>
        </w:rPr>
        <w:t>Table of Contents</w:t>
      </w:r>
    </w:p>
    <w:p w14:paraId="1D29A65F">
      <w:pPr>
        <w:pStyle w:val="style19"/>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TOC \o "1-3" \h \z \u </w:instrText>
      </w:r>
      <w:r>
        <w:rPr/>
        <w:fldChar w:fldCharType="separate"/>
      </w:r>
      <w:r>
        <w:rPr/>
        <w:fldChar w:fldCharType="begin"/>
      </w:r>
      <w:r>
        <w:instrText xml:space="preserve"> HYPERLINK \l "_Toc242555080"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_Toc242555080 \h </w:instrText>
      </w:r>
      <w:r>
        <w:rPr>
          <w:noProof/>
          <w:webHidden/>
        </w:rPr>
        <w:fldChar w:fldCharType="separate"/>
      </w:r>
      <w:r>
        <w:rPr>
          <w:noProof/>
          <w:webHidden/>
        </w:rPr>
        <w:t>3</w:t>
      </w:r>
      <w:r>
        <w:rPr>
          <w:noProof/>
          <w:webHidden/>
        </w:rPr>
        <w:fldChar w:fldCharType="end"/>
      </w:r>
      <w:r>
        <w:rPr/>
        <w:fldChar w:fldCharType="end"/>
      </w:r>
    </w:p>
    <w:p w14:paraId="61E05E5B">
      <w:pPr>
        <w:pStyle w:val="style19"/>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"_Toc242555081" </w:instrText>
      </w:r>
      <w:r>
        <w:rPr/>
        <w:fldChar w:fldCharType="separate"/>
      </w:r>
      <w:r>
        <w:rPr>
          <w:rStyle w:val="style85"/>
          <w:noProof/>
        </w:rPr>
        <w:t>Task A: Designing Innovative Working Practices</w:t>
      </w:r>
      <w:r>
        <w:rPr>
          <w:noProof/>
          <w:webHidden/>
        </w:rPr>
        <w:tab/>
      </w:r>
      <w:r>
        <w:rPr>
          <w:noProof/>
          <w:webHidden/>
        </w:rPr>
        <w:fldChar w:fldCharType="begin"/>
      </w:r>
      <w:r>
        <w:rPr>
          <w:noProof/>
          <w:webHidden/>
        </w:rPr>
        <w:instrText xml:space="preserve"> PAGEREF _Toc242555081 \h </w:instrText>
      </w:r>
      <w:r>
        <w:rPr>
          <w:noProof/>
          <w:webHidden/>
        </w:rPr>
        <w:fldChar w:fldCharType="separate"/>
      </w:r>
      <w:r>
        <w:rPr>
          <w:noProof/>
          <w:webHidden/>
        </w:rPr>
        <w:t>3</w:t>
      </w:r>
      <w:r>
        <w:rPr>
          <w:noProof/>
          <w:webHidden/>
        </w:rPr>
        <w:fldChar w:fldCharType="end"/>
      </w:r>
      <w:r>
        <w:rPr/>
        <w:fldChar w:fldCharType="end"/>
      </w:r>
    </w:p>
    <w:p w14:paraId="7790ACB6">
      <w:pPr>
        <w:pStyle w:val="style20"/>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"_Toc242555082" </w:instrText>
      </w:r>
      <w:r>
        <w:rPr/>
        <w:fldChar w:fldCharType="separate"/>
      </w:r>
      <w:r>
        <w:rPr>
          <w:rStyle w:val="style85"/>
          <w:noProof/>
        </w:rPr>
        <w:t>Critical Evaluation of Traditional Work Design Vs Contemporary Innovative Working Practices</w:t>
      </w:r>
      <w:r>
        <w:rPr>
          <w:noProof/>
          <w:webHidden/>
        </w:rPr>
        <w:tab/>
      </w:r>
      <w:r>
        <w:rPr>
          <w:noProof/>
          <w:webHidden/>
        </w:rPr>
        <w:fldChar w:fldCharType="begin"/>
      </w:r>
      <w:r>
        <w:rPr>
          <w:noProof/>
          <w:webHidden/>
        </w:rPr>
        <w:instrText xml:space="preserve"> PAGEREF _Toc242555082 \h </w:instrText>
      </w:r>
      <w:r>
        <w:rPr>
          <w:noProof/>
          <w:webHidden/>
        </w:rPr>
        <w:fldChar w:fldCharType="separate"/>
      </w:r>
      <w:r>
        <w:rPr>
          <w:noProof/>
          <w:webHidden/>
        </w:rPr>
        <w:t>4</w:t>
      </w:r>
      <w:r>
        <w:rPr>
          <w:noProof/>
          <w:webHidden/>
        </w:rPr>
        <w:fldChar w:fldCharType="end"/>
      </w:r>
      <w:r>
        <w:rPr/>
        <w:fldChar w:fldCharType="end"/>
      </w:r>
    </w:p>
    <w:p w14:paraId="043EB24A">
      <w:pPr>
        <w:pStyle w:val="style20"/>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"_Toc242555083" </w:instrText>
      </w:r>
      <w:r>
        <w:rPr/>
        <w:fldChar w:fldCharType="separate"/>
      </w:r>
      <w:r>
        <w:rPr>
          <w:rStyle w:val="style85"/>
          <w:noProof/>
        </w:rPr>
        <w:t>Recommended Innovative Working Practices Appropriate for NexSpace Health Systems</w:t>
      </w:r>
      <w:r>
        <w:rPr>
          <w:noProof/>
          <w:webHidden/>
        </w:rPr>
        <w:tab/>
      </w:r>
      <w:r>
        <w:rPr>
          <w:noProof/>
          <w:webHidden/>
        </w:rPr>
        <w:fldChar w:fldCharType="begin"/>
      </w:r>
      <w:r>
        <w:rPr>
          <w:noProof/>
          <w:webHidden/>
        </w:rPr>
        <w:instrText xml:space="preserve"> PAGEREF _Toc242555083 \h </w:instrText>
      </w:r>
      <w:r>
        <w:rPr>
          <w:noProof/>
          <w:webHidden/>
        </w:rPr>
        <w:fldChar w:fldCharType="separate"/>
      </w:r>
      <w:r>
        <w:rPr>
          <w:noProof/>
          <w:webHidden/>
        </w:rPr>
        <w:t>6</w:t>
      </w:r>
      <w:r>
        <w:rPr>
          <w:noProof/>
          <w:webHidden/>
        </w:rPr>
        <w:fldChar w:fldCharType="end"/>
      </w:r>
      <w:r>
        <w:rPr/>
        <w:fldChar w:fldCharType="end"/>
      </w:r>
    </w:p>
    <w:p w14:paraId="744A7135">
      <w:pPr>
        <w:pStyle w:val="style19"/>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"_Toc242555084" </w:instrText>
      </w:r>
      <w:r>
        <w:rPr/>
        <w:fldChar w:fldCharType="separate"/>
      </w:r>
      <w:r>
        <w:rPr>
          <w:rStyle w:val="style85"/>
          <w:noProof/>
        </w:rPr>
        <w:t>Task B: Breeding an Environment Where Talent May Grow</w:t>
      </w:r>
      <w:r>
        <w:rPr>
          <w:noProof/>
          <w:webHidden/>
        </w:rPr>
        <w:tab/>
      </w:r>
      <w:r>
        <w:rPr>
          <w:noProof/>
          <w:webHidden/>
        </w:rPr>
        <w:fldChar w:fldCharType="begin"/>
      </w:r>
      <w:r>
        <w:rPr>
          <w:noProof/>
          <w:webHidden/>
        </w:rPr>
        <w:instrText xml:space="preserve"> PAGEREF _Toc242555084 \h </w:instrText>
      </w:r>
      <w:r>
        <w:rPr>
          <w:noProof/>
          <w:webHidden/>
        </w:rPr>
        <w:fldChar w:fldCharType="separate"/>
      </w:r>
      <w:r>
        <w:rPr>
          <w:noProof/>
          <w:webHidden/>
        </w:rPr>
        <w:t>8</w:t>
      </w:r>
      <w:r>
        <w:rPr>
          <w:noProof/>
          <w:webHidden/>
        </w:rPr>
        <w:fldChar w:fldCharType="end"/>
      </w:r>
      <w:r>
        <w:rPr/>
        <w:fldChar w:fldCharType="end"/>
      </w:r>
    </w:p>
    <w:p w14:paraId="66E60486">
      <w:pPr>
        <w:pStyle w:val="style20"/>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"_Toc242555085" </w:instrText>
      </w:r>
      <w:r>
        <w:rPr/>
        <w:fldChar w:fldCharType="separate"/>
      </w:r>
      <w:r>
        <w:rPr>
          <w:rStyle w:val="style85"/>
          <w:noProof/>
        </w:rPr>
        <w:t>Critical Evaluation of Environment Creation by Organisations</w:t>
      </w:r>
      <w:r>
        <w:rPr>
          <w:noProof/>
          <w:webHidden/>
        </w:rPr>
        <w:tab/>
      </w:r>
      <w:r>
        <w:rPr>
          <w:noProof/>
          <w:webHidden/>
        </w:rPr>
        <w:fldChar w:fldCharType="begin"/>
      </w:r>
      <w:r>
        <w:rPr>
          <w:noProof/>
          <w:webHidden/>
        </w:rPr>
        <w:instrText xml:space="preserve"> PAGEREF _Toc242555085 \h </w:instrText>
      </w:r>
      <w:r>
        <w:rPr>
          <w:noProof/>
          <w:webHidden/>
        </w:rPr>
        <w:fldChar w:fldCharType="separate"/>
      </w:r>
      <w:r>
        <w:rPr>
          <w:noProof/>
          <w:webHidden/>
        </w:rPr>
        <w:t>8</w:t>
      </w:r>
      <w:r>
        <w:rPr>
          <w:noProof/>
          <w:webHidden/>
        </w:rPr>
        <w:fldChar w:fldCharType="end"/>
      </w:r>
      <w:r>
        <w:rPr/>
        <w:fldChar w:fldCharType="end"/>
      </w:r>
    </w:p>
    <w:p w14:paraId="214875B4">
      <w:pPr>
        <w:pStyle w:val="style20"/>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"_Toc242555086" </w:instrText>
      </w:r>
      <w:r>
        <w:rPr/>
        <w:fldChar w:fldCharType="separate"/>
      </w:r>
      <w:r>
        <w:rPr>
          <w:rStyle w:val="style85"/>
          <w:noProof/>
        </w:rPr>
        <w:t>Development of Comprehensive Talent Growth Strategy</w:t>
      </w:r>
      <w:r>
        <w:rPr>
          <w:noProof/>
          <w:webHidden/>
        </w:rPr>
        <w:tab/>
      </w:r>
      <w:r>
        <w:rPr>
          <w:noProof/>
          <w:webHidden/>
        </w:rPr>
        <w:fldChar w:fldCharType="begin"/>
      </w:r>
      <w:r>
        <w:rPr>
          <w:noProof/>
          <w:webHidden/>
        </w:rPr>
        <w:instrText xml:space="preserve"> PAGEREF _Toc242555086 \h </w:instrText>
      </w:r>
      <w:r>
        <w:rPr>
          <w:noProof/>
          <w:webHidden/>
        </w:rPr>
        <w:fldChar w:fldCharType="separate"/>
      </w:r>
      <w:r>
        <w:rPr>
          <w:noProof/>
          <w:webHidden/>
        </w:rPr>
        <w:t>10</w:t>
      </w:r>
      <w:r>
        <w:rPr>
          <w:noProof/>
          <w:webHidden/>
        </w:rPr>
        <w:fldChar w:fldCharType="end"/>
      </w:r>
      <w:r>
        <w:rPr/>
        <w:fldChar w:fldCharType="end"/>
      </w:r>
    </w:p>
    <w:p w14:paraId="73D838E1">
      <w:pPr>
        <w:pStyle w:val="style19"/>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"_Toc242555087" </w:instrText>
      </w:r>
      <w:r>
        <w:rPr/>
        <w:fldChar w:fldCharType="separate"/>
      </w:r>
      <w:r>
        <w:rPr>
          <w:rStyle w:val="style85"/>
          <w:noProof/>
        </w:rPr>
        <w:t>Task C: Reflective Report</w:t>
      </w:r>
      <w:r>
        <w:rPr>
          <w:noProof/>
          <w:webHidden/>
        </w:rPr>
        <w:tab/>
      </w:r>
      <w:r>
        <w:rPr>
          <w:noProof/>
          <w:webHidden/>
        </w:rPr>
        <w:fldChar w:fldCharType="begin"/>
      </w:r>
      <w:r>
        <w:rPr>
          <w:noProof/>
          <w:webHidden/>
        </w:rPr>
        <w:instrText xml:space="preserve"> PAGEREF _Toc242555087 \h </w:instrText>
      </w:r>
      <w:r>
        <w:rPr>
          <w:noProof/>
          <w:webHidden/>
        </w:rPr>
        <w:fldChar w:fldCharType="separate"/>
      </w:r>
      <w:r>
        <w:rPr>
          <w:noProof/>
          <w:webHidden/>
        </w:rPr>
        <w:t>12</w:t>
      </w:r>
      <w:r>
        <w:rPr>
          <w:noProof/>
          <w:webHidden/>
        </w:rPr>
        <w:fldChar w:fldCharType="end"/>
      </w:r>
      <w:r>
        <w:rPr/>
        <w:fldChar w:fldCharType="end"/>
      </w:r>
    </w:p>
    <w:p w14:paraId="490AFC4F">
      <w:pPr>
        <w:pStyle w:val="style20"/>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"_Toc242555088" </w:instrText>
      </w:r>
      <w:r>
        <w:rPr/>
        <w:fldChar w:fldCharType="separate"/>
      </w:r>
      <w:r>
        <w:rPr>
          <w:rStyle w:val="style85"/>
          <w:noProof/>
        </w:rPr>
        <w:t>AI as a Strategic Tool</w:t>
      </w:r>
      <w:r>
        <w:rPr>
          <w:noProof/>
          <w:webHidden/>
        </w:rPr>
        <w:tab/>
      </w:r>
      <w:r>
        <w:rPr>
          <w:noProof/>
          <w:webHidden/>
        </w:rPr>
        <w:fldChar w:fldCharType="begin"/>
      </w:r>
      <w:r>
        <w:rPr>
          <w:noProof/>
          <w:webHidden/>
        </w:rPr>
        <w:instrText xml:space="preserve"> PAGEREF _Toc242555088 \h </w:instrText>
      </w:r>
      <w:r>
        <w:rPr>
          <w:noProof/>
          <w:webHidden/>
        </w:rPr>
        <w:fldChar w:fldCharType="separate"/>
      </w:r>
      <w:r>
        <w:rPr>
          <w:noProof/>
          <w:webHidden/>
        </w:rPr>
        <w:t>12</w:t>
      </w:r>
      <w:r>
        <w:rPr>
          <w:noProof/>
          <w:webHidden/>
        </w:rPr>
        <w:fldChar w:fldCharType="end"/>
      </w:r>
      <w:r>
        <w:rPr/>
        <w:fldChar w:fldCharType="end"/>
      </w:r>
    </w:p>
    <w:p w14:paraId="457E442E">
      <w:pPr>
        <w:pStyle w:val="style20"/>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"_Toc242555089" </w:instrText>
      </w:r>
      <w:r>
        <w:rPr/>
        <w:fldChar w:fldCharType="separate"/>
      </w:r>
      <w:r>
        <w:rPr>
          <w:rStyle w:val="style85"/>
          <w:noProof/>
        </w:rPr>
        <w:t>Reflective Analysis</w:t>
      </w:r>
      <w:r>
        <w:rPr>
          <w:noProof/>
          <w:webHidden/>
        </w:rPr>
        <w:tab/>
      </w:r>
      <w:r>
        <w:rPr>
          <w:noProof/>
          <w:webHidden/>
        </w:rPr>
        <w:fldChar w:fldCharType="begin"/>
      </w:r>
      <w:r>
        <w:rPr>
          <w:noProof/>
          <w:webHidden/>
        </w:rPr>
        <w:instrText xml:space="preserve"> PAGEREF _Toc242555089 \h </w:instrText>
      </w:r>
      <w:r>
        <w:rPr>
          <w:noProof/>
          <w:webHidden/>
        </w:rPr>
        <w:fldChar w:fldCharType="separate"/>
      </w:r>
      <w:r>
        <w:rPr>
          <w:noProof/>
          <w:webHidden/>
        </w:rPr>
        <w:t>13</w:t>
      </w:r>
      <w:r>
        <w:rPr>
          <w:noProof/>
          <w:webHidden/>
        </w:rPr>
        <w:fldChar w:fldCharType="end"/>
      </w:r>
      <w:r>
        <w:rPr/>
        <w:fldChar w:fldCharType="end"/>
      </w:r>
    </w:p>
    <w:p w14:paraId="180A7E9E">
      <w:pPr>
        <w:pStyle w:val="style20"/>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"_Toc242555090" </w:instrText>
      </w:r>
      <w:r>
        <w:rPr/>
        <w:fldChar w:fldCharType="separate"/>
      </w:r>
      <w:r>
        <w:rPr>
          <w:rStyle w:val="style85"/>
          <w:noProof/>
        </w:rPr>
        <w:t>Personal Action Plan</w:t>
      </w:r>
      <w:r>
        <w:rPr>
          <w:noProof/>
          <w:webHidden/>
        </w:rPr>
        <w:tab/>
      </w:r>
      <w:r>
        <w:rPr>
          <w:noProof/>
          <w:webHidden/>
        </w:rPr>
        <w:fldChar w:fldCharType="begin"/>
      </w:r>
      <w:r>
        <w:rPr>
          <w:noProof/>
          <w:webHidden/>
        </w:rPr>
        <w:instrText xml:space="preserve"> PAGEREF _Toc242555090 \h </w:instrText>
      </w:r>
      <w:r>
        <w:rPr>
          <w:noProof/>
          <w:webHidden/>
        </w:rPr>
        <w:fldChar w:fldCharType="separate"/>
      </w:r>
      <w:r>
        <w:rPr>
          <w:noProof/>
          <w:webHidden/>
        </w:rPr>
        <w:t>13</w:t>
      </w:r>
      <w:r>
        <w:rPr>
          <w:noProof/>
          <w:webHidden/>
        </w:rPr>
        <w:fldChar w:fldCharType="end"/>
      </w:r>
      <w:r>
        <w:rPr/>
        <w:fldChar w:fldCharType="end"/>
      </w:r>
    </w:p>
    <w:p w14:paraId="65A82812">
      <w:pPr>
        <w:pStyle w:val="style19"/>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"_Toc242555091"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_Toc242555091 \h </w:instrText>
      </w:r>
      <w:r>
        <w:rPr>
          <w:noProof/>
          <w:webHidden/>
        </w:rPr>
        <w:fldChar w:fldCharType="separate"/>
      </w:r>
      <w:r>
        <w:rPr>
          <w:noProof/>
          <w:webHidden/>
        </w:rPr>
        <w:t>15</w:t>
      </w:r>
      <w:r>
        <w:rPr>
          <w:noProof/>
          <w:webHidden/>
        </w:rPr>
        <w:fldChar w:fldCharType="end"/>
      </w:r>
      <w:r>
        <w:rPr/>
        <w:fldChar w:fldCharType="end"/>
      </w:r>
    </w:p>
    <w:p w14:paraId="7F162EF9">
      <w:pPr>
        <w:pStyle w:val="style19"/>
        <w:tabs>
          <w:tab w:val="right" w:leader="dot" w:pos="9350"/>
        </w:tabs>
        <w:rPr>
          <w:rFonts w:ascii="Calibri" w:eastAsia="宋体" w:hAnsi="Calibri"/>
          <w:noProof/>
          <w:kern w:val="0"/>
          <w:sz w:val="22"/>
          <w:lang w:val="en-US"/>
          <w14:ligatures xmlns:w14="http://schemas.microsoft.com/office/word/2010/wordml" w14:val="none"/>
        </w:rPr>
      </w:pPr>
      <w:r>
        <w:rPr/>
        <w:fldChar w:fldCharType="begin"/>
      </w:r>
      <w:r>
        <w:instrText xml:space="preserve"> HYPERLINK \l "_Toc242555092" </w:instrText>
      </w:r>
      <w:r>
        <w:rPr/>
        <w:fldChar w:fldCharType="separate"/>
      </w:r>
      <w:r>
        <w:rPr>
          <w:rStyle w:val="style85"/>
          <w:noProof/>
          <w:lang w:val="pt-BR"/>
        </w:rPr>
        <w:t>Reference list</w:t>
      </w:r>
      <w:r>
        <w:rPr>
          <w:noProof/>
          <w:webHidden/>
        </w:rPr>
        <w:tab/>
      </w:r>
      <w:r>
        <w:rPr>
          <w:noProof/>
          <w:webHidden/>
        </w:rPr>
        <w:fldChar w:fldCharType="begin"/>
      </w:r>
      <w:r>
        <w:rPr>
          <w:noProof/>
          <w:webHidden/>
        </w:rPr>
        <w:instrText xml:space="preserve"> PAGEREF _Toc242555092 \h </w:instrText>
      </w:r>
      <w:r>
        <w:rPr>
          <w:noProof/>
          <w:webHidden/>
        </w:rPr>
        <w:fldChar w:fldCharType="separate"/>
      </w:r>
      <w:r>
        <w:rPr>
          <w:noProof/>
          <w:webHidden/>
        </w:rPr>
        <w:t>16</w:t>
      </w:r>
      <w:r>
        <w:rPr>
          <w:noProof/>
          <w:webHidden/>
        </w:rPr>
        <w:fldChar w:fldCharType="end"/>
      </w:r>
      <w:r>
        <w:rPr/>
        <w:fldChar w:fldCharType="end"/>
      </w:r>
    </w:p>
    <w:p w14:paraId="11151101">
      <w:pPr>
        <w:pStyle w:val="style0"/>
        <w:rPr/>
      </w:pPr>
      <w:r>
        <w:rPr>
          <w:b/>
          <w:bCs/>
          <w:noProof/>
        </w:rPr>
        <w:fldChar w:fldCharType="end"/>
      </w:r>
    </w:p>
    <w:p w14:paraId="703A014B">
      <w:pPr>
        <w:pStyle w:val="style0"/>
        <w:rPr/>
      </w:pPr>
    </w:p>
    <w:p w14:paraId="7C508158">
      <w:pPr>
        <w:pStyle w:val="style0"/>
        <w:spacing w:lineRule="auto" w:line="259"/>
        <w:jc w:val="left"/>
        <w:rPr/>
      </w:pPr>
      <w:r>
        <w:br w:type="page"/>
      </w:r>
    </w:p>
    <w:bookmarkStart w:id="0" w:name="_Toc242555080"/>
    <w:p w14:paraId="377F0AC6">
      <w:pPr>
        <w:pStyle w:val="style1"/>
        <w:rPr/>
      </w:pPr>
      <w:r>
        <w:t>Introduction</w:t>
      </w:r>
      <w:bookmarkEnd w:id="0"/>
      <w:r>
        <w:t xml:space="preserve"> </w:t>
      </w:r>
    </w:p>
    <w:p w14:paraId="1FCD26DF">
      <w:pPr>
        <w:pStyle w:val="style0"/>
        <w:rPr/>
      </w:pPr>
      <w:r>
        <w:t xml:space="preserve">NHSX (“NexSpace Health Systems”) </w:t>
      </w:r>
      <w:r>
        <w:t xml:space="preserve">operates </w:t>
      </w:r>
      <w:r>
        <w:t>in a fast-changing healthcare technology environment in which skilled employees, digitalisation</w:t>
      </w:r>
      <w:r>
        <w:t>,</w:t>
      </w:r>
      <w:r>
        <w:t xml:space="preserve"> and innovation are necessary for sustainable growth. </w:t>
      </w:r>
      <w:r>
        <w:t>“</w:t>
      </w:r>
      <w:r>
        <w:t>NexSpace Health Systems</w:t>
      </w:r>
      <w:r>
        <w:t>”</w:t>
      </w:r>
      <w:r>
        <w:t xml:space="preserve"> is facing challenges because of limited creativity, hierarchical decision-making, insufficient career development</w:t>
      </w:r>
      <w:r>
        <w:t>,</w:t>
      </w:r>
      <w:r>
        <w:t xml:space="preserve"> and weak global collaboration. The report is performed for the critical examination of the process through which NexSpace Health Systems can design the working activities along with </w:t>
      </w:r>
      <w:r>
        <w:t xml:space="preserve">the </w:t>
      </w:r>
      <w:r>
        <w:t xml:space="preserve">creation of an environment where talent can grow continuously. </w:t>
      </w:r>
      <w:r>
        <w:t xml:space="preserve">Further, the assessment proposed an integrated framework through </w:t>
      </w:r>
      <w:r>
        <w:t xml:space="preserve">a </w:t>
      </w:r>
      <w:r>
        <w:t>combination of innovative work activities with a strategic ecosystem of talent growth for boosting collaboration, employee retention, wellbeing</w:t>
      </w:r>
      <w:r>
        <w:t>,</w:t>
      </w:r>
      <w:r>
        <w:t xml:space="preserve"> and business growth in </w:t>
      </w:r>
      <w:r>
        <w:t xml:space="preserve">the long </w:t>
      </w:r>
      <w:r>
        <w:t xml:space="preserve">run. </w:t>
      </w:r>
      <w:r>
        <w:t xml:space="preserve"> </w:t>
      </w:r>
    </w:p>
    <w:bookmarkStart w:id="1" w:name="_Toc242555081"/>
    <w:p w14:paraId="1C5903CB">
      <w:pPr>
        <w:pStyle w:val="style1"/>
        <w:rPr/>
      </w:pPr>
      <w:r>
        <w:t>Task A: Designing Innovative Working Practices</w:t>
      </w:r>
      <w:bookmarkEnd w:id="1"/>
    </w:p>
    <w:p w14:paraId="1DF340DD">
      <w:pPr>
        <w:pStyle w:val="style0"/>
        <w:rPr/>
      </w:pPr>
      <w:r>
        <w:t xml:space="preserve">NHSX operates </w:t>
      </w:r>
      <w:r>
        <w:t>its</w:t>
      </w:r>
      <w:r>
        <w:t xml:space="preserve"> business practices in an extensive and high</w:t>
      </w:r>
      <w:r>
        <w:t>ly</w:t>
      </w:r>
      <w:r>
        <w:t xml:space="preserve"> dynamic healthcare technology environment in which rapid development is </w:t>
      </w:r>
      <w:r>
        <w:t>evident</w:t>
      </w:r>
      <w:r>
        <w:t xml:space="preserve"> in the context of remote patient monitoring, digital health platforms</w:t>
      </w:r>
      <w:r>
        <w:t>,</w:t>
      </w:r>
      <w:r>
        <w:t xml:space="preserve"> and AI. The latest hierarchical work structure of NexSpace Health Systems is </w:t>
      </w:r>
      <w:r>
        <w:t>leading to</w:t>
      </w:r>
      <w:r>
        <w:t xml:space="preserve"> slow decision-making</w:t>
      </w:r>
      <w:r>
        <w:t>,</w:t>
      </w:r>
      <w:r>
        <w:t xml:space="preserve"> weaker knowledge sharing between global teams</w:t>
      </w:r>
      <w:r>
        <w:t>,</w:t>
      </w:r>
      <w:r>
        <w:t xml:space="preserve"> and limited experimentation. </w:t>
      </w:r>
    </w:p>
    <w:p w14:paraId="180C2804">
      <w:pPr>
        <w:pStyle w:val="style0"/>
        <w:keepNext/>
        <w:jc w:val="center"/>
        <w:rPr/>
      </w:pPr>
      <w:r>
        <w:rPr>
          <w:noProof/>
          <w:lang w:val="en-IN" w:eastAsia="en-IN"/>
        </w:rPr>
        <w:drawing>
          <wp:inline distL="0" distT="0" distB="0" distR="0">
            <wp:extent cx="2692402" cy="2508529"/>
            <wp:effectExtent l="0" t="0" r="0" b="635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2692402" cy="2508529"/>
                    </a:xfrm>
                    <a:prstGeom prst="rect"/>
                  </pic:spPr>
                </pic:pic>
              </a:graphicData>
            </a:graphic>
          </wp:inline>
        </w:drawing>
      </w:r>
    </w:p>
    <w:p w14:paraId="2567F11B">
      <w:pPr>
        <w:pStyle w:val="style34"/>
        <w:rPr/>
      </w:pPr>
      <w:r>
        <w:t xml:space="preserve">Figure </w:t>
      </w:r>
      <w:r>
        <w:rPr/>
        <w:fldChar w:fldCharType="begin"/>
      </w:r>
      <w:r>
        <w:instrText xml:space="preserve"> SEQ Figure \* ARABIC </w:instrText>
      </w:r>
      <w:r>
        <w:rPr/>
        <w:fldChar w:fldCharType="separate"/>
      </w:r>
      <w:r>
        <w:rPr>
          <w:noProof/>
        </w:rPr>
        <w:t>1</w:t>
      </w:r>
      <w:r>
        <w:rPr/>
        <w:fldChar w:fldCharType="end"/>
      </w:r>
      <w:r>
        <w:t>: Integrat</w:t>
      </w:r>
      <w:r>
        <w:t>ed Framework; Source: Self-made</w:t>
      </w:r>
    </w:p>
    <w:p w14:paraId="1F994F82">
      <w:pPr>
        <w:pStyle w:val="style0"/>
        <w:rPr/>
      </w:pPr>
      <w:r>
        <w:t xml:space="preserve">At the same </w:t>
      </w:r>
      <w:r>
        <w:t>time</w:t>
      </w:r>
      <w:r>
        <w:t>, the situation of employee turnover highlights that talented staff want higher career development, autonomy</w:t>
      </w:r>
      <w:r>
        <w:t>,</w:t>
      </w:r>
      <w:r>
        <w:t xml:space="preserve"> as well as opportunities for learning.  </w:t>
      </w:r>
      <w:r>
        <w:t>Hence, NexSpace Health Systems is required to redesign work in the context of continuous development, flexibility, collaboration</w:t>
      </w:r>
      <w:r>
        <w:t>,</w:t>
      </w:r>
      <w:r>
        <w:t xml:space="preserve"> as well as innovation rather than only introducing new technology. </w:t>
      </w:r>
      <w:r>
        <w:t>In th</w:t>
      </w:r>
      <w:r>
        <w:t>is</w:t>
      </w:r>
      <w:r>
        <w:t xml:space="preserve"> context, an </w:t>
      </w:r>
      <w:r>
        <w:rPr>
          <w:b/>
          <w:bCs/>
        </w:rPr>
        <w:t>integrated model</w:t>
      </w:r>
      <w:r>
        <w:t xml:space="preserve"> having the </w:t>
      </w:r>
      <w:r>
        <w:rPr>
          <w:i/>
          <w:iCs/>
        </w:rPr>
        <w:t>combination of HPWS (“High-performance work systems”), HIWS (“High involvement work systems”), hybrid working, agile working</w:t>
      </w:r>
      <w:r>
        <w:rPr>
          <w:i/>
          <w:iCs/>
        </w:rPr>
        <w:t>,</w:t>
      </w:r>
      <w:r>
        <w:t xml:space="preserve"> as well as </w:t>
      </w:r>
      <w:r>
        <w:rPr>
          <w:i/>
          <w:iCs/>
        </w:rPr>
        <w:t>sociotechnical principles</w:t>
      </w:r>
      <w:r>
        <w:t xml:space="preserve"> would help in getting </w:t>
      </w:r>
      <w:r>
        <w:t xml:space="preserve">an </w:t>
      </w:r>
      <w:r>
        <w:t xml:space="preserve">effective foundation. </w:t>
      </w:r>
    </w:p>
    <w:bookmarkStart w:id="2" w:name="_Toc242555082"/>
    <w:p w14:paraId="578BF8A1">
      <w:pPr>
        <w:pStyle w:val="style2"/>
        <w:rPr/>
      </w:pPr>
      <w:r>
        <w:t>Critical Evaluation of Traditional Work Design Vs Contemporary Innovative Working Practices</w:t>
      </w:r>
      <w:bookmarkEnd w:id="2"/>
    </w:p>
    <w:p w14:paraId="2FCE207D">
      <w:pPr>
        <w:pStyle w:val="style0"/>
        <w:rPr/>
      </w:pPr>
      <w:r>
        <w:t xml:space="preserve">Conventional work design of NexSpace Health Systems </w:t>
      </w:r>
      <w:r>
        <w:t>has</w:t>
      </w:r>
      <w:r>
        <w:t xml:space="preserve"> characteristics like functional departments, hierarchy, relatively fixed accountabilities</w:t>
      </w:r>
      <w:r>
        <w:t>,</w:t>
      </w:r>
      <w:r>
        <w:t xml:space="preserve"> and centralised decision-making. Staff might have clearly </w:t>
      </w:r>
      <w:r>
        <w:t>defin</w:t>
      </w:r>
      <w:r>
        <w:t>ed jobs</w:t>
      </w:r>
      <w:r>
        <w:t>,</w:t>
      </w:r>
      <w:r>
        <w:t xml:space="preserve"> but decisions usually move through different levels of managers before the deployment and execution of action</w:t>
      </w:r>
      <w:r>
        <w:t xml:space="preserve"> </w:t>
      </w:r>
      <w:r>
        <w:t>(Rowe, Knox and Harvey, 2020)</w:t>
      </w:r>
      <w:r>
        <w:t xml:space="preserve">. </w:t>
      </w:r>
      <w:r>
        <w:t>Staff may become reluctant to experiment</w:t>
      </w:r>
      <w:r>
        <w:t>,</w:t>
      </w:r>
      <w:r>
        <w:t xml:space="preserve"> as any mistakes are viewed as failures in</w:t>
      </w:r>
      <w:r>
        <w:t>stead</w:t>
      </w:r>
      <w:r>
        <w:t xml:space="preserve"> of learning opportunities. Contemporary work design follows different technique</w:t>
      </w:r>
      <w:r>
        <w:t>s by</w:t>
      </w:r>
      <w:r>
        <w:t xml:space="preserve"> offering employee</w:t>
      </w:r>
      <w:r>
        <w:t>s</w:t>
      </w:r>
      <w:r>
        <w:t xml:space="preserve"> higher responsibilities and linking people across functional type of boundaries. HPWS integrate</w:t>
      </w:r>
      <w:r>
        <w:t>s</w:t>
      </w:r>
      <w:r>
        <w:t xml:space="preserve"> activities like performance management, employee development, selective recruitment, reward systems</w:t>
      </w:r>
      <w:r>
        <w:t>,</w:t>
      </w:r>
      <w:r>
        <w:t xml:space="preserve"> and participation </w:t>
      </w:r>
      <w:r>
        <w:t>to improve</w:t>
      </w:r>
      <w:r>
        <w:t xml:space="preserve"> business performance. In </w:t>
      </w:r>
      <w:r>
        <w:t xml:space="preserve">the </w:t>
      </w:r>
      <w:r>
        <w:t>case of NexSpace Health Systems, HPWS might boost the association between innovation and employee capability through recruiting staff with collaborative and technical skills</w:t>
      </w:r>
      <w:r>
        <w:t>,</w:t>
      </w:r>
      <w:r>
        <w:t xml:space="preserve"> offering consistent training</w:t>
      </w:r>
      <w:r>
        <w:t>,</w:t>
      </w:r>
      <w:r>
        <w:t xml:space="preserve"> and identifying innovative contribution</w:t>
      </w:r>
      <w:r>
        <w:t>s</w:t>
      </w:r>
      <w: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1"/>
        <w:gridCol w:w="8288"/>
      </w:tblGrid>
      <w:tr w14:paraId="33C8B644">
        <w:trPr>
          <w:trHeight w:val="300" w:hRule="atLeast"/>
        </w:trPr>
        <w:tc>
          <w:tcPr>
            <w:tcW w:w="520" w:type="pct"/>
            <w:tcBorders/>
            <w:shd w:val="clear" w:color="auto" w:fill="ffe599"/>
            <w:noWrap/>
            <w:vAlign w:val="center"/>
            <w:hideMark/>
          </w:tcPr>
          <w:p w14:paraId="62F07C48">
            <w:pPr>
              <w:pStyle w:val="style0"/>
              <w:spacing w:after="0"/>
              <w:jc w:val="center"/>
              <w:rPr>
                <w:rFonts w:cs="Arial" w:eastAsia="Times New Roman"/>
                <w:b/>
                <w:bCs/>
                <w:color w:val="ff0000"/>
                <w:kern w:val="0"/>
                <w:szCs w:val="24"/>
                <w:lang w:val="en-US"/>
                <w14:ligatures xmlns:w14="http://schemas.microsoft.com/office/word/2010/wordml" w14:val="none"/>
              </w:rPr>
            </w:pPr>
            <w:r>
              <w:rPr>
                <w:rFonts w:cs="Arial" w:eastAsia="Times New Roman"/>
                <w:b/>
                <w:bCs/>
                <w:color w:val="ff0000"/>
                <w:kern w:val="0"/>
                <w:szCs w:val="24"/>
                <w:lang w:val="en-US"/>
                <w14:ligatures xmlns:w14="http://schemas.microsoft.com/office/word/2010/wordml" w14:val="none"/>
              </w:rPr>
              <w:t>Work design</w:t>
            </w:r>
          </w:p>
        </w:tc>
        <w:tc>
          <w:tcPr>
            <w:tcW w:w="4480" w:type="pct"/>
            <w:tcBorders/>
            <w:shd w:val="clear" w:color="auto" w:fill="ffe599"/>
            <w:noWrap/>
            <w:vAlign w:val="center"/>
            <w:hideMark/>
          </w:tcPr>
          <w:p w14:paraId="3EDCB2EB">
            <w:pPr>
              <w:pStyle w:val="style0"/>
              <w:spacing w:after="0"/>
              <w:jc w:val="center"/>
              <w:rPr>
                <w:rFonts w:cs="Arial" w:eastAsia="Times New Roman"/>
                <w:b/>
                <w:bCs/>
                <w:color w:val="ff0000"/>
                <w:kern w:val="0"/>
                <w:szCs w:val="24"/>
                <w:lang w:val="en-US"/>
                <w14:ligatures xmlns:w14="http://schemas.microsoft.com/office/word/2010/wordml" w14:val="none"/>
              </w:rPr>
            </w:pPr>
            <w:r>
              <w:rPr>
                <w:rFonts w:cs="Arial" w:eastAsia="Times New Roman"/>
                <w:b/>
                <w:bCs/>
                <w:color w:val="ff0000"/>
                <w:kern w:val="0"/>
                <w:szCs w:val="24"/>
                <w:lang w:val="en-US"/>
                <w14:ligatures xmlns:w14="http://schemas.microsoft.com/office/word/2010/wordml" w14:val="none"/>
              </w:rPr>
              <w:t>Main difference from traditional work design</w:t>
            </w:r>
          </w:p>
        </w:tc>
      </w:tr>
      <w:tr w14:paraId="27306646">
        <w:tblPrEx/>
        <w:trPr>
          <w:trHeight w:val="300" w:hRule="atLeast"/>
        </w:trPr>
        <w:tc>
          <w:tcPr>
            <w:tcW w:w="520" w:type="pct"/>
            <w:tcBorders/>
            <w:shd w:val="clear" w:color="auto" w:fill="auto"/>
            <w:noWrap/>
            <w:vAlign w:val="center"/>
            <w:hideMark/>
          </w:tcPr>
          <w:p w14:paraId="360520D3">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HPWS</w:t>
            </w:r>
          </w:p>
        </w:tc>
        <w:tc>
          <w:tcPr>
            <w:tcW w:w="4480" w:type="pct"/>
            <w:tcBorders/>
            <w:shd w:val="clear" w:color="auto" w:fill="auto"/>
            <w:noWrap/>
            <w:vAlign w:val="center"/>
            <w:hideMark/>
          </w:tcPr>
          <w:p w14:paraId="7DC91B7C">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Traditional design focuses on fixed roles and control, whereas HPWS combines training, performance management and rewards to improve employee capabilities.</w:t>
            </w:r>
          </w:p>
        </w:tc>
      </w:tr>
      <w:tr w14:paraId="3ECA7A1B">
        <w:tblPrEx/>
        <w:trPr>
          <w:trHeight w:val="300" w:hRule="atLeast"/>
        </w:trPr>
        <w:tc>
          <w:tcPr>
            <w:tcW w:w="520" w:type="pct"/>
            <w:tcBorders/>
            <w:shd w:val="clear" w:color="auto" w:fill="auto"/>
            <w:noWrap/>
            <w:vAlign w:val="center"/>
            <w:hideMark/>
          </w:tcPr>
          <w:p w14:paraId="06D05995">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HIWS</w:t>
            </w:r>
          </w:p>
        </w:tc>
        <w:tc>
          <w:tcPr>
            <w:tcW w:w="4480" w:type="pct"/>
            <w:tcBorders/>
            <w:shd w:val="clear" w:color="auto" w:fill="auto"/>
            <w:noWrap/>
            <w:vAlign w:val="center"/>
            <w:hideMark/>
          </w:tcPr>
          <w:p w14:paraId="02096DEB">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 xml:space="preserve">Traditional design </w:t>
            </w:r>
            <w:r>
              <w:rPr>
                <w:rFonts w:cs="Arial" w:eastAsia="Times New Roman"/>
                <w:color w:val="ff0000"/>
                <w:kern w:val="0"/>
                <w:szCs w:val="24"/>
                <w:lang w:val="en-US"/>
                <w14:ligatures xmlns:w14="http://schemas.microsoft.com/office/word/2010/wordml" w14:val="none"/>
              </w:rPr>
              <w:t>centralizes</w:t>
            </w:r>
            <w:r>
              <w:rPr>
                <w:rFonts w:cs="Arial" w:eastAsia="Times New Roman"/>
                <w:color w:val="ff0000"/>
                <w:kern w:val="0"/>
                <w:szCs w:val="24"/>
                <w:lang w:val="en-US"/>
                <w14:ligatures xmlns:w14="http://schemas.microsoft.com/office/word/2010/wordml" w14:val="none"/>
              </w:rPr>
              <w:t xml:space="preserve"> decisions with managers, whereas HIWS encourages employee participation, empowerment and information sharing.</w:t>
            </w:r>
          </w:p>
        </w:tc>
      </w:tr>
      <w:tr w14:paraId="75B014EC">
        <w:tblPrEx/>
        <w:trPr>
          <w:trHeight w:val="300" w:hRule="atLeast"/>
        </w:trPr>
        <w:tc>
          <w:tcPr>
            <w:tcW w:w="520" w:type="pct"/>
            <w:tcBorders/>
            <w:shd w:val="clear" w:color="auto" w:fill="auto"/>
            <w:noWrap/>
            <w:vAlign w:val="center"/>
            <w:hideMark/>
          </w:tcPr>
          <w:p w14:paraId="78BB3E51">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Agile working</w:t>
            </w:r>
          </w:p>
        </w:tc>
        <w:tc>
          <w:tcPr>
            <w:tcW w:w="4480" w:type="pct"/>
            <w:tcBorders/>
            <w:shd w:val="clear" w:color="auto" w:fill="auto"/>
            <w:noWrap/>
            <w:vAlign w:val="center"/>
            <w:hideMark/>
          </w:tcPr>
          <w:p w14:paraId="42529878">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Traditional design follows hierarchical approval processes, whereas agile teams use short development cycles, shared responsibility and regular feedback.</w:t>
            </w:r>
          </w:p>
        </w:tc>
      </w:tr>
      <w:tr w14:paraId="3D6E4ADD">
        <w:tblPrEx/>
        <w:trPr>
          <w:trHeight w:val="300" w:hRule="atLeast"/>
        </w:trPr>
        <w:tc>
          <w:tcPr>
            <w:tcW w:w="520" w:type="pct"/>
            <w:tcBorders/>
            <w:shd w:val="clear" w:color="auto" w:fill="auto"/>
            <w:noWrap/>
            <w:vAlign w:val="center"/>
            <w:hideMark/>
          </w:tcPr>
          <w:p w14:paraId="7F1FA00F">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Flexible working</w:t>
            </w:r>
          </w:p>
        </w:tc>
        <w:tc>
          <w:tcPr>
            <w:tcW w:w="4480" w:type="pct"/>
            <w:tcBorders/>
            <w:shd w:val="clear" w:color="auto" w:fill="auto"/>
            <w:noWrap/>
            <w:vAlign w:val="center"/>
            <w:hideMark/>
          </w:tcPr>
          <w:p w14:paraId="7B4C693D">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Traditional design generally follows fixed schedules, whereas flexible working gives employees greater control over working hours or arrangements.</w:t>
            </w:r>
          </w:p>
        </w:tc>
      </w:tr>
      <w:tr w14:paraId="3689005D">
        <w:tblPrEx/>
        <w:trPr>
          <w:trHeight w:val="300" w:hRule="atLeast"/>
        </w:trPr>
        <w:tc>
          <w:tcPr>
            <w:tcW w:w="520" w:type="pct"/>
            <w:tcBorders/>
            <w:shd w:val="clear" w:color="auto" w:fill="auto"/>
            <w:noWrap/>
            <w:vAlign w:val="center"/>
            <w:hideMark/>
          </w:tcPr>
          <w:p w14:paraId="4B3AC3F2">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Remote working</w:t>
            </w:r>
          </w:p>
        </w:tc>
        <w:tc>
          <w:tcPr>
            <w:tcW w:w="4480" w:type="pct"/>
            <w:tcBorders/>
            <w:shd w:val="clear" w:color="auto" w:fill="auto"/>
            <w:noWrap/>
            <w:vAlign w:val="center"/>
            <w:hideMark/>
          </w:tcPr>
          <w:p w14:paraId="287BF594">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Traditional design relies more on the central workplace and face-to-face supervision, whereas remote working uses digital tools to perform work from other locations.</w:t>
            </w:r>
          </w:p>
        </w:tc>
      </w:tr>
      <w:tr w14:paraId="668A0852">
        <w:tblPrEx/>
        <w:trPr>
          <w:trHeight w:val="300" w:hRule="atLeast"/>
        </w:trPr>
        <w:tc>
          <w:tcPr>
            <w:tcW w:w="520" w:type="pct"/>
            <w:tcBorders/>
            <w:shd w:val="clear" w:color="auto" w:fill="auto"/>
            <w:noWrap/>
            <w:vAlign w:val="center"/>
            <w:hideMark/>
          </w:tcPr>
          <w:p w14:paraId="40DFC235">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Hybrid working</w:t>
            </w:r>
          </w:p>
        </w:tc>
        <w:tc>
          <w:tcPr>
            <w:tcW w:w="4480" w:type="pct"/>
            <w:tcBorders/>
            <w:shd w:val="clear" w:color="auto" w:fill="auto"/>
            <w:noWrap/>
            <w:vAlign w:val="center"/>
            <w:hideMark/>
          </w:tcPr>
          <w:p w14:paraId="632A3D99">
            <w:pPr>
              <w:pStyle w:val="style0"/>
              <w:spacing w:after="0"/>
              <w:rPr>
                <w:rFonts w:cs="Arial" w:eastAsia="Times New Roman"/>
                <w:color w:val="ff0000"/>
                <w:kern w:val="0"/>
                <w:szCs w:val="24"/>
                <w:lang w:val="en-US"/>
                <w14:ligatures xmlns:w14="http://schemas.microsoft.com/office/word/2010/wordml" w14:val="none"/>
              </w:rPr>
            </w:pPr>
            <w:r>
              <w:rPr>
                <w:rFonts w:cs="Arial" w:eastAsia="Times New Roman"/>
                <w:color w:val="ff0000"/>
                <w:kern w:val="0"/>
                <w:szCs w:val="24"/>
                <w:lang w:val="en-US"/>
                <w14:ligatures xmlns:w14="http://schemas.microsoft.com/office/word/2010/wordml" w14:val="none"/>
              </w:rPr>
              <w:t>Traditional design expects employees to work mainly at a designated workplace, whereas hybrid working combines office-based and remote work.</w:t>
            </w:r>
          </w:p>
        </w:tc>
      </w:tr>
    </w:tbl>
    <w:p w14:paraId="7EB643FF">
      <w:pPr>
        <w:pStyle w:val="style0"/>
        <w:rPr>
          <w:lang w:val="en-US"/>
        </w:rPr>
      </w:pPr>
    </w:p>
    <w:p w14:paraId="11C139BF">
      <w:pPr>
        <w:pStyle w:val="style0"/>
        <w:rPr/>
      </w:pPr>
      <w:r>
        <w:t>On the other hand, HPWS can be potentially performance</w:t>
      </w:r>
      <w:r>
        <w:t>-</w:t>
      </w:r>
      <w:r>
        <w:t>centric in case there is limited involvement of employee</w:t>
      </w:r>
      <w:r>
        <w:t>s</w:t>
      </w:r>
      <w:r>
        <w:t>;</w:t>
      </w:r>
      <w:r>
        <w:t xml:space="preserve"> hence, HIWS (“High-involvement work systems”) offer a significant complementary perspective. HIWS potentially focuses on staff participation in information sharing, decision</w:t>
      </w:r>
      <w:r>
        <w:t>-</w:t>
      </w:r>
      <w:r>
        <w:t>making, development of knowledge</w:t>
      </w:r>
      <w:r>
        <w:t>,</w:t>
      </w:r>
      <w:r>
        <w:t xml:space="preserve"> and empowerment</w:t>
      </w:r>
      <w:r>
        <w:t>,</w:t>
      </w:r>
      <w:r>
        <w:t xml:space="preserve"> and this is very much relevant to NexSpace Health Systems as staff currently have reduced opportunities for experimentation and creativity</w:t>
      </w:r>
      <w:r>
        <w:t xml:space="preserve"> </w:t>
      </w:r>
      <w:r>
        <w:t>(</w:t>
      </w:r>
      <w:r>
        <w:t>Meskó</w:t>
      </w:r>
      <w:r>
        <w:t xml:space="preserve"> et al., 2017)</w:t>
      </w:r>
      <w:r>
        <w:t>. Involving data scientists, clinicians, software engineers, managers</w:t>
      </w:r>
      <w:r>
        <w:t>,</w:t>
      </w:r>
      <w:r>
        <w:t xml:space="preserve"> and c</w:t>
      </w:r>
      <w:r>
        <w:t>ustomer service staff</w:t>
      </w:r>
      <w:r>
        <w:t xml:space="preserve"> in production decisions would permit multiple perspectives for influencing innovation. Agile working provides another option to conventional hierarchical structure</w:t>
      </w:r>
      <w:r>
        <w:t>s,</w:t>
      </w:r>
      <w:r>
        <w:t xml:space="preserve"> as agile teams are multidisciplinary, smaller</w:t>
      </w:r>
      <w:r>
        <w:t>,</w:t>
      </w:r>
      <w:r>
        <w:t xml:space="preserve"> a</w:t>
      </w:r>
      <w:r>
        <w:t>nd</w:t>
      </w:r>
      <w:r>
        <w:t xml:space="preserve"> structured </w:t>
      </w:r>
      <w:r>
        <w:t xml:space="preserve">to </w:t>
      </w:r>
      <w:r>
        <w:t xml:space="preserve">account </w:t>
      </w:r>
      <w:r>
        <w:t>for specific</w:t>
      </w:r>
      <w:r>
        <w:t xml:space="preserve"> results. In</w:t>
      </w:r>
      <w:r>
        <w:t>stead</w:t>
      </w:r>
      <w:r>
        <w:t xml:space="preserve"> of waiting for senior authority </w:t>
      </w:r>
      <w:r>
        <w:t>to approve</w:t>
      </w:r>
      <w:r>
        <w:t xml:space="preserve"> each decision, </w:t>
      </w:r>
      <w:r>
        <w:t xml:space="preserve">the </w:t>
      </w:r>
      <w:r>
        <w:t>team can be efficient in making business operation decision</w:t>
      </w:r>
      <w:r>
        <w:t>s</w:t>
      </w:r>
      <w:r>
        <w:t xml:space="preserve"> themselves within the determined boundaries. In </w:t>
      </w:r>
      <w:r>
        <w:t xml:space="preserve">the </w:t>
      </w:r>
      <w:r>
        <w:t>case of NexSpace Health Systems, the agile team might involve a software developer, AI specialist, healthcare professional, project manager, data analyst</w:t>
      </w:r>
      <w:r>
        <w:t>,</w:t>
      </w:r>
      <w:r>
        <w:t xml:space="preserve"> and UX designer collaboratively working on a “remote patient monitoring” product</w:t>
      </w:r>
      <w:r>
        <w:t xml:space="preserve"> </w:t>
      </w:r>
      <w:r>
        <w:t>(Fischer et al., 2021)</w:t>
      </w:r>
      <w:r>
        <w:t xml:space="preserve">. </w:t>
      </w:r>
      <w:r>
        <w:t>The facility of fast feedback, periodic reviews</w:t>
      </w:r>
      <w:r>
        <w:t>,</w:t>
      </w:r>
      <w:r>
        <w:t xml:space="preserve"> and short development cycles would </w:t>
      </w:r>
      <w:r>
        <w:t xml:space="preserve">empower NHSX to </w:t>
      </w:r>
      <w:r>
        <w:t>respond quickly to</w:t>
      </w:r>
      <w:r>
        <w:t xml:space="preserve"> changing clinical requirements and changing consumer</w:t>
      </w:r>
      <w:r>
        <w:t xml:space="preserve"> needs</w:t>
      </w:r>
      <w:r>
        <w:t xml:space="preserve">. </w:t>
      </w:r>
    </w:p>
    <w:p w14:paraId="3CD1222A">
      <w:pPr>
        <w:pStyle w:val="style0"/>
        <w:rPr/>
      </w:pPr>
      <w:r>
        <w:t xml:space="preserve">Besides this, there is noticed very much importance of </w:t>
      </w:r>
      <w:r>
        <w:t xml:space="preserve">the </w:t>
      </w:r>
      <w:r>
        <w:t>sociotechnical system</w:t>
      </w:r>
      <w:r>
        <w:t>s</w:t>
      </w:r>
      <w:r>
        <w:t xml:space="preserve"> perspective</w:t>
      </w:r>
      <w:r>
        <w:t xml:space="preserve"> is noted,</w:t>
      </w:r>
      <w:r>
        <w:t xml:space="preserve"> as NHSX is not capable enough </w:t>
      </w:r>
      <w:r>
        <w:t>of</w:t>
      </w:r>
      <w:r>
        <w:t xml:space="preserve"> improving performance through altering technology only. As per sociotechnical theory, companies should optimize the association between different social elements like organizational structures, teams and people, and technical elements like data systems, collaboration software and AI platforms</w:t>
      </w:r>
      <w:r>
        <w:t xml:space="preserve"> </w:t>
      </w:r>
      <w:r>
        <w:t>(Da Costa and Da Costa, 2026)</w:t>
      </w:r>
      <w:r>
        <w:t>. This is very relevant</w:t>
      </w:r>
      <w:r>
        <w:t>,</w:t>
      </w:r>
      <w:r>
        <w:t xml:space="preserve"> as the existing problem of NexSpace Health Systems is not a shortage of technology but inappropriate collaboration and sharing of knowledge around the innovative technology. Above all, flexible and hybrid working can assist employees in having greater control over when and where work is conducted. </w:t>
      </w:r>
    </w:p>
    <w:bookmarkStart w:id="3" w:name="_Toc242555083"/>
    <w:p w14:paraId="3E186D90">
      <w:pPr>
        <w:pStyle w:val="style2"/>
        <w:rPr/>
      </w:pPr>
      <w:r>
        <w:t>Recommended Innovative Working Practices Appropriate for NexSpace Health Systems</w:t>
      </w:r>
      <w:bookmarkEnd w:id="3"/>
      <w:r>
        <w:t xml:space="preserve"> </w:t>
      </w:r>
    </w:p>
    <w:p w14:paraId="4A301204">
      <w:pPr>
        <w:pStyle w:val="style0"/>
        <w:rPr/>
      </w:pPr>
      <w:r>
        <w:t>It is recommended t</w:t>
      </w:r>
      <w:r>
        <w:t>hat</w:t>
      </w:r>
      <w:r>
        <w:t xml:space="preserve"> NexSpace Health Systems </w:t>
      </w:r>
      <w:r>
        <w:t>introduce</w:t>
      </w:r>
      <w:r>
        <w:t xml:space="preserve"> an “Innovative High-involvement Agile Working” framework as per the below</w:t>
      </w:r>
      <w:r>
        <w:t>-</w:t>
      </w:r>
      <w:r>
        <w:t>mentioned five interconnected activities-</w:t>
      </w:r>
    </w:p>
    <w:tbl>
      <w:tblPr>
        <w:tblStyle w:val="style154"/>
        <w:tblW w:w="0" w:type="auto"/>
        <w:tblLook w:val="04A0" w:firstRow="1" w:lastRow="0" w:firstColumn="1" w:lastColumn="0" w:noHBand="0" w:noVBand="1"/>
      </w:tblPr>
      <w:tblGrid>
        <w:gridCol w:w="2515"/>
        <w:gridCol w:w="3150"/>
        <w:gridCol w:w="3685"/>
      </w:tblGrid>
      <w:tr w14:paraId="65E4D30A">
        <w:trPr/>
        <w:tc>
          <w:tcPr>
            <w:tcW w:w="2515" w:type="dxa"/>
            <w:tcBorders/>
            <w:shd w:val="clear" w:color="auto" w:fill="fff2cc"/>
          </w:tcPr>
          <w:p w14:paraId="31300217">
            <w:pPr>
              <w:pStyle w:val="style0"/>
              <w:jc w:val="center"/>
              <w:rPr>
                <w:b/>
                <w:bCs/>
              </w:rPr>
            </w:pPr>
            <w:r>
              <w:rPr>
                <w:b/>
                <w:bCs/>
              </w:rPr>
              <w:t>Working Practices</w:t>
            </w:r>
          </w:p>
        </w:tc>
        <w:tc>
          <w:tcPr>
            <w:tcW w:w="3150" w:type="dxa"/>
            <w:tcBorders/>
            <w:shd w:val="clear" w:color="auto" w:fill="fff2cc"/>
          </w:tcPr>
          <w:p w14:paraId="19CCEFA5">
            <w:pPr>
              <w:pStyle w:val="style0"/>
              <w:jc w:val="center"/>
              <w:rPr>
                <w:b/>
                <w:bCs/>
              </w:rPr>
            </w:pPr>
            <w:r>
              <w:rPr>
                <w:b/>
                <w:bCs/>
              </w:rPr>
              <w:t>Recommended Approach at NHSX</w:t>
            </w:r>
          </w:p>
        </w:tc>
        <w:tc>
          <w:tcPr>
            <w:tcW w:w="3685" w:type="dxa"/>
            <w:tcBorders/>
            <w:shd w:val="clear" w:color="auto" w:fill="fff2cc"/>
          </w:tcPr>
          <w:p w14:paraId="661244C3">
            <w:pPr>
              <w:pStyle w:val="style0"/>
              <w:jc w:val="center"/>
              <w:rPr>
                <w:b/>
                <w:bCs/>
              </w:rPr>
            </w:pPr>
            <w:r>
              <w:rPr>
                <w:b/>
                <w:bCs/>
              </w:rPr>
              <w:t>Expected Organizational Advantage</w:t>
            </w:r>
          </w:p>
        </w:tc>
      </w:tr>
      <w:tr w14:paraId="1E7554B7">
        <w:tblPrEx/>
        <w:trPr/>
        <w:tc>
          <w:tcPr>
            <w:tcW w:w="2515" w:type="dxa"/>
            <w:tcBorders/>
          </w:tcPr>
          <w:p w14:paraId="16811D8C">
            <w:pPr>
              <w:pStyle w:val="style0"/>
              <w:rPr/>
            </w:pPr>
            <w:r>
              <w:t>Cross-functional collaboration</w:t>
            </w:r>
          </w:p>
        </w:tc>
        <w:tc>
          <w:tcPr>
            <w:tcW w:w="3150" w:type="dxa"/>
            <w:tcBorders/>
          </w:tcPr>
          <w:p w14:paraId="72574173">
            <w:pPr>
              <w:pStyle w:val="style0"/>
              <w:rPr/>
            </w:pPr>
            <w:r>
              <w:t xml:space="preserve">Creation of </w:t>
            </w:r>
            <w:r>
              <w:t xml:space="preserve">a </w:t>
            </w:r>
            <w:r>
              <w:t>multidisciplinary innovation team involving clinical data, technology, commercial employees</w:t>
            </w:r>
            <w:r>
              <w:t>,</w:t>
            </w:r>
            <w:r>
              <w:t xml:space="preserve"> and consumer</w:t>
            </w:r>
            <w:r>
              <w:t>s</w:t>
            </w:r>
            <w:r>
              <w:t xml:space="preserve">. </w:t>
            </w:r>
          </w:p>
        </w:tc>
        <w:tc>
          <w:tcPr>
            <w:tcW w:w="3685" w:type="dxa"/>
            <w:tcBorders/>
          </w:tcPr>
          <w:p w14:paraId="1876BE75">
            <w:pPr>
              <w:pStyle w:val="style0"/>
              <w:rPr/>
            </w:pPr>
            <w:r>
              <w:t>Greater divers</w:t>
            </w:r>
            <w:r>
              <w:t>ity of</w:t>
            </w:r>
            <w:r>
              <w:t xml:space="preserve"> ideas and competitive product decisions</w:t>
            </w:r>
            <w:r>
              <w:t xml:space="preserve"> </w:t>
            </w:r>
            <w:r>
              <w:t>(</w:t>
            </w:r>
            <w:r>
              <w:t>Tsekleves</w:t>
            </w:r>
            <w:r>
              <w:t xml:space="preserve"> and Cooper, 2017)</w:t>
            </w:r>
            <w:r>
              <w:t xml:space="preserve">. </w:t>
            </w:r>
          </w:p>
        </w:tc>
      </w:tr>
      <w:tr w14:paraId="698D7BDD">
        <w:tblPrEx/>
        <w:trPr/>
        <w:tc>
          <w:tcPr>
            <w:tcW w:w="2515" w:type="dxa"/>
            <w:tcBorders/>
          </w:tcPr>
          <w:p w14:paraId="163FAB87">
            <w:pPr>
              <w:pStyle w:val="style0"/>
              <w:rPr/>
            </w:pPr>
            <w:r>
              <w:t>Flexible and Hybrid Working</w:t>
            </w:r>
          </w:p>
        </w:tc>
        <w:tc>
          <w:tcPr>
            <w:tcW w:w="3150" w:type="dxa"/>
            <w:tcBorders/>
          </w:tcPr>
          <w:p w14:paraId="23A4129E">
            <w:pPr>
              <w:pStyle w:val="style0"/>
              <w:rPr/>
            </w:pPr>
            <w:r>
              <w:t>Allow staff</w:t>
            </w:r>
            <w:r>
              <w:t xml:space="preserve"> to work remotely</w:t>
            </w:r>
            <w:r>
              <w:t xml:space="preserve"> for individual tasks along with using structured </w:t>
            </w:r>
            <w:r>
              <w:t xml:space="preserve">collaboration days for team practices. </w:t>
            </w:r>
          </w:p>
        </w:tc>
        <w:tc>
          <w:tcPr>
            <w:tcW w:w="3685" w:type="dxa"/>
            <w:tcBorders/>
          </w:tcPr>
          <w:p w14:paraId="686AF031">
            <w:pPr>
              <w:pStyle w:val="style0"/>
              <w:rPr/>
            </w:pPr>
            <w:r>
              <w:t>Higher engagement, flexibility</w:t>
            </w:r>
            <w:r>
              <w:t>,</w:t>
            </w:r>
            <w:r>
              <w:t xml:space="preserve"> as well as talent retention. </w:t>
            </w:r>
          </w:p>
        </w:tc>
      </w:tr>
      <w:tr w14:paraId="2573549C">
        <w:tblPrEx/>
        <w:trPr/>
        <w:tc>
          <w:tcPr>
            <w:tcW w:w="2515" w:type="dxa"/>
            <w:tcBorders/>
          </w:tcPr>
          <w:p w14:paraId="73D5B4FC">
            <w:pPr>
              <w:pStyle w:val="style0"/>
              <w:rPr/>
            </w:pPr>
            <w:r>
              <w:t>Employee Autonomy</w:t>
            </w:r>
          </w:p>
        </w:tc>
        <w:tc>
          <w:tcPr>
            <w:tcW w:w="3150" w:type="dxa"/>
            <w:tcBorders/>
          </w:tcPr>
          <w:p w14:paraId="688D105F">
            <w:pPr>
              <w:pStyle w:val="style0"/>
              <w:rPr/>
            </w:pPr>
            <w:r>
              <w:t xml:space="preserve">Provide teams authority over daily decisions within precise compliance and risk boundaries. </w:t>
            </w:r>
          </w:p>
        </w:tc>
        <w:tc>
          <w:tcPr>
            <w:tcW w:w="3685" w:type="dxa"/>
            <w:tcBorders/>
          </w:tcPr>
          <w:p w14:paraId="06B9EADA">
            <w:pPr>
              <w:pStyle w:val="style0"/>
              <w:rPr/>
            </w:pPr>
            <w:r>
              <w:t xml:space="preserve">Fast decision-making and stronger ownership </w:t>
            </w:r>
          </w:p>
        </w:tc>
      </w:tr>
      <w:tr w14:paraId="7FC3FCB5">
        <w:tblPrEx/>
        <w:trPr/>
        <w:tc>
          <w:tcPr>
            <w:tcW w:w="2515" w:type="dxa"/>
            <w:tcBorders/>
          </w:tcPr>
          <w:p w14:paraId="5481ACFA">
            <w:pPr>
              <w:pStyle w:val="style0"/>
              <w:rPr/>
            </w:pPr>
            <w:r>
              <w:t>Agile Project Teams</w:t>
            </w:r>
          </w:p>
        </w:tc>
        <w:tc>
          <w:tcPr>
            <w:tcW w:w="3150" w:type="dxa"/>
            <w:tcBorders/>
          </w:tcPr>
          <w:p w14:paraId="0DD5D787">
            <w:pPr>
              <w:pStyle w:val="style0"/>
              <w:rPr/>
            </w:pPr>
            <w:r>
              <w:t>Establishment of small teams around consumer problems, products</w:t>
            </w:r>
            <w:r>
              <w:t>,</w:t>
            </w:r>
            <w:r>
              <w:t xml:space="preserve"> as well as innovation projects.</w:t>
            </w:r>
          </w:p>
        </w:tc>
        <w:tc>
          <w:tcPr>
            <w:tcW w:w="3685" w:type="dxa"/>
            <w:tcBorders/>
          </w:tcPr>
          <w:p w14:paraId="5FBA0E50">
            <w:pPr>
              <w:pStyle w:val="style0"/>
              <w:rPr/>
            </w:pPr>
            <w:r>
              <w:t>Shorter development cycles and faster experimentation</w:t>
            </w:r>
          </w:p>
        </w:tc>
      </w:tr>
      <w:tr w14:paraId="60D19509">
        <w:tblPrEx/>
        <w:trPr/>
        <w:tc>
          <w:tcPr>
            <w:tcW w:w="2515" w:type="dxa"/>
            <w:tcBorders/>
          </w:tcPr>
          <w:p w14:paraId="1CC2B04E">
            <w:pPr>
              <w:pStyle w:val="style0"/>
              <w:rPr/>
            </w:pPr>
            <w:r>
              <w:t>Digital Collaboration</w:t>
            </w:r>
          </w:p>
        </w:tc>
        <w:tc>
          <w:tcPr>
            <w:tcW w:w="3150" w:type="dxa"/>
            <w:tcBorders/>
          </w:tcPr>
          <w:p w14:paraId="73F2603F">
            <w:pPr>
              <w:pStyle w:val="style0"/>
              <w:rPr/>
            </w:pPr>
            <w:r>
              <w:t>Use of integrated platforms for project management, virtual workshops, knowledge sharing</w:t>
            </w:r>
            <w:r>
              <w:t>,</w:t>
            </w:r>
            <w:r>
              <w:t xml:space="preserve"> and communication. </w:t>
            </w:r>
          </w:p>
        </w:tc>
        <w:tc>
          <w:tcPr>
            <w:tcW w:w="3685" w:type="dxa"/>
            <w:tcBorders/>
          </w:tcPr>
          <w:p w14:paraId="34634EC4">
            <w:pPr>
              <w:pStyle w:val="style0"/>
              <w:rPr/>
            </w:pPr>
            <w:r>
              <w:t xml:space="preserve">Better knowledge retention and global coordination. </w:t>
            </w:r>
          </w:p>
        </w:tc>
      </w:tr>
    </w:tbl>
    <w:p w14:paraId="634F6052">
      <w:pPr>
        <w:pStyle w:val="style0"/>
        <w:rPr/>
      </w:pPr>
    </w:p>
    <w:p w14:paraId="772F12C3">
      <w:pPr>
        <w:pStyle w:val="style0"/>
        <w:rPr/>
      </w:pPr>
      <w:r>
        <w:t>The designed work system should be directly linked to employee development</w:t>
      </w:r>
      <w:r>
        <w:t>,</w:t>
      </w:r>
      <w:r>
        <w:t xml:space="preserve"> and this should be done along with ensuring </w:t>
      </w:r>
      <w:r>
        <w:t xml:space="preserve">the </w:t>
      </w:r>
      <w:r>
        <w:t>introduction of “</w:t>
      </w:r>
      <w:r>
        <w:rPr>
          <w:b/>
          <w:bCs/>
          <w:i/>
          <w:iCs/>
        </w:rPr>
        <w:t>individual development plans, mentoring, technical learning pathways, internal mobility and innovation-based career progression</w:t>
      </w:r>
      <w:r>
        <w:t xml:space="preserve">”.  High-performing staff should be </w:t>
      </w:r>
      <w:r>
        <w:t>able to progress efficiently</w:t>
      </w:r>
      <w:r>
        <w:t xml:space="preserve"> through the </w:t>
      </w:r>
      <w:r>
        <w:t>technical</w:t>
      </w:r>
      <w:r>
        <w:t xml:space="preserve"> and managerial career routes</w:t>
      </w:r>
      <w:r>
        <w:t>,</w:t>
      </w:r>
      <w:r>
        <w:t xml:space="preserve"> and this is very important</w:t>
      </w:r>
      <w:r>
        <w:t>,</w:t>
      </w:r>
      <w:r>
        <w:t xml:space="preserve"> as stagnation in career is potentially contributing to employee turnover</w:t>
      </w:r>
      <w:r>
        <w:t xml:space="preserve"> </w:t>
      </w:r>
      <w:r>
        <w:t>(</w:t>
      </w:r>
      <w:r>
        <w:t>Frislia</w:t>
      </w:r>
      <w:r>
        <w:t xml:space="preserve"> and </w:t>
      </w:r>
      <w:r>
        <w:t>Handoyo</w:t>
      </w:r>
      <w:r>
        <w:t>, 2020)</w:t>
      </w:r>
      <w:r>
        <w:t xml:space="preserve">. </w:t>
      </w:r>
      <w:r>
        <w:t xml:space="preserve">Hence, managers should be trained </w:t>
      </w:r>
      <w:r>
        <w:t>in</w:t>
      </w:r>
      <w:r>
        <w:t xml:space="preserve"> the management of hybrid teams, offering developmental type of feedback and monitoring workload in place of only measuring </w:t>
      </w:r>
      <w:r>
        <w:t>employee visibility</w:t>
      </w:r>
      <w:r>
        <w:t>. In other words, performance assessment should involve the combination of individual contribution with innovation, outcomes, knowledge sharing</w:t>
      </w:r>
      <w:r>
        <w:t>,</w:t>
      </w:r>
      <w:r>
        <w:t xml:space="preserve"> as well as </w:t>
      </w:r>
      <w:r>
        <w:t>team learning</w:t>
      </w:r>
      <w:r>
        <w:t>. In other words, the proposed framework should focus on the creation of the below</w:t>
      </w:r>
      <w:r>
        <w:t>-</w:t>
      </w:r>
      <w:r>
        <w:t>mentioned reinforcing cycle-</w:t>
      </w:r>
    </w:p>
    <w:p w14:paraId="63EFAF09">
      <w:pPr>
        <w:pStyle w:val="style0"/>
        <w:jc w:val="center"/>
        <w:rPr>
          <w:b/>
          <w:bCs/>
          <w:i/>
          <w:iCs/>
        </w:rPr>
      </w:pPr>
      <w:r>
        <w:rPr>
          <w:b/>
          <w:bCs/>
          <w:i/>
          <w:iCs/>
        </w:rPr>
        <w:t>Employee autonomy → collaboration → experimentation → learning → innovation → improved performance → employee growth and retention</w:t>
      </w:r>
    </w:p>
    <w:p w14:paraId="7D1AD132">
      <w:pPr>
        <w:pStyle w:val="style0"/>
        <w:rPr/>
      </w:pPr>
      <w:r>
        <w:t xml:space="preserve">In short, NHSX should shift towards </w:t>
      </w:r>
      <w:r>
        <w:t xml:space="preserve">an </w:t>
      </w:r>
      <w:r>
        <w:t>“</w:t>
      </w:r>
      <w:r>
        <w:rPr>
          <w:b/>
          <w:bCs/>
          <w:i/>
          <w:iCs/>
        </w:rPr>
        <w:t>agile, high-involvement</w:t>
      </w:r>
      <w:r>
        <w:rPr>
          <w:b/>
          <w:bCs/>
          <w:i/>
          <w:iCs/>
        </w:rPr>
        <w:t>,</w:t>
      </w:r>
      <w:r>
        <w:rPr>
          <w:b/>
          <w:bCs/>
          <w:i/>
          <w:iCs/>
        </w:rPr>
        <w:t xml:space="preserve"> and digitally enabled working system</w:t>
      </w:r>
      <w:r>
        <w:t xml:space="preserve">” from </w:t>
      </w:r>
      <w:r>
        <w:t xml:space="preserve">a </w:t>
      </w:r>
      <w:r>
        <w:t xml:space="preserve">functional and hierarchical work model for ensuring </w:t>
      </w:r>
      <w:r>
        <w:t>greater</w:t>
      </w:r>
      <w:r>
        <w:t xml:space="preserve"> productivity in diversified aspects. </w:t>
      </w:r>
    </w:p>
    <w:bookmarkStart w:id="4" w:name="_Toc242555084"/>
    <w:p w14:paraId="08D85EB5">
      <w:pPr>
        <w:pStyle w:val="style1"/>
        <w:rPr/>
      </w:pPr>
      <w:r>
        <w:t>Task B: Breeding an Environment Where Talent May Grow</w:t>
      </w:r>
      <w:bookmarkEnd w:id="4"/>
    </w:p>
    <w:bookmarkStart w:id="5" w:name="_Toc242555085"/>
    <w:p w14:paraId="6FB5FCD3">
      <w:pPr>
        <w:pStyle w:val="style2"/>
        <w:rPr/>
      </w:pPr>
      <w:r>
        <w:t>Critical Evaluation of</w:t>
      </w:r>
      <w:r>
        <w:t xml:space="preserve"> Environment Creation by Organis</w:t>
      </w:r>
      <w:r>
        <w:t>ations</w:t>
      </w:r>
      <w:bookmarkEnd w:id="5"/>
    </w:p>
    <w:p w14:paraId="33B117E6">
      <w:pPr>
        <w:pStyle w:val="style0"/>
        <w:rPr/>
      </w:pPr>
      <w:r>
        <w:t>Organisations which creating the environments where the talent which flourishes with the help of incorporating the continuous learning, employee autonomy, psychological safety, meaningful work</w:t>
      </w:r>
      <w:r>
        <w:t>,</w:t>
      </w:r>
      <w:r>
        <w:t xml:space="preserve"> and equitable career development within the everyday practices of management. In </w:t>
      </w:r>
      <w:r>
        <w:t xml:space="preserve">the </w:t>
      </w:r>
      <w:r>
        <w:t xml:space="preserve">case of “NexSpace Health Systems (NHSX)”, that employing approx. 600 people all across countries like </w:t>
      </w:r>
      <w:r>
        <w:t xml:space="preserve">the </w:t>
      </w:r>
      <w:r>
        <w:t>United Kingdom, India</w:t>
      </w:r>
      <w:r>
        <w:t>,</w:t>
      </w:r>
      <w:r>
        <w:t xml:space="preserve"> and the United Arab Emirates, talent management </w:t>
      </w:r>
      <w:r>
        <w:t>is</w:t>
      </w:r>
      <w:r>
        <w:t xml:space="preserve"> important in the strategic order due to healthcare innovation enabled by AI</w:t>
      </w:r>
      <w:r>
        <w:t>,</w:t>
      </w:r>
      <w:r>
        <w:t xml:space="preserve"> depending on the technical expertise, </w:t>
      </w:r>
      <w:r>
        <w:t>creativity</w:t>
      </w:r>
      <w:r>
        <w:t>,</w:t>
      </w:r>
      <w:r>
        <w:t xml:space="preserve"> and ability to collaborate across professional and geographical boundaries of the employee.</w:t>
      </w:r>
      <w:r>
        <w:t xml:space="preserve"> </w:t>
      </w:r>
    </w:p>
    <w:p w14:paraId="7D66FB39">
      <w:pPr>
        <w:pStyle w:val="style0"/>
        <w:rPr/>
      </w:pPr>
      <w:r>
        <w:t xml:space="preserve">According to </w:t>
      </w:r>
      <w:r>
        <w:t>Muzam</w:t>
      </w:r>
      <w:r>
        <w:t xml:space="preserve"> et al. (2023)</w:t>
      </w:r>
      <w:r>
        <w:t xml:space="preserve">, </w:t>
      </w:r>
      <w:r>
        <w:rPr>
          <w:b/>
        </w:rPr>
        <w:t>“Learning Organisation Theory”</w:t>
      </w:r>
      <w:r>
        <w:t xml:space="preserve"> provides attention </w:t>
      </w:r>
      <w:r>
        <w:t>to systems</w:t>
      </w:r>
      <w:r>
        <w:t xml:space="preserve"> thinking, shared vision, </w:t>
      </w:r>
      <w:r>
        <w:t>t</w:t>
      </w:r>
      <w:r>
        <w:t>eam learning, mental models</w:t>
      </w:r>
      <w:r>
        <w:t>,</w:t>
      </w:r>
      <w:r>
        <w:t xml:space="preserve"> and personal mastery.</w:t>
      </w:r>
      <w:r>
        <w:t xml:space="preserve"> </w:t>
      </w:r>
      <w:r>
        <w:t>Here, the principle of contribution is about organisational learning that generally extend</w:t>
      </w:r>
      <w:r>
        <w:t>s</w:t>
      </w:r>
      <w:r>
        <w:t xml:space="preserve"> beyond </w:t>
      </w:r>
      <w:r>
        <w:t xml:space="preserve">individual training in order to </w:t>
      </w:r>
      <w:r>
        <w:t xml:space="preserve">the </w:t>
      </w:r>
      <w:r>
        <w:t xml:space="preserve">collective creation of knowledge and even continuous adaptation. </w:t>
      </w:r>
      <w:r>
        <w:t xml:space="preserve">NHSX </w:t>
      </w:r>
      <w:r>
        <w:t>is</w:t>
      </w:r>
      <w:r>
        <w:t xml:space="preserve"> implementing this type of approach with the help of cross-functional learning communities which involv</w:t>
      </w:r>
      <w:r>
        <w:t>e</w:t>
      </w:r>
      <w:r>
        <w:t xml:space="preserve"> different software engineers, clinical specialists, data scientists and commercial employees</w:t>
      </w:r>
      <w:r>
        <w:t xml:space="preserve"> (Kezar et al., 2024)</w:t>
      </w:r>
      <w:r>
        <w:t xml:space="preserve">. </w:t>
      </w:r>
      <w:r>
        <w:t xml:space="preserve">However, the initiatives of learning will have </w:t>
      </w:r>
      <w:r>
        <w:t>a</w:t>
      </w:r>
      <w:r>
        <w:t xml:space="preserve"> limited level of impact when hierarchical approval processes prevent employees from implementing </w:t>
      </w:r>
      <w:r>
        <w:t>newly acquired knowledge</w:t>
      </w:r>
      <w:r>
        <w:t xml:space="preserve">. </w:t>
      </w:r>
    </w:p>
    <w:p w14:paraId="72C0BA5B">
      <w:pPr>
        <w:pStyle w:val="style0"/>
        <w:rPr/>
      </w:pPr>
      <w:r>
        <w:t xml:space="preserve">According to </w:t>
      </w:r>
      <w:r>
        <w:t>Edmondson and Bransby (2023)</w:t>
      </w:r>
      <w:r>
        <w:t xml:space="preserve">, </w:t>
      </w:r>
      <w:r>
        <w:rPr>
          <w:b/>
        </w:rPr>
        <w:t>“Psychological Safety theory”</w:t>
      </w:r>
      <w:r>
        <w:t xml:space="preserve"> provides </w:t>
      </w:r>
      <w:r>
        <w:t>an</w:t>
      </w:r>
      <w:r>
        <w:t xml:space="preserve"> explanation </w:t>
      </w:r>
      <w:r>
        <w:t>of</w:t>
      </w:r>
      <w:r>
        <w:t xml:space="preserve"> the ways perceptions of employee</w:t>
      </w:r>
      <w:r>
        <w:t>s</w:t>
      </w:r>
      <w:r>
        <w:t xml:space="preserve"> related to interpersonal safety </w:t>
      </w:r>
      <w:r>
        <w:t>affect</w:t>
      </w:r>
      <w:r>
        <w:t xml:space="preserve"> their willingness in order to ask questions, disclose mistakes</w:t>
      </w:r>
      <w:r>
        <w:t>,</w:t>
      </w:r>
      <w:r>
        <w:t xml:space="preserve"> and even c</w:t>
      </w:r>
      <w:r>
        <w:t>hallenge different existing practices. Here, “psychological</w:t>
      </w:r>
      <w:r>
        <w:t xml:space="preserve"> safety”</w:t>
      </w:r>
      <w:r>
        <w:t xml:space="preserve"> is especially important within the technology of healthcare where employees need to communicate concerns about the outputs from AI, cybersecurity, defects of software</w:t>
      </w:r>
      <w:r>
        <w:t>,</w:t>
      </w:r>
      <w:r>
        <w:t xml:space="preserve"> and possible implications related to </w:t>
      </w:r>
      <w:r>
        <w:t xml:space="preserve">patient </w:t>
      </w:r>
      <w:r>
        <w:t>safety</w:t>
      </w:r>
      <w:r>
        <w:t xml:space="preserve"> </w:t>
      </w:r>
      <w:r>
        <w:t>(</w:t>
      </w:r>
      <w:r>
        <w:t>Vöcking</w:t>
      </w:r>
      <w:r>
        <w:t xml:space="preserve"> et al., 2024)</w:t>
      </w:r>
      <w:r>
        <w:t>. NHSX need</w:t>
      </w:r>
      <w:r>
        <w:t>s</w:t>
      </w:r>
      <w:r>
        <w:t xml:space="preserve"> to create sessions related to </w:t>
      </w:r>
      <w:r>
        <w:t>constructive feedback, confidential reporting channels</w:t>
      </w:r>
      <w:r>
        <w:t>,</w:t>
      </w:r>
      <w:r>
        <w:t xml:space="preserve"> as well as project reviews that provide attention </w:t>
      </w:r>
      <w:r>
        <w:t>to</w:t>
      </w:r>
      <w:r>
        <w:t xml:space="preserve"> learning. However, psychological safety does not mean properly removing accountability. </w:t>
      </w:r>
    </w:p>
    <w:p w14:paraId="66BA309D">
      <w:pPr>
        <w:pStyle w:val="style0"/>
        <w:rPr/>
      </w:pPr>
      <w:r>
        <w:rPr>
          <w:b/>
        </w:rPr>
        <w:t>“</w:t>
      </w:r>
      <w:r>
        <w:rPr>
          <w:b/>
        </w:rPr>
        <w:t>Self-Determination Theory</w:t>
      </w:r>
      <w:r>
        <w:rPr>
          <w:b/>
        </w:rPr>
        <w:t>,</w:t>
      </w:r>
      <w:r>
        <w:rPr>
          <w:b/>
        </w:rPr>
        <w:t>”</w:t>
      </w:r>
      <w:r>
        <w:t xml:space="preserve"> which address</w:t>
      </w:r>
      <w:r>
        <w:t>es</w:t>
      </w:r>
      <w:r>
        <w:t xml:space="preserve"> autonomy, competence</w:t>
      </w:r>
      <w:r>
        <w:t>,</w:t>
      </w:r>
      <w:r>
        <w:t xml:space="preserve"> as well as relatedness</w:t>
      </w:r>
      <w:r>
        <w:t>, becomes</w:t>
      </w:r>
      <w:r>
        <w:t xml:space="preserve"> the fundamental needs of psychological aspects that support motivation</w:t>
      </w:r>
      <w:r>
        <w:t xml:space="preserve"> (McAnally and Hagger, 2024)</w:t>
      </w:r>
      <w:r>
        <w:t xml:space="preserve">. NHSX </w:t>
      </w:r>
      <w:r>
        <w:t>suggests</w:t>
      </w:r>
      <w:r>
        <w:t xml:space="preserve"> increasing the strength of autonomy </w:t>
      </w:r>
      <w:r>
        <w:t>by</w:t>
      </w:r>
      <w:r>
        <w:t xml:space="preserve"> allowing employees to affect the work methods, competence with the help of structured development</w:t>
      </w:r>
      <w:r>
        <w:t>,</w:t>
      </w:r>
      <w:r>
        <w:t xml:space="preserve"> and relatedness with the help of inclusive collaboration within the international aspects. However, </w:t>
      </w:r>
      <w:r>
        <w:t>an</w:t>
      </w:r>
      <w:r>
        <w:t xml:space="preserve"> excessive level of </w:t>
      </w:r>
      <w:r>
        <w:t>autonomy, without clear objectives</w:t>
      </w:r>
      <w:r>
        <w:t>,</w:t>
      </w:r>
      <w:r>
        <w:t xml:space="preserve"> might </w:t>
      </w:r>
      <w:r>
        <w:t>creat</w:t>
      </w:r>
      <w:r>
        <w:t>e inconsistent decisions, duplicate effort</w:t>
      </w:r>
      <w:r>
        <w:t>,</w:t>
      </w:r>
      <w:r>
        <w:t xml:space="preserve"> and risk</w:t>
      </w:r>
      <w:r>
        <w:t>s</w:t>
      </w:r>
      <w:r>
        <w:t xml:space="preserve"> related to the regulatory aspects.</w:t>
      </w:r>
      <w:r>
        <w:t xml:space="preserve"> The appropriate approach, which is bounded autonomy</w:t>
      </w:r>
      <w:r>
        <w:t>,</w:t>
      </w:r>
      <w:r>
        <w:t xml:space="preserve"> such as employees mak</w:t>
      </w:r>
      <w:r>
        <w:t>ing</w:t>
      </w:r>
      <w:r>
        <w:t xml:space="preserve"> decisions within the defined limits of clinical, ethical, cybersecurity</w:t>
      </w:r>
      <w:r>
        <w:t>,</w:t>
      </w:r>
      <w:r>
        <w:t xml:space="preserve"> and financial</w:t>
      </w:r>
      <w:r>
        <w:t xml:space="preserve"> constraints</w:t>
      </w:r>
      <w:r>
        <w:t xml:space="preserve">. </w:t>
      </w:r>
      <w:r>
        <w:t xml:space="preserve"> </w:t>
      </w:r>
      <w:r>
        <w:t xml:space="preserve"> </w:t>
      </w:r>
      <w:r>
        <w:t xml:space="preserve"> </w:t>
      </w:r>
    </w:p>
    <w:p w14:paraId="0FE7E51C">
      <w:pPr>
        <w:pStyle w:val="style0"/>
        <w:rPr/>
      </w:pPr>
      <w:r>
        <w:t xml:space="preserve">According to </w:t>
      </w:r>
      <w:r>
        <w:t>Holman et al. (2023)</w:t>
      </w:r>
      <w:r>
        <w:t xml:space="preserve">, </w:t>
      </w:r>
      <w:r>
        <w:rPr>
          <w:b/>
        </w:rPr>
        <w:t>“Job Crafting Theory”</w:t>
      </w:r>
      <w:r>
        <w:t xml:space="preserve"> which providing the suggestion </w:t>
      </w:r>
      <w:r>
        <w:t>tha</w:t>
      </w:r>
      <w:r>
        <w:t>t employees reshape the aspects of their specific tasks, relationships</w:t>
      </w:r>
      <w:r>
        <w:t>,</w:t>
      </w:r>
      <w:r>
        <w:t xml:space="preserve"> and perceptions of work </w:t>
      </w:r>
      <w:r>
        <w:t>in order to improv</w:t>
      </w:r>
      <w:r>
        <w:t>e</w:t>
      </w:r>
      <w:r>
        <w:t xml:space="preserve"> the alignment between the job and person. </w:t>
      </w:r>
      <w:r>
        <w:t>NHSX</w:t>
      </w:r>
      <w:r>
        <w:t>,</w:t>
      </w:r>
      <w:r>
        <w:t xml:space="preserve"> which allow</w:t>
      </w:r>
      <w:r>
        <w:t>s</w:t>
      </w:r>
      <w:r>
        <w:t xml:space="preserve"> employees to undertak</w:t>
      </w:r>
      <w:r>
        <w:t>e</w:t>
      </w:r>
      <w:r>
        <w:t xml:space="preserve"> different kind</w:t>
      </w:r>
      <w:r>
        <w:t>s</w:t>
      </w:r>
      <w:r>
        <w:t xml:space="preserve"> of innovation projects, expertise of exchange and contributing towards assignments that</w:t>
      </w:r>
      <w:r>
        <w:t xml:space="preserve"> align with their strengths. </w:t>
      </w:r>
      <w:r>
        <w:t xml:space="preserve">On the other hand, unrestricted job </w:t>
      </w:r>
      <w:r>
        <w:t>constructi</w:t>
      </w:r>
      <w:r>
        <w:t>on</w:t>
      </w:r>
      <w:r>
        <w:t xml:space="preserve"> might </w:t>
      </w:r>
      <w:r>
        <w:t>increas</w:t>
      </w:r>
      <w:r>
        <w:t>e inequality within the workload and leave important responsibilities in the uncover condition</w:t>
      </w:r>
      <w:r>
        <w:t xml:space="preserve"> (Fauzi, 2023)</w:t>
      </w:r>
      <w:r>
        <w:t xml:space="preserve">. </w:t>
      </w:r>
      <w:r>
        <w:t xml:space="preserve">Therefore, approval from </w:t>
      </w:r>
      <w:r>
        <w:t xml:space="preserve">the </w:t>
      </w:r>
      <w:r>
        <w:t>manager, reviewing workloads</w:t>
      </w:r>
      <w:r>
        <w:t>,</w:t>
      </w:r>
      <w:r>
        <w:t xml:space="preserve"> and transparent access to opportunities for development </w:t>
      </w:r>
      <w:r>
        <w:t>are</w:t>
      </w:r>
      <w:r>
        <w:t xml:space="preserve"> important. </w:t>
      </w:r>
      <w:bookmarkStart w:id="6" w:name="_GoBack"/>
      <w:bookmarkEnd w:id="6"/>
    </w:p>
    <w:bookmarkStart w:id="7" w:name="_Toc242555086"/>
    <w:p w14:paraId="4E4D1021">
      <w:pPr>
        <w:pStyle w:val="style2"/>
        <w:rPr/>
      </w:pPr>
      <w:r>
        <w:t>Development of Comprehensive Talent Growth Strategy</w:t>
      </w:r>
      <w:bookmarkEnd w:id="7"/>
    </w:p>
    <w:p w14:paraId="7D709B39">
      <w:pPr>
        <w:pStyle w:val="style0"/>
        <w:rPr/>
      </w:pPr>
      <w:r>
        <w:t>NHSX need</w:t>
      </w:r>
      <w:r>
        <w:t>s</w:t>
      </w:r>
      <w:r>
        <w:t xml:space="preserve"> to implement the integrated “Talent Growth Ecosystem (TGE)” that connect</w:t>
      </w:r>
      <w:r>
        <w:t>s</w:t>
      </w:r>
      <w:r>
        <w:t xml:space="preserve"> the development of employee</w:t>
      </w:r>
      <w:r>
        <w:t>s</w:t>
      </w:r>
      <w:r>
        <w:t>, innovation, progression within career</w:t>
      </w:r>
      <w:r>
        <w:t>s</w:t>
      </w:r>
      <w:r>
        <w:t>, wellbeing</w:t>
      </w:r>
      <w:r>
        <w:t>,</w:t>
      </w:r>
      <w:r>
        <w:t xml:space="preserve"> as well as </w:t>
      </w:r>
      <w:r>
        <w:t xml:space="preserve">the </w:t>
      </w:r>
      <w:r>
        <w:t xml:space="preserve">performance of the organisation. </w:t>
      </w:r>
    </w:p>
    <w:p w14:paraId="63FFE6B8">
      <w:pPr>
        <w:pStyle w:val="style0"/>
        <w:rPr>
          <w:b/>
          <w:u w:val="single"/>
        </w:rPr>
      </w:pPr>
      <w:r>
        <w:rPr>
          <w:b/>
          <w:u w:val="single"/>
        </w:rPr>
        <w:t>Establish continuous learning and capability development</w:t>
      </w:r>
    </w:p>
    <w:p w14:paraId="6B431B59">
      <w:pPr>
        <w:pStyle w:val="style0"/>
        <w:rPr/>
      </w:pPr>
      <w:r>
        <w:t>NHSX need</w:t>
      </w:r>
      <w:r>
        <w:t>s</w:t>
      </w:r>
      <w:r>
        <w:t xml:space="preserve"> to </w:t>
      </w:r>
      <w:r>
        <w:t>introduce</w:t>
      </w:r>
      <w:r>
        <w:t xml:space="preserve"> </w:t>
      </w:r>
      <w:r>
        <w:t>individual development plans</w:t>
      </w:r>
      <w:r>
        <w:t xml:space="preserve"> for all of the employees, review</w:t>
      </w:r>
      <w:r>
        <w:t>ed</w:t>
      </w:r>
      <w:r>
        <w:t xml:space="preserve"> quarterly with the help of line managers. These types of plans need to address the </w:t>
      </w:r>
      <w:r>
        <w:t>capability</w:t>
      </w:r>
      <w:r>
        <w:t xml:space="preserve"> gaps, career aspirations</w:t>
      </w:r>
      <w:r>
        <w:t>,</w:t>
      </w:r>
      <w:r>
        <w:t xml:space="preserve"> and measurable objectives of learning. </w:t>
      </w:r>
      <w:r>
        <w:t xml:space="preserve">On the other hand, a digital learning academy </w:t>
      </w:r>
      <w:r>
        <w:t>is need</w:t>
      </w:r>
      <w:r>
        <w:t xml:space="preserve">ed in order to provide learning pathways in </w:t>
      </w:r>
      <w:r>
        <w:t>AI development</w:t>
      </w:r>
      <w:r>
        <w:t>, data analytics within healthcare, cybersecurity, clinical technology, leadership</w:t>
      </w:r>
      <w:r>
        <w:t>,</w:t>
      </w:r>
      <w:r>
        <w:t xml:space="preserve"> and </w:t>
      </w:r>
      <w:r>
        <w:t xml:space="preserve">cross-cultural </w:t>
      </w:r>
      <w:r>
        <w:t xml:space="preserve">collaboration. </w:t>
      </w:r>
      <w:r>
        <w:t xml:space="preserve">Here, mentoring and reverse mentoring need to enable </w:t>
      </w:r>
      <w:r>
        <w:t xml:space="preserve">experienced </w:t>
      </w:r>
      <w:r>
        <w:t xml:space="preserve">professionals with experience </w:t>
      </w:r>
      <w:r>
        <w:t>to</w:t>
      </w:r>
      <w:r>
        <w:t xml:space="preserve"> share expertise during </w:t>
      </w:r>
      <w:r>
        <w:t xml:space="preserve">a </w:t>
      </w:r>
      <w:r>
        <w:t>period of allowing employees to exchange knowledge about emerging technologies</w:t>
      </w:r>
      <w:r>
        <w:t xml:space="preserve"> (Chaudhuri, Park and Johnson, 2021)</w:t>
      </w:r>
      <w:r>
        <w:t xml:space="preserve">. </w:t>
      </w:r>
    </w:p>
    <w:p w14:paraId="087D24DD">
      <w:pPr>
        <w:pStyle w:val="style0"/>
        <w:rPr>
          <w:b/>
          <w:u w:val="single"/>
        </w:rPr>
      </w:pPr>
      <w:r>
        <w:rPr>
          <w:b/>
          <w:u w:val="single"/>
        </w:rPr>
        <w:t>Build psychological safety and an innovation-oriented culture</w:t>
      </w:r>
    </w:p>
    <w:p w14:paraId="43FBEBC1">
      <w:pPr>
        <w:pStyle w:val="style0"/>
        <w:rPr/>
      </w:pPr>
      <w:r>
        <w:t xml:space="preserve">Managers need to create forums </w:t>
      </w:r>
      <w:r>
        <w:t>for</w:t>
      </w:r>
      <w:r>
        <w:t xml:space="preserve"> monthly innovation, cross-functional workshops to solve </w:t>
      </w:r>
      <w:r>
        <w:t>problems,</w:t>
      </w:r>
      <w:r>
        <w:t xml:space="preserve"> and structur</w:t>
      </w:r>
      <w:r>
        <w:t>ed</w:t>
      </w:r>
      <w:r>
        <w:t xml:space="preserve"> project reviews. </w:t>
      </w:r>
      <w:r>
        <w:t>E</w:t>
      </w:r>
      <w:r>
        <w:t xml:space="preserve">mployees need to be encouraged to suggest improvements, assumptions </w:t>
      </w:r>
      <w:r>
        <w:t>about</w:t>
      </w:r>
      <w:r>
        <w:t xml:space="preserve"> the challenge</w:t>
      </w:r>
      <w:r>
        <w:t>,</w:t>
      </w:r>
      <w:r>
        <w:t xml:space="preserve"> and report technical concerns without fear </w:t>
      </w:r>
      <w:r>
        <w:t>of</w:t>
      </w:r>
      <w:r>
        <w:t xml:space="preserve"> disproportionate criticism. A</w:t>
      </w:r>
      <w:r>
        <w:t>fter</w:t>
      </w:r>
      <w:r>
        <w:t xml:space="preserve"> experiments in the unsuccessful order, teams need to document the lesson</w:t>
      </w:r>
      <w:r>
        <w:t>s</w:t>
      </w:r>
      <w:r>
        <w:t xml:space="preserve"> learned and address the improvements before starting any kind of subsequent development cycles</w:t>
      </w:r>
      <w:r>
        <w:t xml:space="preserve"> (Mishra and Alzoubi, 2023)</w:t>
      </w:r>
      <w:r>
        <w:t xml:space="preserve">. </w:t>
      </w:r>
      <w:r>
        <w:t>This approach provid</w:t>
      </w:r>
      <w:r>
        <w:t>es</w:t>
      </w:r>
      <w:r>
        <w:t xml:space="preserve"> support to the principle of “</w:t>
      </w:r>
      <w:r>
        <w:t>psychological safety</w:t>
      </w:r>
      <w:r>
        <w:t xml:space="preserve">”. </w:t>
      </w:r>
    </w:p>
    <w:p w14:paraId="3290312B">
      <w:pPr>
        <w:pStyle w:val="style0"/>
        <w:rPr>
          <w:b/>
          <w:u w:val="single"/>
        </w:rPr>
      </w:pPr>
      <w:r>
        <w:rPr>
          <w:b/>
          <w:u w:val="single"/>
        </w:rPr>
        <w:t>Create transparent career pathways and internal mobility</w:t>
      </w:r>
    </w:p>
    <w:p w14:paraId="60BB013B">
      <w:pPr>
        <w:pStyle w:val="style0"/>
        <w:rPr/>
      </w:pPr>
      <w:r>
        <w:t>NHSX need</w:t>
      </w:r>
      <w:r>
        <w:t>s</w:t>
      </w:r>
      <w:r>
        <w:t xml:space="preserve"> to </w:t>
      </w:r>
      <w:r>
        <w:t>introduce</w:t>
      </w:r>
      <w:r>
        <w:t xml:space="preserve"> </w:t>
      </w:r>
      <w:r>
        <w:t>dual career pathways</w:t>
      </w:r>
      <w:r>
        <w:t xml:space="preserve"> such as a technical specialist route and managerial leadership route. </w:t>
      </w:r>
      <w:r>
        <w:t xml:space="preserve">On the other hand, employees should be able to progress as specialists </w:t>
      </w:r>
      <w:r>
        <w:t>in</w:t>
      </w:r>
      <w:r>
        <w:t xml:space="preserve"> AI, experts </w:t>
      </w:r>
      <w:r>
        <w:t>in</w:t>
      </w:r>
      <w:r>
        <w:t xml:space="preserve"> clinical technology</w:t>
      </w:r>
      <w:r>
        <w:t>,</w:t>
      </w:r>
      <w:r>
        <w:t xml:space="preserve"> or data scientist</w:t>
      </w:r>
      <w:r>
        <w:t>s</w:t>
      </w:r>
      <w:r>
        <w:t xml:space="preserve"> without </w:t>
      </w:r>
      <w:r>
        <w:t>being required to become managers</w:t>
      </w:r>
      <w:r>
        <w:t xml:space="preserve"> (</w:t>
      </w:r>
      <w:r>
        <w:t>Bienefeld</w:t>
      </w:r>
      <w:r>
        <w:t>, Keller and Grote, 2024)</w:t>
      </w:r>
      <w:r>
        <w:t>. Here, the internal vacancies, criteria for promotion, competency frameworks</w:t>
      </w:r>
      <w:r>
        <w:t>,</w:t>
      </w:r>
      <w:r>
        <w:t xml:space="preserve"> as well as succession opportunities need to </w:t>
      </w:r>
      <w:r>
        <w:t>be communicated</w:t>
      </w:r>
      <w:r>
        <w:t xml:space="preserve"> with transparency. </w:t>
      </w:r>
    </w:p>
    <w:p w14:paraId="012B20A2">
      <w:pPr>
        <w:pStyle w:val="style0"/>
        <w:rPr>
          <w:b/>
          <w:u w:val="single"/>
        </w:rPr>
      </w:pPr>
      <w:r>
        <w:rPr>
          <w:b/>
          <w:u w:val="single"/>
        </w:rPr>
        <w:t>Strengthen autonomy, collaboration and employee experience</w:t>
      </w:r>
    </w:p>
    <w:p w14:paraId="6E8FA56A">
      <w:pPr>
        <w:pStyle w:val="style0"/>
        <w:rPr/>
      </w:pPr>
      <w:r>
        <w:t>NHSX need</w:t>
      </w:r>
      <w:r>
        <w:t>s</w:t>
      </w:r>
      <w:r>
        <w:t xml:space="preserve"> to create multidisciplinary development teams with the authority in order to make the routine decisions of the project within the boundaries that clearly defined</w:t>
      </w:r>
      <w:r>
        <w:t xml:space="preserve"> boundaries</w:t>
      </w:r>
      <w:r>
        <w:t>. The employees need to be encouraged to undertak</w:t>
      </w:r>
      <w:r>
        <w:t>e</w:t>
      </w:r>
      <w:r>
        <w:t xml:space="preserve"> the crafting job with the help of proposing improvements to the tasks, collaboration arrangements</w:t>
      </w:r>
      <w:r>
        <w:t>,</w:t>
      </w:r>
      <w:r>
        <w:t xml:space="preserve"> and responsibilities of the projects, subject to the managerial agreements and requirements </w:t>
      </w:r>
      <w:r>
        <w:t xml:space="preserve">of the operations. </w:t>
      </w:r>
      <w:r>
        <w:t>These types of practices support autonomy, competence</w:t>
      </w:r>
      <w:r>
        <w:t>,</w:t>
      </w:r>
      <w:r>
        <w:t xml:space="preserve"> and relatedness under the principles of “</w:t>
      </w:r>
      <w:r>
        <w:t>Self-Determination Theory</w:t>
      </w:r>
      <w:r>
        <w:t>”.</w:t>
      </w:r>
    </w:p>
    <w:p w14:paraId="17C9C70D">
      <w:pPr>
        <w:pStyle w:val="style0"/>
        <w:rPr>
          <w:b/>
          <w:u w:val="single"/>
        </w:rPr>
      </w:pPr>
      <w:r>
        <w:rPr>
          <w:b/>
          <w:u w:val="single"/>
        </w:rPr>
        <w:t>Integrate wellbeing with sustainable performance</w:t>
      </w:r>
    </w:p>
    <w:p w14:paraId="32E6002F">
      <w:pPr>
        <w:pStyle w:val="style0"/>
        <w:rPr/>
      </w:pPr>
      <w:r>
        <w:t>NHSX need</w:t>
      </w:r>
      <w:r>
        <w:t>s</w:t>
      </w:r>
      <w:r>
        <w:t xml:space="preserve"> to </w:t>
      </w:r>
      <w:r>
        <w:t>incorporate</w:t>
      </w:r>
      <w:r>
        <w:t xml:space="preserve"> workload reviews, flexible arrangements </w:t>
      </w:r>
      <w:r>
        <w:t>for</w:t>
      </w:r>
      <w:r>
        <w:t xml:space="preserve"> working, regular </w:t>
      </w:r>
      <w:r>
        <w:t>discussions of well-being</w:t>
      </w:r>
      <w:r>
        <w:t>,</w:t>
      </w:r>
      <w:r>
        <w:t xml:space="preserve"> and access to </w:t>
      </w:r>
      <w:r>
        <w:t>confidential</w:t>
      </w:r>
      <w:r>
        <w:t xml:space="preserve"> support to the employee within its practices of management. </w:t>
      </w:r>
      <w:r>
        <w:t xml:space="preserve">Managers need to </w:t>
      </w:r>
      <w:r>
        <w:t>assess</w:t>
      </w:r>
      <w:r>
        <w:t xml:space="preserve"> </w:t>
      </w:r>
      <w:r>
        <w:t>performance with the help of the agreed outcomes, contributions toward innovation, collaboration</w:t>
      </w:r>
      <w:r>
        <w:t>,</w:t>
      </w:r>
      <w:r>
        <w:t xml:space="preserve"> and quality instead of </w:t>
      </w:r>
      <w:r>
        <w:t>present</w:t>
      </w:r>
      <w:r>
        <w:t>ee</w:t>
      </w:r>
      <w:r>
        <w:t>ism or availability within the online platform</w:t>
      </w:r>
      <w:r>
        <w:t xml:space="preserve"> </w:t>
      </w:r>
      <w:r>
        <w:t>(</w:t>
      </w:r>
      <w:r>
        <w:t>Salvoni</w:t>
      </w:r>
      <w:r>
        <w:t xml:space="preserve"> et al., 2024)</w:t>
      </w:r>
      <w:r>
        <w:t xml:space="preserve">. Workload dashboards and periodic employee surveys that address the excessive demands and uneven level of distribution related to the responsibilities. </w:t>
      </w:r>
    </w:p>
    <w:p w14:paraId="3CA1E956">
      <w:pPr>
        <w:pStyle w:val="style0"/>
        <w:rPr>
          <w:b/>
          <w:u w:val="single"/>
        </w:rPr>
      </w:pPr>
      <w:r>
        <w:rPr>
          <w:b/>
          <w:u w:val="single"/>
        </w:rPr>
        <w:t>Implementation and performance measurement</w:t>
      </w:r>
    </w:p>
    <w:p w14:paraId="2A814F0D">
      <w:pPr>
        <w:pStyle w:val="style34"/>
        <w:rPr/>
      </w:pPr>
      <w:r>
        <w:t xml:space="preserve">Table </w:t>
      </w:r>
      <w:r>
        <w:rPr/>
        <w:fldChar w:fldCharType="begin"/>
      </w:r>
      <w:r>
        <w:instrText xml:space="preserve"> SEQ Table \* ARABIC </w:instrText>
      </w:r>
      <w:r>
        <w:rPr/>
        <w:fldChar w:fldCharType="separate"/>
      </w:r>
      <w:r>
        <w:rPr>
          <w:noProof/>
        </w:rPr>
        <w:t>1</w:t>
      </w:r>
      <w:r>
        <w:rPr/>
        <w:fldChar w:fldCharType="end"/>
      </w:r>
      <w:r>
        <w:t>: Implementation of Proposed Strategy; Source: Self-Made</w:t>
      </w:r>
    </w:p>
    <w:tbl>
      <w:tblPr>
        <w:tblStyle w:val="style154"/>
        <w:tblW w:w="5000" w:type="pct"/>
        <w:tblLook w:val="04A0" w:firstRow="1" w:lastRow="0" w:firstColumn="1" w:lastColumn="0" w:noHBand="0" w:noVBand="1"/>
      </w:tblPr>
      <w:tblGrid>
        <w:gridCol w:w="1126"/>
        <w:gridCol w:w="4462"/>
        <w:gridCol w:w="3762"/>
      </w:tblGrid>
      <w:tr w14:paraId="5B831AE5">
        <w:trPr/>
        <w:tc>
          <w:tcPr>
            <w:tcW w:w="602" w:type="pct"/>
            <w:tcBorders/>
            <w:hideMark/>
          </w:tcPr>
          <w:p w14:paraId="55591515">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Phase</w:t>
            </w:r>
          </w:p>
        </w:tc>
        <w:tc>
          <w:tcPr>
            <w:tcW w:w="2386" w:type="pct"/>
            <w:tcBorders/>
            <w:hideMark/>
          </w:tcPr>
          <w:p w14:paraId="558AAFAD">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Key activities</w:t>
            </w:r>
          </w:p>
        </w:tc>
        <w:tc>
          <w:tcPr>
            <w:tcW w:w="2012" w:type="pct"/>
            <w:tcBorders/>
            <w:hideMark/>
          </w:tcPr>
          <w:p w14:paraId="44827303">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Performance indicators</w:t>
            </w:r>
          </w:p>
        </w:tc>
      </w:tr>
      <w:tr w14:paraId="408A9352">
        <w:tblPrEx/>
        <w:trPr/>
        <w:tc>
          <w:tcPr>
            <w:tcW w:w="602" w:type="pct"/>
            <w:tcBorders/>
            <w:hideMark/>
          </w:tcPr>
          <w:p w14:paraId="4FABB71B">
            <w:pPr>
              <w:pStyle w:val="style0"/>
              <w:spacing w:before="100" w:beforeAutospacing="true" w:after="100" w:afterAutospacing="true" w:lineRule="auto" w:line="240"/>
              <w:jc w:val="left"/>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Months 1–3</w:t>
            </w:r>
          </w:p>
        </w:tc>
        <w:tc>
          <w:tcPr>
            <w:tcW w:w="2386" w:type="pct"/>
            <w:tcBorders/>
            <w:hideMark/>
          </w:tcPr>
          <w:p w14:paraId="099C6094">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Conduct a skills audit, employee wellbeing survey and career-gap analysis; establish baseline performance and turnover data.</w:t>
            </w:r>
          </w:p>
        </w:tc>
        <w:tc>
          <w:tcPr>
            <w:tcW w:w="2012" w:type="pct"/>
            <w:tcBorders/>
            <w:hideMark/>
          </w:tcPr>
          <w:p w14:paraId="4F31B21B">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Skills gaps mapped; baseline wellbeing, performance and turnover measures recorded.</w:t>
            </w:r>
          </w:p>
        </w:tc>
      </w:tr>
      <w:tr w14:paraId="2DC8984E">
        <w:tblPrEx/>
        <w:trPr/>
        <w:tc>
          <w:tcPr>
            <w:tcW w:w="602" w:type="pct"/>
            <w:tcBorders/>
            <w:hideMark/>
          </w:tcPr>
          <w:p w14:paraId="1F427EA4">
            <w:pPr>
              <w:pStyle w:val="style0"/>
              <w:spacing w:before="100" w:beforeAutospacing="true" w:after="100" w:afterAutospacing="true" w:lineRule="auto" w:line="240"/>
              <w:jc w:val="left"/>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Months 4–6</w:t>
            </w:r>
          </w:p>
        </w:tc>
        <w:tc>
          <w:tcPr>
            <w:tcW w:w="2386" w:type="pct"/>
            <w:tcBorders/>
            <w:hideMark/>
          </w:tcPr>
          <w:p w14:paraId="550128DA">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Pilot the learning academy, mentoring, innovation forums and individual development plans; publish technical and management career pathways.</w:t>
            </w:r>
          </w:p>
        </w:tc>
        <w:tc>
          <w:tcPr>
            <w:tcW w:w="2012" w:type="pct"/>
            <w:tcBorders/>
            <w:hideMark/>
          </w:tcPr>
          <w:p w14:paraId="288913C8">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Learning participation, mentoring engagement, psychological safety scores and development plans completed.</w:t>
            </w:r>
          </w:p>
        </w:tc>
      </w:tr>
      <w:tr w14:paraId="22E127EB">
        <w:tblPrEx/>
        <w:trPr/>
        <w:tc>
          <w:tcPr>
            <w:tcW w:w="602" w:type="pct"/>
            <w:tcBorders/>
            <w:hideMark/>
          </w:tcPr>
          <w:p w14:paraId="0387A81B">
            <w:pPr>
              <w:pStyle w:val="style0"/>
              <w:spacing w:before="100" w:beforeAutospacing="true" w:after="100" w:afterAutospacing="true" w:lineRule="auto" w:line="240"/>
              <w:jc w:val="left"/>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Months 7–12</w:t>
            </w:r>
          </w:p>
        </w:tc>
        <w:tc>
          <w:tcPr>
            <w:tcW w:w="2386" w:type="pct"/>
            <w:tcBorders/>
            <w:hideMark/>
          </w:tcPr>
          <w:p w14:paraId="0648B707">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Expand effective initiatives; review promotion, retention, workload and team performance; revise plans using employee feedback.</w:t>
            </w:r>
          </w:p>
        </w:tc>
        <w:tc>
          <w:tcPr>
            <w:tcW w:w="2012" w:type="pct"/>
            <w:tcBorders/>
            <w:hideMark/>
          </w:tcPr>
          <w:p w14:paraId="2EA24942">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Internal promotion rates, regretted turnover, innovation adoption, wellbeing and performance trends.</w:t>
            </w:r>
          </w:p>
        </w:tc>
      </w:tr>
    </w:tbl>
    <w:p w14:paraId="79591689">
      <w:pPr>
        <w:pStyle w:val="style0"/>
        <w:rPr/>
      </w:pPr>
    </w:p>
    <w:bookmarkStart w:id="8" w:name="_Toc242555087"/>
    <w:p w14:paraId="69C28BD0">
      <w:pPr>
        <w:pStyle w:val="style1"/>
        <w:rPr/>
      </w:pPr>
      <w:r>
        <w:t>Task C: Reflective Report</w:t>
      </w:r>
      <w:bookmarkEnd w:id="8"/>
    </w:p>
    <w:bookmarkStart w:id="9" w:name="_Toc242555088"/>
    <w:p w14:paraId="677AA91D">
      <w:pPr>
        <w:pStyle w:val="style2"/>
        <w:rPr/>
      </w:pPr>
      <w:r>
        <w:t>AI as a Strategic Tool</w:t>
      </w:r>
      <w:bookmarkEnd w:id="9"/>
    </w:p>
    <w:p w14:paraId="67B6B5B8">
      <w:pPr>
        <w:pStyle w:val="style0"/>
        <w:rPr/>
      </w:pPr>
      <w:r>
        <w:t>“</w:t>
      </w:r>
      <w:r>
        <w:t>Artificial Intelligence (AI)</w:t>
      </w:r>
      <w:r>
        <w:t>”</w:t>
      </w:r>
      <w:r>
        <w:t xml:space="preserve"> </w:t>
      </w:r>
      <w:r>
        <w:t>provides</w:t>
      </w:r>
      <w:r>
        <w:t xml:space="preserve"> support to Human Resource </w:t>
      </w:r>
      <w:r>
        <w:t>Management</w:t>
      </w:r>
      <w:r>
        <w:t xml:space="preserve"> (HRM) </w:t>
      </w:r>
      <w:r>
        <w:t>with the help of analysing workforce data, addressing skills gaps, forecasting the turnover of employee and informing recruitment, performance management</w:t>
      </w:r>
      <w:r>
        <w:t>,</w:t>
      </w:r>
      <w:r>
        <w:t xml:space="preserve"> and planning of the workforce</w:t>
      </w:r>
      <w:r>
        <w:t xml:space="preserve"> </w:t>
      </w:r>
      <w:r>
        <w:t>(Halid et al., 2024)</w:t>
      </w:r>
      <w:r>
        <w:t xml:space="preserve">. According to </w:t>
      </w:r>
      <w:r>
        <w:t>Alsaif</w:t>
      </w:r>
      <w:r>
        <w:t xml:space="preserve"> and </w:t>
      </w:r>
      <w:r>
        <w:t>Sabih</w:t>
      </w:r>
      <w:r>
        <w:t xml:space="preserve"> </w:t>
      </w:r>
      <w:r>
        <w:t>Aksoy</w:t>
      </w:r>
      <w:r>
        <w:t xml:space="preserve"> (2023)</w:t>
      </w:r>
      <w:r>
        <w:t xml:space="preserve">, the </w:t>
      </w:r>
      <w:r>
        <w:t>effectiveness of the HR analytics in the decision-mak</w:t>
      </w:r>
      <w:r>
        <w:t xml:space="preserve">ing of HR based on evidence. </w:t>
      </w:r>
      <w:r>
        <w:t>R. Menaka (2023)</w:t>
      </w:r>
      <w:r>
        <w:t xml:space="preserve"> </w:t>
      </w:r>
      <w:r>
        <w:t>stated th</w:t>
      </w:r>
      <w:r>
        <w:t>e</w:t>
      </w:r>
      <w:r>
        <w:t xml:space="preserve"> </w:t>
      </w:r>
      <w:r>
        <w:t xml:space="preserve">potential of AI to improve HR practices during </w:t>
      </w:r>
      <w:r>
        <w:t xml:space="preserve">the </w:t>
      </w:r>
      <w:r>
        <w:t xml:space="preserve">period of addressing the implementation challenges. These types of insights providing suggestion about AI which help HR professional that make more timely decisions that </w:t>
      </w:r>
      <w:r>
        <w:t xml:space="preserve">are </w:t>
      </w:r>
      <w:r>
        <w:t xml:space="preserve">informed by evidence. </w:t>
      </w:r>
      <w:r>
        <w:t xml:space="preserve"> </w:t>
      </w:r>
    </w:p>
    <w:p w14:paraId="67663B2B">
      <w:pPr>
        <w:pStyle w:val="style0"/>
        <w:rPr/>
      </w:pPr>
      <w:r>
        <w:t xml:space="preserve">The recommendations generated by AI </w:t>
      </w:r>
      <w:r>
        <w:t>are</w:t>
      </w:r>
      <w:r>
        <w:t xml:space="preserve"> not necessarily </w:t>
      </w:r>
      <w:r>
        <w:t xml:space="preserve">objective. The historical data of </w:t>
      </w:r>
      <w:r>
        <w:t>workforce, which might be containing the discriminatory patterns, possible,</w:t>
      </w:r>
      <w:r>
        <w:t xml:space="preserve"> reproducing the inequalities in the case of recruitment, promotion</w:t>
      </w:r>
      <w:r>
        <w:t>,</w:t>
      </w:r>
      <w:r>
        <w:t xml:space="preserve"> as well as assessment of performance. Additionally, </w:t>
      </w:r>
      <w:r>
        <w:t xml:space="preserve">an </w:t>
      </w:r>
      <w:r>
        <w:t xml:space="preserve">excessive level of reliance on automated recommendations might </w:t>
      </w:r>
      <w:r>
        <w:t>reduc</w:t>
      </w:r>
      <w:r>
        <w:t xml:space="preserve">e human judgement as well as overlook the personal circumstances of the employees. </w:t>
      </w:r>
      <w:r>
        <w:t>Therefore, the responsible adoption of AI generally requir</w:t>
      </w:r>
      <w:r>
        <w:t>es</w:t>
      </w:r>
      <w:r>
        <w:t xml:space="preserve"> </w:t>
      </w:r>
      <w:r>
        <w:t>transparency</w:t>
      </w:r>
      <w:r>
        <w:t>, protection of data, bias assessment</w:t>
      </w:r>
      <w:r>
        <w:t>,</w:t>
      </w:r>
      <w:r>
        <w:t xml:space="preserve"> and meaningful oversight of human. </w:t>
      </w:r>
      <w:r>
        <w:t>The EU AI Act even created specific level</w:t>
      </w:r>
      <w:r>
        <w:t>s</w:t>
      </w:r>
      <w:r>
        <w:t xml:space="preserve"> of requirements for certain AI applications with </w:t>
      </w:r>
      <w:r>
        <w:t>a</w:t>
      </w:r>
      <w:r>
        <w:t xml:space="preserve"> higher risk</w:t>
      </w:r>
      <w:r>
        <w:t>,</w:t>
      </w:r>
      <w:r>
        <w:t xml:space="preserve"> including systems related to employment</w:t>
      </w:r>
      <w:r>
        <w:t xml:space="preserve"> (European Parliament, 2025)</w:t>
      </w:r>
      <w:r>
        <w:t xml:space="preserve">. </w:t>
      </w:r>
    </w:p>
    <w:bookmarkStart w:id="10" w:name="_Toc242555089"/>
    <w:p w14:paraId="57F8CCF7">
      <w:pPr>
        <w:pStyle w:val="style2"/>
        <w:rPr/>
      </w:pPr>
      <w:r>
        <w:t>Reflective Analysis</w:t>
      </w:r>
      <w:bookmarkEnd w:id="10"/>
      <w:r>
        <w:t xml:space="preserve"> </w:t>
      </w:r>
    </w:p>
    <w:p w14:paraId="7EDC1298">
      <w:pPr>
        <w:pStyle w:val="style34"/>
        <w:rPr/>
      </w:pPr>
      <w:r>
        <w:t xml:space="preserve">Table </w:t>
      </w:r>
      <w:r>
        <w:rPr/>
        <w:fldChar w:fldCharType="begin"/>
      </w:r>
      <w:r>
        <w:instrText xml:space="preserve"> SEQ Table \* ARABIC </w:instrText>
      </w:r>
      <w:r>
        <w:rPr/>
        <w:fldChar w:fldCharType="separate"/>
      </w:r>
      <w:r>
        <w:rPr>
          <w:noProof/>
        </w:rPr>
        <w:t>2</w:t>
      </w:r>
      <w:r>
        <w:rPr/>
        <w:fldChar w:fldCharType="end"/>
      </w:r>
      <w:r>
        <w:t xml:space="preserve">: </w:t>
      </w:r>
      <w:r>
        <w:t>Example of AI Use; Source: Self-made</w:t>
      </w:r>
    </w:p>
    <w:tbl>
      <w:tblPr>
        <w:tblStyle w:val="style154"/>
        <w:tblW w:w="0" w:type="auto"/>
        <w:tblLook w:val="04A0" w:firstRow="1" w:lastRow="0" w:firstColumn="1" w:lastColumn="0" w:noHBand="0" w:noVBand="1"/>
      </w:tblPr>
      <w:tblGrid>
        <w:gridCol w:w="1850"/>
        <w:gridCol w:w="3317"/>
        <w:gridCol w:w="4191"/>
      </w:tblGrid>
      <w:tr w14:paraId="44B8633F">
        <w:trPr/>
        <w:tc>
          <w:tcPr>
            <w:tcW w:w="0" w:type="auto"/>
            <w:tcBorders/>
            <w:hideMark/>
          </w:tcPr>
          <w:p w14:paraId="2879F86B">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Example of AI use</w:t>
            </w:r>
          </w:p>
        </w:tc>
        <w:tc>
          <w:tcPr>
            <w:tcW w:w="0" w:type="auto"/>
            <w:tcBorders/>
            <w:hideMark/>
          </w:tcPr>
          <w:p w14:paraId="6A3BE940">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Potential benefit to professional development</w:t>
            </w:r>
          </w:p>
        </w:tc>
        <w:tc>
          <w:tcPr>
            <w:tcW w:w="0" w:type="auto"/>
            <w:tcBorders/>
            <w:hideMark/>
          </w:tcPr>
          <w:p w14:paraId="177027ED">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Critical reflection and limitation</w:t>
            </w:r>
          </w:p>
        </w:tc>
      </w:tr>
      <w:tr w14:paraId="0A133FC7">
        <w:tblPrEx/>
        <w:trPr/>
        <w:tc>
          <w:tcPr>
            <w:tcW w:w="0" w:type="auto"/>
            <w:tcBorders/>
            <w:hideMark/>
          </w:tcPr>
          <w:p w14:paraId="70C451E8">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Research and literature exploration</w:t>
            </w:r>
          </w:p>
        </w:tc>
        <w:tc>
          <w:tcPr>
            <w:tcW w:w="0" w:type="auto"/>
            <w:tcBorders/>
            <w:hideMark/>
          </w:tcPr>
          <w:p w14:paraId="3687324F">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AI can suggest relevant HRM theories, keywords and research directions, improving research efficiency.</w:t>
            </w:r>
          </w:p>
        </w:tc>
        <w:tc>
          <w:tcPr>
            <w:tcW w:w="0" w:type="auto"/>
            <w:tcBorders/>
            <w:hideMark/>
          </w:tcPr>
          <w:p w14:paraId="7BA1D271">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Suggested references require verification because AI may produce inaccurate citations or oversimplify academic arguments.</w:t>
            </w:r>
          </w:p>
        </w:tc>
      </w:tr>
      <w:tr w14:paraId="3DF10546">
        <w:tblPrEx/>
        <w:trPr/>
        <w:tc>
          <w:tcPr>
            <w:tcW w:w="0" w:type="auto"/>
            <w:tcBorders/>
            <w:hideMark/>
          </w:tcPr>
          <w:p w14:paraId="1F825930">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Analysis of workforce scenarios</w:t>
            </w:r>
          </w:p>
        </w:tc>
        <w:tc>
          <w:tcPr>
            <w:tcW w:w="0" w:type="auto"/>
            <w:tcBorders/>
            <w:hideMark/>
          </w:tcPr>
          <w:p w14:paraId="66A43A23">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AI can help compare talent-management strategies, identify skills gaps and organise potential solutions.</w:t>
            </w:r>
          </w:p>
        </w:tc>
        <w:tc>
          <w:tcPr>
            <w:tcW w:w="0" w:type="auto"/>
            <w:tcBorders/>
            <w:hideMark/>
          </w:tcPr>
          <w:p w14:paraId="4557374B">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Recommendations may overlook organisational culture, local employment regulations and employee perspectives.</w:t>
            </w:r>
          </w:p>
        </w:tc>
      </w:tr>
      <w:tr w14:paraId="20BB1090">
        <w:tblPrEx/>
        <w:trPr/>
        <w:tc>
          <w:tcPr>
            <w:tcW w:w="0" w:type="auto"/>
            <w:tcBorders/>
            <w:hideMark/>
          </w:tcPr>
          <w:p w14:paraId="62641DC7">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Developing a personal action plan</w:t>
            </w:r>
          </w:p>
        </w:tc>
        <w:tc>
          <w:tcPr>
            <w:tcW w:w="0" w:type="auto"/>
            <w:tcBorders/>
            <w:hideMark/>
          </w:tcPr>
          <w:p w14:paraId="35D742D8">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AI can help structure SMART objectives, identify capability gaps and suggest learning activities.</w:t>
            </w:r>
          </w:p>
        </w:tc>
        <w:tc>
          <w:tcPr>
            <w:tcW w:w="0" w:type="auto"/>
            <w:tcBorders/>
            <w:hideMark/>
          </w:tcPr>
          <w:p w14:paraId="1E2C335C">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Excessive reliance may reduce independent problem solving unless suggestions are critically evaluated and adapted.</w:t>
            </w:r>
          </w:p>
        </w:tc>
      </w:tr>
    </w:tbl>
    <w:p w14:paraId="4263D792">
      <w:pPr>
        <w:pStyle w:val="style0"/>
        <w:rPr/>
      </w:pPr>
    </w:p>
    <w:p w14:paraId="0B51CFBD">
      <w:pPr>
        <w:pStyle w:val="style0"/>
        <w:rPr/>
      </w:pPr>
      <w:r>
        <w:t>Each example provid</w:t>
      </w:r>
      <w:r>
        <w:t>es an</w:t>
      </w:r>
      <w:r>
        <w:t xml:space="preserve"> explanation </w:t>
      </w:r>
      <w:r>
        <w:t>of</w:t>
      </w:r>
      <w:r>
        <w:t xml:space="preserve"> the things learned, things d</w:t>
      </w:r>
      <w:r>
        <w:t>one</w:t>
      </w:r>
      <w:r>
        <w:t xml:space="preserve">, the limitations </w:t>
      </w:r>
      <w:r>
        <w:t>encountered,</w:t>
      </w:r>
      <w:r>
        <w:t xml:space="preserve"> and the ways experience changed </w:t>
      </w:r>
      <w:r>
        <w:t>my</w:t>
      </w:r>
      <w:r>
        <w:t xml:space="preserve"> professional approach</w:t>
      </w:r>
      <w:r>
        <w:t xml:space="preserve"> of mine</w:t>
      </w:r>
      <w:r>
        <w:t xml:space="preserve">. </w:t>
      </w:r>
    </w:p>
    <w:bookmarkStart w:id="11" w:name="_Toc242555090"/>
    <w:p w14:paraId="5C9B3503">
      <w:pPr>
        <w:pStyle w:val="style2"/>
        <w:rPr/>
      </w:pPr>
      <w:r>
        <w:t>Personal Action Plan</w:t>
      </w:r>
      <w:bookmarkEnd w:id="11"/>
    </w:p>
    <w:p w14:paraId="494DAC80">
      <w:pPr>
        <w:pStyle w:val="style0"/>
        <w:rPr/>
      </w:pPr>
      <w:r>
        <w:t xml:space="preserve">The </w:t>
      </w:r>
      <w:r>
        <w:t>table below</w:t>
      </w:r>
      <w:r>
        <w:t xml:space="preserve"> provides the proposed objectives </w:t>
      </w:r>
      <w:r>
        <w:t>that I</w:t>
      </w:r>
      <w:r>
        <w:t xml:space="preserve"> adopted </w:t>
      </w:r>
      <w:r>
        <w:t>for</w:t>
      </w:r>
      <w:r>
        <w:t xml:space="preserve"> my recent abilities and career. </w:t>
      </w:r>
    </w:p>
    <w:p w14:paraId="43DF805E">
      <w:pPr>
        <w:pStyle w:val="style34"/>
        <w:rPr/>
      </w:pPr>
      <w:r>
        <w:t xml:space="preserve">Table </w:t>
      </w:r>
      <w:r>
        <w:rPr/>
        <w:fldChar w:fldCharType="begin"/>
      </w:r>
      <w:r>
        <w:instrText xml:space="preserve"> SEQ Table \* ARABIC </w:instrText>
      </w:r>
      <w:r>
        <w:rPr/>
        <w:fldChar w:fldCharType="separate"/>
      </w:r>
      <w:r>
        <w:rPr>
          <w:noProof/>
        </w:rPr>
        <w:t>3</w:t>
      </w:r>
      <w:r>
        <w:rPr/>
        <w:fldChar w:fldCharType="end"/>
      </w:r>
      <w:r>
        <w:t>: Action Plan; Source: Self-Made</w:t>
      </w:r>
    </w:p>
    <w:tbl>
      <w:tblPr>
        <w:tblStyle w:val="style154"/>
        <w:tblW w:w="0" w:type="auto"/>
        <w:tblLook w:val="04A0" w:firstRow="1" w:lastRow="0" w:firstColumn="1" w:lastColumn="0" w:noHBand="0" w:noVBand="1"/>
      </w:tblPr>
      <w:tblGrid>
        <w:gridCol w:w="1343"/>
        <w:gridCol w:w="2119"/>
        <w:gridCol w:w="2608"/>
        <w:gridCol w:w="1921"/>
        <w:gridCol w:w="1364"/>
      </w:tblGrid>
      <w:tr w14:paraId="4C5A089C">
        <w:trPr/>
        <w:tc>
          <w:tcPr>
            <w:tcW w:w="0" w:type="auto"/>
            <w:tcBorders/>
            <w:hideMark/>
          </w:tcPr>
          <w:p w14:paraId="06F3AD3B">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Capability to develop</w:t>
            </w:r>
          </w:p>
        </w:tc>
        <w:tc>
          <w:tcPr>
            <w:tcW w:w="0" w:type="auto"/>
            <w:tcBorders/>
            <w:hideMark/>
          </w:tcPr>
          <w:p w14:paraId="4D4964A8">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SMART objective</w:t>
            </w:r>
          </w:p>
        </w:tc>
        <w:tc>
          <w:tcPr>
            <w:tcW w:w="0" w:type="auto"/>
            <w:tcBorders/>
            <w:hideMark/>
          </w:tcPr>
          <w:p w14:paraId="13A77207">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Planned actions</w:t>
            </w:r>
          </w:p>
        </w:tc>
        <w:tc>
          <w:tcPr>
            <w:tcW w:w="0" w:type="auto"/>
            <w:tcBorders/>
            <w:hideMark/>
          </w:tcPr>
          <w:p w14:paraId="19CE26B9">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Success measure</w:t>
            </w:r>
          </w:p>
        </w:tc>
        <w:tc>
          <w:tcPr>
            <w:tcW w:w="0" w:type="auto"/>
            <w:tcBorders/>
            <w:hideMark/>
          </w:tcPr>
          <w:p w14:paraId="14B0592E">
            <w:pPr>
              <w:pStyle w:val="style0"/>
              <w:spacing w:before="100" w:beforeAutospacing="true" w:after="100" w:afterAutospacing="true" w:lineRule="auto" w:line="240"/>
              <w:jc w:val="center"/>
              <w:rPr>
                <w:rFonts w:cs="Arial" w:eastAsia="Times New Roman"/>
                <w:b/>
                <w:bCs/>
                <w:color w:val="ff0000"/>
                <w:kern w:val="0"/>
                <w:szCs w:val="24"/>
                <w:lang w:val="en-IN" w:eastAsia="en-IN"/>
                <w14:ligatures xmlns:w14="http://schemas.microsoft.com/office/word/2010/wordml" w14:val="none"/>
              </w:rPr>
            </w:pPr>
            <w:r>
              <w:rPr>
                <w:rFonts w:cs="Arial" w:eastAsia="Times New Roman"/>
                <w:b/>
                <w:bCs/>
                <w:color w:val="ff0000"/>
                <w:kern w:val="0"/>
                <w:szCs w:val="24"/>
                <w:lang w:val="en-IN" w:eastAsia="en-IN"/>
                <w14:ligatures xmlns:w14="http://schemas.microsoft.com/office/word/2010/wordml" w14:val="none"/>
              </w:rPr>
              <w:t>Timescale</w:t>
            </w:r>
          </w:p>
        </w:tc>
      </w:tr>
      <w:tr w14:paraId="22ECEA77">
        <w:tblPrEx/>
        <w:trPr/>
        <w:tc>
          <w:tcPr>
            <w:tcW w:w="0" w:type="auto"/>
            <w:tcBorders/>
            <w:hideMark/>
          </w:tcPr>
          <w:p w14:paraId="35092CC7">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AI literacy</w:t>
            </w:r>
          </w:p>
        </w:tc>
        <w:tc>
          <w:tcPr>
            <w:tcW w:w="0" w:type="auto"/>
            <w:tcBorders/>
            <w:hideMark/>
          </w:tcPr>
          <w:p w14:paraId="3C079B8B">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Develop the ability to use AI tools responsibly in HR-related tasks within three months.</w:t>
            </w:r>
          </w:p>
        </w:tc>
        <w:tc>
          <w:tcPr>
            <w:tcW w:w="0" w:type="auto"/>
            <w:tcBorders/>
            <w:hideMark/>
          </w:tcPr>
          <w:p w14:paraId="0AE707C1">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Complete an introductory AI literacy course and practise evaluating AI-generated HR recommendations.</w:t>
            </w:r>
          </w:p>
        </w:tc>
        <w:tc>
          <w:tcPr>
            <w:tcW w:w="0" w:type="auto"/>
            <w:tcBorders/>
            <w:hideMark/>
          </w:tcPr>
          <w:p w14:paraId="5C212BF0">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Course completion and one documented evaluation of AI outputs, including limitations and potential bias.</w:t>
            </w:r>
          </w:p>
        </w:tc>
        <w:tc>
          <w:tcPr>
            <w:tcW w:w="0" w:type="auto"/>
            <w:tcBorders/>
            <w:hideMark/>
          </w:tcPr>
          <w:p w14:paraId="7F9F7232">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Within 3 months</w:t>
            </w:r>
          </w:p>
        </w:tc>
      </w:tr>
      <w:tr w14:paraId="66226AF3">
        <w:tblPrEx/>
        <w:trPr/>
        <w:tc>
          <w:tcPr>
            <w:tcW w:w="0" w:type="auto"/>
            <w:tcBorders/>
            <w:hideMark/>
          </w:tcPr>
          <w:p w14:paraId="75EBAC45">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HR analytics</w:t>
            </w:r>
          </w:p>
        </w:tc>
        <w:tc>
          <w:tcPr>
            <w:tcW w:w="0" w:type="auto"/>
            <w:tcBorders/>
            <w:hideMark/>
          </w:tcPr>
          <w:p w14:paraId="6D3CD97C">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Develop competence in analysing workforce data and interpreting HR metrics within three months.</w:t>
            </w:r>
          </w:p>
        </w:tc>
        <w:tc>
          <w:tcPr>
            <w:tcW w:w="0" w:type="auto"/>
            <w:tcBorders/>
            <w:hideMark/>
          </w:tcPr>
          <w:p w14:paraId="52706527">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Complete an HR analytics course and practise analysing workforce data using Excel or an appropriate analytics tool.</w:t>
            </w:r>
          </w:p>
        </w:tc>
        <w:tc>
          <w:tcPr>
            <w:tcW w:w="0" w:type="auto"/>
            <w:tcBorders/>
            <w:hideMark/>
          </w:tcPr>
          <w:p w14:paraId="3CE573CB">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Course completion and one workforce analytics exercise explaining the findings and their limitations.</w:t>
            </w:r>
          </w:p>
        </w:tc>
        <w:tc>
          <w:tcPr>
            <w:tcW w:w="0" w:type="auto"/>
            <w:tcBorders/>
            <w:hideMark/>
          </w:tcPr>
          <w:p w14:paraId="4997F86E">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Within 3 months</w:t>
            </w:r>
          </w:p>
        </w:tc>
      </w:tr>
      <w:tr w14:paraId="428A979C">
        <w:tblPrEx/>
        <w:trPr/>
        <w:tc>
          <w:tcPr>
            <w:tcW w:w="0" w:type="auto"/>
            <w:tcBorders/>
            <w:hideMark/>
          </w:tcPr>
          <w:p w14:paraId="516DE80F">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Ethical decision-making</w:t>
            </w:r>
          </w:p>
        </w:tc>
        <w:tc>
          <w:tcPr>
            <w:tcW w:w="0" w:type="auto"/>
            <w:tcBorders/>
            <w:hideMark/>
          </w:tcPr>
          <w:p w14:paraId="006C63FD">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Improve the ability to assess bias, privacy, fairness and accountability in AI-supported HR decisions within four months.</w:t>
            </w:r>
          </w:p>
        </w:tc>
        <w:tc>
          <w:tcPr>
            <w:tcW w:w="0" w:type="auto"/>
            <w:tcBorders/>
            <w:hideMark/>
          </w:tcPr>
          <w:p w14:paraId="5944A0E6">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Review relevant guidance and analyse two HR-related AI scenarios, identifying risks and safeguards.</w:t>
            </w:r>
          </w:p>
        </w:tc>
        <w:tc>
          <w:tcPr>
            <w:tcW w:w="0" w:type="auto"/>
            <w:tcBorders/>
            <w:hideMark/>
          </w:tcPr>
          <w:p w14:paraId="38DD760B">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Two documented case analyses that identify ethical risks, safeguards and the need for human oversight.</w:t>
            </w:r>
          </w:p>
        </w:tc>
        <w:tc>
          <w:tcPr>
            <w:tcW w:w="0" w:type="auto"/>
            <w:tcBorders/>
            <w:hideMark/>
          </w:tcPr>
          <w:p w14:paraId="230644D0">
            <w:pPr>
              <w:pStyle w:val="style0"/>
              <w:spacing w:before="100" w:beforeAutospacing="true" w:after="100" w:afterAutospacing="true" w:lineRule="auto" w:line="240"/>
              <w:rPr>
                <w:rFonts w:cs="Arial" w:eastAsia="Times New Roman"/>
                <w:color w:val="ff0000"/>
                <w:kern w:val="0"/>
                <w:szCs w:val="24"/>
                <w:lang w:val="en-IN" w:eastAsia="en-IN"/>
                <w14:ligatures xmlns:w14="http://schemas.microsoft.com/office/word/2010/wordml" w14:val="none"/>
              </w:rPr>
            </w:pPr>
            <w:r>
              <w:rPr>
                <w:rFonts w:cs="Arial" w:eastAsia="Times New Roman"/>
                <w:color w:val="ff0000"/>
                <w:kern w:val="0"/>
                <w:szCs w:val="24"/>
                <w:lang w:val="en-IN" w:eastAsia="en-IN"/>
                <w14:ligatures xmlns:w14="http://schemas.microsoft.com/office/word/2010/wordml" w14:val="none"/>
              </w:rPr>
              <w:t>Within 4 months</w:t>
            </w:r>
          </w:p>
        </w:tc>
      </w:tr>
    </w:tbl>
    <w:p w14:paraId="5D24FB5F">
      <w:pPr>
        <w:pStyle w:val="style0"/>
        <w:rPr/>
      </w:pPr>
    </w:p>
    <w:p w14:paraId="22A948BA">
      <w:pPr>
        <w:pStyle w:val="style0"/>
        <w:rPr/>
      </w:pPr>
      <w:r>
        <w:t xml:space="preserve">These types of objectives are generally specific, measurable, achievable, and relevant to future </w:t>
      </w:r>
      <w:r>
        <w:t>employments</w:t>
      </w:r>
      <w:r>
        <w:t xml:space="preserve"> of HRM and time-bound. </w:t>
      </w:r>
    </w:p>
    <w:bookmarkStart w:id="12" w:name="_Toc242555091"/>
    <w:p w14:paraId="5357BAAC">
      <w:pPr>
        <w:pStyle w:val="style1"/>
        <w:rPr/>
      </w:pPr>
      <w:r>
        <w:t>Conclusion</w:t>
      </w:r>
      <w:bookmarkEnd w:id="12"/>
      <w:r>
        <w:t xml:space="preserve"> </w:t>
      </w:r>
    </w:p>
    <w:p w14:paraId="67A12DAD">
      <w:pPr>
        <w:pStyle w:val="style0"/>
        <w:rPr/>
      </w:pPr>
      <w:r>
        <w:t xml:space="preserve">NHSX </w:t>
      </w:r>
      <w:r>
        <w:t>can</w:t>
      </w:r>
      <w:r>
        <w:t xml:space="preserve"> achieve sustainable competitive advantage with the help of incorporating innovative practices of working, continuous development of talent</w:t>
      </w:r>
      <w:r>
        <w:t>,</w:t>
      </w:r>
      <w:r>
        <w:t xml:space="preserve"> and employee well-being. Here, empowering the employees with the help of collaboration, autonomy, learning opportunities</w:t>
      </w:r>
      <w:r>
        <w:t>,</w:t>
      </w:r>
      <w:r>
        <w:t xml:space="preserve"> as well as transparent career pathways</w:t>
      </w:r>
      <w:r>
        <w:t>,</w:t>
      </w:r>
      <w:r>
        <w:t xml:space="preserve"> increas</w:t>
      </w:r>
      <w:r>
        <w:t>es</w:t>
      </w:r>
      <w:r>
        <w:t xml:space="preserve"> the strength of innovation, retention</w:t>
      </w:r>
      <w:r>
        <w:t>,</w:t>
      </w:r>
      <w:r>
        <w:t xml:space="preserve"> as well as performance of the organisation. Responsible adoption of AI and continuous professional development which supporting the ethical decision-making and </w:t>
      </w:r>
      <w:r>
        <w:t xml:space="preserve">the </w:t>
      </w:r>
      <w:r>
        <w:t xml:space="preserve">future capabilities of </w:t>
      </w:r>
      <w:r>
        <w:t xml:space="preserve">the </w:t>
      </w:r>
      <w:r>
        <w:t xml:space="preserve">workforce. </w:t>
      </w:r>
    </w:p>
    <w:p w14:paraId="2D6233D8">
      <w:pPr>
        <w:pStyle w:val="style0"/>
        <w:rPr/>
      </w:pPr>
    </w:p>
    <w:p w14:paraId="2B6BB1D2">
      <w:pPr>
        <w:pStyle w:val="style0"/>
        <w:spacing w:lineRule="auto" w:line="259"/>
        <w:jc w:val="left"/>
        <w:rPr/>
      </w:pPr>
      <w:r>
        <w:br w:type="page"/>
      </w:r>
    </w:p>
    <w:bookmarkStart w:id="13" w:name="_Toc242555092"/>
    <w:p w14:paraId="5D91A2A6">
      <w:pPr>
        <w:pStyle w:val="style1"/>
        <w:rPr>
          <w:lang w:val="en-US"/>
        </w:rPr>
      </w:pPr>
      <w:r>
        <w:rPr>
          <w:lang w:val="en-US"/>
        </w:rPr>
        <w:t>Reference list</w:t>
      </w:r>
      <w:bookmarkEnd w:id="13"/>
    </w:p>
    <w:p w14:paraId="3719A095">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Alsaif</w:t>
      </w:r>
      <w:r>
        <w:rPr>
          <w:rFonts w:cs="Arial" w:eastAsia="Times New Roman"/>
          <w:kern w:val="0"/>
          <w:szCs w:val="24"/>
          <w:lang w:val="en-IN" w:eastAsia="en-IN"/>
          <w14:ligatures xmlns:w14="http://schemas.microsoft.com/office/word/2010/wordml" w14:val="none"/>
        </w:rPr>
        <w:t xml:space="preserve">, A. and Sabih Aksoy, M. (2023). AI-HRM: Artificial intelligence in human resource management: A literature review. </w:t>
      </w:r>
      <w:r>
        <w:rPr>
          <w:rFonts w:cs="Arial" w:eastAsia="Times New Roman"/>
          <w:i/>
          <w:iCs/>
          <w:kern w:val="0"/>
          <w:szCs w:val="24"/>
          <w:lang w:val="en-IN" w:eastAsia="en-IN"/>
          <w14:ligatures xmlns:w14="http://schemas.microsoft.com/office/word/2010/wordml" w14:val="none"/>
        </w:rPr>
        <w:t>Journal of Computing and Communication</w:t>
      </w:r>
      <w:r>
        <w:rPr>
          <w:rFonts w:cs="Arial" w:eastAsia="Times New Roman"/>
          <w:kern w:val="0"/>
          <w:szCs w:val="24"/>
          <w:lang w:val="en-IN" w:eastAsia="en-IN"/>
          <w14:ligatures xmlns:w14="http://schemas.microsoft.com/office/word/2010/wordml" w14:val="none"/>
        </w:rPr>
        <w:t>, [online] 2(2), pp.1–7. doi:10.21608/jocc.2023.307053.</w:t>
      </w:r>
    </w:p>
    <w:p w14:paraId="6D324BA5">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Bienefeld</w:t>
      </w:r>
      <w:r>
        <w:rPr>
          <w:rFonts w:cs="Arial" w:eastAsia="Times New Roman"/>
          <w:kern w:val="0"/>
          <w:szCs w:val="24"/>
          <w:lang w:val="en-IN" w:eastAsia="en-IN"/>
          <w14:ligatures xmlns:w14="http://schemas.microsoft.com/office/word/2010/wordml" w14:val="none"/>
        </w:rPr>
        <w:t xml:space="preserve">, N., Keller, E. and Grote, G. (2024). Human-AI teaming in critical care: A comparative analysis of data scientists’ and clinicians’ perspectives on AI augmentation and automation. </w:t>
      </w:r>
      <w:r>
        <w:rPr>
          <w:rFonts w:cs="Arial" w:eastAsia="Times New Roman"/>
          <w:i/>
          <w:iCs/>
          <w:kern w:val="0"/>
          <w:szCs w:val="24"/>
          <w:lang w:val="en-IN" w:eastAsia="en-IN"/>
          <w14:ligatures xmlns:w14="http://schemas.microsoft.com/office/word/2010/wordml" w14:val="none"/>
        </w:rPr>
        <w:t>Journal of Medical Internet Research</w:t>
      </w:r>
      <w:r>
        <w:rPr>
          <w:rFonts w:cs="Arial" w:eastAsia="Times New Roman"/>
          <w:kern w:val="0"/>
          <w:szCs w:val="24"/>
          <w:lang w:val="en-IN" w:eastAsia="en-IN"/>
          <w14:ligatures xmlns:w14="http://schemas.microsoft.com/office/word/2010/wordml" w14:val="none"/>
        </w:rPr>
        <w:t>, 26(1), p.e50130. doi:10.2196/50130.</w:t>
      </w:r>
    </w:p>
    <w:p w14:paraId="3D8CD8C6">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Chaudhuri, S., Park, S. and Johnson, K.R. (2021). Engagement, inclusion, knowledge sharing, and talent development: Is reverse mentoring a panacea to all? Findings from literature review. </w:t>
      </w:r>
      <w:r>
        <w:rPr>
          <w:rFonts w:cs="Arial" w:eastAsia="Times New Roman"/>
          <w:i/>
          <w:iCs/>
          <w:kern w:val="0"/>
          <w:szCs w:val="24"/>
          <w:lang w:val="en-IN" w:eastAsia="en-IN"/>
          <w14:ligatures xmlns:w14="http://schemas.microsoft.com/office/word/2010/wordml" w14:val="none"/>
        </w:rPr>
        <w:t>European Journal of Training and Development</w:t>
      </w:r>
      <w:r>
        <w:rPr>
          <w:rFonts w:cs="Arial" w:eastAsia="Times New Roman"/>
          <w:kern w:val="0"/>
          <w:szCs w:val="24"/>
          <w:lang w:val="en-IN" w:eastAsia="en-IN"/>
          <w14:ligatures xmlns:w14="http://schemas.microsoft.com/office/word/2010/wordml" w14:val="none"/>
        </w:rPr>
        <w:t>, 46(5/6), pp.468–483. doi:10.1108/ejtd-01-2021-0005.</w:t>
      </w:r>
    </w:p>
    <w:p w14:paraId="5F650A0E">
      <w:pPr>
        <w:pStyle w:val="style94"/>
        <w:spacing w:before="0" w:beforeAutospacing="false" w:after="240" w:afterAutospacing="false" w:lineRule="auto" w:line="360"/>
        <w:jc w:val="both"/>
        <w:rPr/>
      </w:pPr>
      <w:r>
        <w:rPr>
          <w:lang w:val="pt-BR"/>
        </w:rPr>
        <w:t xml:space="preserve">Da Costa, M. and Da Costa, J.V. (2026). </w:t>
      </w:r>
      <w:r>
        <w:t xml:space="preserve">Beyond tradition: Building the organizational infrastructure for nursing innovation. </w:t>
      </w:r>
      <w:r>
        <w:rPr>
          <w:i/>
          <w:iCs/>
        </w:rPr>
        <w:t>Creative Nursing</w:t>
      </w:r>
      <w:r>
        <w:t>, 32(3), pp.318–330. doi:10.1177/10784535261472789.</w:t>
      </w:r>
    </w:p>
    <w:p w14:paraId="423FAB07">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Edmondson, A.C. and Bransby, D.P. (2023). Psychological safety comes of age: Observed themes in an established literature. </w:t>
      </w:r>
      <w:r>
        <w:rPr>
          <w:rFonts w:cs="Arial" w:eastAsia="Times New Roman"/>
          <w:i/>
          <w:iCs/>
          <w:kern w:val="0"/>
          <w:szCs w:val="24"/>
          <w:lang w:val="en-IN" w:eastAsia="en-IN"/>
          <w14:ligatures xmlns:w14="http://schemas.microsoft.com/office/word/2010/wordml" w14:val="none"/>
        </w:rPr>
        <w:t>Annual Review of Organizational Psychology and Organizational Behavior</w:t>
      </w:r>
      <w:r>
        <w:rPr>
          <w:rFonts w:cs="Arial" w:eastAsia="Times New Roman"/>
          <w:kern w:val="0"/>
          <w:szCs w:val="24"/>
          <w:lang w:val="en-IN" w:eastAsia="en-IN"/>
          <w14:ligatures xmlns:w14="http://schemas.microsoft.com/office/word/2010/wordml" w14:val="none"/>
        </w:rPr>
        <w:t>, [online] 10(1). doi:10.1146/annurev-orgpsych-120920-055217.</w:t>
      </w:r>
    </w:p>
    <w:p w14:paraId="1F91139F">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European Parliament (2025). </w:t>
      </w:r>
      <w:r>
        <w:rPr>
          <w:rFonts w:cs="Arial" w:eastAsia="Times New Roman"/>
          <w:i/>
          <w:iCs/>
          <w:kern w:val="0"/>
          <w:szCs w:val="24"/>
          <w:lang w:val="en-IN" w:eastAsia="en-IN"/>
          <w14:ligatures xmlns:w14="http://schemas.microsoft.com/office/word/2010/wordml" w14:val="none"/>
        </w:rPr>
        <w:t>EU AI act: First regulation on artificial intelligence</w:t>
      </w:r>
      <w:r>
        <w:rPr>
          <w:rFonts w:cs="Arial" w:eastAsia="Times New Roman"/>
          <w:kern w:val="0"/>
          <w:szCs w:val="24"/>
          <w:lang w:val="en-IN" w:eastAsia="en-IN"/>
          <w14:ligatures xmlns:w14="http://schemas.microsoft.com/office/word/2010/wordml" w14:val="none"/>
        </w:rPr>
        <w:t xml:space="preserve">. [online] European Parliament. Available at: </w:t>
      </w:r>
      <w:r>
        <w:rPr/>
        <w:fldChar w:fldCharType="begin"/>
      </w:r>
      <w:r>
        <w:instrText xml:space="preserve"> HYPERLINK "https://www.europarl.europa.eu/topics/en/article/20230601STO93804/eu-ai-act-first-regulation-on-artificial-intelligence" </w:instrText>
      </w:r>
      <w:r>
        <w:rPr/>
        <w:fldChar w:fldCharType="separate"/>
      </w:r>
      <w:r>
        <w:rPr>
          <w:rStyle w:val="style85"/>
          <w:rFonts w:cs="Arial" w:eastAsia="Times New Roman"/>
          <w:kern w:val="0"/>
          <w:szCs w:val="24"/>
          <w:lang w:val="en-IN" w:eastAsia="en-IN"/>
          <w14:ligatures xmlns:w14="http://schemas.microsoft.com/office/word/2010/wordml" w14:val="none"/>
        </w:rPr>
        <w:t>https://www.europarl.europa.eu/topics/en/article/20230601STO93804/eu-ai-act-first-regulation-on-artificial-intelligence</w:t>
      </w:r>
      <w:r>
        <w:rPr/>
        <w:fldChar w:fldCharType="end"/>
      </w:r>
      <w:r>
        <w:rPr>
          <w:rFonts w:cs="Arial" w:eastAsia="Times New Roman"/>
          <w:kern w:val="0"/>
          <w:szCs w:val="24"/>
          <w:lang w:val="en-IN" w:eastAsia="en-IN"/>
          <w14:ligatures xmlns:w14="http://schemas.microsoft.com/office/word/2010/wordml" w14:val="none"/>
        </w:rPr>
        <w:t xml:space="preserve"> </w:t>
      </w:r>
      <w:r>
        <w:rPr>
          <w:rFonts w:cs="Arial" w:eastAsia="Times New Roman"/>
          <w:kern w:val="0"/>
          <w:szCs w:val="24"/>
          <w:lang w:val="en-IN" w:eastAsia="en-IN"/>
          <w14:ligatures xmlns:w14="http://schemas.microsoft.com/office/word/2010/wordml" w14:val="none"/>
        </w:rPr>
        <w:t xml:space="preserve"> [Accessed 10 Oct. 2026].</w:t>
      </w:r>
    </w:p>
    <w:p w14:paraId="1BAA79B4">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Fauzi, A. (2023). Career women and double burden in Feminist sociological perspective today. </w:t>
      </w:r>
      <w:r>
        <w:rPr>
          <w:rFonts w:cs="Arial" w:eastAsia="Times New Roman"/>
          <w:i/>
          <w:iCs/>
          <w:kern w:val="0"/>
          <w:szCs w:val="24"/>
          <w:lang w:val="en-IN" w:eastAsia="en-IN"/>
          <w14:ligatures xmlns:w14="http://schemas.microsoft.com/office/word/2010/wordml" w14:val="none"/>
        </w:rPr>
        <w:t>Studi</w:t>
      </w:r>
      <w:r>
        <w:rPr>
          <w:rFonts w:cs="Arial" w:eastAsia="Times New Roman"/>
          <w:i/>
          <w:iCs/>
          <w:kern w:val="0"/>
          <w:szCs w:val="24"/>
          <w:lang w:val="en-IN" w:eastAsia="en-IN"/>
          <w14:ligatures xmlns:w14="http://schemas.microsoft.com/office/word/2010/wordml" w14:val="none"/>
        </w:rPr>
        <w:t xml:space="preserve"> </w:t>
      </w:r>
      <w:r>
        <w:rPr>
          <w:rFonts w:cs="Arial" w:eastAsia="Times New Roman"/>
          <w:i/>
          <w:iCs/>
          <w:kern w:val="0"/>
          <w:szCs w:val="24"/>
          <w:lang w:val="en-IN" w:eastAsia="en-IN"/>
          <w14:ligatures xmlns:w14="http://schemas.microsoft.com/office/word/2010/wordml" w14:val="none"/>
        </w:rPr>
        <w:t>Ilmu</w:t>
      </w:r>
      <w:r>
        <w:rPr>
          <w:rFonts w:cs="Arial" w:eastAsia="Times New Roman"/>
          <w:i/>
          <w:iCs/>
          <w:kern w:val="0"/>
          <w:szCs w:val="24"/>
          <w:lang w:val="en-IN" w:eastAsia="en-IN"/>
          <w14:ligatures xmlns:w14="http://schemas.microsoft.com/office/word/2010/wordml" w14:val="none"/>
        </w:rPr>
        <w:t xml:space="preserve"> </w:t>
      </w:r>
      <w:r>
        <w:rPr>
          <w:rFonts w:cs="Arial" w:eastAsia="Times New Roman"/>
          <w:i/>
          <w:iCs/>
          <w:kern w:val="0"/>
          <w:szCs w:val="24"/>
          <w:lang w:val="en-IN" w:eastAsia="en-IN"/>
          <w14:ligatures xmlns:w14="http://schemas.microsoft.com/office/word/2010/wordml" w14:val="none"/>
        </w:rPr>
        <w:t>Sosial</w:t>
      </w:r>
      <w:r>
        <w:rPr>
          <w:rFonts w:cs="Arial" w:eastAsia="Times New Roman"/>
          <w:i/>
          <w:iCs/>
          <w:kern w:val="0"/>
          <w:szCs w:val="24"/>
          <w:lang w:val="en-IN" w:eastAsia="en-IN"/>
          <w14:ligatures xmlns:w14="http://schemas.microsoft.com/office/word/2010/wordml" w14:val="none"/>
        </w:rPr>
        <w:t xml:space="preserve"> Indonesia</w:t>
      </w:r>
      <w:r>
        <w:rPr>
          <w:rFonts w:cs="Arial" w:eastAsia="Times New Roman"/>
          <w:kern w:val="0"/>
          <w:szCs w:val="24"/>
          <w:lang w:val="en-IN" w:eastAsia="en-IN"/>
          <w14:ligatures xmlns:w14="http://schemas.microsoft.com/office/word/2010/wordml" w14:val="none"/>
        </w:rPr>
        <w:t xml:space="preserve">, [online] 3(1), pp.269–292. Available at: </w:t>
      </w:r>
      <w:r>
        <w:rPr/>
        <w:fldChar w:fldCharType="begin"/>
      </w:r>
      <w:r>
        <w:instrText xml:space="preserve"> HYPERLINK "https://sisijournals.id/index.php/sisi/article/view/124" </w:instrText>
      </w:r>
      <w:r>
        <w:rPr/>
        <w:fldChar w:fldCharType="separate"/>
      </w:r>
      <w:r>
        <w:rPr>
          <w:rStyle w:val="style85"/>
          <w:rFonts w:cs="Arial" w:eastAsia="Times New Roman"/>
          <w:kern w:val="0"/>
          <w:szCs w:val="24"/>
          <w:lang w:val="en-IN" w:eastAsia="en-IN"/>
          <w14:ligatures xmlns:w14="http://schemas.microsoft.com/office/word/2010/wordml" w14:val="none"/>
        </w:rPr>
        <w:t>https://sisijournals.id/index.php/sisi/article/view/124</w:t>
      </w:r>
      <w:r>
        <w:rPr/>
        <w:fldChar w:fldCharType="end"/>
      </w:r>
      <w:r>
        <w:rPr>
          <w:rFonts w:cs="Arial" w:eastAsia="Times New Roman"/>
          <w:kern w:val="0"/>
          <w:szCs w:val="24"/>
          <w:lang w:val="en-IN" w:eastAsia="en-IN"/>
          <w14:ligatures xmlns:w14="http://schemas.microsoft.com/office/word/2010/wordml" w14:val="none"/>
        </w:rPr>
        <w:t xml:space="preserve"> </w:t>
      </w:r>
      <w:r>
        <w:rPr>
          <w:rFonts w:cs="Arial" w:eastAsia="Times New Roman"/>
          <w:kern w:val="0"/>
          <w:szCs w:val="24"/>
          <w:lang w:val="en-IN" w:eastAsia="en-IN"/>
          <w14:ligatures xmlns:w14="http://schemas.microsoft.com/office/word/2010/wordml" w14:val="none"/>
        </w:rPr>
        <w:t xml:space="preserve"> [Accessed 10 Oct. 2026].</w:t>
      </w:r>
    </w:p>
    <w:p w14:paraId="760BB80B">
      <w:pPr>
        <w:pStyle w:val="style94"/>
        <w:spacing w:before="0" w:beforeAutospacing="false" w:after="240" w:afterAutospacing="false" w:lineRule="auto" w:line="360"/>
        <w:jc w:val="both"/>
        <w:rPr/>
      </w:pPr>
      <w:r>
        <w:t xml:space="preserve">Fischer, M., </w:t>
      </w:r>
      <w:r>
        <w:t>Safaeinili</w:t>
      </w:r>
      <w:r>
        <w:t xml:space="preserve">, N., Haverfield, M.C., Brown-Johnson, C.G., </w:t>
      </w:r>
      <w:r>
        <w:t>Zionts</w:t>
      </w:r>
      <w:r>
        <w:t xml:space="preserve">, D. and </w:t>
      </w:r>
      <w:r>
        <w:t>Zulman</w:t>
      </w:r>
      <w:r>
        <w:t xml:space="preserve">, D.M. (2021). Approach to human-centered, evidence-driven adaptive design (AHEAD) for health care interventions: A proposed framework. </w:t>
      </w:r>
      <w:r>
        <w:rPr>
          <w:i/>
          <w:iCs/>
        </w:rPr>
        <w:t>Journal of General Internal Medicine</w:t>
      </w:r>
      <w:r>
        <w:t>, 36(4). doi:10.1007/s11606-020-06451-4.</w:t>
      </w:r>
    </w:p>
    <w:p w14:paraId="3783F9F7">
      <w:pPr>
        <w:pStyle w:val="style94"/>
        <w:spacing w:before="0" w:beforeAutospacing="false" w:after="240" w:afterAutospacing="false" w:lineRule="auto" w:line="360"/>
        <w:jc w:val="both"/>
        <w:rPr/>
      </w:pPr>
      <w:r>
        <w:t>Frislia</w:t>
      </w:r>
      <w:r>
        <w:t xml:space="preserve">, E. and </w:t>
      </w:r>
      <w:r>
        <w:t>Handoyo</w:t>
      </w:r>
      <w:r>
        <w:t xml:space="preserve">, S. (2020). The role of self-construal and goal orientation on employee innovative work behavior. </w:t>
      </w:r>
      <w:r>
        <w:rPr>
          <w:i/>
          <w:iCs/>
        </w:rPr>
        <w:t>Jurnal</w:t>
      </w:r>
      <w:r>
        <w:rPr>
          <w:i/>
          <w:iCs/>
        </w:rPr>
        <w:t xml:space="preserve"> </w:t>
      </w:r>
      <w:r>
        <w:rPr>
          <w:i/>
          <w:iCs/>
        </w:rPr>
        <w:t>Psikologi</w:t>
      </w:r>
      <w:r>
        <w:t>, 19(3), pp.233–245. doi:10.14710/jp.19.3.233-245.</w:t>
      </w:r>
    </w:p>
    <w:p w14:paraId="5D1950B2">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Halid, H., </w:t>
      </w:r>
      <w:r>
        <w:rPr>
          <w:rFonts w:cs="Arial" w:eastAsia="Times New Roman"/>
          <w:kern w:val="0"/>
          <w:szCs w:val="24"/>
          <w:lang w:val="en-IN" w:eastAsia="en-IN"/>
          <w14:ligatures xmlns:w14="http://schemas.microsoft.com/office/word/2010/wordml" w14:val="none"/>
        </w:rPr>
        <w:t>Ravesangar</w:t>
      </w:r>
      <w:r>
        <w:rPr>
          <w:rFonts w:cs="Arial" w:eastAsia="Times New Roman"/>
          <w:kern w:val="0"/>
          <w:szCs w:val="24"/>
          <w:lang w:val="en-IN" w:eastAsia="en-IN"/>
          <w14:ligatures xmlns:w14="http://schemas.microsoft.com/office/word/2010/wordml" w14:val="none"/>
        </w:rPr>
        <w:t xml:space="preserve">, K., Mahadzir, S.L. and Halim, S.N.A. (2024). Artificial intelligence (AI) in human resource management (HRM). </w:t>
      </w:r>
      <w:r>
        <w:rPr>
          <w:rFonts w:cs="Arial" w:eastAsia="Times New Roman"/>
          <w:i/>
          <w:iCs/>
          <w:kern w:val="0"/>
          <w:szCs w:val="24"/>
          <w:lang w:val="en-IN" w:eastAsia="en-IN"/>
          <w14:ligatures xmlns:w14="http://schemas.microsoft.com/office/word/2010/wordml" w14:val="none"/>
        </w:rPr>
        <w:t>Management and Industrial Engineering</w:t>
      </w:r>
      <w:r>
        <w:rPr>
          <w:rFonts w:cs="Arial" w:eastAsia="Times New Roman"/>
          <w:kern w:val="0"/>
          <w:szCs w:val="24"/>
          <w:lang w:val="en-IN" w:eastAsia="en-IN"/>
          <w14:ligatures xmlns:w14="http://schemas.microsoft.com/office/word/2010/wordml" w14:val="none"/>
        </w:rPr>
        <w:t>, 1(1), pp.37–70. doi:10.1007/978-3-031-52811-8_2.</w:t>
      </w:r>
    </w:p>
    <w:p w14:paraId="2F399FF2">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Holman, D., Maximiliano </w:t>
      </w:r>
      <w:r>
        <w:rPr>
          <w:rFonts w:cs="Arial" w:eastAsia="Times New Roman"/>
          <w:kern w:val="0"/>
          <w:szCs w:val="24"/>
          <w:lang w:val="en-IN" w:eastAsia="en-IN"/>
          <w14:ligatures xmlns:w14="http://schemas.microsoft.com/office/word/2010/wordml" w14:val="none"/>
        </w:rPr>
        <w:t>Escaffi</w:t>
      </w:r>
      <w:r>
        <w:rPr>
          <w:rFonts w:ascii="Cambria Math" w:cs="Cambria Math" w:eastAsia="Times New Roman" w:hAnsi="Cambria Math"/>
          <w:kern w:val="0"/>
          <w:szCs w:val="24"/>
          <w:lang w:val="en-IN" w:eastAsia="en-IN"/>
          <w14:ligatures xmlns:w14="http://schemas.microsoft.com/office/word/2010/wordml" w14:val="none"/>
        </w:rPr>
        <w:t>‐</w:t>
      </w:r>
      <w:r>
        <w:rPr>
          <w:rFonts w:cs="Arial" w:eastAsia="Times New Roman"/>
          <w:kern w:val="0"/>
          <w:szCs w:val="24"/>
          <w:lang w:val="en-IN" w:eastAsia="en-IN"/>
          <w14:ligatures xmlns:w14="http://schemas.microsoft.com/office/word/2010/wordml" w14:val="none"/>
        </w:rPr>
        <w:t xml:space="preserve">Schwarz, Vasquez, C.A., Julien Patrick Irmer and Zapf, D. (2023). Does job </w:t>
      </w:r>
      <w:r>
        <w:rPr>
          <w:rFonts w:cs="Arial" w:eastAsia="Times New Roman"/>
          <w:kern w:val="0"/>
          <w:szCs w:val="24"/>
          <w:lang w:val="en-IN" w:eastAsia="en-IN"/>
          <w14:ligatures xmlns:w14="http://schemas.microsoft.com/office/word/2010/wordml" w14:val="none"/>
        </w:rPr>
        <w:t>crafting</w:t>
      </w:r>
      <w:r>
        <w:rPr>
          <w:rFonts w:cs="Arial" w:eastAsia="Times New Roman"/>
          <w:kern w:val="0"/>
          <w:szCs w:val="24"/>
          <w:lang w:val="en-IN" w:eastAsia="en-IN"/>
          <w14:ligatures xmlns:w14="http://schemas.microsoft.com/office/word/2010/wordml" w14:val="none"/>
        </w:rPr>
        <w:t xml:space="preserve"> affect employee outcomes via job characteristics? A meta</w:t>
      </w:r>
      <w:r>
        <w:rPr>
          <w:rFonts w:ascii="Cambria Math" w:cs="Cambria Math" w:eastAsia="Times New Roman" w:hAnsi="Cambria Math"/>
          <w:kern w:val="0"/>
          <w:szCs w:val="24"/>
          <w:lang w:val="en-IN" w:eastAsia="en-IN"/>
          <w14:ligatures xmlns:w14="http://schemas.microsoft.com/office/word/2010/wordml" w14:val="none"/>
        </w:rPr>
        <w:t>‐</w:t>
      </w:r>
      <w:r>
        <w:rPr>
          <w:rFonts w:cs="Arial" w:eastAsia="Times New Roman"/>
          <w:kern w:val="0"/>
          <w:szCs w:val="24"/>
          <w:lang w:val="en-IN" w:eastAsia="en-IN"/>
          <w14:ligatures xmlns:w14="http://schemas.microsoft.com/office/word/2010/wordml" w14:val="none"/>
        </w:rPr>
        <w:t xml:space="preserve">analytic test of a key job crafting mechanism. </w:t>
      </w:r>
      <w:r>
        <w:rPr>
          <w:rFonts w:cs="Arial" w:eastAsia="Times New Roman"/>
          <w:i/>
          <w:iCs/>
          <w:kern w:val="0"/>
          <w:szCs w:val="24"/>
          <w:lang w:val="en-IN" w:eastAsia="en-IN"/>
          <w14:ligatures xmlns:w14="http://schemas.microsoft.com/office/word/2010/wordml" w14:val="none"/>
        </w:rPr>
        <w:t>Journal of Occupational and Organizational Psychology</w:t>
      </w:r>
      <w:r>
        <w:rPr>
          <w:rFonts w:cs="Arial" w:eastAsia="Times New Roman"/>
          <w:kern w:val="0"/>
          <w:szCs w:val="24"/>
          <w:lang w:val="en-IN" w:eastAsia="en-IN"/>
          <w14:ligatures xmlns:w14="http://schemas.microsoft.com/office/word/2010/wordml" w14:val="none"/>
        </w:rPr>
        <w:t>, 97(1). doi:10.1111/joop.12450.</w:t>
      </w:r>
    </w:p>
    <w:p w14:paraId="50B9D43D">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Kezar, A., Hallett, R.E., Corwin, Z.B. and Hypolite, L. (2024). Moving toward institutional culture change in higher education: An exploration into cross-functional professional learning communities. </w:t>
      </w:r>
      <w:r>
        <w:rPr>
          <w:rFonts w:cs="Arial" w:eastAsia="Times New Roman"/>
          <w:i/>
          <w:iCs/>
          <w:kern w:val="0"/>
          <w:szCs w:val="24"/>
          <w:lang w:val="en-IN" w:eastAsia="en-IN"/>
          <w14:ligatures xmlns:w14="http://schemas.microsoft.com/office/word/2010/wordml" w14:val="none"/>
        </w:rPr>
        <w:t>Innovative Higher Education</w:t>
      </w:r>
      <w:r>
        <w:rPr>
          <w:rFonts w:cs="Arial" w:eastAsia="Times New Roman"/>
          <w:kern w:val="0"/>
          <w:szCs w:val="24"/>
          <w:lang w:val="en-IN" w:eastAsia="en-IN"/>
          <w14:ligatures xmlns:w14="http://schemas.microsoft.com/office/word/2010/wordml" w14:val="none"/>
        </w:rPr>
        <w:t>, 50(2), pp.687–714. doi:10.1007/s10755-024-09753-1.</w:t>
      </w:r>
    </w:p>
    <w:p w14:paraId="04101363">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McAnally, K. and Hagger, M.S. (2024). Self-determination theory and workplace outcomes: A conceptual review and future research directions. </w:t>
      </w:r>
      <w:r>
        <w:rPr>
          <w:rFonts w:cs="Arial" w:eastAsia="Times New Roman"/>
          <w:i/>
          <w:iCs/>
          <w:kern w:val="0"/>
          <w:szCs w:val="24"/>
          <w:lang w:val="en-IN" w:eastAsia="en-IN"/>
          <w14:ligatures xmlns:w14="http://schemas.microsoft.com/office/word/2010/wordml" w14:val="none"/>
        </w:rPr>
        <w:t>Behavioral</w:t>
      </w:r>
      <w:r>
        <w:rPr>
          <w:rFonts w:cs="Arial" w:eastAsia="Times New Roman"/>
          <w:i/>
          <w:iCs/>
          <w:kern w:val="0"/>
          <w:szCs w:val="24"/>
          <w:lang w:val="en-IN" w:eastAsia="en-IN"/>
          <w14:ligatures xmlns:w14="http://schemas.microsoft.com/office/word/2010/wordml" w14:val="none"/>
        </w:rPr>
        <w:t xml:space="preserve"> sciences</w:t>
      </w:r>
      <w:r>
        <w:rPr>
          <w:rFonts w:cs="Arial" w:eastAsia="Times New Roman"/>
          <w:kern w:val="0"/>
          <w:szCs w:val="24"/>
          <w:lang w:val="en-IN" w:eastAsia="en-IN"/>
          <w14:ligatures xmlns:w14="http://schemas.microsoft.com/office/word/2010/wordml" w14:val="none"/>
        </w:rPr>
        <w:t>, 14(6), pp.1–20. doi:10.3390/bs14060428.</w:t>
      </w:r>
    </w:p>
    <w:p w14:paraId="77C46DAA">
      <w:pPr>
        <w:pStyle w:val="style94"/>
        <w:spacing w:before="0" w:beforeAutospacing="false" w:after="240" w:afterAutospacing="false" w:lineRule="auto" w:line="360"/>
        <w:jc w:val="both"/>
        <w:rPr/>
      </w:pPr>
      <w:r>
        <w:t>Meskó</w:t>
      </w:r>
      <w:r>
        <w:t xml:space="preserve">, B., Drobni, Z., Bényei, É., Gergely, B. and Győrffy, Z. (2017). Digital Health is a cultural transformation of traditional healthcare. </w:t>
      </w:r>
      <w:r>
        <w:rPr>
          <w:i/>
          <w:iCs/>
        </w:rPr>
        <w:t>mHealth</w:t>
      </w:r>
      <w:r>
        <w:t>, [online] 3(9), pp.38–38. doi:10.21037/mhealth.2017.08.07.</w:t>
      </w:r>
    </w:p>
    <w:p w14:paraId="45B01582">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Mishra, A. and Alzoubi, Y.I. (2023). Structured software development versus agile software development: A comparative analysis. </w:t>
      </w:r>
      <w:r>
        <w:rPr>
          <w:rFonts w:cs="Arial" w:eastAsia="Times New Roman"/>
          <w:i/>
          <w:iCs/>
          <w:kern w:val="0"/>
          <w:szCs w:val="24"/>
          <w:lang w:val="en-IN" w:eastAsia="en-IN"/>
          <w14:ligatures xmlns:w14="http://schemas.microsoft.com/office/word/2010/wordml" w14:val="none"/>
        </w:rPr>
        <w:t xml:space="preserve">International Journal of System </w:t>
      </w:r>
      <w:r>
        <w:rPr>
          <w:rFonts w:cs="Arial" w:eastAsia="Times New Roman"/>
          <w:i/>
          <w:iCs/>
          <w:kern w:val="0"/>
          <w:szCs w:val="24"/>
          <w:lang w:val="en-IN" w:eastAsia="en-IN"/>
          <w14:ligatures xmlns:w14="http://schemas.microsoft.com/office/word/2010/wordml" w14:val="none"/>
        </w:rPr>
        <w:t>Assurance Engineering and Management</w:t>
      </w:r>
      <w:r>
        <w:rPr>
          <w:rFonts w:cs="Arial" w:eastAsia="Times New Roman"/>
          <w:kern w:val="0"/>
          <w:szCs w:val="24"/>
          <w:lang w:val="en-IN" w:eastAsia="en-IN"/>
          <w14:ligatures xmlns:w14="http://schemas.microsoft.com/office/word/2010/wordml" w14:val="none"/>
        </w:rPr>
        <w:t>, [online] 14(4). doi:10.1007/s13198-023-01958-5.</w:t>
      </w:r>
    </w:p>
    <w:p w14:paraId="0F35F4B8">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Muzam</w:t>
      </w:r>
      <w:r>
        <w:rPr>
          <w:rFonts w:cs="Arial" w:eastAsia="Times New Roman"/>
          <w:kern w:val="0"/>
          <w:szCs w:val="24"/>
          <w:lang w:val="en-IN" w:eastAsia="en-IN"/>
          <w14:ligatures xmlns:w14="http://schemas.microsoft.com/office/word/2010/wordml" w14:val="none"/>
        </w:rPr>
        <w:t xml:space="preserve">, J., Jacek </w:t>
      </w:r>
      <w:r>
        <w:rPr>
          <w:rFonts w:cs="Arial" w:eastAsia="Times New Roman"/>
          <w:kern w:val="0"/>
          <w:szCs w:val="24"/>
          <w:lang w:val="en-IN" w:eastAsia="en-IN"/>
          <w14:ligatures xmlns:w14="http://schemas.microsoft.com/office/word/2010/wordml" w14:val="none"/>
        </w:rPr>
        <w:t>Bendkowski</w:t>
      </w:r>
      <w:r>
        <w:rPr>
          <w:rFonts w:cs="Arial" w:eastAsia="Times New Roman"/>
          <w:kern w:val="0"/>
          <w:szCs w:val="24"/>
          <w:lang w:val="en-IN" w:eastAsia="en-IN"/>
          <w14:ligatures xmlns:w14="http://schemas.microsoft.com/office/word/2010/wordml" w14:val="none"/>
        </w:rPr>
        <w:t xml:space="preserve">, Pascal </w:t>
      </w:r>
      <w:r>
        <w:rPr>
          <w:rFonts w:cs="Arial" w:eastAsia="Times New Roman"/>
          <w:kern w:val="0"/>
          <w:szCs w:val="24"/>
          <w:lang w:val="en-IN" w:eastAsia="en-IN"/>
          <w14:ligatures xmlns:w14="http://schemas.microsoft.com/office/word/2010/wordml" w14:val="none"/>
        </w:rPr>
        <w:t>Muam</w:t>
      </w:r>
      <w:r>
        <w:rPr>
          <w:rFonts w:cs="Arial" w:eastAsia="Times New Roman"/>
          <w:kern w:val="0"/>
          <w:szCs w:val="24"/>
          <w:lang w:val="en-IN" w:eastAsia="en-IN"/>
          <w14:ligatures xmlns:w14="http://schemas.microsoft.com/office/word/2010/wordml" w14:val="none"/>
        </w:rPr>
        <w:t xml:space="preserve"> </w:t>
      </w:r>
      <w:r>
        <w:rPr>
          <w:rFonts w:cs="Arial" w:eastAsia="Times New Roman"/>
          <w:kern w:val="0"/>
          <w:szCs w:val="24"/>
          <w:lang w:val="en-IN" w:eastAsia="en-IN"/>
          <w14:ligatures xmlns:w14="http://schemas.microsoft.com/office/word/2010/wordml" w14:val="none"/>
        </w:rPr>
        <w:t>Mah</w:t>
      </w:r>
      <w:r>
        <w:rPr>
          <w:rFonts w:cs="Arial" w:eastAsia="Times New Roman"/>
          <w:kern w:val="0"/>
          <w:szCs w:val="24"/>
          <w:lang w:val="en-IN" w:eastAsia="en-IN"/>
          <w14:ligatures xmlns:w14="http://schemas.microsoft.com/office/word/2010/wordml" w14:val="none"/>
        </w:rPr>
        <w:t xml:space="preserve"> and </w:t>
      </w:r>
      <w:r>
        <w:rPr>
          <w:rFonts w:cs="Arial" w:eastAsia="Times New Roman"/>
          <w:kern w:val="0"/>
          <w:szCs w:val="24"/>
          <w:lang w:val="en-IN" w:eastAsia="en-IN"/>
          <w14:ligatures xmlns:w14="http://schemas.microsoft.com/office/word/2010/wordml" w14:val="none"/>
        </w:rPr>
        <w:t>Polycap</w:t>
      </w:r>
      <w:r>
        <w:rPr>
          <w:rFonts w:cs="Arial" w:eastAsia="Times New Roman"/>
          <w:kern w:val="0"/>
          <w:szCs w:val="24"/>
          <w:lang w:val="en-IN" w:eastAsia="en-IN"/>
          <w14:ligatures xmlns:w14="http://schemas.microsoft.com/office/word/2010/wordml" w14:val="none"/>
        </w:rPr>
        <w:t xml:space="preserve"> </w:t>
      </w:r>
      <w:r>
        <w:rPr>
          <w:rFonts w:cs="Arial" w:eastAsia="Times New Roman"/>
          <w:kern w:val="0"/>
          <w:szCs w:val="24"/>
          <w:lang w:val="en-IN" w:eastAsia="en-IN"/>
          <w14:ligatures xmlns:w14="http://schemas.microsoft.com/office/word/2010/wordml" w14:val="none"/>
        </w:rPr>
        <w:t>Mudoh</w:t>
      </w:r>
      <w:r>
        <w:rPr>
          <w:rFonts w:cs="Arial" w:eastAsia="Times New Roman"/>
          <w:kern w:val="0"/>
          <w:szCs w:val="24"/>
          <w:lang w:val="en-IN" w:eastAsia="en-IN"/>
          <w14:ligatures xmlns:w14="http://schemas.microsoft.com/office/word/2010/wordml" w14:val="none"/>
        </w:rPr>
        <w:t xml:space="preserve"> (2023). The state-of-the-art of modern workplace learning: An applied assessment method of a pre-train deep learning on modern learning tools. </w:t>
      </w:r>
      <w:r>
        <w:rPr>
          <w:rFonts w:cs="Arial" w:eastAsia="Times New Roman"/>
          <w:i/>
          <w:iCs/>
          <w:kern w:val="0"/>
          <w:szCs w:val="24"/>
          <w:lang w:val="en-IN" w:eastAsia="en-IN"/>
          <w14:ligatures xmlns:w14="http://schemas.microsoft.com/office/word/2010/wordml" w14:val="none"/>
        </w:rPr>
        <w:t>The Learning Organization</w:t>
      </w:r>
      <w:r>
        <w:rPr>
          <w:rFonts w:cs="Arial" w:eastAsia="Times New Roman"/>
          <w:kern w:val="0"/>
          <w:szCs w:val="24"/>
          <w:lang w:val="en-IN" w:eastAsia="en-IN"/>
          <w14:ligatures xmlns:w14="http://schemas.microsoft.com/office/word/2010/wordml" w14:val="none"/>
        </w:rPr>
        <w:t>, 30(5). doi:10.1108/tlo-01-2023-0019.</w:t>
      </w:r>
    </w:p>
    <w:p w14:paraId="23F9FE2D">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 xml:space="preserve">R. Menaka (2023). Role of artificial intelligence (AI) in human resource management (HRM) in recent era. </w:t>
      </w:r>
      <w:r>
        <w:rPr>
          <w:rFonts w:cs="Arial" w:eastAsia="Times New Roman"/>
          <w:i/>
          <w:iCs/>
          <w:kern w:val="0"/>
          <w:szCs w:val="24"/>
          <w:lang w:val="en-IN" w:eastAsia="en-IN"/>
          <w14:ligatures xmlns:w14="http://schemas.microsoft.com/office/word/2010/wordml" w14:val="none"/>
        </w:rPr>
        <w:t>Shanlax</w:t>
      </w:r>
      <w:r>
        <w:rPr>
          <w:rFonts w:cs="Arial" w:eastAsia="Times New Roman"/>
          <w:i/>
          <w:iCs/>
          <w:kern w:val="0"/>
          <w:szCs w:val="24"/>
          <w:lang w:val="en-IN" w:eastAsia="en-IN"/>
          <w14:ligatures xmlns:w14="http://schemas.microsoft.com/office/word/2010/wordml" w14:val="none"/>
        </w:rPr>
        <w:t xml:space="preserve"> International Journal of Management</w:t>
      </w:r>
      <w:r>
        <w:rPr>
          <w:rFonts w:cs="Arial" w:eastAsia="Times New Roman"/>
          <w:kern w:val="0"/>
          <w:szCs w:val="24"/>
          <w:lang w:val="en-IN" w:eastAsia="en-IN"/>
          <w14:ligatures xmlns:w14="http://schemas.microsoft.com/office/word/2010/wordml" w14:val="none"/>
        </w:rPr>
        <w:t xml:space="preserve">, [online] 11(2), pp.32–38. Available at: </w:t>
      </w:r>
      <w:r>
        <w:rPr/>
        <w:fldChar w:fldCharType="begin"/>
      </w:r>
      <w:r>
        <w:instrText xml:space="preserve"> HYPERLINK "https://indianjournals.com/article/sijm-11-2-005" </w:instrText>
      </w:r>
      <w:r>
        <w:rPr/>
        <w:fldChar w:fldCharType="separate"/>
      </w:r>
      <w:r>
        <w:rPr>
          <w:rStyle w:val="style85"/>
          <w:rFonts w:cs="Arial" w:eastAsia="Times New Roman"/>
          <w:kern w:val="0"/>
          <w:szCs w:val="24"/>
          <w:lang w:val="en-IN" w:eastAsia="en-IN"/>
          <w14:ligatures xmlns:w14="http://schemas.microsoft.com/office/word/2010/wordml" w14:val="none"/>
        </w:rPr>
        <w:t>https://indianjournals.com/article/sijm-11-2-005</w:t>
      </w:r>
      <w:r>
        <w:rPr/>
        <w:fldChar w:fldCharType="end"/>
      </w:r>
      <w:r>
        <w:rPr>
          <w:rFonts w:cs="Arial" w:eastAsia="Times New Roman"/>
          <w:kern w:val="0"/>
          <w:szCs w:val="24"/>
          <w:lang w:val="en-IN" w:eastAsia="en-IN"/>
          <w14:ligatures xmlns:w14="http://schemas.microsoft.com/office/word/2010/wordml" w14:val="none"/>
        </w:rPr>
        <w:t xml:space="preserve"> </w:t>
      </w:r>
      <w:r>
        <w:rPr>
          <w:rFonts w:cs="Arial" w:eastAsia="Times New Roman"/>
          <w:kern w:val="0"/>
          <w:szCs w:val="24"/>
          <w:lang w:val="en-IN" w:eastAsia="en-IN"/>
          <w14:ligatures xmlns:w14="http://schemas.microsoft.com/office/word/2010/wordml" w14:val="none"/>
        </w:rPr>
        <w:t xml:space="preserve"> [Accessed 10 Oct. 2026].</w:t>
      </w:r>
    </w:p>
    <w:p w14:paraId="4898DB30">
      <w:pPr>
        <w:pStyle w:val="style94"/>
        <w:spacing w:before="0" w:beforeAutospacing="false" w:after="240" w:afterAutospacing="false" w:lineRule="auto" w:line="360"/>
        <w:jc w:val="both"/>
        <w:rPr/>
      </w:pPr>
      <w:r>
        <w:t xml:space="preserve">Rowe, A., Knox, M. and Harvey, G. (2020). Re-thinking health through design: Collaborations in research, education and practice. </w:t>
      </w:r>
      <w:r>
        <w:rPr>
          <w:i/>
          <w:iCs/>
        </w:rPr>
        <w:t>Design for Health</w:t>
      </w:r>
      <w:r>
        <w:t>, 4(3), pp.327–344. doi:10.1080/24735132.2020.1841918.</w:t>
      </w:r>
    </w:p>
    <w:p w14:paraId="2B1DAE49">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Salvoni</w:t>
      </w:r>
      <w:r>
        <w:rPr>
          <w:rFonts w:cs="Arial" w:eastAsia="Times New Roman"/>
          <w:kern w:val="0"/>
          <w:szCs w:val="24"/>
          <w:lang w:val="en-IN" w:eastAsia="en-IN"/>
          <w14:ligatures xmlns:w14="http://schemas.microsoft.com/office/word/2010/wordml" w14:val="none"/>
        </w:rPr>
        <w:t xml:space="preserve">, S., Biron, C., Gilbert, M.-H., </w:t>
      </w:r>
      <w:r>
        <w:rPr>
          <w:rFonts w:cs="Arial" w:eastAsia="Times New Roman"/>
          <w:kern w:val="0"/>
          <w:szCs w:val="24"/>
          <w:lang w:val="en-IN" w:eastAsia="en-IN"/>
          <w14:ligatures xmlns:w14="http://schemas.microsoft.com/office/word/2010/wordml" w14:val="none"/>
        </w:rPr>
        <w:t>Dextras</w:t>
      </w:r>
      <w:r>
        <w:rPr>
          <w:rFonts w:cs="Arial" w:eastAsia="Times New Roman"/>
          <w:kern w:val="0"/>
          <w:szCs w:val="24"/>
          <w:lang w:val="en-IN" w:eastAsia="en-IN"/>
          <w14:ligatures xmlns:w14="http://schemas.microsoft.com/office/word/2010/wordml" w14:val="none"/>
        </w:rPr>
        <w:t xml:space="preserve">-Gauthier, J. and Ivers, H. (2024). Managing virtual presenteeism during the COVID-19 pandemic: A multilevel study on managers’ stress management competencies to foster functional presenteeism. </w:t>
      </w:r>
      <w:r>
        <w:rPr>
          <w:rFonts w:cs="Arial" w:eastAsia="Times New Roman"/>
          <w:i/>
          <w:iCs/>
          <w:kern w:val="0"/>
          <w:szCs w:val="24"/>
          <w:lang w:val="en-IN" w:eastAsia="en-IN"/>
          <w14:ligatures xmlns:w14="http://schemas.microsoft.com/office/word/2010/wordml" w14:val="none"/>
        </w:rPr>
        <w:t>International journal of environmental research and public health</w:t>
      </w:r>
      <w:r>
        <w:rPr>
          <w:rFonts w:cs="Arial" w:eastAsia="Times New Roman"/>
          <w:kern w:val="0"/>
          <w:szCs w:val="24"/>
          <w:lang w:val="en-IN" w:eastAsia="en-IN"/>
          <w14:ligatures xmlns:w14="http://schemas.microsoft.com/office/word/2010/wordml" w14:val="none"/>
        </w:rPr>
        <w:t>, [online] 21(9), p.1115. doi:10.3390/ijerph21091115.</w:t>
      </w:r>
    </w:p>
    <w:p w14:paraId="2CB3E4F0">
      <w:pPr>
        <w:pStyle w:val="style94"/>
        <w:spacing w:before="0" w:beforeAutospacing="false" w:after="240" w:afterAutospacing="false" w:lineRule="auto" w:line="360"/>
        <w:jc w:val="both"/>
        <w:rPr/>
      </w:pPr>
      <w:r>
        <w:t>Tsekleves</w:t>
      </w:r>
      <w:r>
        <w:t xml:space="preserve">, E. and Cooper, R. (2017). Emerging trends and the way forward in design in healthcare: An expert’s perspective. </w:t>
      </w:r>
      <w:r>
        <w:rPr>
          <w:i/>
          <w:iCs/>
        </w:rPr>
        <w:t>The Design Journal</w:t>
      </w:r>
      <w:r>
        <w:t>, 20(sup1), pp.S2258-S2272. doi:10.1080/14606925.2017.1352742.</w:t>
      </w:r>
    </w:p>
    <w:p w14:paraId="0C628A6E">
      <w:pPr>
        <w:pStyle w:val="style0"/>
        <w:spacing w:after="240"/>
        <w:rPr>
          <w:rFonts w:cs="Arial" w:eastAsia="Times New Roman"/>
          <w:kern w:val="0"/>
          <w:szCs w:val="24"/>
          <w:lang w:val="en-IN" w:eastAsia="en-IN"/>
          <w14:ligatures xmlns:w14="http://schemas.microsoft.com/office/word/2010/wordml" w14:val="none"/>
        </w:rPr>
      </w:pPr>
      <w:r>
        <w:rPr>
          <w:rFonts w:cs="Arial" w:eastAsia="Times New Roman"/>
          <w:kern w:val="0"/>
          <w:szCs w:val="24"/>
          <w:lang w:val="en-IN" w:eastAsia="en-IN"/>
          <w14:ligatures xmlns:w14="http://schemas.microsoft.com/office/word/2010/wordml" w14:val="none"/>
        </w:rPr>
        <w:t>Vöcking</w:t>
      </w:r>
      <w:r>
        <w:rPr>
          <w:rFonts w:cs="Arial" w:eastAsia="Times New Roman"/>
          <w:kern w:val="0"/>
          <w:szCs w:val="24"/>
          <w:lang w:val="en-IN" w:eastAsia="en-IN"/>
          <w14:ligatures xmlns:w14="http://schemas.microsoft.com/office/word/2010/wordml" w14:val="none"/>
        </w:rPr>
        <w:t xml:space="preserve">, M., </w:t>
      </w:r>
      <w:r>
        <w:rPr>
          <w:rFonts w:cs="Arial" w:eastAsia="Times New Roman"/>
          <w:kern w:val="0"/>
          <w:szCs w:val="24"/>
          <w:lang w:val="en-IN" w:eastAsia="en-IN"/>
          <w14:ligatures xmlns:w14="http://schemas.microsoft.com/office/word/2010/wordml" w14:val="none"/>
        </w:rPr>
        <w:t>Karrenbrock</w:t>
      </w:r>
      <w:r>
        <w:rPr>
          <w:rFonts w:cs="Arial" w:eastAsia="Times New Roman"/>
          <w:kern w:val="0"/>
          <w:szCs w:val="24"/>
          <w:lang w:val="en-IN" w:eastAsia="en-IN"/>
          <w14:ligatures xmlns:w14="http://schemas.microsoft.com/office/word/2010/wordml" w14:val="none"/>
        </w:rPr>
        <w:t xml:space="preserve">, A., Beckmann, A., </w:t>
      </w:r>
      <w:r>
        <w:rPr>
          <w:rFonts w:cs="Arial" w:eastAsia="Times New Roman"/>
          <w:kern w:val="0"/>
          <w:szCs w:val="24"/>
          <w:lang w:val="en-IN" w:eastAsia="en-IN"/>
          <w14:ligatures xmlns:w14="http://schemas.microsoft.com/office/word/2010/wordml" w14:val="none"/>
        </w:rPr>
        <w:t>Vondeberg</w:t>
      </w:r>
      <w:r>
        <w:rPr>
          <w:rFonts w:cs="Arial" w:eastAsia="Times New Roman"/>
          <w:kern w:val="0"/>
          <w:szCs w:val="24"/>
          <w:lang w:val="en-IN" w:eastAsia="en-IN"/>
          <w14:ligatures xmlns:w14="http://schemas.microsoft.com/office/word/2010/wordml" w14:val="none"/>
        </w:rPr>
        <w:t xml:space="preserve">, C., Obert, L., Hemming, B., </w:t>
      </w:r>
      <w:r>
        <w:rPr>
          <w:rFonts w:cs="Arial" w:eastAsia="Times New Roman"/>
          <w:kern w:val="0"/>
          <w:szCs w:val="24"/>
          <w:lang w:val="en-IN" w:eastAsia="en-IN"/>
          <w14:ligatures xmlns:w14="http://schemas.microsoft.com/office/word/2010/wordml" w14:val="none"/>
        </w:rPr>
        <w:t>Minartz</w:t>
      </w:r>
      <w:r>
        <w:rPr>
          <w:rFonts w:cs="Arial" w:eastAsia="Times New Roman"/>
          <w:kern w:val="0"/>
          <w:szCs w:val="24"/>
          <w:lang w:val="en-IN" w:eastAsia="en-IN"/>
          <w14:ligatures xmlns:w14="http://schemas.microsoft.com/office/word/2010/wordml" w14:val="none"/>
        </w:rPr>
        <w:t xml:space="preserve">, P., Bleck, C., </w:t>
      </w:r>
      <w:r>
        <w:rPr>
          <w:rFonts w:cs="Arial" w:eastAsia="Times New Roman"/>
          <w:kern w:val="0"/>
          <w:szCs w:val="24"/>
          <w:lang w:val="en-IN" w:eastAsia="en-IN"/>
          <w14:ligatures xmlns:w14="http://schemas.microsoft.com/office/word/2010/wordml" w14:val="none"/>
        </w:rPr>
        <w:t>Cürlis</w:t>
      </w:r>
      <w:r>
        <w:rPr>
          <w:rFonts w:cs="Arial" w:eastAsia="Times New Roman"/>
          <w:kern w:val="0"/>
          <w:szCs w:val="24"/>
          <w:lang w:val="en-IN" w:eastAsia="en-IN"/>
          <w14:ligatures xmlns:w14="http://schemas.microsoft.com/office/word/2010/wordml" w14:val="none"/>
        </w:rPr>
        <w:t xml:space="preserve">, D. and Kuske, S. (2024). Emotional and psychological safety in healthcare digitalization: A design ethnographic study. </w:t>
      </w:r>
      <w:r>
        <w:rPr>
          <w:rFonts w:cs="Arial" w:eastAsia="Times New Roman"/>
          <w:i/>
          <w:iCs/>
          <w:kern w:val="0"/>
          <w:szCs w:val="24"/>
          <w:lang w:val="en-IN" w:eastAsia="en-IN"/>
          <w14:ligatures xmlns:w14="http://schemas.microsoft.com/office/word/2010/wordml" w14:val="none"/>
        </w:rPr>
        <w:t>International Journal of Public Health</w:t>
      </w:r>
      <w:r>
        <w:rPr>
          <w:rFonts w:cs="Arial" w:eastAsia="Times New Roman"/>
          <w:kern w:val="0"/>
          <w:szCs w:val="24"/>
          <w:lang w:val="en-IN" w:eastAsia="en-IN"/>
          <w14:ligatures xmlns:w14="http://schemas.microsoft.com/office/word/2010/wordml" w14:val="none"/>
        </w:rPr>
        <w:t>, 69(1). doi:10.3389/ijph.2024.1607575.</w:t>
      </w:r>
    </w:p>
    <w:p w14:paraId="3B655D20">
      <w:pPr>
        <w:pStyle w:val="style0"/>
        <w:spacing w:after="240"/>
        <w:rPr>
          <w:rFonts w:cs="Arial" w:eastAsia="Times New Roman"/>
          <w:kern w:val="0"/>
          <w:szCs w:val="24"/>
          <w:lang w:val="en-IN" w:eastAsia="en-IN"/>
          <w14:ligatures xmlns:w14="http://schemas.microsoft.com/office/word/2010/wordml" w14:val="none"/>
        </w:rPr>
      </w:pPr>
    </w:p>
    <w:p w14:paraId="3AB2732F">
      <w:pPr>
        <w:pStyle w:val="style0"/>
        <w:rPr/>
      </w:pPr>
    </w:p>
    <w:sectPr>
      <w:footerReference w:type="default" r:id="rId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 w:name="Cambria Math">
    <w:altName w:val="Cambria Math"/>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74AD9335">
    <w:pPr>
      <w:pStyle w:val="style32"/>
      <w:jc w:val="right"/>
      <w:rPr/>
    </w:pPr>
    <w:r>
      <w:rPr/>
      <w:fldChar w:fldCharType="begin"/>
    </w:r>
    <w:r>
      <w:instrText xml:space="preserve"> PAGE   \* MERGEFORMAT </w:instrText>
    </w:r>
    <w:r>
      <w:rPr/>
      <w:fldChar w:fldCharType="separate"/>
    </w:r>
    <w:r>
      <w:rPr>
        <w:noProof/>
      </w:rPr>
      <w:t>10</w:t>
    </w:r>
    <w:r>
      <w:rPr>
        <w:noProof/>
      </w:rPr>
      <w:fldChar w:fldCharType="end"/>
    </w:r>
  </w:p>
  <w:p w14:paraId="41F53B3C">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0BEA96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US"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Arial" w:hAnsi="Arial"/>
      <w:sz w:val="24"/>
      <w:lang w:val="en-GB"/>
    </w:rPr>
  </w:style>
  <w:style w:type="paragraph" w:styleId="style1">
    <w:name w:val="heading 1"/>
    <w:basedOn w:val="style0"/>
    <w:next w:val="style0"/>
    <w:link w:val="style4100"/>
    <w:qFormat/>
    <w:uiPriority w:val="9"/>
    <w:pPr>
      <w:keepNext/>
      <w:keepLines/>
      <w:spacing w:before="240" w:after="0"/>
      <w:outlineLvl w:val="0"/>
    </w:pPr>
    <w:rPr>
      <w:rFonts w:cs="宋体" w:eastAsia="宋体"/>
      <w:color w:val="2f5496"/>
      <w:sz w:val="32"/>
      <w:szCs w:val="32"/>
    </w:rPr>
  </w:style>
  <w:style w:type="paragraph" w:styleId="style2">
    <w:name w:val="heading 2"/>
    <w:basedOn w:val="style0"/>
    <w:next w:val="style0"/>
    <w:link w:val="style4101"/>
    <w:qFormat/>
    <w:uiPriority w:val="9"/>
    <w:pPr>
      <w:keepNext/>
      <w:keepLines/>
      <w:spacing w:before="40" w:after="0"/>
      <w:outlineLvl w:val="1"/>
    </w:pPr>
    <w:rPr>
      <w:rFonts w:cs="宋体" w:eastAsia="宋体"/>
      <w:color w:val="2f5496"/>
      <w:sz w:val="28"/>
      <w:szCs w:val="26"/>
    </w:rPr>
  </w:style>
  <w:style w:type="paragraph" w:styleId="style3">
    <w:name w:val="heading 3"/>
    <w:basedOn w:val="style0"/>
    <w:next w:val="style0"/>
    <w:link w:val="style4102"/>
    <w:qFormat/>
    <w:uiPriority w:val="9"/>
    <w:pPr>
      <w:keepNext/>
      <w:keepLines/>
      <w:spacing w:before="40" w:after="0"/>
      <w:outlineLvl w:val="2"/>
    </w:pPr>
    <w:rPr>
      <w:rFonts w:cs="宋体" w:eastAsia="宋体"/>
      <w:b/>
      <w:color w:val="1f3763"/>
      <w:sz w:val="26"/>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1">
    <w:name w:val="header"/>
    <w:basedOn w:val="style0"/>
    <w:next w:val="style31"/>
    <w:link w:val="style4097"/>
    <w:uiPriority w:val="99"/>
    <w:pPr>
      <w:tabs>
        <w:tab w:val="center" w:leader="none" w:pos="4680"/>
        <w:tab w:val="right" w:leader="none" w:pos="9360"/>
      </w:tabs>
      <w:spacing w:after="0" w:lineRule="auto" w:line="240"/>
    </w:pPr>
    <w:rPr/>
  </w:style>
  <w:style w:type="character" w:customStyle="1" w:styleId="style4097">
    <w:name w:val="Header Char_13f440a8-008f-4938-ae6d-b853e86fec22"/>
    <w:basedOn w:val="style65"/>
    <w:next w:val="style4097"/>
    <w:link w:val="style31"/>
    <w:uiPriority w:val="99"/>
    <w:rPr>
      <w:rFonts w:ascii="Times New Roman" w:hAnsi="Times New Roman"/>
      <w:sz w:val="24"/>
      <w:lang w:val="en-GB"/>
    </w:rPr>
  </w:style>
  <w:style w:type="paragraph" w:styleId="style32">
    <w:name w:val="footer"/>
    <w:basedOn w:val="style0"/>
    <w:next w:val="style32"/>
    <w:link w:val="style4098"/>
    <w:uiPriority w:val="99"/>
    <w:pPr>
      <w:tabs>
        <w:tab w:val="center" w:leader="none" w:pos="4680"/>
        <w:tab w:val="right" w:leader="none" w:pos="9360"/>
      </w:tabs>
      <w:spacing w:after="0" w:lineRule="auto" w:line="240"/>
    </w:pPr>
    <w:rPr/>
  </w:style>
  <w:style w:type="character" w:customStyle="1" w:styleId="style4098">
    <w:name w:val="Footer Char_d6ccff55-8c17-4b2b-a770-274f5a14a49c"/>
    <w:basedOn w:val="style65"/>
    <w:next w:val="style4098"/>
    <w:link w:val="style32"/>
    <w:uiPriority w:val="99"/>
    <w:rPr>
      <w:rFonts w:ascii="Times New Roman" w:hAnsi="Times New Roman"/>
      <w:sz w:val="24"/>
      <w:lang w:val="en-GB"/>
    </w:rPr>
  </w:style>
  <w:style w:type="paragraph" w:styleId="style62">
    <w:name w:val="Title"/>
    <w:basedOn w:val="style0"/>
    <w:next w:val="style0"/>
    <w:link w:val="style4099"/>
    <w:qFormat/>
    <w:uiPriority w:val="10"/>
    <w:pPr>
      <w:spacing w:after="0" w:lineRule="auto" w:line="240"/>
      <w:contextualSpacing/>
    </w:pPr>
    <w:rPr>
      <w:rFonts w:ascii="Calibri Light" w:cs="宋体" w:eastAsia="宋体" w:hAnsi="Calibri Light"/>
      <w:spacing w:val="-10"/>
      <w:kern w:val="28"/>
      <w:sz w:val="56"/>
      <w:szCs w:val="56"/>
    </w:rPr>
  </w:style>
  <w:style w:type="character" w:customStyle="1" w:styleId="style4099">
    <w:name w:val="Title Char_87743dd2-a946-4a98-8d13-cf3bdb83d9bf"/>
    <w:basedOn w:val="style65"/>
    <w:next w:val="style4099"/>
    <w:link w:val="style62"/>
    <w:uiPriority w:val="10"/>
    <w:rPr>
      <w:rFonts w:ascii="Calibri Light" w:cs="宋体" w:eastAsia="宋体" w:hAnsi="Calibri Light"/>
      <w:spacing w:val="-10"/>
      <w:kern w:val="28"/>
      <w:sz w:val="56"/>
      <w:szCs w:val="56"/>
      <w:lang w:val="en-GB"/>
    </w:rPr>
  </w:style>
  <w:style w:type="character" w:customStyle="1" w:styleId="style4100">
    <w:name w:val="Heading 1 Char_d1066ea2-c97b-407e-bd17-e4bc9546dbbf"/>
    <w:basedOn w:val="style65"/>
    <w:next w:val="style4100"/>
    <w:link w:val="style1"/>
    <w:uiPriority w:val="9"/>
    <w:rPr>
      <w:rFonts w:ascii="Times New Roman" w:cs="宋体" w:eastAsia="宋体" w:hAnsi="Times New Roman"/>
      <w:color w:val="2f5496"/>
      <w:sz w:val="32"/>
      <w:szCs w:val="32"/>
      <w:lang w:val="en-GB"/>
    </w:rPr>
  </w:style>
  <w:style w:type="paragraph" w:styleId="style266">
    <w:name w:val="TOC Heading"/>
    <w:basedOn w:val="style1"/>
    <w:next w:val="style0"/>
    <w:qFormat/>
    <w:uiPriority w:val="39"/>
    <w:pPr>
      <w:spacing w:lineRule="auto" w:line="259"/>
      <w:jc w:val="left"/>
      <w:outlineLvl w:val="9"/>
    </w:pPr>
    <w:rPr>
      <w:kern w:val="0"/>
      <w:lang w:val="en-US"/>
      <w14:ligatures xmlns:w14="http://schemas.microsoft.com/office/word/2010/wordml" w14:val="none"/>
    </w:rPr>
  </w:style>
  <w:style w:type="character" w:customStyle="1" w:styleId="style4101">
    <w:name w:val="Heading 2 Char_85244328-08d1-4ebc-8ff7-d4931701be72"/>
    <w:basedOn w:val="style65"/>
    <w:next w:val="style4101"/>
    <w:link w:val="style2"/>
    <w:uiPriority w:val="9"/>
    <w:rPr>
      <w:rFonts w:ascii="Times New Roman" w:cs="宋体" w:eastAsia="宋体" w:hAnsi="Times New Roman"/>
      <w:color w:val="2f5496"/>
      <w:sz w:val="28"/>
      <w:szCs w:val="26"/>
      <w:lang w:val="en-GB"/>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34">
    <w:name w:val="caption"/>
    <w:basedOn w:val="style0"/>
    <w:next w:val="style0"/>
    <w:qFormat/>
    <w:uiPriority w:val="35"/>
    <w:pPr>
      <w:spacing w:after="200"/>
      <w:jc w:val="center"/>
    </w:pPr>
    <w:rPr>
      <w:b/>
      <w:i/>
      <w:iCs/>
      <w:szCs w:val="18"/>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kern w:val="0"/>
      <w:szCs w:val="24"/>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character" w:customStyle="1" w:styleId="style4102">
    <w:name w:val="Heading 3 Char_bbb207df-2c8b-4df7-a80d-ff8aa79af94d"/>
    <w:basedOn w:val="style65"/>
    <w:next w:val="style4102"/>
    <w:link w:val="style3"/>
    <w:uiPriority w:val="9"/>
    <w:rPr>
      <w:rFonts w:ascii="Times New Roman" w:cs="宋体" w:eastAsia="宋体" w:hAnsi="Times New Roman"/>
      <w:b/>
      <w:color w:val="1f3763"/>
      <w:sz w:val="26"/>
      <w:szCs w:val="24"/>
      <w:lang w:val="en-GB"/>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footer" Target="footer1.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ED59A-8FCC-430C-A96F-546230AFD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Words>3641</Words>
  <Pages>17</Pages>
  <Characters>24292</Characters>
  <Application>WPS Office</Application>
  <DocSecurity>0</DocSecurity>
  <Paragraphs>221</Paragraphs>
  <ScaleCrop>false</ScaleCrop>
  <LinksUpToDate>false</LinksUpToDate>
  <CharactersWithSpaces>27807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2026-10-06T05:35:00Z</dcterms:created>
  <dc:creator>WPS Office</dc:creator>
  <lastModifiedBy>22111317I</lastModifiedBy>
  <dcterms:modified xsi:type="dcterms:W3CDTF">2026-10-14T18:11:38Z</dcterms:modified>
  <revision>5</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85b23be7-470c-4523-8495-80197c790a6c</vt:lpwstr>
  </property>
  <property fmtid="{D5CDD505-2E9C-101B-9397-08002B2CF9AE}" pid="3" name="ICV">
    <vt:lpwstr>37dbc7c762604a22a6cd77677b76212b_23</vt:lpwstr>
  </property>
</Properties>
</file>