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33AC54F"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296E8B">
              <w:rPr>
                <w:rFonts w:ascii="Times New Roman" w:hAnsi="Times New Roman" w:cs="Times New Roman"/>
                <w:b/>
                <w:color w:val="auto"/>
                <w:sz w:val="48"/>
              </w:rPr>
              <w:t>Jessica Thomas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DB618B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296E8B">
              <w:rPr>
                <w:rFonts w:ascii="Times New Roman" w:hAnsi="Times New Roman" w:cs="Times New Roman"/>
                <w:b/>
                <w:color w:val="auto"/>
                <w:sz w:val="48"/>
              </w:rPr>
              <w:t xml:space="preserve"> </w:t>
            </w:r>
            <w:r w:rsidR="00296E8B">
              <w:rPr>
                <w:rFonts w:ascii="Times New Roman" w:hAnsi="Times New Roman" w:cs="Times New Roman"/>
                <w:b/>
                <w:color w:val="auto"/>
                <w:sz w:val="48"/>
              </w:rPr>
              <w:t>1701443@student.uwtsd.ac.uk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208C9A30"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296E8B" w:rsidRPr="00296E8B">
              <w:rPr>
                <w:rFonts w:ascii="Times New Roman" w:hAnsi="Times New Roman" w:cs="Times New Roman"/>
                <w:b/>
                <w:color w:val="auto"/>
                <w:sz w:val="36"/>
                <w:szCs w:val="36"/>
              </w:rPr>
              <w:t xml:space="preserve"> </w:t>
            </w:r>
            <w:r w:rsidR="00296E8B" w:rsidRPr="00296E8B">
              <w:rPr>
                <w:rFonts w:ascii="Times New Roman" w:hAnsi="Times New Roman" w:cs="Times New Roman"/>
                <w:b/>
                <w:color w:val="auto"/>
                <w:sz w:val="36"/>
                <w:szCs w:val="36"/>
              </w:rPr>
              <w:t>1701443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287F7437"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Pr="00296E8B">
              <w:rPr>
                <w:rFonts w:ascii="Times New Roman" w:hAnsi="Times New Roman" w:cs="Times New Roman"/>
                <w:b/>
                <w:color w:val="auto"/>
                <w:sz w:val="40"/>
                <w:szCs w:val="40"/>
              </w:rPr>
              <w:t>1</w:t>
            </w:r>
            <w:r w:rsidR="00296E8B" w:rsidRPr="00296E8B">
              <w:rPr>
                <w:rFonts w:ascii="Times New Roman" w:hAnsi="Times New Roman" w:cs="Times New Roman"/>
                <w:b/>
                <w:color w:val="auto"/>
                <w:sz w:val="40"/>
                <w:szCs w:val="40"/>
              </w:rPr>
              <w:t>9</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5A670606" w14:textId="63DC81B5" w:rsidR="00F546D1" w:rsidRPr="00EE5BC3" w:rsidRDefault="007374EF" w:rsidP="00296E8B">
      <w:pPr>
        <w:jc w:val="center"/>
        <w:rPr>
          <w:sz w:val="28"/>
          <w:szCs w:val="28"/>
        </w:rPr>
      </w:pPr>
      <w:r w:rsidRPr="00EE5BC3">
        <w:rPr>
          <w:b/>
          <w:sz w:val="28"/>
          <w:szCs w:val="28"/>
        </w:rPr>
        <w:lastRenderedPageBreak/>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5344C11" w14:textId="77777777" w:rsidR="00296E8B" w:rsidRPr="00A73C34" w:rsidRDefault="00296E8B" w:rsidP="00296E8B">
            <w:pPr>
              <w:rPr>
                <w:b/>
                <w:sz w:val="24"/>
                <w:szCs w:val="24"/>
              </w:rPr>
            </w:pPr>
            <w:r w:rsidRPr="00A73C34">
              <w:rPr>
                <w:b/>
                <w:sz w:val="24"/>
                <w:szCs w:val="24"/>
              </w:rPr>
              <w:t>CASE STUDY</w:t>
            </w:r>
          </w:p>
          <w:p w14:paraId="6256F43A" w14:textId="77777777" w:rsidR="00296E8B" w:rsidRPr="00A73C34" w:rsidRDefault="00296E8B" w:rsidP="00296E8B">
            <w:pPr>
              <w:rPr>
                <w:i/>
                <w:sz w:val="24"/>
                <w:szCs w:val="24"/>
              </w:rPr>
            </w:pPr>
          </w:p>
          <w:p w14:paraId="3CE43CEC" w14:textId="77777777" w:rsidR="00296E8B" w:rsidRPr="00A73C34" w:rsidRDefault="00296E8B" w:rsidP="00296E8B">
            <w:pPr>
              <w:jc w:val="both"/>
              <w:rPr>
                <w:iCs/>
                <w:sz w:val="24"/>
                <w:szCs w:val="24"/>
              </w:rPr>
            </w:pPr>
            <w:r w:rsidRPr="00A73C34">
              <w:rPr>
                <w:iCs/>
                <w:sz w:val="24"/>
                <w:szCs w:val="24"/>
              </w:rPr>
              <w:t>This case study will discuss key aspects of child safeguarding and include examples of how the Author (Social Worker) met core objectives of the consolidation programme. ‘Safeguarding’ is defined as the protective measures taken to keep vulnerable individuals (adult or child) safe from harm or potential harm. This also entails educating the network around the individual to recognise risk and indicators of concern (‘Wales Safeguarding Procedures’ [WSP], Social Care Wales [SCW], 2024). At the core of safeguarding practice (Wales) are two fundamental principles: 1. “Safeguarding is everybody's responsibility” (‘Working Together to Safeguard People: Code of Safeguarding Practice’ [</w:t>
            </w:r>
            <w:proofErr w:type="gramStart"/>
            <w:r w:rsidRPr="00A73C34">
              <w:rPr>
                <w:iCs/>
                <w:sz w:val="24"/>
                <w:szCs w:val="24"/>
              </w:rPr>
              <w:t>WTSP:CSP</w:t>
            </w:r>
            <w:proofErr w:type="gramEnd"/>
            <w:r w:rsidRPr="00A73C34">
              <w:rPr>
                <w:iCs/>
                <w:sz w:val="24"/>
                <w:szCs w:val="24"/>
              </w:rPr>
              <w:t xml:space="preserve">] Welsh Government [WG], 2022b, p.3); and 2. Practice is child-centred (WSP, SCW, 2024). The ‘Code of Professional Practice for Social Care’ (SCW, 2017) affirms professional accountability and ensures that workers are duty bound to promote safety whilst balancing Rights. </w:t>
            </w:r>
            <w:r w:rsidRPr="00A73C34">
              <w:rPr>
                <w:iCs/>
                <w:color w:val="auto"/>
                <w:sz w:val="24"/>
                <w:szCs w:val="24"/>
              </w:rPr>
              <w:t>This objective</w:t>
            </w:r>
            <w:r w:rsidRPr="00A73C34">
              <w:rPr>
                <w:iCs/>
                <w:sz w:val="24"/>
                <w:szCs w:val="24"/>
              </w:rPr>
              <w:t xml:space="preserve"> is enshrined within the United Nations Convention for the Rights of the Child (UNCRC) 1989 (Article 19) on a global level. </w:t>
            </w:r>
            <w:r w:rsidRPr="00A73C34">
              <w:rPr>
                <w:iCs/>
                <w:color w:val="auto"/>
                <w:sz w:val="24"/>
                <w:szCs w:val="24"/>
              </w:rPr>
              <w:t xml:space="preserve">Due to their holistic significance, the UNCRC have been embedded within Welsh legislation and are a central consideration when working with children and </w:t>
            </w:r>
            <w:proofErr w:type="gramStart"/>
            <w:r w:rsidRPr="00A73C34">
              <w:rPr>
                <w:iCs/>
                <w:color w:val="auto"/>
                <w:sz w:val="24"/>
                <w:szCs w:val="24"/>
              </w:rPr>
              <w:t>young-people</w:t>
            </w:r>
            <w:proofErr w:type="gramEnd"/>
            <w:r w:rsidRPr="00A73C34">
              <w:rPr>
                <w:sz w:val="24"/>
                <w:szCs w:val="24"/>
              </w:rPr>
              <w:t xml:space="preserve"> (Holland, 2024: Children’s Commissioner for Wales</w:t>
            </w:r>
            <w:r w:rsidRPr="00A73C34">
              <w:rPr>
                <w:color w:val="auto"/>
                <w:sz w:val="24"/>
                <w:szCs w:val="24"/>
              </w:rPr>
              <w:t>)</w:t>
            </w:r>
            <w:r w:rsidRPr="00A73C34">
              <w:rPr>
                <w:iCs/>
                <w:color w:val="auto"/>
                <w:sz w:val="24"/>
                <w:szCs w:val="24"/>
              </w:rPr>
              <w:t xml:space="preserve">. </w:t>
            </w:r>
            <w:r w:rsidRPr="00A73C34">
              <w:rPr>
                <w:iCs/>
                <w:sz w:val="24"/>
                <w:szCs w:val="24"/>
              </w:rPr>
              <w:t xml:space="preserve">The UNCRC 1989 (preamble) states that “the child, by reason of his physical and mental immaturity, needs special safeguards and care, including appropriate legal protection, before as well as after birth” (UNICEF, 2016, p.1). Childhood is therefore a critical period within the life-course, where the status of vulnerability is automatic. </w:t>
            </w:r>
          </w:p>
          <w:p w14:paraId="1B01FA23" w14:textId="77777777" w:rsidR="00296E8B" w:rsidRPr="00A73C34" w:rsidRDefault="00296E8B" w:rsidP="00296E8B">
            <w:pPr>
              <w:jc w:val="both"/>
              <w:rPr>
                <w:iCs/>
                <w:sz w:val="24"/>
                <w:szCs w:val="24"/>
              </w:rPr>
            </w:pPr>
          </w:p>
          <w:p w14:paraId="35E5C05F" w14:textId="77777777" w:rsidR="00296E8B" w:rsidRPr="00A73C34" w:rsidRDefault="00296E8B" w:rsidP="00296E8B">
            <w:pPr>
              <w:jc w:val="both"/>
              <w:rPr>
                <w:iCs/>
                <w:sz w:val="24"/>
                <w:szCs w:val="24"/>
              </w:rPr>
            </w:pPr>
            <w:r w:rsidRPr="00A73C34">
              <w:rPr>
                <w:iCs/>
                <w:sz w:val="24"/>
                <w:szCs w:val="24"/>
              </w:rPr>
              <w:t xml:space="preserve">A recent self-referral was received for a combined ‘Needs Assessment’ (Act of Senedd Cymru: Social Services and Wellbeing [Wales] Act 2014 [SSWBWA 2014], Part 3, section 21 [child] and 24 [carer]) for ‘5’ and his mother, ‘6’. 5 is aged seven with a diagnosis of </w:t>
            </w:r>
            <w:proofErr w:type="gramStart"/>
            <w:r w:rsidRPr="00A73C34">
              <w:rPr>
                <w:iCs/>
                <w:sz w:val="24"/>
                <w:szCs w:val="24"/>
              </w:rPr>
              <w:t xml:space="preserve">Autism Spectrum </w:t>
            </w:r>
            <w:r w:rsidRPr="00A73C34">
              <w:rPr>
                <w:iCs/>
                <w:sz w:val="24"/>
                <w:szCs w:val="24"/>
              </w:rPr>
              <w:lastRenderedPageBreak/>
              <w:t>Disorder</w:t>
            </w:r>
            <w:proofErr w:type="gramEnd"/>
            <w:r w:rsidRPr="00A73C34">
              <w:rPr>
                <w:iCs/>
                <w:sz w:val="24"/>
                <w:szCs w:val="24"/>
              </w:rPr>
              <w:t xml:space="preserve"> (ASD), Mosaicism and currently undergoing medical investigations for Smiths Lemli Opitz Syndrome. 5 is described as ‘preverbal’, however, can echo-back simple words. 5 lives at home with his brother ‘4’ (aged ten) who is currently on the ASD Pathway for assessment. 6 (as stated in the referral) is a full-time lone-parent and carer to the two children. According to the most recent publication of the ‘Welsh Index of Multiple Deprivation’ (WG, 2019) the family home, is located within a small area of deep-rooted deprivation.</w:t>
            </w:r>
          </w:p>
          <w:p w14:paraId="4A11C411" w14:textId="77777777" w:rsidR="00296E8B" w:rsidRPr="00A73C34" w:rsidRDefault="00296E8B" w:rsidP="00296E8B">
            <w:pPr>
              <w:jc w:val="both"/>
              <w:rPr>
                <w:iCs/>
                <w:sz w:val="24"/>
                <w:szCs w:val="24"/>
              </w:rPr>
            </w:pPr>
          </w:p>
          <w:p w14:paraId="269BABED" w14:textId="77777777" w:rsidR="00296E8B" w:rsidRPr="00A73C34" w:rsidRDefault="00296E8B" w:rsidP="00296E8B">
            <w:pPr>
              <w:jc w:val="both"/>
              <w:rPr>
                <w:iCs/>
                <w:sz w:val="24"/>
                <w:szCs w:val="24"/>
              </w:rPr>
            </w:pPr>
            <w:r w:rsidRPr="00A73C34">
              <w:rPr>
                <w:iCs/>
                <w:sz w:val="24"/>
                <w:szCs w:val="24"/>
              </w:rPr>
              <w:t xml:space="preserve">The referral stated that 6 was requesting assistance due to competing needs within the home, the challenges of managing those needs, and the impact of the caring role. Early indications of eligibility (Care and Support Eligibility [Wales] Regulations 2015) centred on the recorded disabilities of the child, and the additional caring role of the parent. Eligibility would be fully explored as part of the ‘Needs Assessment’ (SSWBWA 2014, Part 3). This assessment was assigned to the Child Disability Team (CDT) for completion. </w:t>
            </w:r>
          </w:p>
          <w:p w14:paraId="3D1F5E37" w14:textId="77777777" w:rsidR="00296E8B" w:rsidRPr="00A73C34" w:rsidRDefault="00296E8B" w:rsidP="00296E8B">
            <w:pPr>
              <w:jc w:val="both"/>
              <w:rPr>
                <w:iCs/>
                <w:sz w:val="24"/>
                <w:szCs w:val="24"/>
              </w:rPr>
            </w:pPr>
          </w:p>
          <w:p w14:paraId="776E49E1" w14:textId="77777777" w:rsidR="00296E8B" w:rsidRPr="00A73C34" w:rsidRDefault="00296E8B" w:rsidP="00296E8B">
            <w:pPr>
              <w:jc w:val="both"/>
              <w:rPr>
                <w:iCs/>
                <w:sz w:val="24"/>
                <w:szCs w:val="24"/>
              </w:rPr>
            </w:pPr>
            <w:r w:rsidRPr="00A73C34">
              <w:rPr>
                <w:iCs/>
                <w:sz w:val="24"/>
                <w:szCs w:val="24"/>
              </w:rPr>
              <w:t>As contact information had been recorded as ‘confidential’ there was no prompt way for the Author to contact the family without breaching confidentiality and potentially the General Data Protection Regulation 2016. This concern was discussed with the line-manager. The Author reflected that the information deficit could have been detrimental if an urgent response had been necessary (such as when conducting safeguarding enquiries).</w:t>
            </w:r>
          </w:p>
          <w:p w14:paraId="5D153E23" w14:textId="77777777" w:rsidR="00296E8B" w:rsidRPr="00D255A2" w:rsidRDefault="00296E8B" w:rsidP="00296E8B">
            <w:pPr>
              <w:jc w:val="both"/>
              <w:rPr>
                <w:iCs/>
                <w:sz w:val="24"/>
                <w:szCs w:val="24"/>
                <w:highlight w:val="cyan"/>
              </w:rPr>
            </w:pPr>
          </w:p>
          <w:p w14:paraId="12FDB93B" w14:textId="77777777" w:rsidR="00296E8B" w:rsidRPr="00435C98" w:rsidRDefault="00296E8B" w:rsidP="00296E8B">
            <w:pPr>
              <w:jc w:val="both"/>
              <w:rPr>
                <w:iCs/>
                <w:sz w:val="24"/>
                <w:szCs w:val="24"/>
              </w:rPr>
            </w:pPr>
            <w:r w:rsidRPr="00435C98">
              <w:rPr>
                <w:iCs/>
                <w:sz w:val="24"/>
                <w:szCs w:val="24"/>
              </w:rPr>
              <w:t xml:space="preserve">Shortly after the referral was received, Social Services (SS) were contacted by the Police Department regarding a ‘999’ call-out from a distressed mother (6) seeking assistance during a domestic incident. The report stated that ‘her son’ (‘3’, aged twelve) had absconded from the family home in an extremely emotional state and carrying </w:t>
            </w:r>
            <w:proofErr w:type="spellStart"/>
            <w:r w:rsidRPr="00435C98">
              <w:rPr>
                <w:iCs/>
                <w:sz w:val="24"/>
                <w:szCs w:val="24"/>
              </w:rPr>
              <w:t>‘a</w:t>
            </w:r>
            <w:proofErr w:type="spellEnd"/>
            <w:r w:rsidRPr="00435C98">
              <w:rPr>
                <w:iCs/>
                <w:sz w:val="24"/>
                <w:szCs w:val="24"/>
              </w:rPr>
              <w:t xml:space="preserve"> knife’. 6 had attempted to de-escalate the situation without success. The Police attended, the </w:t>
            </w:r>
            <w:proofErr w:type="gramStart"/>
            <w:r w:rsidRPr="00435C98">
              <w:rPr>
                <w:iCs/>
                <w:sz w:val="24"/>
                <w:szCs w:val="24"/>
              </w:rPr>
              <w:t>young-person</w:t>
            </w:r>
            <w:proofErr w:type="gramEnd"/>
            <w:r w:rsidRPr="00435C98">
              <w:rPr>
                <w:iCs/>
                <w:sz w:val="24"/>
                <w:szCs w:val="24"/>
              </w:rPr>
              <w:t xml:space="preserve"> was returned ‘home’, and a welfare check conducted. The case passed to SS. The report had expressed concern for a mother struggling to manage 3 boys with ASD and ‘extremely poor home conditions’; it also contained up-to-date contact information.</w:t>
            </w:r>
          </w:p>
          <w:p w14:paraId="2AB7D138" w14:textId="77777777" w:rsidR="00296E8B" w:rsidRPr="00061A90" w:rsidRDefault="00296E8B" w:rsidP="00296E8B">
            <w:pPr>
              <w:jc w:val="both"/>
              <w:rPr>
                <w:iCs/>
                <w:sz w:val="24"/>
                <w:szCs w:val="24"/>
              </w:rPr>
            </w:pPr>
          </w:p>
          <w:p w14:paraId="68E22171" w14:textId="77777777" w:rsidR="00296E8B" w:rsidRPr="00061A90" w:rsidRDefault="00296E8B" w:rsidP="00296E8B">
            <w:pPr>
              <w:jc w:val="both"/>
              <w:rPr>
                <w:iCs/>
                <w:sz w:val="24"/>
                <w:szCs w:val="24"/>
              </w:rPr>
            </w:pPr>
            <w:r w:rsidRPr="00061A90">
              <w:rPr>
                <w:iCs/>
                <w:sz w:val="24"/>
                <w:szCs w:val="24"/>
              </w:rPr>
              <w:t>Senior staff agreed that initial information would be gathered by the Author (as was allocated the youngest sibling for assessment) in response to the Police referral (‘Children and Young People at Risk of Harm’ [</w:t>
            </w:r>
            <w:proofErr w:type="spellStart"/>
            <w:r w:rsidRPr="00061A90">
              <w:rPr>
                <w:iCs/>
                <w:sz w:val="24"/>
                <w:szCs w:val="24"/>
              </w:rPr>
              <w:t>CYPRoH</w:t>
            </w:r>
            <w:proofErr w:type="spellEnd"/>
            <w:r w:rsidRPr="00061A90">
              <w:rPr>
                <w:iCs/>
                <w:sz w:val="24"/>
                <w:szCs w:val="24"/>
              </w:rPr>
              <w:t xml:space="preserve">], section 3, part 1, WSP, SCW, 2024) and reported back within one working-day as per protocol. Existing information on file was reviewed. The Author noted alerts for historic child protection involvement, though there were no details on the system aside from the two new referrals. There were no further records of partner or professional agencies involved with the family. The Author considered that an unknown child was located at the household; thus, potentially adding further complexities to the family-dynamics. The extent of the third child’s needs or capacity was unknown, as he had not been named in the initial referral. Furthermore, a potential risk to all three children and mother, and the wider community was considered. </w:t>
            </w:r>
          </w:p>
          <w:p w14:paraId="4629CC8F" w14:textId="77777777" w:rsidR="00296E8B" w:rsidRPr="00061A90" w:rsidRDefault="00296E8B" w:rsidP="00296E8B">
            <w:pPr>
              <w:jc w:val="both"/>
              <w:rPr>
                <w:iCs/>
                <w:sz w:val="24"/>
                <w:szCs w:val="24"/>
              </w:rPr>
            </w:pPr>
            <w:r w:rsidRPr="00061A90">
              <w:rPr>
                <w:iCs/>
                <w:sz w:val="24"/>
                <w:szCs w:val="24"/>
              </w:rPr>
              <w:t xml:space="preserve"> </w:t>
            </w:r>
          </w:p>
          <w:p w14:paraId="4C9961FD" w14:textId="77777777" w:rsidR="00296E8B" w:rsidRPr="00061A90" w:rsidRDefault="00296E8B" w:rsidP="00296E8B">
            <w:pPr>
              <w:jc w:val="both"/>
              <w:rPr>
                <w:iCs/>
                <w:sz w:val="24"/>
                <w:szCs w:val="24"/>
              </w:rPr>
            </w:pPr>
            <w:r w:rsidRPr="00061A90">
              <w:rPr>
                <w:iCs/>
                <w:sz w:val="24"/>
                <w:szCs w:val="24"/>
              </w:rPr>
              <w:t xml:space="preserve">When the Author contacted the family, upon introductions, the Author made the ‘active offer’ of accessing the service in the Welsh language (WG, 2022a). 6 expressed that her family had originated from a mining community in an otherwise rural area, and that her </w:t>
            </w:r>
            <w:proofErr w:type="gramStart"/>
            <w:r w:rsidRPr="00061A90">
              <w:rPr>
                <w:iCs/>
                <w:sz w:val="24"/>
                <w:szCs w:val="24"/>
              </w:rPr>
              <w:t>maternal-grandmother</w:t>
            </w:r>
            <w:proofErr w:type="gramEnd"/>
            <w:r w:rsidRPr="00061A90">
              <w:rPr>
                <w:iCs/>
                <w:sz w:val="24"/>
                <w:szCs w:val="24"/>
              </w:rPr>
              <w:t xml:space="preserve"> had spoken Welsh to her as an infant. 6 furthered that as an adult, though she moved to an alternative county (and life-long home of 3, his older-siblings ‘1’ and ‘2’, and </w:t>
            </w:r>
            <w:r w:rsidRPr="00061A90">
              <w:rPr>
                <w:iCs/>
                <w:sz w:val="24"/>
                <w:szCs w:val="24"/>
              </w:rPr>
              <w:lastRenderedPageBreak/>
              <w:t>father ‘7’), the Welsh language had still been prevalent. 6’s preference was to communicate in English, as this was her first language. 6 confirmed that the children also spoke English. Whilst 6 and the two youngest children were accustomed to the English language, this might not be the case for 3 who had lived in the ‘alternative area’ for his whole life. According to xxx Local Authority ([LA], 2024) the area within which the Author is assigned, has a significantly lower percentage of the population being able to speak Welsh than the national average. In contrast, the LA where 1, 2 and 7 still resided was within the top three areas with the highest quantities of Welsh speakers nationwide (‘2021 Census’ as cited by Welsh Language Commissioner, 2024).</w:t>
            </w:r>
          </w:p>
          <w:p w14:paraId="33511129" w14:textId="77777777" w:rsidR="00296E8B" w:rsidRPr="00D255A2" w:rsidRDefault="00296E8B" w:rsidP="00296E8B">
            <w:pPr>
              <w:jc w:val="both"/>
              <w:rPr>
                <w:iCs/>
                <w:sz w:val="24"/>
                <w:szCs w:val="24"/>
                <w:highlight w:val="cyan"/>
              </w:rPr>
            </w:pPr>
          </w:p>
          <w:p w14:paraId="480C1B19" w14:textId="77777777" w:rsidR="00296E8B" w:rsidRPr="00061A90" w:rsidRDefault="00296E8B" w:rsidP="00296E8B">
            <w:pPr>
              <w:jc w:val="both"/>
              <w:rPr>
                <w:iCs/>
                <w:sz w:val="24"/>
                <w:szCs w:val="24"/>
              </w:rPr>
            </w:pPr>
            <w:r w:rsidRPr="00061A90">
              <w:rPr>
                <w:iCs/>
                <w:sz w:val="24"/>
                <w:szCs w:val="24"/>
              </w:rPr>
              <w:t xml:space="preserve">The Author reflected upon the ethos of the ‘More Than Just Words’ framework (WG, 2022) and felt it appropriate to extend the ‘active offer’ to each individual child also, so that they were given equal opportunities to fully engage in communication should they </w:t>
            </w:r>
            <w:r w:rsidRPr="00061A90">
              <w:rPr>
                <w:i/>
                <w:sz w:val="24"/>
                <w:szCs w:val="24"/>
              </w:rPr>
              <w:t>need</w:t>
            </w:r>
            <w:r w:rsidRPr="00061A90">
              <w:rPr>
                <w:iCs/>
                <w:sz w:val="24"/>
                <w:szCs w:val="24"/>
              </w:rPr>
              <w:t xml:space="preserve"> to express themselves in Welsh. 3 and 4 stated that English was their preferred language, whereas 5 replicated the words (of the Author) ‘Welsh’ and ‘English’, and continued to repeat these words in the form of ‘echolalia’ (</w:t>
            </w:r>
            <w:hyperlink r:id="rId11" w:history="1">
              <w:r w:rsidRPr="00061A90">
                <w:rPr>
                  <w:rStyle w:val="Hyperlink"/>
                  <w:color w:val="auto"/>
                  <w:sz w:val="24"/>
                  <w:szCs w:val="24"/>
                  <w:shd w:val="clear" w:color="auto" w:fill="FFFFFF"/>
                </w:rPr>
                <w:t>Xie</w:t>
              </w:r>
            </w:hyperlink>
            <w:r w:rsidRPr="00061A90">
              <w:rPr>
                <w:color w:val="auto"/>
                <w:sz w:val="24"/>
                <w:szCs w:val="24"/>
                <w:shd w:val="clear" w:color="auto" w:fill="FFFFFF"/>
              </w:rPr>
              <w:t>,</w:t>
            </w:r>
            <w:r w:rsidRPr="00061A90">
              <w:rPr>
                <w:color w:val="auto"/>
                <w:sz w:val="24"/>
                <w:szCs w:val="24"/>
                <w:shd w:val="clear" w:color="auto" w:fill="FFFFFF"/>
                <w:vertAlign w:val="superscript"/>
              </w:rPr>
              <w:t xml:space="preserve">  </w:t>
            </w:r>
            <w:hyperlink r:id="rId12" w:history="1">
              <w:r w:rsidRPr="00061A90">
                <w:rPr>
                  <w:rStyle w:val="Hyperlink"/>
                  <w:color w:val="auto"/>
                  <w:sz w:val="24"/>
                  <w:szCs w:val="24"/>
                  <w:shd w:val="clear" w:color="auto" w:fill="FFFFFF"/>
                </w:rPr>
                <w:t>Pascual</w:t>
              </w:r>
            </w:hyperlink>
            <w:r w:rsidRPr="00061A90">
              <w:rPr>
                <w:color w:val="auto"/>
                <w:sz w:val="24"/>
                <w:szCs w:val="24"/>
                <w:shd w:val="clear" w:color="auto" w:fill="FFFFFF"/>
              </w:rPr>
              <w:t xml:space="preserve"> and</w:t>
            </w:r>
            <w:r w:rsidRPr="00061A90">
              <w:rPr>
                <w:color w:val="auto"/>
                <w:sz w:val="24"/>
                <w:szCs w:val="24"/>
              </w:rPr>
              <w:t xml:space="preserve"> Oakley, </w:t>
            </w:r>
            <w:r w:rsidRPr="00061A90">
              <w:rPr>
                <w:iCs/>
                <w:color w:val="auto"/>
                <w:sz w:val="24"/>
                <w:szCs w:val="24"/>
              </w:rPr>
              <w:t>2023</w:t>
            </w:r>
            <w:r w:rsidRPr="00061A90">
              <w:rPr>
                <w:iCs/>
                <w:sz w:val="24"/>
                <w:szCs w:val="24"/>
              </w:rPr>
              <w:t xml:space="preserve">). The Author considered there may be barriers of ascertaining the ‘views and wishes’ (SSWBWA 2014) of 5 due to the ‘social and communication difficulties’ (World Health Organisation, 2019) associated with ASD. A ‘Children’s Rights Approach’ would lead a practitioner to champion the voice of the child in participation (Holland, 2024), however, according to Frost and Parton (2009) disabled children are notably absent and excluded from participation. </w:t>
            </w:r>
          </w:p>
          <w:p w14:paraId="137879AF" w14:textId="77777777" w:rsidR="00296E8B" w:rsidRPr="00061A90" w:rsidRDefault="00296E8B" w:rsidP="00296E8B">
            <w:pPr>
              <w:jc w:val="both"/>
              <w:rPr>
                <w:iCs/>
                <w:sz w:val="24"/>
                <w:szCs w:val="24"/>
              </w:rPr>
            </w:pPr>
          </w:p>
          <w:p w14:paraId="0FE0DBC2" w14:textId="77777777" w:rsidR="00296E8B" w:rsidRPr="00061A90" w:rsidRDefault="00296E8B" w:rsidP="00296E8B">
            <w:pPr>
              <w:jc w:val="both"/>
              <w:rPr>
                <w:sz w:val="24"/>
                <w:szCs w:val="24"/>
              </w:rPr>
            </w:pPr>
            <w:r w:rsidRPr="00061A90">
              <w:rPr>
                <w:iCs/>
                <w:sz w:val="24"/>
                <w:szCs w:val="24"/>
              </w:rPr>
              <w:t>The Author discussed with 6 the nature of the safeguarding concerns (highlighted in the Police report), and furthered that the primary purpose of the visit was to ascertain that the children were safe and unpick what had transpired that day and why. 6 explained that the incident had occurred when 3 had been visiting the family home for a weekend. During this time, 3 was said to have had a verbal dispute with 7 (via telephone) and had been told he could not return to 7’s home. 3 being diagnosed with ASD had become distressed and had reacted in a way that would demonstrate emotional and behavioural dysregulation (</w:t>
            </w:r>
            <w:proofErr w:type="spellStart"/>
            <w:r w:rsidRPr="00061A90">
              <w:rPr>
                <w:iCs/>
                <w:sz w:val="24"/>
                <w:szCs w:val="24"/>
              </w:rPr>
              <w:t>Mazefsky</w:t>
            </w:r>
            <w:proofErr w:type="spellEnd"/>
            <w:r w:rsidRPr="00061A90">
              <w:rPr>
                <w:iCs/>
                <w:sz w:val="24"/>
                <w:szCs w:val="24"/>
              </w:rPr>
              <w:t xml:space="preserve"> et al., 2013; </w:t>
            </w:r>
            <w:r w:rsidRPr="00061A90">
              <w:rPr>
                <w:sz w:val="24"/>
                <w:szCs w:val="24"/>
              </w:rPr>
              <w:t xml:space="preserve">Kuypers, 2008). </w:t>
            </w:r>
          </w:p>
          <w:p w14:paraId="405B6942" w14:textId="77777777" w:rsidR="00296E8B" w:rsidRPr="00061A90" w:rsidRDefault="00296E8B" w:rsidP="00296E8B">
            <w:pPr>
              <w:jc w:val="both"/>
              <w:rPr>
                <w:sz w:val="24"/>
                <w:szCs w:val="24"/>
              </w:rPr>
            </w:pPr>
          </w:p>
          <w:p w14:paraId="0DE1E345" w14:textId="77777777" w:rsidR="00296E8B" w:rsidRPr="00061A90" w:rsidRDefault="00296E8B" w:rsidP="00296E8B">
            <w:pPr>
              <w:jc w:val="both"/>
              <w:rPr>
                <w:sz w:val="24"/>
                <w:szCs w:val="24"/>
              </w:rPr>
            </w:pPr>
            <w:r w:rsidRPr="00061A90">
              <w:rPr>
                <w:sz w:val="24"/>
                <w:szCs w:val="24"/>
              </w:rPr>
              <w:t xml:space="preserve">6 confirmed that 7 had purchased a ‘multifunctional pocket-knife’ for 3 previously which he had with him at the time she contacted 999. 6 had been alarmed that 3 could cause harm to himself; although she stated that his presentation at the time correlated with him being distressed rather than aggressive. 6 had however locked the instrument away safely to prevent it causing further risk or harm. 3 had been compliant with this and understood why it was necessary. </w:t>
            </w:r>
          </w:p>
          <w:p w14:paraId="2DD87CD3" w14:textId="77777777" w:rsidR="00296E8B" w:rsidRPr="00061A90" w:rsidRDefault="00296E8B" w:rsidP="00296E8B">
            <w:pPr>
              <w:jc w:val="both"/>
              <w:rPr>
                <w:sz w:val="24"/>
                <w:szCs w:val="24"/>
              </w:rPr>
            </w:pPr>
          </w:p>
          <w:p w14:paraId="65396B50" w14:textId="77777777" w:rsidR="00296E8B" w:rsidRPr="00061A90" w:rsidRDefault="00296E8B" w:rsidP="00296E8B">
            <w:pPr>
              <w:jc w:val="both"/>
              <w:rPr>
                <w:iCs/>
                <w:sz w:val="24"/>
                <w:szCs w:val="24"/>
              </w:rPr>
            </w:pPr>
            <w:r w:rsidRPr="00061A90">
              <w:rPr>
                <w:sz w:val="24"/>
                <w:szCs w:val="24"/>
              </w:rPr>
              <w:t xml:space="preserve">The Author reassured 6 that whilst it was undoubtedly uncomfortable, it was important to understand why the Police had raised concerns in relation to home conditions, so permission to see the children’s bedrooms was requested. 6 consented. 6 had made a great deal of effort decorating the home, though she said she found completing decorating tasks difficult. The Author could see that 6 had spent time and money tailoring the children’s rooms to their likes and interests. However, the Author also noticed that the floors were mostly concrete and had been covered over with small rugs; with a great deal of recycling and laundry distributed around the passageways. 6 voiced that she felt embarrassed and that she felt she wanted to </w:t>
            </w:r>
            <w:r w:rsidRPr="00061A90">
              <w:rPr>
                <w:sz w:val="24"/>
                <w:szCs w:val="24"/>
              </w:rPr>
              <w:lastRenderedPageBreak/>
              <w:t xml:space="preserve">be better organised. 6 furthered that in recent years she had been contemplating whether she was neuro-divergent herself. The Author considered that organisational difficulties could indeed be stemming from 6’s own potential neurodiversity, caring for multiple children with care and support needs far greater than would be expected for children of their age without disabilities, with no respite and no personal support network. It was ethical to address this matter with sensitivity and counter the power imbalance via an anti-oppressive approach (Dominelli, 2010, Chapter 14, p.160-172). The Author discussed with 6 how at present she might manage day to day routines and household tasks, and it transpired that this was an area that 6 wanted more support. </w:t>
            </w:r>
          </w:p>
          <w:p w14:paraId="66D6D2E6" w14:textId="77777777" w:rsidR="00296E8B" w:rsidRPr="00D255A2" w:rsidRDefault="00296E8B" w:rsidP="00296E8B">
            <w:pPr>
              <w:jc w:val="both"/>
              <w:rPr>
                <w:iCs/>
                <w:sz w:val="24"/>
                <w:szCs w:val="24"/>
                <w:highlight w:val="cyan"/>
              </w:rPr>
            </w:pPr>
          </w:p>
          <w:p w14:paraId="5A659E8A" w14:textId="77777777" w:rsidR="00296E8B" w:rsidRPr="00022259" w:rsidRDefault="00296E8B" w:rsidP="00296E8B">
            <w:pPr>
              <w:jc w:val="both"/>
              <w:rPr>
                <w:iCs/>
                <w:sz w:val="24"/>
                <w:szCs w:val="24"/>
              </w:rPr>
            </w:pPr>
            <w:r w:rsidRPr="00022259">
              <w:rPr>
                <w:iCs/>
                <w:sz w:val="24"/>
                <w:szCs w:val="24"/>
              </w:rPr>
              <w:t xml:space="preserve">Though transparency on the Author’s part was a key component of exploring the potential safeguarding concerns (SCW, 2017) it was felt that the inherent purpose of interactions with SS at this time, could be further traumatic for 6 and the children (Thompson, 2009). </w:t>
            </w:r>
            <w:r w:rsidRPr="00022259">
              <w:rPr>
                <w:i/>
                <w:sz w:val="24"/>
                <w:szCs w:val="24"/>
              </w:rPr>
              <w:t>Perception</w:t>
            </w:r>
            <w:r w:rsidRPr="00022259">
              <w:rPr>
                <w:iCs/>
                <w:sz w:val="24"/>
                <w:szCs w:val="24"/>
              </w:rPr>
              <w:t xml:space="preserve"> of threat alone could have been distressing. 6 was showing increasing signs of anxiety and overwhelm, such as dizziness, perspiration, and rapid breathing (National Institute of Mental Health, 2022). It occurred to the Author that their professional presence was breaching the ‘safe space’ (Autistic Social Worker, 2021) of the family and that this could be destabilising for the family, as opposed to assuring their safety. The Author maintained the congruence and empathy of a ‘person-centred’ approach (SCW, 2024; Rogers, 2003; Rogers, 1980) to mitigate the impact on 6 and alleviate the distress she appeared to be experiencing; and so that she was able to continue to manage caring for the children appropriately following the visit. The Author recognised that the family’s circumstances and struggles were multi-facetted, and that further complexity arose from their increased individual vulnerabilities due to a blend of presenting developmental needs compounded by </w:t>
            </w:r>
            <w:r w:rsidRPr="00022259">
              <w:rPr>
                <w:i/>
                <w:sz w:val="24"/>
                <w:szCs w:val="24"/>
              </w:rPr>
              <w:t>past trauma</w:t>
            </w:r>
            <w:r w:rsidRPr="00022259">
              <w:rPr>
                <w:iCs/>
                <w:sz w:val="24"/>
                <w:szCs w:val="24"/>
              </w:rPr>
              <w:t xml:space="preserve">. The Author utilised this understanding of trauma-informed practice (Levenson, 2017) to minimise the negative impact of the current involvement and the repetition of unhealthy (or stressful) relational interactions that could, or add to, possible new or cumulative trauma. </w:t>
            </w:r>
          </w:p>
          <w:p w14:paraId="077FFDEF" w14:textId="77777777" w:rsidR="00296E8B" w:rsidRPr="004E7949" w:rsidRDefault="00296E8B" w:rsidP="00296E8B">
            <w:pPr>
              <w:jc w:val="both"/>
              <w:rPr>
                <w:iCs/>
                <w:sz w:val="24"/>
                <w:szCs w:val="24"/>
              </w:rPr>
            </w:pPr>
          </w:p>
          <w:p w14:paraId="543D7F95" w14:textId="77777777" w:rsidR="00296E8B" w:rsidRPr="004E7949" w:rsidRDefault="00296E8B" w:rsidP="00296E8B">
            <w:pPr>
              <w:jc w:val="both"/>
              <w:rPr>
                <w:iCs/>
                <w:sz w:val="24"/>
                <w:szCs w:val="24"/>
              </w:rPr>
            </w:pPr>
            <w:r w:rsidRPr="004E7949">
              <w:rPr>
                <w:iCs/>
                <w:sz w:val="24"/>
                <w:szCs w:val="24"/>
              </w:rPr>
              <w:t xml:space="preserve">6 shared the story of how their lives had led to this point. It appeared that not only was 6 struggling with the then present-time, but that she had throughout her life course experienced a catalogue of extremely difficult incidences; many of which had been coloured by the influence of SS. 6 disclosed that she had previously requested a Needs Assessment as a ‘carer’ but had found it difficult to engage with the process as she had felt fearful of asking for help. 6 was observed to be warm and nurturing with her children; they very naturally reciprocated with comfort-seeking, contentment, and affection. Though it can be considered that attachment in neurodiverse children and </w:t>
            </w:r>
            <w:proofErr w:type="gramStart"/>
            <w:r w:rsidRPr="004E7949">
              <w:rPr>
                <w:iCs/>
                <w:sz w:val="24"/>
                <w:szCs w:val="24"/>
              </w:rPr>
              <w:t>young-people</w:t>
            </w:r>
            <w:proofErr w:type="gramEnd"/>
            <w:r w:rsidRPr="004E7949">
              <w:rPr>
                <w:iCs/>
                <w:sz w:val="24"/>
                <w:szCs w:val="24"/>
              </w:rPr>
              <w:t xml:space="preserve"> can potentially be impeded by ASD symptoms (or present atypically due to those symptoms) the behaviours between the children and their mother upon initial impressions demonstrated a secure and warm relationship (Howe, 2009). </w:t>
            </w:r>
          </w:p>
          <w:p w14:paraId="56545517" w14:textId="77777777" w:rsidR="00296E8B" w:rsidRPr="00D255A2" w:rsidRDefault="00296E8B" w:rsidP="00296E8B">
            <w:pPr>
              <w:jc w:val="both"/>
              <w:rPr>
                <w:iCs/>
                <w:sz w:val="24"/>
                <w:szCs w:val="24"/>
                <w:highlight w:val="cyan"/>
              </w:rPr>
            </w:pPr>
          </w:p>
          <w:p w14:paraId="7C5124A6" w14:textId="77777777" w:rsidR="00296E8B" w:rsidRPr="008779DD" w:rsidRDefault="00296E8B" w:rsidP="00296E8B">
            <w:pPr>
              <w:jc w:val="both"/>
              <w:rPr>
                <w:iCs/>
                <w:sz w:val="24"/>
                <w:szCs w:val="24"/>
              </w:rPr>
            </w:pPr>
            <w:r w:rsidRPr="008779DD">
              <w:rPr>
                <w:iCs/>
                <w:sz w:val="24"/>
                <w:szCs w:val="24"/>
              </w:rPr>
              <w:t>6 reflected upon her own childhood; she declared that her motivation for parenting was stemming from her own ‘adverse childhood experiences’ (Brewer-Smyth, 2022). 6 was voicing that she wanted a better life for her children. Through the interactions with 6, a great deal of traumatic experiences had been disclosed, including the near permanent removal of her eldest children when remaining in the relationship with 7</w:t>
            </w:r>
            <w:r>
              <w:rPr>
                <w:iCs/>
                <w:sz w:val="24"/>
                <w:szCs w:val="24"/>
              </w:rPr>
              <w:t>,</w:t>
            </w:r>
            <w:r w:rsidRPr="008779DD">
              <w:rPr>
                <w:iCs/>
                <w:sz w:val="24"/>
                <w:szCs w:val="24"/>
              </w:rPr>
              <w:t xml:space="preserve"> the alleged perpetrator of domestic </w:t>
            </w:r>
            <w:r>
              <w:rPr>
                <w:iCs/>
                <w:sz w:val="24"/>
                <w:szCs w:val="24"/>
              </w:rPr>
              <w:t>abus</w:t>
            </w:r>
            <w:r w:rsidRPr="008779DD">
              <w:rPr>
                <w:iCs/>
                <w:sz w:val="24"/>
                <w:szCs w:val="24"/>
              </w:rPr>
              <w:t xml:space="preserve">e. </w:t>
            </w:r>
          </w:p>
          <w:p w14:paraId="4FF7F794" w14:textId="77777777" w:rsidR="00296E8B" w:rsidRPr="008779DD" w:rsidRDefault="00296E8B" w:rsidP="00296E8B">
            <w:pPr>
              <w:jc w:val="both"/>
              <w:rPr>
                <w:iCs/>
                <w:sz w:val="24"/>
                <w:szCs w:val="24"/>
              </w:rPr>
            </w:pPr>
          </w:p>
          <w:p w14:paraId="76E1CB98" w14:textId="77777777" w:rsidR="00296E8B" w:rsidRPr="008779DD" w:rsidRDefault="00296E8B" w:rsidP="00296E8B">
            <w:pPr>
              <w:jc w:val="both"/>
              <w:rPr>
                <w:iCs/>
                <w:sz w:val="24"/>
                <w:szCs w:val="24"/>
              </w:rPr>
            </w:pPr>
            <w:r w:rsidRPr="008779DD">
              <w:rPr>
                <w:iCs/>
                <w:sz w:val="24"/>
                <w:szCs w:val="24"/>
              </w:rPr>
              <w:t xml:space="preserve">6 had sought advice from a solicitor regarding her concerns of abuse and neglect of her 3 older children, including 3, 2 (aged 17) and 1 (aged 18) in the care of 7. 6 was exercising her Parental Responsibility ([PR] CA 1989, Part 1, section 3) to protect 3 from further harm. 6 stated that all 5 children had diagnoses of or were progressing towards a diagnosis of ASD. 6 (also a previously ‘looked-after child’ as defined by current legislation; SSWBWA 2014, Part 6) shared that she had fled the relationship supported by a women’s refuge charity some years previously. 6 disclosed a range of concerns in relation to 7- including allegations of historical child-sexual-exploitation (of herself and other female minors), substance misuse, domestic violence, coercion and control, emotional abuse (as outlined in the </w:t>
            </w:r>
            <w:r w:rsidRPr="008779DD">
              <w:rPr>
                <w:iCs/>
                <w:color w:val="1E1E1E"/>
                <w:kern w:val="36"/>
                <w:sz w:val="24"/>
                <w:szCs w:val="24"/>
              </w:rPr>
              <w:t>Violence against Women, Domestic Abuse and Sexual Violence [Wales] Act 2015)</w:t>
            </w:r>
            <w:r w:rsidRPr="008779DD">
              <w:rPr>
                <w:iCs/>
                <w:sz w:val="24"/>
                <w:szCs w:val="24"/>
              </w:rPr>
              <w:t>; and the current neglect of the 3 eldest children’s basic and additional care needs, and the financial abuse of disability benefits. It was noted that whilst the eldest of the five ‘children’ was potentially vulnerable, his legal status would be of an adult (</w:t>
            </w:r>
            <w:proofErr w:type="gramStart"/>
            <w:r w:rsidRPr="008779DD">
              <w:rPr>
                <w:iCs/>
                <w:sz w:val="24"/>
                <w:szCs w:val="24"/>
              </w:rPr>
              <w:t>WTSP:CSP</w:t>
            </w:r>
            <w:proofErr w:type="gramEnd"/>
            <w:r w:rsidRPr="008779DD">
              <w:rPr>
                <w:iCs/>
                <w:sz w:val="24"/>
                <w:szCs w:val="24"/>
              </w:rPr>
              <w:t xml:space="preserve">, WG, 2022b). The two ‘dependants’ remaining at 7’s home resided within a different county. 6 expressed that an unknown female and her daughter had moved into the home of 7, and that she felt alarmed that the child was at risk of sexual abuse. </w:t>
            </w:r>
          </w:p>
          <w:p w14:paraId="4F4C7676" w14:textId="77777777" w:rsidR="00296E8B" w:rsidRPr="008779DD" w:rsidRDefault="00296E8B" w:rsidP="00296E8B">
            <w:pPr>
              <w:jc w:val="both"/>
              <w:rPr>
                <w:iCs/>
                <w:sz w:val="24"/>
                <w:szCs w:val="24"/>
              </w:rPr>
            </w:pPr>
          </w:p>
          <w:p w14:paraId="43696A9A" w14:textId="77777777" w:rsidR="00296E8B" w:rsidRPr="008779DD" w:rsidRDefault="00296E8B" w:rsidP="00296E8B">
            <w:pPr>
              <w:jc w:val="both"/>
              <w:rPr>
                <w:iCs/>
                <w:sz w:val="24"/>
                <w:szCs w:val="24"/>
              </w:rPr>
            </w:pPr>
            <w:r w:rsidRPr="008779DD">
              <w:rPr>
                <w:iCs/>
                <w:sz w:val="24"/>
                <w:szCs w:val="24"/>
              </w:rPr>
              <w:t xml:space="preserve">The channels for reporting the concerns for the young people (who were living at 7’s home) were discussed with 6. 6 was supported to contact the Police department to give a statement. Due to potential criminal activity, the report taker (Author) explained to 6 that they (the Author, due to their role, responsibilities, and professional accountability) would need to pass this information on, for the consideration of the appropriate Police department also (WSP, SCW, 2024; SCW, 2017). Due to the nature of the concerns, the allegations were also reported to the counterpart LA in line with </w:t>
            </w:r>
            <w:proofErr w:type="gramStart"/>
            <w:r w:rsidRPr="008779DD">
              <w:rPr>
                <w:iCs/>
                <w:sz w:val="24"/>
                <w:szCs w:val="24"/>
              </w:rPr>
              <w:t>WTSP:CSP</w:t>
            </w:r>
            <w:proofErr w:type="gramEnd"/>
            <w:r w:rsidRPr="008779DD">
              <w:rPr>
                <w:iCs/>
                <w:sz w:val="24"/>
                <w:szCs w:val="24"/>
              </w:rPr>
              <w:t xml:space="preserve"> (WG, 2022b) SSWBWA 2014 (Part 7 ‘Safeguarding’, sections 128 ‘Duty to report adults at risk’ and 130 ‘Duty to report children at risk’) and the WSP (‘Adults at Risk’, section 2; and </w:t>
            </w:r>
            <w:proofErr w:type="spellStart"/>
            <w:r w:rsidRPr="008779DD">
              <w:rPr>
                <w:iCs/>
                <w:sz w:val="24"/>
                <w:szCs w:val="24"/>
              </w:rPr>
              <w:t>CYPRoH</w:t>
            </w:r>
            <w:proofErr w:type="spellEnd"/>
            <w:r w:rsidRPr="008779DD">
              <w:rPr>
                <w:iCs/>
                <w:sz w:val="24"/>
                <w:szCs w:val="24"/>
              </w:rPr>
              <w:t xml:space="preserve"> section 2). As per procedure, the Author acted upon the concerns so that information had been shared in a timely manner and did not depend on other mechanisms for the appropriate authority to be made aware. If this had not been actioned, and other individuals or agencies had failed to report the information, the opportunity to investigate individuals ‘at risk’ might have been missed, and actual further harm might have occurred. Whilst the safety of 1 and 2 was an overriding factor, the Author sought 6’s consent to share the information to promote trust, equality, and respect within the relationship between the parent-carer and the professional (‘Seeking consent to report’, </w:t>
            </w:r>
            <w:proofErr w:type="spellStart"/>
            <w:r w:rsidRPr="008779DD">
              <w:rPr>
                <w:iCs/>
                <w:sz w:val="24"/>
                <w:szCs w:val="24"/>
              </w:rPr>
              <w:t>CYPRoH</w:t>
            </w:r>
            <w:proofErr w:type="spellEnd"/>
            <w:r w:rsidRPr="008779DD">
              <w:rPr>
                <w:iCs/>
                <w:sz w:val="24"/>
                <w:szCs w:val="24"/>
              </w:rPr>
              <w:t xml:space="preserve">, WSP, SCW, 2024). </w:t>
            </w:r>
          </w:p>
          <w:p w14:paraId="3E2B78B4" w14:textId="77777777" w:rsidR="00296E8B" w:rsidRPr="008779DD" w:rsidRDefault="00296E8B" w:rsidP="00296E8B">
            <w:pPr>
              <w:jc w:val="both"/>
              <w:rPr>
                <w:iCs/>
                <w:sz w:val="24"/>
                <w:szCs w:val="24"/>
              </w:rPr>
            </w:pPr>
          </w:p>
          <w:p w14:paraId="24C2544E" w14:textId="77777777" w:rsidR="00296E8B" w:rsidRPr="008779DD" w:rsidRDefault="00296E8B" w:rsidP="00296E8B">
            <w:pPr>
              <w:jc w:val="both"/>
              <w:rPr>
                <w:iCs/>
                <w:sz w:val="24"/>
                <w:szCs w:val="24"/>
              </w:rPr>
            </w:pPr>
            <w:r w:rsidRPr="008779DD">
              <w:rPr>
                <w:iCs/>
                <w:sz w:val="24"/>
                <w:szCs w:val="24"/>
              </w:rPr>
              <w:t xml:space="preserve">‘Consent’ and ‘participation’ exist at multiple levels. Matthies (2010, Chapter 15, pages 173-182) argues that ‘participation’ denotes a basis for institutions to encourage (and evidence) </w:t>
            </w:r>
            <w:r w:rsidRPr="008779DD">
              <w:rPr>
                <w:i/>
                <w:sz w:val="24"/>
                <w:szCs w:val="24"/>
              </w:rPr>
              <w:t>self-determination</w:t>
            </w:r>
            <w:r w:rsidRPr="008779DD">
              <w:rPr>
                <w:iCs/>
                <w:sz w:val="24"/>
                <w:szCs w:val="24"/>
              </w:rPr>
              <w:t xml:space="preserve">, personal choice, and sustainable </w:t>
            </w:r>
            <w:r w:rsidRPr="008779DD">
              <w:rPr>
                <w:i/>
                <w:sz w:val="24"/>
                <w:szCs w:val="24"/>
              </w:rPr>
              <w:t>responsibility</w:t>
            </w:r>
            <w:r w:rsidRPr="008779DD">
              <w:rPr>
                <w:iCs/>
                <w:sz w:val="24"/>
                <w:szCs w:val="24"/>
              </w:rPr>
              <w:t xml:space="preserve">. Whilst this is seen to be beneficial to people using services in line with their ‘Rights’ (and freedoms) and the Social Work ethos of promoting </w:t>
            </w:r>
            <w:r w:rsidRPr="008779DD">
              <w:rPr>
                <w:i/>
                <w:sz w:val="24"/>
                <w:szCs w:val="24"/>
              </w:rPr>
              <w:t>autonomy</w:t>
            </w:r>
            <w:r w:rsidRPr="008779DD">
              <w:rPr>
                <w:iCs/>
                <w:sz w:val="24"/>
                <w:szCs w:val="24"/>
              </w:rPr>
              <w:t xml:space="preserve">, this could also be conceived as diminishing institutional accountability. Ife (2012) argues that ‘Rights’ in themselves represent a Western ideal as opposed to the concrete foundation of societies worldwide. As an objective, Rights may therefore represent a desirable outcome, rather than absolute and irrevocable. In safeguarding for example, the ‘Right to respect for private and family life’ (Article 8, Human Rights Act 1998) is outweighed by a child’s Right to protection from violence, abuse, and </w:t>
            </w:r>
            <w:r w:rsidRPr="008779DD">
              <w:rPr>
                <w:iCs/>
                <w:sz w:val="24"/>
                <w:szCs w:val="24"/>
              </w:rPr>
              <w:lastRenderedPageBreak/>
              <w:t xml:space="preserve">neglect (Article 19, UNCRC 1989). This does not however, negate the need to conduct oneself respectfully. The Author reflected that the act of true co-production centred upon the depth of participation and not a superficial or token gesture (Arnstein, 1969) however the difficulty at this stage was that should child protection measures progress, the family would be disempowered by the procedure itself, </w:t>
            </w:r>
            <w:proofErr w:type="gramStart"/>
            <w:r w:rsidRPr="008779DD">
              <w:rPr>
                <w:iCs/>
                <w:sz w:val="24"/>
                <w:szCs w:val="24"/>
              </w:rPr>
              <w:t>in order to</w:t>
            </w:r>
            <w:proofErr w:type="gramEnd"/>
            <w:r w:rsidRPr="008779DD">
              <w:rPr>
                <w:iCs/>
                <w:sz w:val="24"/>
                <w:szCs w:val="24"/>
              </w:rPr>
              <w:t xml:space="preserve"> safeguard the children. Whilst at that present time, though the Author could harness the voices of the children and their mother, the family had limited control over what the next steps might be. </w:t>
            </w:r>
          </w:p>
          <w:p w14:paraId="4E28EFAE" w14:textId="77777777" w:rsidR="00296E8B" w:rsidRPr="008779DD" w:rsidRDefault="00296E8B" w:rsidP="00296E8B">
            <w:pPr>
              <w:jc w:val="both"/>
              <w:rPr>
                <w:iCs/>
                <w:sz w:val="24"/>
                <w:szCs w:val="24"/>
              </w:rPr>
            </w:pPr>
          </w:p>
          <w:p w14:paraId="137FBAA8" w14:textId="77777777" w:rsidR="00296E8B" w:rsidRPr="008779DD" w:rsidRDefault="00296E8B" w:rsidP="00296E8B">
            <w:pPr>
              <w:jc w:val="both"/>
              <w:rPr>
                <w:iCs/>
                <w:sz w:val="24"/>
                <w:szCs w:val="24"/>
              </w:rPr>
            </w:pPr>
            <w:r w:rsidRPr="008779DD">
              <w:rPr>
                <w:iCs/>
                <w:sz w:val="24"/>
                <w:szCs w:val="24"/>
              </w:rPr>
              <w:t xml:space="preserve">The Author sat on the floor with the three children and explained their role and why they had come to the family home in uncomplicated but respectful language (Gregory &amp; Hollway, 2005). The Author considered that due to the immediacy of the response at that time, they felt largely unprepared to undertake this work should it escalate. 3 and 4 appeared to have a good understanding that the purpose of social work was to ‘help’ children and their families ‘be safe and live happily’. The Author deliberated that ‘words and pictures’ (‘Signs of Safety model’; Turnell &amp; Edwards, 1999) could have better communicated the role of social work and the purpose of the visit to all three children. The model was further utilised in direct work with 3 and 4. </w:t>
            </w:r>
          </w:p>
          <w:p w14:paraId="26288DB5" w14:textId="77777777" w:rsidR="00296E8B" w:rsidRPr="00AC7C64" w:rsidRDefault="00296E8B" w:rsidP="00296E8B">
            <w:pPr>
              <w:jc w:val="both"/>
              <w:rPr>
                <w:iCs/>
                <w:sz w:val="24"/>
                <w:szCs w:val="24"/>
              </w:rPr>
            </w:pPr>
          </w:p>
          <w:p w14:paraId="7CD127F3" w14:textId="77777777" w:rsidR="00296E8B" w:rsidRPr="00271F22" w:rsidRDefault="00296E8B" w:rsidP="00296E8B">
            <w:pPr>
              <w:jc w:val="both"/>
              <w:rPr>
                <w:iCs/>
                <w:sz w:val="24"/>
                <w:szCs w:val="24"/>
              </w:rPr>
            </w:pPr>
            <w:r w:rsidRPr="00AC7C64">
              <w:rPr>
                <w:iCs/>
                <w:sz w:val="24"/>
                <w:szCs w:val="24"/>
              </w:rPr>
              <w:t xml:space="preserve">With each child, the Author considered the ‘Three Houses’ (Turnell &amp; Edwards, 1999) using crayon to hand draw ‘houses’ to divide each section on paper. The ‘House of Worries’ was used to talk about any harm, dangers, and complicating factors. 3’s concerns included ‘feeling my teachers did not listen when I told them I was hungry’, and ‘worried Dad would be angry.’ 4 responded with ‘feeling sad and stressed in school.’ The ‘House of Good Things’ was used to discuss safety, strengths, and positive factors. Both children highlighted that 6 was loving and fun. 4 stated that he loved having his big brother (3) at home. The ‘House of Dreams’ considered what the children wanted to happen in the future. For 3, dreams included ‘staying with Mum and my brothers’ and </w:t>
            </w:r>
            <w:proofErr w:type="spellStart"/>
            <w:r w:rsidRPr="00AC7C64">
              <w:rPr>
                <w:iCs/>
                <w:sz w:val="24"/>
                <w:szCs w:val="24"/>
              </w:rPr>
              <w:t>‘a</w:t>
            </w:r>
            <w:proofErr w:type="spellEnd"/>
            <w:r w:rsidRPr="00AC7C64">
              <w:rPr>
                <w:iCs/>
                <w:sz w:val="24"/>
                <w:szCs w:val="24"/>
              </w:rPr>
              <w:t xml:space="preserve"> new school.’ For 4, dreams included ‘not being bullied in school’ and ‘going to the Lego shop.’ What the children appeared to be communicating therein was the importance of family relationships, the joy they shared and that their own worries were stemming from sources outside of the home. The Author asked the children if they wanted to talk about those worries more but at that time 4 wanted to ‘get a cwtch’ from 6, and 3 wanted to have some time to decompress. The Author thanked them for sharing their thoughts and reassured them that if or when they wanted to, they could talk to her and that she would try to help </w:t>
            </w:r>
            <w:r w:rsidRPr="00271F22">
              <w:rPr>
                <w:iCs/>
                <w:sz w:val="24"/>
                <w:szCs w:val="24"/>
              </w:rPr>
              <w:t>them wherever she could.</w:t>
            </w:r>
          </w:p>
          <w:p w14:paraId="7EF69540" w14:textId="77777777" w:rsidR="00296E8B" w:rsidRPr="00271F22" w:rsidRDefault="00296E8B" w:rsidP="00296E8B">
            <w:pPr>
              <w:jc w:val="both"/>
              <w:rPr>
                <w:iCs/>
                <w:sz w:val="24"/>
                <w:szCs w:val="24"/>
              </w:rPr>
            </w:pPr>
          </w:p>
          <w:p w14:paraId="54C8C1BE" w14:textId="77777777" w:rsidR="00296E8B" w:rsidRPr="00A634F5" w:rsidRDefault="00296E8B" w:rsidP="00296E8B">
            <w:pPr>
              <w:jc w:val="both"/>
              <w:rPr>
                <w:iCs/>
                <w:sz w:val="24"/>
                <w:szCs w:val="24"/>
              </w:rPr>
            </w:pPr>
            <w:r w:rsidRPr="00271F22">
              <w:rPr>
                <w:iCs/>
                <w:sz w:val="24"/>
                <w:szCs w:val="24"/>
              </w:rPr>
              <w:t xml:space="preserve">5 made some marks on the paper with different colours. The Author asked 6 how 5 communicated. 6 stated that 5 had been learning sign-language in school and that she was continuing this at home, though 5’s main communication methods were by ‘showing’ or through ‘behaviour’. The Author had a practical knowledge of British Sign Language (British Sign Language Act 2022). Basic signs (and accompanying words) were utilised, however 6 again copied the output of the Author. The Author observed 6’s presentation, body language, demeanour, and interactions with family. At present 6 appeared healthy, well-regulated, and content. Further information would be gathered from additional sources such as Education to verify observations were consistent. 6 consented to this request for information sharing. A point of self-development (for the Author) moving forward, will be learning how to better engage </w:t>
            </w:r>
            <w:r w:rsidRPr="00A634F5">
              <w:rPr>
                <w:iCs/>
                <w:sz w:val="24"/>
                <w:szCs w:val="24"/>
              </w:rPr>
              <w:t>children when communication or capacity barriers are present.</w:t>
            </w:r>
          </w:p>
          <w:p w14:paraId="34BD7BDA" w14:textId="77777777" w:rsidR="00296E8B" w:rsidRPr="00A634F5" w:rsidRDefault="00296E8B" w:rsidP="00296E8B">
            <w:pPr>
              <w:jc w:val="both"/>
              <w:rPr>
                <w:iCs/>
                <w:sz w:val="24"/>
                <w:szCs w:val="24"/>
              </w:rPr>
            </w:pPr>
          </w:p>
          <w:p w14:paraId="64452E43" w14:textId="77777777" w:rsidR="00296E8B" w:rsidRPr="00A634F5" w:rsidRDefault="00296E8B" w:rsidP="00296E8B">
            <w:pPr>
              <w:jc w:val="both"/>
              <w:rPr>
                <w:iCs/>
                <w:sz w:val="24"/>
                <w:szCs w:val="24"/>
              </w:rPr>
            </w:pPr>
            <w:r w:rsidRPr="00A634F5">
              <w:rPr>
                <w:iCs/>
                <w:sz w:val="24"/>
                <w:szCs w:val="24"/>
              </w:rPr>
              <w:t>Open communication was vital to support the family to best maintain their internal equilibrium, however after initial information had been gathered, a minor adjournment was required to communicate with the school, and to discuss the initial analysis with the safeguarding lead worker</w:t>
            </w:r>
            <w:r>
              <w:rPr>
                <w:iCs/>
                <w:sz w:val="24"/>
                <w:szCs w:val="24"/>
              </w:rPr>
              <w:t xml:space="preserve"> </w:t>
            </w:r>
            <w:r w:rsidRPr="00A634F5">
              <w:rPr>
                <w:iCs/>
                <w:sz w:val="24"/>
                <w:szCs w:val="24"/>
              </w:rPr>
              <w:t>and gain feedback. This would undoubtedly trigger concern for 6. The Author committed to be in contact with 6 as soon as possible to update them; and provided all contact details so that the family had a source of professional contact through this difficult process. At this time, a network meeting was not immediately arranged, however, the Author confirmed with 6 that she had a source of emotional support in the interim.</w:t>
            </w:r>
          </w:p>
          <w:p w14:paraId="4D0CB8E6" w14:textId="77777777" w:rsidR="00296E8B" w:rsidRPr="00D255A2" w:rsidRDefault="00296E8B" w:rsidP="00296E8B">
            <w:pPr>
              <w:jc w:val="both"/>
              <w:rPr>
                <w:iCs/>
                <w:sz w:val="24"/>
                <w:szCs w:val="24"/>
                <w:highlight w:val="cyan"/>
              </w:rPr>
            </w:pPr>
          </w:p>
          <w:p w14:paraId="7C1E335B" w14:textId="77777777" w:rsidR="00296E8B" w:rsidRPr="00A634F5" w:rsidRDefault="00296E8B" w:rsidP="00296E8B">
            <w:pPr>
              <w:jc w:val="both"/>
              <w:rPr>
                <w:iCs/>
                <w:sz w:val="24"/>
                <w:szCs w:val="24"/>
              </w:rPr>
            </w:pPr>
            <w:r w:rsidRPr="00A634F5">
              <w:rPr>
                <w:iCs/>
                <w:sz w:val="24"/>
                <w:szCs w:val="24"/>
              </w:rPr>
              <w:t xml:space="preserve">The children’s (mainstream) school had been contacted and other than ‘poor attendance’ the school raised no other evidenced concerns in relation to the family; nor had any referrals been previously made to the LA in relation to the children’s welfare. The staff member had cast parental blame on 6’s capacity to support her children with their development, though the school had also failed to acknowledge the impact of both 4 and 5 not accessing an educational placement that met their needs; or the impact of this on the children’s emotional and behavioural health, and therefore their ability to access the current educational setting seamlessly. The Author contemplated whether there was prejudice within the dynamic between the ‘elite’ knowledge of the professional (Education) and the parent who was perceived to be ‘at blame’. It appeared that despite their ‘concerns’, there was no existing evidence of enacting avenues of remedial actions or indicators of shared accountability (SSWBWA 2014, Part 7, section 130, ‘Duty to report’; section 134, ‘Safeguarding children board’; and section 135 ‘Functions and procedures’) aligned with the shared purpose of partner agencies and ‘Regional Safeguarding Boards’ in working cohesively to safeguard children. The Author respectfully challenged the provision to consider further evidence in relation to the impact of neurodiversity and asked that they (school) be a continued point of safety for the children moving forward. </w:t>
            </w:r>
          </w:p>
          <w:p w14:paraId="2DA5282A" w14:textId="77777777" w:rsidR="00296E8B" w:rsidRPr="002C7FFB" w:rsidRDefault="00296E8B" w:rsidP="00296E8B">
            <w:pPr>
              <w:jc w:val="both"/>
              <w:rPr>
                <w:iCs/>
                <w:sz w:val="24"/>
                <w:szCs w:val="24"/>
              </w:rPr>
            </w:pPr>
          </w:p>
          <w:p w14:paraId="3402A1B5" w14:textId="77777777" w:rsidR="00296E8B" w:rsidRPr="002C7FFB" w:rsidRDefault="00296E8B" w:rsidP="00296E8B">
            <w:pPr>
              <w:jc w:val="both"/>
              <w:rPr>
                <w:iCs/>
                <w:sz w:val="24"/>
                <w:szCs w:val="24"/>
              </w:rPr>
            </w:pPr>
            <w:r w:rsidRPr="002C7FFB">
              <w:rPr>
                <w:iCs/>
                <w:sz w:val="24"/>
                <w:szCs w:val="24"/>
              </w:rPr>
              <w:t xml:space="preserve">The Author then communicated their findings to their senior worker and together it was felt that due to the interwoven layers of safeguarding concerns (both current and historic) that further supervision would be requested from management to clarify whether a multi-agency strategy meeting would be appropriate. However, within the consultation, management were satisfied that 6 was using the powers of PR to implement measures through which to keep each of the children safe from harm and being appropriately responsive to safeguarding concerns. At this time, it was considered that the children in 6’s care were </w:t>
            </w:r>
            <w:r w:rsidRPr="002C7FFB">
              <w:rPr>
                <w:i/>
                <w:sz w:val="24"/>
                <w:szCs w:val="24"/>
              </w:rPr>
              <w:t>not at risk</w:t>
            </w:r>
            <w:r w:rsidRPr="002C7FFB">
              <w:rPr>
                <w:iCs/>
                <w:sz w:val="24"/>
                <w:szCs w:val="24"/>
              </w:rPr>
              <w:t xml:space="preserve"> of significant harm but that wider support needs had been identified.  Management confirmed that the original direction of the Needs Assessment should be maintained (to minimise further intrusion for the family whilst firming safety plans). The Author felt a sense of relief following the decision, as they perceived that the family had experienced many hardships, and worried about the impact of further challenging experiences on their wellbeing. It was reassuring that management had come to this conclusion based on the current evidence, however the Author critiqued their own views as they had felt emotionally biased by the family’s circumstances. There was no emergency action needed to protect the children as there was no immediate risk of significant harm (Section 3, part 1, WSP, SCW, 2024). This information was fed back to the family and consent was sought for the family’s needs (including each of the children) to be assessed both as individuals and holistically (Part 3, SSWBWA 2014). The decision and </w:t>
            </w:r>
            <w:r w:rsidRPr="002C7FFB">
              <w:rPr>
                <w:iCs/>
                <w:sz w:val="24"/>
                <w:szCs w:val="24"/>
              </w:rPr>
              <w:lastRenderedPageBreak/>
              <w:t xml:space="preserve">the reasons for this were communicated back to ‘the report maker.’ It was, however, necessary to ensure that the relevant authorities were notified of potential safeguarding risks within their area so that discussions could commence to determine the roles and responsibilities of each agency. In this instance the Police would enact their role, and the counterpart SS would undertake enquiries in its own remit. </w:t>
            </w:r>
          </w:p>
          <w:p w14:paraId="64027D69" w14:textId="77777777" w:rsidR="00296E8B" w:rsidRPr="00D255A2" w:rsidRDefault="00296E8B" w:rsidP="00296E8B">
            <w:pPr>
              <w:jc w:val="both"/>
              <w:rPr>
                <w:iCs/>
                <w:sz w:val="24"/>
                <w:szCs w:val="24"/>
                <w:highlight w:val="cyan"/>
              </w:rPr>
            </w:pPr>
          </w:p>
          <w:p w14:paraId="4E920B1F" w14:textId="77777777" w:rsidR="00296E8B" w:rsidRPr="002C7FFB" w:rsidRDefault="00296E8B" w:rsidP="00296E8B">
            <w:pPr>
              <w:jc w:val="both"/>
              <w:rPr>
                <w:iCs/>
                <w:sz w:val="24"/>
                <w:szCs w:val="24"/>
              </w:rPr>
            </w:pPr>
            <w:r w:rsidRPr="002C7FFB">
              <w:rPr>
                <w:iCs/>
                <w:sz w:val="24"/>
                <w:szCs w:val="24"/>
              </w:rPr>
              <w:t xml:space="preserve">If 7’s home had been within the geographical authority of the Author and the service whom they work for, or there had been ‘reasonable cause’ to suspect the significant harm (or risk of) of the children in 6’s care, a strategy meeting would have been recommended to consider initiation of Section 47 enquiries (CA 1989). This meeting must have commenced within a single working-day of the decision to proceed, and involve agencies connected to the children. Section 47 enquiries must be concluded within ten working-days of the initial strategy meeting (section 3, part 1, WSP, SCW, 2024). The concerns may or may not have been substantiated. Should these enquiries have ascertained the need to progress protective pathways, a ‘Child Protection Conference’ must have been held within a maximum of fifteen working-days of the decision. Should a child be considered ‘at risk’ at the conclusion of the conference, the child would be included on the ‘Child Protection Register’. Categories of risk </w:t>
            </w:r>
            <w:proofErr w:type="gramStart"/>
            <w:r w:rsidRPr="002C7FFB">
              <w:rPr>
                <w:iCs/>
                <w:sz w:val="24"/>
                <w:szCs w:val="24"/>
              </w:rPr>
              <w:t>include:</w:t>
            </w:r>
            <w:proofErr w:type="gramEnd"/>
            <w:r w:rsidRPr="002C7FFB">
              <w:rPr>
                <w:iCs/>
                <w:sz w:val="24"/>
                <w:szCs w:val="24"/>
              </w:rPr>
              <w:t xml:space="preserve"> Physical abuse; emotional or psychological abuse; financial abuse; sexual abuse; or neglect. The ‘Care and Support Protection Plan’ formulated would be reviewed within 3 months of the initial conference, with subsequent reviews every 6 months whilst the child remained on said ‘Register’. Had the concerns been substantiated, ‘Section 47 enquiries’ (CA 1989) must also have considered the immediate safety of the children. Should the children be at immediate risk of harm, consent would be sought (from those with PR) to relocate the child to a place of safety where they could be protected from harm. Statutory interventions to protect the immediate safety of a child should only be utilised if safety cannot be ascertained by alternative measures. Should obtaining consent pose further risk to a child (or parents dispute the decision), measures may be taken to acquire an Emergency Protection Order (Part 5, section 44, CA 1989) or alternatively, Police powers of protection (section 46, CA 1989) may be implemented. Whilst these steps outline the framework for child protection in Wales (and similarly England, due to the mechanisms derived from the CA 1989), they are not exhaustive of all avenues. </w:t>
            </w:r>
          </w:p>
          <w:p w14:paraId="53C18644" w14:textId="77777777" w:rsidR="00296E8B" w:rsidRPr="00D255A2" w:rsidRDefault="00296E8B" w:rsidP="00296E8B">
            <w:pPr>
              <w:jc w:val="both"/>
              <w:rPr>
                <w:iCs/>
                <w:sz w:val="24"/>
                <w:szCs w:val="24"/>
                <w:highlight w:val="cyan"/>
              </w:rPr>
            </w:pPr>
          </w:p>
          <w:p w14:paraId="4248CF05" w14:textId="77777777" w:rsidR="00296E8B" w:rsidRPr="00B33355" w:rsidRDefault="00296E8B" w:rsidP="00296E8B">
            <w:pPr>
              <w:jc w:val="both"/>
              <w:rPr>
                <w:iCs/>
                <w:sz w:val="24"/>
                <w:szCs w:val="24"/>
              </w:rPr>
            </w:pPr>
            <w:r w:rsidRPr="00B33355">
              <w:rPr>
                <w:iCs/>
                <w:sz w:val="24"/>
                <w:szCs w:val="24"/>
              </w:rPr>
              <w:t xml:space="preserve">A ‘Case Study’ of recent safeguarding work was reflected upon. The Author felt that there was a significant difference in approach between ‘casting judgement’ and ‘exercising professional judgement.’ Social Workers by nature of the role and inherent processes, are predisposed to make judgements, whilst maintaining empathy and non-judgementalism as per core values. For this reason, the role, responsibilities, and virtues are frequently in conflict. The Author critiqued their practice in this instance through contemplating whether this involvement had been proportionately aligned with the safeguarding concerns and effectively child-centred, or whether they had become embroiled in the wider needs and vulnerabilities of the family, and intricacies therein. Subsequently, the Author recognised the importance of working in conjunction with further professionals to ensure balance and critical analysis. </w:t>
            </w:r>
          </w:p>
          <w:p w14:paraId="7E3AD75E" w14:textId="77777777" w:rsidR="00296E8B" w:rsidRPr="00D255A2" w:rsidRDefault="00296E8B" w:rsidP="00296E8B">
            <w:pPr>
              <w:jc w:val="both"/>
              <w:rPr>
                <w:iCs/>
                <w:sz w:val="24"/>
                <w:szCs w:val="24"/>
                <w:highlight w:val="cyan"/>
              </w:rPr>
            </w:pPr>
          </w:p>
          <w:p w14:paraId="0E7BBCC9" w14:textId="14A6D926" w:rsidR="00D3203C" w:rsidRPr="00296E8B" w:rsidRDefault="00296E8B" w:rsidP="00FF7EBB">
            <w:pPr>
              <w:jc w:val="both"/>
              <w:rPr>
                <w:iCs/>
                <w:sz w:val="24"/>
                <w:szCs w:val="24"/>
              </w:rPr>
            </w:pPr>
            <w:r w:rsidRPr="00271F22">
              <w:rPr>
                <w:iCs/>
                <w:sz w:val="24"/>
                <w:szCs w:val="24"/>
              </w:rPr>
              <w:t>Word count: 4394</w:t>
            </w:r>
          </w:p>
          <w:p w14:paraId="47F21B6A" w14:textId="007FFCCE" w:rsidR="007A628F" w:rsidRPr="008B28E7" w:rsidRDefault="007A628F" w:rsidP="00FF7EBB">
            <w:pPr>
              <w:jc w:val="both"/>
              <w:rPr>
                <w:sz w:val="24"/>
                <w:szCs w:val="24"/>
              </w:rPr>
            </w:pPr>
          </w:p>
        </w:tc>
      </w:tr>
    </w:tbl>
    <w:p w14:paraId="7F4433FA" w14:textId="247A8309" w:rsidR="00CC135E" w:rsidRPr="003B29BC" w:rsidRDefault="00CC135E" w:rsidP="003B29BC">
      <w:pPr>
        <w:rPr>
          <w:color w:val="auto"/>
          <w:sz w:val="24"/>
          <w:szCs w:val="24"/>
        </w:rPr>
      </w:pPr>
    </w:p>
    <w:sectPr w:rsidR="00CC135E" w:rsidRPr="003B29BC"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867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0754B"/>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96E8B"/>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3B20"/>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2A20"/>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90B"/>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8673"/>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pubmed.ncbi.nlm.nih.gov/?term=Pascual%20E%5BAuthor%5D"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pubmed.ncbi.nlm.nih.gov/?term=Xie%20F%5BAuthor%5D"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4588</Words>
  <Characters>24757</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29287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Jessica Thomas (Infonation)</cp:lastModifiedBy>
  <cp:revision>2</cp:revision>
  <cp:lastPrinted>2020-02-11T19:20:00Z</cp:lastPrinted>
  <dcterms:created xsi:type="dcterms:W3CDTF">2024-08-07T08:54:00Z</dcterms:created>
  <dcterms:modified xsi:type="dcterms:W3CDTF">2024-08-07T08:54:00Z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