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4D4827" w14:textId="77777777" w:rsidR="00610DF7" w:rsidRDefault="00610DF7" w:rsidP="00683185">
      <w:pPr>
        <w:spacing w:line="360" w:lineRule="auto"/>
        <w:rPr>
          <w:rFonts w:ascii="Arial" w:hAnsi="Arial" w:cs="Arial"/>
          <w:b/>
          <w:bCs/>
          <w:sz w:val="48"/>
          <w:szCs w:val="48"/>
        </w:rPr>
      </w:pPr>
    </w:p>
    <w:p w14:paraId="254A9AFE" w14:textId="77777777" w:rsidR="00683185" w:rsidRPr="006573B0" w:rsidRDefault="00683185" w:rsidP="00683185">
      <w:pPr>
        <w:spacing w:line="360" w:lineRule="auto"/>
        <w:jc w:val="center"/>
        <w:rPr>
          <w:rFonts w:ascii="Arial" w:hAnsi="Arial" w:cs="Arial"/>
          <w:b/>
          <w:bCs/>
          <w:sz w:val="40"/>
          <w:szCs w:val="40"/>
        </w:rPr>
      </w:pPr>
      <w:r w:rsidRPr="006573B0">
        <w:rPr>
          <w:rFonts w:ascii="Arial" w:hAnsi="Arial" w:cs="Arial"/>
          <w:b/>
          <w:bCs/>
          <w:sz w:val="40"/>
          <w:szCs w:val="40"/>
        </w:rPr>
        <w:t>Assignment 2</w:t>
      </w:r>
    </w:p>
    <w:p w14:paraId="3A28CCE7" w14:textId="77777777" w:rsidR="00683185" w:rsidRPr="00683185" w:rsidRDefault="00683185" w:rsidP="00683185">
      <w:pPr>
        <w:spacing w:line="360" w:lineRule="auto"/>
        <w:rPr>
          <w:rFonts w:ascii="Arial" w:hAnsi="Arial" w:cs="Arial"/>
          <w:b/>
          <w:bCs/>
          <w:sz w:val="28"/>
          <w:szCs w:val="28"/>
        </w:rPr>
      </w:pPr>
    </w:p>
    <w:p w14:paraId="09B13455" w14:textId="0F62E127" w:rsidR="007D6023" w:rsidRDefault="00683185" w:rsidP="00683185">
      <w:pPr>
        <w:spacing w:line="360" w:lineRule="auto"/>
        <w:jc w:val="center"/>
        <w:rPr>
          <w:rFonts w:ascii="Arial" w:hAnsi="Arial" w:cs="Arial"/>
          <w:b/>
          <w:bCs/>
          <w:sz w:val="28"/>
          <w:szCs w:val="28"/>
        </w:rPr>
      </w:pPr>
      <w:r w:rsidRPr="00683185">
        <w:rPr>
          <w:rFonts w:ascii="Arial" w:hAnsi="Arial" w:cs="Arial"/>
          <w:b/>
          <w:bCs/>
          <w:sz w:val="28"/>
          <w:szCs w:val="28"/>
        </w:rPr>
        <w:t>Event Strategic Planning and Delivery Considerations for an International Meeting</w:t>
      </w:r>
    </w:p>
    <w:p w14:paraId="27743A66" w14:textId="77777777" w:rsidR="00683185" w:rsidRPr="00683185" w:rsidRDefault="00683185" w:rsidP="00683185">
      <w:pPr>
        <w:spacing w:line="360" w:lineRule="auto"/>
        <w:jc w:val="center"/>
        <w:rPr>
          <w:rFonts w:ascii="Arial" w:hAnsi="Arial" w:cs="Arial"/>
          <w:sz w:val="28"/>
          <w:szCs w:val="28"/>
        </w:rPr>
      </w:pPr>
    </w:p>
    <w:p w14:paraId="763E9B90" w14:textId="723A9E6D" w:rsidR="007D6023" w:rsidRPr="001F696A" w:rsidRDefault="001F696A" w:rsidP="00683185">
      <w:pPr>
        <w:spacing w:line="360" w:lineRule="auto"/>
        <w:jc w:val="center"/>
        <w:rPr>
          <w:rFonts w:ascii="Arial" w:hAnsi="Arial" w:cs="Arial"/>
          <w:b/>
          <w:bCs/>
          <w:sz w:val="36"/>
          <w:szCs w:val="36"/>
        </w:rPr>
      </w:pPr>
      <w:r w:rsidRPr="001F696A">
        <w:rPr>
          <w:rFonts w:ascii="Arial" w:hAnsi="Arial" w:cs="Arial"/>
          <w:b/>
          <w:bCs/>
          <w:sz w:val="36"/>
          <w:szCs w:val="36"/>
        </w:rPr>
        <w:t>SANTA’S WINTER EXPO</w:t>
      </w:r>
    </w:p>
    <w:p w14:paraId="4E41C50F" w14:textId="0AB92EE0" w:rsidR="007D6023" w:rsidRDefault="00A607B8" w:rsidP="00A607B8">
      <w:pPr>
        <w:spacing w:line="360" w:lineRule="auto"/>
        <w:jc w:val="center"/>
        <w:rPr>
          <w:rFonts w:ascii="Arial" w:hAnsi="Arial" w:cs="Arial"/>
          <w:sz w:val="24"/>
          <w:szCs w:val="24"/>
        </w:rPr>
      </w:pPr>
      <w:r>
        <w:rPr>
          <w:noProof/>
        </w:rPr>
        <w:drawing>
          <wp:inline distT="0" distB="0" distL="0" distR="0" wp14:anchorId="7D480962" wp14:editId="2191DA09">
            <wp:extent cx="3065006" cy="2042060"/>
            <wp:effectExtent l="0" t="0" r="2540" b="0"/>
            <wp:docPr id="139" name="Picture 137" descr="A red mailbox with white text and a person in a gar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A red mailbox with white text and a person in a garme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2042060"/>
                    </a:xfrm>
                    <a:prstGeom prst="rect">
                      <a:avLst/>
                    </a:prstGeom>
                  </pic:spPr>
                </pic:pic>
              </a:graphicData>
            </a:graphic>
          </wp:inline>
        </w:drawing>
      </w:r>
    </w:p>
    <w:p w14:paraId="2B416952" w14:textId="77777777" w:rsidR="007D6023" w:rsidRDefault="007D6023" w:rsidP="007D6023">
      <w:pPr>
        <w:spacing w:line="360" w:lineRule="auto"/>
        <w:jc w:val="center"/>
        <w:rPr>
          <w:rFonts w:ascii="Arial" w:hAnsi="Arial" w:cs="Arial"/>
          <w:sz w:val="24"/>
          <w:szCs w:val="24"/>
        </w:rPr>
      </w:pPr>
    </w:p>
    <w:p w14:paraId="42C9E328" w14:textId="77777777" w:rsidR="007D6023" w:rsidRDefault="007D6023" w:rsidP="007D6023">
      <w:pPr>
        <w:spacing w:line="360" w:lineRule="auto"/>
        <w:jc w:val="center"/>
        <w:rPr>
          <w:rFonts w:ascii="Arial" w:hAnsi="Arial" w:cs="Arial"/>
          <w:sz w:val="24"/>
          <w:szCs w:val="24"/>
        </w:rPr>
      </w:pPr>
    </w:p>
    <w:p w14:paraId="175A1E78" w14:textId="77777777" w:rsidR="007D6023" w:rsidRPr="00EB4FCE" w:rsidRDefault="007D6023" w:rsidP="00EB4FCE">
      <w:pPr>
        <w:spacing w:line="360" w:lineRule="auto"/>
        <w:rPr>
          <w:rFonts w:ascii="Arial" w:hAnsi="Arial" w:cs="Arial"/>
          <w:sz w:val="24"/>
          <w:szCs w:val="24"/>
        </w:rPr>
      </w:pPr>
    </w:p>
    <w:p w14:paraId="7D1F1197" w14:textId="77777777" w:rsidR="00EB4FCE" w:rsidRPr="00EB4FCE" w:rsidRDefault="00EB4FCE" w:rsidP="007D6023">
      <w:pPr>
        <w:numPr>
          <w:ilvl w:val="0"/>
          <w:numId w:val="1"/>
        </w:numPr>
        <w:spacing w:after="0" w:line="259" w:lineRule="auto"/>
        <w:contextualSpacing/>
        <w:rPr>
          <w:rFonts w:ascii="Arial" w:hAnsi="Arial" w:cs="Arial"/>
          <w:b/>
          <w:sz w:val="24"/>
          <w:szCs w:val="24"/>
        </w:rPr>
      </w:pPr>
      <w:r w:rsidRPr="00EB4FCE">
        <w:rPr>
          <w:rFonts w:ascii="Arial" w:hAnsi="Arial" w:cs="Arial"/>
          <w:b/>
          <w:sz w:val="24"/>
          <w:szCs w:val="24"/>
        </w:rPr>
        <w:t>Name: MARIANA MURESAN</w:t>
      </w:r>
    </w:p>
    <w:p w14:paraId="2BF2D088" w14:textId="77777777" w:rsidR="00EB4FCE" w:rsidRPr="00EB4FCE" w:rsidRDefault="00EB4FCE" w:rsidP="007D6023">
      <w:pPr>
        <w:numPr>
          <w:ilvl w:val="0"/>
          <w:numId w:val="1"/>
        </w:numPr>
        <w:spacing w:after="0" w:line="259" w:lineRule="auto"/>
        <w:contextualSpacing/>
        <w:rPr>
          <w:rFonts w:ascii="Arial" w:hAnsi="Arial" w:cs="Arial"/>
          <w:b/>
          <w:sz w:val="24"/>
          <w:szCs w:val="24"/>
        </w:rPr>
      </w:pPr>
      <w:r w:rsidRPr="00EB4FCE">
        <w:rPr>
          <w:rFonts w:ascii="Arial" w:hAnsi="Arial" w:cs="Arial"/>
          <w:b/>
          <w:sz w:val="24"/>
          <w:szCs w:val="24"/>
        </w:rPr>
        <w:t>Student ID:2210334</w:t>
      </w:r>
    </w:p>
    <w:p w14:paraId="1D36C2DB" w14:textId="4CF87FC9" w:rsidR="00EB4FCE" w:rsidRPr="00EB4FCE" w:rsidRDefault="00EB4FCE" w:rsidP="007D6023">
      <w:pPr>
        <w:numPr>
          <w:ilvl w:val="0"/>
          <w:numId w:val="1"/>
        </w:numPr>
        <w:spacing w:after="0" w:line="259" w:lineRule="auto"/>
        <w:contextualSpacing/>
        <w:rPr>
          <w:rFonts w:ascii="Arial" w:hAnsi="Arial" w:cs="Arial"/>
          <w:b/>
          <w:sz w:val="24"/>
          <w:szCs w:val="24"/>
        </w:rPr>
      </w:pPr>
      <w:r w:rsidRPr="00EB4FCE">
        <w:rPr>
          <w:rFonts w:ascii="Arial" w:hAnsi="Arial" w:cs="Arial"/>
          <w:b/>
          <w:sz w:val="24"/>
          <w:szCs w:val="24"/>
        </w:rPr>
        <w:t xml:space="preserve">Module Title: </w:t>
      </w:r>
      <w:r>
        <w:rPr>
          <w:rFonts w:ascii="Arial" w:hAnsi="Arial" w:cs="Arial"/>
          <w:b/>
          <w:sz w:val="24"/>
          <w:szCs w:val="24"/>
        </w:rPr>
        <w:t>INTERNATIONAL MEETINGS MANAGEMENT FOR THE HOTEL INDUSTRY</w:t>
      </w:r>
    </w:p>
    <w:p w14:paraId="58DE100B" w14:textId="774FB12A" w:rsidR="00EB4FCE" w:rsidRPr="00EB4FCE" w:rsidRDefault="00EB4FCE" w:rsidP="007D6023">
      <w:pPr>
        <w:numPr>
          <w:ilvl w:val="0"/>
          <w:numId w:val="1"/>
        </w:numPr>
        <w:spacing w:after="0" w:line="259" w:lineRule="auto"/>
        <w:contextualSpacing/>
        <w:jc w:val="both"/>
        <w:rPr>
          <w:rFonts w:ascii="Arial" w:hAnsi="Arial" w:cs="Arial"/>
          <w:b/>
          <w:sz w:val="24"/>
          <w:szCs w:val="24"/>
        </w:rPr>
      </w:pPr>
      <w:r w:rsidRPr="00EB4FCE">
        <w:rPr>
          <w:rFonts w:ascii="Arial" w:hAnsi="Arial" w:cs="Arial"/>
          <w:b/>
          <w:sz w:val="24"/>
          <w:szCs w:val="24"/>
        </w:rPr>
        <w:t>Module code:</w:t>
      </w:r>
      <w:r w:rsidR="007D6023">
        <w:rPr>
          <w:rFonts w:ascii="Arial" w:hAnsi="Arial" w:cs="Arial"/>
          <w:b/>
          <w:sz w:val="24"/>
          <w:szCs w:val="24"/>
        </w:rPr>
        <w:t xml:space="preserve"> </w:t>
      </w:r>
      <w:r>
        <w:rPr>
          <w:rFonts w:ascii="Arial" w:hAnsi="Arial" w:cs="Arial"/>
          <w:b/>
          <w:sz w:val="24"/>
          <w:szCs w:val="24"/>
        </w:rPr>
        <w:t>BMIH6007</w:t>
      </w:r>
    </w:p>
    <w:p w14:paraId="5A1A5095" w14:textId="3BC1C462" w:rsidR="00EB4FCE" w:rsidRDefault="00EB4FCE" w:rsidP="00EB4FCE">
      <w:pPr>
        <w:numPr>
          <w:ilvl w:val="0"/>
          <w:numId w:val="1"/>
        </w:numPr>
        <w:spacing w:after="0" w:line="259" w:lineRule="auto"/>
        <w:contextualSpacing/>
        <w:rPr>
          <w:rFonts w:ascii="Arial" w:hAnsi="Arial" w:cs="Arial"/>
          <w:b/>
          <w:sz w:val="24"/>
          <w:szCs w:val="24"/>
        </w:rPr>
      </w:pPr>
      <w:proofErr w:type="spellStart"/>
      <w:r>
        <w:rPr>
          <w:rFonts w:ascii="Arial" w:hAnsi="Arial" w:cs="Arial"/>
          <w:b/>
          <w:sz w:val="24"/>
          <w:szCs w:val="24"/>
        </w:rPr>
        <w:t>Modulel</w:t>
      </w:r>
      <w:proofErr w:type="spellEnd"/>
      <w:r>
        <w:rPr>
          <w:rFonts w:ascii="Arial" w:hAnsi="Arial" w:cs="Arial"/>
          <w:b/>
          <w:sz w:val="24"/>
          <w:szCs w:val="24"/>
        </w:rPr>
        <w:t xml:space="preserve"> lead</w:t>
      </w:r>
      <w:r w:rsidRPr="00EB4FCE">
        <w:rPr>
          <w:rFonts w:ascii="Arial" w:hAnsi="Arial" w:cs="Arial"/>
          <w:b/>
          <w:sz w:val="24"/>
          <w:szCs w:val="24"/>
        </w:rPr>
        <w:t>:</w:t>
      </w:r>
      <w:r w:rsidRPr="00EB4FCE">
        <w:rPr>
          <w:rFonts w:ascii="Arial" w:hAnsi="Arial" w:cs="Arial"/>
          <w:sz w:val="24"/>
          <w:szCs w:val="24"/>
        </w:rPr>
        <w:t xml:space="preserve"> </w:t>
      </w:r>
      <w:r>
        <w:rPr>
          <w:rFonts w:ascii="Arial" w:hAnsi="Arial" w:cs="Arial"/>
          <w:b/>
          <w:sz w:val="24"/>
          <w:szCs w:val="24"/>
        </w:rPr>
        <w:t>KATHRYN FLYNN</w:t>
      </w:r>
    </w:p>
    <w:p w14:paraId="3BB25F9A" w14:textId="62383AD2" w:rsidR="00683185" w:rsidRPr="00EB4FCE" w:rsidRDefault="00683185" w:rsidP="00EB4FCE">
      <w:pPr>
        <w:numPr>
          <w:ilvl w:val="0"/>
          <w:numId w:val="1"/>
        </w:numPr>
        <w:spacing w:after="0" w:line="259" w:lineRule="auto"/>
        <w:contextualSpacing/>
        <w:rPr>
          <w:rFonts w:ascii="Arial" w:hAnsi="Arial" w:cs="Arial"/>
          <w:b/>
          <w:sz w:val="24"/>
          <w:szCs w:val="24"/>
        </w:rPr>
      </w:pPr>
      <w:r>
        <w:rPr>
          <w:rFonts w:ascii="Arial" w:hAnsi="Arial" w:cs="Arial"/>
          <w:b/>
          <w:sz w:val="24"/>
          <w:szCs w:val="24"/>
        </w:rPr>
        <w:t>Word count:</w:t>
      </w:r>
      <w:r w:rsidR="00683CF8">
        <w:rPr>
          <w:rFonts w:ascii="Arial" w:hAnsi="Arial" w:cs="Arial"/>
          <w:b/>
          <w:sz w:val="24"/>
          <w:szCs w:val="24"/>
        </w:rPr>
        <w:t xml:space="preserve"> 2697</w:t>
      </w:r>
    </w:p>
    <w:p w14:paraId="0ED85CCF" w14:textId="77777777" w:rsidR="00EB4FCE" w:rsidRPr="00EB4FCE" w:rsidRDefault="00EB4FCE" w:rsidP="00EB4FCE">
      <w:pPr>
        <w:spacing w:after="0" w:line="259" w:lineRule="auto"/>
        <w:rPr>
          <w:rFonts w:ascii="Arial" w:hAnsi="Arial" w:cs="Arial"/>
          <w:b/>
          <w:sz w:val="24"/>
          <w:szCs w:val="24"/>
        </w:rPr>
      </w:pPr>
    </w:p>
    <w:p w14:paraId="1D6D1CCF" w14:textId="77777777" w:rsidR="00EB4FCE" w:rsidRPr="00EB4FCE" w:rsidRDefault="00EB4FCE" w:rsidP="00EB4FCE">
      <w:pPr>
        <w:spacing w:after="0" w:line="259" w:lineRule="auto"/>
        <w:rPr>
          <w:rFonts w:ascii="Arial" w:hAnsi="Arial" w:cs="Arial"/>
          <w:b/>
          <w:sz w:val="24"/>
          <w:szCs w:val="24"/>
        </w:rPr>
      </w:pPr>
    </w:p>
    <w:p w14:paraId="7DF70018" w14:textId="77777777" w:rsidR="00EB4FCE" w:rsidRPr="00EB4FCE" w:rsidRDefault="00EB4FCE" w:rsidP="00EB4FCE">
      <w:pPr>
        <w:spacing w:after="0" w:line="259" w:lineRule="auto"/>
        <w:rPr>
          <w:rFonts w:ascii="Arial" w:hAnsi="Arial" w:cs="Arial"/>
          <w:b/>
          <w:sz w:val="24"/>
          <w:szCs w:val="24"/>
        </w:rPr>
      </w:pPr>
    </w:p>
    <w:p w14:paraId="62340BAF" w14:textId="01D0C7B5" w:rsidR="007F13A1" w:rsidRDefault="007F13A1"/>
    <w:p w14:paraId="103574AD" w14:textId="77777777" w:rsidR="00683185" w:rsidRPr="006573B0" w:rsidRDefault="00683185" w:rsidP="00956B8C">
      <w:pPr>
        <w:spacing w:line="360" w:lineRule="auto"/>
        <w:jc w:val="both"/>
        <w:rPr>
          <w:rFonts w:ascii="Arial" w:hAnsi="Arial" w:cs="Arial"/>
        </w:rPr>
      </w:pPr>
      <w:r w:rsidRPr="006573B0">
        <w:rPr>
          <w:rFonts w:ascii="Arial" w:hAnsi="Arial" w:cs="Arial"/>
        </w:rPr>
        <w:lastRenderedPageBreak/>
        <w:t xml:space="preserve">I acknowledge the use of Grammarly App and Microsoft Word Editor on 8th November 2024 to check my grammar, syntax and misspellings </w:t>
      </w:r>
    </w:p>
    <w:p w14:paraId="5846126F" w14:textId="71B9A798" w:rsidR="007D6023" w:rsidRPr="006573B0" w:rsidRDefault="00683185" w:rsidP="00956B8C">
      <w:pPr>
        <w:spacing w:line="360" w:lineRule="auto"/>
        <w:jc w:val="both"/>
        <w:rPr>
          <w:rFonts w:ascii="Arial" w:hAnsi="Arial" w:cs="Arial"/>
        </w:rPr>
      </w:pPr>
      <w:r w:rsidRPr="006573B0">
        <w:rPr>
          <w:rFonts w:ascii="Arial" w:hAnsi="Arial" w:cs="Arial"/>
        </w:rPr>
        <w:t>I confirm that I have not presented any Al generated text as my own work. I confirm I have copies of my drafts, notes, and other resources I used before, and after the use of Al tools which I may be asked to provide in evidence.</w:t>
      </w:r>
    </w:p>
    <w:p w14:paraId="769F4357" w14:textId="77777777" w:rsidR="00683185" w:rsidRPr="006573B0" w:rsidRDefault="00683185" w:rsidP="00683185">
      <w:pPr>
        <w:rPr>
          <w:rFonts w:ascii="Arial" w:hAnsi="Arial" w:cs="Arial"/>
        </w:rPr>
      </w:pPr>
    </w:p>
    <w:p w14:paraId="04E71D78" w14:textId="77777777" w:rsidR="00683185" w:rsidRPr="006573B0" w:rsidRDefault="00683185" w:rsidP="00683185">
      <w:pPr>
        <w:rPr>
          <w:rFonts w:ascii="Arial" w:hAnsi="Arial" w:cs="Arial"/>
        </w:rPr>
      </w:pPr>
    </w:p>
    <w:p w14:paraId="22BCDD4E" w14:textId="77777777" w:rsidR="00683185" w:rsidRPr="006573B0" w:rsidRDefault="00683185" w:rsidP="00683185">
      <w:pPr>
        <w:rPr>
          <w:rFonts w:ascii="Arial" w:hAnsi="Arial" w:cs="Arial"/>
        </w:rPr>
      </w:pPr>
    </w:p>
    <w:p w14:paraId="2BFB446A" w14:textId="77777777" w:rsidR="00683185" w:rsidRDefault="00683185" w:rsidP="00683185"/>
    <w:p w14:paraId="7C2B8C4E" w14:textId="77777777" w:rsidR="00683185" w:rsidRDefault="00683185" w:rsidP="00683185"/>
    <w:p w14:paraId="34EEC581" w14:textId="77777777" w:rsidR="00683185" w:rsidRDefault="00683185" w:rsidP="00683185"/>
    <w:p w14:paraId="0ED84B17" w14:textId="77777777" w:rsidR="00683185" w:rsidRDefault="00683185" w:rsidP="00683185"/>
    <w:p w14:paraId="24B3CEC8" w14:textId="77777777" w:rsidR="00683185" w:rsidRDefault="00683185" w:rsidP="00683185"/>
    <w:p w14:paraId="145CA17F" w14:textId="77777777" w:rsidR="00683185" w:rsidRDefault="00683185" w:rsidP="00683185"/>
    <w:p w14:paraId="0EBA0C33" w14:textId="77777777" w:rsidR="006573B0" w:rsidRDefault="006573B0" w:rsidP="00683185"/>
    <w:p w14:paraId="571F88A3" w14:textId="77777777" w:rsidR="006573B0" w:rsidRDefault="006573B0" w:rsidP="00683185"/>
    <w:p w14:paraId="26958609" w14:textId="77777777" w:rsidR="006573B0" w:rsidRDefault="006573B0" w:rsidP="00683185"/>
    <w:p w14:paraId="335C49A4" w14:textId="77777777" w:rsidR="006573B0" w:rsidRDefault="006573B0" w:rsidP="00683185"/>
    <w:p w14:paraId="6E2D335B" w14:textId="77777777" w:rsidR="006573B0" w:rsidRDefault="006573B0" w:rsidP="00683185"/>
    <w:p w14:paraId="5462265D" w14:textId="77777777" w:rsidR="006573B0" w:rsidRDefault="006573B0" w:rsidP="00683185"/>
    <w:p w14:paraId="7F15C3D2" w14:textId="77777777" w:rsidR="006573B0" w:rsidRDefault="006573B0" w:rsidP="00683185"/>
    <w:p w14:paraId="675E6663" w14:textId="77777777" w:rsidR="006573B0" w:rsidRDefault="006573B0" w:rsidP="00683185"/>
    <w:p w14:paraId="079FE272" w14:textId="77777777" w:rsidR="006573B0" w:rsidRDefault="006573B0" w:rsidP="00683185"/>
    <w:p w14:paraId="05A2D00A" w14:textId="77777777" w:rsidR="006573B0" w:rsidRDefault="006573B0" w:rsidP="00683185"/>
    <w:p w14:paraId="58FD7431" w14:textId="77777777" w:rsidR="006573B0" w:rsidRDefault="006573B0" w:rsidP="00683185"/>
    <w:p w14:paraId="7AA48367" w14:textId="77777777" w:rsidR="006573B0" w:rsidRDefault="006573B0" w:rsidP="00683185"/>
    <w:p w14:paraId="27ACEC57" w14:textId="77777777" w:rsidR="006573B0" w:rsidRDefault="006573B0" w:rsidP="00683185"/>
    <w:p w14:paraId="2F0AD7AB" w14:textId="77777777" w:rsidR="006573B0" w:rsidRDefault="006573B0" w:rsidP="00683185"/>
    <w:p w14:paraId="0329838A" w14:textId="77777777" w:rsidR="006573B0" w:rsidRDefault="006573B0" w:rsidP="00683185"/>
    <w:p w14:paraId="4A88D85F" w14:textId="77777777" w:rsidR="006573B0" w:rsidRDefault="006573B0" w:rsidP="00683185"/>
    <w:p w14:paraId="2C24FB21" w14:textId="77777777" w:rsidR="006573B0" w:rsidRDefault="006573B0" w:rsidP="00683185"/>
    <w:p w14:paraId="153800B8" w14:textId="77777777" w:rsidR="006573B0" w:rsidRDefault="006573B0" w:rsidP="006573B0">
      <w:pPr>
        <w:spacing w:line="360" w:lineRule="auto"/>
        <w:jc w:val="both"/>
        <w:rPr>
          <w:rFonts w:ascii="Arial" w:hAnsi="Arial" w:cs="Arial"/>
          <w:b/>
          <w:bCs/>
          <w:sz w:val="24"/>
          <w:szCs w:val="24"/>
        </w:rPr>
      </w:pPr>
      <w:r w:rsidRPr="006573B0">
        <w:rPr>
          <w:noProof/>
        </w:rPr>
        <w:lastRenderedPageBreak/>
        <w:drawing>
          <wp:inline distT="0" distB="0" distL="0" distR="0" wp14:anchorId="2D21ACAB" wp14:editId="2235658E">
            <wp:extent cx="5943600" cy="3715385"/>
            <wp:effectExtent l="0" t="0" r="0" b="0"/>
            <wp:docPr id="1482704496" name="Picture 2" descr="Winter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inter C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715385"/>
                    </a:xfrm>
                    <a:prstGeom prst="rect">
                      <a:avLst/>
                    </a:prstGeom>
                    <a:noFill/>
                    <a:ln>
                      <a:noFill/>
                    </a:ln>
                  </pic:spPr>
                </pic:pic>
              </a:graphicData>
            </a:graphic>
          </wp:inline>
        </w:drawing>
      </w:r>
    </w:p>
    <w:p w14:paraId="47CDC5BD" w14:textId="01939140" w:rsidR="006573B0" w:rsidRPr="006573B0" w:rsidRDefault="006573B0" w:rsidP="006573B0">
      <w:pPr>
        <w:spacing w:line="360" w:lineRule="auto"/>
        <w:jc w:val="both"/>
        <w:rPr>
          <w:rFonts w:ascii="Arial" w:hAnsi="Arial" w:cs="Arial"/>
          <w:b/>
          <w:bCs/>
        </w:rPr>
      </w:pPr>
      <w:r w:rsidRPr="006573B0">
        <w:rPr>
          <w:rFonts w:ascii="Arial" w:hAnsi="Arial" w:cs="Arial"/>
          <w:b/>
          <w:bCs/>
        </w:rPr>
        <w:t>Executive Summary</w:t>
      </w:r>
    </w:p>
    <w:p w14:paraId="3C27B34F" w14:textId="77777777" w:rsidR="006573B0" w:rsidRPr="006573B0" w:rsidRDefault="006573B0" w:rsidP="006573B0">
      <w:pPr>
        <w:spacing w:line="360" w:lineRule="auto"/>
        <w:jc w:val="both"/>
        <w:rPr>
          <w:rFonts w:ascii="Arial" w:hAnsi="Arial" w:cs="Arial"/>
        </w:rPr>
      </w:pPr>
      <w:r w:rsidRPr="006573B0">
        <w:rPr>
          <w:rFonts w:ascii="Arial" w:hAnsi="Arial" w:cs="Arial"/>
        </w:rPr>
        <w:t>Santa’s Winter Expo is a seasonal event that integrates business networking with festive winter activities at Birmingham’s NEC. The Expo seeks to engage both B2B and B2C audiences, enriching Birmingham's event calendar and delivering an immersive experience for participants. The primary objectives are to increase attendance, improve attendee satisfaction with interactive experiences, and diversify revenue streams. The event conforms to the EMBOK framework to guarantee efficient planning and risk management, addressing challenges through crowd control, sustainable practices, and health safety measures. Utilising a 7Ps marketing strategy, PEST analysis, and strategic budgeting, Santa’s Winter Expo has the potential to offer a significant winter experience in accordance with market trends in experiential events and sustainability.</w:t>
      </w:r>
    </w:p>
    <w:p w14:paraId="5A16BAC2" w14:textId="77777777" w:rsidR="006573B0" w:rsidRPr="006573B0" w:rsidRDefault="006573B0" w:rsidP="006573B0">
      <w:pPr>
        <w:spacing w:line="360" w:lineRule="auto"/>
        <w:jc w:val="both"/>
        <w:rPr>
          <w:rFonts w:ascii="Arial" w:hAnsi="Arial" w:cs="Arial"/>
          <w:b/>
          <w:bCs/>
        </w:rPr>
      </w:pPr>
    </w:p>
    <w:p w14:paraId="3507953F" w14:textId="77777777" w:rsidR="006573B0" w:rsidRPr="006573B0" w:rsidRDefault="006573B0" w:rsidP="006573B0">
      <w:pPr>
        <w:spacing w:line="360" w:lineRule="auto"/>
        <w:jc w:val="both"/>
        <w:rPr>
          <w:rFonts w:ascii="Arial" w:hAnsi="Arial" w:cs="Arial"/>
          <w:b/>
          <w:bCs/>
        </w:rPr>
      </w:pPr>
    </w:p>
    <w:p w14:paraId="7EF55385" w14:textId="77777777" w:rsidR="006573B0" w:rsidRPr="006573B0" w:rsidRDefault="006573B0" w:rsidP="006573B0">
      <w:pPr>
        <w:spacing w:line="360" w:lineRule="auto"/>
        <w:jc w:val="both"/>
        <w:rPr>
          <w:rFonts w:ascii="Arial" w:hAnsi="Arial" w:cs="Arial"/>
          <w:b/>
          <w:bCs/>
        </w:rPr>
      </w:pPr>
    </w:p>
    <w:p w14:paraId="4A2ED44E" w14:textId="77777777" w:rsidR="006573B0" w:rsidRPr="006573B0" w:rsidRDefault="006573B0" w:rsidP="006573B0">
      <w:pPr>
        <w:spacing w:line="360" w:lineRule="auto"/>
        <w:jc w:val="both"/>
        <w:rPr>
          <w:rFonts w:ascii="Arial" w:hAnsi="Arial" w:cs="Arial"/>
          <w:b/>
          <w:bCs/>
        </w:rPr>
      </w:pPr>
    </w:p>
    <w:p w14:paraId="24921A04" w14:textId="77777777" w:rsidR="006573B0" w:rsidRDefault="006573B0" w:rsidP="006573B0">
      <w:pPr>
        <w:spacing w:line="360" w:lineRule="auto"/>
        <w:jc w:val="both"/>
        <w:rPr>
          <w:rFonts w:ascii="Arial" w:hAnsi="Arial" w:cs="Arial"/>
          <w:b/>
          <w:bCs/>
        </w:rPr>
      </w:pPr>
    </w:p>
    <w:p w14:paraId="12DF5AB1" w14:textId="77777777" w:rsidR="006573B0" w:rsidRDefault="006573B0" w:rsidP="006573B0">
      <w:pPr>
        <w:spacing w:line="360" w:lineRule="auto"/>
        <w:jc w:val="both"/>
        <w:rPr>
          <w:rFonts w:ascii="Arial" w:hAnsi="Arial" w:cs="Arial"/>
          <w:b/>
          <w:bCs/>
        </w:rPr>
      </w:pPr>
    </w:p>
    <w:p w14:paraId="2AF19D76" w14:textId="77777777" w:rsidR="006573B0" w:rsidRPr="006573B0" w:rsidRDefault="006573B0" w:rsidP="006573B0">
      <w:pPr>
        <w:spacing w:line="360" w:lineRule="auto"/>
        <w:jc w:val="both"/>
        <w:rPr>
          <w:rFonts w:ascii="Arial" w:hAnsi="Arial" w:cs="Arial"/>
          <w:b/>
          <w:bCs/>
        </w:rPr>
      </w:pPr>
    </w:p>
    <w:p w14:paraId="13FCD94E"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Table of Contents</w:t>
      </w:r>
    </w:p>
    <w:p w14:paraId="6629549C"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Introduction</w:t>
      </w:r>
    </w:p>
    <w:p w14:paraId="5A9FC541"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EMBOK Event Cycle</w:t>
      </w:r>
    </w:p>
    <w:p w14:paraId="3E5F2D9F"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Event Concept</w:t>
      </w:r>
    </w:p>
    <w:p w14:paraId="646612E3"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Aim and Objectives of the Event</w:t>
      </w:r>
    </w:p>
    <w:p w14:paraId="3AEF7E69"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Event Management</w:t>
      </w:r>
    </w:p>
    <w:p w14:paraId="10D143DC"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7Ps Framework</w:t>
      </w:r>
    </w:p>
    <w:p w14:paraId="47250DDD"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PEST Analysis</w:t>
      </w:r>
    </w:p>
    <w:p w14:paraId="7391A0F0"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Event Budget</w:t>
      </w:r>
    </w:p>
    <w:p w14:paraId="34D8063B"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Revenue and Risk Management</w:t>
      </w:r>
    </w:p>
    <w:p w14:paraId="5E73E6C4" w14:textId="77777777" w:rsidR="006573B0" w:rsidRPr="006573B0" w:rsidRDefault="006573B0" w:rsidP="006573B0">
      <w:pPr>
        <w:numPr>
          <w:ilvl w:val="0"/>
          <w:numId w:val="3"/>
        </w:numPr>
        <w:spacing w:line="360" w:lineRule="auto"/>
        <w:jc w:val="both"/>
        <w:rPr>
          <w:rFonts w:ascii="Arial" w:hAnsi="Arial" w:cs="Arial"/>
        </w:rPr>
      </w:pPr>
      <w:r w:rsidRPr="006573B0">
        <w:rPr>
          <w:rFonts w:ascii="Arial" w:hAnsi="Arial" w:cs="Arial"/>
        </w:rPr>
        <w:t>Situational and Cultural Considerations</w:t>
      </w:r>
    </w:p>
    <w:p w14:paraId="1F68C52C" w14:textId="77777777" w:rsidR="006573B0" w:rsidRPr="006573B0" w:rsidRDefault="006573B0" w:rsidP="006573B0">
      <w:pPr>
        <w:numPr>
          <w:ilvl w:val="0"/>
          <w:numId w:val="4"/>
        </w:numPr>
        <w:spacing w:line="360" w:lineRule="auto"/>
        <w:jc w:val="both"/>
        <w:rPr>
          <w:rFonts w:ascii="Arial" w:hAnsi="Arial" w:cs="Arial"/>
        </w:rPr>
      </w:pPr>
      <w:r w:rsidRPr="006573B0">
        <w:rPr>
          <w:rFonts w:ascii="Arial" w:hAnsi="Arial" w:cs="Arial"/>
        </w:rPr>
        <w:t>Conclusion</w:t>
      </w:r>
    </w:p>
    <w:p w14:paraId="1160E5E7" w14:textId="77777777" w:rsidR="006573B0" w:rsidRPr="006573B0" w:rsidRDefault="006573B0" w:rsidP="006573B0">
      <w:pPr>
        <w:numPr>
          <w:ilvl w:val="0"/>
          <w:numId w:val="4"/>
        </w:numPr>
        <w:spacing w:line="360" w:lineRule="auto"/>
        <w:jc w:val="both"/>
        <w:rPr>
          <w:rFonts w:ascii="Arial" w:hAnsi="Arial" w:cs="Arial"/>
        </w:rPr>
      </w:pPr>
      <w:r w:rsidRPr="006573B0">
        <w:rPr>
          <w:rFonts w:ascii="Arial" w:hAnsi="Arial" w:cs="Arial"/>
        </w:rPr>
        <w:t>Recommendation</w:t>
      </w:r>
    </w:p>
    <w:p w14:paraId="4D609C3E" w14:textId="77777777" w:rsidR="006573B0" w:rsidRPr="006573B0" w:rsidRDefault="006573B0" w:rsidP="006573B0">
      <w:pPr>
        <w:numPr>
          <w:ilvl w:val="0"/>
          <w:numId w:val="4"/>
        </w:numPr>
        <w:spacing w:line="360" w:lineRule="auto"/>
        <w:jc w:val="both"/>
        <w:rPr>
          <w:rFonts w:ascii="Arial" w:hAnsi="Arial" w:cs="Arial"/>
        </w:rPr>
      </w:pPr>
      <w:r w:rsidRPr="006573B0">
        <w:rPr>
          <w:rFonts w:ascii="Arial" w:hAnsi="Arial" w:cs="Arial"/>
        </w:rPr>
        <w:t>Appendix</w:t>
      </w:r>
    </w:p>
    <w:p w14:paraId="0E56E1C0" w14:textId="77777777" w:rsidR="006573B0" w:rsidRPr="006573B0" w:rsidRDefault="006573B0" w:rsidP="006573B0">
      <w:pPr>
        <w:numPr>
          <w:ilvl w:val="0"/>
          <w:numId w:val="4"/>
        </w:numPr>
        <w:spacing w:line="360" w:lineRule="auto"/>
        <w:jc w:val="both"/>
        <w:rPr>
          <w:rFonts w:ascii="Arial" w:hAnsi="Arial" w:cs="Arial"/>
        </w:rPr>
      </w:pPr>
      <w:r w:rsidRPr="006573B0">
        <w:rPr>
          <w:rFonts w:ascii="Arial" w:hAnsi="Arial" w:cs="Arial"/>
        </w:rPr>
        <w:t>References</w:t>
      </w:r>
    </w:p>
    <w:p w14:paraId="361F3374" w14:textId="77777777" w:rsidR="006573B0" w:rsidRPr="006573B0" w:rsidRDefault="006573B0" w:rsidP="006573B0">
      <w:pPr>
        <w:spacing w:line="360" w:lineRule="auto"/>
        <w:jc w:val="both"/>
        <w:rPr>
          <w:rFonts w:ascii="Arial" w:hAnsi="Arial" w:cs="Arial"/>
          <w:b/>
          <w:bCs/>
        </w:rPr>
      </w:pPr>
    </w:p>
    <w:p w14:paraId="6605C586" w14:textId="77777777" w:rsidR="006573B0" w:rsidRPr="006573B0" w:rsidRDefault="006573B0" w:rsidP="006573B0">
      <w:pPr>
        <w:spacing w:line="360" w:lineRule="auto"/>
        <w:jc w:val="both"/>
        <w:rPr>
          <w:rFonts w:ascii="Arial" w:hAnsi="Arial" w:cs="Arial"/>
          <w:b/>
          <w:bCs/>
        </w:rPr>
      </w:pPr>
    </w:p>
    <w:p w14:paraId="0677A476" w14:textId="77777777" w:rsidR="006573B0" w:rsidRPr="006573B0" w:rsidRDefault="006573B0" w:rsidP="006573B0">
      <w:pPr>
        <w:spacing w:line="360" w:lineRule="auto"/>
        <w:jc w:val="both"/>
        <w:rPr>
          <w:rFonts w:ascii="Arial" w:hAnsi="Arial" w:cs="Arial"/>
          <w:b/>
          <w:bCs/>
        </w:rPr>
      </w:pPr>
    </w:p>
    <w:p w14:paraId="36ED033B" w14:textId="77777777" w:rsidR="006573B0" w:rsidRPr="006573B0" w:rsidRDefault="006573B0" w:rsidP="006573B0">
      <w:pPr>
        <w:spacing w:line="360" w:lineRule="auto"/>
        <w:jc w:val="both"/>
        <w:rPr>
          <w:rFonts w:ascii="Arial" w:hAnsi="Arial" w:cs="Arial"/>
          <w:b/>
          <w:bCs/>
        </w:rPr>
      </w:pPr>
    </w:p>
    <w:p w14:paraId="3DA1C966" w14:textId="77777777" w:rsidR="006573B0" w:rsidRPr="006573B0" w:rsidRDefault="006573B0" w:rsidP="006573B0">
      <w:pPr>
        <w:spacing w:line="360" w:lineRule="auto"/>
        <w:jc w:val="both"/>
        <w:rPr>
          <w:rFonts w:ascii="Arial" w:hAnsi="Arial" w:cs="Arial"/>
          <w:b/>
          <w:bCs/>
        </w:rPr>
      </w:pPr>
    </w:p>
    <w:p w14:paraId="02B8152A" w14:textId="77777777" w:rsidR="006573B0" w:rsidRPr="006573B0" w:rsidRDefault="006573B0" w:rsidP="006573B0">
      <w:pPr>
        <w:spacing w:line="360" w:lineRule="auto"/>
        <w:jc w:val="both"/>
        <w:rPr>
          <w:rFonts w:ascii="Arial" w:hAnsi="Arial" w:cs="Arial"/>
          <w:b/>
          <w:bCs/>
        </w:rPr>
      </w:pPr>
    </w:p>
    <w:p w14:paraId="6B10AE31" w14:textId="77777777" w:rsidR="006573B0" w:rsidRDefault="006573B0" w:rsidP="006573B0">
      <w:pPr>
        <w:spacing w:line="360" w:lineRule="auto"/>
        <w:jc w:val="both"/>
        <w:rPr>
          <w:rFonts w:ascii="Arial" w:hAnsi="Arial" w:cs="Arial"/>
          <w:b/>
          <w:bCs/>
        </w:rPr>
      </w:pPr>
    </w:p>
    <w:p w14:paraId="381B294A" w14:textId="77777777" w:rsidR="006573B0" w:rsidRDefault="006573B0" w:rsidP="006573B0">
      <w:pPr>
        <w:spacing w:line="360" w:lineRule="auto"/>
        <w:jc w:val="both"/>
        <w:rPr>
          <w:rFonts w:ascii="Arial" w:hAnsi="Arial" w:cs="Arial"/>
          <w:b/>
          <w:bCs/>
        </w:rPr>
      </w:pPr>
    </w:p>
    <w:p w14:paraId="32242B1B" w14:textId="77777777" w:rsidR="006573B0" w:rsidRPr="006573B0" w:rsidRDefault="006573B0" w:rsidP="006573B0">
      <w:pPr>
        <w:spacing w:line="360" w:lineRule="auto"/>
        <w:jc w:val="both"/>
        <w:rPr>
          <w:rFonts w:ascii="Arial" w:hAnsi="Arial" w:cs="Arial"/>
          <w:b/>
          <w:bCs/>
        </w:rPr>
      </w:pPr>
    </w:p>
    <w:p w14:paraId="29683EB7" w14:textId="77777777" w:rsidR="006573B0" w:rsidRDefault="006573B0" w:rsidP="006573B0">
      <w:pPr>
        <w:spacing w:line="360" w:lineRule="auto"/>
        <w:jc w:val="both"/>
        <w:rPr>
          <w:rFonts w:ascii="Arial" w:hAnsi="Arial" w:cs="Arial"/>
          <w:b/>
          <w:bCs/>
        </w:rPr>
      </w:pPr>
    </w:p>
    <w:p w14:paraId="2829AF63" w14:textId="156045F3" w:rsidR="006573B0" w:rsidRPr="006573B0" w:rsidRDefault="006573B0" w:rsidP="006573B0">
      <w:pPr>
        <w:spacing w:line="360" w:lineRule="auto"/>
        <w:jc w:val="both"/>
        <w:rPr>
          <w:rFonts w:ascii="Arial" w:hAnsi="Arial" w:cs="Arial"/>
          <w:b/>
          <w:bCs/>
        </w:rPr>
      </w:pPr>
      <w:r w:rsidRPr="006573B0">
        <w:rPr>
          <w:rFonts w:ascii="Arial" w:hAnsi="Arial" w:cs="Arial"/>
          <w:b/>
          <w:bCs/>
        </w:rPr>
        <w:lastRenderedPageBreak/>
        <w:t>Introduction</w:t>
      </w:r>
    </w:p>
    <w:p w14:paraId="623A29C7" w14:textId="77777777" w:rsidR="006573B0" w:rsidRPr="006573B0" w:rsidRDefault="006573B0" w:rsidP="006573B0">
      <w:pPr>
        <w:spacing w:line="360" w:lineRule="auto"/>
        <w:jc w:val="both"/>
        <w:rPr>
          <w:rFonts w:ascii="Arial" w:hAnsi="Arial" w:cs="Arial"/>
        </w:rPr>
      </w:pPr>
      <w:r w:rsidRPr="006573B0">
        <w:rPr>
          <w:rFonts w:ascii="Arial" w:hAnsi="Arial" w:cs="Arial"/>
          <w:noProof/>
        </w:rPr>
        <w:drawing>
          <wp:inline distT="0" distB="0" distL="0" distR="0" wp14:anchorId="4C0C815E" wp14:editId="16CBDBAD">
            <wp:extent cx="5943600" cy="3116580"/>
            <wp:effectExtent l="0" t="0" r="0" b="7620"/>
            <wp:docPr id="577222224" name="Picture 3" descr="Expo City Dubai unveils plans for Winter City – a community event set to  mark the season with a host of eco-friendly festive experi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xpo City Dubai unveils plans for Winter City – a community event set to  mark the season with a host of eco-friendly festive experien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16580"/>
                    </a:xfrm>
                    <a:prstGeom prst="rect">
                      <a:avLst/>
                    </a:prstGeom>
                    <a:noFill/>
                    <a:ln>
                      <a:noFill/>
                    </a:ln>
                  </pic:spPr>
                </pic:pic>
              </a:graphicData>
            </a:graphic>
          </wp:inline>
        </w:drawing>
      </w:r>
      <w:r w:rsidRPr="006573B0">
        <w:rPr>
          <w:rFonts w:ascii="Arial" w:hAnsi="Arial" w:cs="Arial"/>
        </w:rPr>
        <w:t>A special event, Santa's Winter Expo desires to incorporate business networking with fun winter activities. In addition to offering a venue for business growth, this yearly event aims to engage both B2B and B2C audiences while engaging attendees in a joyful environment. Birmingham's National Exhibition Centre (NEC) is the venue for the event. It takes advantage of the city's vast experience hosting essential events and its important role in the UK Meetings, Incentives, Conferences, and Exhibitions (MICE) industry. The NEC in Birmingham is the ideal venue because of its extensive infrastructure and capacity to host various events, from networking events to immersive attractions. Santa's Winter Expo strongly emphasises sustainability and creative experiential design, which aligns with significant market trends like environmentally friendly event planning and the growing desire for life-changing experiences. In addition to celebrating the holiday season, this event showcases modern event management techniques that create memorable, captivating experiences for a wide range of audiences. The following sections will look at the event's strategic goals, planning, and execution and how well it adheres to the Event Management Body of Knowledge (EMBOK).</w:t>
      </w:r>
    </w:p>
    <w:p w14:paraId="6C6195B3" w14:textId="77777777" w:rsidR="006573B0" w:rsidRDefault="006573B0" w:rsidP="006573B0">
      <w:pPr>
        <w:spacing w:line="360" w:lineRule="auto"/>
        <w:jc w:val="both"/>
        <w:rPr>
          <w:rFonts w:ascii="Arial" w:hAnsi="Arial" w:cs="Arial"/>
        </w:rPr>
      </w:pPr>
    </w:p>
    <w:p w14:paraId="2ABADA1F" w14:textId="77777777" w:rsidR="006573B0" w:rsidRDefault="006573B0" w:rsidP="006573B0">
      <w:pPr>
        <w:spacing w:line="360" w:lineRule="auto"/>
        <w:jc w:val="both"/>
        <w:rPr>
          <w:rFonts w:ascii="Arial" w:hAnsi="Arial" w:cs="Arial"/>
        </w:rPr>
      </w:pPr>
    </w:p>
    <w:p w14:paraId="2DA552DD" w14:textId="77777777" w:rsidR="006573B0" w:rsidRDefault="006573B0" w:rsidP="006573B0">
      <w:pPr>
        <w:spacing w:line="360" w:lineRule="auto"/>
        <w:jc w:val="both"/>
        <w:rPr>
          <w:rFonts w:ascii="Arial" w:hAnsi="Arial" w:cs="Arial"/>
        </w:rPr>
      </w:pPr>
    </w:p>
    <w:p w14:paraId="5B8549FE" w14:textId="77777777" w:rsidR="006573B0" w:rsidRDefault="006573B0" w:rsidP="006573B0">
      <w:pPr>
        <w:spacing w:line="360" w:lineRule="auto"/>
        <w:jc w:val="both"/>
        <w:rPr>
          <w:rFonts w:ascii="Arial" w:hAnsi="Arial" w:cs="Arial"/>
        </w:rPr>
      </w:pPr>
    </w:p>
    <w:p w14:paraId="456736BE" w14:textId="77777777" w:rsidR="006573B0" w:rsidRPr="006573B0" w:rsidRDefault="006573B0" w:rsidP="006573B0">
      <w:pPr>
        <w:spacing w:line="360" w:lineRule="auto"/>
        <w:jc w:val="both"/>
        <w:rPr>
          <w:rFonts w:ascii="Arial" w:hAnsi="Arial" w:cs="Arial"/>
        </w:rPr>
      </w:pPr>
    </w:p>
    <w:p w14:paraId="76B8EF22" w14:textId="1396F14D" w:rsidR="006573B0" w:rsidRPr="006573B0" w:rsidRDefault="006573B0" w:rsidP="006573B0">
      <w:pPr>
        <w:spacing w:line="360" w:lineRule="auto"/>
        <w:jc w:val="both"/>
        <w:rPr>
          <w:rFonts w:ascii="Arial" w:hAnsi="Arial" w:cs="Arial"/>
          <w:b/>
          <w:bCs/>
        </w:rPr>
      </w:pPr>
      <w:r>
        <w:rPr>
          <w:rFonts w:ascii="Arial" w:hAnsi="Arial" w:cs="Arial"/>
          <w:b/>
          <w:bCs/>
        </w:rPr>
        <w:lastRenderedPageBreak/>
        <w:t xml:space="preserve">       </w:t>
      </w:r>
      <w:r w:rsidRPr="006573B0">
        <w:rPr>
          <w:rFonts w:ascii="Arial" w:hAnsi="Arial" w:cs="Arial"/>
          <w:b/>
          <w:bCs/>
        </w:rPr>
        <w:t>EMBOK Event Cycle</w:t>
      </w:r>
    </w:p>
    <w:p w14:paraId="2FBAD5FA" w14:textId="77777777" w:rsidR="006573B0" w:rsidRPr="006573B0" w:rsidRDefault="006573B0" w:rsidP="006573B0">
      <w:pPr>
        <w:spacing w:line="360" w:lineRule="auto"/>
        <w:jc w:val="both"/>
        <w:rPr>
          <w:rFonts w:ascii="Arial" w:hAnsi="Arial" w:cs="Arial"/>
        </w:rPr>
      </w:pPr>
      <w:r w:rsidRPr="006573B0">
        <w:rPr>
          <w:rFonts w:ascii="Arial" w:hAnsi="Arial" w:cs="Arial"/>
          <w:noProof/>
        </w:rPr>
        <w:drawing>
          <wp:anchor distT="0" distB="0" distL="114300" distR="114300" simplePos="0" relativeHeight="251659264" behindDoc="0" locked="0" layoutInCell="1" allowOverlap="1" wp14:anchorId="25B73E3C" wp14:editId="01DB5B18">
            <wp:simplePos x="0" y="0"/>
            <wp:positionH relativeFrom="column">
              <wp:posOffset>0</wp:posOffset>
            </wp:positionH>
            <wp:positionV relativeFrom="paragraph">
              <wp:posOffset>3645</wp:posOffset>
            </wp:positionV>
            <wp:extent cx="4417695" cy="1852295"/>
            <wp:effectExtent l="0" t="0" r="1905" b="0"/>
            <wp:wrapSquare wrapText="bothSides"/>
            <wp:docPr id="1875125109" name="Picture 4"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MBOK - Event Management Body of Knowledge - Phas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7695" cy="1852295"/>
                    </a:xfrm>
                    <a:prstGeom prst="rect">
                      <a:avLst/>
                    </a:prstGeom>
                    <a:noFill/>
                    <a:ln>
                      <a:noFill/>
                    </a:ln>
                  </pic:spPr>
                </pic:pic>
              </a:graphicData>
            </a:graphic>
          </wp:anchor>
        </w:drawing>
      </w:r>
      <w:r w:rsidRPr="006573B0">
        <w:rPr>
          <w:rFonts w:ascii="Arial" w:hAnsi="Arial" w:cs="Arial"/>
        </w:rPr>
        <w:t>The five main stages of the event cycle are initiation, planning, execution, the event, and closure. These phases are based on the Event Management Body of Knowledge (EMBOK). These phases offer an organised structure for monitoring major events, guaranteeing that all strategic, operational, and sustainability objectives are in line (Silvers, 2007). This approach ensures planning efficiency at Santa's Winter Expo while also handling the challenges of immersive attractions and business networking.</w:t>
      </w:r>
    </w:p>
    <w:p w14:paraId="2DAF9D94" w14:textId="77777777" w:rsidR="006573B0" w:rsidRPr="006573B0" w:rsidRDefault="006573B0" w:rsidP="006573B0">
      <w:pPr>
        <w:spacing w:line="360" w:lineRule="auto"/>
        <w:jc w:val="both"/>
        <w:rPr>
          <w:rFonts w:ascii="Arial" w:hAnsi="Arial" w:cs="Arial"/>
        </w:rPr>
      </w:pPr>
      <w:r w:rsidRPr="006573B0">
        <w:rPr>
          <w:rFonts w:ascii="Arial" w:hAnsi="Arial" w:cs="Arial"/>
        </w:rPr>
        <w:t>Due to its prior experience hosting events of a similar nature, such as the Birmingham Christmas Market, the suitability of Birmingham's NEC was confirmed during the feasibility assessments that set up the initiation phase (</w:t>
      </w:r>
      <w:proofErr w:type="spellStart"/>
      <w:r w:rsidRPr="006573B0">
        <w:rPr>
          <w:rFonts w:ascii="Arial" w:hAnsi="Arial" w:cs="Arial"/>
        </w:rPr>
        <w:t>Tiecheng</w:t>
      </w:r>
      <w:proofErr w:type="spellEnd"/>
      <w:r w:rsidRPr="006573B0">
        <w:rPr>
          <w:rFonts w:ascii="Arial" w:hAnsi="Arial" w:cs="Arial"/>
        </w:rPr>
        <w:t xml:space="preserve"> and Li, 2018). To match the event's strategic objectives with the market's desire for eco-friendly brands, this stage also included important decisions regarding collaborations with companies like Salomon and Arc'teryx.</w:t>
      </w:r>
    </w:p>
    <w:p w14:paraId="453D14BA" w14:textId="77777777" w:rsidR="006573B0" w:rsidRPr="006573B0" w:rsidRDefault="006573B0" w:rsidP="006573B0">
      <w:pPr>
        <w:spacing w:line="360" w:lineRule="auto"/>
        <w:jc w:val="both"/>
        <w:rPr>
          <w:rFonts w:ascii="Arial" w:hAnsi="Arial" w:cs="Arial"/>
        </w:rPr>
      </w:pPr>
      <w:r w:rsidRPr="006573B0">
        <w:rPr>
          <w:rFonts w:ascii="Arial" w:hAnsi="Arial" w:cs="Arial"/>
        </w:rPr>
        <w:t>The most complex stage planning included tech infrastructure for features like the VR sleigh rides and logistics like vendor management. NEC addressed sustainability by optimising its facilities to incorporate environmentally friendly gift wrapping and recycling stations (Bianchi et al., 2021). Another essential component was contingency planning, which included preparations for weather-related disruptions using alternate locations at Olympia London (Melly et al., 2023).</w:t>
      </w:r>
    </w:p>
    <w:p w14:paraId="5350F4DE" w14:textId="77777777" w:rsidR="006573B0" w:rsidRPr="006573B0" w:rsidRDefault="006573B0" w:rsidP="006573B0">
      <w:pPr>
        <w:spacing w:line="360" w:lineRule="auto"/>
        <w:jc w:val="both"/>
        <w:rPr>
          <w:rFonts w:ascii="Arial" w:hAnsi="Arial" w:cs="Arial"/>
        </w:rPr>
      </w:pPr>
      <w:r w:rsidRPr="006573B0">
        <w:rPr>
          <w:rFonts w:ascii="Arial" w:hAnsi="Arial" w:cs="Arial"/>
        </w:rPr>
        <w:t>Logistics came to life during the implementation phase, concentrating on crowd control and safety procedures. For instance, to control the flow of visitors and guarantee their comfort, real-time monitoring systems were used (</w:t>
      </w:r>
      <w:proofErr w:type="spellStart"/>
      <w:r w:rsidRPr="006573B0">
        <w:rPr>
          <w:rFonts w:ascii="Arial" w:hAnsi="Arial" w:cs="Arial"/>
        </w:rPr>
        <w:t>Hefnawy</w:t>
      </w:r>
      <w:proofErr w:type="spellEnd"/>
      <w:r w:rsidRPr="006573B0">
        <w:rPr>
          <w:rFonts w:ascii="Arial" w:hAnsi="Arial" w:cs="Arial"/>
        </w:rPr>
        <w:t xml:space="preserve"> et al., 2015). Additionally, the event utilised feedback loops, integrating real-time surveys to monitor participant satisfaction while making rapid adjustments. </w:t>
      </w:r>
    </w:p>
    <w:p w14:paraId="63CEC58F" w14:textId="77777777" w:rsidR="006573B0" w:rsidRPr="006573B0" w:rsidRDefault="006573B0" w:rsidP="006573B0">
      <w:pPr>
        <w:spacing w:line="360" w:lineRule="auto"/>
        <w:jc w:val="both"/>
        <w:rPr>
          <w:rFonts w:ascii="Arial" w:hAnsi="Arial" w:cs="Arial"/>
        </w:rPr>
      </w:pPr>
      <w:r w:rsidRPr="006573B0">
        <w:rPr>
          <w:rFonts w:ascii="Arial" w:hAnsi="Arial" w:cs="Arial"/>
        </w:rPr>
        <w:t xml:space="preserve">Lastly, the closure phase included a significant focus on post-event evaluations. The event's impact was evaluated via data analytics tools, and surveys were utilised to collect sponsors' and attendees' opinions to promote ongoing development (Toscani et al., 2021). </w:t>
      </w:r>
    </w:p>
    <w:p w14:paraId="0E7DE1C8" w14:textId="77777777" w:rsidR="006573B0" w:rsidRPr="006573B0" w:rsidRDefault="006573B0" w:rsidP="006573B0">
      <w:pPr>
        <w:spacing w:line="360" w:lineRule="auto"/>
        <w:jc w:val="both"/>
        <w:rPr>
          <w:rFonts w:ascii="Arial" w:hAnsi="Arial" w:cs="Arial"/>
        </w:rPr>
      </w:pPr>
      <w:r w:rsidRPr="006573B0">
        <w:rPr>
          <w:rFonts w:ascii="Arial" w:hAnsi="Arial" w:cs="Arial"/>
        </w:rPr>
        <w:lastRenderedPageBreak/>
        <w:t>This well-organised cycle ensures that Santa's Winter Expo provides an outstanding visitor experience by integrating sustainability and risk management into every step.</w:t>
      </w:r>
    </w:p>
    <w:p w14:paraId="0E4B7F8A" w14:textId="77777777" w:rsidR="006573B0" w:rsidRPr="006573B0" w:rsidRDefault="006573B0" w:rsidP="006573B0">
      <w:pPr>
        <w:spacing w:line="360" w:lineRule="auto"/>
        <w:jc w:val="both"/>
        <w:rPr>
          <w:rFonts w:ascii="Arial" w:hAnsi="Arial" w:cs="Arial"/>
        </w:rPr>
      </w:pPr>
    </w:p>
    <w:p w14:paraId="0168885C"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Event Concept</w:t>
      </w:r>
    </w:p>
    <w:p w14:paraId="2243DFE1" w14:textId="77777777" w:rsidR="006573B0" w:rsidRPr="006573B0" w:rsidRDefault="006573B0" w:rsidP="006573B0">
      <w:pPr>
        <w:spacing w:line="360" w:lineRule="auto"/>
        <w:jc w:val="both"/>
        <w:rPr>
          <w:rFonts w:ascii="Arial" w:hAnsi="Arial" w:cs="Arial"/>
        </w:rPr>
      </w:pPr>
      <w:r w:rsidRPr="006573B0">
        <w:rPr>
          <w:rFonts w:ascii="Arial" w:hAnsi="Arial" w:cs="Arial"/>
          <w:noProof/>
        </w:rPr>
        <w:drawing>
          <wp:inline distT="0" distB="0" distL="0" distR="0" wp14:anchorId="57424C48" wp14:editId="25755893">
            <wp:extent cx="5943600" cy="3345180"/>
            <wp:effectExtent l="0" t="0" r="0" b="7620"/>
            <wp:docPr id="470965691" name="Picture 5" descr="Expo City’s Winter Wonderland - Dubai Christmas Walking Tour - 4K 60f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xpo City’s Winter Wonderland - Dubai Christmas Walking Tour - 4K 60fp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r w:rsidRPr="006573B0">
        <w:rPr>
          <w:rFonts w:ascii="Arial" w:hAnsi="Arial" w:cs="Arial"/>
        </w:rPr>
        <w:t>Imagine entering Santa's Winter Expo, an animated celebration of winter traditions where every element works together to create an exciting, culturally immersive experience. Crafts, performances, and breathtaking art exhibits are just a few of the many aspects of the season that each attendee will experience, thanks to the event's careful blending of traditional winter celebrations with contemporary experiential design.</w:t>
      </w:r>
    </w:p>
    <w:p w14:paraId="20F085E5" w14:textId="77777777" w:rsidR="006573B0" w:rsidRPr="006573B0" w:rsidRDefault="006573B0" w:rsidP="006573B0">
      <w:pPr>
        <w:spacing w:line="360" w:lineRule="auto"/>
        <w:jc w:val="both"/>
        <w:rPr>
          <w:rFonts w:ascii="Arial" w:hAnsi="Arial" w:cs="Arial"/>
        </w:rPr>
      </w:pPr>
      <w:r w:rsidRPr="006573B0">
        <w:rPr>
          <w:rFonts w:ascii="Arial" w:hAnsi="Arial" w:cs="Arial"/>
        </w:rPr>
        <w:t>Workshops on traditional crafts and winter customs kick off in the morning. Participants can learn the complex craft of winter-inspired Japanese origami or try making Scandinavian Yule decorations. According to Getz and Page (2020), these workshops offer practical experiences and cultivate a connection to global cultural traditions, which is essential for producing memorable, sensory-driven experiences. The purpose of the inclusive crafting sessions is to engage participants of all ages and introduce them to the immersive, more significant atmosphere of the Expo.</w:t>
      </w:r>
    </w:p>
    <w:p w14:paraId="464D6849" w14:textId="77777777" w:rsidR="006573B0" w:rsidRPr="006573B0" w:rsidRDefault="006573B0" w:rsidP="006573B0">
      <w:pPr>
        <w:spacing w:line="360" w:lineRule="auto"/>
        <w:jc w:val="both"/>
        <w:rPr>
          <w:rFonts w:ascii="Arial" w:hAnsi="Arial" w:cs="Arial"/>
        </w:rPr>
      </w:pPr>
      <w:r w:rsidRPr="006573B0">
        <w:rPr>
          <w:rFonts w:ascii="Arial" w:hAnsi="Arial" w:cs="Arial"/>
        </w:rPr>
        <w:t xml:space="preserve">The focus switches to live performances of winter customs as the day goes into the afternoon. More than just amusement is provided by performances such as Russian folk dances or Inuit throat singing, which weave a rich cultural tapestry that captivates the audience intellectually and emotionally. According to Momani et al. (2023), live artistic performances help create </w:t>
      </w:r>
      <w:r w:rsidRPr="006573B0">
        <w:rPr>
          <w:rFonts w:ascii="Arial" w:hAnsi="Arial" w:cs="Arial"/>
        </w:rPr>
        <w:lastRenderedPageBreak/>
        <w:t>more profound and enduring impressions, which aligns with Getz's second level of experience, where the cultural narrative and sensory stimulation move guests.</w:t>
      </w:r>
    </w:p>
    <w:p w14:paraId="22A6A2A8" w14:textId="77777777" w:rsidR="006573B0" w:rsidRPr="006573B0" w:rsidRDefault="006573B0" w:rsidP="006573B0">
      <w:pPr>
        <w:spacing w:line="360" w:lineRule="auto"/>
        <w:jc w:val="both"/>
        <w:rPr>
          <w:rFonts w:ascii="Arial" w:hAnsi="Arial" w:cs="Arial"/>
        </w:rPr>
      </w:pPr>
      <w:r w:rsidRPr="006573B0">
        <w:rPr>
          <w:rFonts w:ascii="Arial" w:hAnsi="Arial" w:cs="Arial"/>
        </w:rPr>
        <w:t>A grand winter parade and art exhibit round out the evening. The event enters its most transformative phase as international artists present winter-themed pieces that encourage introspection and emotional reflection. The final winter parade creates a sense of wonder and connection that is meant to last long after the event concludes, which features floats based on international legends (</w:t>
      </w:r>
      <w:proofErr w:type="spellStart"/>
      <w:r w:rsidRPr="006573B0">
        <w:rPr>
          <w:rFonts w:ascii="Arial" w:hAnsi="Arial" w:cs="Arial"/>
        </w:rPr>
        <w:t>Simasathiansophon</w:t>
      </w:r>
      <w:proofErr w:type="spellEnd"/>
      <w:r w:rsidRPr="006573B0">
        <w:rPr>
          <w:rFonts w:ascii="Arial" w:hAnsi="Arial" w:cs="Arial"/>
        </w:rPr>
        <w:t>, 2021).</w:t>
      </w:r>
    </w:p>
    <w:p w14:paraId="6DBAD900" w14:textId="77777777" w:rsidR="006573B0" w:rsidRPr="006573B0" w:rsidRDefault="006573B0" w:rsidP="006573B0">
      <w:pPr>
        <w:spacing w:line="360" w:lineRule="auto"/>
        <w:jc w:val="both"/>
        <w:rPr>
          <w:rFonts w:ascii="Arial" w:hAnsi="Arial" w:cs="Arial"/>
        </w:rPr>
      </w:pPr>
      <w:r w:rsidRPr="006573B0">
        <w:rPr>
          <w:rFonts w:ascii="Arial" w:hAnsi="Arial" w:cs="Arial"/>
        </w:rPr>
        <w:t>To improve the feeling of immersion and cultural appreciation, attendees can purchase handcrafted goods and sample international winter cuisines from carefully selected food and merchandise stalls throughout the day (Trinh and Lam, 2016).</w:t>
      </w:r>
    </w:p>
    <w:p w14:paraId="3423CA44" w14:textId="77777777" w:rsidR="006573B0" w:rsidRPr="006573B0" w:rsidRDefault="006573B0" w:rsidP="006573B0">
      <w:pPr>
        <w:spacing w:line="360" w:lineRule="auto"/>
        <w:jc w:val="both"/>
        <w:rPr>
          <w:rFonts w:ascii="Arial" w:hAnsi="Arial" w:cs="Arial"/>
        </w:rPr>
      </w:pPr>
    </w:p>
    <w:p w14:paraId="5C135085"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Aim and Objectives of the Event</w:t>
      </w:r>
    </w:p>
    <w:p w14:paraId="6C04D289" w14:textId="77777777" w:rsidR="006573B0" w:rsidRPr="006573B0" w:rsidRDefault="006573B0" w:rsidP="006573B0">
      <w:pPr>
        <w:spacing w:line="360" w:lineRule="auto"/>
        <w:jc w:val="both"/>
        <w:rPr>
          <w:rFonts w:ascii="Arial" w:hAnsi="Arial" w:cs="Arial"/>
        </w:rPr>
      </w:pPr>
      <w:r w:rsidRPr="006573B0">
        <w:rPr>
          <w:rFonts w:ascii="Arial" w:hAnsi="Arial" w:cs="Arial"/>
        </w:rPr>
        <w:t>Santa's Winter Expo's main objective is to create a unique winter-themed business-to-business and business-to-consumer event that encourages business expansion, improves community involvement, and supports environmentally friendly travel in Birmingham. The Expo aims to combine consumer engagement with professional networking by capitalising on the festive mood and the increasing demand for immersive, experience-driven events, making it a unique addition to Birmingham's event calendar.</w:t>
      </w:r>
    </w:p>
    <w:p w14:paraId="100DB1E8" w14:textId="77777777" w:rsidR="006573B0" w:rsidRPr="006573B0" w:rsidRDefault="006573B0" w:rsidP="006573B0">
      <w:pPr>
        <w:spacing w:line="360" w:lineRule="auto"/>
        <w:jc w:val="both"/>
        <w:rPr>
          <w:rFonts w:ascii="Arial" w:hAnsi="Arial" w:cs="Arial"/>
          <w:b/>
          <w:bCs/>
        </w:rPr>
      </w:pPr>
    </w:p>
    <w:p w14:paraId="786EC68D" w14:textId="77777777" w:rsidR="006573B0" w:rsidRPr="006573B0" w:rsidRDefault="006573B0" w:rsidP="006573B0">
      <w:pPr>
        <w:spacing w:line="360" w:lineRule="auto"/>
        <w:jc w:val="both"/>
        <w:rPr>
          <w:rFonts w:ascii="Arial" w:hAnsi="Arial" w:cs="Arial"/>
          <w:b/>
          <w:bCs/>
        </w:rPr>
      </w:pPr>
      <w:r w:rsidRPr="006573B0">
        <w:rPr>
          <w:rFonts w:ascii="Arial" w:hAnsi="Arial" w:cs="Arial"/>
          <w:b/>
          <w:bCs/>
          <w:noProof/>
        </w:rPr>
        <w:drawing>
          <wp:inline distT="0" distB="0" distL="0" distR="0" wp14:anchorId="21D3D7E5" wp14:editId="20A43CD6">
            <wp:extent cx="5902701" cy="1816925"/>
            <wp:effectExtent l="0" t="0" r="3175" b="0"/>
            <wp:docPr id="1111779917" name="Picture 1" descr="A group of colorful squares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79917" name="Picture 1" descr="A group of colorful squares with white letters&#10;&#10;Description automatically generated"/>
                    <pic:cNvPicPr/>
                  </pic:nvPicPr>
                  <pic:blipFill>
                    <a:blip r:embed="rId13"/>
                    <a:stretch>
                      <a:fillRect/>
                    </a:stretch>
                  </pic:blipFill>
                  <pic:spPr>
                    <a:xfrm>
                      <a:off x="0" y="0"/>
                      <a:ext cx="5913400" cy="1820218"/>
                    </a:xfrm>
                    <a:prstGeom prst="rect">
                      <a:avLst/>
                    </a:prstGeom>
                  </pic:spPr>
                </pic:pic>
              </a:graphicData>
            </a:graphic>
          </wp:inline>
        </w:drawing>
      </w:r>
      <w:r w:rsidRPr="006573B0">
        <w:rPr>
          <w:rFonts w:ascii="Arial" w:hAnsi="Arial" w:cs="Arial"/>
          <w:b/>
          <w:bCs/>
        </w:rPr>
        <w:t>SMART Objectives:</w:t>
      </w:r>
    </w:p>
    <w:p w14:paraId="4CC4150B" w14:textId="77777777" w:rsidR="006573B0" w:rsidRPr="006573B0" w:rsidRDefault="006573B0" w:rsidP="006573B0">
      <w:pPr>
        <w:spacing w:line="360" w:lineRule="auto"/>
        <w:jc w:val="both"/>
        <w:rPr>
          <w:rFonts w:ascii="Arial" w:hAnsi="Arial" w:cs="Arial"/>
        </w:rPr>
      </w:pPr>
      <w:r w:rsidRPr="006573B0">
        <w:rPr>
          <w:rFonts w:ascii="Arial" w:hAnsi="Arial" w:cs="Arial"/>
          <w:b/>
          <w:bCs/>
        </w:rPr>
        <w:t>1.</w:t>
      </w:r>
      <w:r w:rsidRPr="006573B0">
        <w:rPr>
          <w:rFonts w:ascii="Arial" w:hAnsi="Arial" w:cs="Arial"/>
          <w:b/>
          <w:bCs/>
        </w:rPr>
        <w:tab/>
      </w:r>
      <w:r w:rsidRPr="006573B0">
        <w:rPr>
          <w:rFonts w:ascii="Arial" w:hAnsi="Arial" w:cs="Arial"/>
        </w:rPr>
        <w:t>Increase attendance at NEC by 20% over previous seasonal events. Targeted marketing techniques, including collaborations with well-known companies like Arc'teryx and Salomon, which are recognised for their eco-friendly qualities, will be used to accomplish this. According to recent research, event marketing significantly boosts attendance and builds brand equity through these collaborations (</w:t>
      </w:r>
      <w:proofErr w:type="spellStart"/>
      <w:r w:rsidRPr="006573B0">
        <w:rPr>
          <w:rFonts w:ascii="Arial" w:hAnsi="Arial" w:cs="Arial"/>
        </w:rPr>
        <w:t>Zarantonello</w:t>
      </w:r>
      <w:proofErr w:type="spellEnd"/>
      <w:r w:rsidRPr="006573B0">
        <w:rPr>
          <w:rFonts w:ascii="Arial" w:hAnsi="Arial" w:cs="Arial"/>
        </w:rPr>
        <w:t xml:space="preserve"> and Schmitt, 2013).</w:t>
      </w:r>
    </w:p>
    <w:p w14:paraId="196830B9" w14:textId="77777777" w:rsidR="006573B0" w:rsidRPr="006573B0" w:rsidRDefault="006573B0" w:rsidP="006573B0">
      <w:pPr>
        <w:spacing w:line="360" w:lineRule="auto"/>
        <w:jc w:val="both"/>
        <w:rPr>
          <w:rFonts w:ascii="Arial" w:hAnsi="Arial" w:cs="Arial"/>
        </w:rPr>
      </w:pPr>
      <w:r w:rsidRPr="006573B0">
        <w:rPr>
          <w:rFonts w:ascii="Arial" w:hAnsi="Arial" w:cs="Arial"/>
          <w:b/>
          <w:bCs/>
        </w:rPr>
        <w:lastRenderedPageBreak/>
        <w:t>2.</w:t>
      </w:r>
      <w:r w:rsidRPr="006573B0">
        <w:rPr>
          <w:rFonts w:ascii="Arial" w:hAnsi="Arial" w:cs="Arial"/>
        </w:rPr>
        <w:tab/>
        <w:t>Carefully select thematic programming that meets audience expectations to attain an average 90% positive attendee overall rating. It has been demonstrated that captivating attractions, such as virtual reality sleigh rides, increase audience satisfaction and produce unforgettable experiences, which are critical for building loyalty (Setiawan et al., 2022).</w:t>
      </w:r>
    </w:p>
    <w:p w14:paraId="4D21E7FF" w14:textId="77777777" w:rsidR="006573B0" w:rsidRPr="006573B0" w:rsidRDefault="006573B0" w:rsidP="006573B0">
      <w:pPr>
        <w:spacing w:line="360" w:lineRule="auto"/>
        <w:jc w:val="both"/>
        <w:rPr>
          <w:rFonts w:ascii="Arial" w:hAnsi="Arial" w:cs="Arial"/>
        </w:rPr>
      </w:pPr>
      <w:r w:rsidRPr="006573B0">
        <w:rPr>
          <w:rFonts w:ascii="Arial" w:hAnsi="Arial" w:cs="Arial"/>
          <w:b/>
          <w:bCs/>
        </w:rPr>
        <w:t>3.</w:t>
      </w:r>
      <w:r w:rsidRPr="006573B0">
        <w:rPr>
          <w:rFonts w:ascii="Arial" w:hAnsi="Arial" w:cs="Arial"/>
        </w:rPr>
        <w:tab/>
        <w:t>Diversify the income sources, such as sponsorship agreements, tier-based ticket sales, and premium merchandise offerings, to generate £785,000 in revenue. According to recent data, strategic revenue diversification lowers the risks associated with depending only on one income source and generating financial outcomes (</w:t>
      </w:r>
      <w:proofErr w:type="spellStart"/>
      <w:r w:rsidRPr="006573B0">
        <w:rPr>
          <w:rFonts w:ascii="Arial" w:hAnsi="Arial" w:cs="Arial"/>
        </w:rPr>
        <w:t>Bikakis</w:t>
      </w:r>
      <w:proofErr w:type="spellEnd"/>
      <w:r w:rsidRPr="006573B0">
        <w:rPr>
          <w:rFonts w:ascii="Arial" w:hAnsi="Arial" w:cs="Arial"/>
        </w:rPr>
        <w:t xml:space="preserve"> et al., 2018).</w:t>
      </w:r>
    </w:p>
    <w:p w14:paraId="28CE03B8" w14:textId="77777777" w:rsidR="006573B0" w:rsidRPr="006573B0" w:rsidRDefault="006573B0" w:rsidP="006573B0">
      <w:pPr>
        <w:spacing w:line="360" w:lineRule="auto"/>
        <w:jc w:val="both"/>
        <w:rPr>
          <w:rFonts w:ascii="Arial" w:hAnsi="Arial" w:cs="Arial"/>
        </w:rPr>
      </w:pPr>
    </w:p>
    <w:p w14:paraId="02717AC5"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Event Management</w:t>
      </w:r>
    </w:p>
    <w:p w14:paraId="567F91A3" w14:textId="77777777" w:rsidR="006573B0" w:rsidRPr="006573B0" w:rsidRDefault="006573B0" w:rsidP="006573B0">
      <w:pPr>
        <w:spacing w:line="360" w:lineRule="auto"/>
        <w:jc w:val="both"/>
        <w:rPr>
          <w:rFonts w:ascii="Arial" w:hAnsi="Arial" w:cs="Arial"/>
        </w:rPr>
      </w:pPr>
      <w:r w:rsidRPr="006573B0">
        <w:rPr>
          <w:rFonts w:ascii="Arial" w:hAnsi="Arial" w:cs="Arial"/>
        </w:rPr>
        <w:t>Managing Santa's Winter Expo involves dealing with various logistical, marketing, and risk management challenges for an event of this size. Both marketing and operational planning will be crucial to the event's success to maximise attendee engagement and ensure efficient execution. With its vast infrastructure, NEC Birmingham will be essential to ensure this works smoothly for all parties.</w:t>
      </w:r>
    </w:p>
    <w:p w14:paraId="7702EB49" w14:textId="77777777" w:rsidR="006573B0" w:rsidRPr="006573B0" w:rsidRDefault="006573B0" w:rsidP="006573B0">
      <w:pPr>
        <w:spacing w:line="360" w:lineRule="auto"/>
        <w:jc w:val="both"/>
        <w:rPr>
          <w:rFonts w:ascii="Arial" w:hAnsi="Arial" w:cs="Arial"/>
        </w:rPr>
      </w:pPr>
      <w:r w:rsidRPr="006573B0">
        <w:rPr>
          <w:rFonts w:ascii="Arial" w:hAnsi="Arial" w:cs="Arial"/>
          <w:noProof/>
        </w:rPr>
        <w:drawing>
          <wp:anchor distT="0" distB="0" distL="114300" distR="114300" simplePos="0" relativeHeight="251660288" behindDoc="0" locked="0" layoutInCell="1" allowOverlap="1" wp14:anchorId="56DB7285" wp14:editId="3BC54629">
            <wp:simplePos x="0" y="0"/>
            <wp:positionH relativeFrom="column">
              <wp:posOffset>0</wp:posOffset>
            </wp:positionH>
            <wp:positionV relativeFrom="paragraph">
              <wp:posOffset>2012</wp:posOffset>
            </wp:positionV>
            <wp:extent cx="3396343" cy="1283426"/>
            <wp:effectExtent l="0" t="0" r="0" b="0"/>
            <wp:wrapSquare wrapText="bothSides"/>
            <wp:docPr id="1220442590" name="Picture 6" descr="Benefits of Crowd Management | Street Solution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enefits of Crowd Management | Street Solutions U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96343" cy="1283426"/>
                    </a:xfrm>
                    <a:prstGeom prst="rect">
                      <a:avLst/>
                    </a:prstGeom>
                    <a:noFill/>
                    <a:ln>
                      <a:noFill/>
                    </a:ln>
                  </pic:spPr>
                </pic:pic>
              </a:graphicData>
            </a:graphic>
          </wp:anchor>
        </w:drawing>
      </w:r>
      <w:r w:rsidRPr="006573B0">
        <w:rPr>
          <w:rFonts w:ascii="Arial" w:hAnsi="Arial" w:cs="Arial"/>
        </w:rPr>
        <w:t>One of the most essential parts of the event is operational planning, which begins with crowd management, which requires careful preparation because of the event's size. An integrated strategy is needed to handle large crowds, utilising more modern technologies, like real-time crowd management systems, and more conventional techniques, like parking zones. For example, systems that use surveillance cameras at strategic entry points to measure crowd density can ease traffic and guarantee a more efficient flow of guests (</w:t>
      </w:r>
      <w:proofErr w:type="spellStart"/>
      <w:r w:rsidRPr="006573B0">
        <w:rPr>
          <w:rFonts w:ascii="Arial" w:hAnsi="Arial" w:cs="Arial"/>
        </w:rPr>
        <w:t>Elharrouss</w:t>
      </w:r>
      <w:proofErr w:type="spellEnd"/>
      <w:r w:rsidRPr="006573B0">
        <w:rPr>
          <w:rFonts w:ascii="Arial" w:hAnsi="Arial" w:cs="Arial"/>
        </w:rPr>
        <w:t xml:space="preserve"> et al., 2020). Sufficient staff will also be essential, from organisers managing schedules and features like the virtual reality sleigh rides to security guards ensuring everyone is safe. Recent studies emphasise the value of flexible staffing and real-time adjustments to handle unexpected spikes in visitor numbers (Weaver and Liu-Lastres, 2021).</w:t>
      </w:r>
    </w:p>
    <w:p w14:paraId="460954E4" w14:textId="77777777" w:rsidR="006573B0" w:rsidRPr="006573B0" w:rsidRDefault="006573B0" w:rsidP="006573B0">
      <w:pPr>
        <w:spacing w:line="360" w:lineRule="auto"/>
        <w:jc w:val="both"/>
        <w:rPr>
          <w:rFonts w:ascii="Arial" w:hAnsi="Arial" w:cs="Arial"/>
        </w:rPr>
      </w:pPr>
      <w:r w:rsidRPr="006573B0">
        <w:rPr>
          <w:rFonts w:ascii="Arial" w:hAnsi="Arial" w:cs="Arial"/>
          <w:noProof/>
        </w:rPr>
        <w:lastRenderedPageBreak/>
        <w:drawing>
          <wp:anchor distT="0" distB="0" distL="114300" distR="114300" simplePos="0" relativeHeight="251661312" behindDoc="0" locked="0" layoutInCell="1" allowOverlap="1" wp14:anchorId="1A2177AD" wp14:editId="10F8E717">
            <wp:simplePos x="0" y="0"/>
            <wp:positionH relativeFrom="margin">
              <wp:align>left</wp:align>
            </wp:positionH>
            <wp:positionV relativeFrom="paragraph">
              <wp:posOffset>1433830</wp:posOffset>
            </wp:positionV>
            <wp:extent cx="2422139" cy="2338705"/>
            <wp:effectExtent l="0" t="0" r="0" b="4445"/>
            <wp:wrapSquare wrapText="bothSides"/>
            <wp:docPr id="618916796" name="Picture 7" descr="Influencer Marketing | Influencer Marketing Strategy | Influencer Marketing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nfluencer Marketing | Influencer Marketing Strategy | Influencer Marketing  Business"/>
                    <pic:cNvPicPr>
                      <a:picLocks noChangeAspect="1" noChangeArrowheads="1"/>
                    </pic:cNvPicPr>
                  </pic:nvPicPr>
                  <pic:blipFill rotWithShape="1">
                    <a:blip r:embed="rId15">
                      <a:extLst>
                        <a:ext uri="{28A0092B-C50C-407E-A947-70E740481C1C}">
                          <a14:useLocalDpi xmlns:a14="http://schemas.microsoft.com/office/drawing/2010/main" val="0"/>
                        </a:ext>
                      </a:extLst>
                    </a:blip>
                    <a:srcRect l="14231" r="16657"/>
                    <a:stretch/>
                  </pic:blipFill>
                  <pic:spPr bwMode="auto">
                    <a:xfrm>
                      <a:off x="0" y="0"/>
                      <a:ext cx="2422139" cy="2338705"/>
                    </a:xfrm>
                    <a:prstGeom prst="rect">
                      <a:avLst/>
                    </a:prstGeom>
                    <a:noFill/>
                    <a:ln>
                      <a:noFill/>
                    </a:ln>
                    <a:extLst>
                      <a:ext uri="{53640926-AAD7-44D8-BBD7-CCE9431645EC}">
                        <a14:shadowObscured xmlns:a14="http://schemas.microsoft.com/office/drawing/2010/main"/>
                      </a:ext>
                    </a:extLst>
                  </pic:spPr>
                </pic:pic>
              </a:graphicData>
            </a:graphic>
          </wp:anchor>
        </w:drawing>
      </w:r>
      <w:r w:rsidRPr="006573B0">
        <w:rPr>
          <w:rFonts w:ascii="Arial" w:hAnsi="Arial" w:cs="Arial"/>
        </w:rPr>
        <w:t>Both catering and technological infrastructure are equally important. Although NEC's facilities offer a wide range of catering options, crowd logistics must be considered. According to research, incorporating crowd logistics systems for dealing with vendors can improve service delivery and reduce wait times, which are critical for maintaining attendees' satisfaction (Carbone et al., 2017).</w:t>
      </w:r>
    </w:p>
    <w:p w14:paraId="6F0A94F4" w14:textId="77777777" w:rsidR="006573B0" w:rsidRPr="006573B0" w:rsidRDefault="006573B0" w:rsidP="006573B0">
      <w:pPr>
        <w:spacing w:line="360" w:lineRule="auto"/>
        <w:jc w:val="both"/>
        <w:rPr>
          <w:rFonts w:ascii="Arial" w:hAnsi="Arial" w:cs="Arial"/>
        </w:rPr>
      </w:pPr>
      <w:r w:rsidRPr="006573B0">
        <w:rPr>
          <w:rFonts w:ascii="Arial" w:hAnsi="Arial" w:cs="Arial"/>
        </w:rPr>
        <w:t xml:space="preserve">This strategy blends modern tactics like influencer partnerships and social media campaigns with conventional techniques like local media advertising. Influencers and user-generated content are essential for bringing in domestic and foreign attendees, according to a study by Setiawan et al. (2022), highlighting how experiential marketing can increase brand engagement. Additionally, geo-targeted marketing will capitalise on Birmingham's standing as a winter event destination by drawing tourists from </w:t>
      </w:r>
      <w:proofErr w:type="gramStart"/>
      <w:r w:rsidRPr="006573B0">
        <w:rPr>
          <w:rFonts w:ascii="Arial" w:hAnsi="Arial" w:cs="Arial"/>
        </w:rPr>
        <w:t>particular areas</w:t>
      </w:r>
      <w:proofErr w:type="gramEnd"/>
      <w:r w:rsidRPr="006573B0">
        <w:rPr>
          <w:rFonts w:ascii="Arial" w:hAnsi="Arial" w:cs="Arial"/>
        </w:rPr>
        <w:t>, including abroad. Local SEO tactics and geo-targeting of Google Ads will be used to increase visibility in these markets.</w:t>
      </w:r>
    </w:p>
    <w:p w14:paraId="04014496" w14:textId="77777777" w:rsidR="006573B0" w:rsidRPr="006573B0" w:rsidRDefault="006573B0" w:rsidP="006573B0">
      <w:pPr>
        <w:spacing w:line="360" w:lineRule="auto"/>
        <w:jc w:val="both"/>
        <w:rPr>
          <w:rFonts w:ascii="Arial" w:hAnsi="Arial" w:cs="Arial"/>
        </w:rPr>
      </w:pPr>
      <w:r w:rsidRPr="006573B0">
        <w:rPr>
          <w:rFonts w:ascii="Arial" w:hAnsi="Arial" w:cs="Arial"/>
        </w:rPr>
        <w:t>Any significant event, especially one in the winter, needs effective risk management. Risks associated with the weather, like a lot of snow or ice, can severely affect logistics and attendance. Contingency measures like heating stations and flexible ticket policies will be used to mitigate these. Refunds or exchanges retain customer trust in challenging situations (Feng and Miller-Hooks, 2014). Furthermore, health issues will be of critical importance in a post-pandemic world due to the possibility of disease transmission. Ventilation systems, sanitisation stations, and medical staff on hand to deal with any medical emergencies are all part of the plans.</w:t>
      </w:r>
    </w:p>
    <w:p w14:paraId="3FB0F05B" w14:textId="77777777" w:rsidR="006573B0" w:rsidRPr="006573B0" w:rsidRDefault="006573B0" w:rsidP="006573B0">
      <w:pPr>
        <w:spacing w:line="360" w:lineRule="auto"/>
        <w:jc w:val="both"/>
        <w:rPr>
          <w:rFonts w:ascii="Arial" w:hAnsi="Arial" w:cs="Arial"/>
        </w:rPr>
      </w:pPr>
      <w:r w:rsidRPr="006573B0">
        <w:rPr>
          <w:rFonts w:ascii="Arial" w:hAnsi="Arial" w:cs="Arial"/>
        </w:rPr>
        <w:t>In conclusion, coordinated work across multiple domains, from logistical accuracy to an effective advertising plan and thorough risk management plans, will be fundamental to the success of Santa's Winter Expo event management. The Expo has the potential for success with an ideal mix of technology, staff, and strategy.</w:t>
      </w:r>
    </w:p>
    <w:p w14:paraId="02019FF0" w14:textId="77777777" w:rsidR="006573B0" w:rsidRPr="006573B0" w:rsidRDefault="006573B0" w:rsidP="006573B0">
      <w:pPr>
        <w:spacing w:line="360" w:lineRule="auto"/>
        <w:jc w:val="both"/>
        <w:rPr>
          <w:rFonts w:ascii="Arial" w:hAnsi="Arial" w:cs="Arial"/>
        </w:rPr>
      </w:pPr>
      <w:r w:rsidRPr="006573B0">
        <w:rPr>
          <w:rFonts w:ascii="Arial" w:hAnsi="Arial" w:cs="Arial"/>
          <w:noProof/>
        </w:rPr>
        <w:lastRenderedPageBreak/>
        <w:drawing>
          <wp:anchor distT="0" distB="0" distL="114300" distR="114300" simplePos="0" relativeHeight="251662336" behindDoc="0" locked="0" layoutInCell="1" allowOverlap="1" wp14:anchorId="37C61C85" wp14:editId="4640F8E0">
            <wp:simplePos x="0" y="0"/>
            <wp:positionH relativeFrom="margin">
              <wp:align>left</wp:align>
            </wp:positionH>
            <wp:positionV relativeFrom="paragraph">
              <wp:posOffset>360045</wp:posOffset>
            </wp:positionV>
            <wp:extent cx="2210435" cy="2160905"/>
            <wp:effectExtent l="0" t="0" r="0" b="0"/>
            <wp:wrapSquare wrapText="bothSides"/>
            <wp:docPr id="552667408" name="Picture 8" descr="7Ps of Marketing: Boost Your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7Ps of Marketing: Boost Your Marketing Strateg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10435" cy="2160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573B0">
        <w:rPr>
          <w:rFonts w:ascii="Arial" w:hAnsi="Arial" w:cs="Arial"/>
          <w:b/>
          <w:bCs/>
        </w:rPr>
        <w:t>7Ps Framework</w:t>
      </w:r>
      <w:r w:rsidRPr="006573B0">
        <w:rPr>
          <w:rFonts w:ascii="Arial" w:hAnsi="Arial" w:cs="Arial"/>
        </w:rPr>
        <w:t xml:space="preserve"> </w:t>
      </w:r>
    </w:p>
    <w:p w14:paraId="29DFD933" w14:textId="77777777" w:rsidR="00D75D84" w:rsidRDefault="006573B0" w:rsidP="006573B0">
      <w:pPr>
        <w:spacing w:line="360" w:lineRule="auto"/>
        <w:jc w:val="both"/>
        <w:rPr>
          <w:rFonts w:ascii="Arial" w:hAnsi="Arial" w:cs="Arial"/>
        </w:rPr>
      </w:pPr>
      <w:r w:rsidRPr="006573B0">
        <w:rPr>
          <w:rFonts w:ascii="Arial" w:hAnsi="Arial" w:cs="Arial"/>
        </w:rPr>
        <w:t xml:space="preserve">Santa's Winter Expo utilises the 7Ps framework to provide an unforgettable experience. </w:t>
      </w:r>
      <w:r w:rsidRPr="006573B0">
        <w:rPr>
          <w:rFonts w:ascii="Arial" w:hAnsi="Arial" w:cs="Arial"/>
        </w:rPr>
        <w:br/>
        <w:t>Product:</w:t>
      </w:r>
      <w:r w:rsidRPr="006573B0">
        <w:rPr>
          <w:rFonts w:ascii="Arial" w:hAnsi="Arial" w:cs="Arial"/>
        </w:rPr>
        <w:br/>
        <w:t xml:space="preserve">The event centres around a winter-themed expo which combines business networking with interactive activities, such as virtual reality sleigh rides and cultural workshops. </w:t>
      </w:r>
      <w:r w:rsidRPr="006573B0">
        <w:rPr>
          <w:rFonts w:ascii="Arial" w:hAnsi="Arial" w:cs="Arial"/>
        </w:rPr>
        <w:br/>
        <w:t xml:space="preserve">The </w:t>
      </w:r>
      <w:r w:rsidRPr="006573B0">
        <w:rPr>
          <w:rFonts w:ascii="Arial" w:hAnsi="Arial" w:cs="Arial"/>
          <w:b/>
          <w:bCs/>
        </w:rPr>
        <w:t>price</w:t>
      </w:r>
      <w:r w:rsidRPr="006573B0">
        <w:rPr>
          <w:rFonts w:ascii="Arial" w:hAnsi="Arial" w:cs="Arial"/>
        </w:rPr>
        <w:t xml:space="preserve"> includes layered ticketing, featuring general admission and VIP packages that provide exclusive access to high-demand areas, such as premium seating for evening performances, accommodating various budget ranges (Baldin, 2017). </w:t>
      </w:r>
      <w:r w:rsidRPr="006573B0">
        <w:rPr>
          <w:rFonts w:ascii="Arial" w:hAnsi="Arial" w:cs="Arial"/>
        </w:rPr>
        <w:br/>
        <w:t xml:space="preserve">The </w:t>
      </w:r>
      <w:r w:rsidRPr="006573B0">
        <w:rPr>
          <w:rFonts w:ascii="Arial" w:hAnsi="Arial" w:cs="Arial"/>
          <w:b/>
          <w:bCs/>
        </w:rPr>
        <w:t>place</w:t>
      </w:r>
      <w:r w:rsidRPr="006573B0">
        <w:rPr>
          <w:rFonts w:ascii="Arial" w:hAnsi="Arial" w:cs="Arial"/>
        </w:rPr>
        <w:t xml:space="preserve"> is Birmingham's NEC, selected for its capacity and winter-themed design, which creates a highly immersive atmosphere. </w:t>
      </w:r>
    </w:p>
    <w:p w14:paraId="13B27CA6" w14:textId="77777777" w:rsidR="00D75D84" w:rsidRDefault="006573B0" w:rsidP="006573B0">
      <w:pPr>
        <w:spacing w:line="360" w:lineRule="auto"/>
        <w:jc w:val="both"/>
        <w:rPr>
          <w:rFonts w:ascii="Arial" w:hAnsi="Arial" w:cs="Arial"/>
        </w:rPr>
      </w:pPr>
      <w:r w:rsidRPr="006573B0">
        <w:rPr>
          <w:rFonts w:ascii="Arial" w:hAnsi="Arial" w:cs="Arial"/>
        </w:rPr>
        <w:t xml:space="preserve">From the </w:t>
      </w:r>
      <w:r w:rsidRPr="006573B0">
        <w:rPr>
          <w:rFonts w:ascii="Arial" w:hAnsi="Arial" w:cs="Arial"/>
          <w:b/>
          <w:bCs/>
        </w:rPr>
        <w:t>promotion</w:t>
      </w:r>
      <w:r w:rsidRPr="006573B0">
        <w:rPr>
          <w:rFonts w:ascii="Arial" w:hAnsi="Arial" w:cs="Arial"/>
        </w:rPr>
        <w:t xml:space="preserve"> side, the Expo employs influencer collaborations and geo-targeted advertisements to draw local and international attendees (Setiawan et al., 2022). </w:t>
      </w:r>
      <w:r w:rsidRPr="006573B0">
        <w:rPr>
          <w:rFonts w:ascii="Arial" w:hAnsi="Arial" w:cs="Arial"/>
          <w:b/>
          <w:bCs/>
        </w:rPr>
        <w:t>People</w:t>
      </w:r>
      <w:r w:rsidRPr="006573B0">
        <w:rPr>
          <w:rFonts w:ascii="Arial" w:hAnsi="Arial" w:cs="Arial"/>
        </w:rPr>
        <w:t xml:space="preserve"> are central, with experienced staff facilitating activities such as Japanese origami workshops, guaranteeing interactive, practical involvement. </w:t>
      </w:r>
    </w:p>
    <w:p w14:paraId="4170BCB3" w14:textId="77777777" w:rsidR="00D75D84" w:rsidRDefault="006573B0" w:rsidP="006573B0">
      <w:pPr>
        <w:spacing w:line="360" w:lineRule="auto"/>
        <w:jc w:val="both"/>
        <w:rPr>
          <w:rFonts w:ascii="Arial" w:hAnsi="Arial" w:cs="Arial"/>
        </w:rPr>
      </w:pPr>
      <w:r w:rsidRPr="006573B0">
        <w:rPr>
          <w:rFonts w:ascii="Arial" w:hAnsi="Arial" w:cs="Arial"/>
        </w:rPr>
        <w:t xml:space="preserve">The </w:t>
      </w:r>
      <w:r w:rsidRPr="006573B0">
        <w:rPr>
          <w:rFonts w:ascii="Arial" w:hAnsi="Arial" w:cs="Arial"/>
          <w:b/>
          <w:bCs/>
        </w:rPr>
        <w:t>Process</w:t>
      </w:r>
      <w:r w:rsidRPr="006573B0">
        <w:rPr>
          <w:rFonts w:ascii="Arial" w:hAnsi="Arial" w:cs="Arial"/>
        </w:rPr>
        <w:t xml:space="preserve"> emphasises efficient logistics, including real-time visitor flow management, to ensure a seamless guest experience (</w:t>
      </w:r>
      <w:proofErr w:type="spellStart"/>
      <w:r w:rsidRPr="006573B0">
        <w:rPr>
          <w:rFonts w:ascii="Arial" w:hAnsi="Arial" w:cs="Arial"/>
        </w:rPr>
        <w:t>Hefnawy</w:t>
      </w:r>
      <w:proofErr w:type="spellEnd"/>
      <w:r w:rsidRPr="006573B0">
        <w:rPr>
          <w:rFonts w:ascii="Arial" w:hAnsi="Arial" w:cs="Arial"/>
        </w:rPr>
        <w:t xml:space="preserve"> et al., 2015). </w:t>
      </w:r>
    </w:p>
    <w:p w14:paraId="13617B9A" w14:textId="1D03FFC3" w:rsidR="006573B0" w:rsidRPr="006573B0" w:rsidRDefault="006573B0" w:rsidP="006573B0">
      <w:pPr>
        <w:spacing w:line="360" w:lineRule="auto"/>
        <w:jc w:val="both"/>
        <w:rPr>
          <w:rFonts w:ascii="Arial" w:hAnsi="Arial" w:cs="Arial"/>
        </w:rPr>
      </w:pPr>
      <w:r w:rsidRPr="006573B0">
        <w:rPr>
          <w:rFonts w:ascii="Arial" w:hAnsi="Arial" w:cs="Arial"/>
        </w:rPr>
        <w:t xml:space="preserve">Ultimately, </w:t>
      </w:r>
      <w:r w:rsidRPr="006573B0">
        <w:rPr>
          <w:rFonts w:ascii="Arial" w:hAnsi="Arial" w:cs="Arial"/>
          <w:b/>
          <w:bCs/>
        </w:rPr>
        <w:t>physical Evidence</w:t>
      </w:r>
      <w:r w:rsidRPr="006573B0">
        <w:rPr>
          <w:rFonts w:ascii="Arial" w:hAnsi="Arial" w:cs="Arial"/>
        </w:rPr>
        <w:t xml:space="preserve"> has been strengthened by sustainably designed decor and winter-themed branding that improve the festive atmosphere and create a lasting impact (</w:t>
      </w:r>
      <w:proofErr w:type="spellStart"/>
      <w:r w:rsidRPr="006573B0">
        <w:rPr>
          <w:rFonts w:ascii="Arial" w:hAnsi="Arial" w:cs="Arial"/>
        </w:rPr>
        <w:t>Zarantonello</w:t>
      </w:r>
      <w:proofErr w:type="spellEnd"/>
      <w:r w:rsidRPr="006573B0">
        <w:rPr>
          <w:rFonts w:ascii="Arial" w:hAnsi="Arial" w:cs="Arial"/>
        </w:rPr>
        <w:t xml:space="preserve"> and Schmitt, 2013).</w:t>
      </w:r>
    </w:p>
    <w:p w14:paraId="1DCF8C61" w14:textId="77777777" w:rsidR="006573B0" w:rsidRPr="006573B0" w:rsidRDefault="006573B0" w:rsidP="006573B0">
      <w:pPr>
        <w:spacing w:line="360" w:lineRule="auto"/>
        <w:jc w:val="both"/>
        <w:rPr>
          <w:rFonts w:ascii="Arial" w:hAnsi="Arial" w:cs="Arial"/>
          <w:b/>
          <w:bCs/>
        </w:rPr>
      </w:pPr>
      <w:r w:rsidRPr="006573B0">
        <w:rPr>
          <w:rFonts w:ascii="Arial" w:hAnsi="Arial" w:cs="Arial"/>
          <w:noProof/>
        </w:rPr>
        <w:lastRenderedPageBreak/>
        <w:drawing>
          <wp:anchor distT="0" distB="0" distL="114300" distR="114300" simplePos="0" relativeHeight="251663360" behindDoc="0" locked="0" layoutInCell="1" allowOverlap="1" wp14:anchorId="45988C0E" wp14:editId="0841D765">
            <wp:simplePos x="0" y="0"/>
            <wp:positionH relativeFrom="margin">
              <wp:align>left</wp:align>
            </wp:positionH>
            <wp:positionV relativeFrom="paragraph">
              <wp:posOffset>360045</wp:posOffset>
            </wp:positionV>
            <wp:extent cx="3645535" cy="3284220"/>
            <wp:effectExtent l="0" t="0" r="0" b="0"/>
            <wp:wrapSquare wrapText="bothSides"/>
            <wp:docPr id="73803677" name="Picture 9" descr="A full guide to the PEST analysis - forms.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full guide to the PEST analysis - forms.ap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47101" cy="328586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573B0">
        <w:rPr>
          <w:rFonts w:ascii="Arial" w:hAnsi="Arial" w:cs="Arial"/>
          <w:b/>
          <w:bCs/>
        </w:rPr>
        <w:t>PEST Analysis</w:t>
      </w:r>
    </w:p>
    <w:p w14:paraId="3E493004" w14:textId="77777777" w:rsidR="006573B0" w:rsidRPr="006573B0" w:rsidRDefault="006573B0" w:rsidP="006573B0">
      <w:pPr>
        <w:spacing w:line="360" w:lineRule="auto"/>
        <w:jc w:val="both"/>
        <w:rPr>
          <w:rFonts w:ascii="Arial" w:hAnsi="Arial" w:cs="Arial"/>
        </w:rPr>
      </w:pPr>
      <w:r w:rsidRPr="006573B0">
        <w:rPr>
          <w:rFonts w:ascii="Arial" w:hAnsi="Arial" w:cs="Arial"/>
        </w:rPr>
        <w:t xml:space="preserve">A PEST analysis offers insights into external factors influencing Santa’s Winter Expo. Political factors, including environmental policies, are addressed by adopting eco-friendly practices such as recyclable gift-wrapping stations and sustainably sourced decorations (Ahmed, 2021). Economic factors strengthen the event's business model; the demand for thrilling experiences generates revenue through ticket sales and themed merchandise, including products from partners like Arc'teryx. The increased cultural curiosity corresponds with the Expo's varied activities, such as Russian </w:t>
      </w:r>
      <w:proofErr w:type="gramStart"/>
      <w:r w:rsidRPr="006573B0">
        <w:rPr>
          <w:rFonts w:ascii="Arial" w:hAnsi="Arial" w:cs="Arial"/>
        </w:rPr>
        <w:t>folk dance</w:t>
      </w:r>
      <w:proofErr w:type="gramEnd"/>
      <w:r w:rsidRPr="006573B0">
        <w:rPr>
          <w:rFonts w:ascii="Arial" w:hAnsi="Arial" w:cs="Arial"/>
        </w:rPr>
        <w:t xml:space="preserve"> performances and international winter parades, attracting local and global attendees. Technological advancements are utilised through VR sleigh rides and crowd monitoring technologies, improving safety and engagement while meeting attendees' expectations for interactive, technology-driven experiences (</w:t>
      </w:r>
      <w:proofErr w:type="spellStart"/>
      <w:r w:rsidRPr="006573B0">
        <w:rPr>
          <w:rFonts w:ascii="Arial" w:hAnsi="Arial" w:cs="Arial"/>
        </w:rPr>
        <w:t>Hefnawy</w:t>
      </w:r>
      <w:proofErr w:type="spellEnd"/>
      <w:r w:rsidRPr="006573B0">
        <w:rPr>
          <w:rFonts w:ascii="Arial" w:hAnsi="Arial" w:cs="Arial"/>
        </w:rPr>
        <w:t xml:space="preserve"> et al., 2015; Trinh and Lam, 2016).</w:t>
      </w:r>
    </w:p>
    <w:p w14:paraId="18C3EDEF" w14:textId="77777777" w:rsidR="006573B0" w:rsidRPr="006573B0" w:rsidRDefault="006573B0" w:rsidP="006573B0">
      <w:pPr>
        <w:spacing w:line="360" w:lineRule="auto"/>
        <w:jc w:val="both"/>
        <w:rPr>
          <w:rFonts w:ascii="Arial" w:hAnsi="Arial" w:cs="Arial"/>
        </w:rPr>
      </w:pPr>
    </w:p>
    <w:p w14:paraId="2F8BB38E"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Event Budget</w:t>
      </w:r>
    </w:p>
    <w:p w14:paraId="1D741E3D" w14:textId="77777777" w:rsidR="006573B0" w:rsidRPr="006573B0" w:rsidRDefault="006573B0" w:rsidP="006573B0">
      <w:pPr>
        <w:spacing w:line="360" w:lineRule="auto"/>
        <w:jc w:val="both"/>
        <w:rPr>
          <w:rFonts w:ascii="Arial" w:hAnsi="Arial" w:cs="Arial"/>
        </w:rPr>
      </w:pPr>
      <w:r w:rsidRPr="006573B0">
        <w:rPr>
          <w:rFonts w:ascii="Arial" w:hAnsi="Arial" w:cs="Arial"/>
        </w:rPr>
        <w:t>With an expected income of £785,000, Santa's Winter Expo must develop a realistic and thorough budget to reach its financial objectives. The money will be generated from various sources, each of which is important: ticket sales, sponsorships, and on-site merchandising.</w:t>
      </w:r>
    </w:p>
    <w:p w14:paraId="0AB8C0DD"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Sponsorships:</w:t>
      </w:r>
      <w:r w:rsidRPr="006573B0">
        <w:rPr>
          <w:rFonts w:ascii="Arial" w:hAnsi="Arial" w:cs="Arial"/>
        </w:rPr>
        <w:t xml:space="preserve"> Most of the funding will come from the Expo's main sponsors, Coca-Cola and IKEA. Coca-Cola is anticipated to contribute £150,000, and IKEA, focusing on environmentally friendly projects, will invest £120,000 to support the event's sustainability elements, according to comparable sponsorship agreements in the event sector (Michelini et al., 2017). These collaborations expand the event's reach and credibility and increase revenue.</w:t>
      </w:r>
    </w:p>
    <w:p w14:paraId="6CCB8253"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Ticket Sales:</w:t>
      </w:r>
      <w:r w:rsidRPr="006573B0">
        <w:rPr>
          <w:rFonts w:ascii="Arial" w:hAnsi="Arial" w:cs="Arial"/>
        </w:rPr>
        <w:t xml:space="preserve"> A tiered pricing structure will boost earnings even more. Tickets for general admission will cost £45. Ten thousand people are anticipated to attend, which will </w:t>
      </w:r>
      <w:r w:rsidRPr="006573B0">
        <w:rPr>
          <w:rFonts w:ascii="Arial" w:hAnsi="Arial" w:cs="Arial"/>
        </w:rPr>
        <w:lastRenderedPageBreak/>
        <w:t>raise £450,000. Aiming for 1,000 attendees, the VIP package, which includes premium seating at the evening performance and exclusive access to networking sessions, will be sold for £120, bringing in an extra £120,000. According to Baldin (2017), this pricing strategy aligns with current market trends for event-based revenue generation.</w:t>
      </w:r>
    </w:p>
    <w:p w14:paraId="56539227"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On-site Merchandising:</w:t>
      </w:r>
      <w:r w:rsidRPr="006573B0">
        <w:rPr>
          <w:rFonts w:ascii="Arial" w:hAnsi="Arial" w:cs="Arial"/>
        </w:rPr>
        <w:t xml:space="preserve"> Based on previous events, it is anticipated that sales of exclusive holiday-themed merchandise, including partnerships with companies like Salomon and Arc'teryx, will generate £45,000, with an average spend of £15 per attendee (Testa and Metter, 2017).</w:t>
      </w:r>
    </w:p>
    <w:p w14:paraId="5F1AC080"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Expenditure Breakdown</w:t>
      </w:r>
    </w:p>
    <w:p w14:paraId="2057E2A4" w14:textId="77777777" w:rsidR="006573B0" w:rsidRPr="006573B0" w:rsidRDefault="006573B0" w:rsidP="006573B0">
      <w:pPr>
        <w:spacing w:line="360" w:lineRule="auto"/>
        <w:jc w:val="both"/>
        <w:rPr>
          <w:rFonts w:ascii="Arial" w:hAnsi="Arial" w:cs="Arial"/>
        </w:rPr>
      </w:pPr>
      <w:r w:rsidRPr="006573B0">
        <w:rPr>
          <w:rFonts w:ascii="Arial" w:hAnsi="Arial" w:cs="Arial"/>
        </w:rPr>
        <w:t>Santa's Winter Expo's main costs will be marketing, staffing, venue rental, and sustainability projects. According to NEC Birmingham's pricing and market research, the approximate expenses are as follows:</w:t>
      </w:r>
    </w:p>
    <w:p w14:paraId="669E75E2"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Venue Rental:</w:t>
      </w:r>
      <w:r w:rsidRPr="006573B0">
        <w:rPr>
          <w:rFonts w:ascii="Arial" w:hAnsi="Arial" w:cs="Arial"/>
        </w:rPr>
        <w:t xml:space="preserve"> £85,000 for the entire NEC event, including spaces for interactive winter attractions and exhibitions.</w:t>
      </w:r>
    </w:p>
    <w:p w14:paraId="681D43CE"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Staffing:</w:t>
      </w:r>
      <w:r w:rsidRPr="006573B0">
        <w:rPr>
          <w:rFonts w:ascii="Arial" w:hAnsi="Arial" w:cs="Arial"/>
        </w:rPr>
        <w:t xml:space="preserve"> £50,000 for technical support, event planners, caterers, and security guards.</w:t>
      </w:r>
    </w:p>
    <w:p w14:paraId="45BF1478"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Marketing:</w:t>
      </w:r>
      <w:r w:rsidRPr="006573B0">
        <w:rPr>
          <w:rFonts w:ascii="Arial" w:hAnsi="Arial" w:cs="Arial"/>
        </w:rPr>
        <w:t xml:space="preserve"> £60,000, which includes local media advertising, influencer collaborations, and digital campaigns (Lee et al., 2018).</w:t>
      </w:r>
    </w:p>
    <w:p w14:paraId="4E81293E"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Sustainability Projects:</w:t>
      </w:r>
      <w:r w:rsidRPr="006573B0">
        <w:rPr>
          <w:rFonts w:ascii="Arial" w:hAnsi="Arial" w:cs="Arial"/>
        </w:rPr>
        <w:t xml:space="preserve"> £25,000, which include recycling facilities, environmentally friendly gift wrapping, and sustainable energy use (Ahmed, 2021).</w:t>
      </w:r>
    </w:p>
    <w:tbl>
      <w:tblPr>
        <w:tblStyle w:val="TableGrid"/>
        <w:tblW w:w="0" w:type="auto"/>
        <w:tblLook w:val="04A0" w:firstRow="1" w:lastRow="0" w:firstColumn="1" w:lastColumn="0" w:noHBand="0" w:noVBand="1"/>
      </w:tblPr>
      <w:tblGrid>
        <w:gridCol w:w="3019"/>
        <w:gridCol w:w="3018"/>
        <w:gridCol w:w="2979"/>
      </w:tblGrid>
      <w:tr w:rsidR="006573B0" w:rsidRPr="006573B0" w14:paraId="6CE73E2D" w14:textId="77777777" w:rsidTr="002C5DCE">
        <w:tc>
          <w:tcPr>
            <w:tcW w:w="3116" w:type="dxa"/>
          </w:tcPr>
          <w:p w14:paraId="4C180DB5" w14:textId="77777777" w:rsidR="006573B0" w:rsidRPr="006573B0" w:rsidRDefault="006573B0" w:rsidP="006573B0">
            <w:pPr>
              <w:spacing w:line="360" w:lineRule="auto"/>
              <w:jc w:val="both"/>
              <w:rPr>
                <w:rFonts w:ascii="Arial" w:hAnsi="Arial" w:cs="Arial"/>
              </w:rPr>
            </w:pPr>
            <w:r w:rsidRPr="006573B0">
              <w:rPr>
                <w:rFonts w:ascii="Arial" w:hAnsi="Arial" w:cs="Arial"/>
                <w:b/>
                <w:bCs/>
                <w:color w:val="000000"/>
              </w:rPr>
              <w:t>Category</w:t>
            </w:r>
          </w:p>
        </w:tc>
        <w:tc>
          <w:tcPr>
            <w:tcW w:w="3117" w:type="dxa"/>
          </w:tcPr>
          <w:p w14:paraId="51D2BEF5" w14:textId="77777777" w:rsidR="006573B0" w:rsidRPr="006573B0" w:rsidRDefault="006573B0" w:rsidP="006573B0">
            <w:pPr>
              <w:spacing w:line="360" w:lineRule="auto"/>
              <w:jc w:val="both"/>
              <w:rPr>
                <w:rFonts w:ascii="Arial" w:hAnsi="Arial" w:cs="Arial"/>
              </w:rPr>
            </w:pPr>
            <w:r w:rsidRPr="006573B0">
              <w:rPr>
                <w:rFonts w:ascii="Arial" w:hAnsi="Arial" w:cs="Arial"/>
                <w:b/>
                <w:bCs/>
                <w:color w:val="000000"/>
              </w:rPr>
              <w:t>Description</w:t>
            </w:r>
          </w:p>
        </w:tc>
        <w:tc>
          <w:tcPr>
            <w:tcW w:w="3117" w:type="dxa"/>
          </w:tcPr>
          <w:p w14:paraId="1CF48D8E" w14:textId="77777777" w:rsidR="006573B0" w:rsidRPr="006573B0" w:rsidRDefault="006573B0" w:rsidP="006573B0">
            <w:pPr>
              <w:spacing w:line="360" w:lineRule="auto"/>
              <w:jc w:val="both"/>
              <w:rPr>
                <w:rFonts w:ascii="Arial" w:hAnsi="Arial" w:cs="Arial"/>
              </w:rPr>
            </w:pPr>
            <w:r w:rsidRPr="006573B0">
              <w:rPr>
                <w:rFonts w:ascii="Arial" w:hAnsi="Arial" w:cs="Arial"/>
                <w:b/>
                <w:bCs/>
                <w:color w:val="000000"/>
              </w:rPr>
              <w:t>Amount (£)</w:t>
            </w:r>
          </w:p>
        </w:tc>
      </w:tr>
      <w:tr w:rsidR="006573B0" w:rsidRPr="006573B0" w14:paraId="06231C57" w14:textId="77777777" w:rsidTr="002C5DCE">
        <w:tc>
          <w:tcPr>
            <w:tcW w:w="3116" w:type="dxa"/>
            <w:vAlign w:val="bottom"/>
          </w:tcPr>
          <w:p w14:paraId="7E492A06"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Sponsorships - Coca-Cola</w:t>
            </w:r>
          </w:p>
        </w:tc>
        <w:tc>
          <w:tcPr>
            <w:tcW w:w="3117" w:type="dxa"/>
            <w:vAlign w:val="bottom"/>
          </w:tcPr>
          <w:p w14:paraId="57DE14C0"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Funding from the main sponsor, Coca-Cola</w:t>
            </w:r>
          </w:p>
        </w:tc>
        <w:tc>
          <w:tcPr>
            <w:tcW w:w="3117" w:type="dxa"/>
            <w:vAlign w:val="bottom"/>
          </w:tcPr>
          <w:p w14:paraId="7DCEEB3A"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150000</w:t>
            </w:r>
          </w:p>
        </w:tc>
      </w:tr>
      <w:tr w:rsidR="006573B0" w:rsidRPr="006573B0" w14:paraId="25683442" w14:textId="77777777" w:rsidTr="002C5DCE">
        <w:tc>
          <w:tcPr>
            <w:tcW w:w="3116" w:type="dxa"/>
            <w:vAlign w:val="bottom"/>
          </w:tcPr>
          <w:p w14:paraId="0C02EA49"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Sponsorships - IKEA</w:t>
            </w:r>
          </w:p>
        </w:tc>
        <w:tc>
          <w:tcPr>
            <w:tcW w:w="3117" w:type="dxa"/>
            <w:vAlign w:val="bottom"/>
          </w:tcPr>
          <w:p w14:paraId="66E29A3B"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Funding from sponsor IKEA for sustainability elements</w:t>
            </w:r>
          </w:p>
        </w:tc>
        <w:tc>
          <w:tcPr>
            <w:tcW w:w="3117" w:type="dxa"/>
            <w:vAlign w:val="bottom"/>
          </w:tcPr>
          <w:p w14:paraId="1E43AD9D"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120000</w:t>
            </w:r>
          </w:p>
        </w:tc>
      </w:tr>
      <w:tr w:rsidR="006573B0" w:rsidRPr="006573B0" w14:paraId="549595E6" w14:textId="77777777" w:rsidTr="002C5DCE">
        <w:tc>
          <w:tcPr>
            <w:tcW w:w="3116" w:type="dxa"/>
            <w:vAlign w:val="bottom"/>
          </w:tcPr>
          <w:p w14:paraId="29A981BF"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Ticket Sales - General Admission</w:t>
            </w:r>
          </w:p>
        </w:tc>
        <w:tc>
          <w:tcPr>
            <w:tcW w:w="3117" w:type="dxa"/>
            <w:vAlign w:val="bottom"/>
          </w:tcPr>
          <w:p w14:paraId="66E357F2"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General admission ticket sales (10,000 tickets at £45 each)</w:t>
            </w:r>
          </w:p>
        </w:tc>
        <w:tc>
          <w:tcPr>
            <w:tcW w:w="3117" w:type="dxa"/>
            <w:vAlign w:val="bottom"/>
          </w:tcPr>
          <w:p w14:paraId="3AB1DDC5"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450000</w:t>
            </w:r>
          </w:p>
        </w:tc>
      </w:tr>
      <w:tr w:rsidR="006573B0" w:rsidRPr="006573B0" w14:paraId="0114D777" w14:textId="77777777" w:rsidTr="002C5DCE">
        <w:tc>
          <w:tcPr>
            <w:tcW w:w="3116" w:type="dxa"/>
            <w:vAlign w:val="bottom"/>
          </w:tcPr>
          <w:p w14:paraId="09A46F66"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Ticket Sales - VIP</w:t>
            </w:r>
          </w:p>
        </w:tc>
        <w:tc>
          <w:tcPr>
            <w:tcW w:w="3117" w:type="dxa"/>
            <w:vAlign w:val="bottom"/>
          </w:tcPr>
          <w:p w14:paraId="0452638A"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VIP ticket sales (1,000 tickets at £120 each)</w:t>
            </w:r>
          </w:p>
        </w:tc>
        <w:tc>
          <w:tcPr>
            <w:tcW w:w="3117" w:type="dxa"/>
            <w:vAlign w:val="bottom"/>
          </w:tcPr>
          <w:p w14:paraId="67C1638C"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120000</w:t>
            </w:r>
          </w:p>
        </w:tc>
      </w:tr>
      <w:tr w:rsidR="006573B0" w:rsidRPr="006573B0" w14:paraId="0A80F1EB" w14:textId="77777777" w:rsidTr="002C5DCE">
        <w:tc>
          <w:tcPr>
            <w:tcW w:w="3116" w:type="dxa"/>
            <w:vAlign w:val="bottom"/>
          </w:tcPr>
          <w:p w14:paraId="179AAF66"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On-site Merchandising</w:t>
            </w:r>
          </w:p>
        </w:tc>
        <w:tc>
          <w:tcPr>
            <w:tcW w:w="3117" w:type="dxa"/>
            <w:vAlign w:val="bottom"/>
          </w:tcPr>
          <w:p w14:paraId="24479441"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Sales of exclusive holiday-themed merchandise</w:t>
            </w:r>
          </w:p>
        </w:tc>
        <w:tc>
          <w:tcPr>
            <w:tcW w:w="3117" w:type="dxa"/>
            <w:vAlign w:val="bottom"/>
          </w:tcPr>
          <w:p w14:paraId="690F496E"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45000</w:t>
            </w:r>
          </w:p>
        </w:tc>
      </w:tr>
      <w:tr w:rsidR="006573B0" w:rsidRPr="006573B0" w14:paraId="3EDCCC4C" w14:textId="77777777" w:rsidTr="002C5DCE">
        <w:tc>
          <w:tcPr>
            <w:tcW w:w="3116" w:type="dxa"/>
            <w:vAlign w:val="bottom"/>
          </w:tcPr>
          <w:p w14:paraId="0FCD8437"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Venue Rental</w:t>
            </w:r>
          </w:p>
        </w:tc>
        <w:tc>
          <w:tcPr>
            <w:tcW w:w="3117" w:type="dxa"/>
            <w:vAlign w:val="bottom"/>
          </w:tcPr>
          <w:p w14:paraId="5A55DC2A"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Rental of NEC venue for the entire event</w:t>
            </w:r>
          </w:p>
        </w:tc>
        <w:tc>
          <w:tcPr>
            <w:tcW w:w="3117" w:type="dxa"/>
            <w:vAlign w:val="bottom"/>
          </w:tcPr>
          <w:p w14:paraId="2AEC1B37"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85000</w:t>
            </w:r>
          </w:p>
        </w:tc>
      </w:tr>
      <w:tr w:rsidR="006573B0" w:rsidRPr="006573B0" w14:paraId="1C616D85" w14:textId="77777777" w:rsidTr="002C5DCE">
        <w:tc>
          <w:tcPr>
            <w:tcW w:w="3116" w:type="dxa"/>
            <w:vAlign w:val="bottom"/>
          </w:tcPr>
          <w:p w14:paraId="379645BE"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lastRenderedPageBreak/>
              <w:t>Staffing</w:t>
            </w:r>
          </w:p>
        </w:tc>
        <w:tc>
          <w:tcPr>
            <w:tcW w:w="3117" w:type="dxa"/>
            <w:vAlign w:val="bottom"/>
          </w:tcPr>
          <w:p w14:paraId="1AFE6477"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Technical support, event planners, caterers, and security</w:t>
            </w:r>
          </w:p>
        </w:tc>
        <w:tc>
          <w:tcPr>
            <w:tcW w:w="3117" w:type="dxa"/>
            <w:vAlign w:val="bottom"/>
          </w:tcPr>
          <w:p w14:paraId="2C60E5ED"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50000</w:t>
            </w:r>
          </w:p>
        </w:tc>
      </w:tr>
      <w:tr w:rsidR="006573B0" w:rsidRPr="006573B0" w14:paraId="56455A10" w14:textId="77777777" w:rsidTr="002C5DCE">
        <w:tc>
          <w:tcPr>
            <w:tcW w:w="3116" w:type="dxa"/>
            <w:vAlign w:val="bottom"/>
          </w:tcPr>
          <w:p w14:paraId="60B35889"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Marketing</w:t>
            </w:r>
          </w:p>
        </w:tc>
        <w:tc>
          <w:tcPr>
            <w:tcW w:w="3117" w:type="dxa"/>
            <w:vAlign w:val="bottom"/>
          </w:tcPr>
          <w:p w14:paraId="5B587C13"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Local media, influencer collaborations, and digital campaigns</w:t>
            </w:r>
          </w:p>
        </w:tc>
        <w:tc>
          <w:tcPr>
            <w:tcW w:w="3117" w:type="dxa"/>
            <w:vAlign w:val="bottom"/>
          </w:tcPr>
          <w:p w14:paraId="6C9CCBDA"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60000</w:t>
            </w:r>
          </w:p>
        </w:tc>
      </w:tr>
      <w:tr w:rsidR="006573B0" w:rsidRPr="006573B0" w14:paraId="6AE41FBB" w14:textId="77777777" w:rsidTr="002C5DCE">
        <w:tc>
          <w:tcPr>
            <w:tcW w:w="3116" w:type="dxa"/>
            <w:vAlign w:val="bottom"/>
          </w:tcPr>
          <w:p w14:paraId="3D9CF8FF"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Sustainability Projects</w:t>
            </w:r>
          </w:p>
        </w:tc>
        <w:tc>
          <w:tcPr>
            <w:tcW w:w="3117" w:type="dxa"/>
            <w:vAlign w:val="bottom"/>
          </w:tcPr>
          <w:p w14:paraId="4A0918AA"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Recycling facilities, gift wrapping, sustainable energy</w:t>
            </w:r>
          </w:p>
        </w:tc>
        <w:tc>
          <w:tcPr>
            <w:tcW w:w="3117" w:type="dxa"/>
            <w:vAlign w:val="bottom"/>
          </w:tcPr>
          <w:p w14:paraId="5A041D47" w14:textId="77777777" w:rsidR="006573B0" w:rsidRPr="006573B0" w:rsidRDefault="006573B0" w:rsidP="006573B0">
            <w:pPr>
              <w:spacing w:line="360" w:lineRule="auto"/>
              <w:jc w:val="both"/>
              <w:rPr>
                <w:rFonts w:ascii="Arial" w:hAnsi="Arial" w:cs="Arial"/>
              </w:rPr>
            </w:pPr>
            <w:r w:rsidRPr="006573B0">
              <w:rPr>
                <w:rFonts w:ascii="Arial" w:hAnsi="Arial" w:cs="Arial"/>
                <w:color w:val="000000"/>
              </w:rPr>
              <w:t>25000</w:t>
            </w:r>
          </w:p>
        </w:tc>
      </w:tr>
    </w:tbl>
    <w:p w14:paraId="4CA23B33" w14:textId="77777777" w:rsidR="006573B0" w:rsidRPr="006573B0" w:rsidRDefault="006573B0" w:rsidP="006573B0">
      <w:pPr>
        <w:spacing w:line="360" w:lineRule="auto"/>
        <w:jc w:val="both"/>
        <w:rPr>
          <w:rFonts w:ascii="Arial" w:hAnsi="Arial" w:cs="Arial"/>
          <w:b/>
          <w:bCs/>
        </w:rPr>
      </w:pPr>
    </w:p>
    <w:p w14:paraId="06C5ED85" w14:textId="77777777" w:rsidR="006573B0" w:rsidRPr="006573B0" w:rsidRDefault="006573B0" w:rsidP="006573B0">
      <w:pPr>
        <w:spacing w:line="360" w:lineRule="auto"/>
        <w:jc w:val="both"/>
        <w:rPr>
          <w:rFonts w:ascii="Arial" w:hAnsi="Arial" w:cs="Arial"/>
          <w:b/>
          <w:bCs/>
        </w:rPr>
      </w:pPr>
    </w:p>
    <w:p w14:paraId="13292577"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Revenue and Risk Management</w:t>
      </w:r>
    </w:p>
    <w:p w14:paraId="2C8EEEEB" w14:textId="77777777" w:rsidR="006573B0" w:rsidRPr="006573B0" w:rsidRDefault="006573B0" w:rsidP="006573B0">
      <w:pPr>
        <w:spacing w:line="360" w:lineRule="auto"/>
        <w:jc w:val="both"/>
        <w:rPr>
          <w:rFonts w:ascii="Arial" w:hAnsi="Arial" w:cs="Arial"/>
        </w:rPr>
      </w:pPr>
      <w:r w:rsidRPr="006573B0">
        <w:rPr>
          <w:rFonts w:ascii="Arial" w:hAnsi="Arial" w:cs="Arial"/>
        </w:rPr>
        <w:t xml:space="preserve">The diversified revenue structure lowers financial risk by avoiding over-reliance on a single source. According to Wrathall and </w:t>
      </w:r>
      <w:proofErr w:type="spellStart"/>
      <w:r w:rsidRPr="006573B0">
        <w:rPr>
          <w:rFonts w:ascii="Arial" w:hAnsi="Arial" w:cs="Arial"/>
        </w:rPr>
        <w:t>Steriopoulos</w:t>
      </w:r>
      <w:proofErr w:type="spellEnd"/>
      <w:r w:rsidRPr="006573B0">
        <w:rPr>
          <w:rFonts w:ascii="Arial" w:hAnsi="Arial" w:cs="Arial"/>
        </w:rPr>
        <w:t xml:space="preserve"> (2022), this combination of sponsorships, ticket sales, and merchandising guarantees flexibility if one revenue stream performs poorly.</w:t>
      </w:r>
    </w:p>
    <w:p w14:paraId="0270790E" w14:textId="77777777" w:rsidR="006573B0" w:rsidRPr="006573B0" w:rsidRDefault="006573B0" w:rsidP="006573B0">
      <w:pPr>
        <w:spacing w:line="360" w:lineRule="auto"/>
        <w:jc w:val="both"/>
        <w:rPr>
          <w:rFonts w:ascii="Arial" w:hAnsi="Arial" w:cs="Arial"/>
          <w:b/>
          <w:bCs/>
        </w:rPr>
      </w:pPr>
    </w:p>
    <w:p w14:paraId="2FE0ACBC"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Situational and Cultural Considerations</w:t>
      </w:r>
    </w:p>
    <w:p w14:paraId="594F66F0" w14:textId="77777777" w:rsidR="006573B0" w:rsidRPr="006573B0" w:rsidRDefault="006573B0" w:rsidP="006573B0">
      <w:pPr>
        <w:spacing w:line="360" w:lineRule="auto"/>
        <w:jc w:val="both"/>
        <w:rPr>
          <w:rFonts w:ascii="Arial" w:hAnsi="Arial" w:cs="Arial"/>
        </w:rPr>
      </w:pPr>
      <w:r w:rsidRPr="006573B0">
        <w:rPr>
          <w:rFonts w:ascii="Arial" w:hAnsi="Arial" w:cs="Arial"/>
          <w:noProof/>
        </w:rPr>
        <w:drawing>
          <wp:anchor distT="0" distB="0" distL="114300" distR="114300" simplePos="0" relativeHeight="251664384" behindDoc="0" locked="0" layoutInCell="1" allowOverlap="1" wp14:anchorId="60F0FD27" wp14:editId="182CBB9B">
            <wp:simplePos x="0" y="0"/>
            <wp:positionH relativeFrom="column">
              <wp:posOffset>0</wp:posOffset>
            </wp:positionH>
            <wp:positionV relativeFrom="paragraph">
              <wp:posOffset>-2194</wp:posOffset>
            </wp:positionV>
            <wp:extent cx="2654779" cy="1995055"/>
            <wp:effectExtent l="0" t="0" r="0" b="5715"/>
            <wp:wrapSquare wrapText="bothSides"/>
            <wp:docPr id="1593356425" name="Picture 2" descr="3 Easy Steps to Create a SWOT Analysis - B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Easy Steps to Create a SWOT Analysis - BNI"/>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54779" cy="1995055"/>
                    </a:xfrm>
                    <a:prstGeom prst="rect">
                      <a:avLst/>
                    </a:prstGeom>
                    <a:noFill/>
                    <a:ln>
                      <a:noFill/>
                    </a:ln>
                  </pic:spPr>
                </pic:pic>
              </a:graphicData>
            </a:graphic>
          </wp:anchor>
        </w:drawing>
      </w:r>
      <w:r w:rsidRPr="006573B0">
        <w:rPr>
          <w:rFonts w:ascii="Arial" w:hAnsi="Arial" w:cs="Arial"/>
        </w:rPr>
        <w:t>It requires meticulous preparation to handle Santa's Winter Expo's situational and cultural elements, maintaining a balance between practical considerations and an extensive understanding of the event's diverse audience. A SWOT analysis offers a tactical evaluation of the event's opportunities, threats, weaknesses, and strengths.</w:t>
      </w:r>
    </w:p>
    <w:p w14:paraId="562CF055"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Strengths:</w:t>
      </w:r>
      <w:r w:rsidRPr="006573B0">
        <w:rPr>
          <w:rFonts w:ascii="Arial" w:hAnsi="Arial" w:cs="Arial"/>
        </w:rPr>
        <w:t xml:space="preserve"> Strong brand alliances with well-known companies like Coca-Cola and IKEA are one of the event's main advantages; these alliances will contribute to its visibility and market penetration. Furthermore, since NEC Birmingham has been a dependable location for significant events, holding the event there offers a distinct advantage due to its capacity and technological infrastructure (Andersson and Armbrecht, 2017).</w:t>
      </w:r>
    </w:p>
    <w:p w14:paraId="150CE358"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Weaknesses:</w:t>
      </w:r>
      <w:r w:rsidRPr="006573B0">
        <w:rPr>
          <w:rFonts w:ascii="Arial" w:hAnsi="Arial" w:cs="Arial"/>
        </w:rPr>
        <w:t xml:space="preserve"> The risk of severe weather, particularly in the winter, is a potential vulnerability that could affect logistics and attendance. Olya (2019) states that weather can </w:t>
      </w:r>
      <w:r w:rsidRPr="006573B0">
        <w:rPr>
          <w:rFonts w:ascii="Arial" w:hAnsi="Arial" w:cs="Arial"/>
        </w:rPr>
        <w:lastRenderedPageBreak/>
        <w:t>substantially impact event attendance, so meticulous planning for unexpected circumstances is necessary.</w:t>
      </w:r>
    </w:p>
    <w:p w14:paraId="2A7A611D"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Opportunities:</w:t>
      </w:r>
      <w:r w:rsidRPr="006573B0">
        <w:rPr>
          <w:rFonts w:ascii="Arial" w:hAnsi="Arial" w:cs="Arial"/>
        </w:rPr>
        <w:t xml:space="preserve"> An exciting opportunity is presented by the rising demand for immersive winter-themed events. Consumer preferences for engaging experiences are well-suited to winter attractions, especially immersive technologies like virtual reality (Trinh and Lam, 2016).</w:t>
      </w:r>
    </w:p>
    <w:p w14:paraId="33EC6D94" w14:textId="77777777" w:rsidR="006573B0" w:rsidRPr="006573B0" w:rsidRDefault="006573B0" w:rsidP="006573B0">
      <w:pPr>
        <w:spacing w:line="360" w:lineRule="auto"/>
        <w:jc w:val="both"/>
        <w:rPr>
          <w:rFonts w:ascii="Arial" w:hAnsi="Arial" w:cs="Arial"/>
        </w:rPr>
      </w:pPr>
      <w:r w:rsidRPr="006573B0">
        <w:rPr>
          <w:rFonts w:ascii="Arial" w:hAnsi="Arial" w:cs="Arial"/>
        </w:rPr>
        <w:t>•</w:t>
      </w:r>
      <w:r w:rsidRPr="006573B0">
        <w:rPr>
          <w:rFonts w:ascii="Arial" w:hAnsi="Arial" w:cs="Arial"/>
        </w:rPr>
        <w:tab/>
      </w:r>
      <w:r w:rsidRPr="006573B0">
        <w:rPr>
          <w:rFonts w:ascii="Arial" w:hAnsi="Arial" w:cs="Arial"/>
          <w:b/>
          <w:bCs/>
        </w:rPr>
        <w:t>Threats:</w:t>
      </w:r>
      <w:r w:rsidRPr="006573B0">
        <w:rPr>
          <w:rFonts w:ascii="Arial" w:hAnsi="Arial" w:cs="Arial"/>
        </w:rPr>
        <w:t xml:space="preserve"> Other festivals in Birmingham, like the Christmas Market, compete with the event and might attract comparable target audiences. It may be challenging to draw an exclusive audience when competing events have built up fan bases (Salgueiro and </w:t>
      </w:r>
      <w:proofErr w:type="spellStart"/>
      <w:r w:rsidRPr="006573B0">
        <w:rPr>
          <w:rFonts w:ascii="Arial" w:hAnsi="Arial" w:cs="Arial"/>
        </w:rPr>
        <w:t>Tarrazon</w:t>
      </w:r>
      <w:proofErr w:type="spellEnd"/>
      <w:r w:rsidRPr="006573B0">
        <w:rPr>
          <w:rFonts w:ascii="Arial" w:hAnsi="Arial" w:cs="Arial"/>
        </w:rPr>
        <w:t>-Rodon, 2019).</w:t>
      </w:r>
    </w:p>
    <w:p w14:paraId="10348AA7" w14:textId="77777777" w:rsidR="006573B0" w:rsidRPr="006573B0" w:rsidRDefault="006573B0" w:rsidP="006573B0">
      <w:pPr>
        <w:spacing w:line="360" w:lineRule="auto"/>
        <w:jc w:val="both"/>
        <w:rPr>
          <w:rFonts w:ascii="Arial" w:hAnsi="Arial" w:cs="Arial"/>
        </w:rPr>
      </w:pPr>
      <w:r w:rsidRPr="006573B0">
        <w:rPr>
          <w:rFonts w:ascii="Arial" w:hAnsi="Arial" w:cs="Arial"/>
        </w:rPr>
        <w:t xml:space="preserve">Considering cultural sensitivity, planning an inclusive event is essential to serving Birmingham's multicultural community and guests from other countries. To prevent offending any groups, the event should consider the cultural backgrounds of its guests when organising its food selections, entertainment, and even décor. According to </w:t>
      </w:r>
      <w:proofErr w:type="spellStart"/>
      <w:r w:rsidRPr="006573B0">
        <w:rPr>
          <w:rFonts w:ascii="Arial" w:hAnsi="Arial" w:cs="Arial"/>
        </w:rPr>
        <w:t>Tanford</w:t>
      </w:r>
      <w:proofErr w:type="spellEnd"/>
      <w:r w:rsidRPr="006573B0">
        <w:rPr>
          <w:rFonts w:ascii="Arial" w:hAnsi="Arial" w:cs="Arial"/>
        </w:rPr>
        <w:t xml:space="preserve"> and Jung (2017), integrating cultural influences into the programming, like multicultural holiday celebrations, can improve the experience for foreign guests by giving them a sense of home during the holiday season.</w:t>
      </w:r>
    </w:p>
    <w:p w14:paraId="4AB7F1DF" w14:textId="77777777" w:rsidR="006573B0" w:rsidRDefault="006573B0" w:rsidP="006573B0">
      <w:pPr>
        <w:spacing w:line="360" w:lineRule="auto"/>
        <w:jc w:val="both"/>
        <w:rPr>
          <w:rFonts w:ascii="Arial" w:hAnsi="Arial" w:cs="Arial"/>
        </w:rPr>
      </w:pPr>
    </w:p>
    <w:p w14:paraId="75A972E5" w14:textId="77777777" w:rsidR="006573B0" w:rsidRDefault="006573B0" w:rsidP="006573B0">
      <w:pPr>
        <w:spacing w:line="360" w:lineRule="auto"/>
        <w:jc w:val="both"/>
        <w:rPr>
          <w:rFonts w:ascii="Arial" w:hAnsi="Arial" w:cs="Arial"/>
        </w:rPr>
      </w:pPr>
    </w:p>
    <w:p w14:paraId="0833DE23" w14:textId="77777777" w:rsidR="006573B0" w:rsidRDefault="006573B0" w:rsidP="006573B0">
      <w:pPr>
        <w:spacing w:line="360" w:lineRule="auto"/>
        <w:jc w:val="both"/>
        <w:rPr>
          <w:rFonts w:ascii="Arial" w:hAnsi="Arial" w:cs="Arial"/>
        </w:rPr>
      </w:pPr>
    </w:p>
    <w:p w14:paraId="796EFE19" w14:textId="77777777" w:rsidR="006573B0" w:rsidRDefault="006573B0" w:rsidP="006573B0">
      <w:pPr>
        <w:spacing w:line="360" w:lineRule="auto"/>
        <w:jc w:val="both"/>
        <w:rPr>
          <w:rFonts w:ascii="Arial" w:hAnsi="Arial" w:cs="Arial"/>
        </w:rPr>
      </w:pPr>
    </w:p>
    <w:p w14:paraId="384C7207" w14:textId="77777777" w:rsidR="006573B0" w:rsidRDefault="006573B0" w:rsidP="006573B0">
      <w:pPr>
        <w:spacing w:line="360" w:lineRule="auto"/>
        <w:jc w:val="both"/>
        <w:rPr>
          <w:rFonts w:ascii="Arial" w:hAnsi="Arial" w:cs="Arial"/>
        </w:rPr>
      </w:pPr>
    </w:p>
    <w:p w14:paraId="319B2FDA" w14:textId="77777777" w:rsidR="006573B0" w:rsidRDefault="006573B0" w:rsidP="006573B0">
      <w:pPr>
        <w:spacing w:line="360" w:lineRule="auto"/>
        <w:jc w:val="both"/>
        <w:rPr>
          <w:rFonts w:ascii="Arial" w:hAnsi="Arial" w:cs="Arial"/>
        </w:rPr>
      </w:pPr>
    </w:p>
    <w:p w14:paraId="50C3CFBE" w14:textId="77777777" w:rsidR="006573B0" w:rsidRDefault="006573B0" w:rsidP="006573B0">
      <w:pPr>
        <w:spacing w:line="360" w:lineRule="auto"/>
        <w:jc w:val="both"/>
        <w:rPr>
          <w:rFonts w:ascii="Arial" w:hAnsi="Arial" w:cs="Arial"/>
        </w:rPr>
      </w:pPr>
    </w:p>
    <w:p w14:paraId="098237B5" w14:textId="77777777" w:rsidR="006573B0" w:rsidRDefault="006573B0" w:rsidP="006573B0">
      <w:pPr>
        <w:spacing w:line="360" w:lineRule="auto"/>
        <w:jc w:val="both"/>
        <w:rPr>
          <w:rFonts w:ascii="Arial" w:hAnsi="Arial" w:cs="Arial"/>
        </w:rPr>
      </w:pPr>
    </w:p>
    <w:p w14:paraId="031C8899" w14:textId="77777777" w:rsidR="006573B0" w:rsidRDefault="006573B0" w:rsidP="006573B0">
      <w:pPr>
        <w:spacing w:line="360" w:lineRule="auto"/>
        <w:jc w:val="both"/>
        <w:rPr>
          <w:rFonts w:ascii="Arial" w:hAnsi="Arial" w:cs="Arial"/>
        </w:rPr>
      </w:pPr>
    </w:p>
    <w:p w14:paraId="3911A901" w14:textId="77777777" w:rsidR="006573B0" w:rsidRDefault="006573B0" w:rsidP="006573B0">
      <w:pPr>
        <w:spacing w:line="360" w:lineRule="auto"/>
        <w:jc w:val="both"/>
        <w:rPr>
          <w:rFonts w:ascii="Arial" w:hAnsi="Arial" w:cs="Arial"/>
        </w:rPr>
      </w:pPr>
    </w:p>
    <w:p w14:paraId="4E02BB75" w14:textId="77777777" w:rsidR="006573B0" w:rsidRDefault="006573B0" w:rsidP="006573B0">
      <w:pPr>
        <w:spacing w:line="360" w:lineRule="auto"/>
        <w:jc w:val="both"/>
        <w:rPr>
          <w:rFonts w:ascii="Arial" w:hAnsi="Arial" w:cs="Arial"/>
        </w:rPr>
      </w:pPr>
    </w:p>
    <w:p w14:paraId="409E71BF" w14:textId="77777777" w:rsidR="006573B0" w:rsidRDefault="006573B0" w:rsidP="006573B0">
      <w:pPr>
        <w:spacing w:line="360" w:lineRule="auto"/>
        <w:jc w:val="both"/>
        <w:rPr>
          <w:rFonts w:ascii="Arial" w:hAnsi="Arial" w:cs="Arial"/>
        </w:rPr>
      </w:pPr>
    </w:p>
    <w:p w14:paraId="23720D74" w14:textId="77777777" w:rsidR="006573B0" w:rsidRDefault="006573B0" w:rsidP="006573B0">
      <w:pPr>
        <w:spacing w:line="360" w:lineRule="auto"/>
        <w:jc w:val="both"/>
        <w:rPr>
          <w:rFonts w:ascii="Arial" w:hAnsi="Arial" w:cs="Arial"/>
        </w:rPr>
      </w:pPr>
    </w:p>
    <w:p w14:paraId="2C239DB8" w14:textId="77777777" w:rsidR="006573B0" w:rsidRPr="006573B0" w:rsidRDefault="006573B0" w:rsidP="006573B0">
      <w:pPr>
        <w:spacing w:line="360" w:lineRule="auto"/>
        <w:jc w:val="both"/>
        <w:rPr>
          <w:rFonts w:ascii="Arial" w:hAnsi="Arial" w:cs="Arial"/>
        </w:rPr>
      </w:pPr>
    </w:p>
    <w:p w14:paraId="0DC6E39D"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t>Conclusion</w:t>
      </w:r>
    </w:p>
    <w:p w14:paraId="2216AB38" w14:textId="77777777" w:rsidR="006573B0" w:rsidRPr="006573B0" w:rsidRDefault="006573B0" w:rsidP="006573B0">
      <w:pPr>
        <w:spacing w:line="360" w:lineRule="auto"/>
        <w:jc w:val="both"/>
        <w:rPr>
          <w:rFonts w:ascii="Arial" w:hAnsi="Arial" w:cs="Arial"/>
        </w:rPr>
      </w:pPr>
      <w:r w:rsidRPr="006573B0">
        <w:rPr>
          <w:rFonts w:ascii="Arial" w:hAnsi="Arial" w:cs="Arial"/>
        </w:rPr>
        <w:t>In summary, Santa's Winter Expo is a carefully organised event that exemplifies the precise application of event management concepts, coordinating every stage of the Event Cycle with its strategic objectives. The Expo provides a unique platform that meets business goals and attendee engagement thanks to its unique blend of business networking and immersive cultural experiences. Every element of the event has been carefully planned, from implementing sustainability initiatives and logistics to creating an immersive environment that creates enduring impressions. Furthermore, the event is inclusive and flexible, appealing to many people by addressing potential risks and cultural sensitivities. With these elements in place, Santa's Winter Expo is set to significantly impact Birmingham's event calendar, providing attendees with value and enhancing the city's standing as a top winter event destination.</w:t>
      </w:r>
    </w:p>
    <w:p w14:paraId="5AB34B20" w14:textId="77777777" w:rsidR="006573B0" w:rsidRPr="006573B0" w:rsidRDefault="006573B0" w:rsidP="006573B0">
      <w:pPr>
        <w:spacing w:line="360" w:lineRule="auto"/>
        <w:jc w:val="both"/>
        <w:rPr>
          <w:rFonts w:ascii="Arial" w:hAnsi="Arial" w:cs="Arial"/>
        </w:rPr>
      </w:pPr>
    </w:p>
    <w:p w14:paraId="2B55E4EA" w14:textId="77777777" w:rsidR="006573B0" w:rsidRPr="006573B0" w:rsidRDefault="006573B0" w:rsidP="006573B0">
      <w:pPr>
        <w:spacing w:line="360" w:lineRule="auto"/>
        <w:jc w:val="both"/>
        <w:rPr>
          <w:rFonts w:ascii="Arial" w:hAnsi="Arial" w:cs="Arial"/>
          <w:b/>
          <w:bCs/>
        </w:rPr>
      </w:pPr>
    </w:p>
    <w:p w14:paraId="193BBA21" w14:textId="77777777" w:rsidR="006573B0" w:rsidRDefault="006573B0" w:rsidP="006573B0">
      <w:pPr>
        <w:spacing w:line="360" w:lineRule="auto"/>
        <w:jc w:val="both"/>
        <w:rPr>
          <w:rFonts w:ascii="Arial" w:hAnsi="Arial" w:cs="Arial"/>
          <w:b/>
          <w:bCs/>
        </w:rPr>
      </w:pPr>
    </w:p>
    <w:p w14:paraId="205E156A" w14:textId="77777777" w:rsidR="006573B0" w:rsidRDefault="006573B0" w:rsidP="006573B0">
      <w:pPr>
        <w:spacing w:line="360" w:lineRule="auto"/>
        <w:jc w:val="both"/>
        <w:rPr>
          <w:rFonts w:ascii="Arial" w:hAnsi="Arial" w:cs="Arial"/>
          <w:b/>
          <w:bCs/>
        </w:rPr>
      </w:pPr>
    </w:p>
    <w:p w14:paraId="41DABC20" w14:textId="77777777" w:rsidR="006573B0" w:rsidRDefault="006573B0" w:rsidP="006573B0">
      <w:pPr>
        <w:spacing w:line="360" w:lineRule="auto"/>
        <w:jc w:val="both"/>
        <w:rPr>
          <w:rFonts w:ascii="Arial" w:hAnsi="Arial" w:cs="Arial"/>
          <w:b/>
          <w:bCs/>
        </w:rPr>
      </w:pPr>
    </w:p>
    <w:p w14:paraId="05DCA4E8" w14:textId="77777777" w:rsidR="006573B0" w:rsidRDefault="006573B0" w:rsidP="006573B0">
      <w:pPr>
        <w:spacing w:line="360" w:lineRule="auto"/>
        <w:jc w:val="both"/>
        <w:rPr>
          <w:rFonts w:ascii="Arial" w:hAnsi="Arial" w:cs="Arial"/>
          <w:b/>
          <w:bCs/>
        </w:rPr>
      </w:pPr>
    </w:p>
    <w:p w14:paraId="5FB1022F" w14:textId="77777777" w:rsidR="006573B0" w:rsidRDefault="006573B0" w:rsidP="006573B0">
      <w:pPr>
        <w:spacing w:line="360" w:lineRule="auto"/>
        <w:jc w:val="both"/>
        <w:rPr>
          <w:rFonts w:ascii="Arial" w:hAnsi="Arial" w:cs="Arial"/>
          <w:b/>
          <w:bCs/>
        </w:rPr>
      </w:pPr>
    </w:p>
    <w:p w14:paraId="38289578" w14:textId="77777777" w:rsidR="006573B0" w:rsidRDefault="006573B0" w:rsidP="006573B0">
      <w:pPr>
        <w:spacing w:line="360" w:lineRule="auto"/>
        <w:jc w:val="both"/>
        <w:rPr>
          <w:rFonts w:ascii="Arial" w:hAnsi="Arial" w:cs="Arial"/>
          <w:b/>
          <w:bCs/>
        </w:rPr>
      </w:pPr>
    </w:p>
    <w:p w14:paraId="3EA23677" w14:textId="77777777" w:rsidR="006573B0" w:rsidRDefault="006573B0" w:rsidP="006573B0">
      <w:pPr>
        <w:spacing w:line="360" w:lineRule="auto"/>
        <w:jc w:val="both"/>
        <w:rPr>
          <w:rFonts w:ascii="Arial" w:hAnsi="Arial" w:cs="Arial"/>
          <w:b/>
          <w:bCs/>
        </w:rPr>
      </w:pPr>
    </w:p>
    <w:p w14:paraId="3E076A97" w14:textId="77777777" w:rsidR="006573B0" w:rsidRDefault="006573B0" w:rsidP="006573B0">
      <w:pPr>
        <w:spacing w:line="360" w:lineRule="auto"/>
        <w:jc w:val="both"/>
        <w:rPr>
          <w:rFonts w:ascii="Arial" w:hAnsi="Arial" w:cs="Arial"/>
          <w:b/>
          <w:bCs/>
        </w:rPr>
      </w:pPr>
    </w:p>
    <w:p w14:paraId="7B7DA9E3" w14:textId="77777777" w:rsidR="006573B0" w:rsidRDefault="006573B0" w:rsidP="006573B0">
      <w:pPr>
        <w:spacing w:line="360" w:lineRule="auto"/>
        <w:jc w:val="both"/>
        <w:rPr>
          <w:rFonts w:ascii="Arial" w:hAnsi="Arial" w:cs="Arial"/>
          <w:b/>
          <w:bCs/>
        </w:rPr>
      </w:pPr>
    </w:p>
    <w:p w14:paraId="4966C9AD" w14:textId="77777777" w:rsidR="006573B0" w:rsidRDefault="006573B0" w:rsidP="006573B0">
      <w:pPr>
        <w:spacing w:line="360" w:lineRule="auto"/>
        <w:jc w:val="both"/>
        <w:rPr>
          <w:rFonts w:ascii="Arial" w:hAnsi="Arial" w:cs="Arial"/>
          <w:b/>
          <w:bCs/>
        </w:rPr>
      </w:pPr>
    </w:p>
    <w:p w14:paraId="35F34284" w14:textId="77777777" w:rsidR="006573B0" w:rsidRDefault="006573B0" w:rsidP="006573B0">
      <w:pPr>
        <w:spacing w:line="360" w:lineRule="auto"/>
        <w:jc w:val="both"/>
        <w:rPr>
          <w:rFonts w:ascii="Arial" w:hAnsi="Arial" w:cs="Arial"/>
          <w:b/>
          <w:bCs/>
        </w:rPr>
      </w:pPr>
    </w:p>
    <w:p w14:paraId="7B7FDC23" w14:textId="77777777" w:rsidR="006573B0" w:rsidRDefault="006573B0" w:rsidP="006573B0">
      <w:pPr>
        <w:spacing w:line="360" w:lineRule="auto"/>
        <w:jc w:val="both"/>
        <w:rPr>
          <w:rFonts w:ascii="Arial" w:hAnsi="Arial" w:cs="Arial"/>
          <w:b/>
          <w:bCs/>
        </w:rPr>
      </w:pPr>
    </w:p>
    <w:p w14:paraId="24AF43BF" w14:textId="77777777" w:rsidR="006573B0" w:rsidRDefault="006573B0" w:rsidP="006573B0">
      <w:pPr>
        <w:spacing w:line="360" w:lineRule="auto"/>
        <w:jc w:val="both"/>
        <w:rPr>
          <w:rFonts w:ascii="Arial" w:hAnsi="Arial" w:cs="Arial"/>
          <w:b/>
          <w:bCs/>
        </w:rPr>
      </w:pPr>
    </w:p>
    <w:p w14:paraId="4D5AB355" w14:textId="77777777" w:rsidR="006573B0" w:rsidRPr="006573B0" w:rsidRDefault="006573B0" w:rsidP="006573B0">
      <w:pPr>
        <w:spacing w:line="360" w:lineRule="auto"/>
        <w:jc w:val="both"/>
        <w:rPr>
          <w:rFonts w:ascii="Arial" w:hAnsi="Arial" w:cs="Arial"/>
          <w:b/>
          <w:bCs/>
        </w:rPr>
      </w:pPr>
    </w:p>
    <w:p w14:paraId="236044A7" w14:textId="77777777" w:rsidR="006573B0" w:rsidRPr="006573B0" w:rsidRDefault="006573B0" w:rsidP="006573B0">
      <w:pPr>
        <w:spacing w:line="360" w:lineRule="auto"/>
        <w:jc w:val="both"/>
        <w:rPr>
          <w:rFonts w:ascii="Arial" w:hAnsi="Arial" w:cs="Arial"/>
          <w:b/>
          <w:bCs/>
        </w:rPr>
      </w:pPr>
    </w:p>
    <w:p w14:paraId="3F368B24" w14:textId="77777777" w:rsidR="006573B0" w:rsidRPr="006573B0" w:rsidRDefault="006573B0" w:rsidP="006573B0">
      <w:pPr>
        <w:spacing w:line="360" w:lineRule="auto"/>
        <w:jc w:val="both"/>
        <w:rPr>
          <w:rFonts w:ascii="Arial" w:hAnsi="Arial" w:cs="Arial"/>
        </w:rPr>
      </w:pPr>
      <w:r w:rsidRPr="006573B0">
        <w:rPr>
          <w:rFonts w:ascii="Arial" w:hAnsi="Arial" w:cs="Arial"/>
          <w:b/>
          <w:bCs/>
        </w:rPr>
        <w:t>Recommendation</w:t>
      </w:r>
    </w:p>
    <w:p w14:paraId="2A84C111" w14:textId="77777777" w:rsidR="006573B0" w:rsidRPr="006573B0" w:rsidRDefault="006573B0" w:rsidP="006573B0">
      <w:pPr>
        <w:spacing w:line="360" w:lineRule="auto"/>
        <w:jc w:val="both"/>
        <w:rPr>
          <w:rFonts w:ascii="Arial" w:hAnsi="Arial" w:cs="Arial"/>
        </w:rPr>
      </w:pPr>
      <w:r w:rsidRPr="006573B0">
        <w:rPr>
          <w:rFonts w:ascii="Arial" w:hAnsi="Arial" w:cs="Arial"/>
        </w:rPr>
        <w:t>To improve Santa’s Winter Expo by incorporating local Birmingham artists and winter traditions into the event. This increases regional involvement and fosters local talent while strengthening the Expo's cultural allure.</w:t>
      </w:r>
    </w:p>
    <w:p w14:paraId="41EF6C9D" w14:textId="77777777" w:rsidR="006573B0" w:rsidRPr="006573B0" w:rsidRDefault="006573B0" w:rsidP="006573B0">
      <w:pPr>
        <w:spacing w:line="360" w:lineRule="auto"/>
        <w:jc w:val="both"/>
        <w:rPr>
          <w:rFonts w:ascii="Arial" w:hAnsi="Arial" w:cs="Arial"/>
        </w:rPr>
      </w:pPr>
    </w:p>
    <w:p w14:paraId="192688CC" w14:textId="77777777" w:rsidR="006573B0" w:rsidRPr="006573B0" w:rsidRDefault="006573B0" w:rsidP="006573B0">
      <w:pPr>
        <w:spacing w:line="360" w:lineRule="auto"/>
        <w:jc w:val="both"/>
        <w:rPr>
          <w:rFonts w:ascii="Arial" w:hAnsi="Arial" w:cs="Arial"/>
        </w:rPr>
      </w:pPr>
    </w:p>
    <w:p w14:paraId="765AB1B4" w14:textId="77777777" w:rsidR="006573B0" w:rsidRPr="006573B0" w:rsidRDefault="006573B0" w:rsidP="006573B0">
      <w:pPr>
        <w:spacing w:line="360" w:lineRule="auto"/>
        <w:jc w:val="both"/>
        <w:rPr>
          <w:rFonts w:ascii="Arial" w:hAnsi="Arial" w:cs="Arial"/>
        </w:rPr>
      </w:pPr>
    </w:p>
    <w:p w14:paraId="10603E0E" w14:textId="77777777" w:rsidR="006573B0" w:rsidRPr="006573B0" w:rsidRDefault="006573B0" w:rsidP="006573B0">
      <w:pPr>
        <w:spacing w:line="360" w:lineRule="auto"/>
        <w:jc w:val="both"/>
        <w:rPr>
          <w:rFonts w:ascii="Arial" w:hAnsi="Arial" w:cs="Arial"/>
        </w:rPr>
      </w:pPr>
    </w:p>
    <w:p w14:paraId="573955B5" w14:textId="77777777" w:rsidR="006573B0" w:rsidRPr="006573B0" w:rsidRDefault="006573B0" w:rsidP="006573B0">
      <w:pPr>
        <w:spacing w:line="360" w:lineRule="auto"/>
        <w:jc w:val="both"/>
        <w:rPr>
          <w:rFonts w:ascii="Arial" w:hAnsi="Arial" w:cs="Arial"/>
        </w:rPr>
      </w:pPr>
    </w:p>
    <w:p w14:paraId="4D99EA8D" w14:textId="77777777" w:rsidR="006573B0" w:rsidRPr="006573B0" w:rsidRDefault="006573B0" w:rsidP="006573B0">
      <w:pPr>
        <w:spacing w:line="360" w:lineRule="auto"/>
        <w:jc w:val="both"/>
        <w:rPr>
          <w:rFonts w:ascii="Arial" w:hAnsi="Arial" w:cs="Arial"/>
        </w:rPr>
      </w:pPr>
    </w:p>
    <w:p w14:paraId="24C80F59" w14:textId="77777777" w:rsidR="006573B0" w:rsidRPr="006573B0" w:rsidRDefault="006573B0" w:rsidP="006573B0">
      <w:pPr>
        <w:spacing w:line="360" w:lineRule="auto"/>
        <w:jc w:val="both"/>
        <w:rPr>
          <w:rFonts w:ascii="Arial" w:hAnsi="Arial" w:cs="Arial"/>
        </w:rPr>
      </w:pPr>
    </w:p>
    <w:p w14:paraId="2A0180EE" w14:textId="77777777" w:rsidR="006573B0" w:rsidRPr="006573B0" w:rsidRDefault="006573B0" w:rsidP="006573B0">
      <w:pPr>
        <w:spacing w:line="360" w:lineRule="auto"/>
        <w:jc w:val="both"/>
        <w:rPr>
          <w:rFonts w:ascii="Arial" w:hAnsi="Arial" w:cs="Arial"/>
        </w:rPr>
      </w:pPr>
    </w:p>
    <w:p w14:paraId="16BBFBC3" w14:textId="77777777" w:rsidR="006573B0" w:rsidRPr="006573B0" w:rsidRDefault="006573B0" w:rsidP="006573B0">
      <w:pPr>
        <w:spacing w:line="360" w:lineRule="auto"/>
        <w:jc w:val="both"/>
        <w:rPr>
          <w:rFonts w:ascii="Arial" w:hAnsi="Arial" w:cs="Arial"/>
        </w:rPr>
      </w:pPr>
    </w:p>
    <w:p w14:paraId="44B61E63" w14:textId="77777777" w:rsidR="006573B0" w:rsidRPr="006573B0" w:rsidRDefault="006573B0" w:rsidP="006573B0">
      <w:pPr>
        <w:spacing w:line="360" w:lineRule="auto"/>
        <w:jc w:val="both"/>
        <w:rPr>
          <w:rFonts w:ascii="Arial" w:hAnsi="Arial" w:cs="Arial"/>
        </w:rPr>
      </w:pPr>
    </w:p>
    <w:p w14:paraId="19B89ECC" w14:textId="77777777" w:rsidR="006573B0" w:rsidRPr="006573B0" w:rsidRDefault="006573B0" w:rsidP="006573B0">
      <w:pPr>
        <w:spacing w:line="360" w:lineRule="auto"/>
        <w:jc w:val="both"/>
        <w:rPr>
          <w:rFonts w:ascii="Arial" w:hAnsi="Arial" w:cs="Arial"/>
        </w:rPr>
      </w:pPr>
    </w:p>
    <w:p w14:paraId="5AB0C1FD" w14:textId="77777777" w:rsidR="006573B0" w:rsidRPr="006573B0" w:rsidRDefault="006573B0" w:rsidP="006573B0">
      <w:pPr>
        <w:spacing w:line="360" w:lineRule="auto"/>
        <w:jc w:val="both"/>
        <w:rPr>
          <w:rFonts w:ascii="Arial" w:hAnsi="Arial" w:cs="Arial"/>
        </w:rPr>
      </w:pPr>
    </w:p>
    <w:p w14:paraId="4A0EE47F" w14:textId="77777777" w:rsidR="006573B0" w:rsidRPr="006573B0" w:rsidRDefault="006573B0" w:rsidP="006573B0">
      <w:pPr>
        <w:spacing w:line="360" w:lineRule="auto"/>
        <w:jc w:val="both"/>
        <w:rPr>
          <w:rFonts w:ascii="Arial" w:hAnsi="Arial" w:cs="Arial"/>
        </w:rPr>
      </w:pPr>
    </w:p>
    <w:p w14:paraId="3860B0F5" w14:textId="77777777" w:rsidR="006573B0" w:rsidRPr="006573B0" w:rsidRDefault="006573B0" w:rsidP="006573B0">
      <w:pPr>
        <w:spacing w:line="360" w:lineRule="auto"/>
        <w:jc w:val="both"/>
        <w:rPr>
          <w:rFonts w:ascii="Arial" w:hAnsi="Arial" w:cs="Arial"/>
        </w:rPr>
      </w:pPr>
    </w:p>
    <w:p w14:paraId="70717228" w14:textId="77777777" w:rsidR="006573B0" w:rsidRPr="006573B0" w:rsidRDefault="006573B0" w:rsidP="006573B0">
      <w:pPr>
        <w:spacing w:line="360" w:lineRule="auto"/>
        <w:jc w:val="both"/>
        <w:rPr>
          <w:rFonts w:ascii="Arial" w:hAnsi="Arial" w:cs="Arial"/>
        </w:rPr>
      </w:pPr>
    </w:p>
    <w:p w14:paraId="4B35497D" w14:textId="77777777" w:rsidR="006573B0" w:rsidRPr="006573B0" w:rsidRDefault="006573B0" w:rsidP="006573B0">
      <w:pPr>
        <w:spacing w:line="360" w:lineRule="auto"/>
        <w:jc w:val="both"/>
        <w:rPr>
          <w:rFonts w:ascii="Arial" w:hAnsi="Arial" w:cs="Arial"/>
        </w:rPr>
      </w:pPr>
    </w:p>
    <w:p w14:paraId="56511C0C" w14:textId="77777777" w:rsidR="006573B0" w:rsidRPr="006573B0" w:rsidRDefault="006573B0" w:rsidP="006573B0">
      <w:pPr>
        <w:spacing w:line="360" w:lineRule="auto"/>
        <w:jc w:val="both"/>
        <w:rPr>
          <w:rFonts w:ascii="Arial" w:hAnsi="Arial" w:cs="Arial"/>
          <w:sz w:val="24"/>
          <w:szCs w:val="24"/>
        </w:rPr>
      </w:pPr>
    </w:p>
    <w:p w14:paraId="00ADD7D2" w14:textId="77777777" w:rsidR="006573B0" w:rsidRPr="006573B0" w:rsidRDefault="006573B0" w:rsidP="006573B0">
      <w:pPr>
        <w:spacing w:line="360" w:lineRule="auto"/>
        <w:jc w:val="both"/>
        <w:rPr>
          <w:rFonts w:ascii="Arial" w:hAnsi="Arial" w:cs="Arial"/>
          <w:sz w:val="24"/>
          <w:szCs w:val="24"/>
        </w:rPr>
      </w:pPr>
    </w:p>
    <w:p w14:paraId="283D5680" w14:textId="77777777" w:rsidR="006573B0" w:rsidRDefault="006573B0" w:rsidP="006573B0">
      <w:pPr>
        <w:spacing w:line="360" w:lineRule="auto"/>
        <w:jc w:val="both"/>
        <w:rPr>
          <w:rFonts w:ascii="Arial" w:hAnsi="Arial" w:cs="Arial"/>
          <w:b/>
          <w:bCs/>
          <w:sz w:val="24"/>
          <w:szCs w:val="24"/>
        </w:rPr>
      </w:pPr>
    </w:p>
    <w:p w14:paraId="5ECFEC3F" w14:textId="77777777" w:rsidR="006573B0" w:rsidRDefault="006573B0" w:rsidP="006573B0">
      <w:pPr>
        <w:spacing w:line="360" w:lineRule="auto"/>
        <w:jc w:val="both"/>
        <w:rPr>
          <w:rFonts w:ascii="Arial" w:hAnsi="Arial" w:cs="Arial"/>
          <w:b/>
          <w:bCs/>
          <w:sz w:val="24"/>
          <w:szCs w:val="24"/>
        </w:rPr>
      </w:pPr>
    </w:p>
    <w:p w14:paraId="4C03EDD7" w14:textId="77777777" w:rsidR="006573B0" w:rsidRPr="006573B0" w:rsidRDefault="006573B0" w:rsidP="006573B0">
      <w:pPr>
        <w:spacing w:line="360" w:lineRule="auto"/>
        <w:jc w:val="both"/>
        <w:rPr>
          <w:rFonts w:ascii="Arial" w:hAnsi="Arial" w:cs="Arial"/>
          <w:b/>
          <w:bCs/>
          <w:sz w:val="24"/>
          <w:szCs w:val="24"/>
        </w:rPr>
      </w:pPr>
    </w:p>
    <w:p w14:paraId="542C43B8" w14:textId="77777777" w:rsidR="006573B0" w:rsidRPr="006573B0" w:rsidRDefault="006573B0" w:rsidP="006573B0">
      <w:pPr>
        <w:spacing w:line="360" w:lineRule="auto"/>
        <w:jc w:val="both"/>
        <w:rPr>
          <w:rFonts w:ascii="Arial" w:hAnsi="Arial" w:cs="Arial"/>
          <w:b/>
          <w:bCs/>
        </w:rPr>
      </w:pPr>
      <w:r w:rsidRPr="006573B0">
        <w:rPr>
          <w:rFonts w:ascii="Arial" w:hAnsi="Arial" w:cs="Arial"/>
          <w:b/>
          <w:bCs/>
        </w:rPr>
        <w:lastRenderedPageBreak/>
        <w:t>References</w:t>
      </w:r>
    </w:p>
    <w:p w14:paraId="412EB94E" w14:textId="77777777" w:rsidR="006573B0" w:rsidRPr="006573B0" w:rsidRDefault="006573B0" w:rsidP="006573B0">
      <w:pPr>
        <w:spacing w:line="360" w:lineRule="auto"/>
        <w:jc w:val="both"/>
        <w:rPr>
          <w:rFonts w:ascii="Arial" w:hAnsi="Arial" w:cs="Arial"/>
          <w:sz w:val="24"/>
          <w:szCs w:val="24"/>
          <w:lang w:val="de-DE"/>
        </w:rPr>
      </w:pPr>
      <w:r w:rsidRPr="006573B0">
        <w:rPr>
          <w:rFonts w:ascii="Arial" w:hAnsi="Arial" w:cs="Arial"/>
          <w:sz w:val="24"/>
          <w:szCs w:val="24"/>
        </w:rPr>
        <w:t>1.</w:t>
      </w:r>
      <w:r w:rsidRPr="006573B0">
        <w:rPr>
          <w:rFonts w:ascii="Arial" w:hAnsi="Arial" w:cs="Arial"/>
          <w:sz w:val="24"/>
          <w:szCs w:val="24"/>
        </w:rPr>
        <w:tab/>
        <w:t xml:space="preserve">Ahmed, A., 2021. Sustainable Financial Planning for Event Management. </w:t>
      </w:r>
      <w:hyperlink r:id="rId19" w:history="1">
        <w:r w:rsidRPr="006573B0">
          <w:rPr>
            <w:rFonts w:ascii="Arial" w:hAnsi="Arial" w:cs="Arial"/>
            <w:color w:val="467886" w:themeColor="hyperlink"/>
            <w:sz w:val="24"/>
            <w:szCs w:val="24"/>
            <w:u w:val="single"/>
            <w:lang w:val="de-DE"/>
          </w:rPr>
          <w:t>https://doi.org/10.23912/9781911635734-4791</w:t>
        </w:r>
      </w:hyperlink>
      <w:r w:rsidRPr="006573B0">
        <w:rPr>
          <w:rFonts w:ascii="Arial" w:hAnsi="Arial" w:cs="Arial"/>
          <w:sz w:val="24"/>
          <w:szCs w:val="24"/>
          <w:lang w:val="de-DE"/>
        </w:rPr>
        <w:t xml:space="preserve">.  </w:t>
      </w:r>
    </w:p>
    <w:p w14:paraId="3887C432"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lang w:val="de-DE"/>
        </w:rPr>
        <w:t>2.</w:t>
      </w:r>
      <w:r w:rsidRPr="006573B0">
        <w:rPr>
          <w:rFonts w:ascii="Arial" w:hAnsi="Arial" w:cs="Arial"/>
          <w:sz w:val="24"/>
          <w:szCs w:val="24"/>
          <w:lang w:val="de-DE"/>
        </w:rPr>
        <w:tab/>
        <w:t xml:space="preserve">Andersson, T., Armbrecht, J., and Lundberg, E., 2017. </w:t>
      </w:r>
      <w:r w:rsidRPr="006573B0">
        <w:rPr>
          <w:rFonts w:ascii="Arial" w:hAnsi="Arial" w:cs="Arial"/>
          <w:sz w:val="24"/>
          <w:szCs w:val="24"/>
        </w:rPr>
        <w:t xml:space="preserve">Linking event quality to economic impact. Journal of Vacation Marketing, 23, pp. 114 - 132. </w:t>
      </w:r>
      <w:hyperlink r:id="rId20" w:history="1">
        <w:r w:rsidRPr="006573B0">
          <w:rPr>
            <w:rFonts w:ascii="Arial" w:hAnsi="Arial" w:cs="Arial"/>
            <w:color w:val="467886" w:themeColor="hyperlink"/>
            <w:sz w:val="24"/>
            <w:szCs w:val="24"/>
            <w:u w:val="single"/>
          </w:rPr>
          <w:t>https://doi.org/10.1177/1356766715615913</w:t>
        </w:r>
      </w:hyperlink>
      <w:r w:rsidRPr="006573B0">
        <w:rPr>
          <w:rFonts w:ascii="Arial" w:hAnsi="Arial" w:cs="Arial"/>
          <w:sz w:val="24"/>
          <w:szCs w:val="24"/>
        </w:rPr>
        <w:t xml:space="preserve">.  </w:t>
      </w:r>
    </w:p>
    <w:p w14:paraId="4B7E8A5B"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3.</w:t>
      </w:r>
      <w:r w:rsidRPr="006573B0">
        <w:rPr>
          <w:rFonts w:ascii="Arial" w:hAnsi="Arial" w:cs="Arial"/>
          <w:sz w:val="24"/>
          <w:szCs w:val="24"/>
        </w:rPr>
        <w:tab/>
        <w:t xml:space="preserve">Baldin, A., 2017. A DEA approach for selecting a bundle of tickets for performing arts events. Journal of Retailing and Consumer Services, 39, pp. 190-200. </w:t>
      </w:r>
      <w:hyperlink r:id="rId21" w:history="1">
        <w:r w:rsidRPr="006573B0">
          <w:rPr>
            <w:rFonts w:ascii="Arial" w:hAnsi="Arial" w:cs="Arial"/>
            <w:color w:val="467886" w:themeColor="hyperlink"/>
            <w:sz w:val="24"/>
            <w:szCs w:val="24"/>
            <w:u w:val="single"/>
          </w:rPr>
          <w:t>https://doi.org/10.1016/J.JRETCONSER.2017.08.014</w:t>
        </w:r>
      </w:hyperlink>
      <w:r w:rsidRPr="006573B0">
        <w:rPr>
          <w:rFonts w:ascii="Arial" w:hAnsi="Arial" w:cs="Arial"/>
          <w:sz w:val="24"/>
          <w:szCs w:val="24"/>
        </w:rPr>
        <w:t xml:space="preserve">.  </w:t>
      </w:r>
    </w:p>
    <w:p w14:paraId="508E96E1"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4.</w:t>
      </w:r>
      <w:r w:rsidRPr="006573B0">
        <w:rPr>
          <w:rFonts w:ascii="Arial" w:hAnsi="Arial" w:cs="Arial"/>
          <w:sz w:val="24"/>
          <w:szCs w:val="24"/>
        </w:rPr>
        <w:tab/>
        <w:t xml:space="preserve">Bianchi, G., Testa, F., </w:t>
      </w:r>
      <w:proofErr w:type="spellStart"/>
      <w:r w:rsidRPr="006573B0">
        <w:rPr>
          <w:rFonts w:ascii="Arial" w:hAnsi="Arial" w:cs="Arial"/>
          <w:sz w:val="24"/>
          <w:szCs w:val="24"/>
        </w:rPr>
        <w:t>Boiral</w:t>
      </w:r>
      <w:proofErr w:type="spellEnd"/>
      <w:r w:rsidRPr="006573B0">
        <w:rPr>
          <w:rFonts w:ascii="Arial" w:hAnsi="Arial" w:cs="Arial"/>
          <w:sz w:val="24"/>
          <w:szCs w:val="24"/>
        </w:rPr>
        <w:t xml:space="preserve">, O., and </w:t>
      </w:r>
      <w:proofErr w:type="spellStart"/>
      <w:r w:rsidRPr="006573B0">
        <w:rPr>
          <w:rFonts w:ascii="Arial" w:hAnsi="Arial" w:cs="Arial"/>
          <w:sz w:val="24"/>
          <w:szCs w:val="24"/>
        </w:rPr>
        <w:t>Iraldo</w:t>
      </w:r>
      <w:proofErr w:type="spellEnd"/>
      <w:r w:rsidRPr="006573B0">
        <w:rPr>
          <w:rFonts w:ascii="Arial" w:hAnsi="Arial" w:cs="Arial"/>
          <w:sz w:val="24"/>
          <w:szCs w:val="24"/>
        </w:rPr>
        <w:t xml:space="preserve">, F., 2021. Organisational Learning for Environmental Sustainability: Internalizing Lifecycle Management. Organization &amp; Environment, 35, pp. 103 - 129. </w:t>
      </w:r>
      <w:hyperlink r:id="rId22" w:history="1">
        <w:r w:rsidRPr="006573B0">
          <w:rPr>
            <w:rFonts w:ascii="Arial" w:hAnsi="Arial" w:cs="Arial"/>
            <w:color w:val="467886" w:themeColor="hyperlink"/>
            <w:sz w:val="24"/>
            <w:szCs w:val="24"/>
            <w:u w:val="single"/>
          </w:rPr>
          <w:t>https://doi.org/10.1177/1086026621998744</w:t>
        </w:r>
      </w:hyperlink>
      <w:r w:rsidRPr="006573B0">
        <w:rPr>
          <w:rFonts w:ascii="Arial" w:hAnsi="Arial" w:cs="Arial"/>
          <w:sz w:val="24"/>
          <w:szCs w:val="24"/>
        </w:rPr>
        <w:t xml:space="preserve">.  </w:t>
      </w:r>
    </w:p>
    <w:p w14:paraId="093F1D11" w14:textId="5AE7E03D"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5.</w:t>
      </w:r>
      <w:r w:rsidRPr="006573B0">
        <w:rPr>
          <w:rFonts w:ascii="Arial" w:hAnsi="Arial" w:cs="Arial"/>
          <w:sz w:val="24"/>
          <w:szCs w:val="24"/>
        </w:rPr>
        <w:tab/>
      </w:r>
      <w:proofErr w:type="spellStart"/>
      <w:r w:rsidRPr="006573B0">
        <w:rPr>
          <w:rFonts w:ascii="Arial" w:hAnsi="Arial" w:cs="Arial"/>
          <w:sz w:val="24"/>
          <w:szCs w:val="24"/>
        </w:rPr>
        <w:t>Bikakis</w:t>
      </w:r>
      <w:proofErr w:type="spellEnd"/>
      <w:r w:rsidRPr="006573B0">
        <w:rPr>
          <w:rFonts w:ascii="Arial" w:hAnsi="Arial" w:cs="Arial"/>
          <w:sz w:val="24"/>
          <w:szCs w:val="24"/>
        </w:rPr>
        <w:t xml:space="preserve">, N., </w:t>
      </w:r>
      <w:proofErr w:type="spellStart"/>
      <w:r w:rsidRPr="006573B0">
        <w:rPr>
          <w:rFonts w:ascii="Arial" w:hAnsi="Arial" w:cs="Arial"/>
          <w:sz w:val="24"/>
          <w:szCs w:val="24"/>
        </w:rPr>
        <w:t>Kalogeraki</w:t>
      </w:r>
      <w:proofErr w:type="spellEnd"/>
      <w:r w:rsidRPr="006573B0">
        <w:rPr>
          <w:rFonts w:ascii="Arial" w:hAnsi="Arial" w:cs="Arial"/>
          <w:sz w:val="24"/>
          <w:szCs w:val="24"/>
        </w:rPr>
        <w:t xml:space="preserve">, V., and </w:t>
      </w:r>
      <w:proofErr w:type="spellStart"/>
      <w:r w:rsidRPr="006573B0">
        <w:rPr>
          <w:rFonts w:ascii="Arial" w:hAnsi="Arial" w:cs="Arial"/>
          <w:sz w:val="24"/>
          <w:szCs w:val="24"/>
        </w:rPr>
        <w:t>Gunopulos</w:t>
      </w:r>
      <w:proofErr w:type="spellEnd"/>
      <w:r w:rsidRPr="006573B0">
        <w:rPr>
          <w:rFonts w:ascii="Arial" w:hAnsi="Arial" w:cs="Arial"/>
          <w:sz w:val="24"/>
          <w:szCs w:val="24"/>
        </w:rPr>
        <w:t xml:space="preserve">, D., 2018. Attendance Maximization for Successful Social Event Planning., pp. 121-132. </w:t>
      </w:r>
      <w:hyperlink r:id="rId23" w:history="1">
        <w:r w:rsidRPr="006573B0">
          <w:rPr>
            <w:rFonts w:ascii="Arial" w:hAnsi="Arial" w:cs="Arial"/>
            <w:color w:val="467886" w:themeColor="hyperlink"/>
            <w:sz w:val="24"/>
            <w:szCs w:val="24"/>
            <w:u w:val="single"/>
          </w:rPr>
          <w:t>https://doi.org/10.5441/002/edbt.2019.12</w:t>
        </w:r>
      </w:hyperlink>
      <w:r w:rsidRPr="006573B0">
        <w:rPr>
          <w:rFonts w:ascii="Arial" w:hAnsi="Arial" w:cs="Arial"/>
          <w:sz w:val="24"/>
          <w:szCs w:val="24"/>
        </w:rPr>
        <w:t xml:space="preserve">.  </w:t>
      </w:r>
    </w:p>
    <w:p w14:paraId="554ADB28"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6.</w:t>
      </w:r>
      <w:r w:rsidRPr="006573B0">
        <w:rPr>
          <w:rFonts w:ascii="Arial" w:hAnsi="Arial" w:cs="Arial"/>
          <w:sz w:val="24"/>
          <w:szCs w:val="24"/>
        </w:rPr>
        <w:tab/>
        <w:t xml:space="preserve">Carbone, V., </w:t>
      </w:r>
      <w:proofErr w:type="spellStart"/>
      <w:r w:rsidRPr="006573B0">
        <w:rPr>
          <w:rFonts w:ascii="Arial" w:hAnsi="Arial" w:cs="Arial"/>
          <w:sz w:val="24"/>
          <w:szCs w:val="24"/>
        </w:rPr>
        <w:t>Rouquet</w:t>
      </w:r>
      <w:proofErr w:type="spellEnd"/>
      <w:r w:rsidRPr="006573B0">
        <w:rPr>
          <w:rFonts w:ascii="Arial" w:hAnsi="Arial" w:cs="Arial"/>
          <w:sz w:val="24"/>
          <w:szCs w:val="24"/>
        </w:rPr>
        <w:t xml:space="preserve">, A., and </w:t>
      </w:r>
      <w:proofErr w:type="spellStart"/>
      <w:r w:rsidRPr="006573B0">
        <w:rPr>
          <w:rFonts w:ascii="Arial" w:hAnsi="Arial" w:cs="Arial"/>
          <w:sz w:val="24"/>
          <w:szCs w:val="24"/>
        </w:rPr>
        <w:t>Roussat</w:t>
      </w:r>
      <w:proofErr w:type="spellEnd"/>
      <w:r w:rsidRPr="006573B0">
        <w:rPr>
          <w:rFonts w:ascii="Arial" w:hAnsi="Arial" w:cs="Arial"/>
          <w:sz w:val="24"/>
          <w:szCs w:val="24"/>
        </w:rPr>
        <w:t>, C., 2017. The Rise of Crowd Logistics: A New Way to Co</w:t>
      </w:r>
      <w:r w:rsidRPr="006573B0">
        <w:rPr>
          <w:rFonts w:ascii="Cambria Math" w:hAnsi="Cambria Math" w:cs="Cambria Math"/>
          <w:sz w:val="24"/>
          <w:szCs w:val="24"/>
        </w:rPr>
        <w:t>‐</w:t>
      </w:r>
      <w:r w:rsidRPr="006573B0">
        <w:rPr>
          <w:rFonts w:ascii="Arial" w:hAnsi="Arial" w:cs="Arial"/>
          <w:sz w:val="24"/>
          <w:szCs w:val="24"/>
        </w:rPr>
        <w:t xml:space="preserve">Create Logistics Value. Journal of Business Logistics, 38, pp. 238-252. </w:t>
      </w:r>
      <w:hyperlink r:id="rId24" w:history="1">
        <w:r w:rsidRPr="006573B0">
          <w:rPr>
            <w:rFonts w:ascii="Arial" w:hAnsi="Arial" w:cs="Arial"/>
            <w:color w:val="467886" w:themeColor="hyperlink"/>
            <w:sz w:val="24"/>
            <w:szCs w:val="24"/>
            <w:u w:val="single"/>
          </w:rPr>
          <w:t>https://doi.org/10.1111/JBL.12164</w:t>
        </w:r>
      </w:hyperlink>
      <w:r w:rsidRPr="006573B0">
        <w:rPr>
          <w:rFonts w:ascii="Arial" w:hAnsi="Arial" w:cs="Arial"/>
          <w:sz w:val="24"/>
          <w:szCs w:val="24"/>
        </w:rPr>
        <w:t xml:space="preserve">.  </w:t>
      </w:r>
    </w:p>
    <w:p w14:paraId="33C68066" w14:textId="6AD02242"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7.</w:t>
      </w:r>
      <w:r w:rsidRPr="006573B0">
        <w:rPr>
          <w:rFonts w:ascii="Arial" w:hAnsi="Arial" w:cs="Arial"/>
          <w:sz w:val="24"/>
          <w:szCs w:val="24"/>
        </w:rPr>
        <w:tab/>
      </w:r>
      <w:proofErr w:type="spellStart"/>
      <w:r w:rsidRPr="006573B0">
        <w:rPr>
          <w:rFonts w:ascii="Arial" w:hAnsi="Arial" w:cs="Arial"/>
          <w:sz w:val="24"/>
          <w:szCs w:val="24"/>
        </w:rPr>
        <w:t>Elharrouss</w:t>
      </w:r>
      <w:proofErr w:type="spellEnd"/>
      <w:r w:rsidRPr="006573B0">
        <w:rPr>
          <w:rFonts w:ascii="Arial" w:hAnsi="Arial" w:cs="Arial"/>
          <w:sz w:val="24"/>
          <w:szCs w:val="24"/>
        </w:rPr>
        <w:t>, O., Al-</w:t>
      </w:r>
      <w:proofErr w:type="spellStart"/>
      <w:r w:rsidRPr="006573B0">
        <w:rPr>
          <w:rFonts w:ascii="Arial" w:hAnsi="Arial" w:cs="Arial"/>
          <w:sz w:val="24"/>
          <w:szCs w:val="24"/>
        </w:rPr>
        <w:t>Maadeed</w:t>
      </w:r>
      <w:proofErr w:type="spellEnd"/>
      <w:r w:rsidRPr="006573B0">
        <w:rPr>
          <w:rFonts w:ascii="Arial" w:hAnsi="Arial" w:cs="Arial"/>
          <w:sz w:val="24"/>
          <w:szCs w:val="24"/>
        </w:rPr>
        <w:t xml:space="preserve">, S., and </w:t>
      </w:r>
      <w:proofErr w:type="spellStart"/>
      <w:r w:rsidRPr="006573B0">
        <w:rPr>
          <w:rFonts w:ascii="Arial" w:hAnsi="Arial" w:cs="Arial"/>
          <w:sz w:val="24"/>
          <w:szCs w:val="24"/>
        </w:rPr>
        <w:t>Abualsaud</w:t>
      </w:r>
      <w:proofErr w:type="spellEnd"/>
      <w:r w:rsidRPr="006573B0">
        <w:rPr>
          <w:rFonts w:ascii="Arial" w:hAnsi="Arial" w:cs="Arial"/>
          <w:sz w:val="24"/>
          <w:szCs w:val="24"/>
        </w:rPr>
        <w:t xml:space="preserve">, K., 2020. Crowd Density Estimation for Crowd Management at Event Entrance. </w:t>
      </w:r>
      <w:hyperlink r:id="rId25" w:history="1">
        <w:r w:rsidRPr="006573B0">
          <w:rPr>
            <w:rFonts w:ascii="Arial" w:hAnsi="Arial" w:cs="Arial"/>
            <w:color w:val="467886" w:themeColor="hyperlink"/>
            <w:sz w:val="24"/>
            <w:szCs w:val="24"/>
            <w:u w:val="single"/>
          </w:rPr>
          <w:t>https://doi.org/10.29117/quarfe.2020.0241</w:t>
        </w:r>
      </w:hyperlink>
      <w:r w:rsidRPr="006573B0">
        <w:rPr>
          <w:rFonts w:ascii="Arial" w:hAnsi="Arial" w:cs="Arial"/>
          <w:sz w:val="24"/>
          <w:szCs w:val="24"/>
        </w:rPr>
        <w:t xml:space="preserve">.  </w:t>
      </w:r>
    </w:p>
    <w:p w14:paraId="61388DFD"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8.</w:t>
      </w:r>
      <w:r w:rsidRPr="006573B0">
        <w:rPr>
          <w:rFonts w:ascii="Arial" w:hAnsi="Arial" w:cs="Arial"/>
          <w:sz w:val="24"/>
          <w:szCs w:val="24"/>
        </w:rPr>
        <w:tab/>
        <w:t xml:space="preserve">Feng, L., and Miller-Hooks, E., 2014. A network optimization-based approach for crowd management in large public gatherings. Transportation Research Part C-emerging Technologies, 42, pp. 182-199. </w:t>
      </w:r>
      <w:hyperlink r:id="rId26" w:history="1">
        <w:r w:rsidRPr="006573B0">
          <w:rPr>
            <w:rFonts w:ascii="Arial" w:hAnsi="Arial" w:cs="Arial"/>
            <w:color w:val="467886" w:themeColor="hyperlink"/>
            <w:sz w:val="24"/>
            <w:szCs w:val="24"/>
            <w:u w:val="single"/>
          </w:rPr>
          <w:t>https://doi.org/10.1016/J.TRC.2014.01.017</w:t>
        </w:r>
      </w:hyperlink>
      <w:r w:rsidRPr="006573B0">
        <w:rPr>
          <w:rFonts w:ascii="Arial" w:hAnsi="Arial" w:cs="Arial"/>
          <w:sz w:val="24"/>
          <w:szCs w:val="24"/>
        </w:rPr>
        <w:t xml:space="preserve">.  </w:t>
      </w:r>
    </w:p>
    <w:p w14:paraId="51AC00F2"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9.</w:t>
      </w:r>
      <w:r w:rsidRPr="006573B0">
        <w:rPr>
          <w:rFonts w:ascii="Arial" w:hAnsi="Arial" w:cs="Arial"/>
          <w:sz w:val="24"/>
          <w:szCs w:val="24"/>
        </w:rPr>
        <w:tab/>
        <w:t xml:space="preserve">Getz, D. and Page, S., 2020. Event </w:t>
      </w:r>
      <w:proofErr w:type="gramStart"/>
      <w:r w:rsidRPr="006573B0">
        <w:rPr>
          <w:rFonts w:ascii="Arial" w:hAnsi="Arial" w:cs="Arial"/>
          <w:sz w:val="24"/>
          <w:szCs w:val="24"/>
        </w:rPr>
        <w:t>studies :</w:t>
      </w:r>
      <w:proofErr w:type="gramEnd"/>
      <w:r w:rsidRPr="006573B0">
        <w:rPr>
          <w:rFonts w:ascii="Arial" w:hAnsi="Arial" w:cs="Arial"/>
          <w:sz w:val="24"/>
          <w:szCs w:val="24"/>
        </w:rPr>
        <w:t xml:space="preserve"> theory, research and policy for planned events. Fourth edition. </w:t>
      </w:r>
      <w:proofErr w:type="gramStart"/>
      <w:r w:rsidRPr="006573B0">
        <w:rPr>
          <w:rFonts w:ascii="Arial" w:hAnsi="Arial" w:cs="Arial"/>
          <w:sz w:val="24"/>
          <w:szCs w:val="24"/>
        </w:rPr>
        <w:t>London ;</w:t>
      </w:r>
      <w:proofErr w:type="gramEnd"/>
      <w:r w:rsidRPr="006573B0">
        <w:rPr>
          <w:rFonts w:ascii="Arial" w:hAnsi="Arial" w:cs="Arial"/>
          <w:sz w:val="24"/>
          <w:szCs w:val="24"/>
        </w:rPr>
        <w:t xml:space="preserve"> Routledge, Taylor &amp; Francis Group. </w:t>
      </w:r>
      <w:hyperlink r:id="rId27" w:history="1">
        <w:r w:rsidRPr="006573B0">
          <w:rPr>
            <w:rFonts w:ascii="Arial" w:hAnsi="Arial" w:cs="Arial"/>
            <w:color w:val="467886" w:themeColor="hyperlink"/>
            <w:sz w:val="24"/>
            <w:szCs w:val="24"/>
            <w:u w:val="single"/>
          </w:rPr>
          <w:t>https://librarysearch.uwtsd.ac.uk/permalink/44WHELF_UWTSD/upgrip/alma99100453502002421</w:t>
        </w:r>
      </w:hyperlink>
      <w:r w:rsidRPr="006573B0">
        <w:rPr>
          <w:rFonts w:ascii="Arial" w:hAnsi="Arial" w:cs="Arial"/>
          <w:sz w:val="24"/>
          <w:szCs w:val="24"/>
        </w:rPr>
        <w:t xml:space="preserve">  </w:t>
      </w:r>
    </w:p>
    <w:p w14:paraId="4EAD1C2E" w14:textId="4DBF2FB8"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lastRenderedPageBreak/>
        <w:t>10.</w:t>
      </w:r>
      <w:r w:rsidRPr="006573B0">
        <w:rPr>
          <w:rFonts w:ascii="Arial" w:hAnsi="Arial" w:cs="Arial"/>
          <w:sz w:val="24"/>
          <w:szCs w:val="24"/>
        </w:rPr>
        <w:tab/>
      </w:r>
      <w:proofErr w:type="spellStart"/>
      <w:r w:rsidRPr="006573B0">
        <w:rPr>
          <w:rFonts w:ascii="Arial" w:hAnsi="Arial" w:cs="Arial"/>
          <w:sz w:val="24"/>
          <w:szCs w:val="24"/>
        </w:rPr>
        <w:t>Hefnawy</w:t>
      </w:r>
      <w:proofErr w:type="spellEnd"/>
      <w:r w:rsidRPr="006573B0">
        <w:rPr>
          <w:rFonts w:ascii="Arial" w:hAnsi="Arial" w:cs="Arial"/>
          <w:sz w:val="24"/>
          <w:szCs w:val="24"/>
        </w:rPr>
        <w:t xml:space="preserve">, A., Bouras, A., and Cherifi, C., 2015. Integration of Smart City and Lifecycle Concepts for Enhanced Large-Scale Event Management., pp. 687-697. </w:t>
      </w:r>
      <w:hyperlink r:id="rId28" w:history="1">
        <w:r w:rsidRPr="006573B0">
          <w:rPr>
            <w:rFonts w:ascii="Arial" w:hAnsi="Arial" w:cs="Arial"/>
            <w:color w:val="467886" w:themeColor="hyperlink"/>
            <w:sz w:val="24"/>
            <w:szCs w:val="24"/>
            <w:u w:val="single"/>
          </w:rPr>
          <w:t>https://doi.org/10.1007/978-3-319-33111-9_62</w:t>
        </w:r>
      </w:hyperlink>
      <w:r w:rsidRPr="006573B0">
        <w:rPr>
          <w:rFonts w:ascii="Arial" w:hAnsi="Arial" w:cs="Arial"/>
          <w:sz w:val="24"/>
          <w:szCs w:val="24"/>
        </w:rPr>
        <w:t xml:space="preserve">.  </w:t>
      </w:r>
    </w:p>
    <w:p w14:paraId="621EE980"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11.</w:t>
      </w:r>
      <w:r w:rsidRPr="006573B0">
        <w:rPr>
          <w:rFonts w:ascii="Arial" w:hAnsi="Arial" w:cs="Arial"/>
          <w:sz w:val="24"/>
          <w:szCs w:val="24"/>
        </w:rPr>
        <w:tab/>
        <w:t xml:space="preserve">Lee, H., Ha, K., and Kim, Y., 2018. Marketing expense and financial performance in arts and cultural organizations. International Journal of Nonprofit and Voluntary Sector Marketing, 23. </w:t>
      </w:r>
      <w:hyperlink r:id="rId29" w:history="1">
        <w:r w:rsidRPr="006573B0">
          <w:rPr>
            <w:rFonts w:ascii="Arial" w:hAnsi="Arial" w:cs="Arial"/>
            <w:color w:val="467886" w:themeColor="hyperlink"/>
            <w:sz w:val="24"/>
            <w:szCs w:val="24"/>
            <w:u w:val="single"/>
          </w:rPr>
          <w:t>https://doi.org/10.1002/NVSM.1588</w:t>
        </w:r>
      </w:hyperlink>
      <w:r w:rsidRPr="006573B0">
        <w:rPr>
          <w:rFonts w:ascii="Arial" w:hAnsi="Arial" w:cs="Arial"/>
          <w:sz w:val="24"/>
          <w:szCs w:val="24"/>
        </w:rPr>
        <w:t xml:space="preserve">.  </w:t>
      </w:r>
    </w:p>
    <w:p w14:paraId="56F0B6B4"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12.</w:t>
      </w:r>
      <w:r w:rsidRPr="006573B0">
        <w:rPr>
          <w:rFonts w:ascii="Arial" w:hAnsi="Arial" w:cs="Arial"/>
          <w:sz w:val="24"/>
          <w:szCs w:val="24"/>
        </w:rPr>
        <w:tab/>
        <w:t xml:space="preserve">Melly, D., McLoughlin, E., and Maguire, K., 2023. Emerging Venue Considerations for Event Management: The Case of Ireland. Tourism and Hospitality. </w:t>
      </w:r>
      <w:hyperlink r:id="rId30" w:history="1">
        <w:r w:rsidRPr="006573B0">
          <w:rPr>
            <w:rFonts w:ascii="Arial" w:hAnsi="Arial" w:cs="Arial"/>
            <w:color w:val="467886" w:themeColor="hyperlink"/>
            <w:sz w:val="24"/>
            <w:szCs w:val="24"/>
            <w:u w:val="single"/>
          </w:rPr>
          <w:t>https://doi.org/10.3390/tourhosp4010011</w:t>
        </w:r>
      </w:hyperlink>
      <w:r w:rsidRPr="006573B0">
        <w:rPr>
          <w:rFonts w:ascii="Arial" w:hAnsi="Arial" w:cs="Arial"/>
          <w:sz w:val="24"/>
          <w:szCs w:val="24"/>
        </w:rPr>
        <w:t xml:space="preserve">.  </w:t>
      </w:r>
    </w:p>
    <w:p w14:paraId="6B9E041C"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13.</w:t>
      </w:r>
      <w:r w:rsidRPr="006573B0">
        <w:rPr>
          <w:rFonts w:ascii="Arial" w:hAnsi="Arial" w:cs="Arial"/>
          <w:sz w:val="24"/>
          <w:szCs w:val="24"/>
        </w:rPr>
        <w:tab/>
        <w:t xml:space="preserve">Michelini, L., </w:t>
      </w:r>
      <w:proofErr w:type="spellStart"/>
      <w:r w:rsidRPr="006573B0">
        <w:rPr>
          <w:rFonts w:ascii="Arial" w:hAnsi="Arial" w:cs="Arial"/>
          <w:sz w:val="24"/>
          <w:szCs w:val="24"/>
        </w:rPr>
        <w:t>Iasevoli</w:t>
      </w:r>
      <w:proofErr w:type="spellEnd"/>
      <w:r w:rsidRPr="006573B0">
        <w:rPr>
          <w:rFonts w:ascii="Arial" w:hAnsi="Arial" w:cs="Arial"/>
          <w:sz w:val="24"/>
          <w:szCs w:val="24"/>
        </w:rPr>
        <w:t xml:space="preserve">, G., and Theodoraki, E., 2017. Event Venue Satisfaction and Its Impact </w:t>
      </w:r>
      <w:proofErr w:type="gramStart"/>
      <w:r w:rsidRPr="006573B0">
        <w:rPr>
          <w:rFonts w:ascii="Arial" w:hAnsi="Arial" w:cs="Arial"/>
          <w:sz w:val="24"/>
          <w:szCs w:val="24"/>
        </w:rPr>
        <w:t>On</w:t>
      </w:r>
      <w:proofErr w:type="gramEnd"/>
      <w:r w:rsidRPr="006573B0">
        <w:rPr>
          <w:rFonts w:ascii="Arial" w:hAnsi="Arial" w:cs="Arial"/>
          <w:sz w:val="24"/>
          <w:szCs w:val="24"/>
        </w:rPr>
        <w:t xml:space="preserve"> Sponsorship Outcomes. Event Management, 21, pp. 319-331. </w:t>
      </w:r>
      <w:hyperlink r:id="rId31" w:history="1">
        <w:r w:rsidRPr="006573B0">
          <w:rPr>
            <w:rFonts w:ascii="Arial" w:hAnsi="Arial" w:cs="Arial"/>
            <w:color w:val="467886" w:themeColor="hyperlink"/>
            <w:sz w:val="24"/>
            <w:szCs w:val="24"/>
            <w:u w:val="single"/>
          </w:rPr>
          <w:t>https://doi.org/10.3727/152599517X14942648527536</w:t>
        </w:r>
      </w:hyperlink>
      <w:r w:rsidRPr="006573B0">
        <w:rPr>
          <w:rFonts w:ascii="Arial" w:hAnsi="Arial" w:cs="Arial"/>
          <w:sz w:val="24"/>
          <w:szCs w:val="24"/>
        </w:rPr>
        <w:t xml:space="preserve">.  </w:t>
      </w:r>
    </w:p>
    <w:p w14:paraId="28109584"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14.</w:t>
      </w:r>
      <w:r w:rsidRPr="006573B0">
        <w:rPr>
          <w:rFonts w:ascii="Arial" w:hAnsi="Arial" w:cs="Arial"/>
          <w:sz w:val="24"/>
          <w:szCs w:val="24"/>
        </w:rPr>
        <w:tab/>
        <w:t xml:space="preserve">Momani, H., Som, A., Qassem, A., Salim, M., and </w:t>
      </w:r>
      <w:proofErr w:type="spellStart"/>
      <w:r w:rsidRPr="006573B0">
        <w:rPr>
          <w:rFonts w:ascii="Arial" w:hAnsi="Arial" w:cs="Arial"/>
          <w:sz w:val="24"/>
          <w:szCs w:val="24"/>
        </w:rPr>
        <w:t>Eppang</w:t>
      </w:r>
      <w:proofErr w:type="spellEnd"/>
      <w:r w:rsidRPr="006573B0">
        <w:rPr>
          <w:rFonts w:ascii="Arial" w:hAnsi="Arial" w:cs="Arial"/>
          <w:sz w:val="24"/>
          <w:szCs w:val="24"/>
        </w:rPr>
        <w:t xml:space="preserve">, B., 2023. THE EFFECTS OF SEASONALITY ON MICE TOURISM DEMAND IN JORDAN. PLANNING MALAYSIA. </w:t>
      </w:r>
      <w:hyperlink r:id="rId32" w:history="1">
        <w:r w:rsidRPr="006573B0">
          <w:rPr>
            <w:rFonts w:ascii="Arial" w:hAnsi="Arial" w:cs="Arial"/>
            <w:color w:val="467886" w:themeColor="hyperlink"/>
            <w:sz w:val="24"/>
            <w:szCs w:val="24"/>
            <w:u w:val="single"/>
          </w:rPr>
          <w:t>https://doi.org/10.21837/pm.v21i30.1412</w:t>
        </w:r>
      </w:hyperlink>
      <w:r w:rsidRPr="006573B0">
        <w:rPr>
          <w:rFonts w:ascii="Arial" w:hAnsi="Arial" w:cs="Arial"/>
          <w:sz w:val="24"/>
          <w:szCs w:val="24"/>
        </w:rPr>
        <w:t xml:space="preserve">.   </w:t>
      </w:r>
    </w:p>
    <w:p w14:paraId="1F44BFCC"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15.</w:t>
      </w:r>
      <w:r w:rsidRPr="006573B0">
        <w:rPr>
          <w:rFonts w:ascii="Arial" w:hAnsi="Arial" w:cs="Arial"/>
          <w:sz w:val="24"/>
          <w:szCs w:val="24"/>
        </w:rPr>
        <w:tab/>
        <w:t xml:space="preserve">Olya, H., 2019. A call for weather condition revaluation in mega-events management. Current Issues in Tourism, 22, pp. 16 - 20. </w:t>
      </w:r>
      <w:hyperlink r:id="rId33" w:history="1">
        <w:r w:rsidRPr="006573B0">
          <w:rPr>
            <w:rFonts w:ascii="Arial" w:hAnsi="Arial" w:cs="Arial"/>
            <w:color w:val="467886" w:themeColor="hyperlink"/>
            <w:sz w:val="24"/>
            <w:szCs w:val="24"/>
            <w:u w:val="single"/>
          </w:rPr>
          <w:t>https://doi.org/10.1080/13683500.2017.1377160</w:t>
        </w:r>
      </w:hyperlink>
      <w:r w:rsidRPr="006573B0">
        <w:rPr>
          <w:rFonts w:ascii="Arial" w:hAnsi="Arial" w:cs="Arial"/>
          <w:sz w:val="24"/>
          <w:szCs w:val="24"/>
        </w:rPr>
        <w:t xml:space="preserve">.  </w:t>
      </w:r>
    </w:p>
    <w:p w14:paraId="2B7EBC98"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16.</w:t>
      </w:r>
      <w:r w:rsidRPr="006573B0">
        <w:rPr>
          <w:rFonts w:ascii="Arial" w:hAnsi="Arial" w:cs="Arial"/>
          <w:sz w:val="24"/>
          <w:szCs w:val="24"/>
        </w:rPr>
        <w:tab/>
        <w:t xml:space="preserve">Salgueiro, A., and </w:t>
      </w:r>
      <w:proofErr w:type="spellStart"/>
      <w:r w:rsidRPr="006573B0">
        <w:rPr>
          <w:rFonts w:ascii="Arial" w:hAnsi="Arial" w:cs="Arial"/>
          <w:sz w:val="24"/>
          <w:szCs w:val="24"/>
        </w:rPr>
        <w:t>Tarrazon</w:t>
      </w:r>
      <w:proofErr w:type="spellEnd"/>
      <w:r w:rsidRPr="006573B0">
        <w:rPr>
          <w:rFonts w:ascii="Arial" w:hAnsi="Arial" w:cs="Arial"/>
          <w:sz w:val="24"/>
          <w:szCs w:val="24"/>
        </w:rPr>
        <w:t xml:space="preserve">-Rodon, M., 2019. Weather derivatives to mitigate meteorological risks in tourism management: An empirical application to celebrations of </w:t>
      </w:r>
      <w:proofErr w:type="spellStart"/>
      <w:r w:rsidRPr="006573B0">
        <w:rPr>
          <w:rFonts w:ascii="Arial" w:hAnsi="Arial" w:cs="Arial"/>
          <w:sz w:val="24"/>
          <w:szCs w:val="24"/>
        </w:rPr>
        <w:t>Comunidad</w:t>
      </w:r>
      <w:proofErr w:type="spellEnd"/>
      <w:r w:rsidRPr="006573B0">
        <w:rPr>
          <w:rFonts w:ascii="Arial" w:hAnsi="Arial" w:cs="Arial"/>
          <w:sz w:val="24"/>
          <w:szCs w:val="24"/>
        </w:rPr>
        <w:t xml:space="preserve"> Valenciana (Spain). Tourism Economics, 27, pp. 591 - 613. </w:t>
      </w:r>
      <w:hyperlink r:id="rId34" w:history="1">
        <w:r w:rsidRPr="006573B0">
          <w:rPr>
            <w:rFonts w:ascii="Arial" w:hAnsi="Arial" w:cs="Arial"/>
            <w:color w:val="467886" w:themeColor="hyperlink"/>
            <w:sz w:val="24"/>
            <w:szCs w:val="24"/>
            <w:u w:val="single"/>
          </w:rPr>
          <w:t>https://doi.org/10.1177/1354816619890751</w:t>
        </w:r>
      </w:hyperlink>
      <w:r w:rsidRPr="006573B0">
        <w:rPr>
          <w:rFonts w:ascii="Arial" w:hAnsi="Arial" w:cs="Arial"/>
          <w:sz w:val="24"/>
          <w:szCs w:val="24"/>
        </w:rPr>
        <w:t xml:space="preserve">.  </w:t>
      </w:r>
    </w:p>
    <w:p w14:paraId="3815D1A3"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17.</w:t>
      </w:r>
      <w:r w:rsidRPr="006573B0">
        <w:rPr>
          <w:rFonts w:ascii="Arial" w:hAnsi="Arial" w:cs="Arial"/>
          <w:sz w:val="24"/>
          <w:szCs w:val="24"/>
        </w:rPr>
        <w:tab/>
        <w:t xml:space="preserve">Setiawan, R., Wibisono, D., and </w:t>
      </w:r>
      <w:proofErr w:type="spellStart"/>
      <w:r w:rsidRPr="006573B0">
        <w:rPr>
          <w:rFonts w:ascii="Arial" w:hAnsi="Arial" w:cs="Arial"/>
          <w:sz w:val="24"/>
          <w:szCs w:val="24"/>
        </w:rPr>
        <w:t>Purwanegara</w:t>
      </w:r>
      <w:proofErr w:type="spellEnd"/>
      <w:r w:rsidRPr="006573B0">
        <w:rPr>
          <w:rFonts w:ascii="Arial" w:hAnsi="Arial" w:cs="Arial"/>
          <w:sz w:val="24"/>
          <w:szCs w:val="24"/>
        </w:rPr>
        <w:t xml:space="preserve">, M., 2022. Defining Event Marketing as Engagement-Driven Marketing Communication. Gadjah Mada International Journal of Business. </w:t>
      </w:r>
      <w:hyperlink r:id="rId35" w:history="1">
        <w:r w:rsidRPr="006573B0">
          <w:rPr>
            <w:rFonts w:ascii="Arial" w:hAnsi="Arial" w:cs="Arial"/>
            <w:color w:val="467886" w:themeColor="hyperlink"/>
            <w:sz w:val="24"/>
            <w:szCs w:val="24"/>
            <w:u w:val="single"/>
          </w:rPr>
          <w:t>https://doi.org/10.22146/gamaijb.63788</w:t>
        </w:r>
      </w:hyperlink>
      <w:r w:rsidRPr="006573B0">
        <w:rPr>
          <w:rFonts w:ascii="Arial" w:hAnsi="Arial" w:cs="Arial"/>
          <w:sz w:val="24"/>
          <w:szCs w:val="24"/>
        </w:rPr>
        <w:t xml:space="preserve">.  </w:t>
      </w:r>
    </w:p>
    <w:p w14:paraId="38181975"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18.</w:t>
      </w:r>
      <w:r w:rsidRPr="006573B0">
        <w:rPr>
          <w:rFonts w:ascii="Arial" w:hAnsi="Arial" w:cs="Arial"/>
          <w:sz w:val="24"/>
          <w:szCs w:val="24"/>
        </w:rPr>
        <w:tab/>
        <w:t xml:space="preserve">Silvers, J. R., 2007. The International EMBOK Model: Event Management Body of Knowledge Project. </w:t>
      </w:r>
      <w:hyperlink r:id="rId36" w:history="1">
        <w:r w:rsidRPr="006573B0">
          <w:rPr>
            <w:rFonts w:ascii="Arial" w:hAnsi="Arial" w:cs="Arial"/>
            <w:color w:val="467886" w:themeColor="hyperlink"/>
            <w:sz w:val="24"/>
            <w:szCs w:val="24"/>
            <w:u w:val="single"/>
          </w:rPr>
          <w:t>https://embok.org/juliasilvers/embok.html</w:t>
        </w:r>
      </w:hyperlink>
      <w:r w:rsidRPr="006573B0">
        <w:rPr>
          <w:rFonts w:ascii="Arial" w:hAnsi="Arial" w:cs="Arial"/>
          <w:sz w:val="24"/>
          <w:szCs w:val="24"/>
        </w:rPr>
        <w:t xml:space="preserve"> </w:t>
      </w:r>
    </w:p>
    <w:p w14:paraId="0F955CAC"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19.</w:t>
      </w:r>
      <w:r w:rsidRPr="006573B0">
        <w:rPr>
          <w:rFonts w:ascii="Arial" w:hAnsi="Arial" w:cs="Arial"/>
          <w:sz w:val="24"/>
          <w:szCs w:val="24"/>
        </w:rPr>
        <w:tab/>
      </w:r>
      <w:proofErr w:type="spellStart"/>
      <w:r w:rsidRPr="006573B0">
        <w:rPr>
          <w:rFonts w:ascii="Arial" w:hAnsi="Arial" w:cs="Arial"/>
          <w:sz w:val="24"/>
          <w:szCs w:val="24"/>
        </w:rPr>
        <w:t>Simasathiansophon</w:t>
      </w:r>
      <w:proofErr w:type="spellEnd"/>
      <w:r w:rsidRPr="006573B0">
        <w:rPr>
          <w:rFonts w:ascii="Arial" w:hAnsi="Arial" w:cs="Arial"/>
          <w:sz w:val="24"/>
          <w:szCs w:val="24"/>
        </w:rPr>
        <w:t xml:space="preserve">, N., 2021. Running event quality: conceptualization and measurement scale. E3S Web of Conferences. </w:t>
      </w:r>
      <w:hyperlink r:id="rId37" w:history="1">
        <w:r w:rsidRPr="006573B0">
          <w:rPr>
            <w:rFonts w:ascii="Arial" w:hAnsi="Arial" w:cs="Arial"/>
            <w:color w:val="467886" w:themeColor="hyperlink"/>
            <w:sz w:val="24"/>
            <w:szCs w:val="24"/>
            <w:u w:val="single"/>
          </w:rPr>
          <w:t>https://doi.org/10.1051/E3SCONF/202124411017</w:t>
        </w:r>
      </w:hyperlink>
      <w:r w:rsidRPr="006573B0">
        <w:rPr>
          <w:rFonts w:ascii="Arial" w:hAnsi="Arial" w:cs="Arial"/>
          <w:sz w:val="24"/>
          <w:szCs w:val="24"/>
        </w:rPr>
        <w:t xml:space="preserve">.   </w:t>
      </w:r>
    </w:p>
    <w:p w14:paraId="7010EAAE"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lastRenderedPageBreak/>
        <w:t>20.</w:t>
      </w:r>
      <w:r w:rsidRPr="006573B0">
        <w:rPr>
          <w:rFonts w:ascii="Arial" w:hAnsi="Arial" w:cs="Arial"/>
          <w:sz w:val="24"/>
          <w:szCs w:val="24"/>
        </w:rPr>
        <w:tab/>
      </w:r>
      <w:proofErr w:type="spellStart"/>
      <w:r w:rsidRPr="006573B0">
        <w:rPr>
          <w:rFonts w:ascii="Arial" w:hAnsi="Arial" w:cs="Arial"/>
          <w:sz w:val="24"/>
          <w:szCs w:val="24"/>
        </w:rPr>
        <w:t>Tanford</w:t>
      </w:r>
      <w:proofErr w:type="spellEnd"/>
      <w:r w:rsidRPr="006573B0">
        <w:rPr>
          <w:rFonts w:ascii="Arial" w:hAnsi="Arial" w:cs="Arial"/>
          <w:sz w:val="24"/>
          <w:szCs w:val="24"/>
        </w:rPr>
        <w:t xml:space="preserve">, S., and Jung, S., 2017. Festival attributes and perceptions: a meta-analysis of relationships with satisfaction and </w:t>
      </w:r>
      <w:proofErr w:type="gramStart"/>
      <w:r w:rsidRPr="006573B0">
        <w:rPr>
          <w:rFonts w:ascii="Arial" w:hAnsi="Arial" w:cs="Arial"/>
          <w:sz w:val="24"/>
          <w:szCs w:val="24"/>
        </w:rPr>
        <w:t>loyalty..</w:t>
      </w:r>
      <w:proofErr w:type="gramEnd"/>
      <w:r w:rsidRPr="006573B0">
        <w:rPr>
          <w:rFonts w:ascii="Arial" w:hAnsi="Arial" w:cs="Arial"/>
          <w:sz w:val="24"/>
          <w:szCs w:val="24"/>
        </w:rPr>
        <w:t xml:space="preserve"> Tourism Management, 61, pp. 209-220. </w:t>
      </w:r>
      <w:hyperlink r:id="rId38" w:history="1">
        <w:r w:rsidRPr="006573B0">
          <w:rPr>
            <w:rFonts w:ascii="Arial" w:hAnsi="Arial" w:cs="Arial"/>
            <w:color w:val="467886" w:themeColor="hyperlink"/>
            <w:sz w:val="24"/>
            <w:szCs w:val="24"/>
            <w:u w:val="single"/>
          </w:rPr>
          <w:t>https://doi.org/10.1016/J.TOURMAN.2017.02.005</w:t>
        </w:r>
      </w:hyperlink>
      <w:r w:rsidRPr="006573B0">
        <w:rPr>
          <w:rFonts w:ascii="Arial" w:hAnsi="Arial" w:cs="Arial"/>
          <w:sz w:val="24"/>
          <w:szCs w:val="24"/>
        </w:rPr>
        <w:t xml:space="preserve">.  </w:t>
      </w:r>
    </w:p>
    <w:p w14:paraId="5407F7E4"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21.</w:t>
      </w:r>
      <w:r w:rsidRPr="006573B0">
        <w:rPr>
          <w:rFonts w:ascii="Arial" w:hAnsi="Arial" w:cs="Arial"/>
          <w:sz w:val="24"/>
          <w:szCs w:val="24"/>
        </w:rPr>
        <w:tab/>
        <w:t xml:space="preserve">Testa, M., and Metter, M., 2017. Assessing Economic Impact as a Means for Event Efficacy: A Proposed Model and Case Study. Event Management, 21, pp. 61-70. </w:t>
      </w:r>
      <w:hyperlink r:id="rId39" w:history="1">
        <w:r w:rsidRPr="006573B0">
          <w:rPr>
            <w:rFonts w:ascii="Arial" w:hAnsi="Arial" w:cs="Arial"/>
            <w:color w:val="467886" w:themeColor="hyperlink"/>
            <w:sz w:val="24"/>
            <w:szCs w:val="24"/>
            <w:u w:val="single"/>
          </w:rPr>
          <w:t>https://doi.org/10.3727/152599517X14809630271113</w:t>
        </w:r>
      </w:hyperlink>
      <w:r w:rsidRPr="006573B0">
        <w:rPr>
          <w:rFonts w:ascii="Arial" w:hAnsi="Arial" w:cs="Arial"/>
          <w:sz w:val="24"/>
          <w:szCs w:val="24"/>
        </w:rPr>
        <w:t xml:space="preserve">. </w:t>
      </w:r>
    </w:p>
    <w:p w14:paraId="50BDC835" w14:textId="3A96757E"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lang w:val="de-DE"/>
        </w:rPr>
        <w:t>22.</w:t>
      </w:r>
      <w:r w:rsidRPr="006573B0">
        <w:rPr>
          <w:rFonts w:ascii="Arial" w:hAnsi="Arial" w:cs="Arial"/>
          <w:sz w:val="24"/>
          <w:szCs w:val="24"/>
          <w:lang w:val="de-DE"/>
        </w:rPr>
        <w:tab/>
        <w:t xml:space="preserve">Tiecheng, L., and Li, L., 2018. </w:t>
      </w:r>
      <w:r w:rsidRPr="006573B0">
        <w:rPr>
          <w:rFonts w:ascii="Arial" w:hAnsi="Arial" w:cs="Arial"/>
          <w:sz w:val="24"/>
          <w:szCs w:val="24"/>
        </w:rPr>
        <w:t xml:space="preserve">An empirical study of the economic impact of the MICE industry in China using interregional input-output models (IRIO). Tourism Tribune, 29, pp. 34-45. </w:t>
      </w:r>
      <w:hyperlink r:id="rId40" w:history="1">
        <w:r w:rsidRPr="006573B0">
          <w:rPr>
            <w:rFonts w:ascii="Arial" w:hAnsi="Arial" w:cs="Arial"/>
            <w:color w:val="467886" w:themeColor="hyperlink"/>
            <w:sz w:val="24"/>
            <w:szCs w:val="24"/>
            <w:u w:val="single"/>
          </w:rPr>
          <w:t>https://doi.org/10.11648/J.AJMSE.20180305.12</w:t>
        </w:r>
      </w:hyperlink>
      <w:r w:rsidRPr="006573B0">
        <w:rPr>
          <w:rFonts w:ascii="Arial" w:hAnsi="Arial" w:cs="Arial"/>
          <w:sz w:val="24"/>
          <w:szCs w:val="24"/>
        </w:rPr>
        <w:t xml:space="preserve">.   </w:t>
      </w:r>
    </w:p>
    <w:p w14:paraId="1BB6860D"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23.</w:t>
      </w:r>
      <w:r w:rsidRPr="006573B0">
        <w:rPr>
          <w:rFonts w:ascii="Arial" w:hAnsi="Arial" w:cs="Arial"/>
          <w:sz w:val="24"/>
          <w:szCs w:val="24"/>
        </w:rPr>
        <w:tab/>
        <w:t xml:space="preserve">Toscani, A., </w:t>
      </w:r>
      <w:proofErr w:type="spellStart"/>
      <w:r w:rsidRPr="006573B0">
        <w:rPr>
          <w:rFonts w:ascii="Arial" w:hAnsi="Arial" w:cs="Arial"/>
          <w:sz w:val="24"/>
          <w:szCs w:val="24"/>
        </w:rPr>
        <w:t>Macchion</w:t>
      </w:r>
      <w:proofErr w:type="spellEnd"/>
      <w:r w:rsidRPr="006573B0">
        <w:rPr>
          <w:rFonts w:ascii="Arial" w:hAnsi="Arial" w:cs="Arial"/>
          <w:sz w:val="24"/>
          <w:szCs w:val="24"/>
        </w:rPr>
        <w:t xml:space="preserve">, L., </w:t>
      </w:r>
      <w:proofErr w:type="spellStart"/>
      <w:r w:rsidRPr="006573B0">
        <w:rPr>
          <w:rFonts w:ascii="Arial" w:hAnsi="Arial" w:cs="Arial"/>
          <w:sz w:val="24"/>
          <w:szCs w:val="24"/>
        </w:rPr>
        <w:t>Stoppato</w:t>
      </w:r>
      <w:proofErr w:type="spellEnd"/>
      <w:r w:rsidRPr="006573B0">
        <w:rPr>
          <w:rFonts w:ascii="Arial" w:hAnsi="Arial" w:cs="Arial"/>
          <w:sz w:val="24"/>
          <w:szCs w:val="24"/>
        </w:rPr>
        <w:t xml:space="preserve">, A., and Vinelli, A., 2021. How to assess events’ environmental impacts: a uniform life cycle approach. Journal of Sustainable Tourism, 30, pp. 240 - 257. </w:t>
      </w:r>
      <w:hyperlink r:id="rId41" w:history="1">
        <w:r w:rsidRPr="006573B0">
          <w:rPr>
            <w:rFonts w:ascii="Arial" w:hAnsi="Arial" w:cs="Arial"/>
            <w:color w:val="467886" w:themeColor="hyperlink"/>
            <w:sz w:val="24"/>
            <w:szCs w:val="24"/>
            <w:u w:val="single"/>
          </w:rPr>
          <w:t>https://doi.org/10.1080/09669582.2021.1874397</w:t>
        </w:r>
      </w:hyperlink>
      <w:r w:rsidRPr="006573B0">
        <w:rPr>
          <w:rFonts w:ascii="Arial" w:hAnsi="Arial" w:cs="Arial"/>
          <w:sz w:val="24"/>
          <w:szCs w:val="24"/>
        </w:rPr>
        <w:t xml:space="preserve">.  </w:t>
      </w:r>
    </w:p>
    <w:p w14:paraId="444170AC"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24.</w:t>
      </w:r>
      <w:r w:rsidRPr="006573B0">
        <w:rPr>
          <w:rFonts w:ascii="Arial" w:hAnsi="Arial" w:cs="Arial"/>
          <w:sz w:val="24"/>
          <w:szCs w:val="24"/>
        </w:rPr>
        <w:tab/>
        <w:t xml:space="preserve">Trinh, G., and Lam, D., 2016. Understanding the attendance at cultural venues and events with stochastic preference models. Journal of Business Research, 69, pp. 3538-3544. </w:t>
      </w:r>
      <w:hyperlink r:id="rId42" w:history="1">
        <w:r w:rsidRPr="006573B0">
          <w:rPr>
            <w:rFonts w:ascii="Arial" w:hAnsi="Arial" w:cs="Arial"/>
            <w:color w:val="467886" w:themeColor="hyperlink"/>
            <w:sz w:val="24"/>
            <w:szCs w:val="24"/>
            <w:u w:val="single"/>
          </w:rPr>
          <w:t>https://doi.org/10.1016/J.JBUSRES.2016.01.033</w:t>
        </w:r>
      </w:hyperlink>
      <w:r w:rsidRPr="006573B0">
        <w:rPr>
          <w:rFonts w:ascii="Arial" w:hAnsi="Arial" w:cs="Arial"/>
          <w:sz w:val="24"/>
          <w:szCs w:val="24"/>
        </w:rPr>
        <w:t xml:space="preserve">.  </w:t>
      </w:r>
    </w:p>
    <w:p w14:paraId="1D8C490F"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rPr>
        <w:t>25.</w:t>
      </w:r>
      <w:r w:rsidRPr="006573B0">
        <w:rPr>
          <w:rFonts w:ascii="Arial" w:hAnsi="Arial" w:cs="Arial"/>
          <w:sz w:val="24"/>
          <w:szCs w:val="24"/>
        </w:rPr>
        <w:tab/>
        <w:t xml:space="preserve">Weaver, K., and Liu-Lastres, B. (2021). Applying crowd risk mitigation technologies in urban sport events. Events and Tourism Review. </w:t>
      </w:r>
      <w:hyperlink r:id="rId43" w:history="1">
        <w:r w:rsidRPr="006573B0">
          <w:rPr>
            <w:rFonts w:ascii="Arial" w:hAnsi="Arial" w:cs="Arial"/>
            <w:color w:val="467886" w:themeColor="hyperlink"/>
            <w:sz w:val="24"/>
            <w:szCs w:val="24"/>
            <w:u w:val="single"/>
          </w:rPr>
          <w:t>https://consensus.app/papers/applying-crowd-risk-mitigation-technologies-urban-sport-weaver/a41400feaf2f599dbea40c60c8b5529e</w:t>
        </w:r>
      </w:hyperlink>
      <w:r w:rsidRPr="006573B0">
        <w:rPr>
          <w:rFonts w:ascii="Arial" w:hAnsi="Arial" w:cs="Arial"/>
          <w:sz w:val="24"/>
          <w:szCs w:val="24"/>
        </w:rPr>
        <w:t xml:space="preserve"> </w:t>
      </w:r>
    </w:p>
    <w:p w14:paraId="29DB7E5F" w14:textId="77777777" w:rsidR="006573B0" w:rsidRPr="006573B0" w:rsidRDefault="006573B0" w:rsidP="006573B0">
      <w:pPr>
        <w:spacing w:line="360" w:lineRule="auto"/>
        <w:jc w:val="both"/>
        <w:rPr>
          <w:rFonts w:ascii="Arial" w:hAnsi="Arial" w:cs="Arial"/>
          <w:sz w:val="24"/>
          <w:szCs w:val="24"/>
        </w:rPr>
      </w:pPr>
      <w:r w:rsidRPr="006573B0">
        <w:rPr>
          <w:rFonts w:ascii="Arial" w:hAnsi="Arial" w:cs="Arial"/>
          <w:sz w:val="24"/>
          <w:szCs w:val="24"/>
          <w:lang w:val="de-DE"/>
        </w:rPr>
        <w:t>27.</w:t>
      </w:r>
      <w:r w:rsidRPr="006573B0">
        <w:rPr>
          <w:rFonts w:ascii="Arial" w:hAnsi="Arial" w:cs="Arial"/>
          <w:sz w:val="24"/>
          <w:szCs w:val="24"/>
          <w:lang w:val="de-DE"/>
        </w:rPr>
        <w:tab/>
        <w:t xml:space="preserve">Zarantonello, L., and Schmitt, B., 2013. </w:t>
      </w:r>
      <w:r w:rsidRPr="006573B0">
        <w:rPr>
          <w:rFonts w:ascii="Arial" w:hAnsi="Arial" w:cs="Arial"/>
          <w:sz w:val="24"/>
          <w:szCs w:val="24"/>
        </w:rPr>
        <w:t xml:space="preserve">The impact of event marketing on brand equity. International Journal of Advertising, 32, pp. 255 - 280. </w:t>
      </w:r>
      <w:hyperlink r:id="rId44" w:history="1">
        <w:r w:rsidRPr="006573B0">
          <w:rPr>
            <w:rFonts w:ascii="Arial" w:hAnsi="Arial" w:cs="Arial"/>
            <w:color w:val="467886" w:themeColor="hyperlink"/>
            <w:sz w:val="24"/>
            <w:szCs w:val="24"/>
            <w:u w:val="single"/>
          </w:rPr>
          <w:t>https://doi.org/10.2501/IJA-32-2-255-280</w:t>
        </w:r>
      </w:hyperlink>
      <w:r w:rsidRPr="006573B0">
        <w:rPr>
          <w:rFonts w:ascii="Arial" w:hAnsi="Arial" w:cs="Arial"/>
          <w:sz w:val="24"/>
          <w:szCs w:val="24"/>
        </w:rPr>
        <w:t xml:space="preserve">.  </w:t>
      </w:r>
    </w:p>
    <w:p w14:paraId="648BC5A5" w14:textId="77777777" w:rsidR="006573B0" w:rsidRPr="006573B0" w:rsidRDefault="006573B0" w:rsidP="006573B0">
      <w:pPr>
        <w:spacing w:line="360" w:lineRule="auto"/>
        <w:jc w:val="both"/>
        <w:rPr>
          <w:rFonts w:ascii="Arial" w:hAnsi="Arial" w:cs="Arial"/>
          <w:sz w:val="24"/>
          <w:szCs w:val="24"/>
        </w:rPr>
      </w:pPr>
    </w:p>
    <w:p w14:paraId="612A418D" w14:textId="77777777" w:rsidR="006573B0" w:rsidRPr="006573B0" w:rsidRDefault="006573B0" w:rsidP="006573B0">
      <w:pPr>
        <w:spacing w:line="360" w:lineRule="auto"/>
        <w:jc w:val="both"/>
        <w:rPr>
          <w:rFonts w:ascii="Arial" w:hAnsi="Arial" w:cs="Arial"/>
          <w:sz w:val="24"/>
          <w:szCs w:val="24"/>
        </w:rPr>
      </w:pPr>
    </w:p>
    <w:p w14:paraId="4F87EF69" w14:textId="77777777" w:rsidR="006573B0" w:rsidRDefault="006573B0" w:rsidP="00683185"/>
    <w:p w14:paraId="2BC7FC68" w14:textId="77777777" w:rsidR="00683185" w:rsidRDefault="00683185" w:rsidP="00683185"/>
    <w:p w14:paraId="30F92E81" w14:textId="77777777" w:rsidR="00683185" w:rsidRDefault="00683185" w:rsidP="00683185"/>
    <w:p w14:paraId="74CCB2A9" w14:textId="77777777" w:rsidR="00683185" w:rsidRDefault="00683185" w:rsidP="00683185"/>
    <w:p w14:paraId="49A6525D" w14:textId="77777777" w:rsidR="00683185" w:rsidRDefault="00683185" w:rsidP="00683185"/>
    <w:p w14:paraId="3FD9782F" w14:textId="77777777" w:rsidR="00683185" w:rsidRDefault="00683185" w:rsidP="00683185"/>
    <w:p w14:paraId="1CD82BD6" w14:textId="77777777" w:rsidR="00683185" w:rsidRDefault="00683185" w:rsidP="00683185"/>
    <w:p w14:paraId="75A760A1" w14:textId="77777777" w:rsidR="00683185" w:rsidRDefault="00683185" w:rsidP="00683185"/>
    <w:sectPr w:rsidR="00683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AC859A" w14:textId="77777777" w:rsidR="00AE2E22" w:rsidRDefault="00AE2E22" w:rsidP="007D6023">
      <w:pPr>
        <w:spacing w:after="0" w:line="240" w:lineRule="auto"/>
      </w:pPr>
      <w:r>
        <w:separator/>
      </w:r>
    </w:p>
  </w:endnote>
  <w:endnote w:type="continuationSeparator" w:id="0">
    <w:p w14:paraId="2B881631" w14:textId="77777777" w:rsidR="00AE2E22" w:rsidRDefault="00AE2E22" w:rsidP="007D6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5B9DB1" w14:textId="77777777" w:rsidR="00AE2E22" w:rsidRDefault="00AE2E22" w:rsidP="007D6023">
      <w:pPr>
        <w:spacing w:after="0" w:line="240" w:lineRule="auto"/>
      </w:pPr>
      <w:r>
        <w:separator/>
      </w:r>
    </w:p>
  </w:footnote>
  <w:footnote w:type="continuationSeparator" w:id="0">
    <w:p w14:paraId="339A5CBB" w14:textId="77777777" w:rsidR="00AE2E22" w:rsidRDefault="00AE2E22" w:rsidP="007D60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D50735"/>
    <w:multiLevelType w:val="multilevel"/>
    <w:tmpl w:val="57C0EE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9549E0"/>
    <w:multiLevelType w:val="hybridMultilevel"/>
    <w:tmpl w:val="D2B89304"/>
    <w:lvl w:ilvl="0" w:tplc="0809000D">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62A528A2"/>
    <w:multiLevelType w:val="multilevel"/>
    <w:tmpl w:val="F718FF5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D04699"/>
    <w:multiLevelType w:val="hybridMultilevel"/>
    <w:tmpl w:val="9594D752"/>
    <w:lvl w:ilvl="0" w:tplc="0409000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281181809">
    <w:abstractNumId w:val="1"/>
  </w:num>
  <w:num w:numId="2" w16cid:durableId="19346614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27218592">
    <w:abstractNumId w:val="0"/>
  </w:num>
  <w:num w:numId="4" w16cid:durableId="1217232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FCE"/>
    <w:rsid w:val="000112FC"/>
    <w:rsid w:val="000731CE"/>
    <w:rsid w:val="001B4FD9"/>
    <w:rsid w:val="001F696A"/>
    <w:rsid w:val="00593F3A"/>
    <w:rsid w:val="00610DF7"/>
    <w:rsid w:val="006430F3"/>
    <w:rsid w:val="006573B0"/>
    <w:rsid w:val="00683185"/>
    <w:rsid w:val="00683CF8"/>
    <w:rsid w:val="006B1BFF"/>
    <w:rsid w:val="007D6023"/>
    <w:rsid w:val="007F13A1"/>
    <w:rsid w:val="00871628"/>
    <w:rsid w:val="00956B8C"/>
    <w:rsid w:val="009926B3"/>
    <w:rsid w:val="009C1513"/>
    <w:rsid w:val="00A607B8"/>
    <w:rsid w:val="00AE2E22"/>
    <w:rsid w:val="00B865B9"/>
    <w:rsid w:val="00C643E5"/>
    <w:rsid w:val="00D12FD6"/>
    <w:rsid w:val="00D75D84"/>
    <w:rsid w:val="00EB4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16DFB"/>
  <w15:chartTrackingRefBased/>
  <w15:docId w15:val="{25309486-6809-41DF-8C0C-DBE6F307D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FCE"/>
    <w:pPr>
      <w:spacing w:line="254" w:lineRule="auto"/>
    </w:pPr>
    <w:rPr>
      <w:kern w:val="0"/>
    </w:rPr>
  </w:style>
  <w:style w:type="paragraph" w:styleId="Heading1">
    <w:name w:val="heading 1"/>
    <w:basedOn w:val="Normal"/>
    <w:next w:val="Normal"/>
    <w:link w:val="Heading1Char"/>
    <w:uiPriority w:val="9"/>
    <w:qFormat/>
    <w:rsid w:val="00EB4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FCE"/>
    <w:rPr>
      <w:rFonts w:eastAsiaTheme="majorEastAsia" w:cstheme="majorBidi"/>
      <w:color w:val="272727" w:themeColor="text1" w:themeTint="D8"/>
    </w:rPr>
  </w:style>
  <w:style w:type="paragraph" w:styleId="Title">
    <w:name w:val="Title"/>
    <w:basedOn w:val="Normal"/>
    <w:next w:val="Normal"/>
    <w:link w:val="TitleChar"/>
    <w:uiPriority w:val="10"/>
    <w:qFormat/>
    <w:rsid w:val="00EB4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FCE"/>
    <w:pPr>
      <w:spacing w:before="160"/>
      <w:jc w:val="center"/>
    </w:pPr>
    <w:rPr>
      <w:i/>
      <w:iCs/>
      <w:color w:val="404040" w:themeColor="text1" w:themeTint="BF"/>
    </w:rPr>
  </w:style>
  <w:style w:type="character" w:customStyle="1" w:styleId="QuoteChar">
    <w:name w:val="Quote Char"/>
    <w:basedOn w:val="DefaultParagraphFont"/>
    <w:link w:val="Quote"/>
    <w:uiPriority w:val="29"/>
    <w:rsid w:val="00EB4FCE"/>
    <w:rPr>
      <w:i/>
      <w:iCs/>
      <w:color w:val="404040" w:themeColor="text1" w:themeTint="BF"/>
    </w:rPr>
  </w:style>
  <w:style w:type="paragraph" w:styleId="ListParagraph">
    <w:name w:val="List Paragraph"/>
    <w:basedOn w:val="Normal"/>
    <w:uiPriority w:val="34"/>
    <w:qFormat/>
    <w:rsid w:val="00EB4FCE"/>
    <w:pPr>
      <w:ind w:left="720"/>
      <w:contextualSpacing/>
    </w:pPr>
  </w:style>
  <w:style w:type="character" w:styleId="IntenseEmphasis">
    <w:name w:val="Intense Emphasis"/>
    <w:basedOn w:val="DefaultParagraphFont"/>
    <w:uiPriority w:val="21"/>
    <w:qFormat/>
    <w:rsid w:val="00EB4FCE"/>
    <w:rPr>
      <w:i/>
      <w:iCs/>
      <w:color w:val="0F4761" w:themeColor="accent1" w:themeShade="BF"/>
    </w:rPr>
  </w:style>
  <w:style w:type="paragraph" w:styleId="IntenseQuote">
    <w:name w:val="Intense Quote"/>
    <w:basedOn w:val="Normal"/>
    <w:next w:val="Normal"/>
    <w:link w:val="IntenseQuoteChar"/>
    <w:uiPriority w:val="30"/>
    <w:qFormat/>
    <w:rsid w:val="00EB4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FCE"/>
    <w:rPr>
      <w:i/>
      <w:iCs/>
      <w:color w:val="0F4761" w:themeColor="accent1" w:themeShade="BF"/>
    </w:rPr>
  </w:style>
  <w:style w:type="character" w:styleId="IntenseReference">
    <w:name w:val="Intense Reference"/>
    <w:basedOn w:val="DefaultParagraphFont"/>
    <w:uiPriority w:val="32"/>
    <w:qFormat/>
    <w:rsid w:val="00EB4FCE"/>
    <w:rPr>
      <w:b/>
      <w:bCs/>
      <w:smallCaps/>
      <w:color w:val="0F4761" w:themeColor="accent1" w:themeShade="BF"/>
      <w:spacing w:val="5"/>
    </w:rPr>
  </w:style>
  <w:style w:type="paragraph" w:styleId="Header">
    <w:name w:val="header"/>
    <w:basedOn w:val="Normal"/>
    <w:link w:val="HeaderChar"/>
    <w:uiPriority w:val="99"/>
    <w:unhideWhenUsed/>
    <w:rsid w:val="007D6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023"/>
    <w:rPr>
      <w:kern w:val="0"/>
    </w:rPr>
  </w:style>
  <w:style w:type="paragraph" w:styleId="Footer">
    <w:name w:val="footer"/>
    <w:basedOn w:val="Normal"/>
    <w:link w:val="FooterChar"/>
    <w:uiPriority w:val="99"/>
    <w:unhideWhenUsed/>
    <w:rsid w:val="007D6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023"/>
    <w:rPr>
      <w:kern w:val="0"/>
    </w:rPr>
  </w:style>
  <w:style w:type="character" w:styleId="Hyperlink">
    <w:name w:val="Hyperlink"/>
    <w:basedOn w:val="DefaultParagraphFont"/>
    <w:uiPriority w:val="99"/>
    <w:unhideWhenUsed/>
    <w:rsid w:val="001B4FD9"/>
    <w:rPr>
      <w:color w:val="467886" w:themeColor="hyperlink"/>
      <w:u w:val="single"/>
    </w:rPr>
  </w:style>
  <w:style w:type="character" w:styleId="UnresolvedMention">
    <w:name w:val="Unresolved Mention"/>
    <w:basedOn w:val="DefaultParagraphFont"/>
    <w:uiPriority w:val="99"/>
    <w:semiHidden/>
    <w:unhideWhenUsed/>
    <w:rsid w:val="001B4FD9"/>
    <w:rPr>
      <w:color w:val="605E5C"/>
      <w:shd w:val="clear" w:color="auto" w:fill="E1DFDD"/>
    </w:rPr>
  </w:style>
  <w:style w:type="table" w:styleId="TableGrid">
    <w:name w:val="Table Grid"/>
    <w:basedOn w:val="TableNormal"/>
    <w:uiPriority w:val="39"/>
    <w:rsid w:val="00A607B8"/>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607B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607B8"/>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647083">
      <w:bodyDiv w:val="1"/>
      <w:marLeft w:val="0"/>
      <w:marRight w:val="0"/>
      <w:marTop w:val="0"/>
      <w:marBottom w:val="0"/>
      <w:divBdr>
        <w:top w:val="none" w:sz="0" w:space="0" w:color="auto"/>
        <w:left w:val="none" w:sz="0" w:space="0" w:color="auto"/>
        <w:bottom w:val="none" w:sz="0" w:space="0" w:color="auto"/>
        <w:right w:val="none" w:sz="0" w:space="0" w:color="auto"/>
      </w:divBdr>
    </w:div>
    <w:div w:id="2039819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TRC.2014.01.017" TargetMode="External"/><Relationship Id="rId39" Type="http://schemas.openxmlformats.org/officeDocument/2006/relationships/hyperlink" Target="https://doi.org/10.3727/152599517X14809630271113" TargetMode="External"/><Relationship Id="rId21" Type="http://schemas.openxmlformats.org/officeDocument/2006/relationships/hyperlink" Target="https://doi.org/10.1016/J.JRETCONSER.2017.08.014" TargetMode="External"/><Relationship Id="rId34" Type="http://schemas.openxmlformats.org/officeDocument/2006/relationships/hyperlink" Target="https://doi.org/10.1177/1354816619890751" TargetMode="External"/><Relationship Id="rId42" Type="http://schemas.openxmlformats.org/officeDocument/2006/relationships/hyperlink" Target="https://doi.org/10.1016/J.JBUSRES.2016.01.03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doi.org/10.1002/NVSM.15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hyperlink" Target="https://doi.org/10.1111/JBL.12164" TargetMode="External"/><Relationship Id="rId32" Type="http://schemas.openxmlformats.org/officeDocument/2006/relationships/hyperlink" Target="https://doi.org/10.21837/pm.v21i30.1412" TargetMode="External"/><Relationship Id="rId37" Type="http://schemas.openxmlformats.org/officeDocument/2006/relationships/hyperlink" Target="https://doi.org/10.1051/E3SCONF/202124411017" TargetMode="External"/><Relationship Id="rId40" Type="http://schemas.openxmlformats.org/officeDocument/2006/relationships/hyperlink" Target="https://doi.org/10.11648/J.AJMSE.20180305.12"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oi.org/10.5441/002/edbt.2019.12" TargetMode="External"/><Relationship Id="rId28" Type="http://schemas.openxmlformats.org/officeDocument/2006/relationships/hyperlink" Target="https://doi.org/10.1007/978-3-319-33111-9_62" TargetMode="External"/><Relationship Id="rId36" Type="http://schemas.openxmlformats.org/officeDocument/2006/relationships/hyperlink" Target="https://embok.org/juliasilvers/embok.html" TargetMode="External"/><Relationship Id="rId10" Type="http://schemas.openxmlformats.org/officeDocument/2006/relationships/image" Target="media/image3.jpeg"/><Relationship Id="rId19" Type="http://schemas.openxmlformats.org/officeDocument/2006/relationships/hyperlink" Target="https://doi.org/10.23912/9781911635734-4791" TargetMode="External"/><Relationship Id="rId31" Type="http://schemas.openxmlformats.org/officeDocument/2006/relationships/hyperlink" Target="https://doi.org/10.3727/152599517X14942648527536" TargetMode="External"/><Relationship Id="rId44" Type="http://schemas.openxmlformats.org/officeDocument/2006/relationships/hyperlink" Target="https://doi.org/10.2501/IJA-32-2-255-28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1177/1086026621998744" TargetMode="External"/><Relationship Id="rId27" Type="http://schemas.openxmlformats.org/officeDocument/2006/relationships/hyperlink" Target="https://librarysearch.uwtsd.ac.uk/permalink/44WHELF_UWTSD/upgrip/alma99100453502002421" TargetMode="External"/><Relationship Id="rId30" Type="http://schemas.openxmlformats.org/officeDocument/2006/relationships/hyperlink" Target="https://doi.org/10.3390/tourhosp4010011" TargetMode="External"/><Relationship Id="rId35" Type="http://schemas.openxmlformats.org/officeDocument/2006/relationships/hyperlink" Target="https://doi.org/10.22146/gamaijb.63788" TargetMode="External"/><Relationship Id="rId43" Type="http://schemas.openxmlformats.org/officeDocument/2006/relationships/hyperlink" Target="https://consensus.app/papers/applying-crowd-risk-mitigation-technologies-urban-sport-weaver/a41400feaf2f599dbea40c60c8b5529e"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doi.org/10.29117/quarfe.2020.0241" TargetMode="External"/><Relationship Id="rId33" Type="http://schemas.openxmlformats.org/officeDocument/2006/relationships/hyperlink" Target="https://doi.org/10.1080/13683500.2017.1377160" TargetMode="External"/><Relationship Id="rId38" Type="http://schemas.openxmlformats.org/officeDocument/2006/relationships/hyperlink" Target="https://doi.org/10.1016/J.TOURMAN.2017.02.005" TargetMode="External"/><Relationship Id="rId46" Type="http://schemas.openxmlformats.org/officeDocument/2006/relationships/theme" Target="theme/theme1.xml"/><Relationship Id="rId20" Type="http://schemas.openxmlformats.org/officeDocument/2006/relationships/hyperlink" Target="https://doi.org/10.1177/1356766715615913" TargetMode="External"/><Relationship Id="rId41" Type="http://schemas.openxmlformats.org/officeDocument/2006/relationships/hyperlink" Target="https://doi.org/10.1080/09669582.2021.1874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7C5E7-E2AD-4E1A-B13E-D856A9D06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21</Pages>
  <Words>4279</Words>
  <Characters>24396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9</cp:revision>
  <dcterms:created xsi:type="dcterms:W3CDTF">2024-10-17T10:28:00Z</dcterms:created>
  <dcterms:modified xsi:type="dcterms:W3CDTF">2024-11-08T23:00:00Z</dcterms:modified>
</cp:coreProperties>
</file>