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BBCE0B" w14:textId="77777777" w:rsidR="00685969" w:rsidRPr="000E08DD" w:rsidRDefault="00685969" w:rsidP="00291A3F">
      <w:pPr>
        <w:spacing w:before="240" w:line="360" w:lineRule="auto"/>
        <w:jc w:val="center"/>
        <w:rPr>
          <w:rFonts w:ascii="Arial" w:hAnsi="Arial" w:cs="Arial"/>
          <w:b/>
          <w:bCs/>
          <w:sz w:val="40"/>
          <w:szCs w:val="40"/>
        </w:rPr>
      </w:pPr>
      <w:r w:rsidRPr="00FA3466">
        <w:rPr>
          <w:rFonts w:ascii="Arial" w:hAnsi="Arial" w:cs="Arial"/>
          <w:b/>
          <w:bCs/>
          <w:sz w:val="40"/>
          <w:szCs w:val="40"/>
        </w:rPr>
        <w:t>University of Wales Trinity Saint David</w:t>
      </w:r>
    </w:p>
    <w:p w14:paraId="7BDC72D4" w14:textId="77777777" w:rsidR="00685969" w:rsidRPr="00FA3466" w:rsidRDefault="00685969" w:rsidP="00291A3F">
      <w:pPr>
        <w:spacing w:before="240" w:line="360" w:lineRule="auto"/>
        <w:jc w:val="both"/>
        <w:rPr>
          <w:rFonts w:ascii="Arial" w:hAnsi="Arial" w:cs="Arial"/>
          <w:b/>
          <w:bCs/>
          <w:sz w:val="28"/>
          <w:szCs w:val="28"/>
        </w:rPr>
      </w:pPr>
    </w:p>
    <w:p w14:paraId="532E3284" w14:textId="77777777" w:rsidR="00685969" w:rsidRPr="00FA3466" w:rsidRDefault="00685969" w:rsidP="00291A3F">
      <w:pPr>
        <w:spacing w:before="240" w:line="360" w:lineRule="auto"/>
        <w:jc w:val="center"/>
        <w:rPr>
          <w:rFonts w:ascii="Arial" w:hAnsi="Arial" w:cs="Arial"/>
          <w:b/>
          <w:bCs/>
          <w:sz w:val="28"/>
          <w:szCs w:val="28"/>
        </w:rPr>
      </w:pPr>
      <w:r w:rsidRPr="00FA3466">
        <w:rPr>
          <w:rFonts w:ascii="Arial" w:hAnsi="Arial" w:cs="Arial"/>
          <w:b/>
          <w:bCs/>
          <w:noProof/>
          <w:sz w:val="28"/>
          <w:szCs w:val="28"/>
        </w:rPr>
        <w:drawing>
          <wp:inline distT="0" distB="0" distL="0" distR="0" wp14:anchorId="29F59836" wp14:editId="46266887">
            <wp:extent cx="2732629" cy="9038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7">
                      <a:extLst>
                        <a:ext uri="{28A0092B-C50C-407E-A947-70E740481C1C}">
                          <a14:useLocalDpi xmlns:a14="http://schemas.microsoft.com/office/drawing/2010/main" val="0"/>
                        </a:ext>
                      </a:extLst>
                    </a:blip>
                    <a:stretch>
                      <a:fillRect/>
                    </a:stretch>
                  </pic:blipFill>
                  <pic:spPr>
                    <a:xfrm>
                      <a:off x="0" y="0"/>
                      <a:ext cx="2788573" cy="922374"/>
                    </a:xfrm>
                    <a:prstGeom prst="rect">
                      <a:avLst/>
                    </a:prstGeom>
                  </pic:spPr>
                </pic:pic>
              </a:graphicData>
            </a:graphic>
          </wp:inline>
        </w:drawing>
      </w:r>
    </w:p>
    <w:p w14:paraId="2E54C367" w14:textId="77777777" w:rsidR="00685969" w:rsidRPr="00FA3466" w:rsidRDefault="00685969" w:rsidP="00291A3F">
      <w:pPr>
        <w:spacing w:before="240" w:line="360" w:lineRule="auto"/>
        <w:jc w:val="center"/>
        <w:rPr>
          <w:rFonts w:ascii="Arial" w:hAnsi="Arial" w:cs="Arial"/>
          <w:b/>
          <w:bCs/>
          <w:sz w:val="28"/>
          <w:szCs w:val="28"/>
        </w:rPr>
      </w:pPr>
    </w:p>
    <w:p w14:paraId="15841A82" w14:textId="40A9A258" w:rsidR="00685969" w:rsidRPr="00685969" w:rsidRDefault="00685969" w:rsidP="00291A3F">
      <w:pPr>
        <w:spacing w:before="240" w:line="360" w:lineRule="auto"/>
        <w:jc w:val="center"/>
        <w:rPr>
          <w:rFonts w:ascii="Arial" w:hAnsi="Arial" w:cs="Arial"/>
          <w:b/>
          <w:bCs/>
          <w:sz w:val="36"/>
          <w:szCs w:val="36"/>
        </w:rPr>
      </w:pPr>
      <w:r w:rsidRPr="00685969">
        <w:rPr>
          <w:rFonts w:ascii="Arial" w:hAnsi="Arial" w:cs="Arial"/>
          <w:b/>
          <w:bCs/>
          <w:sz w:val="36"/>
          <w:szCs w:val="36"/>
        </w:rPr>
        <w:t>Financial Management (LCMB7002)</w:t>
      </w:r>
    </w:p>
    <w:p w14:paraId="07F9B7DC" w14:textId="77777777" w:rsidR="00685969" w:rsidRPr="000E08DD" w:rsidRDefault="00685969" w:rsidP="00291A3F">
      <w:pPr>
        <w:spacing w:before="240" w:line="360" w:lineRule="auto"/>
        <w:jc w:val="center"/>
        <w:rPr>
          <w:rFonts w:ascii="Arial" w:hAnsi="Arial" w:cs="Arial"/>
          <w:b/>
          <w:bCs/>
          <w:sz w:val="28"/>
          <w:szCs w:val="28"/>
        </w:rPr>
      </w:pPr>
      <w:r w:rsidRPr="000E08DD">
        <w:rPr>
          <w:rFonts w:ascii="Arial" w:hAnsi="Arial" w:cs="Arial"/>
          <w:b/>
          <w:bCs/>
          <w:sz w:val="28"/>
          <w:szCs w:val="28"/>
        </w:rPr>
        <w:t>Assessment 1</w:t>
      </w:r>
    </w:p>
    <w:p w14:paraId="120F231B" w14:textId="1DBEA819" w:rsidR="00685969" w:rsidRPr="00FA3466" w:rsidRDefault="00685969" w:rsidP="00291A3F">
      <w:pPr>
        <w:spacing w:before="240" w:line="360" w:lineRule="auto"/>
        <w:jc w:val="center"/>
        <w:rPr>
          <w:rFonts w:ascii="Arial" w:hAnsi="Arial" w:cs="Arial"/>
          <w:b/>
          <w:bCs/>
          <w:sz w:val="32"/>
          <w:szCs w:val="32"/>
        </w:rPr>
      </w:pPr>
      <w:r>
        <w:rPr>
          <w:rFonts w:ascii="Arial" w:hAnsi="Arial" w:cs="Arial"/>
          <w:b/>
          <w:bCs/>
          <w:sz w:val="32"/>
          <w:szCs w:val="32"/>
        </w:rPr>
        <w:t>ASSESSMENT OF THE FINANCIAL PERFORMANCE OF NESTLE SA</w:t>
      </w:r>
    </w:p>
    <w:p w14:paraId="69C26E6A" w14:textId="77777777" w:rsidR="00685969" w:rsidRPr="00FA3466" w:rsidRDefault="00685969" w:rsidP="00291A3F">
      <w:pPr>
        <w:spacing w:before="240" w:line="360" w:lineRule="auto"/>
        <w:jc w:val="both"/>
        <w:rPr>
          <w:rFonts w:ascii="Arial" w:hAnsi="Arial" w:cs="Arial"/>
          <w:b/>
          <w:bCs/>
          <w:sz w:val="28"/>
          <w:szCs w:val="28"/>
        </w:rPr>
      </w:pPr>
    </w:p>
    <w:p w14:paraId="6312CDC5" w14:textId="77777777" w:rsidR="00685969" w:rsidRPr="00FA3466" w:rsidRDefault="00685969" w:rsidP="00291A3F">
      <w:pPr>
        <w:spacing w:before="240" w:line="360" w:lineRule="auto"/>
        <w:jc w:val="both"/>
        <w:rPr>
          <w:rFonts w:ascii="Arial" w:hAnsi="Arial" w:cs="Arial"/>
          <w:b/>
          <w:bCs/>
          <w:sz w:val="28"/>
          <w:szCs w:val="28"/>
        </w:rPr>
      </w:pPr>
    </w:p>
    <w:p w14:paraId="6340ADBC" w14:textId="639AB95A" w:rsidR="00685969" w:rsidRPr="00FA3466" w:rsidRDefault="00685969" w:rsidP="00291A3F">
      <w:pPr>
        <w:spacing w:before="240" w:line="360" w:lineRule="auto"/>
        <w:jc w:val="both"/>
        <w:rPr>
          <w:rFonts w:ascii="Arial" w:hAnsi="Arial" w:cs="Arial"/>
          <w:b/>
          <w:bCs/>
          <w:sz w:val="24"/>
          <w:szCs w:val="24"/>
        </w:rPr>
      </w:pPr>
      <w:r w:rsidRPr="00FA3466">
        <w:rPr>
          <w:rFonts w:ascii="Arial" w:hAnsi="Arial" w:cs="Arial"/>
          <w:b/>
          <w:bCs/>
          <w:sz w:val="24"/>
          <w:szCs w:val="24"/>
        </w:rPr>
        <w:t>LEVEL 7 MBA                                                                              SEMESTER:</w:t>
      </w:r>
      <w:r w:rsidR="00AA2EF5">
        <w:rPr>
          <w:rFonts w:ascii="Arial" w:hAnsi="Arial" w:cs="Arial"/>
          <w:b/>
          <w:bCs/>
          <w:sz w:val="24"/>
          <w:szCs w:val="24"/>
        </w:rPr>
        <w:t xml:space="preserve"> </w:t>
      </w:r>
      <w:r w:rsidRPr="00FA3466">
        <w:rPr>
          <w:rFonts w:ascii="Arial" w:hAnsi="Arial" w:cs="Arial"/>
          <w:b/>
          <w:bCs/>
          <w:sz w:val="24"/>
          <w:szCs w:val="24"/>
        </w:rPr>
        <w:t>1</w:t>
      </w:r>
    </w:p>
    <w:p w14:paraId="4355E98D" w14:textId="72DC7C33" w:rsidR="00685969" w:rsidRDefault="00685969" w:rsidP="00291A3F">
      <w:pPr>
        <w:spacing w:before="240" w:line="360" w:lineRule="auto"/>
        <w:jc w:val="both"/>
        <w:rPr>
          <w:rFonts w:ascii="Arial" w:hAnsi="Arial" w:cs="Arial"/>
          <w:b/>
          <w:bCs/>
          <w:sz w:val="24"/>
          <w:szCs w:val="24"/>
        </w:rPr>
      </w:pPr>
    </w:p>
    <w:p w14:paraId="0F95A592" w14:textId="77777777" w:rsidR="00DC298C" w:rsidRPr="00FA3466" w:rsidRDefault="00DC298C" w:rsidP="00291A3F">
      <w:pPr>
        <w:spacing w:before="240" w:line="360" w:lineRule="auto"/>
        <w:jc w:val="both"/>
        <w:rPr>
          <w:rFonts w:ascii="Arial" w:hAnsi="Arial" w:cs="Arial"/>
          <w:b/>
          <w:bCs/>
          <w:sz w:val="24"/>
          <w:szCs w:val="24"/>
        </w:rPr>
      </w:pPr>
    </w:p>
    <w:p w14:paraId="51EDA169" w14:textId="77777777" w:rsidR="00685969" w:rsidRPr="00291A3F" w:rsidRDefault="00685969" w:rsidP="00291A3F">
      <w:pPr>
        <w:spacing w:before="240" w:line="360" w:lineRule="auto"/>
        <w:jc w:val="both"/>
        <w:rPr>
          <w:rFonts w:ascii="Arial" w:hAnsi="Arial" w:cs="Arial"/>
          <w:b/>
          <w:bCs/>
        </w:rPr>
      </w:pPr>
      <w:r w:rsidRPr="00291A3F">
        <w:rPr>
          <w:rFonts w:ascii="Arial" w:hAnsi="Arial" w:cs="Arial"/>
          <w:b/>
          <w:bCs/>
        </w:rPr>
        <w:t xml:space="preserve">Student Name: </w:t>
      </w:r>
      <w:r w:rsidRPr="00291A3F">
        <w:rPr>
          <w:rFonts w:ascii="Arial" w:hAnsi="Arial" w:cs="Arial"/>
        </w:rPr>
        <w:t>Ioana-Sinziana Casandra</w:t>
      </w:r>
    </w:p>
    <w:p w14:paraId="24561529" w14:textId="77777777" w:rsidR="00685969" w:rsidRPr="00291A3F" w:rsidRDefault="00685969" w:rsidP="00291A3F">
      <w:pPr>
        <w:spacing w:before="240" w:line="360" w:lineRule="auto"/>
        <w:jc w:val="both"/>
        <w:rPr>
          <w:rFonts w:ascii="Arial" w:hAnsi="Arial" w:cs="Arial"/>
          <w:b/>
          <w:bCs/>
        </w:rPr>
      </w:pPr>
      <w:r w:rsidRPr="00291A3F">
        <w:rPr>
          <w:rFonts w:ascii="Arial" w:hAnsi="Arial" w:cs="Arial"/>
          <w:b/>
          <w:bCs/>
        </w:rPr>
        <w:t xml:space="preserve">Student Number: </w:t>
      </w:r>
      <w:r w:rsidRPr="00291A3F">
        <w:rPr>
          <w:rFonts w:ascii="Arial" w:hAnsi="Arial" w:cs="Arial"/>
        </w:rPr>
        <w:t>1905204</w:t>
      </w:r>
    </w:p>
    <w:p w14:paraId="15767B79" w14:textId="71869ECE" w:rsidR="00685969" w:rsidRPr="00291A3F" w:rsidRDefault="00685969" w:rsidP="00291A3F">
      <w:pPr>
        <w:spacing w:before="240" w:line="360" w:lineRule="auto"/>
        <w:jc w:val="both"/>
        <w:rPr>
          <w:rFonts w:ascii="Arial" w:hAnsi="Arial" w:cs="Arial"/>
          <w:b/>
          <w:bCs/>
        </w:rPr>
      </w:pPr>
      <w:r w:rsidRPr="00291A3F">
        <w:rPr>
          <w:rFonts w:ascii="Arial" w:hAnsi="Arial" w:cs="Arial"/>
          <w:b/>
          <w:bCs/>
        </w:rPr>
        <w:t xml:space="preserve">Module Lecturer’s Name: </w:t>
      </w:r>
      <w:r w:rsidRPr="00291A3F">
        <w:rPr>
          <w:rFonts w:ascii="Arial" w:hAnsi="Arial" w:cs="Arial"/>
        </w:rPr>
        <w:t>Jia Miao</w:t>
      </w:r>
    </w:p>
    <w:p w14:paraId="7D6B7F8F" w14:textId="1A1A6A94" w:rsidR="00685969" w:rsidRPr="00291A3F" w:rsidRDefault="00685969" w:rsidP="00291A3F">
      <w:pPr>
        <w:spacing w:before="240" w:line="360" w:lineRule="auto"/>
        <w:jc w:val="both"/>
        <w:rPr>
          <w:rFonts w:ascii="Arial" w:hAnsi="Arial" w:cs="Arial"/>
          <w:b/>
          <w:bCs/>
        </w:rPr>
      </w:pPr>
      <w:r w:rsidRPr="00291A3F">
        <w:rPr>
          <w:rFonts w:ascii="Arial" w:hAnsi="Arial" w:cs="Arial"/>
          <w:b/>
          <w:bCs/>
        </w:rPr>
        <w:t xml:space="preserve">Word count: </w:t>
      </w:r>
      <w:r w:rsidR="009E30D3">
        <w:rPr>
          <w:rFonts w:ascii="Arial" w:hAnsi="Arial" w:cs="Arial"/>
          <w:b/>
          <w:bCs/>
        </w:rPr>
        <w:t>4900</w:t>
      </w:r>
    </w:p>
    <w:p w14:paraId="7C2CD770" w14:textId="7AFD7B06" w:rsidR="00685969" w:rsidRPr="00291A3F" w:rsidRDefault="00685969" w:rsidP="00291A3F">
      <w:pPr>
        <w:spacing w:before="240" w:line="360" w:lineRule="auto"/>
        <w:jc w:val="both"/>
        <w:rPr>
          <w:rFonts w:ascii="Arial" w:hAnsi="Arial" w:cs="Arial"/>
          <w:b/>
          <w:bCs/>
        </w:rPr>
      </w:pPr>
      <w:r w:rsidRPr="00291A3F">
        <w:rPr>
          <w:rFonts w:ascii="Arial" w:hAnsi="Arial" w:cs="Arial"/>
          <w:b/>
          <w:bCs/>
        </w:rPr>
        <w:t xml:space="preserve">Date: </w:t>
      </w:r>
      <w:r w:rsidR="00DC298C" w:rsidRPr="00291A3F">
        <w:rPr>
          <w:rFonts w:ascii="Arial" w:hAnsi="Arial" w:cs="Arial"/>
          <w:b/>
          <w:bCs/>
        </w:rPr>
        <w:t>17</w:t>
      </w:r>
      <w:r w:rsidRPr="00291A3F">
        <w:rPr>
          <w:rFonts w:ascii="Arial" w:hAnsi="Arial" w:cs="Arial"/>
          <w:b/>
          <w:bCs/>
        </w:rPr>
        <w:t>/</w:t>
      </w:r>
      <w:r w:rsidR="00DC298C" w:rsidRPr="00291A3F">
        <w:rPr>
          <w:rFonts w:ascii="Arial" w:hAnsi="Arial" w:cs="Arial"/>
          <w:b/>
          <w:bCs/>
        </w:rPr>
        <w:t>01</w:t>
      </w:r>
      <w:r w:rsidRPr="00291A3F">
        <w:rPr>
          <w:rFonts w:ascii="Arial" w:hAnsi="Arial" w:cs="Arial"/>
          <w:b/>
          <w:bCs/>
        </w:rPr>
        <w:t>/20</w:t>
      </w:r>
      <w:r w:rsidR="00DC298C" w:rsidRPr="00291A3F">
        <w:rPr>
          <w:rFonts w:ascii="Arial" w:hAnsi="Arial" w:cs="Arial"/>
          <w:b/>
          <w:bCs/>
        </w:rPr>
        <w:t>20</w:t>
      </w:r>
    </w:p>
    <w:p w14:paraId="40FD8788" w14:textId="0F7C119F" w:rsidR="00811F2C" w:rsidRDefault="004517A9" w:rsidP="00291A3F">
      <w:pPr>
        <w:spacing w:before="240" w:line="360" w:lineRule="auto"/>
        <w:jc w:val="both"/>
        <w:rPr>
          <w:rFonts w:ascii="Arial" w:hAnsi="Arial" w:cs="Arial"/>
        </w:rPr>
      </w:pPr>
      <w:r>
        <w:rPr>
          <w:rFonts w:ascii="Arial" w:hAnsi="Arial" w:cs="Arial"/>
          <w:b/>
          <w:bCs/>
        </w:rPr>
        <w:lastRenderedPageBreak/>
        <w:t xml:space="preserve">1. </w:t>
      </w:r>
      <w:r w:rsidR="00262D17" w:rsidRPr="00090A63">
        <w:rPr>
          <w:rFonts w:ascii="Arial" w:hAnsi="Arial" w:cs="Arial"/>
          <w:b/>
          <w:bCs/>
        </w:rPr>
        <w:t>Abstract:</w:t>
      </w:r>
      <w:r w:rsidR="00262D17" w:rsidRPr="00090A63">
        <w:rPr>
          <w:rFonts w:ascii="Arial" w:hAnsi="Arial" w:cs="Arial"/>
        </w:rPr>
        <w:t xml:space="preserve"> </w:t>
      </w:r>
      <w:r w:rsidR="00106604" w:rsidRPr="00090A63">
        <w:rPr>
          <w:rFonts w:ascii="Arial" w:hAnsi="Arial" w:cs="Arial"/>
        </w:rPr>
        <w:t xml:space="preserve">The purpose of this paper is to give an insight of the financial </w:t>
      </w:r>
      <w:r w:rsidR="00F002FD" w:rsidRPr="00090A63">
        <w:rPr>
          <w:rFonts w:ascii="Arial" w:hAnsi="Arial" w:cs="Arial"/>
        </w:rPr>
        <w:t>position</w:t>
      </w:r>
      <w:r w:rsidR="00106604" w:rsidRPr="00090A63">
        <w:rPr>
          <w:rFonts w:ascii="Arial" w:hAnsi="Arial" w:cs="Arial"/>
        </w:rPr>
        <w:t xml:space="preserve"> of Nestle, one of the </w:t>
      </w:r>
      <w:r w:rsidR="00CD564B" w:rsidRPr="00090A63">
        <w:rPr>
          <w:rFonts w:ascii="Arial" w:hAnsi="Arial" w:cs="Arial"/>
        </w:rPr>
        <w:t>biggest multinational compan</w:t>
      </w:r>
      <w:r w:rsidR="00262D17" w:rsidRPr="00090A63">
        <w:rPr>
          <w:rFonts w:ascii="Arial" w:hAnsi="Arial" w:cs="Arial"/>
        </w:rPr>
        <w:t>ies</w:t>
      </w:r>
      <w:r w:rsidR="00CD564B" w:rsidRPr="00090A63">
        <w:rPr>
          <w:rFonts w:ascii="Arial" w:hAnsi="Arial" w:cs="Arial"/>
        </w:rPr>
        <w:t xml:space="preserve"> nowadays. </w:t>
      </w:r>
      <w:r w:rsidR="008D4D1D" w:rsidRPr="00090A63">
        <w:rPr>
          <w:rFonts w:ascii="Arial" w:hAnsi="Arial" w:cs="Arial"/>
        </w:rPr>
        <w:t xml:space="preserve">The chosen organisation has been operating </w:t>
      </w:r>
      <w:r w:rsidR="00262D17" w:rsidRPr="00090A63">
        <w:rPr>
          <w:rFonts w:ascii="Arial" w:hAnsi="Arial" w:cs="Arial"/>
        </w:rPr>
        <w:t xml:space="preserve">in the food and beverage industry </w:t>
      </w:r>
      <w:r w:rsidR="008D4D1D" w:rsidRPr="00090A63">
        <w:rPr>
          <w:rFonts w:ascii="Arial" w:hAnsi="Arial" w:cs="Arial"/>
        </w:rPr>
        <w:t xml:space="preserve">for more than a </w:t>
      </w:r>
      <w:r w:rsidR="00811F2C" w:rsidRPr="00090A63">
        <w:rPr>
          <w:rFonts w:ascii="Arial" w:hAnsi="Arial" w:cs="Arial"/>
        </w:rPr>
        <w:t xml:space="preserve">century and therefore it has been encountering many challenges throughout its way to success. </w:t>
      </w:r>
      <w:r w:rsidR="00AD4A92" w:rsidRPr="00090A63">
        <w:rPr>
          <w:rFonts w:ascii="Arial" w:hAnsi="Arial" w:cs="Arial"/>
        </w:rPr>
        <w:t>Th</w:t>
      </w:r>
      <w:r w:rsidR="00F002FD" w:rsidRPr="00090A63">
        <w:rPr>
          <w:rFonts w:ascii="Arial" w:hAnsi="Arial" w:cs="Arial"/>
        </w:rPr>
        <w:t>is report is conducting a</w:t>
      </w:r>
      <w:r w:rsidR="00AD4A92" w:rsidRPr="00090A63">
        <w:rPr>
          <w:rFonts w:ascii="Arial" w:hAnsi="Arial" w:cs="Arial"/>
        </w:rPr>
        <w:t xml:space="preserve"> financial analysis</w:t>
      </w:r>
      <w:r w:rsidR="00411085">
        <w:rPr>
          <w:rFonts w:ascii="Arial" w:hAnsi="Arial" w:cs="Arial"/>
        </w:rPr>
        <w:t xml:space="preserve"> for the 2014-2018 period which</w:t>
      </w:r>
      <w:r w:rsidR="00F002FD" w:rsidRPr="00090A63">
        <w:rPr>
          <w:rFonts w:ascii="Arial" w:hAnsi="Arial" w:cs="Arial"/>
        </w:rPr>
        <w:t xml:space="preserve"> </w:t>
      </w:r>
      <w:r w:rsidR="00AD4A92" w:rsidRPr="00090A63">
        <w:rPr>
          <w:rFonts w:ascii="Arial" w:hAnsi="Arial" w:cs="Arial"/>
        </w:rPr>
        <w:t xml:space="preserve">includes the profitability ratios, liquidity ratios, efficiency ratios, leverage (gearing) ratios and investment returns. </w:t>
      </w:r>
      <w:r w:rsidR="00F002FD" w:rsidRPr="00090A63">
        <w:rPr>
          <w:rFonts w:ascii="Arial" w:hAnsi="Arial" w:cs="Arial"/>
        </w:rPr>
        <w:t>In the first part of the report, the company overview is presented; in the second part, the Nestle’s financial performance is analysed for the last five years</w:t>
      </w:r>
      <w:r w:rsidR="00D727B6" w:rsidRPr="00090A63">
        <w:rPr>
          <w:rFonts w:ascii="Arial" w:hAnsi="Arial" w:cs="Arial"/>
        </w:rPr>
        <w:t>; and, finally, the investment appraisal techniques are discussed.</w:t>
      </w:r>
      <w:r w:rsidR="00411085">
        <w:rPr>
          <w:rFonts w:ascii="Arial" w:hAnsi="Arial" w:cs="Arial"/>
        </w:rPr>
        <w:t xml:space="preserve"> </w:t>
      </w:r>
      <w:r w:rsidR="00C422F2">
        <w:rPr>
          <w:rFonts w:ascii="Arial" w:hAnsi="Arial" w:cs="Arial"/>
        </w:rPr>
        <w:t>Note that the information in regards to the company’s operation and performance are based on the Nestle’s 2018 annual report.</w:t>
      </w:r>
      <w:r w:rsidR="00C422F2" w:rsidRPr="00C422F2">
        <w:t xml:space="preserve"> </w:t>
      </w:r>
      <w:r w:rsidR="00C422F2" w:rsidRPr="00C422F2">
        <w:rPr>
          <w:rFonts w:ascii="Arial" w:hAnsi="Arial" w:cs="Arial"/>
        </w:rPr>
        <w:t>Please see the appendix for the ratios’ calculation.</w:t>
      </w:r>
    </w:p>
    <w:p w14:paraId="297D8998" w14:textId="77777777" w:rsidR="00090A63" w:rsidRPr="00090A63" w:rsidRDefault="00090A63" w:rsidP="00291A3F">
      <w:pPr>
        <w:spacing w:before="240" w:line="360" w:lineRule="auto"/>
        <w:jc w:val="both"/>
        <w:rPr>
          <w:rFonts w:ascii="Arial" w:hAnsi="Arial" w:cs="Arial"/>
        </w:rPr>
      </w:pPr>
    </w:p>
    <w:p w14:paraId="756EECF8" w14:textId="77777777" w:rsidR="00DC298C" w:rsidRDefault="00DC298C" w:rsidP="00291A3F">
      <w:pPr>
        <w:spacing w:before="240" w:line="360" w:lineRule="auto"/>
        <w:jc w:val="both"/>
        <w:rPr>
          <w:rFonts w:ascii="Arial" w:hAnsi="Arial" w:cs="Arial"/>
          <w:b/>
          <w:bCs/>
        </w:rPr>
      </w:pPr>
    </w:p>
    <w:p w14:paraId="191D77BD" w14:textId="77777777" w:rsidR="00DC298C" w:rsidRDefault="00DC298C" w:rsidP="00291A3F">
      <w:pPr>
        <w:spacing w:before="240" w:line="360" w:lineRule="auto"/>
        <w:jc w:val="both"/>
        <w:rPr>
          <w:rFonts w:ascii="Arial" w:hAnsi="Arial" w:cs="Arial"/>
          <w:b/>
          <w:bCs/>
        </w:rPr>
      </w:pPr>
    </w:p>
    <w:p w14:paraId="5319BF08" w14:textId="77777777" w:rsidR="00DC298C" w:rsidRDefault="00DC298C" w:rsidP="00291A3F">
      <w:pPr>
        <w:spacing w:before="240" w:line="360" w:lineRule="auto"/>
        <w:jc w:val="both"/>
        <w:rPr>
          <w:rFonts w:ascii="Arial" w:hAnsi="Arial" w:cs="Arial"/>
          <w:b/>
          <w:bCs/>
        </w:rPr>
      </w:pPr>
    </w:p>
    <w:p w14:paraId="47A49FCA" w14:textId="77777777" w:rsidR="00DC298C" w:rsidRDefault="00DC298C" w:rsidP="00291A3F">
      <w:pPr>
        <w:spacing w:before="240" w:line="360" w:lineRule="auto"/>
        <w:jc w:val="both"/>
        <w:rPr>
          <w:rFonts w:ascii="Arial" w:hAnsi="Arial" w:cs="Arial"/>
          <w:b/>
          <w:bCs/>
        </w:rPr>
      </w:pPr>
    </w:p>
    <w:p w14:paraId="4D89F905" w14:textId="77777777" w:rsidR="00DC298C" w:rsidRDefault="00DC298C" w:rsidP="00291A3F">
      <w:pPr>
        <w:spacing w:before="240" w:line="360" w:lineRule="auto"/>
        <w:jc w:val="both"/>
        <w:rPr>
          <w:rFonts w:ascii="Arial" w:hAnsi="Arial" w:cs="Arial"/>
          <w:b/>
          <w:bCs/>
        </w:rPr>
      </w:pPr>
    </w:p>
    <w:p w14:paraId="7C6E4CBD" w14:textId="77777777" w:rsidR="00DC298C" w:rsidRDefault="00DC298C" w:rsidP="00291A3F">
      <w:pPr>
        <w:spacing w:before="240" w:line="360" w:lineRule="auto"/>
        <w:jc w:val="both"/>
        <w:rPr>
          <w:rFonts w:ascii="Arial" w:hAnsi="Arial" w:cs="Arial"/>
          <w:b/>
          <w:bCs/>
        </w:rPr>
      </w:pPr>
    </w:p>
    <w:p w14:paraId="6EE493AF" w14:textId="77777777" w:rsidR="00DC298C" w:rsidRDefault="00DC298C" w:rsidP="00291A3F">
      <w:pPr>
        <w:spacing w:before="240" w:line="360" w:lineRule="auto"/>
        <w:jc w:val="both"/>
        <w:rPr>
          <w:rFonts w:ascii="Arial" w:hAnsi="Arial" w:cs="Arial"/>
          <w:b/>
          <w:bCs/>
        </w:rPr>
      </w:pPr>
    </w:p>
    <w:p w14:paraId="47BF7C8F" w14:textId="77777777" w:rsidR="00DC298C" w:rsidRDefault="00DC298C" w:rsidP="00291A3F">
      <w:pPr>
        <w:spacing w:before="240" w:line="360" w:lineRule="auto"/>
        <w:jc w:val="both"/>
        <w:rPr>
          <w:rFonts w:ascii="Arial" w:hAnsi="Arial" w:cs="Arial"/>
          <w:b/>
          <w:bCs/>
        </w:rPr>
      </w:pPr>
    </w:p>
    <w:p w14:paraId="431074F2" w14:textId="77777777" w:rsidR="00DC298C" w:rsidRDefault="00DC298C" w:rsidP="00291A3F">
      <w:pPr>
        <w:spacing w:before="240" w:line="360" w:lineRule="auto"/>
        <w:jc w:val="both"/>
        <w:rPr>
          <w:rFonts w:ascii="Arial" w:hAnsi="Arial" w:cs="Arial"/>
          <w:b/>
          <w:bCs/>
        </w:rPr>
      </w:pPr>
    </w:p>
    <w:p w14:paraId="1FE13AA8" w14:textId="77777777" w:rsidR="00DC298C" w:rsidRDefault="00DC298C" w:rsidP="00291A3F">
      <w:pPr>
        <w:spacing w:before="240" w:line="360" w:lineRule="auto"/>
        <w:jc w:val="both"/>
        <w:rPr>
          <w:rFonts w:ascii="Arial" w:hAnsi="Arial" w:cs="Arial"/>
          <w:b/>
          <w:bCs/>
        </w:rPr>
      </w:pPr>
    </w:p>
    <w:p w14:paraId="31DB9C93" w14:textId="77777777" w:rsidR="00DC298C" w:rsidRDefault="00DC298C" w:rsidP="00291A3F">
      <w:pPr>
        <w:spacing w:before="240" w:line="360" w:lineRule="auto"/>
        <w:jc w:val="both"/>
        <w:rPr>
          <w:rFonts w:ascii="Arial" w:hAnsi="Arial" w:cs="Arial"/>
          <w:b/>
          <w:bCs/>
        </w:rPr>
      </w:pPr>
    </w:p>
    <w:p w14:paraId="4D1DD396" w14:textId="77777777" w:rsidR="00DC298C" w:rsidRDefault="00DC298C" w:rsidP="00291A3F">
      <w:pPr>
        <w:spacing w:before="240" w:line="360" w:lineRule="auto"/>
        <w:jc w:val="both"/>
        <w:rPr>
          <w:rFonts w:ascii="Arial" w:hAnsi="Arial" w:cs="Arial"/>
          <w:b/>
          <w:bCs/>
        </w:rPr>
      </w:pPr>
    </w:p>
    <w:p w14:paraId="34EECE29" w14:textId="77777777" w:rsidR="00DC298C" w:rsidRDefault="00DC298C" w:rsidP="00291A3F">
      <w:pPr>
        <w:spacing w:before="240" w:line="360" w:lineRule="auto"/>
        <w:jc w:val="both"/>
        <w:rPr>
          <w:rFonts w:ascii="Arial" w:hAnsi="Arial" w:cs="Arial"/>
          <w:b/>
          <w:bCs/>
        </w:rPr>
      </w:pPr>
    </w:p>
    <w:p w14:paraId="63B0B13B" w14:textId="0C0A671D" w:rsidR="00291A3F" w:rsidRDefault="00291A3F" w:rsidP="00291A3F">
      <w:pPr>
        <w:spacing w:before="240" w:line="360" w:lineRule="auto"/>
        <w:jc w:val="both"/>
        <w:rPr>
          <w:rFonts w:ascii="Arial" w:hAnsi="Arial" w:cs="Arial"/>
          <w:b/>
          <w:bCs/>
        </w:rPr>
      </w:pPr>
    </w:p>
    <w:p w14:paraId="73269EE0" w14:textId="33DC79B9" w:rsidR="004517A9" w:rsidRPr="004517A9" w:rsidRDefault="004517A9" w:rsidP="004517A9">
      <w:pPr>
        <w:pStyle w:val="ListParagraph"/>
        <w:keepNext/>
        <w:keepLines/>
        <w:numPr>
          <w:ilvl w:val="0"/>
          <w:numId w:val="13"/>
        </w:numPr>
        <w:spacing w:after="0" w:line="360" w:lineRule="auto"/>
        <w:jc w:val="both"/>
        <w:outlineLvl w:val="0"/>
        <w:rPr>
          <w:rFonts w:ascii="Arial" w:eastAsiaTheme="majorEastAsia" w:hAnsi="Arial" w:cs="Arial"/>
          <w:b/>
          <w:bCs/>
          <w:color w:val="000000" w:themeColor="text1"/>
          <w:szCs w:val="18"/>
        </w:rPr>
      </w:pPr>
      <w:r w:rsidRPr="004517A9">
        <w:rPr>
          <w:rFonts w:ascii="Arial" w:eastAsiaTheme="majorEastAsia" w:hAnsi="Arial" w:cs="Arial"/>
          <w:b/>
          <w:bCs/>
          <w:color w:val="000000" w:themeColor="text1"/>
          <w:szCs w:val="18"/>
        </w:rPr>
        <w:lastRenderedPageBreak/>
        <w:t>Table of Contents</w:t>
      </w:r>
    </w:p>
    <w:p w14:paraId="2BA9E718" w14:textId="77777777" w:rsidR="004517A9" w:rsidRPr="00FA3466" w:rsidRDefault="004517A9" w:rsidP="004517A9">
      <w:pPr>
        <w:keepNext/>
        <w:keepLines/>
        <w:spacing w:after="0" w:line="360" w:lineRule="auto"/>
        <w:jc w:val="both"/>
        <w:rPr>
          <w:rFonts w:eastAsiaTheme="majorEastAsia" w:cstheme="minorHAnsi"/>
          <w:b/>
          <w:bCs/>
          <w:sz w:val="32"/>
          <w:szCs w:val="28"/>
          <w:lang w:val="en-US" w:eastAsia="ja-JP"/>
        </w:rPr>
      </w:pPr>
    </w:p>
    <w:p w14:paraId="301356F7" w14:textId="77777777" w:rsidR="004517A9" w:rsidRPr="00317440" w:rsidRDefault="004517A9" w:rsidP="004517A9">
      <w:pPr>
        <w:numPr>
          <w:ilvl w:val="0"/>
          <w:numId w:val="12"/>
        </w:numPr>
        <w:tabs>
          <w:tab w:val="right" w:leader="dot" w:pos="9016"/>
        </w:tabs>
        <w:spacing w:after="100" w:line="360" w:lineRule="auto"/>
        <w:jc w:val="both"/>
        <w:rPr>
          <w:rFonts w:ascii="Arial" w:hAnsi="Arial" w:cs="Arial"/>
        </w:rPr>
      </w:pPr>
      <w:r w:rsidRPr="00317440">
        <w:rPr>
          <w:rFonts w:ascii="Arial" w:hAnsi="Arial" w:cs="Arial"/>
        </w:rPr>
        <w:fldChar w:fldCharType="begin"/>
      </w:r>
      <w:r w:rsidRPr="00317440">
        <w:rPr>
          <w:rFonts w:ascii="Arial" w:hAnsi="Arial" w:cs="Arial"/>
        </w:rPr>
        <w:instrText xml:space="preserve"> TOC \o "1-3" \h \z \u </w:instrText>
      </w:r>
      <w:r w:rsidRPr="00317440">
        <w:rPr>
          <w:rFonts w:ascii="Arial" w:hAnsi="Arial" w:cs="Arial"/>
        </w:rPr>
        <w:fldChar w:fldCharType="separate"/>
      </w:r>
      <w:hyperlink r:id="rId8" w:anchor="_Toc445332891" w:history="1">
        <w:r w:rsidRPr="00317440">
          <w:rPr>
            <w:rFonts w:ascii="Arial" w:hAnsi="Arial" w:cs="Arial"/>
            <w:noProof/>
          </w:rPr>
          <w:t>Abstract</w:t>
        </w:r>
        <w:r w:rsidRPr="00317440">
          <w:rPr>
            <w:rFonts w:ascii="Arial" w:hAnsi="Arial" w:cs="Arial"/>
            <w:noProof/>
            <w:webHidden/>
          </w:rPr>
          <w:tab/>
        </w:r>
        <w:bookmarkStart w:id="0" w:name="_Hlk26305698"/>
        <w:r w:rsidRPr="00317440">
          <w:rPr>
            <w:rFonts w:ascii="Arial" w:hAnsi="Arial" w:cs="Arial"/>
            <w:noProof/>
            <w:webHidden/>
          </w:rPr>
          <w:t>2</w:t>
        </w:r>
        <w:bookmarkEnd w:id="0"/>
      </w:hyperlink>
    </w:p>
    <w:p w14:paraId="70FC1400" w14:textId="77777777" w:rsidR="004517A9" w:rsidRPr="00317440" w:rsidRDefault="001D1170" w:rsidP="004517A9">
      <w:pPr>
        <w:numPr>
          <w:ilvl w:val="0"/>
          <w:numId w:val="12"/>
        </w:numPr>
        <w:tabs>
          <w:tab w:val="right" w:leader="dot" w:pos="9016"/>
        </w:tabs>
        <w:spacing w:after="100" w:line="360" w:lineRule="auto"/>
        <w:jc w:val="both"/>
        <w:rPr>
          <w:rFonts w:ascii="Arial" w:hAnsi="Arial" w:cs="Arial"/>
          <w:noProof/>
        </w:rPr>
      </w:pPr>
      <w:hyperlink r:id="rId9" w:anchor="_Toc445332892" w:history="1">
        <w:r w:rsidR="004517A9" w:rsidRPr="00317440">
          <w:rPr>
            <w:rFonts w:ascii="Arial" w:hAnsi="Arial" w:cs="Arial"/>
            <w:noProof/>
          </w:rPr>
          <w:t>Table of Contents</w:t>
        </w:r>
        <w:r w:rsidR="004517A9" w:rsidRPr="00317440">
          <w:rPr>
            <w:rFonts w:ascii="Arial" w:hAnsi="Arial" w:cs="Arial"/>
            <w:noProof/>
            <w:webHidden/>
          </w:rPr>
          <w:tab/>
        </w:r>
        <w:r w:rsidR="004517A9" w:rsidRPr="00317440">
          <w:rPr>
            <w:rFonts w:ascii="Arial" w:hAnsi="Arial" w:cs="Arial"/>
            <w:noProof/>
          </w:rPr>
          <w:t>2</w:t>
        </w:r>
      </w:hyperlink>
    </w:p>
    <w:p w14:paraId="11982EC7" w14:textId="58C067CA" w:rsidR="004517A9" w:rsidRPr="00317440" w:rsidRDefault="004517A9" w:rsidP="004517A9">
      <w:pPr>
        <w:numPr>
          <w:ilvl w:val="0"/>
          <w:numId w:val="12"/>
        </w:numPr>
        <w:tabs>
          <w:tab w:val="right" w:leader="dot" w:pos="9016"/>
        </w:tabs>
        <w:spacing w:after="100" w:line="360" w:lineRule="auto"/>
        <w:jc w:val="both"/>
        <w:rPr>
          <w:rFonts w:ascii="Arial" w:hAnsi="Arial" w:cs="Arial"/>
          <w:noProof/>
        </w:rPr>
      </w:pPr>
      <w:r w:rsidRPr="00317440">
        <w:rPr>
          <w:rFonts w:ascii="Arial" w:hAnsi="Arial" w:cs="Arial"/>
        </w:rPr>
        <w:t xml:space="preserve">Company overview  </w:t>
      </w:r>
      <w:hyperlink r:id="rId10" w:anchor="_Toc445332893" w:history="1">
        <w:r w:rsidRPr="00317440">
          <w:rPr>
            <w:rFonts w:ascii="Arial" w:hAnsi="Arial" w:cs="Arial"/>
            <w:noProof/>
            <w:webHidden/>
          </w:rPr>
          <w:tab/>
          <w:t>3</w:t>
        </w:r>
      </w:hyperlink>
    </w:p>
    <w:p w14:paraId="164735A1" w14:textId="1B905CEF" w:rsidR="004517A9" w:rsidRPr="00317440" w:rsidRDefault="004517A9" w:rsidP="004517A9">
      <w:pPr>
        <w:numPr>
          <w:ilvl w:val="0"/>
          <w:numId w:val="12"/>
        </w:numPr>
        <w:tabs>
          <w:tab w:val="right" w:leader="dot" w:pos="9016"/>
        </w:tabs>
        <w:spacing w:after="100" w:line="360" w:lineRule="auto"/>
        <w:jc w:val="both"/>
        <w:rPr>
          <w:rFonts w:ascii="Arial" w:hAnsi="Arial" w:cs="Arial"/>
          <w:noProof/>
        </w:rPr>
      </w:pPr>
      <w:bookmarkStart w:id="1" w:name="_Hlk25567630"/>
      <w:r w:rsidRPr="00317440">
        <w:rPr>
          <w:rFonts w:ascii="Arial" w:hAnsi="Arial" w:cs="Arial"/>
        </w:rPr>
        <w:t xml:space="preserve">Financial analysis of the Nestle Group </w:t>
      </w:r>
      <w:hyperlink r:id="rId11" w:anchor="_Toc445332894" w:history="1">
        <w:r w:rsidRPr="00317440">
          <w:rPr>
            <w:rFonts w:ascii="Arial" w:hAnsi="Arial" w:cs="Arial"/>
            <w:noProof/>
            <w:webHidden/>
          </w:rPr>
          <w:tab/>
        </w:r>
        <w:r w:rsidR="00375B0B">
          <w:rPr>
            <w:rFonts w:ascii="Arial" w:hAnsi="Arial" w:cs="Arial"/>
            <w:noProof/>
            <w:webHidden/>
          </w:rPr>
          <w:t>5</w:t>
        </w:r>
      </w:hyperlink>
    </w:p>
    <w:p w14:paraId="742D915E" w14:textId="0B668DB8" w:rsidR="004517A9" w:rsidRPr="00317440" w:rsidRDefault="004517A9" w:rsidP="004517A9">
      <w:pPr>
        <w:tabs>
          <w:tab w:val="right" w:leader="dot" w:pos="9016"/>
        </w:tabs>
        <w:spacing w:after="100" w:line="360" w:lineRule="auto"/>
        <w:ind w:left="720"/>
        <w:jc w:val="both"/>
        <w:rPr>
          <w:rFonts w:ascii="Arial" w:hAnsi="Arial" w:cs="Arial"/>
          <w:noProof/>
        </w:rPr>
      </w:pPr>
      <w:r w:rsidRPr="00317440">
        <w:rPr>
          <w:rFonts w:ascii="Arial" w:hAnsi="Arial" w:cs="Arial"/>
          <w:noProof/>
        </w:rPr>
        <w:t>A. Financial Highlights 2018………………………………………………………………...</w:t>
      </w:r>
      <w:r w:rsidR="00375B0B">
        <w:rPr>
          <w:rFonts w:ascii="Arial" w:hAnsi="Arial" w:cs="Arial"/>
          <w:noProof/>
        </w:rPr>
        <w:t>6</w:t>
      </w:r>
    </w:p>
    <w:p w14:paraId="11003C60" w14:textId="4E0D11DC" w:rsidR="004517A9" w:rsidRPr="00317440" w:rsidRDefault="004517A9" w:rsidP="004517A9">
      <w:pPr>
        <w:tabs>
          <w:tab w:val="right" w:leader="dot" w:pos="9016"/>
        </w:tabs>
        <w:spacing w:after="100" w:line="360" w:lineRule="auto"/>
        <w:ind w:left="720"/>
        <w:jc w:val="both"/>
        <w:rPr>
          <w:rFonts w:ascii="Arial" w:hAnsi="Arial" w:cs="Arial"/>
          <w:noProof/>
        </w:rPr>
      </w:pPr>
      <w:r w:rsidRPr="00317440">
        <w:rPr>
          <w:rFonts w:ascii="Arial" w:hAnsi="Arial" w:cs="Arial"/>
          <w:noProof/>
        </w:rPr>
        <w:t>B. Ratio Analysis……………………………………………………………………………..</w:t>
      </w:r>
      <w:r w:rsidR="00375B0B">
        <w:rPr>
          <w:rFonts w:ascii="Arial" w:hAnsi="Arial" w:cs="Arial"/>
          <w:noProof/>
        </w:rPr>
        <w:t>9</w:t>
      </w:r>
    </w:p>
    <w:bookmarkEnd w:id="1"/>
    <w:p w14:paraId="44E110D8" w14:textId="74FF0D4A" w:rsidR="004517A9" w:rsidRPr="00317440" w:rsidRDefault="004517A9" w:rsidP="004517A9">
      <w:pPr>
        <w:numPr>
          <w:ilvl w:val="0"/>
          <w:numId w:val="12"/>
        </w:numPr>
        <w:tabs>
          <w:tab w:val="right" w:leader="dot" w:pos="9016"/>
        </w:tabs>
        <w:spacing w:after="100" w:line="360" w:lineRule="auto"/>
        <w:jc w:val="both"/>
        <w:rPr>
          <w:rFonts w:ascii="Arial" w:hAnsi="Arial" w:cs="Arial"/>
          <w:noProof/>
        </w:rPr>
      </w:pPr>
      <w:r w:rsidRPr="00317440">
        <w:rPr>
          <w:rFonts w:ascii="Arial" w:hAnsi="Arial" w:cs="Arial"/>
        </w:rPr>
        <w:fldChar w:fldCharType="begin"/>
      </w:r>
      <w:r w:rsidRPr="00317440">
        <w:rPr>
          <w:rFonts w:ascii="Arial" w:hAnsi="Arial" w:cs="Arial"/>
        </w:rPr>
        <w:instrText xml:space="preserve"> HYPERLINK "file:///C:\\Users\\Adrian\\Desktop\\Airbnb.docx" \l "_Toc445332894" </w:instrText>
      </w:r>
      <w:r w:rsidRPr="00317440">
        <w:rPr>
          <w:rFonts w:ascii="Arial" w:hAnsi="Arial" w:cs="Arial"/>
        </w:rPr>
        <w:fldChar w:fldCharType="separate"/>
      </w:r>
      <w:r w:rsidR="00317440" w:rsidRPr="00317440">
        <w:rPr>
          <w:rFonts w:ascii="Arial" w:hAnsi="Arial" w:cs="Arial"/>
          <w:noProof/>
        </w:rPr>
        <w:t>Investment Appraisal Techniques</w:t>
      </w:r>
      <w:r w:rsidRPr="00317440">
        <w:rPr>
          <w:rFonts w:ascii="Arial" w:hAnsi="Arial" w:cs="Arial"/>
          <w:noProof/>
          <w:webHidden/>
        </w:rPr>
        <w:tab/>
      </w:r>
      <w:r w:rsidR="00375B0B">
        <w:rPr>
          <w:rFonts w:ascii="Arial" w:hAnsi="Arial" w:cs="Arial"/>
          <w:noProof/>
          <w:webHidden/>
        </w:rPr>
        <w:t>18</w:t>
      </w:r>
      <w:r w:rsidRPr="00317440">
        <w:rPr>
          <w:rFonts w:ascii="Arial" w:hAnsi="Arial" w:cs="Arial"/>
          <w:noProof/>
        </w:rPr>
        <w:fldChar w:fldCharType="end"/>
      </w:r>
    </w:p>
    <w:p w14:paraId="5D309DD2" w14:textId="09389ABF" w:rsidR="004517A9" w:rsidRPr="00317440" w:rsidRDefault="001D1170" w:rsidP="004517A9">
      <w:pPr>
        <w:numPr>
          <w:ilvl w:val="0"/>
          <w:numId w:val="12"/>
        </w:numPr>
        <w:tabs>
          <w:tab w:val="right" w:leader="dot" w:pos="9016"/>
        </w:tabs>
        <w:spacing w:after="100" w:line="360" w:lineRule="auto"/>
        <w:jc w:val="both"/>
        <w:rPr>
          <w:rFonts w:ascii="Arial" w:eastAsiaTheme="minorEastAsia" w:hAnsi="Arial" w:cs="Arial"/>
          <w:noProof/>
          <w:lang w:eastAsia="en-GB"/>
        </w:rPr>
      </w:pPr>
      <w:hyperlink r:id="rId12" w:anchor="_Toc445332900" w:history="1">
        <w:r w:rsidR="004517A9" w:rsidRPr="00317440">
          <w:rPr>
            <w:rFonts w:ascii="Arial" w:hAnsi="Arial" w:cs="Arial"/>
            <w:noProof/>
          </w:rPr>
          <w:t>Conclusion</w:t>
        </w:r>
        <w:r w:rsidR="004517A9" w:rsidRPr="00317440">
          <w:rPr>
            <w:rFonts w:ascii="Arial" w:hAnsi="Arial" w:cs="Arial"/>
            <w:noProof/>
            <w:webHidden/>
          </w:rPr>
          <w:tab/>
        </w:r>
        <w:r w:rsidR="00375B0B">
          <w:rPr>
            <w:rFonts w:ascii="Arial" w:hAnsi="Arial" w:cs="Arial"/>
            <w:noProof/>
            <w:webHidden/>
          </w:rPr>
          <w:t>21</w:t>
        </w:r>
      </w:hyperlink>
    </w:p>
    <w:p w14:paraId="2D236146" w14:textId="084782C1" w:rsidR="004517A9" w:rsidRPr="00317440" w:rsidRDefault="001D1170" w:rsidP="004517A9">
      <w:pPr>
        <w:numPr>
          <w:ilvl w:val="0"/>
          <w:numId w:val="12"/>
        </w:numPr>
        <w:tabs>
          <w:tab w:val="right" w:leader="dot" w:pos="9016"/>
        </w:tabs>
        <w:spacing w:after="100" w:line="360" w:lineRule="auto"/>
        <w:jc w:val="both"/>
        <w:rPr>
          <w:rFonts w:ascii="Arial" w:eastAsiaTheme="minorEastAsia" w:hAnsi="Arial" w:cs="Arial"/>
          <w:noProof/>
          <w:lang w:eastAsia="en-GB"/>
        </w:rPr>
      </w:pPr>
      <w:hyperlink r:id="rId13" w:anchor="_Toc445332901" w:history="1">
        <w:r w:rsidR="004517A9" w:rsidRPr="00317440">
          <w:rPr>
            <w:rFonts w:ascii="Arial" w:hAnsi="Arial" w:cs="Arial"/>
            <w:noProof/>
          </w:rPr>
          <w:t>References</w:t>
        </w:r>
        <w:r w:rsidR="004517A9" w:rsidRPr="00317440">
          <w:rPr>
            <w:rFonts w:ascii="Arial" w:hAnsi="Arial" w:cs="Arial"/>
            <w:noProof/>
            <w:webHidden/>
          </w:rPr>
          <w:tab/>
        </w:r>
        <w:r w:rsidR="00375B0B">
          <w:rPr>
            <w:rFonts w:ascii="Arial" w:hAnsi="Arial" w:cs="Arial"/>
            <w:noProof/>
            <w:webHidden/>
          </w:rPr>
          <w:t>22</w:t>
        </w:r>
      </w:hyperlink>
    </w:p>
    <w:p w14:paraId="4157880E" w14:textId="54C23330" w:rsidR="004517A9" w:rsidRPr="00317440" w:rsidRDefault="004517A9" w:rsidP="004517A9">
      <w:pPr>
        <w:numPr>
          <w:ilvl w:val="0"/>
          <w:numId w:val="12"/>
        </w:numPr>
        <w:tabs>
          <w:tab w:val="right" w:leader="dot" w:pos="9016"/>
        </w:tabs>
        <w:spacing w:after="100" w:line="360" w:lineRule="auto"/>
        <w:jc w:val="both"/>
        <w:rPr>
          <w:rFonts w:ascii="Arial" w:eastAsiaTheme="minorEastAsia" w:hAnsi="Arial" w:cs="Arial"/>
          <w:noProof/>
          <w:lang w:eastAsia="en-GB"/>
        </w:rPr>
      </w:pPr>
      <w:r w:rsidRPr="00317440">
        <w:rPr>
          <w:rFonts w:ascii="Arial" w:hAnsi="Arial" w:cs="Arial"/>
          <w:noProof/>
        </w:rPr>
        <w:t>Appendices…………………………………………………</w:t>
      </w:r>
      <w:r w:rsidR="00317440">
        <w:rPr>
          <w:rFonts w:ascii="Arial" w:hAnsi="Arial" w:cs="Arial"/>
          <w:noProof/>
        </w:rPr>
        <w:t>……………………………….</w:t>
      </w:r>
      <w:r w:rsidR="00375B0B">
        <w:rPr>
          <w:rFonts w:ascii="Arial" w:hAnsi="Arial" w:cs="Arial"/>
          <w:noProof/>
        </w:rPr>
        <w:t>23</w:t>
      </w:r>
    </w:p>
    <w:p w14:paraId="560B61D1" w14:textId="77777777" w:rsidR="004517A9" w:rsidRPr="00317440" w:rsidRDefault="004517A9" w:rsidP="004517A9">
      <w:pPr>
        <w:tabs>
          <w:tab w:val="right" w:leader="dot" w:pos="9016"/>
        </w:tabs>
        <w:spacing w:after="100" w:line="360" w:lineRule="auto"/>
        <w:jc w:val="both"/>
        <w:rPr>
          <w:rFonts w:ascii="Arial" w:eastAsiaTheme="minorEastAsia" w:hAnsi="Arial" w:cs="Arial"/>
          <w:noProof/>
          <w:lang w:eastAsia="en-GB"/>
        </w:rPr>
      </w:pPr>
    </w:p>
    <w:p w14:paraId="0DB47BE0" w14:textId="77777777" w:rsidR="004517A9" w:rsidRPr="00317440" w:rsidRDefault="004517A9" w:rsidP="004517A9">
      <w:pPr>
        <w:tabs>
          <w:tab w:val="right" w:leader="dot" w:pos="9016"/>
        </w:tabs>
        <w:spacing w:after="100" w:line="360" w:lineRule="auto"/>
        <w:ind w:left="240"/>
        <w:jc w:val="both"/>
        <w:rPr>
          <w:rFonts w:ascii="Arial" w:eastAsiaTheme="minorEastAsia" w:hAnsi="Arial" w:cs="Arial"/>
          <w:noProof/>
          <w:lang w:eastAsia="en-GB"/>
        </w:rPr>
      </w:pPr>
    </w:p>
    <w:p w14:paraId="6000F7E5" w14:textId="77777777" w:rsidR="004517A9" w:rsidRPr="00317440" w:rsidRDefault="004517A9" w:rsidP="004517A9">
      <w:pPr>
        <w:tabs>
          <w:tab w:val="right" w:leader="dot" w:pos="9016"/>
        </w:tabs>
        <w:spacing w:after="100" w:line="360" w:lineRule="auto"/>
        <w:jc w:val="both"/>
        <w:rPr>
          <w:rFonts w:ascii="Arial" w:eastAsiaTheme="minorEastAsia" w:hAnsi="Arial" w:cs="Arial"/>
          <w:noProof/>
          <w:lang w:eastAsia="en-GB"/>
        </w:rPr>
      </w:pPr>
    </w:p>
    <w:p w14:paraId="062283D4" w14:textId="2032FCE3" w:rsidR="00291A3F" w:rsidRDefault="004517A9" w:rsidP="004517A9">
      <w:pPr>
        <w:spacing w:before="240" w:line="360" w:lineRule="auto"/>
        <w:jc w:val="both"/>
        <w:rPr>
          <w:rFonts w:ascii="Arial" w:hAnsi="Arial" w:cs="Arial"/>
          <w:b/>
          <w:bCs/>
        </w:rPr>
      </w:pPr>
      <w:r w:rsidRPr="00317440">
        <w:rPr>
          <w:rFonts w:ascii="Arial" w:hAnsi="Arial" w:cs="Arial"/>
          <w:noProof/>
        </w:rPr>
        <w:fldChar w:fldCharType="end"/>
      </w:r>
    </w:p>
    <w:p w14:paraId="7289AAE2" w14:textId="266D8D33" w:rsidR="00291A3F" w:rsidRDefault="00291A3F" w:rsidP="00291A3F">
      <w:pPr>
        <w:spacing w:before="240" w:line="360" w:lineRule="auto"/>
        <w:jc w:val="both"/>
        <w:rPr>
          <w:rFonts w:ascii="Arial" w:hAnsi="Arial" w:cs="Arial"/>
          <w:b/>
          <w:bCs/>
        </w:rPr>
      </w:pPr>
    </w:p>
    <w:p w14:paraId="53CEA2FC" w14:textId="394F85FF" w:rsidR="00291A3F" w:rsidRDefault="00291A3F" w:rsidP="00291A3F">
      <w:pPr>
        <w:spacing w:before="240" w:line="360" w:lineRule="auto"/>
        <w:jc w:val="both"/>
        <w:rPr>
          <w:rFonts w:ascii="Arial" w:hAnsi="Arial" w:cs="Arial"/>
          <w:b/>
          <w:bCs/>
        </w:rPr>
      </w:pPr>
    </w:p>
    <w:p w14:paraId="3AD4696B" w14:textId="01DD094A" w:rsidR="00291A3F" w:rsidRDefault="00291A3F" w:rsidP="00291A3F">
      <w:pPr>
        <w:spacing w:before="240" w:line="360" w:lineRule="auto"/>
        <w:jc w:val="both"/>
        <w:rPr>
          <w:rFonts w:ascii="Arial" w:hAnsi="Arial" w:cs="Arial"/>
          <w:b/>
          <w:bCs/>
        </w:rPr>
      </w:pPr>
    </w:p>
    <w:p w14:paraId="17BA0013" w14:textId="55A1A87A" w:rsidR="00291A3F" w:rsidRDefault="00291A3F" w:rsidP="00291A3F">
      <w:pPr>
        <w:spacing w:before="240" w:line="360" w:lineRule="auto"/>
        <w:jc w:val="both"/>
        <w:rPr>
          <w:rFonts w:ascii="Arial" w:hAnsi="Arial" w:cs="Arial"/>
          <w:b/>
          <w:bCs/>
        </w:rPr>
      </w:pPr>
    </w:p>
    <w:p w14:paraId="35C93D6B" w14:textId="32C13BC0" w:rsidR="00291A3F" w:rsidRDefault="00291A3F" w:rsidP="00291A3F">
      <w:pPr>
        <w:spacing w:before="240" w:line="360" w:lineRule="auto"/>
        <w:jc w:val="both"/>
        <w:rPr>
          <w:rFonts w:ascii="Arial" w:hAnsi="Arial" w:cs="Arial"/>
          <w:b/>
          <w:bCs/>
        </w:rPr>
      </w:pPr>
    </w:p>
    <w:p w14:paraId="3A1DF377" w14:textId="77777777" w:rsidR="00A13DAD" w:rsidRDefault="00A13DAD" w:rsidP="00291A3F">
      <w:pPr>
        <w:spacing w:before="240" w:line="360" w:lineRule="auto"/>
        <w:jc w:val="both"/>
        <w:rPr>
          <w:rFonts w:ascii="Arial" w:hAnsi="Arial" w:cs="Arial"/>
          <w:b/>
          <w:bCs/>
        </w:rPr>
      </w:pPr>
    </w:p>
    <w:p w14:paraId="0B2E39F8" w14:textId="10715119" w:rsidR="00291A3F" w:rsidRDefault="00291A3F" w:rsidP="00291A3F">
      <w:pPr>
        <w:spacing w:before="240" w:line="360" w:lineRule="auto"/>
        <w:jc w:val="both"/>
        <w:rPr>
          <w:rFonts w:ascii="Arial" w:hAnsi="Arial" w:cs="Arial"/>
          <w:b/>
          <w:bCs/>
        </w:rPr>
      </w:pPr>
    </w:p>
    <w:p w14:paraId="6640F68F" w14:textId="77777777" w:rsidR="004517A9" w:rsidRDefault="004517A9" w:rsidP="00291A3F">
      <w:pPr>
        <w:spacing w:before="240" w:line="360" w:lineRule="auto"/>
        <w:jc w:val="both"/>
        <w:rPr>
          <w:rFonts w:ascii="Arial" w:hAnsi="Arial" w:cs="Arial"/>
          <w:b/>
          <w:bCs/>
        </w:rPr>
      </w:pPr>
    </w:p>
    <w:p w14:paraId="77CA75ED" w14:textId="77777777" w:rsidR="00291A3F" w:rsidRDefault="00291A3F" w:rsidP="00291A3F">
      <w:pPr>
        <w:spacing w:before="240" w:line="360" w:lineRule="auto"/>
        <w:jc w:val="both"/>
        <w:rPr>
          <w:rFonts w:ascii="Arial" w:hAnsi="Arial" w:cs="Arial"/>
          <w:b/>
          <w:bCs/>
        </w:rPr>
      </w:pPr>
    </w:p>
    <w:p w14:paraId="22EE60AC" w14:textId="35CFEC52" w:rsidR="008D4D1D" w:rsidRPr="004517A9" w:rsidRDefault="004517A9" w:rsidP="004517A9">
      <w:pPr>
        <w:spacing w:before="240" w:line="360" w:lineRule="auto"/>
        <w:jc w:val="both"/>
        <w:rPr>
          <w:rFonts w:ascii="Arial" w:hAnsi="Arial" w:cs="Arial"/>
          <w:b/>
          <w:bCs/>
        </w:rPr>
      </w:pPr>
      <w:bookmarkStart w:id="2" w:name="_Hlk29981421"/>
      <w:r>
        <w:rPr>
          <w:rFonts w:ascii="Arial" w:hAnsi="Arial" w:cs="Arial"/>
          <w:b/>
          <w:bCs/>
        </w:rPr>
        <w:lastRenderedPageBreak/>
        <w:t xml:space="preserve">3. </w:t>
      </w:r>
      <w:r w:rsidR="003952E2" w:rsidRPr="004517A9">
        <w:rPr>
          <w:rFonts w:ascii="Arial" w:hAnsi="Arial" w:cs="Arial"/>
          <w:b/>
          <w:bCs/>
        </w:rPr>
        <w:t>Company overview</w:t>
      </w:r>
      <w:r w:rsidR="00AC4736" w:rsidRPr="004517A9">
        <w:rPr>
          <w:rFonts w:ascii="Arial" w:hAnsi="Arial" w:cs="Arial"/>
          <w:b/>
          <w:bCs/>
        </w:rPr>
        <w:t xml:space="preserve"> </w:t>
      </w:r>
    </w:p>
    <w:bookmarkEnd w:id="2"/>
    <w:p w14:paraId="190038A1" w14:textId="1B2F8209" w:rsidR="00AC4736" w:rsidRPr="00AC4736" w:rsidRDefault="003952E2" w:rsidP="00291A3F">
      <w:pPr>
        <w:spacing w:before="240" w:line="360" w:lineRule="auto"/>
        <w:ind w:firstLine="720"/>
        <w:jc w:val="both"/>
        <w:rPr>
          <w:rFonts w:ascii="Arial" w:hAnsi="Arial" w:cs="Arial"/>
        </w:rPr>
      </w:pPr>
      <w:r w:rsidRPr="00090A63">
        <w:rPr>
          <w:rFonts w:ascii="Arial" w:hAnsi="Arial" w:cs="Arial"/>
        </w:rPr>
        <w:t xml:space="preserve">The history of Nestle begins in 1866 when the Anglo-Swiss Condensed Milk Company was founded. Henri Nestlé, the founder of the company, produced a revolutionary baby food in 1867 and formed the </w:t>
      </w:r>
      <w:bookmarkStart w:id="3" w:name="_Hlk29215516"/>
      <w:r w:rsidRPr="00090A63">
        <w:rPr>
          <w:rFonts w:ascii="Arial" w:hAnsi="Arial" w:cs="Arial"/>
        </w:rPr>
        <w:t>Nestlé</w:t>
      </w:r>
      <w:bookmarkEnd w:id="3"/>
      <w:r w:rsidRPr="00090A63">
        <w:rPr>
          <w:rFonts w:ascii="Arial" w:hAnsi="Arial" w:cs="Arial"/>
        </w:rPr>
        <w:t xml:space="preserve"> Group by merging with Anglo-Swiss in 1905. The company is headquartered in Vevey, Switzerland, and it is operating in the food and beverages industry. It mainly produces nutritional food and health-related goods. Nestle has over 2000 brands with a wide range of products, including baby food, pet food, coffee, water, cereals, dairy products, snacks, seasonings, soups, sauces, frozen and refrigerated foods and many more.</w:t>
      </w:r>
      <w:r w:rsidR="00AC4736">
        <w:rPr>
          <w:rFonts w:ascii="Arial" w:hAnsi="Arial" w:cs="Arial"/>
        </w:rPr>
        <w:t xml:space="preserve"> </w:t>
      </w:r>
      <w:r w:rsidR="00AC4736" w:rsidRPr="00AC4736">
        <w:rPr>
          <w:rFonts w:ascii="Arial" w:hAnsi="Arial" w:cs="Arial"/>
        </w:rPr>
        <w:t>Nestle is a multinational corporation and it is one of the most successful food companies worldwide by achieving the title of the largest food company within its industry, measured by revenues and other factors. It operates in 190 countries, it opened factories in 85 countries and it has around 308,000 employees. Americas (AMS)</w:t>
      </w:r>
      <w:r w:rsidR="00AC4736">
        <w:rPr>
          <w:rFonts w:ascii="Arial" w:hAnsi="Arial" w:cs="Arial"/>
        </w:rPr>
        <w:t>,</w:t>
      </w:r>
      <w:r w:rsidR="00AC4736" w:rsidRPr="00AC4736">
        <w:rPr>
          <w:rFonts w:ascii="Arial" w:hAnsi="Arial" w:cs="Arial"/>
        </w:rPr>
        <w:t xml:space="preserve"> Europe, Middle East and North Africa (EMENA)</w:t>
      </w:r>
      <w:r w:rsidR="00AC4736">
        <w:rPr>
          <w:rFonts w:ascii="Arial" w:hAnsi="Arial" w:cs="Arial"/>
        </w:rPr>
        <w:t>, and</w:t>
      </w:r>
      <w:r w:rsidR="00AC4736" w:rsidRPr="00AC4736">
        <w:rPr>
          <w:rFonts w:ascii="Arial" w:hAnsi="Arial" w:cs="Arial"/>
        </w:rPr>
        <w:t xml:space="preserve"> Asia, Oceania and sub</w:t>
      </w:r>
      <w:r w:rsidR="00AC4736" w:rsidRPr="00AC4736">
        <w:rPr>
          <w:rFonts w:ascii="Cambria Math" w:hAnsi="Cambria Math" w:cs="Cambria Math"/>
        </w:rPr>
        <w:t>‑</w:t>
      </w:r>
      <w:r w:rsidR="00AC4736" w:rsidRPr="00AC4736">
        <w:rPr>
          <w:rFonts w:ascii="Arial" w:hAnsi="Arial" w:cs="Arial"/>
        </w:rPr>
        <w:t>Saharan Africa (AOA) are the main markets where Nestlé operates</w:t>
      </w:r>
      <w:r w:rsidR="00A13DAD">
        <w:rPr>
          <w:rFonts w:ascii="Arial" w:hAnsi="Arial" w:cs="Arial"/>
        </w:rPr>
        <w:t xml:space="preserve"> </w:t>
      </w:r>
      <w:r w:rsidR="00A13DAD" w:rsidRPr="00A13DAD">
        <w:rPr>
          <w:rFonts w:ascii="Arial" w:hAnsi="Arial" w:cs="Arial"/>
        </w:rPr>
        <w:t>(Nestle, 2019).</w:t>
      </w:r>
      <w:r w:rsidR="00A13DAD">
        <w:rPr>
          <w:rFonts w:ascii="Arial" w:hAnsi="Arial" w:cs="Arial"/>
        </w:rPr>
        <w:t xml:space="preserve"> </w:t>
      </w:r>
      <w:r w:rsidR="00AC4736" w:rsidRPr="00AC4736">
        <w:rPr>
          <w:rFonts w:ascii="Arial" w:hAnsi="Arial" w:cs="Arial"/>
        </w:rPr>
        <w:t>It has reported a revenue of 91.43 billion CHF in 2018, meaning approximately 72 billion British Pounds. According to Statista (2019), Nestle’s largest market is the United States, which generated sales of 27.62 billion Swiss Francs in 2018</w:t>
      </w:r>
      <w:r w:rsidR="00A13DAD">
        <w:rPr>
          <w:rFonts w:ascii="Arial" w:hAnsi="Arial" w:cs="Arial"/>
        </w:rPr>
        <w:t>.</w:t>
      </w:r>
    </w:p>
    <w:p w14:paraId="0F9DDFD7" w14:textId="32C5D107" w:rsidR="00AC4736" w:rsidRPr="00090A63" w:rsidRDefault="00AC4736" w:rsidP="00291A3F">
      <w:pPr>
        <w:spacing w:before="240" w:line="360" w:lineRule="auto"/>
        <w:ind w:firstLine="720"/>
        <w:jc w:val="both"/>
        <w:rPr>
          <w:rFonts w:ascii="Arial" w:hAnsi="Arial" w:cs="Arial"/>
        </w:rPr>
      </w:pPr>
      <w:r w:rsidRPr="00AC4736">
        <w:rPr>
          <w:rFonts w:ascii="Arial" w:hAnsi="Arial" w:cs="Arial"/>
        </w:rPr>
        <w:t xml:space="preserve">The Nestle’s business model includes operational pillars, growth drivers and competitive advantages. Since it operates in a dynamic environment where changes occur frequently, Nestle, as a multinational, needs to adopt to the new changes and to meet the customers’ needs and expectations. These changes are unpredictable, uncertain and challenging; therefore, the company needs to continuously adapt to the market where it operates. The business customer segmentation is represented by individuals and families, communities, homes and offices, medium to high range, mass market. It operates through different channels like retail stores, media, news, newspapers, social networks, websites, specialised channels: Nespresso boutiques, Nespresso Club. The key activities of the company are marketing, manufacturing, production, food processing, quality control, logistics, R&amp;D, networking, relations, operations, innovation. And, the key resources are raw materials, production plans, manufacturing, brand portfolio, distribution channels and patents system. The key partners of the business are investors, acquisitions, joint ventures, partnership, farming community, suppliers, sponsorships, alliances and retail shops. The main cost of the company is represented by marketing and sales, manufacturing, production, distributions, </w:t>
      </w:r>
      <w:r>
        <w:rPr>
          <w:rFonts w:ascii="Arial" w:hAnsi="Arial" w:cs="Arial"/>
        </w:rPr>
        <w:t>research and development (</w:t>
      </w:r>
      <w:r w:rsidRPr="00AC4736">
        <w:rPr>
          <w:rFonts w:ascii="Arial" w:hAnsi="Arial" w:cs="Arial"/>
        </w:rPr>
        <w:t>R&amp;D</w:t>
      </w:r>
      <w:r>
        <w:rPr>
          <w:rFonts w:ascii="Arial" w:hAnsi="Arial" w:cs="Arial"/>
        </w:rPr>
        <w:t>)</w:t>
      </w:r>
      <w:r w:rsidRPr="00AC4736">
        <w:rPr>
          <w:rFonts w:ascii="Arial" w:hAnsi="Arial" w:cs="Arial"/>
        </w:rPr>
        <w:t>, employees, facilities, purchases, taxes and new ventures.</w:t>
      </w:r>
      <w:r>
        <w:rPr>
          <w:rFonts w:ascii="Arial" w:hAnsi="Arial" w:cs="Arial"/>
        </w:rPr>
        <w:t xml:space="preserve"> </w:t>
      </w:r>
      <w:r w:rsidRPr="00AC4736">
        <w:rPr>
          <w:rFonts w:ascii="Arial" w:hAnsi="Arial" w:cs="Arial"/>
        </w:rPr>
        <w:t xml:space="preserve">The company’s mission is to deliver high-quality, competitive and innovative products. The company’s aim is to create value by enhancing the quality of life and contributing to a healthier future. Nestle succeeds in doing so by innovation with significant investments in research and </w:t>
      </w:r>
      <w:r w:rsidRPr="00AC4736">
        <w:rPr>
          <w:rFonts w:ascii="Arial" w:hAnsi="Arial" w:cs="Arial"/>
        </w:rPr>
        <w:lastRenderedPageBreak/>
        <w:t>development. One of the Nestle’s priorities is to establish long-term shareholder value creation. Nestle’s objective is to create trust, to produce high-quality products and, in this way, to attract more customers and investors to boost the company’s growth.</w:t>
      </w:r>
    </w:p>
    <w:p w14:paraId="6D378B4E" w14:textId="5C8C693D" w:rsidR="003952E2" w:rsidRDefault="003952E2" w:rsidP="00291A3F">
      <w:pPr>
        <w:spacing w:before="240" w:line="360" w:lineRule="auto"/>
        <w:ind w:firstLine="720"/>
        <w:jc w:val="both"/>
        <w:rPr>
          <w:rFonts w:ascii="Arial" w:hAnsi="Arial" w:cs="Arial"/>
        </w:rPr>
      </w:pPr>
      <w:r w:rsidRPr="00090A63">
        <w:rPr>
          <w:rFonts w:ascii="Arial" w:hAnsi="Arial" w:cs="Arial"/>
        </w:rPr>
        <w:t>The main competitors of Nestle are Unilever, Mondelez International, Hershey, Mars, Pepsico, Danone and Kraft Heinz. Since the food processing industry is rising, the competitors arise and Nestle needs to find better strategies in order to survive on the market. Every organisation is using the best techniques to produce great quality food, therefore, Nestle strives to produce high quality food and also healthy food for its consumers.</w:t>
      </w:r>
    </w:p>
    <w:p w14:paraId="11AE26AC" w14:textId="0C962E01" w:rsidR="00D31C67" w:rsidRDefault="00D31C67" w:rsidP="00291A3F">
      <w:pPr>
        <w:spacing w:before="240" w:line="360" w:lineRule="auto"/>
        <w:ind w:firstLine="720"/>
        <w:jc w:val="both"/>
        <w:rPr>
          <w:rFonts w:ascii="Arial" w:hAnsi="Arial" w:cs="Arial"/>
        </w:rPr>
      </w:pPr>
      <w:r>
        <w:rPr>
          <w:rFonts w:ascii="Arial" w:hAnsi="Arial" w:cs="Arial"/>
        </w:rPr>
        <w:t xml:space="preserve">The most important events during the Nestle’s timeline are represented by the buying process of different companies and expanding globally. Since 2006, the company is putting a lot of effort to create sharing value at all business levels. In 2011, </w:t>
      </w:r>
      <w:r w:rsidRPr="00D31C67">
        <w:rPr>
          <w:rFonts w:ascii="Arial" w:hAnsi="Arial" w:cs="Arial"/>
        </w:rPr>
        <w:t>Nestlé is the first food company to work with the Fair Labo</w:t>
      </w:r>
      <w:r w:rsidR="00077322">
        <w:rPr>
          <w:rFonts w:ascii="Arial" w:hAnsi="Arial" w:cs="Arial"/>
        </w:rPr>
        <w:t>u</w:t>
      </w:r>
      <w:r w:rsidRPr="00D31C67">
        <w:rPr>
          <w:rFonts w:ascii="Arial" w:hAnsi="Arial" w:cs="Arial"/>
        </w:rPr>
        <w:t>r Association helping to tackle child labour in the supply chain for cocoa.</w:t>
      </w:r>
      <w:r w:rsidR="00077322">
        <w:rPr>
          <w:rFonts w:ascii="Arial" w:hAnsi="Arial" w:cs="Arial"/>
        </w:rPr>
        <w:t xml:space="preserve"> In 2016</w:t>
      </w:r>
      <w:r w:rsidR="00A13DAD">
        <w:rPr>
          <w:rFonts w:ascii="Arial" w:hAnsi="Arial" w:cs="Arial"/>
        </w:rPr>
        <w:t>,</w:t>
      </w:r>
      <w:r w:rsidR="00077322">
        <w:rPr>
          <w:rFonts w:ascii="Arial" w:hAnsi="Arial" w:cs="Arial"/>
        </w:rPr>
        <w:t xml:space="preserve"> Nestle </w:t>
      </w:r>
      <w:r w:rsidR="00A13DAD">
        <w:rPr>
          <w:rFonts w:ascii="Arial" w:hAnsi="Arial" w:cs="Arial"/>
        </w:rPr>
        <w:t>was</w:t>
      </w:r>
      <w:r w:rsidR="00077322">
        <w:rPr>
          <w:rFonts w:ascii="Arial" w:hAnsi="Arial" w:cs="Arial"/>
        </w:rPr>
        <w:t xml:space="preserve"> celebrating its 150</w:t>
      </w:r>
      <w:r w:rsidR="00077322" w:rsidRPr="00077322">
        <w:rPr>
          <w:rFonts w:ascii="Arial" w:hAnsi="Arial" w:cs="Arial"/>
          <w:vertAlign w:val="superscript"/>
        </w:rPr>
        <w:t>th</w:t>
      </w:r>
      <w:r w:rsidR="00077322">
        <w:rPr>
          <w:rFonts w:ascii="Arial" w:hAnsi="Arial" w:cs="Arial"/>
        </w:rPr>
        <w:t xml:space="preserve"> anniversary.</w:t>
      </w:r>
      <w:r w:rsidR="00C21A13">
        <w:rPr>
          <w:rFonts w:ascii="Arial" w:hAnsi="Arial" w:cs="Arial"/>
        </w:rPr>
        <w:t xml:space="preserve"> Since January 2018, Nestle has changed its business structure from a </w:t>
      </w:r>
      <w:r w:rsidR="0099233B">
        <w:rPr>
          <w:rFonts w:ascii="Arial" w:hAnsi="Arial" w:cs="Arial"/>
        </w:rPr>
        <w:t>g</w:t>
      </w:r>
      <w:r w:rsidR="00C21A13">
        <w:rPr>
          <w:rFonts w:ascii="Arial" w:hAnsi="Arial" w:cs="Arial"/>
        </w:rPr>
        <w:t>lobally-</w:t>
      </w:r>
      <w:r w:rsidR="0099233B">
        <w:rPr>
          <w:rFonts w:ascii="Arial" w:hAnsi="Arial" w:cs="Arial"/>
        </w:rPr>
        <w:t>m</w:t>
      </w:r>
      <w:r w:rsidR="00C21A13">
        <w:rPr>
          <w:rFonts w:ascii="Arial" w:hAnsi="Arial" w:cs="Arial"/>
        </w:rPr>
        <w:t xml:space="preserve">anaged to a </w:t>
      </w:r>
      <w:r w:rsidR="0099233B">
        <w:rPr>
          <w:rFonts w:ascii="Arial" w:hAnsi="Arial" w:cs="Arial"/>
        </w:rPr>
        <w:t>r</w:t>
      </w:r>
      <w:r w:rsidR="00C21A13">
        <w:rPr>
          <w:rFonts w:ascii="Arial" w:hAnsi="Arial" w:cs="Arial"/>
        </w:rPr>
        <w:t>egionally-</w:t>
      </w:r>
      <w:r w:rsidR="0099233B">
        <w:rPr>
          <w:rFonts w:ascii="Arial" w:hAnsi="Arial" w:cs="Arial"/>
        </w:rPr>
        <w:t>m</w:t>
      </w:r>
      <w:r w:rsidR="00C21A13">
        <w:rPr>
          <w:rFonts w:ascii="Arial" w:hAnsi="Arial" w:cs="Arial"/>
        </w:rPr>
        <w:t>anaged business</w:t>
      </w:r>
      <w:r w:rsidR="0099233B">
        <w:rPr>
          <w:rFonts w:ascii="Arial" w:hAnsi="Arial" w:cs="Arial"/>
        </w:rPr>
        <w:t>.</w:t>
      </w:r>
      <w:r w:rsidR="00C21A13">
        <w:rPr>
          <w:rFonts w:ascii="Arial" w:hAnsi="Arial" w:cs="Arial"/>
        </w:rPr>
        <w:t xml:space="preserve"> </w:t>
      </w:r>
    </w:p>
    <w:p w14:paraId="52B718A4" w14:textId="77777777" w:rsidR="00AC4736" w:rsidRPr="00090A63" w:rsidRDefault="00AC4736" w:rsidP="00291A3F">
      <w:pPr>
        <w:spacing w:before="240" w:line="360" w:lineRule="auto"/>
        <w:ind w:firstLine="720"/>
        <w:jc w:val="both"/>
        <w:rPr>
          <w:rFonts w:ascii="Arial" w:hAnsi="Arial" w:cs="Arial"/>
        </w:rPr>
      </w:pPr>
    </w:p>
    <w:p w14:paraId="639F2C3E" w14:textId="341018F2" w:rsidR="00262D17" w:rsidRPr="00090A63" w:rsidRDefault="004517A9" w:rsidP="00291A3F">
      <w:pPr>
        <w:spacing w:before="240" w:line="360" w:lineRule="auto"/>
        <w:rPr>
          <w:rFonts w:ascii="Arial" w:hAnsi="Arial" w:cs="Arial"/>
          <w:b/>
          <w:bCs/>
        </w:rPr>
      </w:pPr>
      <w:bookmarkStart w:id="4" w:name="_Hlk29987614"/>
      <w:r>
        <w:rPr>
          <w:rFonts w:ascii="Arial" w:hAnsi="Arial" w:cs="Arial"/>
          <w:b/>
          <w:bCs/>
        </w:rPr>
        <w:t xml:space="preserve">4. </w:t>
      </w:r>
      <w:bookmarkStart w:id="5" w:name="_Hlk29981574"/>
      <w:r w:rsidR="00262D17" w:rsidRPr="00090A63">
        <w:rPr>
          <w:rFonts w:ascii="Arial" w:hAnsi="Arial" w:cs="Arial"/>
          <w:b/>
          <w:bCs/>
        </w:rPr>
        <w:t>Financial analysis of the Nestle Group</w:t>
      </w:r>
      <w:bookmarkEnd w:id="4"/>
      <w:bookmarkEnd w:id="5"/>
    </w:p>
    <w:p w14:paraId="1F6C1608" w14:textId="6899D6CD" w:rsidR="00336F0E" w:rsidRDefault="00336F0E" w:rsidP="00291A3F">
      <w:pPr>
        <w:spacing w:before="240" w:line="360" w:lineRule="auto"/>
        <w:ind w:firstLine="720"/>
        <w:jc w:val="both"/>
        <w:rPr>
          <w:rFonts w:ascii="Arial" w:hAnsi="Arial" w:cs="Arial"/>
        </w:rPr>
      </w:pPr>
      <w:r w:rsidRPr="00090A63">
        <w:rPr>
          <w:rFonts w:ascii="Arial" w:hAnsi="Arial" w:cs="Arial"/>
        </w:rPr>
        <w:t xml:space="preserve">This section will focus on the financial </w:t>
      </w:r>
      <w:r w:rsidR="005E3CE5">
        <w:rPr>
          <w:rFonts w:ascii="Arial" w:hAnsi="Arial" w:cs="Arial"/>
        </w:rPr>
        <w:t xml:space="preserve">and operational </w:t>
      </w:r>
      <w:r w:rsidRPr="00090A63">
        <w:rPr>
          <w:rFonts w:ascii="Arial" w:hAnsi="Arial" w:cs="Arial"/>
        </w:rPr>
        <w:t>analysis of the Nestle Group</w:t>
      </w:r>
      <w:r w:rsidR="00A13DAD">
        <w:rPr>
          <w:rFonts w:ascii="Arial" w:hAnsi="Arial" w:cs="Arial"/>
        </w:rPr>
        <w:t>,</w:t>
      </w:r>
      <w:r w:rsidRPr="00090A63">
        <w:rPr>
          <w:rFonts w:ascii="Arial" w:hAnsi="Arial" w:cs="Arial"/>
        </w:rPr>
        <w:t xml:space="preserve"> mainly based on performanc</w:t>
      </w:r>
      <w:r w:rsidR="008B65E3" w:rsidRPr="00090A63">
        <w:rPr>
          <w:rFonts w:ascii="Arial" w:hAnsi="Arial" w:cs="Arial"/>
        </w:rPr>
        <w:t>e indicators</w:t>
      </w:r>
      <w:r w:rsidRPr="00090A63">
        <w:rPr>
          <w:rFonts w:ascii="Arial" w:hAnsi="Arial" w:cs="Arial"/>
        </w:rPr>
        <w:t xml:space="preserve">. </w:t>
      </w:r>
      <w:r w:rsidR="00262D17" w:rsidRPr="00090A63">
        <w:rPr>
          <w:rFonts w:ascii="Arial" w:hAnsi="Arial" w:cs="Arial"/>
        </w:rPr>
        <w:t>The consolidated financial statements of the year</w:t>
      </w:r>
      <w:r w:rsidR="00AD4A92" w:rsidRPr="00090A63">
        <w:rPr>
          <w:rFonts w:ascii="Arial" w:hAnsi="Arial" w:cs="Arial"/>
        </w:rPr>
        <w:t>s</w:t>
      </w:r>
      <w:r w:rsidR="00262D17" w:rsidRPr="00090A63">
        <w:rPr>
          <w:rFonts w:ascii="Arial" w:hAnsi="Arial" w:cs="Arial"/>
        </w:rPr>
        <w:t xml:space="preserve"> 2018</w:t>
      </w:r>
      <w:r w:rsidR="00AD4A92" w:rsidRPr="00090A63">
        <w:rPr>
          <w:rFonts w:ascii="Arial" w:hAnsi="Arial" w:cs="Arial"/>
        </w:rPr>
        <w:t>, 2017, 2016, 2015 and 2014</w:t>
      </w:r>
      <w:r w:rsidR="00262D17" w:rsidRPr="00090A63">
        <w:rPr>
          <w:rFonts w:ascii="Arial" w:hAnsi="Arial" w:cs="Arial"/>
        </w:rPr>
        <w:t xml:space="preserve"> are analysed in order to understand its financial growth </w:t>
      </w:r>
      <w:r w:rsidR="00AD4A92" w:rsidRPr="00090A63">
        <w:rPr>
          <w:rFonts w:ascii="Arial" w:hAnsi="Arial" w:cs="Arial"/>
        </w:rPr>
        <w:t>over the years and also to understand the company’s current performance</w:t>
      </w:r>
      <w:r w:rsidR="00262D17" w:rsidRPr="00090A63">
        <w:rPr>
          <w:rFonts w:ascii="Arial" w:hAnsi="Arial" w:cs="Arial"/>
        </w:rPr>
        <w:t>.</w:t>
      </w:r>
      <w:r w:rsidR="008B65E3" w:rsidRPr="00090A63">
        <w:rPr>
          <w:rFonts w:ascii="Arial" w:hAnsi="Arial" w:cs="Arial"/>
        </w:rPr>
        <w:t xml:space="preserve"> </w:t>
      </w:r>
      <w:r w:rsidRPr="00090A63">
        <w:rPr>
          <w:rFonts w:ascii="Arial" w:hAnsi="Arial" w:cs="Arial"/>
        </w:rPr>
        <w:t>The financial ratios are based on the financial statements such as the balance sheet, income statement and the cash flows. Profitability,</w:t>
      </w:r>
      <w:r w:rsidR="008B65E3" w:rsidRPr="00090A63">
        <w:rPr>
          <w:rFonts w:ascii="Arial" w:hAnsi="Arial" w:cs="Arial"/>
        </w:rPr>
        <w:t xml:space="preserve"> liquidity,</w:t>
      </w:r>
      <w:r w:rsidRPr="00090A63">
        <w:rPr>
          <w:rFonts w:ascii="Arial" w:hAnsi="Arial" w:cs="Arial"/>
        </w:rPr>
        <w:t xml:space="preserve"> efficiency</w:t>
      </w:r>
      <w:r w:rsidR="008B65E3" w:rsidRPr="00090A63">
        <w:rPr>
          <w:rFonts w:ascii="Arial" w:hAnsi="Arial" w:cs="Arial"/>
        </w:rPr>
        <w:t xml:space="preserve"> and leverage (</w:t>
      </w:r>
      <w:r w:rsidR="00766359" w:rsidRPr="00090A63">
        <w:rPr>
          <w:rFonts w:ascii="Arial" w:hAnsi="Arial" w:cs="Arial"/>
        </w:rPr>
        <w:t>gearing</w:t>
      </w:r>
      <w:r w:rsidR="008B65E3" w:rsidRPr="00090A63">
        <w:rPr>
          <w:rFonts w:ascii="Arial" w:hAnsi="Arial" w:cs="Arial"/>
        </w:rPr>
        <w:t>)</w:t>
      </w:r>
      <w:r w:rsidRPr="00090A63">
        <w:rPr>
          <w:rFonts w:ascii="Arial" w:hAnsi="Arial" w:cs="Arial"/>
        </w:rPr>
        <w:t xml:space="preserve"> ratios are analysed to understand the company’s position on the market. Also, the investment</w:t>
      </w:r>
      <w:r w:rsidR="008B65E3" w:rsidRPr="00090A63">
        <w:rPr>
          <w:rFonts w:ascii="Arial" w:hAnsi="Arial" w:cs="Arial"/>
        </w:rPr>
        <w:t xml:space="preserve"> returns</w:t>
      </w:r>
      <w:r w:rsidRPr="00090A63">
        <w:rPr>
          <w:rFonts w:ascii="Arial" w:hAnsi="Arial" w:cs="Arial"/>
        </w:rPr>
        <w:t xml:space="preserve"> ratios are examined and the Nestle’s dividend policy is explained. </w:t>
      </w:r>
    </w:p>
    <w:p w14:paraId="11451E06" w14:textId="785B1F4C" w:rsidR="00AC4736" w:rsidRDefault="00AC4736" w:rsidP="00291A3F">
      <w:pPr>
        <w:spacing w:before="240" w:line="360" w:lineRule="auto"/>
        <w:ind w:firstLine="720"/>
        <w:jc w:val="both"/>
        <w:rPr>
          <w:rFonts w:ascii="Arial" w:hAnsi="Arial" w:cs="Arial"/>
        </w:rPr>
      </w:pPr>
      <w:r w:rsidRPr="00AC4736">
        <w:rPr>
          <w:rFonts w:ascii="Arial" w:hAnsi="Arial" w:cs="Arial"/>
        </w:rPr>
        <w:t>Nestle has generated revenue through effective marketing and trading activities that led to the desired domestic sales growth. The company is continuing to generate demand for its products. Basically, Nestle is focusing on generating demand for its brands while enhancing its business capacity and operational efficiency by allocating capital to buy and sell relevant customer brands. Through this strategy, the company can maintain its dominance in the food and beverage industry. According to the Nestle’s annual review 2018, the company’s sales performance has improved from 89</w:t>
      </w:r>
      <w:r w:rsidR="00A13DAD">
        <w:rPr>
          <w:rFonts w:ascii="Arial" w:hAnsi="Arial" w:cs="Arial"/>
        </w:rPr>
        <w:t>,</w:t>
      </w:r>
      <w:r w:rsidRPr="00AC4736">
        <w:rPr>
          <w:rFonts w:ascii="Arial" w:hAnsi="Arial" w:cs="Arial"/>
        </w:rPr>
        <w:t>590 mil CHF in 2017 to 91</w:t>
      </w:r>
      <w:r w:rsidR="00A13DAD">
        <w:rPr>
          <w:rFonts w:ascii="Arial" w:hAnsi="Arial" w:cs="Arial"/>
        </w:rPr>
        <w:t>,</w:t>
      </w:r>
      <w:r w:rsidRPr="00AC4736">
        <w:rPr>
          <w:rFonts w:ascii="Arial" w:hAnsi="Arial" w:cs="Arial"/>
        </w:rPr>
        <w:t xml:space="preserve">439 mil CHF in 2018. The company’s shares are listed on the Swiss Stock Exchange and the basic earnings per share </w:t>
      </w:r>
      <w:r w:rsidRPr="00AC4736">
        <w:rPr>
          <w:rFonts w:ascii="Arial" w:hAnsi="Arial" w:cs="Arial"/>
        </w:rPr>
        <w:lastRenderedPageBreak/>
        <w:t>recorded a growth from 2.31 CHF in 2017 to 3.36 CHF in 2018. The Nestlé S.A. shares are traded at SIX Swiss Exchange where it has its own section, dedicated to the Nestle’s shares. The net debt increased as well, up to CHF 30.3 billion in 2018, compared to CHF 21.4 billion in 2017. Regarding the dividend, the Board of Directors is proposing a dividend of CHF 2.45 per share, compared to CHF 2.35 the previous year. The company’s 2018 progress is represented by the figures and it shows a sustainable growth throughout the years. In 2018, Nestle has increased the amount of cash returned to shareholders by using the divided and share buyback program.</w:t>
      </w:r>
      <w:r w:rsidR="007B6CB4">
        <w:rPr>
          <w:rFonts w:ascii="Arial" w:hAnsi="Arial" w:cs="Arial"/>
        </w:rPr>
        <w:t xml:space="preserve"> Nestle introduced the share buyback program in October 2019 for the subsequent capital reductions purpose and it has to be completed by the end of 2022.</w:t>
      </w:r>
    </w:p>
    <w:p w14:paraId="73939D23" w14:textId="1324C3E2" w:rsidR="00F67AE2" w:rsidRPr="00090A63" w:rsidRDefault="004517A9" w:rsidP="00291A3F">
      <w:pPr>
        <w:spacing w:before="240" w:line="360" w:lineRule="auto"/>
        <w:jc w:val="both"/>
        <w:rPr>
          <w:rFonts w:ascii="Arial" w:hAnsi="Arial" w:cs="Arial"/>
          <w:b/>
          <w:bCs/>
        </w:rPr>
      </w:pPr>
      <w:bookmarkStart w:id="6" w:name="_Hlk29981674"/>
      <w:r>
        <w:rPr>
          <w:rFonts w:ascii="Arial" w:hAnsi="Arial" w:cs="Arial"/>
          <w:b/>
          <w:bCs/>
        </w:rPr>
        <w:t xml:space="preserve">A. </w:t>
      </w:r>
      <w:r w:rsidR="00F67AE2" w:rsidRPr="00090A63">
        <w:rPr>
          <w:rFonts w:ascii="Arial" w:hAnsi="Arial" w:cs="Arial"/>
          <w:b/>
          <w:bCs/>
        </w:rPr>
        <w:t>Financial Highlights 201</w:t>
      </w:r>
      <w:r w:rsidR="00590A00">
        <w:rPr>
          <w:rFonts w:ascii="Arial" w:hAnsi="Arial" w:cs="Arial"/>
          <w:b/>
          <w:bCs/>
        </w:rPr>
        <w:t>8</w:t>
      </w:r>
    </w:p>
    <w:bookmarkEnd w:id="6"/>
    <w:p w14:paraId="02389B1B" w14:textId="3BCFAF61" w:rsidR="00F67AE2" w:rsidRPr="00090A63" w:rsidRDefault="00FE71D1" w:rsidP="00291A3F">
      <w:pPr>
        <w:spacing w:before="240" w:line="360" w:lineRule="auto"/>
        <w:ind w:firstLine="720"/>
        <w:jc w:val="both"/>
        <w:rPr>
          <w:rFonts w:ascii="Arial" w:hAnsi="Arial" w:cs="Arial"/>
        </w:rPr>
      </w:pPr>
      <w:r>
        <w:rPr>
          <w:rFonts w:ascii="Arial" w:hAnsi="Arial" w:cs="Arial"/>
        </w:rPr>
        <w:t>According to the 2018 Nestle’s Annual Report, t</w:t>
      </w:r>
      <w:r w:rsidR="00590A00">
        <w:rPr>
          <w:rFonts w:ascii="Arial" w:hAnsi="Arial" w:cs="Arial"/>
        </w:rPr>
        <w:t>he figures show that the r</w:t>
      </w:r>
      <w:r w:rsidR="00F67AE2" w:rsidRPr="00090A63">
        <w:rPr>
          <w:rFonts w:ascii="Arial" w:hAnsi="Arial" w:cs="Arial"/>
        </w:rPr>
        <w:t>evenue has increased since 2015 from 88</w:t>
      </w:r>
      <w:r w:rsidR="00104497">
        <w:rPr>
          <w:rFonts w:ascii="Arial" w:hAnsi="Arial" w:cs="Arial"/>
        </w:rPr>
        <w:t>,</w:t>
      </w:r>
      <w:r w:rsidR="00F67AE2" w:rsidRPr="00090A63">
        <w:rPr>
          <w:rFonts w:ascii="Arial" w:hAnsi="Arial" w:cs="Arial"/>
        </w:rPr>
        <w:t>785 million of CHF to 91</w:t>
      </w:r>
      <w:r w:rsidR="00104497">
        <w:rPr>
          <w:rFonts w:ascii="Arial" w:hAnsi="Arial" w:cs="Arial"/>
        </w:rPr>
        <w:t>,</w:t>
      </w:r>
      <w:r w:rsidR="00F67AE2" w:rsidRPr="00090A63">
        <w:rPr>
          <w:rFonts w:ascii="Arial" w:hAnsi="Arial" w:cs="Arial"/>
        </w:rPr>
        <w:t>439 million of CHF</w:t>
      </w:r>
      <w:r w:rsidR="00590A00">
        <w:rPr>
          <w:rFonts w:ascii="Arial" w:hAnsi="Arial" w:cs="Arial"/>
        </w:rPr>
        <w:t xml:space="preserve"> at the end of 2018</w:t>
      </w:r>
      <w:r w:rsidR="00F67AE2" w:rsidRPr="00090A63">
        <w:rPr>
          <w:rFonts w:ascii="Arial" w:hAnsi="Arial" w:cs="Arial"/>
        </w:rPr>
        <w:t>, however, at the end of 2014 the company registered 91</w:t>
      </w:r>
      <w:r w:rsidR="00104497">
        <w:rPr>
          <w:rFonts w:ascii="Arial" w:hAnsi="Arial" w:cs="Arial"/>
        </w:rPr>
        <w:t>,</w:t>
      </w:r>
      <w:r w:rsidR="00F67AE2" w:rsidRPr="00090A63">
        <w:rPr>
          <w:rFonts w:ascii="Arial" w:hAnsi="Arial" w:cs="Arial"/>
        </w:rPr>
        <w:t>612 million of CHF in sales revenue</w:t>
      </w:r>
      <w:r w:rsidR="00590A00">
        <w:rPr>
          <w:rFonts w:ascii="Arial" w:hAnsi="Arial" w:cs="Arial"/>
        </w:rPr>
        <w:t>, the best year in terms of sales since 2013 until present</w:t>
      </w:r>
      <w:r w:rsidR="00F67AE2" w:rsidRPr="00090A63">
        <w:rPr>
          <w:rFonts w:ascii="Arial" w:hAnsi="Arial" w:cs="Arial"/>
        </w:rPr>
        <w:t>. The earnings per share ha</w:t>
      </w:r>
      <w:r w:rsidR="00753FFB">
        <w:rPr>
          <w:rFonts w:ascii="Arial" w:hAnsi="Arial" w:cs="Arial"/>
        </w:rPr>
        <w:t>ve</w:t>
      </w:r>
      <w:r w:rsidR="00F67AE2" w:rsidRPr="00090A63">
        <w:rPr>
          <w:rFonts w:ascii="Arial" w:hAnsi="Arial" w:cs="Arial"/>
        </w:rPr>
        <w:t xml:space="preserve"> decreased from 4.54 in 2014 to 3.36 in 2018. However, since 2014 the earnings per share have gradually decreased from year to year, until 2018 when it increased from 2.32 in 2017 to 3.36.</w:t>
      </w:r>
      <w:r w:rsidR="00104497">
        <w:rPr>
          <w:rFonts w:ascii="Arial" w:hAnsi="Arial" w:cs="Arial"/>
        </w:rPr>
        <w:t xml:space="preserve"> These changes in revenue and earnings per share might have been caused by the economic changes in the business environment and other external factors. In fact, </w:t>
      </w:r>
      <w:r w:rsidR="00820759">
        <w:rPr>
          <w:rFonts w:ascii="Arial" w:hAnsi="Arial" w:cs="Arial"/>
        </w:rPr>
        <w:t xml:space="preserve">according to BBC (2016), the Nestle Group has experienced declines in profits by 39% in 2015, equivalent to 9.1 bn of Swiss francs. This was mainly due to the sale in 2014 of part of its stake in the L’Oréal business. Also, one of the reasons was the strength of the domestic currency. Another factor was the withdrawal of Maggi noodles in India, followed by the ban </w:t>
      </w:r>
      <w:r w:rsidR="00147956">
        <w:rPr>
          <w:rFonts w:ascii="Arial" w:hAnsi="Arial" w:cs="Arial"/>
        </w:rPr>
        <w:t>imposed by the India’s food and safety regulator. These factors had a considerable impact on the Nestle’s performance in 2015. However, as the data shows, the company seems to recover gradually and improve its performance substantially.</w:t>
      </w:r>
    </w:p>
    <w:p w14:paraId="6E051825" w14:textId="1B6DCC55" w:rsidR="00F67AE2" w:rsidRDefault="00F67AE2" w:rsidP="00291A3F">
      <w:pPr>
        <w:spacing w:before="240" w:line="360" w:lineRule="auto"/>
        <w:ind w:firstLine="720"/>
        <w:jc w:val="both"/>
        <w:rPr>
          <w:rFonts w:ascii="Arial" w:hAnsi="Arial" w:cs="Arial"/>
        </w:rPr>
      </w:pPr>
      <w:r w:rsidRPr="00090A63">
        <w:rPr>
          <w:rFonts w:ascii="Arial" w:hAnsi="Arial" w:cs="Arial"/>
        </w:rPr>
        <w:t xml:space="preserve">According to Statista (2020), Nestle invested 7.3 billion U.D. dollars on global advertising campaigns in 2018. This figure was lower by two million than two years ago, suggesting a slightly more conservative marketing budget. In fact, the financial reporting of the company reflects this shift, as the administration and marketing costs of the Nestlé Group fell by around 1.5 billion Swiss francs in the same period. </w:t>
      </w:r>
      <w:r w:rsidR="00145BAE">
        <w:rPr>
          <w:rFonts w:ascii="Arial" w:hAnsi="Arial" w:cs="Arial"/>
        </w:rPr>
        <w:t>The marketing savings have been reinvested in building the business brand.</w:t>
      </w:r>
    </w:p>
    <w:p w14:paraId="46ACF57C" w14:textId="49D56FEC" w:rsidR="00753FFB" w:rsidRDefault="00173B9B" w:rsidP="00291A3F">
      <w:pPr>
        <w:spacing w:before="240" w:line="360" w:lineRule="auto"/>
        <w:ind w:firstLine="720"/>
        <w:jc w:val="both"/>
        <w:rPr>
          <w:rFonts w:ascii="Arial" w:hAnsi="Arial" w:cs="Arial"/>
        </w:rPr>
      </w:pPr>
      <w:r>
        <w:rPr>
          <w:rFonts w:ascii="Arial" w:hAnsi="Arial" w:cs="Arial"/>
        </w:rPr>
        <w:t xml:space="preserve">Nestle follows a disciplined approach to acquisitions and they prioritise the high growth categories and regions. </w:t>
      </w:r>
      <w:r w:rsidR="00753FFB">
        <w:rPr>
          <w:rFonts w:ascii="Arial" w:hAnsi="Arial" w:cs="Arial"/>
        </w:rPr>
        <w:t xml:space="preserve">The company invested substantially in advancing the growth of sectors like coffee, pet care, nutrition, healthcare and water. </w:t>
      </w:r>
      <w:r w:rsidR="00192576" w:rsidRPr="00192576">
        <w:rPr>
          <w:rFonts w:ascii="Arial" w:hAnsi="Arial" w:cs="Arial"/>
        </w:rPr>
        <w:t xml:space="preserve">The business has improved </w:t>
      </w:r>
      <w:r w:rsidR="00192576">
        <w:rPr>
          <w:rFonts w:ascii="Arial" w:hAnsi="Arial" w:cs="Arial"/>
        </w:rPr>
        <w:t xml:space="preserve">its </w:t>
      </w:r>
      <w:r w:rsidR="00192576" w:rsidRPr="00192576">
        <w:rPr>
          <w:rFonts w:ascii="Arial" w:hAnsi="Arial" w:cs="Arial"/>
        </w:rPr>
        <w:lastRenderedPageBreak/>
        <w:t>portfolio management through targeted acquisitions with high growth potential, competitive returns and building the leadership positions.</w:t>
      </w:r>
      <w:r w:rsidR="00192576">
        <w:rPr>
          <w:rFonts w:ascii="Arial" w:hAnsi="Arial" w:cs="Arial"/>
        </w:rPr>
        <w:t xml:space="preserve"> In fact, they have acquired the licence of Starbucks products. Together with Starbucks, Nespresso and Nescafe they have managed to </w:t>
      </w:r>
      <w:r w:rsidR="00E4088F">
        <w:rPr>
          <w:rFonts w:ascii="Arial" w:hAnsi="Arial" w:cs="Arial"/>
        </w:rPr>
        <w:t xml:space="preserve">bring the world’s most popular coffee brands and get </w:t>
      </w:r>
      <w:r w:rsidR="00FE71D1">
        <w:rPr>
          <w:rFonts w:ascii="Arial" w:hAnsi="Arial" w:cs="Arial"/>
        </w:rPr>
        <w:t xml:space="preserve">a higher </w:t>
      </w:r>
      <w:r w:rsidR="00E4088F">
        <w:rPr>
          <w:rFonts w:ascii="Arial" w:hAnsi="Arial" w:cs="Arial"/>
        </w:rPr>
        <w:t xml:space="preserve">market share in the coffee industry. However, Nestle was not as successful on all levels, </w:t>
      </w:r>
      <w:r w:rsidR="00E4088F" w:rsidRPr="00E4088F">
        <w:rPr>
          <w:rFonts w:ascii="Arial" w:hAnsi="Arial" w:cs="Arial"/>
        </w:rPr>
        <w:t xml:space="preserve">they </w:t>
      </w:r>
      <w:r w:rsidR="00E4088F">
        <w:rPr>
          <w:rFonts w:ascii="Arial" w:hAnsi="Arial" w:cs="Arial"/>
        </w:rPr>
        <w:t xml:space="preserve">have </w:t>
      </w:r>
      <w:r w:rsidR="00E4088F" w:rsidRPr="00E4088F">
        <w:rPr>
          <w:rFonts w:ascii="Arial" w:hAnsi="Arial" w:cs="Arial"/>
        </w:rPr>
        <w:t>completed the divestiture of the U.S. confectionery business where their low market share limited the potential to win within that market.</w:t>
      </w:r>
      <w:r w:rsidR="00E4088F">
        <w:rPr>
          <w:rFonts w:ascii="Arial" w:hAnsi="Arial" w:cs="Arial"/>
        </w:rPr>
        <w:t xml:space="preserve"> Therefore, </w:t>
      </w:r>
      <w:r w:rsidR="003F7E6F">
        <w:rPr>
          <w:rFonts w:ascii="Arial" w:hAnsi="Arial" w:cs="Arial"/>
        </w:rPr>
        <w:t xml:space="preserve">one of </w:t>
      </w:r>
      <w:r w:rsidR="00E4088F">
        <w:rPr>
          <w:rFonts w:ascii="Arial" w:hAnsi="Arial" w:cs="Arial"/>
        </w:rPr>
        <w:t xml:space="preserve">their strategy is </w:t>
      </w:r>
      <w:r w:rsidR="00DC178D">
        <w:rPr>
          <w:rFonts w:ascii="Arial" w:hAnsi="Arial" w:cs="Arial"/>
        </w:rPr>
        <w:t xml:space="preserve">to acquire target high growth potential businesses. </w:t>
      </w:r>
      <w:r w:rsidR="003F7E6F">
        <w:rPr>
          <w:rFonts w:ascii="Arial" w:hAnsi="Arial" w:cs="Arial"/>
        </w:rPr>
        <w:t>They also focus on innovation and creating value</w:t>
      </w:r>
      <w:r>
        <w:rPr>
          <w:rFonts w:ascii="Arial" w:hAnsi="Arial" w:cs="Arial"/>
        </w:rPr>
        <w:t xml:space="preserve"> for shareholders and for society</w:t>
      </w:r>
      <w:r w:rsidR="003F7E6F">
        <w:rPr>
          <w:rFonts w:ascii="Arial" w:hAnsi="Arial" w:cs="Arial"/>
        </w:rPr>
        <w:t xml:space="preserve"> in a fast-changing environment. Such an example is </w:t>
      </w:r>
      <w:r w:rsidR="00255954">
        <w:rPr>
          <w:rFonts w:ascii="Arial" w:hAnsi="Arial" w:cs="Arial"/>
        </w:rPr>
        <w:t>KitKat</w:t>
      </w:r>
      <w:r w:rsidR="003F7E6F">
        <w:rPr>
          <w:rFonts w:ascii="Arial" w:hAnsi="Arial" w:cs="Arial"/>
        </w:rPr>
        <w:t>, Yes! Snack bar and Garden Gourmet, the authentic vegan burger alternative.</w:t>
      </w:r>
      <w:r w:rsidR="00401183">
        <w:rPr>
          <w:rFonts w:ascii="Arial" w:hAnsi="Arial" w:cs="Arial"/>
        </w:rPr>
        <w:t xml:space="preserve"> </w:t>
      </w:r>
    </w:p>
    <w:p w14:paraId="66FA25F1" w14:textId="73ED335A" w:rsidR="00171ACE" w:rsidRDefault="00401183" w:rsidP="00291A3F">
      <w:pPr>
        <w:spacing w:before="240" w:line="360" w:lineRule="auto"/>
        <w:ind w:firstLine="720"/>
        <w:jc w:val="both"/>
        <w:rPr>
          <w:rFonts w:ascii="Arial" w:hAnsi="Arial" w:cs="Arial"/>
        </w:rPr>
      </w:pPr>
      <w:r>
        <w:rPr>
          <w:rFonts w:ascii="Arial" w:hAnsi="Arial" w:cs="Arial"/>
        </w:rPr>
        <w:t xml:space="preserve">Another important factor that contributed to a higher revenue compared to the previous year, is that Nestle </w:t>
      </w:r>
      <w:r w:rsidR="00171ACE">
        <w:rPr>
          <w:rFonts w:ascii="Arial" w:hAnsi="Arial" w:cs="Arial"/>
        </w:rPr>
        <w:t xml:space="preserve">is using the development of technology </w:t>
      </w:r>
      <w:r w:rsidR="00A141B3">
        <w:rPr>
          <w:rFonts w:ascii="Arial" w:hAnsi="Arial" w:cs="Arial"/>
        </w:rPr>
        <w:t>fr</w:t>
      </w:r>
      <w:r w:rsidR="00296DDF">
        <w:rPr>
          <w:rFonts w:ascii="Arial" w:hAnsi="Arial" w:cs="Arial"/>
        </w:rPr>
        <w:t>e</w:t>
      </w:r>
      <w:r w:rsidR="00A141B3">
        <w:rPr>
          <w:rFonts w:ascii="Arial" w:hAnsi="Arial" w:cs="Arial"/>
        </w:rPr>
        <w:t>quently</w:t>
      </w:r>
      <w:r w:rsidR="00171ACE">
        <w:rPr>
          <w:rFonts w:ascii="Arial" w:hAnsi="Arial" w:cs="Arial"/>
        </w:rPr>
        <w:t xml:space="preserve"> through marketing, social media and e-commerce. In this way, the company managed to deliver more personalised products, messages and services straight to the target customers. In fact, the e-commerce sales grew significantly by 25% and reached 7.4% of the total Nestle sales in 2018.</w:t>
      </w:r>
      <w:r w:rsidR="00A65E9C">
        <w:rPr>
          <w:rFonts w:ascii="Arial" w:hAnsi="Arial" w:cs="Arial"/>
        </w:rPr>
        <w:t xml:space="preserve"> </w:t>
      </w:r>
      <w:r w:rsidR="00A65E9C" w:rsidRPr="00A65E9C">
        <w:rPr>
          <w:rFonts w:ascii="Arial" w:hAnsi="Arial" w:cs="Arial"/>
        </w:rPr>
        <w:t xml:space="preserve">Importantly, 22% of the sales came from the premium products. </w:t>
      </w:r>
      <w:r w:rsidR="00171ACE">
        <w:rPr>
          <w:rFonts w:ascii="Arial" w:hAnsi="Arial" w:cs="Arial"/>
        </w:rPr>
        <w:t xml:space="preserve"> </w:t>
      </w:r>
      <w:r w:rsidR="00A141B3">
        <w:rPr>
          <w:rFonts w:ascii="Arial" w:hAnsi="Arial" w:cs="Arial"/>
        </w:rPr>
        <w:t xml:space="preserve">The company is investing continuously in </w:t>
      </w:r>
      <w:r w:rsidR="00296DDF">
        <w:rPr>
          <w:rFonts w:ascii="Arial" w:hAnsi="Arial" w:cs="Arial"/>
        </w:rPr>
        <w:t xml:space="preserve">cutting-edge technology to meet the evolving consumers’ expectations. </w:t>
      </w:r>
      <w:r w:rsidR="00A65E9C">
        <w:rPr>
          <w:rFonts w:ascii="Arial" w:hAnsi="Arial" w:cs="Arial"/>
        </w:rPr>
        <w:t xml:space="preserve">In fact, Nestle invested CHF 1.7 billion into R&amp;D. Since there is a global trend and demand for healthier and more authentic food, the company needs to address this issue and use its resources to produce attractive and relevant products to its consumers. They make use of the R&amp;D and commercial functions to identify what is desirable for the customer, </w:t>
      </w:r>
      <w:r w:rsidR="00197A66">
        <w:rPr>
          <w:rFonts w:ascii="Arial" w:hAnsi="Arial" w:cs="Arial"/>
        </w:rPr>
        <w:t>feasible for the business and creates value for the company.</w:t>
      </w:r>
      <w:r w:rsidR="00F86F27">
        <w:rPr>
          <w:rFonts w:ascii="Arial" w:hAnsi="Arial" w:cs="Arial"/>
        </w:rPr>
        <w:t xml:space="preserve"> </w:t>
      </w:r>
    </w:p>
    <w:p w14:paraId="2EF13AD7" w14:textId="749EB224" w:rsidR="00401183" w:rsidRDefault="00171ACE" w:rsidP="00291A3F">
      <w:pPr>
        <w:spacing w:before="240" w:line="360" w:lineRule="auto"/>
        <w:ind w:firstLine="720"/>
        <w:jc w:val="both"/>
        <w:rPr>
          <w:rFonts w:ascii="Arial" w:hAnsi="Arial" w:cs="Arial"/>
        </w:rPr>
      </w:pPr>
      <w:r>
        <w:rPr>
          <w:rFonts w:ascii="Arial" w:hAnsi="Arial" w:cs="Arial"/>
        </w:rPr>
        <w:t>Also, significant progress has been made on the cost reduction programme across the administration, production and manufacturing sectors.</w:t>
      </w:r>
      <w:r w:rsidRPr="00171ACE">
        <w:t xml:space="preserve"> </w:t>
      </w:r>
      <w:r w:rsidRPr="00171ACE">
        <w:rPr>
          <w:rFonts w:ascii="Arial" w:hAnsi="Arial" w:cs="Arial"/>
        </w:rPr>
        <w:t>The organisation's savings have contributed significantly to the increase of the operating profit margin</w:t>
      </w:r>
      <w:r w:rsidR="00EE2514">
        <w:rPr>
          <w:rFonts w:ascii="Arial" w:hAnsi="Arial" w:cs="Arial"/>
        </w:rPr>
        <w:t xml:space="preserve"> as it</w:t>
      </w:r>
      <w:r w:rsidRPr="00171ACE">
        <w:rPr>
          <w:rFonts w:ascii="Arial" w:hAnsi="Arial" w:cs="Arial"/>
        </w:rPr>
        <w:t xml:space="preserve"> rose by 17% in 2018.</w:t>
      </w:r>
      <w:r w:rsidR="00A97268">
        <w:rPr>
          <w:rFonts w:ascii="Arial" w:hAnsi="Arial" w:cs="Arial"/>
        </w:rPr>
        <w:t xml:space="preserve"> </w:t>
      </w:r>
      <w:r w:rsidR="006267F2">
        <w:rPr>
          <w:rFonts w:ascii="Arial" w:hAnsi="Arial" w:cs="Arial"/>
        </w:rPr>
        <w:t>T</w:t>
      </w:r>
      <w:r w:rsidR="006267F2" w:rsidRPr="006267F2">
        <w:rPr>
          <w:rFonts w:ascii="Arial" w:hAnsi="Arial" w:cs="Arial"/>
        </w:rPr>
        <w:t>he company follows responsible financial policies aimed to maintain the right balance between allocating capital and flexible access to financial markets.</w:t>
      </w:r>
      <w:r w:rsidR="00A65E9C">
        <w:rPr>
          <w:rFonts w:ascii="Arial" w:hAnsi="Arial" w:cs="Arial"/>
        </w:rPr>
        <w:t xml:space="preserve"> </w:t>
      </w:r>
    </w:p>
    <w:p w14:paraId="0A10407B" w14:textId="451A9F9A" w:rsidR="00E60C4B" w:rsidRDefault="00E60C4B" w:rsidP="00291A3F">
      <w:pPr>
        <w:spacing w:before="240" w:line="360" w:lineRule="auto"/>
        <w:ind w:firstLine="720"/>
        <w:jc w:val="both"/>
        <w:rPr>
          <w:rFonts w:ascii="Arial" w:hAnsi="Arial" w:cs="Arial"/>
        </w:rPr>
      </w:pPr>
      <w:r>
        <w:rPr>
          <w:rFonts w:ascii="Arial" w:hAnsi="Arial" w:cs="Arial"/>
        </w:rPr>
        <w:t xml:space="preserve">One of the company’s incentives in 2018 was to increase the cash returns to shareholders and they returned CHF 13.9 billion through dividends and share repurchases. The share buybacks were equivalent to CHF 6.8 billion, being part of the 2017 three-year buyback programme. The company </w:t>
      </w:r>
      <w:r w:rsidRPr="00E60C4B">
        <w:rPr>
          <w:rFonts w:ascii="Arial" w:hAnsi="Arial" w:cs="Arial"/>
        </w:rPr>
        <w:t>has returned CHF 104 billion to shareholders over the last ten years, of which CHF 40 billion came in the form of share buybacks.</w:t>
      </w:r>
    </w:p>
    <w:p w14:paraId="2969B222" w14:textId="182C7E3D" w:rsidR="00297AEE" w:rsidRDefault="00297AEE" w:rsidP="00291A3F">
      <w:pPr>
        <w:spacing w:before="240" w:line="360" w:lineRule="auto"/>
        <w:ind w:firstLine="720"/>
        <w:jc w:val="both"/>
        <w:rPr>
          <w:rFonts w:ascii="Arial" w:hAnsi="Arial" w:cs="Arial"/>
        </w:rPr>
      </w:pPr>
      <w:r>
        <w:rPr>
          <w:rFonts w:ascii="Arial" w:hAnsi="Arial" w:cs="Arial"/>
        </w:rPr>
        <w:t xml:space="preserve">Since 2006, the Nestle Group is pursuing to create long lasting value by winning the customers through building confidence and trust, and maintain the market leadership. This </w:t>
      </w:r>
      <w:r>
        <w:rPr>
          <w:rFonts w:ascii="Arial" w:hAnsi="Arial" w:cs="Arial"/>
        </w:rPr>
        <w:lastRenderedPageBreak/>
        <w:t xml:space="preserve">method represents the source of the sustainable financial performance of the company. They deliver </w:t>
      </w:r>
      <w:r w:rsidR="00A141B3">
        <w:rPr>
          <w:rFonts w:ascii="Arial" w:hAnsi="Arial" w:cs="Arial"/>
        </w:rPr>
        <w:t xml:space="preserve">sustainable value based on a persuasive nutrition, health and wellness strategy. </w:t>
      </w:r>
      <w:r w:rsidR="00F86F27">
        <w:rPr>
          <w:rFonts w:ascii="Arial" w:hAnsi="Arial" w:cs="Arial"/>
        </w:rPr>
        <w:t>Basically, their strategy on the long run is to advance sustainability through developing recyclable packaging solutions to reduce the impact on the environment, developing plant-based products and promoting affordable nutrition.</w:t>
      </w:r>
    </w:p>
    <w:p w14:paraId="7DF3A653" w14:textId="2D0321EC" w:rsidR="005E3CE5" w:rsidRDefault="005E3CE5" w:rsidP="00291A3F">
      <w:pPr>
        <w:spacing w:before="240" w:line="360" w:lineRule="auto"/>
        <w:ind w:firstLine="720"/>
        <w:jc w:val="both"/>
        <w:rPr>
          <w:rFonts w:ascii="Arial" w:hAnsi="Arial" w:cs="Arial"/>
        </w:rPr>
      </w:pPr>
      <w:r>
        <w:rPr>
          <w:rFonts w:ascii="Arial" w:hAnsi="Arial" w:cs="Arial"/>
        </w:rPr>
        <w:t xml:space="preserve">The company’s overall performance in 2018 appears to be substantial since the numbers show a considerable improvement </w:t>
      </w:r>
      <w:r w:rsidR="001E65CE">
        <w:rPr>
          <w:rFonts w:ascii="Arial" w:hAnsi="Arial" w:cs="Arial"/>
        </w:rPr>
        <w:t xml:space="preserve">compared to the last year results. </w:t>
      </w:r>
      <w:r w:rsidR="00DC53C7">
        <w:rPr>
          <w:rFonts w:ascii="Arial" w:hAnsi="Arial" w:cs="Arial"/>
        </w:rPr>
        <w:t>The U.S. and China markets have generated the best results in terms of performance for the year 2018.</w:t>
      </w:r>
      <w:r>
        <w:rPr>
          <w:rFonts w:ascii="Arial" w:hAnsi="Arial" w:cs="Arial"/>
        </w:rPr>
        <w:t xml:space="preserve"> </w:t>
      </w:r>
      <w:r w:rsidR="00DC53C7">
        <w:rPr>
          <w:rFonts w:ascii="Arial" w:hAnsi="Arial" w:cs="Arial"/>
        </w:rPr>
        <w:t xml:space="preserve">The internal growth increased </w:t>
      </w:r>
      <w:r w:rsidR="00F44655">
        <w:rPr>
          <w:rFonts w:ascii="Arial" w:hAnsi="Arial" w:cs="Arial"/>
        </w:rPr>
        <w:t xml:space="preserve">to 2.5% for the entire year and continued to the high end of the food and beverages industry. This was due to disciplined policies, innovation and successful new product launches on the market. </w:t>
      </w:r>
    </w:p>
    <w:p w14:paraId="6C393878" w14:textId="5F69D45D" w:rsidR="00F44655" w:rsidRDefault="00F44655" w:rsidP="00291A3F">
      <w:pPr>
        <w:spacing w:before="240" w:line="360" w:lineRule="auto"/>
        <w:ind w:firstLine="720"/>
        <w:jc w:val="both"/>
        <w:rPr>
          <w:rFonts w:ascii="Arial" w:hAnsi="Arial" w:cs="Arial"/>
        </w:rPr>
      </w:pPr>
      <w:r>
        <w:rPr>
          <w:rFonts w:ascii="Arial" w:hAnsi="Arial" w:cs="Arial"/>
        </w:rPr>
        <w:t xml:space="preserve">The foreign exchange reduced sales by 1.6% since some of the currencies used in the operation market have devalued against the Swiss Franc. The organic growth was 1.6% in the developed markets and 4.9% in emerging markets. </w:t>
      </w:r>
    </w:p>
    <w:p w14:paraId="7A04D962" w14:textId="7494BC09" w:rsidR="00F44655" w:rsidRDefault="00F44655" w:rsidP="00291A3F">
      <w:pPr>
        <w:spacing w:before="240" w:line="360" w:lineRule="auto"/>
        <w:ind w:firstLine="720"/>
        <w:jc w:val="both"/>
        <w:rPr>
          <w:rFonts w:ascii="Arial" w:hAnsi="Arial" w:cs="Arial"/>
        </w:rPr>
      </w:pPr>
      <w:r>
        <w:rPr>
          <w:rFonts w:ascii="Arial" w:hAnsi="Arial" w:cs="Arial"/>
        </w:rPr>
        <w:t>The net financial expenses and income tax grew by 9.3%</w:t>
      </w:r>
      <w:r w:rsidR="00205327">
        <w:rPr>
          <w:rFonts w:ascii="Arial" w:hAnsi="Arial" w:cs="Arial"/>
        </w:rPr>
        <w:t xml:space="preserve"> to CHF 761 million, representing an increase in the net debt.</w:t>
      </w:r>
      <w:r w:rsidR="00205327" w:rsidRPr="00205327">
        <w:t xml:space="preserve"> </w:t>
      </w:r>
      <w:r w:rsidR="00205327" w:rsidRPr="00205327">
        <w:rPr>
          <w:rFonts w:ascii="Arial" w:hAnsi="Arial" w:cs="Arial"/>
        </w:rPr>
        <w:t>The tax rate for the Group fell by 280 basis points to 26.5%. The underlying tax rate decreased by 320 basis points to 23.8%, mainly as a result of the tax reform in the United States.</w:t>
      </w:r>
      <w:r w:rsidR="00205327">
        <w:rPr>
          <w:rFonts w:ascii="Arial" w:hAnsi="Arial" w:cs="Arial"/>
        </w:rPr>
        <w:t xml:space="preserve"> </w:t>
      </w:r>
    </w:p>
    <w:p w14:paraId="36869B25" w14:textId="163F03C1" w:rsidR="00D6065D" w:rsidRDefault="00205327" w:rsidP="00291A3F">
      <w:pPr>
        <w:spacing w:before="240" w:line="360" w:lineRule="auto"/>
        <w:ind w:firstLine="720"/>
        <w:jc w:val="both"/>
        <w:rPr>
          <w:rFonts w:ascii="Arial" w:hAnsi="Arial" w:cs="Arial"/>
        </w:rPr>
      </w:pPr>
      <w:r w:rsidRPr="00205327">
        <w:rPr>
          <w:rFonts w:ascii="Arial" w:hAnsi="Arial" w:cs="Arial"/>
        </w:rPr>
        <w:t>Net profit grew by 41.6% to CHF 10.1 billion, and Earnings per share increased by 45.5% to CHF 3.36</w:t>
      </w:r>
      <w:r>
        <w:rPr>
          <w:rFonts w:ascii="Arial" w:hAnsi="Arial" w:cs="Arial"/>
        </w:rPr>
        <w:t xml:space="preserve">. The net profit has benefited from many massive one-off items, including income from business disposal and also improved operating performance. </w:t>
      </w:r>
      <w:r w:rsidRPr="00205327">
        <w:rPr>
          <w:rFonts w:ascii="Arial" w:hAnsi="Arial" w:cs="Arial"/>
        </w:rPr>
        <w:t>The share buyback programme of Nestlé contributed 2.0</w:t>
      </w:r>
      <w:r w:rsidR="00D6065D">
        <w:rPr>
          <w:rFonts w:ascii="Arial" w:hAnsi="Arial" w:cs="Arial"/>
        </w:rPr>
        <w:t>%</w:t>
      </w:r>
      <w:r w:rsidRPr="00205327">
        <w:rPr>
          <w:rFonts w:ascii="Arial" w:hAnsi="Arial" w:cs="Arial"/>
        </w:rPr>
        <w:t xml:space="preserve"> to the underlying earnings per share </w:t>
      </w:r>
      <w:r w:rsidR="00D6065D">
        <w:rPr>
          <w:rFonts w:ascii="Arial" w:hAnsi="Arial" w:cs="Arial"/>
        </w:rPr>
        <w:t>increase</w:t>
      </w:r>
      <w:r w:rsidRPr="00205327">
        <w:rPr>
          <w:rFonts w:ascii="Arial" w:hAnsi="Arial" w:cs="Arial"/>
        </w:rPr>
        <w:t xml:space="preserve">, net of </w:t>
      </w:r>
      <w:r w:rsidR="00D6065D">
        <w:rPr>
          <w:rFonts w:ascii="Arial" w:hAnsi="Arial" w:cs="Arial"/>
        </w:rPr>
        <w:t xml:space="preserve">finance </w:t>
      </w:r>
      <w:r w:rsidRPr="00205327">
        <w:rPr>
          <w:rFonts w:ascii="Arial" w:hAnsi="Arial" w:cs="Arial"/>
        </w:rPr>
        <w:t>cost.</w:t>
      </w:r>
      <w:r w:rsidR="00D6065D">
        <w:rPr>
          <w:rFonts w:ascii="Arial" w:hAnsi="Arial" w:cs="Arial"/>
        </w:rPr>
        <w:t xml:space="preserve"> </w:t>
      </w:r>
      <w:r w:rsidR="00D6065D" w:rsidRPr="00D6065D">
        <w:rPr>
          <w:rFonts w:ascii="Arial" w:hAnsi="Arial" w:cs="Arial"/>
        </w:rPr>
        <w:t>Free cash flow rose by 15% to CHF 10.8 billion. The rise was mainly a result of higher operating profit, better working capital, and controlled capital spending.</w:t>
      </w:r>
    </w:p>
    <w:p w14:paraId="24D01018" w14:textId="18E2AF29" w:rsidR="00EF6808" w:rsidRDefault="00D6065D" w:rsidP="00291A3F">
      <w:pPr>
        <w:spacing w:before="240" w:line="360" w:lineRule="auto"/>
        <w:ind w:firstLine="720"/>
        <w:jc w:val="both"/>
        <w:rPr>
          <w:rFonts w:ascii="Arial" w:hAnsi="Arial" w:cs="Arial"/>
        </w:rPr>
      </w:pPr>
      <w:r w:rsidRPr="00D6065D">
        <w:rPr>
          <w:rFonts w:ascii="Arial" w:hAnsi="Arial" w:cs="Arial"/>
        </w:rPr>
        <w:t>The Group repurchased 6.8 billion CHF of Nestlé shares during 2018. The Group had implemented CHF 10.3 billion (52 percent) of the CHF 20 billion share buyback programme announced by Nestlé in 2017.</w:t>
      </w:r>
      <w:r w:rsidR="00961B99">
        <w:rPr>
          <w:rFonts w:ascii="Arial" w:hAnsi="Arial" w:cs="Arial"/>
        </w:rPr>
        <w:t xml:space="preserve"> Net debt increased to CHF 10.3 billion at the end of 2018, compared to CHF 21.4 billion at the end of 2017. The increase was mainly represented by CHF 6.8 billion share buybacks completed during 2018, and the net cash outflow of CHF 5.2 billion from acquisitions and divestments.</w:t>
      </w:r>
      <w:r w:rsidR="00FE71D1">
        <w:rPr>
          <w:rFonts w:ascii="Arial" w:hAnsi="Arial" w:cs="Arial"/>
        </w:rPr>
        <w:t xml:space="preserve"> </w:t>
      </w:r>
      <w:r w:rsidR="00961B99" w:rsidRPr="00961B99">
        <w:rPr>
          <w:rFonts w:ascii="Arial" w:hAnsi="Arial" w:cs="Arial"/>
        </w:rPr>
        <w:t>Nestle's return on capital invested increased to 12.1 percent. The improvement resulted from a lower impairment in goodwill, improved operating performance and disciplined allocation of capital.</w:t>
      </w:r>
      <w:r w:rsidR="00961B99">
        <w:rPr>
          <w:rFonts w:ascii="Arial" w:hAnsi="Arial" w:cs="Arial"/>
        </w:rPr>
        <w:t xml:space="preserve"> </w:t>
      </w:r>
      <w:r w:rsidR="00961B99" w:rsidRPr="00961B99">
        <w:rPr>
          <w:rFonts w:ascii="Arial" w:hAnsi="Arial" w:cs="Arial"/>
        </w:rPr>
        <w:t>The Board of Directors has proposed a dividend of CHF 2.45 per share, up from CHF 2.35 last year.</w:t>
      </w:r>
    </w:p>
    <w:p w14:paraId="681BB3CE" w14:textId="55D1EA10" w:rsidR="007B6CB4" w:rsidRDefault="00B30ED8" w:rsidP="00291A3F">
      <w:pPr>
        <w:spacing w:before="240" w:line="360" w:lineRule="auto"/>
        <w:ind w:firstLine="720"/>
        <w:jc w:val="both"/>
        <w:rPr>
          <w:rFonts w:ascii="Arial" w:hAnsi="Arial" w:cs="Arial"/>
        </w:rPr>
      </w:pPr>
      <w:r>
        <w:rPr>
          <w:rFonts w:ascii="Arial" w:hAnsi="Arial" w:cs="Arial"/>
        </w:rPr>
        <w:lastRenderedPageBreak/>
        <w:t xml:space="preserve">The principal risks of the organisation </w:t>
      </w:r>
      <w:r w:rsidR="00BF70A6">
        <w:rPr>
          <w:rFonts w:ascii="Arial" w:hAnsi="Arial" w:cs="Arial"/>
        </w:rPr>
        <w:t>may be the external factors such as political, economic, social</w:t>
      </w:r>
      <w:r w:rsidR="00CF476E">
        <w:rPr>
          <w:rFonts w:ascii="Arial" w:hAnsi="Arial" w:cs="Arial"/>
        </w:rPr>
        <w:t>,</w:t>
      </w:r>
      <w:r w:rsidR="00BF70A6">
        <w:rPr>
          <w:rFonts w:ascii="Arial" w:hAnsi="Arial" w:cs="Arial"/>
        </w:rPr>
        <w:t xml:space="preserve"> technological</w:t>
      </w:r>
      <w:r w:rsidR="00CF476E">
        <w:rPr>
          <w:rFonts w:ascii="Arial" w:hAnsi="Arial" w:cs="Arial"/>
        </w:rPr>
        <w:t>, environmental and legal</w:t>
      </w:r>
      <w:r w:rsidR="00BF70A6">
        <w:rPr>
          <w:rFonts w:ascii="Arial" w:hAnsi="Arial" w:cs="Arial"/>
        </w:rPr>
        <w:t xml:space="preserve">. </w:t>
      </w:r>
      <w:r w:rsidR="00CF476E" w:rsidRPr="00CF476E">
        <w:rPr>
          <w:rFonts w:ascii="Arial" w:hAnsi="Arial" w:cs="Arial"/>
        </w:rPr>
        <w:t>Risks related to security, political instability, legal and regulatory, monetary, macroeconomic, international trade, labour</w:t>
      </w:r>
      <w:r w:rsidR="00CF476E">
        <w:rPr>
          <w:rFonts w:ascii="Arial" w:hAnsi="Arial" w:cs="Arial"/>
        </w:rPr>
        <w:t>,</w:t>
      </w:r>
      <w:r w:rsidR="00CF476E" w:rsidRPr="00CF476E">
        <w:rPr>
          <w:rFonts w:ascii="Arial" w:hAnsi="Arial" w:cs="Arial"/>
        </w:rPr>
        <w:t xml:space="preserve"> </w:t>
      </w:r>
      <w:r w:rsidR="00CF476E">
        <w:rPr>
          <w:rFonts w:ascii="Arial" w:hAnsi="Arial" w:cs="Arial"/>
        </w:rPr>
        <w:t xml:space="preserve">natural hazards and </w:t>
      </w:r>
      <w:r w:rsidR="00CF476E" w:rsidRPr="00CF476E">
        <w:rPr>
          <w:rFonts w:ascii="Arial" w:hAnsi="Arial" w:cs="Arial"/>
        </w:rPr>
        <w:t>infrastructure may possibly impact Nestlé's ability to operate within a country.</w:t>
      </w:r>
      <w:r w:rsidR="00CF476E">
        <w:rPr>
          <w:rFonts w:ascii="Arial" w:hAnsi="Arial" w:cs="Arial"/>
        </w:rPr>
        <w:t xml:space="preserve"> </w:t>
      </w:r>
      <w:r w:rsidR="00BF70A6">
        <w:rPr>
          <w:rFonts w:ascii="Arial" w:hAnsi="Arial" w:cs="Arial"/>
        </w:rPr>
        <w:t xml:space="preserve">Thus, the company adopted a risk profile aligned to the business operations. The Nestle Group Enterprise Risk Management framework was designed in order to identify and minimize the potential risks that may affect the business operation. There could also be internal risks of the business such as </w:t>
      </w:r>
      <w:r w:rsidR="002B2BCE">
        <w:rPr>
          <w:rFonts w:ascii="Arial" w:hAnsi="Arial" w:cs="Arial"/>
        </w:rPr>
        <w:t xml:space="preserve">manufacturing issues that may lead to supply disruption and a loss in sales. </w:t>
      </w:r>
      <w:r w:rsidR="002B2BCE" w:rsidRPr="002B2BCE">
        <w:rPr>
          <w:rFonts w:ascii="Arial" w:hAnsi="Arial" w:cs="Arial"/>
        </w:rPr>
        <w:t>Any major event on the financial markets could affect the liquidity / liabilities of the Nestle</w:t>
      </w:r>
      <w:r w:rsidR="00255954">
        <w:rPr>
          <w:rFonts w:ascii="Arial" w:hAnsi="Arial" w:cs="Arial"/>
        </w:rPr>
        <w:t xml:space="preserve"> Group</w:t>
      </w:r>
      <w:r w:rsidR="002B2BCE" w:rsidRPr="002B2BCE">
        <w:rPr>
          <w:rFonts w:ascii="Arial" w:hAnsi="Arial" w:cs="Arial"/>
        </w:rPr>
        <w:t>, namely, currency, interest rate, hedging, capital cost, pension obligations / retirement benefits, banking / commercial credit, etc..</w:t>
      </w:r>
      <w:r w:rsidR="00CF476E">
        <w:rPr>
          <w:rFonts w:ascii="Arial" w:hAnsi="Arial" w:cs="Arial"/>
        </w:rPr>
        <w:t xml:space="preserve"> Therefore, Nestle is using adequate risk mitigation methods and effective governance to constantly monitor the potential risks and long-term assets and liabilities overview. </w:t>
      </w:r>
    </w:p>
    <w:p w14:paraId="4F60A310" w14:textId="77777777" w:rsidR="00291A3F" w:rsidRDefault="00291A3F" w:rsidP="00291A3F">
      <w:pPr>
        <w:spacing w:before="240" w:line="360" w:lineRule="auto"/>
        <w:ind w:firstLine="720"/>
        <w:jc w:val="both"/>
        <w:rPr>
          <w:rFonts w:ascii="Arial" w:hAnsi="Arial" w:cs="Arial"/>
        </w:rPr>
      </w:pPr>
    </w:p>
    <w:p w14:paraId="433AF3B1" w14:textId="6F7A7FA4" w:rsidR="00D62E77" w:rsidRPr="00F67AE2" w:rsidRDefault="004517A9" w:rsidP="00291A3F">
      <w:pPr>
        <w:spacing w:before="240" w:line="360" w:lineRule="auto"/>
        <w:jc w:val="both"/>
        <w:rPr>
          <w:rFonts w:ascii="Arial" w:hAnsi="Arial" w:cs="Arial"/>
          <w:b/>
          <w:bCs/>
        </w:rPr>
      </w:pPr>
      <w:bookmarkStart w:id="7" w:name="_Hlk29981778"/>
      <w:r>
        <w:rPr>
          <w:rFonts w:ascii="Arial" w:hAnsi="Arial" w:cs="Arial"/>
          <w:b/>
          <w:bCs/>
        </w:rPr>
        <w:t xml:space="preserve">B. </w:t>
      </w:r>
      <w:r w:rsidR="00090A63" w:rsidRPr="00090A63">
        <w:rPr>
          <w:rFonts w:ascii="Arial" w:hAnsi="Arial" w:cs="Arial"/>
          <w:b/>
          <w:bCs/>
        </w:rPr>
        <w:t>Ratio Analysis</w:t>
      </w:r>
    </w:p>
    <w:bookmarkEnd w:id="7"/>
    <w:p w14:paraId="3A72A507" w14:textId="0E8174AC" w:rsidR="00894285" w:rsidRPr="00291A3F" w:rsidRDefault="000A77DA" w:rsidP="00291A3F">
      <w:pPr>
        <w:spacing w:before="240" w:line="360" w:lineRule="auto"/>
        <w:jc w:val="both"/>
        <w:rPr>
          <w:rFonts w:ascii="Arial" w:hAnsi="Arial" w:cs="Arial"/>
        </w:rPr>
      </w:pPr>
      <w:r w:rsidRPr="00291A3F">
        <w:rPr>
          <w:rFonts w:ascii="Arial" w:hAnsi="Arial" w:cs="Arial"/>
          <w:b/>
          <w:bCs/>
        </w:rPr>
        <w:t>Profitability ratio</w:t>
      </w:r>
      <w:r w:rsidRPr="00291A3F">
        <w:rPr>
          <w:rFonts w:ascii="Arial" w:hAnsi="Arial" w:cs="Arial"/>
        </w:rPr>
        <w:t xml:space="preserve"> is</w:t>
      </w:r>
      <w:r w:rsidR="00EA6A58" w:rsidRPr="00291A3F">
        <w:rPr>
          <w:rFonts w:ascii="Arial" w:hAnsi="Arial" w:cs="Arial"/>
        </w:rPr>
        <w:t xml:space="preserve"> represented by the ability to generate profit, not just sales.</w:t>
      </w:r>
      <w:r w:rsidR="00047633" w:rsidRPr="00291A3F">
        <w:rPr>
          <w:rFonts w:ascii="Arial" w:hAnsi="Arial" w:cs="Arial"/>
        </w:rPr>
        <w:t xml:space="preserve"> </w:t>
      </w:r>
      <w:r w:rsidR="00164375" w:rsidRPr="00291A3F">
        <w:rPr>
          <w:rFonts w:ascii="Arial" w:hAnsi="Arial" w:cs="Arial"/>
        </w:rPr>
        <w:t xml:space="preserve">It tells how good an organisation is at transforming business operations into profits. It is one of the most used ratios in business, finance and investing as it measures the profits. </w:t>
      </w:r>
      <w:r w:rsidR="00047633" w:rsidRPr="00291A3F">
        <w:rPr>
          <w:rFonts w:ascii="Arial" w:hAnsi="Arial" w:cs="Arial"/>
        </w:rPr>
        <w:t xml:space="preserve">It can be obtained by calculating the Gross Margin ratio, Operating Margin ratio and also the Net Profit Margin. </w:t>
      </w:r>
      <w:r w:rsidR="0000280A" w:rsidRPr="00291A3F">
        <w:rPr>
          <w:rFonts w:ascii="Arial" w:hAnsi="Arial" w:cs="Arial"/>
        </w:rPr>
        <w:t>According to the data, Nestle’s profitability has improved year by year. However, the net profit margin has decreased since 2014.</w:t>
      </w:r>
      <w:r w:rsidR="0036684C" w:rsidRPr="00291A3F">
        <w:rPr>
          <w:rFonts w:ascii="Arial" w:hAnsi="Arial" w:cs="Arial"/>
        </w:rPr>
        <w:t xml:space="preserve"> The primary goal of a company is to increase its profit margins, therefore, Nestle needs to review this issue and improve its financials.</w:t>
      </w:r>
    </w:p>
    <w:p w14:paraId="0CDEDEFD" w14:textId="26D1BA37" w:rsidR="00894285" w:rsidRPr="005116D1" w:rsidRDefault="00047633" w:rsidP="00291A3F">
      <w:pPr>
        <w:pStyle w:val="ListParagraph"/>
        <w:numPr>
          <w:ilvl w:val="0"/>
          <w:numId w:val="5"/>
        </w:numPr>
        <w:spacing w:before="240" w:line="360" w:lineRule="auto"/>
        <w:jc w:val="both"/>
        <w:rPr>
          <w:rFonts w:ascii="Arial" w:hAnsi="Arial" w:cs="Arial"/>
        </w:rPr>
      </w:pPr>
      <w:r w:rsidRPr="00255954">
        <w:rPr>
          <w:rFonts w:ascii="Arial" w:hAnsi="Arial" w:cs="Arial"/>
        </w:rPr>
        <w:t>The Gross Margin ratio</w:t>
      </w:r>
      <w:r w:rsidRPr="005116D1">
        <w:rPr>
          <w:rFonts w:ascii="Arial" w:hAnsi="Arial" w:cs="Arial"/>
        </w:rPr>
        <w:t xml:space="preserve"> shows how much a company earns from each </w:t>
      </w:r>
      <w:r w:rsidR="00C422F2" w:rsidRPr="005116D1">
        <w:rPr>
          <w:rFonts w:ascii="Arial" w:hAnsi="Arial" w:cs="Arial"/>
        </w:rPr>
        <w:t>Swiss franc</w:t>
      </w:r>
      <w:r w:rsidRPr="005116D1">
        <w:rPr>
          <w:rFonts w:ascii="Arial" w:hAnsi="Arial" w:cs="Arial"/>
        </w:rPr>
        <w:t xml:space="preserve"> of sales after paying for the sold</w:t>
      </w:r>
      <w:r w:rsidR="005116D1">
        <w:rPr>
          <w:rFonts w:ascii="Arial" w:hAnsi="Arial" w:cs="Arial"/>
        </w:rPr>
        <w:t xml:space="preserve"> items</w:t>
      </w:r>
      <w:r w:rsidRPr="005116D1">
        <w:rPr>
          <w:rFonts w:ascii="Arial" w:hAnsi="Arial" w:cs="Arial"/>
        </w:rPr>
        <w:t xml:space="preserve">. </w:t>
      </w:r>
      <w:r w:rsidR="00613006" w:rsidRPr="005116D1">
        <w:rPr>
          <w:rFonts w:ascii="Arial" w:hAnsi="Arial" w:cs="Arial"/>
        </w:rPr>
        <w:t>A positive gross profit is a positive sign of making net profit. The gross profit needs to be big enough to cover the costs of labour, equipment, rent, marketing and advertising, research and development and many other costs related to selling the products. Consistency of Gross Margin is the key to durable competitive advantage. However, if the company loses its competitive advantage</w:t>
      </w:r>
      <w:r w:rsidR="00284781" w:rsidRPr="005116D1">
        <w:rPr>
          <w:rFonts w:ascii="Arial" w:hAnsi="Arial" w:cs="Arial"/>
        </w:rPr>
        <w:t>,</w:t>
      </w:r>
      <w:r w:rsidR="00613006" w:rsidRPr="005116D1">
        <w:rPr>
          <w:rFonts w:ascii="Arial" w:hAnsi="Arial" w:cs="Arial"/>
        </w:rPr>
        <w:t xml:space="preserve"> generally its gross margin d</w:t>
      </w:r>
      <w:r w:rsidR="00284781" w:rsidRPr="005116D1">
        <w:rPr>
          <w:rFonts w:ascii="Arial" w:hAnsi="Arial" w:cs="Arial"/>
        </w:rPr>
        <w:t>rops</w:t>
      </w:r>
      <w:r w:rsidR="00613006" w:rsidRPr="005116D1">
        <w:rPr>
          <w:rFonts w:ascii="Arial" w:hAnsi="Arial" w:cs="Arial"/>
        </w:rPr>
        <w:t xml:space="preserve"> earlier than its income.</w:t>
      </w:r>
      <w:r w:rsidR="00695454" w:rsidRPr="005116D1">
        <w:rPr>
          <w:rFonts w:ascii="Arial" w:hAnsi="Arial" w:cs="Arial"/>
        </w:rPr>
        <w:t xml:space="preserve"> In the Nestle’s case, the gross margin</w:t>
      </w:r>
      <w:r w:rsidR="005D7D70" w:rsidRPr="005116D1">
        <w:rPr>
          <w:rFonts w:ascii="Arial" w:hAnsi="Arial" w:cs="Arial"/>
        </w:rPr>
        <w:t xml:space="preserve"> </w:t>
      </w:r>
      <w:r w:rsidR="00DD2489">
        <w:rPr>
          <w:rFonts w:ascii="Arial" w:hAnsi="Arial" w:cs="Arial"/>
        </w:rPr>
        <w:t xml:space="preserve">ratio </w:t>
      </w:r>
      <w:r w:rsidR="005D7D70" w:rsidRPr="005116D1">
        <w:rPr>
          <w:rFonts w:ascii="Arial" w:hAnsi="Arial" w:cs="Arial"/>
        </w:rPr>
        <w:t>has increased by 2% since 2014, from 48% to 50% in five years. It can be noticed that the company had lower cost of sales and the selling price increased.</w:t>
      </w:r>
      <w:r w:rsidR="009D5FB3">
        <w:rPr>
          <w:rFonts w:ascii="Arial" w:hAnsi="Arial" w:cs="Arial"/>
        </w:rPr>
        <w:t xml:space="preserve"> Compared to Unilever, Nestle is more profitable than them in regards to the gross margin.</w:t>
      </w:r>
    </w:p>
    <w:p w14:paraId="21D80805" w14:textId="704E042A" w:rsidR="00250D4D" w:rsidRDefault="005116D1" w:rsidP="00291A3F">
      <w:pPr>
        <w:spacing w:before="240" w:line="360" w:lineRule="auto"/>
        <w:jc w:val="both"/>
        <w:rPr>
          <w:rFonts w:ascii="Arial" w:hAnsi="Arial" w:cs="Arial"/>
        </w:rPr>
      </w:pPr>
      <w:r>
        <w:rPr>
          <w:rFonts w:ascii="Arial" w:hAnsi="Arial" w:cs="Arial"/>
          <w:noProof/>
        </w:rPr>
        <w:lastRenderedPageBreak/>
        <w:drawing>
          <wp:inline distT="0" distB="0" distL="0" distR="0" wp14:anchorId="7D5BCE6D" wp14:editId="3C2B9DB5">
            <wp:extent cx="5010701" cy="30119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08640" cy="3070845"/>
                    </a:xfrm>
                    <a:prstGeom prst="rect">
                      <a:avLst/>
                    </a:prstGeom>
                    <a:noFill/>
                  </pic:spPr>
                </pic:pic>
              </a:graphicData>
            </a:graphic>
          </wp:inline>
        </w:drawing>
      </w:r>
    </w:p>
    <w:p w14:paraId="7C02B02C" w14:textId="77777777" w:rsidR="00250D4D" w:rsidRDefault="00250D4D" w:rsidP="00291A3F">
      <w:pPr>
        <w:spacing w:before="240" w:line="360" w:lineRule="auto"/>
        <w:jc w:val="both"/>
        <w:rPr>
          <w:rFonts w:ascii="Arial" w:hAnsi="Arial" w:cs="Arial"/>
        </w:rPr>
      </w:pPr>
    </w:p>
    <w:p w14:paraId="2D90D612" w14:textId="351552DA" w:rsidR="009D70BC" w:rsidRPr="009D70BC" w:rsidRDefault="00894285" w:rsidP="00291A3F">
      <w:pPr>
        <w:pStyle w:val="ListParagraph"/>
        <w:numPr>
          <w:ilvl w:val="0"/>
          <w:numId w:val="5"/>
        </w:numPr>
        <w:spacing w:before="240" w:line="360" w:lineRule="auto"/>
        <w:jc w:val="both"/>
        <w:rPr>
          <w:rFonts w:ascii="Arial" w:hAnsi="Arial" w:cs="Arial"/>
        </w:rPr>
      </w:pPr>
      <w:r w:rsidRPr="00255954">
        <w:rPr>
          <w:rFonts w:ascii="Arial" w:hAnsi="Arial" w:cs="Arial"/>
        </w:rPr>
        <w:t>The Operating Margin ratio</w:t>
      </w:r>
      <w:r w:rsidRPr="00DD2489">
        <w:rPr>
          <w:rFonts w:ascii="Arial" w:hAnsi="Arial" w:cs="Arial"/>
        </w:rPr>
        <w:t xml:space="preserve"> shows how much the company earns before interest and taxes from each Swiss franc of sales. </w:t>
      </w:r>
      <w:r w:rsidR="00613006" w:rsidRPr="00DD2489">
        <w:rPr>
          <w:rFonts w:ascii="Arial" w:hAnsi="Arial" w:cs="Arial"/>
        </w:rPr>
        <w:t>Watching Gross Margin % and Operating Margin % closely helps</w:t>
      </w:r>
      <w:r w:rsidR="00284781" w:rsidRPr="00DD2489">
        <w:rPr>
          <w:rFonts w:ascii="Arial" w:hAnsi="Arial" w:cs="Arial"/>
        </w:rPr>
        <w:t xml:space="preserve"> the company to</w:t>
      </w:r>
      <w:r w:rsidR="00613006" w:rsidRPr="00DD2489">
        <w:rPr>
          <w:rFonts w:ascii="Arial" w:hAnsi="Arial" w:cs="Arial"/>
        </w:rPr>
        <w:t xml:space="preserve"> keep away from </w:t>
      </w:r>
      <w:r w:rsidR="00255954">
        <w:rPr>
          <w:rFonts w:ascii="Arial" w:hAnsi="Arial" w:cs="Arial"/>
        </w:rPr>
        <w:t xml:space="preserve">the </w:t>
      </w:r>
      <w:r w:rsidR="00613006" w:rsidRPr="00DD2489">
        <w:rPr>
          <w:rFonts w:ascii="Arial" w:hAnsi="Arial" w:cs="Arial"/>
        </w:rPr>
        <w:t xml:space="preserve">value trap </w:t>
      </w:r>
      <w:r w:rsidR="00284781" w:rsidRPr="00DD2489">
        <w:rPr>
          <w:rFonts w:ascii="Arial" w:hAnsi="Arial" w:cs="Arial"/>
        </w:rPr>
        <w:t>position</w:t>
      </w:r>
      <w:r w:rsidR="00613006" w:rsidRPr="00DD2489">
        <w:rPr>
          <w:rFonts w:ascii="Arial" w:hAnsi="Arial" w:cs="Arial"/>
        </w:rPr>
        <w:t>.</w:t>
      </w:r>
      <w:r w:rsidRPr="00DD2489">
        <w:rPr>
          <w:rFonts w:ascii="Arial" w:hAnsi="Arial" w:cs="Arial"/>
        </w:rPr>
        <w:t xml:space="preserve"> </w:t>
      </w:r>
      <w:r w:rsidR="00284781" w:rsidRPr="00DD2489">
        <w:rPr>
          <w:rFonts w:ascii="Arial" w:hAnsi="Arial" w:cs="Arial"/>
        </w:rPr>
        <w:t>Just like the Gross Margin, it is essential to monitor if the company maintains its operating margin over a period of time. Higher operating margin means that the company is more efficient and stable within its industry.</w:t>
      </w:r>
      <w:r w:rsidR="00F30B2F" w:rsidRPr="00DD2489">
        <w:rPr>
          <w:rFonts w:ascii="Arial" w:hAnsi="Arial" w:cs="Arial"/>
        </w:rPr>
        <w:t xml:space="preserve"> </w:t>
      </w:r>
      <w:r w:rsidR="00404138">
        <w:rPr>
          <w:rFonts w:ascii="Arial" w:hAnsi="Arial" w:cs="Arial"/>
        </w:rPr>
        <w:t xml:space="preserve">The higher </w:t>
      </w:r>
      <w:r w:rsidR="00D020BF">
        <w:rPr>
          <w:rFonts w:ascii="Arial" w:hAnsi="Arial" w:cs="Arial"/>
        </w:rPr>
        <w:t xml:space="preserve">the operating profits are, the better for the shareholders. </w:t>
      </w:r>
      <w:r w:rsidR="00F30B2F" w:rsidRPr="00DD2489">
        <w:rPr>
          <w:rFonts w:ascii="Arial" w:hAnsi="Arial" w:cs="Arial"/>
        </w:rPr>
        <w:t>It is important to consider the Operating Margin as it predicts whether the company is facing issues and investors can use it to avoid loses.</w:t>
      </w:r>
      <w:r w:rsidR="00284781" w:rsidRPr="00DD2489">
        <w:rPr>
          <w:rFonts w:ascii="Arial" w:hAnsi="Arial" w:cs="Arial"/>
        </w:rPr>
        <w:t xml:space="preserve"> </w:t>
      </w:r>
      <w:r w:rsidR="009D70BC">
        <w:rPr>
          <w:rFonts w:ascii="Arial" w:hAnsi="Arial" w:cs="Arial"/>
        </w:rPr>
        <w:t>In the Nestle</w:t>
      </w:r>
      <w:r w:rsidR="00255954">
        <w:rPr>
          <w:rFonts w:ascii="Arial" w:hAnsi="Arial" w:cs="Arial"/>
        </w:rPr>
        <w:t>’s</w:t>
      </w:r>
      <w:r w:rsidR="009D70BC">
        <w:rPr>
          <w:rFonts w:ascii="Arial" w:hAnsi="Arial" w:cs="Arial"/>
        </w:rPr>
        <w:t xml:space="preserve"> case, the operating margin ratio has increased gradually from 2014</w:t>
      </w:r>
      <w:r w:rsidR="00255954">
        <w:rPr>
          <w:rFonts w:ascii="Arial" w:hAnsi="Arial" w:cs="Arial"/>
        </w:rPr>
        <w:t>,</w:t>
      </w:r>
      <w:r w:rsidR="009D70BC">
        <w:rPr>
          <w:rFonts w:ascii="Arial" w:hAnsi="Arial" w:cs="Arial"/>
        </w:rPr>
        <w:t xml:space="preserve"> when it reached 0.11</w:t>
      </w:r>
      <w:r w:rsidR="00255954">
        <w:rPr>
          <w:rFonts w:ascii="Arial" w:hAnsi="Arial" w:cs="Arial"/>
        </w:rPr>
        <w:t>,</w:t>
      </w:r>
      <w:r w:rsidR="009D70BC">
        <w:rPr>
          <w:rFonts w:ascii="Arial" w:hAnsi="Arial" w:cs="Arial"/>
        </w:rPr>
        <w:t xml:space="preserve"> to 2018 when it reached 0.15. Importantly, its competitor has recorded a ratio of 0.24</w:t>
      </w:r>
      <w:r w:rsidR="00D020BF">
        <w:rPr>
          <w:rFonts w:ascii="Arial" w:hAnsi="Arial" w:cs="Arial"/>
        </w:rPr>
        <w:t xml:space="preserve"> which is a lot higher compared to 0.15.</w:t>
      </w:r>
    </w:p>
    <w:p w14:paraId="7BD7A458" w14:textId="2E8EE35B" w:rsidR="00284781" w:rsidRDefault="00DD2489" w:rsidP="00291A3F">
      <w:pPr>
        <w:spacing w:before="240" w:line="360" w:lineRule="auto"/>
        <w:ind w:left="360"/>
        <w:jc w:val="both"/>
        <w:rPr>
          <w:rFonts w:ascii="Arial" w:hAnsi="Arial" w:cs="Arial"/>
        </w:rPr>
      </w:pPr>
      <w:r>
        <w:rPr>
          <w:noProof/>
        </w:rPr>
        <w:lastRenderedPageBreak/>
        <w:drawing>
          <wp:inline distT="0" distB="0" distL="0" distR="0" wp14:anchorId="180C4AD6" wp14:editId="4C6089AF">
            <wp:extent cx="4915560" cy="29547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59878" cy="2981422"/>
                    </a:xfrm>
                    <a:prstGeom prst="rect">
                      <a:avLst/>
                    </a:prstGeom>
                    <a:noFill/>
                  </pic:spPr>
                </pic:pic>
              </a:graphicData>
            </a:graphic>
          </wp:inline>
        </w:drawing>
      </w:r>
    </w:p>
    <w:p w14:paraId="3AB4D94C" w14:textId="77777777" w:rsidR="00250D4D" w:rsidRPr="009D70BC" w:rsidRDefault="00250D4D" w:rsidP="00291A3F">
      <w:pPr>
        <w:spacing w:before="240" w:line="360" w:lineRule="auto"/>
        <w:ind w:left="360"/>
        <w:jc w:val="both"/>
        <w:rPr>
          <w:rFonts w:ascii="Arial" w:hAnsi="Arial" w:cs="Arial"/>
        </w:rPr>
      </w:pPr>
    </w:p>
    <w:p w14:paraId="10EE0347" w14:textId="291F0ADD" w:rsidR="00250D4D" w:rsidRPr="00250D4D" w:rsidRDefault="00894285" w:rsidP="00250D4D">
      <w:pPr>
        <w:pStyle w:val="ListParagraph"/>
        <w:numPr>
          <w:ilvl w:val="0"/>
          <w:numId w:val="5"/>
        </w:numPr>
        <w:spacing w:before="240" w:line="360" w:lineRule="auto"/>
        <w:jc w:val="both"/>
        <w:rPr>
          <w:rFonts w:ascii="Arial" w:hAnsi="Arial" w:cs="Arial"/>
        </w:rPr>
      </w:pPr>
      <w:r w:rsidRPr="00255954">
        <w:rPr>
          <w:rFonts w:ascii="Arial" w:hAnsi="Arial" w:cs="Arial"/>
        </w:rPr>
        <w:t>The Net Profit Margin</w:t>
      </w:r>
      <w:r w:rsidRPr="00F372AD">
        <w:rPr>
          <w:rFonts w:ascii="Arial" w:hAnsi="Arial" w:cs="Arial"/>
        </w:rPr>
        <w:t xml:space="preserve"> represents the fraction of each Swiss franc in revenues that is available to equity holders after the company pays interest and taxes. </w:t>
      </w:r>
      <w:r w:rsidR="002E301E" w:rsidRPr="002E301E">
        <w:rPr>
          <w:rFonts w:ascii="Arial" w:hAnsi="Arial" w:cs="Arial"/>
        </w:rPr>
        <w:t>The Net Profit Margin measures how much of the total sales of a company flow to the bottom line.</w:t>
      </w:r>
      <w:r w:rsidR="002E301E">
        <w:rPr>
          <w:rFonts w:ascii="Arial" w:hAnsi="Arial" w:cs="Arial"/>
        </w:rPr>
        <w:t xml:space="preserve"> Higher profits are better for the shareholders as it is a high profit margin. </w:t>
      </w:r>
      <w:r w:rsidR="004A0224" w:rsidRPr="00F372AD">
        <w:rPr>
          <w:rFonts w:ascii="Arial" w:hAnsi="Arial" w:cs="Arial"/>
        </w:rPr>
        <w:t>The data show</w:t>
      </w:r>
      <w:r w:rsidR="00F372AD">
        <w:rPr>
          <w:rFonts w:ascii="Arial" w:hAnsi="Arial" w:cs="Arial"/>
        </w:rPr>
        <w:t>s</w:t>
      </w:r>
      <w:r w:rsidR="004A0224" w:rsidRPr="00F372AD">
        <w:rPr>
          <w:rFonts w:ascii="Arial" w:hAnsi="Arial" w:cs="Arial"/>
        </w:rPr>
        <w:t xml:space="preserve"> the net profit ratio </w:t>
      </w:r>
      <w:r w:rsidR="002E301E">
        <w:rPr>
          <w:rFonts w:ascii="Arial" w:hAnsi="Arial" w:cs="Arial"/>
        </w:rPr>
        <w:t xml:space="preserve">of </w:t>
      </w:r>
      <w:r w:rsidR="004A0224" w:rsidRPr="00F372AD">
        <w:rPr>
          <w:rFonts w:ascii="Arial" w:hAnsi="Arial" w:cs="Arial"/>
        </w:rPr>
        <w:t xml:space="preserve">11% </w:t>
      </w:r>
      <w:r w:rsidR="002E301E">
        <w:rPr>
          <w:rFonts w:ascii="Arial" w:hAnsi="Arial" w:cs="Arial"/>
        </w:rPr>
        <w:t>in</w:t>
      </w:r>
      <w:r w:rsidR="004A0224" w:rsidRPr="00F372AD">
        <w:rPr>
          <w:rFonts w:ascii="Arial" w:hAnsi="Arial" w:cs="Arial"/>
        </w:rPr>
        <w:t xml:space="preserve"> 2018, </w:t>
      </w:r>
      <w:r w:rsidR="002E301E">
        <w:rPr>
          <w:rFonts w:ascii="Arial" w:hAnsi="Arial" w:cs="Arial"/>
        </w:rPr>
        <w:t xml:space="preserve">that dropped </w:t>
      </w:r>
      <w:r w:rsidR="004A0224" w:rsidRPr="00F372AD">
        <w:rPr>
          <w:rFonts w:ascii="Arial" w:hAnsi="Arial" w:cs="Arial"/>
        </w:rPr>
        <w:t>compared to 1</w:t>
      </w:r>
      <w:r w:rsidR="00B90573">
        <w:rPr>
          <w:rFonts w:ascii="Arial" w:hAnsi="Arial" w:cs="Arial"/>
        </w:rPr>
        <w:t>6</w:t>
      </w:r>
      <w:r w:rsidR="004A0224" w:rsidRPr="00F372AD">
        <w:rPr>
          <w:rFonts w:ascii="Arial" w:hAnsi="Arial" w:cs="Arial"/>
        </w:rPr>
        <w:t xml:space="preserve">% in 2014. </w:t>
      </w:r>
      <w:r w:rsidR="002E301E">
        <w:rPr>
          <w:rFonts w:ascii="Arial" w:hAnsi="Arial" w:cs="Arial"/>
        </w:rPr>
        <w:t>The competitor’s net profit margin is a lot higher than Nestle’s since it recorded 0.18 in 2018.</w:t>
      </w:r>
      <w:r w:rsidR="00250D4D">
        <w:rPr>
          <w:rFonts w:ascii="Arial" w:hAnsi="Arial" w:cs="Arial"/>
        </w:rPr>
        <w:t xml:space="preserve"> This means that Unilever is more efficient at converting sales into profit.</w:t>
      </w:r>
    </w:p>
    <w:p w14:paraId="70AA5FA4" w14:textId="2CEC12A6" w:rsidR="00F372AD" w:rsidRPr="00F372AD" w:rsidRDefault="00F372AD" w:rsidP="00291A3F">
      <w:pPr>
        <w:spacing w:before="240" w:line="360" w:lineRule="auto"/>
        <w:ind w:left="360"/>
        <w:jc w:val="both"/>
        <w:rPr>
          <w:rFonts w:ascii="Arial" w:hAnsi="Arial" w:cs="Arial"/>
        </w:rPr>
      </w:pPr>
      <w:r>
        <w:rPr>
          <w:rFonts w:ascii="Arial" w:hAnsi="Arial" w:cs="Arial"/>
          <w:noProof/>
        </w:rPr>
        <w:drawing>
          <wp:inline distT="0" distB="0" distL="0" distR="0" wp14:anchorId="7D53F98F" wp14:editId="322FE88B">
            <wp:extent cx="5012226" cy="30128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41420" cy="3150657"/>
                    </a:xfrm>
                    <a:prstGeom prst="rect">
                      <a:avLst/>
                    </a:prstGeom>
                    <a:noFill/>
                  </pic:spPr>
                </pic:pic>
              </a:graphicData>
            </a:graphic>
          </wp:inline>
        </w:drawing>
      </w:r>
    </w:p>
    <w:p w14:paraId="4CEF11A2" w14:textId="77777777" w:rsidR="00D0356F" w:rsidRPr="00090A63" w:rsidRDefault="00D0356F" w:rsidP="00291A3F">
      <w:pPr>
        <w:spacing w:before="240" w:line="360" w:lineRule="auto"/>
        <w:jc w:val="both"/>
        <w:rPr>
          <w:rFonts w:ascii="Arial" w:hAnsi="Arial" w:cs="Arial"/>
        </w:rPr>
      </w:pPr>
    </w:p>
    <w:p w14:paraId="44C481E0" w14:textId="21284067" w:rsidR="00894285" w:rsidRDefault="000A77DA" w:rsidP="00291A3F">
      <w:pPr>
        <w:spacing w:before="240" w:line="360" w:lineRule="auto"/>
        <w:jc w:val="both"/>
        <w:rPr>
          <w:rFonts w:ascii="Arial" w:hAnsi="Arial" w:cs="Arial"/>
        </w:rPr>
      </w:pPr>
      <w:r w:rsidRPr="00090A63">
        <w:rPr>
          <w:rFonts w:ascii="Arial" w:hAnsi="Arial" w:cs="Arial"/>
          <w:b/>
          <w:bCs/>
        </w:rPr>
        <w:lastRenderedPageBreak/>
        <w:t>Liquidity ratio</w:t>
      </w:r>
      <w:r w:rsidR="00EA6A58" w:rsidRPr="00090A63">
        <w:rPr>
          <w:rFonts w:ascii="Arial" w:hAnsi="Arial" w:cs="Arial"/>
        </w:rPr>
        <w:t xml:space="preserve"> measures the company’s ability to pay the current liability.</w:t>
      </w:r>
      <w:r w:rsidR="00D73566" w:rsidRPr="00D73566">
        <w:t xml:space="preserve"> </w:t>
      </w:r>
      <w:r w:rsidR="00D73566" w:rsidRPr="00D73566">
        <w:rPr>
          <w:rFonts w:ascii="Arial" w:hAnsi="Arial" w:cs="Arial"/>
        </w:rPr>
        <w:t>If the ratio reaches 1.0 or over, the company would have more short-term assets than short-term debts</w:t>
      </w:r>
      <w:r w:rsidR="00D73566">
        <w:rPr>
          <w:rFonts w:ascii="Arial" w:hAnsi="Arial" w:cs="Arial"/>
        </w:rPr>
        <w:t xml:space="preserve">. On the other hand, </w:t>
      </w:r>
      <w:r w:rsidR="00D73566" w:rsidRPr="00D73566">
        <w:rPr>
          <w:rFonts w:ascii="Arial" w:hAnsi="Arial" w:cs="Arial"/>
        </w:rPr>
        <w:t>if the current ratio is below 1.0,</w:t>
      </w:r>
      <w:r w:rsidR="00D73566">
        <w:rPr>
          <w:rFonts w:ascii="Arial" w:hAnsi="Arial" w:cs="Arial"/>
        </w:rPr>
        <w:t xml:space="preserve"> </w:t>
      </w:r>
      <w:r w:rsidR="00D73566" w:rsidRPr="00D73566">
        <w:rPr>
          <w:rFonts w:ascii="Arial" w:hAnsi="Arial" w:cs="Arial"/>
        </w:rPr>
        <w:t>the company could be exposed to unpredictable economic fluctuations or business environment changes</w:t>
      </w:r>
      <w:r w:rsidR="00D73566">
        <w:rPr>
          <w:rFonts w:ascii="Arial" w:hAnsi="Arial" w:cs="Arial"/>
        </w:rPr>
        <w:t>.</w:t>
      </w:r>
      <w:r w:rsidR="00894285">
        <w:rPr>
          <w:rFonts w:ascii="Arial" w:hAnsi="Arial" w:cs="Arial"/>
        </w:rPr>
        <w:t xml:space="preserve"> </w:t>
      </w:r>
      <w:r w:rsidR="00D73566">
        <w:rPr>
          <w:rFonts w:ascii="Arial" w:hAnsi="Arial" w:cs="Arial"/>
        </w:rPr>
        <w:t>The liquidity ratio</w:t>
      </w:r>
      <w:r w:rsidR="00164375" w:rsidRPr="00164375">
        <w:rPr>
          <w:rFonts w:ascii="Arial" w:hAnsi="Arial" w:cs="Arial"/>
        </w:rPr>
        <w:t xml:space="preserve"> is vital for a company because when times are rough, a company without enough resources to cover its short-term debts could be forced to make unfavourable decisions in order to raise capital</w:t>
      </w:r>
      <w:r w:rsidR="00D73566">
        <w:rPr>
          <w:rFonts w:ascii="Arial" w:hAnsi="Arial" w:cs="Arial"/>
        </w:rPr>
        <w:t>,</w:t>
      </w:r>
      <w:r w:rsidR="00164375" w:rsidRPr="00164375">
        <w:rPr>
          <w:rFonts w:ascii="Arial" w:hAnsi="Arial" w:cs="Arial"/>
        </w:rPr>
        <w:t xml:space="preserve"> like selling assets at low prices, borrowing at high interest rates</w:t>
      </w:r>
      <w:r w:rsidR="0036684C">
        <w:rPr>
          <w:rFonts w:ascii="Arial" w:hAnsi="Arial" w:cs="Arial"/>
        </w:rPr>
        <w:t xml:space="preserve"> or even</w:t>
      </w:r>
      <w:r w:rsidR="00164375" w:rsidRPr="00164375">
        <w:rPr>
          <w:rFonts w:ascii="Arial" w:hAnsi="Arial" w:cs="Arial"/>
        </w:rPr>
        <w:t xml:space="preserve"> selling part of the company</w:t>
      </w:r>
      <w:r w:rsidR="0036684C">
        <w:rPr>
          <w:rFonts w:ascii="Arial" w:hAnsi="Arial" w:cs="Arial"/>
        </w:rPr>
        <w:t xml:space="preserve">. </w:t>
      </w:r>
      <w:r w:rsidR="00894285">
        <w:rPr>
          <w:rFonts w:ascii="Arial" w:hAnsi="Arial" w:cs="Arial"/>
        </w:rPr>
        <w:t>It can be calculated through Current, Quick and Cash Ratios.</w:t>
      </w:r>
      <w:r w:rsidR="0000280A">
        <w:rPr>
          <w:rFonts w:ascii="Arial" w:hAnsi="Arial" w:cs="Arial"/>
        </w:rPr>
        <w:t xml:space="preserve"> </w:t>
      </w:r>
    </w:p>
    <w:p w14:paraId="1583A983" w14:textId="41555B83" w:rsidR="00894285" w:rsidRDefault="00653F00" w:rsidP="00291A3F">
      <w:pPr>
        <w:pStyle w:val="ListParagraph"/>
        <w:numPr>
          <w:ilvl w:val="0"/>
          <w:numId w:val="6"/>
        </w:numPr>
        <w:spacing w:before="240" w:line="360" w:lineRule="auto"/>
        <w:jc w:val="both"/>
        <w:rPr>
          <w:rFonts w:ascii="Arial" w:hAnsi="Arial" w:cs="Arial"/>
        </w:rPr>
      </w:pPr>
      <w:r w:rsidRPr="00250D4D">
        <w:rPr>
          <w:rFonts w:ascii="Arial" w:hAnsi="Arial" w:cs="Arial"/>
        </w:rPr>
        <w:t>The Current Ratio</w:t>
      </w:r>
      <w:r w:rsidRPr="00C8093D">
        <w:rPr>
          <w:rFonts w:ascii="Arial" w:hAnsi="Arial" w:cs="Arial"/>
        </w:rPr>
        <w:t xml:space="preserve"> is the ratio of current assets to current liabilities.</w:t>
      </w:r>
      <w:r w:rsidR="004A0224" w:rsidRPr="00C8093D">
        <w:rPr>
          <w:rFonts w:ascii="Arial" w:hAnsi="Arial" w:cs="Arial"/>
        </w:rPr>
        <w:t xml:space="preserve"> It is used to assess the cash position of the company.</w:t>
      </w:r>
      <w:r w:rsidR="009D5FB3" w:rsidRPr="00C8093D">
        <w:rPr>
          <w:rFonts w:ascii="Arial" w:hAnsi="Arial" w:cs="Arial"/>
        </w:rPr>
        <w:t xml:space="preserve"> The higher the ratio, the more liquid the business is.</w:t>
      </w:r>
      <w:r w:rsidR="003E57E8" w:rsidRPr="003E57E8">
        <w:t xml:space="preserve"> </w:t>
      </w:r>
      <w:r w:rsidR="003E57E8" w:rsidRPr="00C8093D">
        <w:rPr>
          <w:rFonts w:ascii="Arial" w:hAnsi="Arial" w:cs="Arial"/>
        </w:rPr>
        <w:t>It is the indicator of the financial stability of the organisation.</w:t>
      </w:r>
      <w:r w:rsidR="003E57E8" w:rsidRPr="003E57E8">
        <w:t xml:space="preserve"> </w:t>
      </w:r>
      <w:r w:rsidR="003E57E8" w:rsidRPr="00C8093D">
        <w:rPr>
          <w:rFonts w:ascii="Arial" w:hAnsi="Arial" w:cs="Arial"/>
        </w:rPr>
        <w:t>It is also a financial solvency index and a work capital power index. The current ratio of the firm is growing constantly over the years from 2016 to 2018.</w:t>
      </w:r>
      <w:r w:rsidR="004A0224" w:rsidRPr="00C8093D">
        <w:rPr>
          <w:rFonts w:ascii="Arial" w:hAnsi="Arial" w:cs="Arial"/>
        </w:rPr>
        <w:t xml:space="preserve"> The current ratio recorded 0.95 in 2018, higher than the previous year when it recorded 0.89. However, in 2014 the ratio had a healthier position of 1.03. Compared to its competitor</w:t>
      </w:r>
      <w:r w:rsidR="00A62DCA" w:rsidRPr="00C8093D">
        <w:rPr>
          <w:rFonts w:ascii="Arial" w:hAnsi="Arial" w:cs="Arial"/>
        </w:rPr>
        <w:t xml:space="preserve"> (0.78), Nestle is better off</w:t>
      </w:r>
      <w:r w:rsidR="003E57E8" w:rsidRPr="00C8093D">
        <w:rPr>
          <w:rFonts w:ascii="Arial" w:hAnsi="Arial" w:cs="Arial"/>
        </w:rPr>
        <w:t xml:space="preserve"> and it seems </w:t>
      </w:r>
      <w:r w:rsidR="00250D4D">
        <w:rPr>
          <w:rFonts w:ascii="Arial" w:hAnsi="Arial" w:cs="Arial"/>
        </w:rPr>
        <w:t xml:space="preserve">to have </w:t>
      </w:r>
      <w:r w:rsidR="003E57E8" w:rsidRPr="00C8093D">
        <w:rPr>
          <w:rFonts w:ascii="Arial" w:hAnsi="Arial" w:cs="Arial"/>
        </w:rPr>
        <w:t>more liquidity.</w:t>
      </w:r>
      <w:r w:rsidR="00B472B4" w:rsidRPr="00B472B4">
        <w:t xml:space="preserve"> </w:t>
      </w:r>
      <w:r w:rsidR="00B472B4" w:rsidRPr="00C8093D">
        <w:rPr>
          <w:rFonts w:ascii="Arial" w:hAnsi="Arial" w:cs="Arial"/>
        </w:rPr>
        <w:t>This refers to the ability of the company to pay immediately its short-term obligations or current liabilities</w:t>
      </w:r>
      <w:r w:rsidR="00250D4D">
        <w:rPr>
          <w:rFonts w:ascii="Arial" w:hAnsi="Arial" w:cs="Arial"/>
        </w:rPr>
        <w:t>.</w:t>
      </w:r>
    </w:p>
    <w:p w14:paraId="4071C512" w14:textId="4A687206" w:rsidR="00C8093D" w:rsidRPr="00C8093D" w:rsidRDefault="00C8093D" w:rsidP="00291A3F">
      <w:pPr>
        <w:spacing w:before="240" w:line="360" w:lineRule="auto"/>
        <w:jc w:val="both"/>
        <w:rPr>
          <w:rFonts w:ascii="Arial" w:hAnsi="Arial" w:cs="Arial"/>
        </w:rPr>
      </w:pPr>
      <w:r>
        <w:rPr>
          <w:rFonts w:ascii="Arial" w:hAnsi="Arial" w:cs="Arial"/>
          <w:noProof/>
        </w:rPr>
        <w:drawing>
          <wp:inline distT="0" distB="0" distL="0" distR="0" wp14:anchorId="4B340C87" wp14:editId="23C86D95">
            <wp:extent cx="5293391" cy="31819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7475" cy="3214411"/>
                    </a:xfrm>
                    <a:prstGeom prst="rect">
                      <a:avLst/>
                    </a:prstGeom>
                    <a:noFill/>
                  </pic:spPr>
                </pic:pic>
              </a:graphicData>
            </a:graphic>
          </wp:inline>
        </w:drawing>
      </w:r>
    </w:p>
    <w:p w14:paraId="3A0CEE38" w14:textId="37DE278D" w:rsidR="00653F00" w:rsidRPr="00C8093D" w:rsidRDefault="00653F00" w:rsidP="00291A3F">
      <w:pPr>
        <w:pStyle w:val="ListParagraph"/>
        <w:numPr>
          <w:ilvl w:val="0"/>
          <w:numId w:val="6"/>
        </w:numPr>
        <w:spacing w:before="240" w:line="360" w:lineRule="auto"/>
        <w:jc w:val="both"/>
        <w:rPr>
          <w:rFonts w:ascii="Arial" w:hAnsi="Arial" w:cs="Arial"/>
        </w:rPr>
      </w:pPr>
      <w:r w:rsidRPr="00250D4D">
        <w:rPr>
          <w:rFonts w:ascii="Arial" w:hAnsi="Arial" w:cs="Arial"/>
        </w:rPr>
        <w:t>The Quick Ratio</w:t>
      </w:r>
      <w:r w:rsidRPr="00C8093D">
        <w:rPr>
          <w:rFonts w:ascii="Arial" w:hAnsi="Arial" w:cs="Arial"/>
        </w:rPr>
        <w:t xml:space="preserve"> is the ratio of current assets other than inventory to current liabilities.</w:t>
      </w:r>
      <w:r w:rsidR="0000280A" w:rsidRPr="00C8093D">
        <w:rPr>
          <w:rFonts w:ascii="Arial" w:hAnsi="Arial" w:cs="Arial"/>
        </w:rPr>
        <w:t xml:space="preserve"> It measures how fast the firm could meet its short-term obligations by only using the most liquid assets. </w:t>
      </w:r>
      <w:r w:rsidR="00B472B4" w:rsidRPr="00C8093D">
        <w:rPr>
          <w:rFonts w:ascii="Arial" w:hAnsi="Arial" w:cs="Arial"/>
        </w:rPr>
        <w:t>The quick ratio backs up inventory because it assumes it would take several weeks or months for selling inventory.</w:t>
      </w:r>
      <w:r w:rsidR="00B472B4" w:rsidRPr="00B472B4">
        <w:t xml:space="preserve"> </w:t>
      </w:r>
      <w:r w:rsidR="00B472B4" w:rsidRPr="00C8093D">
        <w:rPr>
          <w:rFonts w:ascii="Arial" w:hAnsi="Arial" w:cs="Arial"/>
        </w:rPr>
        <w:t xml:space="preserve">The quick ratio only takes into </w:t>
      </w:r>
      <w:r w:rsidR="00B472B4" w:rsidRPr="00C8093D">
        <w:rPr>
          <w:rFonts w:ascii="Arial" w:hAnsi="Arial" w:cs="Arial"/>
        </w:rPr>
        <w:lastRenderedPageBreak/>
        <w:t>consideration certain assets which could be used in the present time to cover short-term debts.</w:t>
      </w:r>
      <w:r w:rsidR="00B472B4" w:rsidRPr="00B472B4">
        <w:t xml:space="preserve"> </w:t>
      </w:r>
      <w:r w:rsidR="00B472B4" w:rsidRPr="00C8093D">
        <w:rPr>
          <w:rFonts w:ascii="Arial" w:hAnsi="Arial" w:cs="Arial"/>
        </w:rPr>
        <w:t>The quick test ratio is an extremely useful indicator of the company's liquidity status.</w:t>
      </w:r>
      <w:r w:rsidR="009375AA" w:rsidRPr="00C8093D">
        <w:rPr>
          <w:rFonts w:ascii="Arial" w:hAnsi="Arial" w:cs="Arial"/>
        </w:rPr>
        <w:t xml:space="preserve"> Compared to 2017, the quick ratio increased by </w:t>
      </w:r>
      <w:r w:rsidR="00054777" w:rsidRPr="00C8093D">
        <w:rPr>
          <w:rFonts w:ascii="Arial" w:hAnsi="Arial" w:cs="Arial"/>
        </w:rPr>
        <w:t>0.09 in 2018, meaning that the company is getting higher liquid current assets to cover its current liabilities.</w:t>
      </w:r>
      <w:r w:rsidR="00EC5E53">
        <w:rPr>
          <w:rFonts w:ascii="Arial" w:hAnsi="Arial" w:cs="Arial"/>
        </w:rPr>
        <w:t xml:space="preserve"> Compared to its competitor, Nestle has a better capacity to pay its current liabilities.</w:t>
      </w:r>
    </w:p>
    <w:p w14:paraId="01430A08" w14:textId="338CF86A" w:rsidR="009375AA" w:rsidRDefault="009375AA" w:rsidP="00291A3F">
      <w:pPr>
        <w:spacing w:before="240" w:line="360" w:lineRule="auto"/>
        <w:jc w:val="both"/>
        <w:rPr>
          <w:rFonts w:ascii="Arial" w:hAnsi="Arial" w:cs="Arial"/>
        </w:rPr>
      </w:pPr>
      <w:r>
        <w:rPr>
          <w:rFonts w:ascii="Arial" w:hAnsi="Arial" w:cs="Arial"/>
          <w:noProof/>
        </w:rPr>
        <w:drawing>
          <wp:inline distT="0" distB="0" distL="0" distR="0" wp14:anchorId="0B9E8134" wp14:editId="4342AEF2">
            <wp:extent cx="4978987" cy="29929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96393" cy="3003372"/>
                    </a:xfrm>
                    <a:prstGeom prst="rect">
                      <a:avLst/>
                    </a:prstGeom>
                    <a:noFill/>
                  </pic:spPr>
                </pic:pic>
              </a:graphicData>
            </a:graphic>
          </wp:inline>
        </w:drawing>
      </w:r>
    </w:p>
    <w:p w14:paraId="6BA80285" w14:textId="77777777" w:rsidR="00653F00" w:rsidRPr="00090A63" w:rsidRDefault="00653F00" w:rsidP="00291A3F">
      <w:pPr>
        <w:spacing w:before="240" w:line="360" w:lineRule="auto"/>
        <w:jc w:val="both"/>
        <w:rPr>
          <w:rFonts w:ascii="Arial" w:hAnsi="Arial" w:cs="Arial"/>
        </w:rPr>
      </w:pPr>
    </w:p>
    <w:p w14:paraId="680285BC" w14:textId="60A02C0E" w:rsidR="00653F00" w:rsidRDefault="00090A63" w:rsidP="00291A3F">
      <w:pPr>
        <w:spacing w:before="240" w:line="360" w:lineRule="auto"/>
        <w:jc w:val="both"/>
        <w:rPr>
          <w:rFonts w:ascii="Arial" w:hAnsi="Arial" w:cs="Arial"/>
        </w:rPr>
      </w:pPr>
      <w:r w:rsidRPr="00090A63">
        <w:rPr>
          <w:rFonts w:ascii="Arial" w:hAnsi="Arial" w:cs="Arial"/>
          <w:b/>
          <w:bCs/>
        </w:rPr>
        <w:t>Efficiency Ratio</w:t>
      </w:r>
      <w:r w:rsidRPr="00090A63">
        <w:rPr>
          <w:rFonts w:ascii="Arial" w:hAnsi="Arial" w:cs="Arial"/>
        </w:rPr>
        <w:t xml:space="preserve"> is representing how efficiently the company utilises its assets. The higher the ratio the better the company is operating.</w:t>
      </w:r>
      <w:r w:rsidR="00653F00">
        <w:rPr>
          <w:rFonts w:ascii="Arial" w:hAnsi="Arial" w:cs="Arial"/>
        </w:rPr>
        <w:t xml:space="preserve"> It can be obtained by calculating the As</w:t>
      </w:r>
      <w:r w:rsidR="007F65C2">
        <w:rPr>
          <w:rFonts w:ascii="Arial" w:hAnsi="Arial" w:cs="Arial"/>
        </w:rPr>
        <w:t>s</w:t>
      </w:r>
      <w:r w:rsidR="00653F00">
        <w:rPr>
          <w:rFonts w:ascii="Arial" w:hAnsi="Arial" w:cs="Arial"/>
        </w:rPr>
        <w:t>et Turnover and the Fixed Asset Turnover ratios.</w:t>
      </w:r>
      <w:r w:rsidR="007F65C2">
        <w:rPr>
          <w:rFonts w:ascii="Arial" w:hAnsi="Arial" w:cs="Arial"/>
        </w:rPr>
        <w:t xml:space="preserve"> Nestle has a high productivity and it has an effective use of resources.</w:t>
      </w:r>
    </w:p>
    <w:p w14:paraId="24E47E09" w14:textId="562C6C6B" w:rsidR="00653F00" w:rsidRPr="00574ED9" w:rsidRDefault="00653F00" w:rsidP="00291A3F">
      <w:pPr>
        <w:pStyle w:val="ListParagraph"/>
        <w:numPr>
          <w:ilvl w:val="0"/>
          <w:numId w:val="7"/>
        </w:numPr>
        <w:spacing w:before="240" w:line="360" w:lineRule="auto"/>
        <w:jc w:val="both"/>
        <w:rPr>
          <w:rFonts w:ascii="Arial" w:hAnsi="Arial" w:cs="Arial"/>
        </w:rPr>
      </w:pPr>
      <w:r w:rsidRPr="00EC5E53">
        <w:rPr>
          <w:rFonts w:ascii="Arial" w:hAnsi="Arial" w:cs="Arial"/>
        </w:rPr>
        <w:t>The Asset Turnover</w:t>
      </w:r>
      <w:r w:rsidR="00422160" w:rsidRPr="00574ED9">
        <w:rPr>
          <w:rFonts w:ascii="Arial" w:hAnsi="Arial" w:cs="Arial"/>
        </w:rPr>
        <w:t xml:space="preserve"> ratio</w:t>
      </w:r>
      <w:r w:rsidRPr="00574ED9">
        <w:rPr>
          <w:rFonts w:ascii="Arial" w:hAnsi="Arial" w:cs="Arial"/>
        </w:rPr>
        <w:t xml:space="preserve"> is a first board measure of efficiency.</w:t>
      </w:r>
      <w:r w:rsidR="00422160" w:rsidRPr="00574ED9">
        <w:rPr>
          <w:rFonts w:ascii="Arial" w:hAnsi="Arial" w:cs="Arial"/>
        </w:rPr>
        <w:t xml:space="preserve"> The firm registered 0.66 in 2018. Compared to its competitor, Nestle is way behind Unilever since they have recorded a ratio of 0.85. </w:t>
      </w:r>
    </w:p>
    <w:p w14:paraId="50B078C2" w14:textId="19DA24A4" w:rsidR="00574ED9" w:rsidRDefault="00574ED9" w:rsidP="00291A3F">
      <w:pPr>
        <w:spacing w:before="240" w:line="360" w:lineRule="auto"/>
        <w:jc w:val="both"/>
        <w:rPr>
          <w:rFonts w:ascii="Arial" w:hAnsi="Arial" w:cs="Arial"/>
        </w:rPr>
      </w:pPr>
      <w:r>
        <w:rPr>
          <w:rFonts w:ascii="Arial" w:hAnsi="Arial" w:cs="Arial"/>
          <w:noProof/>
        </w:rPr>
        <w:lastRenderedPageBreak/>
        <w:drawing>
          <wp:inline distT="0" distB="0" distL="0" distR="0" wp14:anchorId="3E85789C" wp14:editId="5B47FD59">
            <wp:extent cx="5068842" cy="3046922"/>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78478" cy="3052714"/>
                    </a:xfrm>
                    <a:prstGeom prst="rect">
                      <a:avLst/>
                    </a:prstGeom>
                    <a:noFill/>
                  </pic:spPr>
                </pic:pic>
              </a:graphicData>
            </a:graphic>
          </wp:inline>
        </w:drawing>
      </w:r>
    </w:p>
    <w:p w14:paraId="6BC0155C" w14:textId="2E5E4E93" w:rsidR="00653F00" w:rsidRPr="00574ED9" w:rsidRDefault="00653F00" w:rsidP="00291A3F">
      <w:pPr>
        <w:pStyle w:val="ListParagraph"/>
        <w:numPr>
          <w:ilvl w:val="0"/>
          <w:numId w:val="7"/>
        </w:numPr>
        <w:spacing w:before="240" w:line="360" w:lineRule="auto"/>
        <w:jc w:val="both"/>
        <w:rPr>
          <w:rFonts w:ascii="Arial" w:hAnsi="Arial" w:cs="Arial"/>
        </w:rPr>
      </w:pPr>
      <w:r w:rsidRPr="00EC5E53">
        <w:rPr>
          <w:rFonts w:ascii="Arial" w:hAnsi="Arial" w:cs="Arial"/>
        </w:rPr>
        <w:t>The Fixed Asset Turnover</w:t>
      </w:r>
      <w:r w:rsidRPr="00574ED9">
        <w:rPr>
          <w:rFonts w:ascii="Arial" w:hAnsi="Arial" w:cs="Arial"/>
        </w:rPr>
        <w:t xml:space="preserve"> is useful since total assets include assets that are not directly involved in generating sales.</w:t>
      </w:r>
      <w:r w:rsidR="005D389A" w:rsidRPr="00574ED9">
        <w:rPr>
          <w:rFonts w:ascii="Arial" w:hAnsi="Arial" w:cs="Arial"/>
        </w:rPr>
        <w:t xml:space="preserve"> Nestle obtained a ratio of 3.05 in 2018 whereas Unilever recorded 4.92</w:t>
      </w:r>
      <w:r w:rsidR="00EC5E53">
        <w:rPr>
          <w:rFonts w:ascii="Arial" w:hAnsi="Arial" w:cs="Arial"/>
        </w:rPr>
        <w:t>, meaning that its competitor is using its fixed assets more effectively to generate revenue.</w:t>
      </w:r>
    </w:p>
    <w:p w14:paraId="27F066FE" w14:textId="1E269EF9" w:rsidR="00EC5E53" w:rsidRPr="00090A63" w:rsidRDefault="00574ED9" w:rsidP="00291A3F">
      <w:pPr>
        <w:spacing w:before="240" w:line="360" w:lineRule="auto"/>
        <w:jc w:val="both"/>
        <w:rPr>
          <w:rFonts w:ascii="Arial" w:hAnsi="Arial" w:cs="Arial"/>
        </w:rPr>
      </w:pPr>
      <w:r>
        <w:rPr>
          <w:rFonts w:ascii="Arial" w:hAnsi="Arial" w:cs="Arial"/>
          <w:noProof/>
        </w:rPr>
        <w:drawing>
          <wp:inline distT="0" distB="0" distL="0" distR="0" wp14:anchorId="7CA60CBE" wp14:editId="66AE364F">
            <wp:extent cx="5079413" cy="2685425"/>
            <wp:effectExtent l="0" t="0" r="698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15711" cy="2704616"/>
                    </a:xfrm>
                    <a:prstGeom prst="rect">
                      <a:avLst/>
                    </a:prstGeom>
                    <a:noFill/>
                  </pic:spPr>
                </pic:pic>
              </a:graphicData>
            </a:graphic>
          </wp:inline>
        </w:drawing>
      </w:r>
    </w:p>
    <w:p w14:paraId="65C0DA2D" w14:textId="293601D2" w:rsidR="00EA6A58" w:rsidRDefault="00EA6A58" w:rsidP="00291A3F">
      <w:pPr>
        <w:spacing w:before="240" w:line="360" w:lineRule="auto"/>
        <w:jc w:val="both"/>
        <w:rPr>
          <w:rFonts w:ascii="Arial" w:hAnsi="Arial" w:cs="Arial"/>
        </w:rPr>
      </w:pPr>
      <w:r w:rsidRPr="00090A63">
        <w:rPr>
          <w:rFonts w:ascii="Arial" w:hAnsi="Arial" w:cs="Arial"/>
          <w:b/>
          <w:bCs/>
        </w:rPr>
        <w:t>Leverage ratio</w:t>
      </w:r>
      <w:r w:rsidRPr="00090A63">
        <w:rPr>
          <w:rFonts w:ascii="Arial" w:hAnsi="Arial" w:cs="Arial"/>
        </w:rPr>
        <w:t xml:space="preserve"> is represented by the company’s ability to pay the total liability.</w:t>
      </w:r>
      <w:r w:rsidR="00A62DCA">
        <w:rPr>
          <w:rFonts w:ascii="Arial" w:hAnsi="Arial" w:cs="Arial"/>
        </w:rPr>
        <w:t xml:space="preserve"> </w:t>
      </w:r>
      <w:r w:rsidR="0036684C" w:rsidRPr="0036684C">
        <w:rPr>
          <w:rFonts w:ascii="Arial" w:hAnsi="Arial" w:cs="Arial"/>
        </w:rPr>
        <w:t>Financial leverage ratios are used to determine how much financial risk the company has taken on</w:t>
      </w:r>
      <w:r w:rsidR="0036684C">
        <w:rPr>
          <w:rFonts w:ascii="Arial" w:hAnsi="Arial" w:cs="Arial"/>
        </w:rPr>
        <w:t xml:space="preserve">. </w:t>
      </w:r>
      <w:r w:rsidR="00A62DCA" w:rsidRPr="00A62DCA">
        <w:rPr>
          <w:rFonts w:ascii="Arial" w:hAnsi="Arial" w:cs="Arial"/>
        </w:rPr>
        <w:t>Although debt is good for generating money, a highly geared company is a risky activity</w:t>
      </w:r>
      <w:r w:rsidR="00E96A5E">
        <w:rPr>
          <w:rFonts w:ascii="Arial" w:hAnsi="Arial" w:cs="Arial"/>
        </w:rPr>
        <w:t>, thus, l</w:t>
      </w:r>
      <w:r w:rsidR="00E96A5E" w:rsidRPr="00E96A5E">
        <w:rPr>
          <w:rFonts w:ascii="Arial" w:hAnsi="Arial" w:cs="Arial"/>
        </w:rPr>
        <w:t>ower numbers are more acceptable</w:t>
      </w:r>
      <w:r w:rsidR="00E96A5E">
        <w:rPr>
          <w:rFonts w:ascii="Arial" w:hAnsi="Arial" w:cs="Arial"/>
        </w:rPr>
        <w:t xml:space="preserve">. </w:t>
      </w:r>
      <w:r w:rsidRPr="00090A63">
        <w:rPr>
          <w:rFonts w:ascii="Arial" w:hAnsi="Arial" w:cs="Arial"/>
        </w:rPr>
        <w:t>The total liability is represented by the long-term and the short-term liabilities.</w:t>
      </w:r>
      <w:r w:rsidR="00653F00">
        <w:rPr>
          <w:rFonts w:ascii="Arial" w:hAnsi="Arial" w:cs="Arial"/>
        </w:rPr>
        <w:t xml:space="preserve"> It may be obtained by calculating the Debt to Equity Ratio and Debt to Capital Ratio.</w:t>
      </w:r>
    </w:p>
    <w:p w14:paraId="0BCAA11A" w14:textId="2AA0AC51" w:rsidR="00653F00" w:rsidRPr="00574ED9" w:rsidRDefault="00653F00" w:rsidP="00291A3F">
      <w:pPr>
        <w:pStyle w:val="ListParagraph"/>
        <w:numPr>
          <w:ilvl w:val="0"/>
          <w:numId w:val="8"/>
        </w:numPr>
        <w:spacing w:before="240" w:line="360" w:lineRule="auto"/>
        <w:jc w:val="both"/>
        <w:rPr>
          <w:rFonts w:ascii="Arial" w:hAnsi="Arial" w:cs="Arial"/>
        </w:rPr>
      </w:pPr>
      <w:r w:rsidRPr="00EC5E53">
        <w:rPr>
          <w:rFonts w:ascii="Arial" w:hAnsi="Arial" w:cs="Arial"/>
        </w:rPr>
        <w:lastRenderedPageBreak/>
        <w:t>The Debt to Equity Ratio</w:t>
      </w:r>
      <w:r w:rsidRPr="00574ED9">
        <w:rPr>
          <w:rFonts w:ascii="Arial" w:hAnsi="Arial" w:cs="Arial"/>
        </w:rPr>
        <w:t xml:space="preserve"> is a common ratio used to assess a company’s leverage. It can be calculated by using the book or market value. </w:t>
      </w:r>
      <w:r w:rsidR="00A62DCA" w:rsidRPr="00574ED9">
        <w:rPr>
          <w:rFonts w:ascii="Arial" w:hAnsi="Arial" w:cs="Arial"/>
        </w:rPr>
        <w:t>If in 2014 it was at 0.29, in 2018 it has reached 0.69, higher by 0.40. However, the Unilever’s debt to equity ratio reached 2.02</w:t>
      </w:r>
      <w:r w:rsidR="003C22DA" w:rsidRPr="00574ED9">
        <w:rPr>
          <w:rFonts w:ascii="Arial" w:hAnsi="Arial" w:cs="Arial"/>
        </w:rPr>
        <w:t xml:space="preserve"> in 2018, a lot higher than Nestle.</w:t>
      </w:r>
      <w:r w:rsidR="000F3E71" w:rsidRPr="00574ED9">
        <w:rPr>
          <w:rFonts w:ascii="Arial" w:hAnsi="Arial" w:cs="Arial"/>
        </w:rPr>
        <w:t xml:space="preserve"> As the figure below shows, the company’s debt to equity ratio has been increasing quite intensively.</w:t>
      </w:r>
      <w:r w:rsidR="001E5614">
        <w:rPr>
          <w:rFonts w:ascii="Arial" w:hAnsi="Arial" w:cs="Arial"/>
        </w:rPr>
        <w:t xml:space="preserve"> Unilever’s debt to equity ratio is extremely higher, meaning that the company is getting more of its financing by borrowing money, which may lead to an excessive amount of debt.</w:t>
      </w:r>
    </w:p>
    <w:p w14:paraId="2034E9D1" w14:textId="4AAD6B82" w:rsidR="00840E09" w:rsidRDefault="00840E09" w:rsidP="00291A3F">
      <w:pPr>
        <w:spacing w:before="240" w:line="360" w:lineRule="auto"/>
        <w:jc w:val="both"/>
        <w:rPr>
          <w:rFonts w:ascii="Arial" w:hAnsi="Arial" w:cs="Arial"/>
        </w:rPr>
      </w:pPr>
      <w:r>
        <w:rPr>
          <w:rFonts w:ascii="Arial" w:hAnsi="Arial" w:cs="Arial"/>
          <w:noProof/>
        </w:rPr>
        <w:drawing>
          <wp:inline distT="0" distB="0" distL="0" distR="0" wp14:anchorId="75C95260" wp14:editId="2033F74A">
            <wp:extent cx="5290835" cy="3180363"/>
            <wp:effectExtent l="0" t="0" r="508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07908" cy="3190626"/>
                    </a:xfrm>
                    <a:prstGeom prst="rect">
                      <a:avLst/>
                    </a:prstGeom>
                    <a:noFill/>
                  </pic:spPr>
                </pic:pic>
              </a:graphicData>
            </a:graphic>
          </wp:inline>
        </w:drawing>
      </w:r>
    </w:p>
    <w:p w14:paraId="7A0224C7" w14:textId="77777777" w:rsidR="00EC5E53" w:rsidRDefault="00EC5E53" w:rsidP="00291A3F">
      <w:pPr>
        <w:spacing w:before="240" w:line="360" w:lineRule="auto"/>
        <w:jc w:val="both"/>
        <w:rPr>
          <w:rFonts w:ascii="Arial" w:hAnsi="Arial" w:cs="Arial"/>
        </w:rPr>
      </w:pPr>
    </w:p>
    <w:p w14:paraId="0B85B8AA" w14:textId="3AC583A3" w:rsidR="00653F00" w:rsidRDefault="00653F00" w:rsidP="00291A3F">
      <w:pPr>
        <w:pStyle w:val="ListParagraph"/>
        <w:numPr>
          <w:ilvl w:val="0"/>
          <w:numId w:val="8"/>
        </w:numPr>
        <w:spacing w:before="240" w:line="360" w:lineRule="auto"/>
        <w:jc w:val="both"/>
        <w:rPr>
          <w:rFonts w:ascii="Arial" w:hAnsi="Arial" w:cs="Arial"/>
        </w:rPr>
      </w:pPr>
      <w:r w:rsidRPr="00EC5E53">
        <w:rPr>
          <w:rFonts w:ascii="Arial" w:hAnsi="Arial" w:cs="Arial"/>
        </w:rPr>
        <w:t>The Debt to Capital Ratio</w:t>
      </w:r>
      <w:r w:rsidRPr="00574ED9">
        <w:rPr>
          <w:rFonts w:ascii="Arial" w:hAnsi="Arial" w:cs="Arial"/>
        </w:rPr>
        <w:t xml:space="preserve"> calculates the fraction of the company financed by debt.</w:t>
      </w:r>
      <w:r w:rsidR="00A949BB" w:rsidRPr="00574ED9">
        <w:rPr>
          <w:rFonts w:ascii="Arial" w:hAnsi="Arial" w:cs="Arial"/>
        </w:rPr>
        <w:t xml:space="preserve"> It can be calculated by using the book or market value.</w:t>
      </w:r>
      <w:r w:rsidR="00291A3F">
        <w:rPr>
          <w:rFonts w:ascii="Arial" w:hAnsi="Arial" w:cs="Arial"/>
        </w:rPr>
        <w:t xml:space="preserve"> Nestle’s debt to capital ratio has increased gradually since 2014 from 0.22 to 0.40 in 2018. However, its competitor’s ratio is higher by 0.26. </w:t>
      </w:r>
    </w:p>
    <w:p w14:paraId="7A8A4555" w14:textId="465E996B" w:rsidR="00574ED9" w:rsidRPr="00574ED9" w:rsidRDefault="00574ED9" w:rsidP="00291A3F">
      <w:pPr>
        <w:spacing w:before="240" w:line="360" w:lineRule="auto"/>
        <w:ind w:left="360"/>
        <w:jc w:val="both"/>
        <w:rPr>
          <w:rFonts w:ascii="Arial" w:hAnsi="Arial" w:cs="Arial"/>
        </w:rPr>
      </w:pPr>
      <w:r>
        <w:rPr>
          <w:rFonts w:ascii="Arial" w:hAnsi="Arial" w:cs="Arial"/>
          <w:noProof/>
        </w:rPr>
        <w:lastRenderedPageBreak/>
        <w:drawing>
          <wp:inline distT="0" distB="0" distL="0" distR="0" wp14:anchorId="596AD833" wp14:editId="13EE50C3">
            <wp:extent cx="5143911" cy="309204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68716" cy="3106956"/>
                    </a:xfrm>
                    <a:prstGeom prst="rect">
                      <a:avLst/>
                    </a:prstGeom>
                    <a:noFill/>
                  </pic:spPr>
                </pic:pic>
              </a:graphicData>
            </a:graphic>
          </wp:inline>
        </w:drawing>
      </w:r>
    </w:p>
    <w:p w14:paraId="2F15D05A" w14:textId="3275D016" w:rsidR="00A949BB" w:rsidRDefault="00A949BB" w:rsidP="00291A3F">
      <w:pPr>
        <w:spacing w:before="240" w:line="360" w:lineRule="auto"/>
        <w:jc w:val="both"/>
        <w:rPr>
          <w:rFonts w:ascii="Arial" w:hAnsi="Arial" w:cs="Arial"/>
        </w:rPr>
      </w:pPr>
      <w:r w:rsidRPr="00A949BB">
        <w:rPr>
          <w:rFonts w:ascii="Arial" w:hAnsi="Arial" w:cs="Arial"/>
          <w:b/>
          <w:bCs/>
        </w:rPr>
        <w:t>Investment Returns</w:t>
      </w:r>
      <w:r>
        <w:rPr>
          <w:rFonts w:ascii="Arial" w:hAnsi="Arial" w:cs="Arial"/>
          <w:b/>
          <w:bCs/>
        </w:rPr>
        <w:t xml:space="preserve"> </w:t>
      </w:r>
      <w:r>
        <w:rPr>
          <w:rFonts w:ascii="Arial" w:hAnsi="Arial" w:cs="Arial"/>
        </w:rPr>
        <w:t>is represented by the Return on Equity and Return on Assets ratios.</w:t>
      </w:r>
    </w:p>
    <w:p w14:paraId="05FA4E22" w14:textId="6826DC83" w:rsidR="00A949BB" w:rsidRPr="00291A3F" w:rsidRDefault="00A949BB" w:rsidP="00291A3F">
      <w:pPr>
        <w:pStyle w:val="ListParagraph"/>
        <w:numPr>
          <w:ilvl w:val="0"/>
          <w:numId w:val="10"/>
        </w:numPr>
        <w:spacing w:before="240" w:line="360" w:lineRule="auto"/>
        <w:jc w:val="both"/>
        <w:rPr>
          <w:rFonts w:ascii="Arial" w:hAnsi="Arial" w:cs="Arial"/>
        </w:rPr>
      </w:pPr>
      <w:r w:rsidRPr="001E5614">
        <w:rPr>
          <w:rFonts w:ascii="Arial" w:hAnsi="Arial" w:cs="Arial"/>
        </w:rPr>
        <w:t>The Return on Equity ratio</w:t>
      </w:r>
      <w:r w:rsidRPr="00291A3F">
        <w:rPr>
          <w:rFonts w:ascii="Arial" w:hAnsi="Arial" w:cs="Arial"/>
        </w:rPr>
        <w:t xml:space="preserve"> is used to evaluate the company’s return on investment by comparing its income to its investmen</w:t>
      </w:r>
      <w:r w:rsidR="002F02FC" w:rsidRPr="00291A3F">
        <w:rPr>
          <w:rFonts w:ascii="Arial" w:hAnsi="Arial" w:cs="Arial"/>
        </w:rPr>
        <w:t>t. In fact, it tells how good a company is at rewarding its shareholders for their investment.</w:t>
      </w:r>
      <w:r w:rsidR="007F65C2" w:rsidRPr="00291A3F">
        <w:rPr>
          <w:rFonts w:ascii="Arial" w:hAnsi="Arial" w:cs="Arial"/>
        </w:rPr>
        <w:t xml:space="preserve"> It may be affected by the foreign currency fluctuations.</w:t>
      </w:r>
      <w:r w:rsidR="002F02FC" w:rsidRPr="00291A3F">
        <w:rPr>
          <w:rFonts w:ascii="Arial" w:hAnsi="Arial" w:cs="Arial"/>
        </w:rPr>
        <w:t xml:space="preserve"> Since 2014 the return on equity </w:t>
      </w:r>
      <w:r w:rsidR="00634500" w:rsidRPr="00291A3F">
        <w:rPr>
          <w:rFonts w:ascii="Arial" w:hAnsi="Arial" w:cs="Arial"/>
        </w:rPr>
        <w:t>began falling until 2017. Then, it started to increase progressively and it reached 0.17 in 2018. However, in 2014 Nestle had a return on equity ratio of 0.2. Its competitor, Unilever has got a lot higher ratio that reached 0.79, which means that it is earning a higher return on equity.</w:t>
      </w:r>
    </w:p>
    <w:p w14:paraId="173E39EB" w14:textId="70FF5B24" w:rsidR="002F02FC" w:rsidRDefault="002F02FC" w:rsidP="00291A3F">
      <w:pPr>
        <w:spacing w:before="240" w:line="360" w:lineRule="auto"/>
        <w:jc w:val="both"/>
        <w:rPr>
          <w:rFonts w:ascii="Arial" w:hAnsi="Arial" w:cs="Arial"/>
        </w:rPr>
      </w:pPr>
      <w:r>
        <w:rPr>
          <w:rFonts w:ascii="Arial" w:hAnsi="Arial" w:cs="Arial"/>
          <w:noProof/>
        </w:rPr>
        <w:drawing>
          <wp:inline distT="0" distB="0" distL="0" distR="0" wp14:anchorId="6B9FF966" wp14:editId="2BBA6C62">
            <wp:extent cx="5346151" cy="3213614"/>
            <wp:effectExtent l="0" t="0" r="698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78525" cy="3233074"/>
                    </a:xfrm>
                    <a:prstGeom prst="rect">
                      <a:avLst/>
                    </a:prstGeom>
                    <a:noFill/>
                  </pic:spPr>
                </pic:pic>
              </a:graphicData>
            </a:graphic>
          </wp:inline>
        </w:drawing>
      </w:r>
    </w:p>
    <w:p w14:paraId="68BE83DC" w14:textId="1C77105E" w:rsidR="00752482" w:rsidRPr="00291A3F" w:rsidRDefault="00A949BB" w:rsidP="00291A3F">
      <w:pPr>
        <w:pStyle w:val="ListParagraph"/>
        <w:numPr>
          <w:ilvl w:val="0"/>
          <w:numId w:val="10"/>
        </w:numPr>
        <w:spacing w:before="240" w:line="360" w:lineRule="auto"/>
        <w:jc w:val="both"/>
        <w:rPr>
          <w:rFonts w:ascii="Arial" w:hAnsi="Arial" w:cs="Arial"/>
        </w:rPr>
      </w:pPr>
      <w:r w:rsidRPr="001E5614">
        <w:rPr>
          <w:rFonts w:ascii="Arial" w:hAnsi="Arial" w:cs="Arial"/>
        </w:rPr>
        <w:lastRenderedPageBreak/>
        <w:t>The Return on Assets ratio</w:t>
      </w:r>
      <w:r w:rsidRPr="00291A3F">
        <w:rPr>
          <w:rFonts w:ascii="Arial" w:hAnsi="Arial" w:cs="Arial"/>
        </w:rPr>
        <w:t xml:space="preserve"> is used to evaluate the company’s return on investment by comparing its income to its assets. </w:t>
      </w:r>
      <w:r w:rsidR="000F3E71" w:rsidRPr="00291A3F">
        <w:rPr>
          <w:rFonts w:ascii="Arial" w:hAnsi="Arial" w:cs="Arial"/>
        </w:rPr>
        <w:t xml:space="preserve">It seems that since 2014, Nestle’s return on assets </w:t>
      </w:r>
      <w:r w:rsidR="00752482" w:rsidRPr="00291A3F">
        <w:rPr>
          <w:rFonts w:ascii="Arial" w:hAnsi="Arial" w:cs="Arial"/>
        </w:rPr>
        <w:t>decreased gradually until 2017. From then, it started to increase until 2018. Its competitor has a lot higher return on assets as the end of 2018.</w:t>
      </w:r>
      <w:r w:rsidR="002F02FC" w:rsidRPr="00291A3F">
        <w:rPr>
          <w:rFonts w:ascii="Arial" w:hAnsi="Arial" w:cs="Arial"/>
        </w:rPr>
        <w:t xml:space="preserve"> Overall, it looks like the company makes less money by its assets as compared to 2014. </w:t>
      </w:r>
    </w:p>
    <w:p w14:paraId="3373EFD0" w14:textId="682800D1" w:rsidR="000A77DA" w:rsidRPr="00090A63" w:rsidRDefault="000F3E71" w:rsidP="00291A3F">
      <w:pPr>
        <w:spacing w:before="240" w:line="360" w:lineRule="auto"/>
        <w:jc w:val="both"/>
        <w:rPr>
          <w:rFonts w:ascii="Arial" w:hAnsi="Arial" w:cs="Arial"/>
        </w:rPr>
      </w:pPr>
      <w:r>
        <w:rPr>
          <w:rFonts w:ascii="Arial" w:hAnsi="Arial" w:cs="Arial"/>
          <w:noProof/>
        </w:rPr>
        <w:drawing>
          <wp:inline distT="0" distB="0" distL="0" distR="0" wp14:anchorId="6C83D55B" wp14:editId="5B193D6A">
            <wp:extent cx="5271641" cy="3012763"/>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07786" cy="3033420"/>
                    </a:xfrm>
                    <a:prstGeom prst="rect">
                      <a:avLst/>
                    </a:prstGeom>
                    <a:noFill/>
                  </pic:spPr>
                </pic:pic>
              </a:graphicData>
            </a:graphic>
          </wp:inline>
        </w:drawing>
      </w:r>
    </w:p>
    <w:p w14:paraId="1014C344" w14:textId="1C231485" w:rsidR="004D52F2" w:rsidRDefault="0006543B" w:rsidP="004D52F2">
      <w:pPr>
        <w:spacing w:before="240" w:line="360" w:lineRule="auto"/>
        <w:ind w:firstLine="720"/>
        <w:jc w:val="both"/>
        <w:rPr>
          <w:rFonts w:ascii="Arial" w:hAnsi="Arial" w:cs="Arial"/>
        </w:rPr>
      </w:pPr>
      <w:r>
        <w:rPr>
          <w:rFonts w:ascii="Arial" w:hAnsi="Arial" w:cs="Arial"/>
        </w:rPr>
        <w:t>Therefore, the f</w:t>
      </w:r>
      <w:r w:rsidRPr="0006543B">
        <w:rPr>
          <w:rFonts w:ascii="Arial" w:hAnsi="Arial" w:cs="Arial"/>
        </w:rPr>
        <w:t>inancial ratios</w:t>
      </w:r>
      <w:r>
        <w:rPr>
          <w:rFonts w:ascii="Arial" w:hAnsi="Arial" w:cs="Arial"/>
        </w:rPr>
        <w:t xml:space="preserve"> are used in order to</w:t>
      </w:r>
      <w:r w:rsidRPr="0006543B">
        <w:rPr>
          <w:rFonts w:ascii="Arial" w:hAnsi="Arial" w:cs="Arial"/>
        </w:rPr>
        <w:t xml:space="preserve"> bring more attention to the business areas which need more evaluation</w:t>
      </w:r>
      <w:r>
        <w:rPr>
          <w:rFonts w:ascii="Arial" w:hAnsi="Arial" w:cs="Arial"/>
        </w:rPr>
        <w:t>. They are essential for the business decisions and for the operating business in the long-run.</w:t>
      </w:r>
      <w:r w:rsidR="00D62E77">
        <w:rPr>
          <w:rFonts w:ascii="Arial" w:hAnsi="Arial" w:cs="Arial"/>
        </w:rPr>
        <w:t xml:space="preserve"> Also, ratios are used when comparing one company’s performance to another’s over a period of time.</w:t>
      </w:r>
      <w:r w:rsidR="0007395E">
        <w:rPr>
          <w:rFonts w:ascii="Arial" w:hAnsi="Arial" w:cs="Arial"/>
        </w:rPr>
        <w:t xml:space="preserve"> </w:t>
      </w:r>
      <w:r w:rsidR="0061628F">
        <w:rPr>
          <w:rFonts w:ascii="Arial" w:hAnsi="Arial" w:cs="Arial"/>
        </w:rPr>
        <w:t>In fact, from the overall analysis, Nestle is better off in terms of</w:t>
      </w:r>
      <w:r w:rsidR="00656EC0">
        <w:rPr>
          <w:rFonts w:ascii="Arial" w:hAnsi="Arial" w:cs="Arial"/>
        </w:rPr>
        <w:t xml:space="preserve"> liquidity and performance</w:t>
      </w:r>
      <w:r w:rsidR="0061628F">
        <w:rPr>
          <w:rFonts w:ascii="Arial" w:hAnsi="Arial" w:cs="Arial"/>
        </w:rPr>
        <w:t xml:space="preserve"> compared to Unilever</w:t>
      </w:r>
      <w:r w:rsidR="00FE588F">
        <w:rPr>
          <w:rFonts w:ascii="Arial" w:hAnsi="Arial" w:cs="Arial"/>
        </w:rPr>
        <w:t xml:space="preserve"> in 2018</w:t>
      </w:r>
      <w:r w:rsidR="0061628F">
        <w:rPr>
          <w:rFonts w:ascii="Arial" w:hAnsi="Arial" w:cs="Arial"/>
        </w:rPr>
        <w:t xml:space="preserve">. </w:t>
      </w:r>
      <w:r w:rsidR="00656EC0">
        <w:rPr>
          <w:rFonts w:ascii="Arial" w:hAnsi="Arial" w:cs="Arial"/>
        </w:rPr>
        <w:t>However, the comparative performance is poor in areas like profit</w:t>
      </w:r>
      <w:r w:rsidR="007A2FE1">
        <w:rPr>
          <w:rFonts w:ascii="Arial" w:hAnsi="Arial" w:cs="Arial"/>
        </w:rPr>
        <w:t>ability</w:t>
      </w:r>
      <w:r w:rsidR="00656EC0">
        <w:rPr>
          <w:rFonts w:ascii="Arial" w:hAnsi="Arial" w:cs="Arial"/>
        </w:rPr>
        <w:t xml:space="preserve">, efficiency and </w:t>
      </w:r>
      <w:r w:rsidR="007A2FE1">
        <w:rPr>
          <w:rFonts w:ascii="Arial" w:hAnsi="Arial" w:cs="Arial"/>
        </w:rPr>
        <w:t>investment</w:t>
      </w:r>
      <w:r w:rsidR="00656EC0">
        <w:rPr>
          <w:rFonts w:ascii="Arial" w:hAnsi="Arial" w:cs="Arial"/>
        </w:rPr>
        <w:t xml:space="preserve"> management. The major areas of weakness require further investigation and remedial action. </w:t>
      </w:r>
    </w:p>
    <w:p w14:paraId="2D1D8245" w14:textId="2E5B499C" w:rsidR="00095AE6" w:rsidRDefault="00656EC0" w:rsidP="00317440">
      <w:pPr>
        <w:spacing w:before="240" w:line="360" w:lineRule="auto"/>
        <w:ind w:firstLine="720"/>
        <w:jc w:val="both"/>
        <w:rPr>
          <w:rFonts w:ascii="Arial" w:hAnsi="Arial" w:cs="Arial"/>
        </w:rPr>
      </w:pPr>
      <w:r>
        <w:rPr>
          <w:rFonts w:ascii="Arial" w:hAnsi="Arial" w:cs="Arial"/>
        </w:rPr>
        <w:t>The management should improve its return on equity by increasing profit margins, improving asset turnover or using more financial leverage.</w:t>
      </w:r>
      <w:r w:rsidR="004D52F2">
        <w:rPr>
          <w:rFonts w:ascii="Arial" w:hAnsi="Arial" w:cs="Arial"/>
        </w:rPr>
        <w:t xml:space="preserve"> They should increase the sales profitability and to have better management of inventory.</w:t>
      </w:r>
      <w:r>
        <w:rPr>
          <w:rFonts w:ascii="Arial" w:hAnsi="Arial" w:cs="Arial"/>
        </w:rPr>
        <w:t xml:space="preserve"> </w:t>
      </w:r>
      <w:r w:rsidR="007A2FE1">
        <w:rPr>
          <w:rFonts w:ascii="Arial" w:hAnsi="Arial" w:cs="Arial"/>
        </w:rPr>
        <w:t>The Nestle Group management should monitor the business performance closely through continuous analysis of r</w:t>
      </w:r>
      <w:r w:rsidR="0007395E">
        <w:rPr>
          <w:rFonts w:ascii="Arial" w:hAnsi="Arial" w:cs="Arial"/>
        </w:rPr>
        <w:t>atios</w:t>
      </w:r>
      <w:r w:rsidR="007A2FE1">
        <w:rPr>
          <w:rFonts w:ascii="Arial" w:hAnsi="Arial" w:cs="Arial"/>
        </w:rPr>
        <w:t>, since they</w:t>
      </w:r>
      <w:r w:rsidR="00D70272">
        <w:rPr>
          <w:rFonts w:ascii="Arial" w:hAnsi="Arial" w:cs="Arial"/>
        </w:rPr>
        <w:t xml:space="preserve"> </w:t>
      </w:r>
      <w:r w:rsidR="0007395E">
        <w:rPr>
          <w:rFonts w:ascii="Arial" w:hAnsi="Arial" w:cs="Arial"/>
        </w:rPr>
        <w:t>help in planning and forecasting</w:t>
      </w:r>
      <w:r w:rsidR="00D70272">
        <w:rPr>
          <w:rFonts w:ascii="Arial" w:hAnsi="Arial" w:cs="Arial"/>
        </w:rPr>
        <w:t>, and t</w:t>
      </w:r>
      <w:r w:rsidR="00D70272" w:rsidRPr="00D70272">
        <w:rPr>
          <w:rFonts w:ascii="Arial" w:hAnsi="Arial" w:cs="Arial"/>
        </w:rPr>
        <w:t xml:space="preserve">hey </w:t>
      </w:r>
      <w:r w:rsidR="00D70272">
        <w:rPr>
          <w:rFonts w:ascii="Arial" w:hAnsi="Arial" w:cs="Arial"/>
        </w:rPr>
        <w:t xml:space="preserve">also </w:t>
      </w:r>
      <w:r w:rsidR="00D70272" w:rsidRPr="00D70272">
        <w:rPr>
          <w:rFonts w:ascii="Arial" w:hAnsi="Arial" w:cs="Arial"/>
        </w:rPr>
        <w:t xml:space="preserve">help in making </w:t>
      </w:r>
      <w:bookmarkStart w:id="8" w:name="_Hlk29987667"/>
      <w:r w:rsidR="00D70272" w:rsidRPr="00D70272">
        <w:rPr>
          <w:rFonts w:ascii="Arial" w:hAnsi="Arial" w:cs="Arial"/>
        </w:rPr>
        <w:t>investment decisions.</w:t>
      </w:r>
      <w:bookmarkEnd w:id="8"/>
    </w:p>
    <w:p w14:paraId="5F3ED86B" w14:textId="63E4A1FB" w:rsidR="004D52F2" w:rsidRDefault="004D52F2" w:rsidP="00291A3F">
      <w:pPr>
        <w:spacing w:before="240" w:line="360" w:lineRule="auto"/>
        <w:jc w:val="both"/>
        <w:rPr>
          <w:rFonts w:ascii="Arial" w:hAnsi="Arial" w:cs="Arial"/>
        </w:rPr>
      </w:pPr>
    </w:p>
    <w:p w14:paraId="5B3CE032" w14:textId="7F23B6AA" w:rsidR="004D52F2" w:rsidRDefault="004D52F2" w:rsidP="00291A3F">
      <w:pPr>
        <w:spacing w:before="240" w:line="360" w:lineRule="auto"/>
        <w:jc w:val="both"/>
        <w:rPr>
          <w:rFonts w:ascii="Arial" w:hAnsi="Arial" w:cs="Arial"/>
        </w:rPr>
      </w:pPr>
    </w:p>
    <w:p w14:paraId="1823A586" w14:textId="77777777" w:rsidR="004D52F2" w:rsidRPr="00090A63" w:rsidRDefault="004D52F2" w:rsidP="00291A3F">
      <w:pPr>
        <w:spacing w:before="240" w:line="360" w:lineRule="auto"/>
        <w:jc w:val="both"/>
        <w:rPr>
          <w:rFonts w:ascii="Arial" w:hAnsi="Arial" w:cs="Arial"/>
        </w:rPr>
      </w:pPr>
    </w:p>
    <w:p w14:paraId="03AB39B2" w14:textId="684DC96E" w:rsidR="00230BBA" w:rsidRPr="00276DB6" w:rsidRDefault="00317440" w:rsidP="00276DB6">
      <w:pPr>
        <w:pStyle w:val="ListParagraph"/>
        <w:numPr>
          <w:ilvl w:val="0"/>
          <w:numId w:val="19"/>
        </w:numPr>
        <w:spacing w:before="240" w:line="360" w:lineRule="auto"/>
        <w:jc w:val="both"/>
        <w:rPr>
          <w:rFonts w:ascii="Arial" w:hAnsi="Arial" w:cs="Arial"/>
          <w:b/>
          <w:bCs/>
        </w:rPr>
      </w:pPr>
      <w:bookmarkStart w:id="9" w:name="_Hlk29987908"/>
      <w:r w:rsidRPr="00276DB6">
        <w:rPr>
          <w:rFonts w:ascii="Arial" w:hAnsi="Arial" w:cs="Arial"/>
          <w:b/>
          <w:bCs/>
        </w:rPr>
        <w:lastRenderedPageBreak/>
        <w:t>Investment Appraisal Techniques</w:t>
      </w:r>
      <w:bookmarkEnd w:id="9"/>
    </w:p>
    <w:p w14:paraId="7E7027D2" w14:textId="0C7B8DDF" w:rsidR="00230BBA" w:rsidRPr="00230BBA" w:rsidRDefault="00B32FCA" w:rsidP="005D2B1D">
      <w:pPr>
        <w:spacing w:before="240" w:line="360" w:lineRule="auto"/>
        <w:ind w:firstLine="360"/>
        <w:jc w:val="both"/>
        <w:rPr>
          <w:rFonts w:ascii="Arial" w:hAnsi="Arial" w:cs="Arial"/>
        </w:rPr>
      </w:pPr>
      <w:r w:rsidRPr="00B32FCA">
        <w:rPr>
          <w:rFonts w:ascii="Arial" w:hAnsi="Arial" w:cs="Arial"/>
        </w:rPr>
        <w:t>Since Nestle is considering the prospects for a range of new investment opportunities, the investment appraisal is evaluated.</w:t>
      </w:r>
      <w:r>
        <w:rPr>
          <w:rFonts w:ascii="Arial" w:hAnsi="Arial" w:cs="Arial"/>
        </w:rPr>
        <w:t xml:space="preserve"> </w:t>
      </w:r>
      <w:r w:rsidR="00230BBA" w:rsidRPr="00230BBA">
        <w:rPr>
          <w:rFonts w:ascii="Arial" w:hAnsi="Arial" w:cs="Arial"/>
        </w:rPr>
        <w:t>In order for the company to make investment decisions it needs to review the capital investment appraisal by the following methods:</w:t>
      </w:r>
    </w:p>
    <w:p w14:paraId="364E31D8" w14:textId="25028C42" w:rsidR="00317440" w:rsidRDefault="00317440" w:rsidP="00317440">
      <w:pPr>
        <w:pStyle w:val="ListParagraph"/>
        <w:numPr>
          <w:ilvl w:val="0"/>
          <w:numId w:val="14"/>
        </w:numPr>
        <w:spacing w:before="240" w:line="360" w:lineRule="auto"/>
        <w:jc w:val="both"/>
        <w:rPr>
          <w:rFonts w:ascii="Arial" w:hAnsi="Arial" w:cs="Arial"/>
        </w:rPr>
      </w:pPr>
      <w:bookmarkStart w:id="10" w:name="_Hlk30072263"/>
      <w:r>
        <w:rPr>
          <w:rFonts w:ascii="Arial" w:hAnsi="Arial" w:cs="Arial"/>
        </w:rPr>
        <w:t>Payback Period (PBP</w:t>
      </w:r>
      <w:r w:rsidR="00FE69F8">
        <w:rPr>
          <w:rFonts w:ascii="Arial" w:hAnsi="Arial" w:cs="Arial"/>
        </w:rPr>
        <w:t>)</w:t>
      </w:r>
      <w:bookmarkEnd w:id="10"/>
    </w:p>
    <w:p w14:paraId="52EAC6E1" w14:textId="7117F9DD" w:rsidR="00317440" w:rsidRDefault="00317440" w:rsidP="00317440">
      <w:pPr>
        <w:pStyle w:val="ListParagraph"/>
        <w:numPr>
          <w:ilvl w:val="0"/>
          <w:numId w:val="14"/>
        </w:numPr>
        <w:spacing w:before="240" w:line="360" w:lineRule="auto"/>
        <w:jc w:val="both"/>
        <w:rPr>
          <w:rFonts w:ascii="Arial" w:hAnsi="Arial" w:cs="Arial"/>
        </w:rPr>
      </w:pPr>
      <w:bookmarkStart w:id="11" w:name="_Hlk30072289"/>
      <w:r>
        <w:rPr>
          <w:rFonts w:ascii="Arial" w:hAnsi="Arial" w:cs="Arial"/>
        </w:rPr>
        <w:t>Accounting Rate of Return (ARR)</w:t>
      </w:r>
      <w:r w:rsidR="00230BBA">
        <w:rPr>
          <w:rFonts w:ascii="Arial" w:hAnsi="Arial" w:cs="Arial"/>
        </w:rPr>
        <w:t xml:space="preserve"> </w:t>
      </w:r>
      <w:bookmarkEnd w:id="11"/>
    </w:p>
    <w:p w14:paraId="099885F6" w14:textId="094C0513" w:rsidR="00317440" w:rsidRDefault="00317440" w:rsidP="00317440">
      <w:pPr>
        <w:pStyle w:val="ListParagraph"/>
        <w:numPr>
          <w:ilvl w:val="0"/>
          <w:numId w:val="14"/>
        </w:numPr>
        <w:spacing w:before="240" w:line="360" w:lineRule="auto"/>
        <w:jc w:val="both"/>
        <w:rPr>
          <w:rFonts w:ascii="Arial" w:hAnsi="Arial" w:cs="Arial"/>
        </w:rPr>
      </w:pPr>
      <w:bookmarkStart w:id="12" w:name="_Hlk30072550"/>
      <w:r>
        <w:rPr>
          <w:rFonts w:ascii="Arial" w:hAnsi="Arial" w:cs="Arial"/>
        </w:rPr>
        <w:t>Internal Rate of Return (IRR)</w:t>
      </w:r>
    </w:p>
    <w:p w14:paraId="37E6F3FC" w14:textId="151CEC98" w:rsidR="00230BBA" w:rsidRDefault="00317440" w:rsidP="00230BBA">
      <w:pPr>
        <w:pStyle w:val="ListParagraph"/>
        <w:numPr>
          <w:ilvl w:val="0"/>
          <w:numId w:val="14"/>
        </w:numPr>
        <w:spacing w:before="240" w:line="360" w:lineRule="auto"/>
        <w:jc w:val="both"/>
        <w:rPr>
          <w:rFonts w:ascii="Arial" w:hAnsi="Arial" w:cs="Arial"/>
        </w:rPr>
      </w:pPr>
      <w:bookmarkStart w:id="13" w:name="_Hlk30073392"/>
      <w:bookmarkEnd w:id="12"/>
      <w:r>
        <w:rPr>
          <w:rFonts w:ascii="Arial" w:hAnsi="Arial" w:cs="Arial"/>
        </w:rPr>
        <w:t>Net Present Value (NPV)</w:t>
      </w:r>
    </w:p>
    <w:bookmarkEnd w:id="13"/>
    <w:p w14:paraId="11AD527F" w14:textId="77777777" w:rsidR="00B32FCA" w:rsidRPr="00B32FCA" w:rsidRDefault="00B32FCA" w:rsidP="00B32FCA">
      <w:pPr>
        <w:spacing w:before="240" w:line="360" w:lineRule="auto"/>
        <w:jc w:val="both"/>
        <w:rPr>
          <w:rFonts w:ascii="Arial" w:hAnsi="Arial" w:cs="Arial"/>
        </w:rPr>
      </w:pPr>
    </w:p>
    <w:tbl>
      <w:tblPr>
        <w:tblW w:w="4880" w:type="dxa"/>
        <w:tblLook w:val="04A0" w:firstRow="1" w:lastRow="0" w:firstColumn="1" w:lastColumn="0" w:noHBand="0" w:noVBand="1"/>
      </w:tblPr>
      <w:tblGrid>
        <w:gridCol w:w="1740"/>
        <w:gridCol w:w="1420"/>
        <w:gridCol w:w="1720"/>
      </w:tblGrid>
      <w:tr w:rsidR="00B32FCA" w14:paraId="250EA23D" w14:textId="77777777" w:rsidTr="00B32FCA">
        <w:trPr>
          <w:trHeight w:val="320"/>
        </w:trPr>
        <w:tc>
          <w:tcPr>
            <w:tcW w:w="1740" w:type="dxa"/>
            <w:noWrap/>
            <w:vAlign w:val="center"/>
            <w:hideMark/>
          </w:tcPr>
          <w:p w14:paraId="0AD88659" w14:textId="77777777" w:rsidR="00B32FCA" w:rsidRDefault="00B32FCA">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Year</w:t>
            </w:r>
          </w:p>
        </w:tc>
        <w:tc>
          <w:tcPr>
            <w:tcW w:w="1420" w:type="dxa"/>
            <w:noWrap/>
            <w:vAlign w:val="center"/>
            <w:hideMark/>
          </w:tcPr>
          <w:p w14:paraId="2FA6C393" w14:textId="77777777" w:rsidR="00B32FCA" w:rsidRDefault="00B32FCA">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Project A</w:t>
            </w:r>
          </w:p>
        </w:tc>
        <w:tc>
          <w:tcPr>
            <w:tcW w:w="1720" w:type="dxa"/>
            <w:noWrap/>
            <w:vAlign w:val="center"/>
            <w:hideMark/>
          </w:tcPr>
          <w:p w14:paraId="2BA99D92" w14:textId="77777777" w:rsidR="00B32FCA" w:rsidRDefault="00B32FCA">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Project B</w:t>
            </w:r>
          </w:p>
        </w:tc>
      </w:tr>
      <w:tr w:rsidR="00B32FCA" w14:paraId="36B803C9" w14:textId="77777777" w:rsidTr="00B32FCA">
        <w:trPr>
          <w:trHeight w:val="320"/>
        </w:trPr>
        <w:tc>
          <w:tcPr>
            <w:tcW w:w="1740" w:type="dxa"/>
            <w:noWrap/>
            <w:vAlign w:val="center"/>
            <w:hideMark/>
          </w:tcPr>
          <w:p w14:paraId="3D72BA7A"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0</w:t>
            </w:r>
          </w:p>
        </w:tc>
        <w:tc>
          <w:tcPr>
            <w:tcW w:w="1420" w:type="dxa"/>
            <w:noWrap/>
            <w:vAlign w:val="center"/>
            <w:hideMark/>
          </w:tcPr>
          <w:p w14:paraId="7568BCA0"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-103</w:t>
            </w:r>
          </w:p>
        </w:tc>
        <w:tc>
          <w:tcPr>
            <w:tcW w:w="1720" w:type="dxa"/>
            <w:noWrap/>
            <w:vAlign w:val="center"/>
            <w:hideMark/>
          </w:tcPr>
          <w:p w14:paraId="4E192BF4"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-115</w:t>
            </w:r>
          </w:p>
        </w:tc>
      </w:tr>
      <w:tr w:rsidR="00B32FCA" w14:paraId="55849912" w14:textId="77777777" w:rsidTr="00B32FCA">
        <w:trPr>
          <w:trHeight w:val="320"/>
        </w:trPr>
        <w:tc>
          <w:tcPr>
            <w:tcW w:w="1740" w:type="dxa"/>
            <w:noWrap/>
            <w:vAlign w:val="center"/>
            <w:hideMark/>
          </w:tcPr>
          <w:p w14:paraId="4C760F2F"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1</w:t>
            </w:r>
          </w:p>
        </w:tc>
        <w:tc>
          <w:tcPr>
            <w:tcW w:w="1420" w:type="dxa"/>
            <w:noWrap/>
            <w:vAlign w:val="center"/>
            <w:hideMark/>
          </w:tcPr>
          <w:p w14:paraId="68315DC1"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10</w:t>
            </w:r>
          </w:p>
        </w:tc>
        <w:tc>
          <w:tcPr>
            <w:tcW w:w="1720" w:type="dxa"/>
            <w:noWrap/>
            <w:vAlign w:val="center"/>
            <w:hideMark/>
          </w:tcPr>
          <w:p w14:paraId="48E6B398"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60</w:t>
            </w:r>
          </w:p>
        </w:tc>
      </w:tr>
      <w:tr w:rsidR="00B32FCA" w14:paraId="14F74A26" w14:textId="77777777" w:rsidTr="00B32FCA">
        <w:trPr>
          <w:trHeight w:val="320"/>
        </w:trPr>
        <w:tc>
          <w:tcPr>
            <w:tcW w:w="1740" w:type="dxa"/>
            <w:noWrap/>
            <w:vAlign w:val="center"/>
            <w:hideMark/>
          </w:tcPr>
          <w:p w14:paraId="5AF132FC"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2</w:t>
            </w:r>
          </w:p>
        </w:tc>
        <w:tc>
          <w:tcPr>
            <w:tcW w:w="1420" w:type="dxa"/>
            <w:noWrap/>
            <w:vAlign w:val="center"/>
            <w:hideMark/>
          </w:tcPr>
          <w:p w14:paraId="723DD984"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30</w:t>
            </w:r>
          </w:p>
        </w:tc>
        <w:tc>
          <w:tcPr>
            <w:tcW w:w="1720" w:type="dxa"/>
            <w:noWrap/>
            <w:vAlign w:val="center"/>
            <w:hideMark/>
          </w:tcPr>
          <w:p w14:paraId="49CE9357"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40</w:t>
            </w:r>
          </w:p>
        </w:tc>
      </w:tr>
      <w:tr w:rsidR="00B32FCA" w14:paraId="59EB7629" w14:textId="77777777" w:rsidTr="00B32FCA">
        <w:trPr>
          <w:trHeight w:val="320"/>
        </w:trPr>
        <w:tc>
          <w:tcPr>
            <w:tcW w:w="1740" w:type="dxa"/>
            <w:noWrap/>
            <w:vAlign w:val="center"/>
            <w:hideMark/>
          </w:tcPr>
          <w:p w14:paraId="6DE4499A"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3</w:t>
            </w:r>
          </w:p>
        </w:tc>
        <w:tc>
          <w:tcPr>
            <w:tcW w:w="1420" w:type="dxa"/>
            <w:noWrap/>
            <w:vAlign w:val="center"/>
            <w:hideMark/>
          </w:tcPr>
          <w:p w14:paraId="69E882D1"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50</w:t>
            </w:r>
          </w:p>
        </w:tc>
        <w:tc>
          <w:tcPr>
            <w:tcW w:w="1720" w:type="dxa"/>
            <w:noWrap/>
            <w:vAlign w:val="center"/>
            <w:hideMark/>
          </w:tcPr>
          <w:p w14:paraId="17EF7F18"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60</w:t>
            </w:r>
          </w:p>
        </w:tc>
      </w:tr>
      <w:tr w:rsidR="00B32FCA" w14:paraId="5AF571D5" w14:textId="77777777" w:rsidTr="00B32FCA">
        <w:trPr>
          <w:trHeight w:val="320"/>
        </w:trPr>
        <w:tc>
          <w:tcPr>
            <w:tcW w:w="1740" w:type="dxa"/>
            <w:noWrap/>
            <w:vAlign w:val="center"/>
            <w:hideMark/>
          </w:tcPr>
          <w:p w14:paraId="3920F6CF"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4</w:t>
            </w:r>
          </w:p>
        </w:tc>
        <w:tc>
          <w:tcPr>
            <w:tcW w:w="1420" w:type="dxa"/>
            <w:noWrap/>
            <w:vAlign w:val="center"/>
            <w:hideMark/>
          </w:tcPr>
          <w:p w14:paraId="40A93CF7"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65</w:t>
            </w:r>
          </w:p>
        </w:tc>
        <w:tc>
          <w:tcPr>
            <w:tcW w:w="1720" w:type="dxa"/>
            <w:noWrap/>
            <w:vAlign w:val="center"/>
            <w:hideMark/>
          </w:tcPr>
          <w:p w14:paraId="37949A6F" w14:textId="77777777" w:rsidR="00B32FCA" w:rsidRDefault="00B32FCA">
            <w:pPr>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5</w:t>
            </w:r>
          </w:p>
        </w:tc>
      </w:tr>
    </w:tbl>
    <w:p w14:paraId="0AB58E98" w14:textId="59A0C058" w:rsidR="00B32FCA" w:rsidRDefault="00B32FCA" w:rsidP="00B32FCA">
      <w:pPr>
        <w:spacing w:before="240" w:line="360" w:lineRule="auto"/>
        <w:jc w:val="both"/>
        <w:rPr>
          <w:rFonts w:ascii="Arial" w:hAnsi="Arial" w:cs="Arial"/>
        </w:rPr>
      </w:pPr>
      <w:r>
        <w:rPr>
          <w:rFonts w:ascii="Arial" w:hAnsi="Arial" w:cs="Arial"/>
        </w:rPr>
        <w:t>Cost of capital = 8.73%</w:t>
      </w:r>
    </w:p>
    <w:p w14:paraId="6719AA9B" w14:textId="5EB2DF4A" w:rsidR="00D34833" w:rsidRPr="00D34833" w:rsidRDefault="00D34833" w:rsidP="00D34833">
      <w:pPr>
        <w:pStyle w:val="ListParagraph"/>
        <w:numPr>
          <w:ilvl w:val="0"/>
          <w:numId w:val="16"/>
        </w:numPr>
        <w:spacing w:before="240" w:line="360" w:lineRule="auto"/>
        <w:jc w:val="both"/>
        <w:rPr>
          <w:rFonts w:ascii="Arial" w:hAnsi="Arial" w:cs="Arial"/>
        </w:rPr>
      </w:pPr>
      <w:r w:rsidRPr="00D34833">
        <w:rPr>
          <w:rFonts w:ascii="Arial" w:hAnsi="Arial" w:cs="Arial"/>
        </w:rPr>
        <w:t xml:space="preserve">Payback Period (PBP) </w:t>
      </w:r>
    </w:p>
    <w:p w14:paraId="06FFC9A9" w14:textId="786F7648" w:rsidR="00D34833" w:rsidRPr="00D34833" w:rsidRDefault="00D34833" w:rsidP="00D34833">
      <w:pPr>
        <w:spacing w:before="240" w:line="360" w:lineRule="auto"/>
        <w:jc w:val="both"/>
        <w:rPr>
          <w:rFonts w:ascii="Arial" w:hAnsi="Arial" w:cs="Arial"/>
        </w:rPr>
      </w:pPr>
      <w:bookmarkStart w:id="14" w:name="_Hlk30072329"/>
      <w:r w:rsidRPr="00D34833">
        <w:rPr>
          <w:rFonts w:ascii="Arial" w:hAnsi="Arial" w:cs="Arial"/>
        </w:rPr>
        <w:t>For project A:</w:t>
      </w:r>
    </w:p>
    <w:bookmarkEnd w:id="14"/>
    <w:p w14:paraId="6909D2F6" w14:textId="1F72AB8B" w:rsidR="00B32FCA" w:rsidRDefault="00B32FCA" w:rsidP="00B32FCA">
      <w:pPr>
        <w:spacing w:before="240" w:line="360" w:lineRule="auto"/>
        <w:jc w:val="both"/>
        <w:rPr>
          <w:rFonts w:ascii="Arial" w:hAnsi="Arial" w:cs="Arial"/>
        </w:rPr>
      </w:pPr>
      <w:r>
        <w:rPr>
          <w:rFonts w:ascii="Arial" w:hAnsi="Arial" w:cs="Arial"/>
        </w:rPr>
        <w:t>-103 + 10 + 30 + 50 = 13</w:t>
      </w:r>
    </w:p>
    <w:p w14:paraId="0D2BC3D3" w14:textId="4E9AE372" w:rsidR="00B32FCA" w:rsidRDefault="00B32FCA" w:rsidP="00B32FCA">
      <w:pPr>
        <w:spacing w:before="240" w:line="360" w:lineRule="auto"/>
        <w:jc w:val="both"/>
        <w:rPr>
          <w:rFonts w:ascii="Arial" w:hAnsi="Arial" w:cs="Arial"/>
        </w:rPr>
      </w:pPr>
      <w:r>
        <w:rPr>
          <w:rFonts w:ascii="Arial" w:hAnsi="Arial" w:cs="Arial"/>
        </w:rPr>
        <w:t>13/65 = 0.2</w:t>
      </w:r>
    </w:p>
    <w:p w14:paraId="2714764A" w14:textId="20A67F63" w:rsidR="00B32FCA" w:rsidRDefault="00D34833" w:rsidP="00B32FCA">
      <w:pPr>
        <w:spacing w:before="240" w:line="360" w:lineRule="auto"/>
        <w:jc w:val="both"/>
        <w:rPr>
          <w:rFonts w:ascii="Arial" w:hAnsi="Arial" w:cs="Arial"/>
        </w:rPr>
      </w:pPr>
      <w:r w:rsidRPr="00D34833">
        <w:rPr>
          <w:rFonts w:ascii="Arial" w:hAnsi="Arial" w:cs="Arial"/>
        </w:rPr>
        <w:t xml:space="preserve">PBP(A) = </w:t>
      </w:r>
      <w:r w:rsidRPr="00814BEF">
        <w:rPr>
          <w:rFonts w:ascii="Arial" w:hAnsi="Arial" w:cs="Arial"/>
          <w:b/>
          <w:bCs/>
        </w:rPr>
        <w:t>3.2 years</w:t>
      </w:r>
    </w:p>
    <w:p w14:paraId="2E71AA58" w14:textId="3956C577" w:rsidR="00D34833" w:rsidRDefault="00D34833" w:rsidP="00B32FCA">
      <w:pPr>
        <w:spacing w:before="240" w:line="360" w:lineRule="auto"/>
        <w:jc w:val="both"/>
        <w:rPr>
          <w:rFonts w:ascii="Arial" w:hAnsi="Arial" w:cs="Arial"/>
        </w:rPr>
      </w:pPr>
      <w:r>
        <w:rPr>
          <w:rFonts w:ascii="Arial" w:hAnsi="Arial" w:cs="Arial"/>
        </w:rPr>
        <w:t>For project B:</w:t>
      </w:r>
    </w:p>
    <w:p w14:paraId="50E247C9" w14:textId="65D7C76C" w:rsidR="00D34833" w:rsidRDefault="00D34833" w:rsidP="00B32FCA">
      <w:pPr>
        <w:spacing w:before="240" w:line="360" w:lineRule="auto"/>
        <w:jc w:val="both"/>
        <w:rPr>
          <w:rFonts w:ascii="Arial" w:hAnsi="Arial" w:cs="Arial"/>
        </w:rPr>
      </w:pPr>
      <w:r>
        <w:rPr>
          <w:rFonts w:ascii="Arial" w:hAnsi="Arial" w:cs="Arial"/>
        </w:rPr>
        <w:t>-115 + 60 + 40 = 15</w:t>
      </w:r>
    </w:p>
    <w:p w14:paraId="220A7784" w14:textId="7E9BD576" w:rsidR="00D34833" w:rsidRDefault="00D34833" w:rsidP="00B32FCA">
      <w:pPr>
        <w:spacing w:before="240" w:line="360" w:lineRule="auto"/>
        <w:jc w:val="both"/>
        <w:rPr>
          <w:rFonts w:ascii="Arial" w:hAnsi="Arial" w:cs="Arial"/>
        </w:rPr>
      </w:pPr>
      <w:r>
        <w:rPr>
          <w:rFonts w:ascii="Arial" w:hAnsi="Arial" w:cs="Arial"/>
        </w:rPr>
        <w:t>15/50 = 0.25</w:t>
      </w:r>
    </w:p>
    <w:p w14:paraId="5B27A9FD" w14:textId="5075C24D" w:rsidR="00D34833" w:rsidRDefault="00B32FCA" w:rsidP="00B32FCA">
      <w:pPr>
        <w:spacing w:before="240" w:line="360" w:lineRule="auto"/>
        <w:jc w:val="both"/>
        <w:rPr>
          <w:rFonts w:ascii="Arial" w:hAnsi="Arial" w:cs="Arial"/>
        </w:rPr>
      </w:pPr>
      <w:r>
        <w:rPr>
          <w:rFonts w:ascii="Arial" w:hAnsi="Arial" w:cs="Arial"/>
        </w:rPr>
        <w:t xml:space="preserve">PBP(B) = </w:t>
      </w:r>
      <w:r w:rsidRPr="00814BEF">
        <w:rPr>
          <w:rFonts w:ascii="Arial" w:hAnsi="Arial" w:cs="Arial"/>
          <w:b/>
          <w:bCs/>
        </w:rPr>
        <w:t>2.25 years</w:t>
      </w:r>
    </w:p>
    <w:p w14:paraId="50ABD1E6" w14:textId="77777777" w:rsidR="00D34833" w:rsidRDefault="00D34833" w:rsidP="00B32FCA">
      <w:pPr>
        <w:spacing w:before="240" w:line="360" w:lineRule="auto"/>
        <w:jc w:val="both"/>
        <w:rPr>
          <w:rFonts w:ascii="Arial" w:hAnsi="Arial" w:cs="Arial"/>
        </w:rPr>
      </w:pPr>
    </w:p>
    <w:p w14:paraId="6417C548" w14:textId="1BE3586A" w:rsidR="00D34833" w:rsidRDefault="00D34833" w:rsidP="00D34833">
      <w:pPr>
        <w:pStyle w:val="ListParagraph"/>
        <w:numPr>
          <w:ilvl w:val="0"/>
          <w:numId w:val="16"/>
        </w:numPr>
        <w:spacing w:before="240" w:line="360" w:lineRule="auto"/>
        <w:jc w:val="both"/>
        <w:rPr>
          <w:rFonts w:ascii="Arial" w:hAnsi="Arial" w:cs="Arial"/>
        </w:rPr>
      </w:pPr>
      <w:r w:rsidRPr="00D34833">
        <w:rPr>
          <w:rFonts w:ascii="Arial" w:hAnsi="Arial" w:cs="Arial"/>
        </w:rPr>
        <w:lastRenderedPageBreak/>
        <w:t>Accounting Rate of Return (ARR)</w:t>
      </w:r>
    </w:p>
    <w:p w14:paraId="7BC38C7B" w14:textId="4155A85E" w:rsidR="00D34833" w:rsidRDefault="00D34833" w:rsidP="00D34833">
      <w:pPr>
        <w:spacing w:before="240" w:line="360" w:lineRule="auto"/>
        <w:jc w:val="both"/>
        <w:rPr>
          <w:rFonts w:ascii="Arial" w:hAnsi="Arial" w:cs="Arial"/>
        </w:rPr>
      </w:pPr>
      <w:r w:rsidRPr="00D34833">
        <w:rPr>
          <w:rFonts w:ascii="Arial" w:hAnsi="Arial" w:cs="Arial"/>
        </w:rPr>
        <w:t>For project A:</w:t>
      </w:r>
    </w:p>
    <w:p w14:paraId="0E28F0CC" w14:textId="73E99312" w:rsidR="00D34833" w:rsidRDefault="00D34833" w:rsidP="00D34833">
      <w:pPr>
        <w:spacing w:before="240" w:line="360" w:lineRule="auto"/>
        <w:jc w:val="both"/>
        <w:rPr>
          <w:rFonts w:ascii="Arial" w:hAnsi="Arial" w:cs="Arial"/>
        </w:rPr>
      </w:pPr>
      <w:r>
        <w:rPr>
          <w:rFonts w:ascii="Arial" w:hAnsi="Arial" w:cs="Arial"/>
        </w:rPr>
        <w:t>Total Profit = 155/4 = 38.75</w:t>
      </w:r>
    </w:p>
    <w:p w14:paraId="62BC068F" w14:textId="39F11A57" w:rsidR="00D34833" w:rsidRDefault="00D34833" w:rsidP="00D34833">
      <w:pPr>
        <w:spacing w:before="240" w:line="360" w:lineRule="auto"/>
        <w:jc w:val="both"/>
        <w:rPr>
          <w:rFonts w:ascii="Arial" w:hAnsi="Arial" w:cs="Arial"/>
        </w:rPr>
      </w:pPr>
      <w:r>
        <w:rPr>
          <w:rFonts w:ascii="Arial" w:hAnsi="Arial" w:cs="Arial"/>
        </w:rPr>
        <w:t>38.75/103 = 0.3762</w:t>
      </w:r>
    </w:p>
    <w:p w14:paraId="718C43FC" w14:textId="59F686AC" w:rsidR="00D34833" w:rsidRDefault="00D34833" w:rsidP="00D34833">
      <w:pPr>
        <w:spacing w:before="240" w:line="360" w:lineRule="auto"/>
        <w:jc w:val="both"/>
        <w:rPr>
          <w:rFonts w:ascii="Arial" w:hAnsi="Arial" w:cs="Arial"/>
        </w:rPr>
      </w:pPr>
      <w:r>
        <w:rPr>
          <w:rFonts w:ascii="Arial" w:hAnsi="Arial" w:cs="Arial"/>
        </w:rPr>
        <w:t xml:space="preserve">ARR(A) = </w:t>
      </w:r>
      <w:r w:rsidRPr="00814BEF">
        <w:rPr>
          <w:rFonts w:ascii="Arial" w:hAnsi="Arial" w:cs="Arial"/>
          <w:b/>
          <w:bCs/>
        </w:rPr>
        <w:t>37.62</w:t>
      </w:r>
    </w:p>
    <w:p w14:paraId="61994841" w14:textId="77777777" w:rsidR="00D34833" w:rsidRDefault="00D34833" w:rsidP="00D34833">
      <w:pPr>
        <w:spacing w:before="240" w:line="360" w:lineRule="auto"/>
        <w:jc w:val="both"/>
        <w:rPr>
          <w:rFonts w:ascii="Arial" w:hAnsi="Arial" w:cs="Arial"/>
        </w:rPr>
      </w:pPr>
    </w:p>
    <w:p w14:paraId="7BB483DF" w14:textId="024F13F2" w:rsidR="00D34833" w:rsidRDefault="00D34833" w:rsidP="00D34833">
      <w:pPr>
        <w:spacing w:before="240" w:line="360" w:lineRule="auto"/>
        <w:jc w:val="both"/>
        <w:rPr>
          <w:rFonts w:ascii="Arial" w:hAnsi="Arial" w:cs="Arial"/>
        </w:rPr>
      </w:pPr>
      <w:r>
        <w:rPr>
          <w:rFonts w:ascii="Arial" w:hAnsi="Arial" w:cs="Arial"/>
        </w:rPr>
        <w:t>For project B:</w:t>
      </w:r>
    </w:p>
    <w:p w14:paraId="2EBCDB9E" w14:textId="2C64ECA2" w:rsidR="00D34833" w:rsidRDefault="00D34833" w:rsidP="00D34833">
      <w:pPr>
        <w:spacing w:before="240" w:line="360" w:lineRule="auto"/>
        <w:jc w:val="both"/>
        <w:rPr>
          <w:rFonts w:ascii="Arial" w:hAnsi="Arial" w:cs="Arial"/>
        </w:rPr>
      </w:pPr>
      <w:r>
        <w:rPr>
          <w:rFonts w:ascii="Arial" w:hAnsi="Arial" w:cs="Arial"/>
        </w:rPr>
        <w:t>Total Profit = 165/4 = 41.25</w:t>
      </w:r>
    </w:p>
    <w:p w14:paraId="36D6CCF5" w14:textId="2516773A" w:rsidR="00D34833" w:rsidRDefault="00D34833" w:rsidP="00D34833">
      <w:pPr>
        <w:spacing w:before="240" w:line="360" w:lineRule="auto"/>
        <w:jc w:val="both"/>
        <w:rPr>
          <w:rFonts w:ascii="Arial" w:hAnsi="Arial" w:cs="Arial"/>
        </w:rPr>
      </w:pPr>
      <w:r>
        <w:rPr>
          <w:rFonts w:ascii="Arial" w:hAnsi="Arial" w:cs="Arial"/>
        </w:rPr>
        <w:t>41.25/115 = 0.3587</w:t>
      </w:r>
    </w:p>
    <w:p w14:paraId="7F8223BA" w14:textId="6AA03ACB" w:rsidR="00D34833" w:rsidRDefault="00D34833" w:rsidP="00D34833">
      <w:pPr>
        <w:spacing w:before="240" w:line="360" w:lineRule="auto"/>
        <w:jc w:val="both"/>
        <w:rPr>
          <w:rFonts w:ascii="Arial" w:hAnsi="Arial" w:cs="Arial"/>
        </w:rPr>
      </w:pPr>
      <w:r>
        <w:rPr>
          <w:rFonts w:ascii="Arial" w:hAnsi="Arial" w:cs="Arial"/>
        </w:rPr>
        <w:t xml:space="preserve">ARR(B) = </w:t>
      </w:r>
      <w:r w:rsidRPr="00814BEF">
        <w:rPr>
          <w:rFonts w:ascii="Arial" w:hAnsi="Arial" w:cs="Arial"/>
          <w:b/>
          <w:bCs/>
        </w:rPr>
        <w:t>35.87</w:t>
      </w:r>
    </w:p>
    <w:p w14:paraId="1FFC8093" w14:textId="77777777" w:rsidR="00D34833" w:rsidRDefault="00D34833" w:rsidP="00D34833">
      <w:pPr>
        <w:spacing w:before="240" w:line="360" w:lineRule="auto"/>
        <w:jc w:val="both"/>
        <w:rPr>
          <w:rFonts w:ascii="Arial" w:hAnsi="Arial" w:cs="Arial"/>
        </w:rPr>
      </w:pPr>
    </w:p>
    <w:p w14:paraId="3D8D2006" w14:textId="002CF41B" w:rsidR="00D34833" w:rsidRPr="00D34833" w:rsidRDefault="00D34833" w:rsidP="00D34833">
      <w:pPr>
        <w:pStyle w:val="ListParagraph"/>
        <w:numPr>
          <w:ilvl w:val="0"/>
          <w:numId w:val="16"/>
        </w:numPr>
        <w:spacing w:before="240" w:line="360" w:lineRule="auto"/>
        <w:jc w:val="both"/>
        <w:rPr>
          <w:rFonts w:ascii="Arial" w:hAnsi="Arial" w:cs="Arial"/>
        </w:rPr>
      </w:pPr>
      <w:r w:rsidRPr="00D34833">
        <w:rPr>
          <w:rFonts w:ascii="Arial" w:hAnsi="Arial" w:cs="Arial"/>
        </w:rPr>
        <w:t>Internal Rate of Return (IRR)</w:t>
      </w:r>
    </w:p>
    <w:p w14:paraId="21925E7E" w14:textId="1FCA0F2B" w:rsidR="00D34833" w:rsidRDefault="00D34833" w:rsidP="00D34833">
      <w:pPr>
        <w:spacing w:before="240" w:line="360" w:lineRule="auto"/>
        <w:jc w:val="both"/>
        <w:rPr>
          <w:rFonts w:ascii="Arial" w:hAnsi="Arial" w:cs="Arial"/>
        </w:rPr>
      </w:pPr>
      <w:r>
        <w:rPr>
          <w:rFonts w:ascii="Arial" w:hAnsi="Arial" w:cs="Arial"/>
        </w:rPr>
        <w:t>For project A:</w:t>
      </w:r>
    </w:p>
    <w:p w14:paraId="312CCC79" w14:textId="540A4167" w:rsidR="00814BEF" w:rsidRDefault="00544A21" w:rsidP="00D34833">
      <w:pPr>
        <w:spacing w:before="240" w:line="360" w:lineRule="auto"/>
        <w:jc w:val="both"/>
        <w:rPr>
          <w:rFonts w:ascii="Arial" w:hAnsi="Arial" w:cs="Arial"/>
        </w:rPr>
      </w:pPr>
      <w:r>
        <w:rPr>
          <w:rFonts w:ascii="Arial" w:hAnsi="Arial" w:cs="Arial"/>
        </w:rPr>
        <w:t xml:space="preserve">IRR = r1 + </w:t>
      </w:r>
      <m:oMath>
        <m:f>
          <m:fPr>
            <m:ctrlPr>
              <w:rPr>
                <w:rFonts w:ascii="Cambria Math" w:hAnsi="Cambria Math" w:cs="Arial"/>
                <w:i/>
              </w:rPr>
            </m:ctrlPr>
          </m:fPr>
          <m:num>
            <m:r>
              <m:rPr>
                <m:sty m:val="p"/>
              </m:rPr>
              <w:rPr>
                <w:rFonts w:ascii="Cambria Math" w:hAnsi="Cambria Math" w:cs="Arial"/>
              </w:rPr>
              <m:t>NPV(1)</m:t>
            </m:r>
          </m:num>
          <m:den>
            <m:r>
              <m:rPr>
                <m:sty m:val="p"/>
              </m:rPr>
              <w:rPr>
                <w:rFonts w:ascii="Cambria Math" w:hAnsi="Cambria Math" w:cs="Arial"/>
              </w:rPr>
              <m:t>((NPV(1) – NPV(2))</m:t>
            </m:r>
          </m:den>
        </m:f>
      </m:oMath>
      <w:r>
        <w:rPr>
          <w:rFonts w:ascii="Arial" w:hAnsi="Arial" w:cs="Arial"/>
        </w:rPr>
        <w:t xml:space="preserve">  x (r2 – r1)</w:t>
      </w:r>
    </w:p>
    <w:p w14:paraId="287C014F" w14:textId="2214E738" w:rsidR="00814BEF" w:rsidRDefault="00814BEF" w:rsidP="00D34833">
      <w:pPr>
        <w:spacing w:before="240" w:line="360" w:lineRule="auto"/>
        <w:jc w:val="both"/>
        <w:rPr>
          <w:rFonts w:ascii="Arial" w:hAnsi="Arial" w:cs="Arial"/>
          <w:b/>
          <w:bCs/>
        </w:rPr>
      </w:pPr>
      <w:bookmarkStart w:id="15" w:name="_Hlk30074643"/>
      <w:r>
        <w:rPr>
          <w:rFonts w:ascii="Arial" w:hAnsi="Arial" w:cs="Arial"/>
        </w:rPr>
        <w:t xml:space="preserve">IRR(A) = </w:t>
      </w:r>
      <w:r w:rsidR="00956F17">
        <w:rPr>
          <w:rFonts w:ascii="Arial" w:hAnsi="Arial" w:cs="Arial"/>
        </w:rPr>
        <w:t xml:space="preserve">8.73 + </w:t>
      </w:r>
      <w:r w:rsidR="00E5432F">
        <w:rPr>
          <w:rFonts w:ascii="Arial" w:hAnsi="Arial" w:cs="Arial"/>
        </w:rPr>
        <w:t>[</w:t>
      </w:r>
      <w:r w:rsidR="00956F17">
        <w:rPr>
          <w:rFonts w:ascii="Arial" w:hAnsi="Arial" w:cs="Arial"/>
        </w:rPr>
        <w:t>16.97/(16.97</w:t>
      </w:r>
      <w:r w:rsidR="00E5432F">
        <w:rPr>
          <w:rFonts w:ascii="Arial" w:hAnsi="Arial" w:cs="Arial"/>
        </w:rPr>
        <w:t>-0.62) ]x (15-8.73) =</w:t>
      </w:r>
      <w:bookmarkEnd w:id="15"/>
      <w:r w:rsidR="00E5432F">
        <w:rPr>
          <w:rFonts w:ascii="Arial" w:hAnsi="Arial" w:cs="Arial"/>
        </w:rPr>
        <w:t xml:space="preserve"> </w:t>
      </w:r>
      <w:r w:rsidR="00E5432F" w:rsidRPr="00E5432F">
        <w:rPr>
          <w:rFonts w:ascii="Arial" w:hAnsi="Arial" w:cs="Arial"/>
          <w:b/>
          <w:bCs/>
        </w:rPr>
        <w:t>15.23</w:t>
      </w:r>
    </w:p>
    <w:p w14:paraId="16F71149" w14:textId="14A065BB" w:rsidR="00E5432F" w:rsidRDefault="00E5432F" w:rsidP="00D34833">
      <w:pPr>
        <w:spacing w:before="240" w:line="360" w:lineRule="auto"/>
        <w:jc w:val="both"/>
        <w:rPr>
          <w:rFonts w:ascii="Arial" w:hAnsi="Arial" w:cs="Arial"/>
        </w:rPr>
      </w:pPr>
      <w:r w:rsidRPr="00E5432F">
        <w:rPr>
          <w:rFonts w:ascii="Arial" w:hAnsi="Arial" w:cs="Arial"/>
        </w:rPr>
        <w:t>IRR(</w:t>
      </w:r>
      <w:r>
        <w:rPr>
          <w:rFonts w:ascii="Arial" w:hAnsi="Arial" w:cs="Arial"/>
        </w:rPr>
        <w:t>B</w:t>
      </w:r>
      <w:r w:rsidRPr="00E5432F">
        <w:rPr>
          <w:rFonts w:ascii="Arial" w:hAnsi="Arial" w:cs="Arial"/>
        </w:rPr>
        <w:t>) = 8.73 + [24.25/(24.25-0.</w:t>
      </w:r>
      <w:r>
        <w:rPr>
          <w:rFonts w:ascii="Arial" w:hAnsi="Arial" w:cs="Arial"/>
        </w:rPr>
        <w:t>09</w:t>
      </w:r>
      <w:r w:rsidRPr="00E5432F">
        <w:rPr>
          <w:rFonts w:ascii="Arial" w:hAnsi="Arial" w:cs="Arial"/>
        </w:rPr>
        <w:t>) ]x (</w:t>
      </w:r>
      <w:r>
        <w:rPr>
          <w:rFonts w:ascii="Arial" w:hAnsi="Arial" w:cs="Arial"/>
        </w:rPr>
        <w:t>20</w:t>
      </w:r>
      <w:r w:rsidRPr="00E5432F">
        <w:rPr>
          <w:rFonts w:ascii="Arial" w:hAnsi="Arial" w:cs="Arial"/>
        </w:rPr>
        <w:t>-8.73) =</w:t>
      </w:r>
      <w:r>
        <w:rPr>
          <w:rFonts w:ascii="Arial" w:hAnsi="Arial" w:cs="Arial"/>
        </w:rPr>
        <w:t xml:space="preserve"> </w:t>
      </w:r>
      <w:r w:rsidRPr="00E5432F">
        <w:rPr>
          <w:rFonts w:ascii="Arial" w:hAnsi="Arial" w:cs="Arial"/>
          <w:b/>
          <w:bCs/>
        </w:rPr>
        <w:t>20</w:t>
      </w:r>
    </w:p>
    <w:p w14:paraId="2EA4633A" w14:textId="77777777" w:rsidR="00814BEF" w:rsidRDefault="00814BEF" w:rsidP="00D34833">
      <w:pPr>
        <w:spacing w:before="240" w:line="360" w:lineRule="auto"/>
        <w:jc w:val="both"/>
        <w:rPr>
          <w:rFonts w:ascii="Arial" w:hAnsi="Arial" w:cs="Arial"/>
        </w:rPr>
      </w:pPr>
    </w:p>
    <w:p w14:paraId="3F10DC27" w14:textId="291DAFD3" w:rsidR="00814BEF" w:rsidRPr="00814BEF" w:rsidRDefault="00814BEF" w:rsidP="00814BEF">
      <w:pPr>
        <w:pStyle w:val="ListParagraph"/>
        <w:numPr>
          <w:ilvl w:val="0"/>
          <w:numId w:val="16"/>
        </w:numPr>
        <w:spacing w:before="240" w:line="360" w:lineRule="auto"/>
        <w:jc w:val="both"/>
        <w:rPr>
          <w:rFonts w:ascii="Arial" w:hAnsi="Arial" w:cs="Arial"/>
        </w:rPr>
      </w:pPr>
      <w:r w:rsidRPr="00814BEF">
        <w:rPr>
          <w:rFonts w:ascii="Arial" w:hAnsi="Arial" w:cs="Arial"/>
        </w:rPr>
        <w:t>Net Present Value (NPV)</w:t>
      </w:r>
    </w:p>
    <w:p w14:paraId="3D77A990" w14:textId="41B01558" w:rsidR="00814BEF" w:rsidRPr="00814BEF" w:rsidRDefault="00D34833" w:rsidP="00D34833">
      <w:pPr>
        <w:spacing w:before="240" w:line="360" w:lineRule="auto"/>
        <w:jc w:val="both"/>
        <w:rPr>
          <w:rFonts w:ascii="Arial" w:hAnsi="Arial" w:cs="Arial"/>
          <w:b/>
          <w:bCs/>
        </w:rPr>
      </w:pPr>
      <w:bookmarkStart w:id="16" w:name="_Hlk30073671"/>
      <w:r>
        <w:rPr>
          <w:rFonts w:ascii="Arial" w:hAnsi="Arial" w:cs="Arial"/>
        </w:rPr>
        <w:t xml:space="preserve">NPV(A) = -103 </w:t>
      </w:r>
      <w:bookmarkEnd w:id="16"/>
      <w:r>
        <w:rPr>
          <w:rFonts w:ascii="Arial" w:hAnsi="Arial" w:cs="Arial"/>
        </w:rPr>
        <w:t xml:space="preserve">+ </w:t>
      </w:r>
      <w:r w:rsidR="00814BEF">
        <w:rPr>
          <w:rFonts w:ascii="Arial" w:hAnsi="Arial" w:cs="Arial"/>
        </w:rPr>
        <w:t>10</w:t>
      </w:r>
      <w:bookmarkStart w:id="17" w:name="_Hlk30073702"/>
      <w:r w:rsidR="00814BEF">
        <w:rPr>
          <w:rFonts w:ascii="Arial" w:hAnsi="Arial" w:cs="Arial"/>
        </w:rPr>
        <w:t xml:space="preserve">/(1+0.0873)^1 + 30/(1+0.0873)^2 + 50/(1+0.0873)^3 + 65/(1+0.0873)^4 = </w:t>
      </w:r>
      <w:bookmarkEnd w:id="17"/>
      <w:r w:rsidR="00814BEF" w:rsidRPr="00814BEF">
        <w:rPr>
          <w:rFonts w:ascii="Arial" w:hAnsi="Arial" w:cs="Arial"/>
          <w:b/>
          <w:bCs/>
        </w:rPr>
        <w:t>16.97</w:t>
      </w:r>
    </w:p>
    <w:p w14:paraId="1B2F9FA5" w14:textId="117BC391" w:rsidR="00814BEF" w:rsidRPr="00D34833" w:rsidRDefault="00814BEF" w:rsidP="00D34833">
      <w:pPr>
        <w:spacing w:before="240" w:line="360" w:lineRule="auto"/>
        <w:jc w:val="both"/>
        <w:rPr>
          <w:rFonts w:ascii="Arial" w:hAnsi="Arial" w:cs="Arial"/>
        </w:rPr>
      </w:pPr>
      <w:r w:rsidRPr="00814BEF">
        <w:rPr>
          <w:rFonts w:ascii="Arial" w:hAnsi="Arial" w:cs="Arial"/>
        </w:rPr>
        <w:t>NPV(</w:t>
      </w:r>
      <w:r>
        <w:rPr>
          <w:rFonts w:ascii="Arial" w:hAnsi="Arial" w:cs="Arial"/>
        </w:rPr>
        <w:t>B</w:t>
      </w:r>
      <w:r w:rsidRPr="00814BEF">
        <w:rPr>
          <w:rFonts w:ascii="Arial" w:hAnsi="Arial" w:cs="Arial"/>
        </w:rPr>
        <w:t>) = -1</w:t>
      </w:r>
      <w:r>
        <w:rPr>
          <w:rFonts w:ascii="Arial" w:hAnsi="Arial" w:cs="Arial"/>
        </w:rPr>
        <w:t>15 + 60/</w:t>
      </w:r>
      <w:r w:rsidRPr="00814BEF">
        <w:rPr>
          <w:rFonts w:ascii="Arial" w:hAnsi="Arial" w:cs="Arial"/>
        </w:rPr>
        <w:t xml:space="preserve">(1+0.0873)^1 + </w:t>
      </w:r>
      <w:r>
        <w:rPr>
          <w:rFonts w:ascii="Arial" w:hAnsi="Arial" w:cs="Arial"/>
        </w:rPr>
        <w:t>4</w:t>
      </w:r>
      <w:r w:rsidRPr="00814BEF">
        <w:rPr>
          <w:rFonts w:ascii="Arial" w:hAnsi="Arial" w:cs="Arial"/>
        </w:rPr>
        <w:t xml:space="preserve">0/(1+0.0873)^2 + </w:t>
      </w:r>
      <w:r>
        <w:rPr>
          <w:rFonts w:ascii="Arial" w:hAnsi="Arial" w:cs="Arial"/>
        </w:rPr>
        <w:t>6</w:t>
      </w:r>
      <w:r w:rsidRPr="00814BEF">
        <w:rPr>
          <w:rFonts w:ascii="Arial" w:hAnsi="Arial" w:cs="Arial"/>
        </w:rPr>
        <w:t>0/(1+0.0873)^3 + 5/(1+0.0873)^4 =</w:t>
      </w:r>
      <w:r>
        <w:rPr>
          <w:rFonts w:ascii="Arial" w:hAnsi="Arial" w:cs="Arial"/>
        </w:rPr>
        <w:t xml:space="preserve"> </w:t>
      </w:r>
      <w:bookmarkStart w:id="18" w:name="_Hlk30074694"/>
      <w:r w:rsidRPr="00814BEF">
        <w:rPr>
          <w:rFonts w:ascii="Arial" w:hAnsi="Arial" w:cs="Arial"/>
          <w:b/>
          <w:bCs/>
        </w:rPr>
        <w:t>24.25</w:t>
      </w:r>
      <w:bookmarkEnd w:id="18"/>
    </w:p>
    <w:p w14:paraId="7A2F1D95" w14:textId="77777777" w:rsidR="00E5432F" w:rsidRPr="00E5432F" w:rsidRDefault="00E5432F" w:rsidP="00E5432F">
      <w:pPr>
        <w:rPr>
          <w:rFonts w:ascii="Arial" w:hAnsi="Arial" w:cs="Arial"/>
        </w:rPr>
      </w:pPr>
    </w:p>
    <w:tbl>
      <w:tblPr>
        <w:tblStyle w:val="TableGrid"/>
        <w:tblW w:w="9520" w:type="dxa"/>
        <w:tblInd w:w="0" w:type="dxa"/>
        <w:tblLook w:val="04A0" w:firstRow="1" w:lastRow="0" w:firstColumn="1" w:lastColumn="0" w:noHBand="0" w:noVBand="1"/>
      </w:tblPr>
      <w:tblGrid>
        <w:gridCol w:w="3173"/>
        <w:gridCol w:w="3173"/>
        <w:gridCol w:w="3174"/>
      </w:tblGrid>
      <w:tr w:rsidR="00E5432F" w:rsidRPr="00E5432F" w14:paraId="43E6367B" w14:textId="77777777" w:rsidTr="00E5432F">
        <w:trPr>
          <w:trHeight w:val="1035"/>
        </w:trPr>
        <w:tc>
          <w:tcPr>
            <w:tcW w:w="3173" w:type="dxa"/>
            <w:tcBorders>
              <w:top w:val="single" w:sz="4" w:space="0" w:color="auto"/>
              <w:left w:val="single" w:sz="4" w:space="0" w:color="auto"/>
              <w:bottom w:val="single" w:sz="4" w:space="0" w:color="auto"/>
              <w:right w:val="single" w:sz="4" w:space="0" w:color="auto"/>
            </w:tcBorders>
            <w:hideMark/>
          </w:tcPr>
          <w:p w14:paraId="7C8ECBB8" w14:textId="14F857ED" w:rsidR="00E5432F" w:rsidRPr="00E5432F" w:rsidRDefault="00E5432F">
            <w:pPr>
              <w:rPr>
                <w:rFonts w:ascii="Arial" w:hAnsi="Arial" w:cs="Arial"/>
              </w:rPr>
            </w:pPr>
            <w:r w:rsidRPr="00E5432F">
              <w:rPr>
                <w:rFonts w:ascii="Arial" w:hAnsi="Arial" w:cs="Arial"/>
              </w:rPr>
              <w:lastRenderedPageBreak/>
              <w:t>Capital Investment Appraisals</w:t>
            </w:r>
          </w:p>
        </w:tc>
        <w:tc>
          <w:tcPr>
            <w:tcW w:w="3173" w:type="dxa"/>
            <w:tcBorders>
              <w:top w:val="single" w:sz="4" w:space="0" w:color="auto"/>
              <w:left w:val="single" w:sz="4" w:space="0" w:color="auto"/>
              <w:bottom w:val="single" w:sz="4" w:space="0" w:color="auto"/>
              <w:right w:val="single" w:sz="4" w:space="0" w:color="auto"/>
            </w:tcBorders>
            <w:hideMark/>
          </w:tcPr>
          <w:p w14:paraId="0D2A55F2" w14:textId="77777777" w:rsidR="00E5432F" w:rsidRPr="00E5432F" w:rsidRDefault="00E5432F">
            <w:pPr>
              <w:rPr>
                <w:rFonts w:ascii="Arial" w:hAnsi="Arial" w:cs="Arial"/>
              </w:rPr>
            </w:pPr>
            <w:r w:rsidRPr="00E5432F">
              <w:rPr>
                <w:rFonts w:ascii="Arial" w:hAnsi="Arial" w:cs="Arial"/>
              </w:rPr>
              <w:t>Project A</w:t>
            </w:r>
          </w:p>
        </w:tc>
        <w:tc>
          <w:tcPr>
            <w:tcW w:w="3174" w:type="dxa"/>
            <w:tcBorders>
              <w:top w:val="single" w:sz="4" w:space="0" w:color="auto"/>
              <w:left w:val="single" w:sz="4" w:space="0" w:color="auto"/>
              <w:bottom w:val="single" w:sz="4" w:space="0" w:color="auto"/>
              <w:right w:val="single" w:sz="4" w:space="0" w:color="auto"/>
            </w:tcBorders>
            <w:hideMark/>
          </w:tcPr>
          <w:p w14:paraId="2C2FE162" w14:textId="4FC25EC4" w:rsidR="00E5432F" w:rsidRPr="009626AA" w:rsidRDefault="00E5432F">
            <w:pPr>
              <w:rPr>
                <w:rFonts w:ascii="Arial" w:hAnsi="Arial" w:cs="Arial"/>
                <w:b/>
                <w:bCs/>
              </w:rPr>
            </w:pPr>
            <w:r w:rsidRPr="009626AA">
              <w:rPr>
                <w:rFonts w:ascii="Arial" w:hAnsi="Arial" w:cs="Arial"/>
                <w:b/>
                <w:bCs/>
              </w:rPr>
              <w:t>Project B</w:t>
            </w:r>
          </w:p>
        </w:tc>
      </w:tr>
      <w:tr w:rsidR="00E5432F" w:rsidRPr="00E5432F" w14:paraId="5078165B" w14:textId="77777777" w:rsidTr="00E5432F">
        <w:trPr>
          <w:trHeight w:val="502"/>
        </w:trPr>
        <w:tc>
          <w:tcPr>
            <w:tcW w:w="3173" w:type="dxa"/>
            <w:tcBorders>
              <w:top w:val="single" w:sz="4" w:space="0" w:color="auto"/>
              <w:left w:val="single" w:sz="4" w:space="0" w:color="auto"/>
              <w:bottom w:val="single" w:sz="4" w:space="0" w:color="auto"/>
              <w:right w:val="single" w:sz="4" w:space="0" w:color="auto"/>
            </w:tcBorders>
            <w:hideMark/>
          </w:tcPr>
          <w:p w14:paraId="71C4EA44" w14:textId="77777777" w:rsidR="00E5432F" w:rsidRPr="00E5432F" w:rsidRDefault="00E5432F">
            <w:pPr>
              <w:rPr>
                <w:rFonts w:ascii="Arial" w:hAnsi="Arial" w:cs="Arial"/>
              </w:rPr>
            </w:pPr>
            <w:r w:rsidRPr="00E5432F">
              <w:rPr>
                <w:rFonts w:ascii="Arial" w:hAnsi="Arial" w:cs="Arial"/>
              </w:rPr>
              <w:t>PBP</w:t>
            </w:r>
          </w:p>
        </w:tc>
        <w:tc>
          <w:tcPr>
            <w:tcW w:w="3173" w:type="dxa"/>
            <w:tcBorders>
              <w:top w:val="single" w:sz="4" w:space="0" w:color="auto"/>
              <w:left w:val="single" w:sz="4" w:space="0" w:color="auto"/>
              <w:bottom w:val="single" w:sz="4" w:space="0" w:color="auto"/>
              <w:right w:val="single" w:sz="4" w:space="0" w:color="auto"/>
            </w:tcBorders>
            <w:hideMark/>
          </w:tcPr>
          <w:p w14:paraId="2A5C2DE3" w14:textId="77777777" w:rsidR="00E5432F" w:rsidRPr="00E5432F" w:rsidRDefault="00E5432F">
            <w:pPr>
              <w:rPr>
                <w:rFonts w:ascii="Arial" w:hAnsi="Arial" w:cs="Arial"/>
              </w:rPr>
            </w:pPr>
            <w:r w:rsidRPr="00E5432F">
              <w:rPr>
                <w:rFonts w:ascii="Arial" w:hAnsi="Arial" w:cs="Arial"/>
              </w:rPr>
              <w:t>3,2</w:t>
            </w:r>
          </w:p>
        </w:tc>
        <w:tc>
          <w:tcPr>
            <w:tcW w:w="3174" w:type="dxa"/>
            <w:tcBorders>
              <w:top w:val="single" w:sz="4" w:space="0" w:color="auto"/>
              <w:left w:val="single" w:sz="4" w:space="0" w:color="auto"/>
              <w:bottom w:val="single" w:sz="4" w:space="0" w:color="auto"/>
              <w:right w:val="single" w:sz="4" w:space="0" w:color="auto"/>
            </w:tcBorders>
            <w:hideMark/>
          </w:tcPr>
          <w:p w14:paraId="2D59289F" w14:textId="77777777" w:rsidR="00E5432F" w:rsidRPr="009626AA" w:rsidRDefault="00E5432F">
            <w:pPr>
              <w:rPr>
                <w:rFonts w:ascii="Arial" w:hAnsi="Arial" w:cs="Arial"/>
                <w:b/>
                <w:bCs/>
                <w:highlight w:val="yellow"/>
              </w:rPr>
            </w:pPr>
            <w:r w:rsidRPr="009626AA">
              <w:rPr>
                <w:rFonts w:ascii="Arial" w:hAnsi="Arial" w:cs="Arial"/>
                <w:b/>
                <w:bCs/>
              </w:rPr>
              <w:t>2,25</w:t>
            </w:r>
          </w:p>
        </w:tc>
      </w:tr>
      <w:tr w:rsidR="00E5432F" w:rsidRPr="00E5432F" w14:paraId="544A368D" w14:textId="77777777" w:rsidTr="00E5432F">
        <w:trPr>
          <w:trHeight w:val="533"/>
        </w:trPr>
        <w:tc>
          <w:tcPr>
            <w:tcW w:w="3173" w:type="dxa"/>
            <w:tcBorders>
              <w:top w:val="single" w:sz="4" w:space="0" w:color="auto"/>
              <w:left w:val="single" w:sz="4" w:space="0" w:color="auto"/>
              <w:bottom w:val="single" w:sz="4" w:space="0" w:color="auto"/>
              <w:right w:val="single" w:sz="4" w:space="0" w:color="auto"/>
            </w:tcBorders>
            <w:hideMark/>
          </w:tcPr>
          <w:p w14:paraId="29FE7C8C" w14:textId="77777777" w:rsidR="00E5432F" w:rsidRPr="00E5432F" w:rsidRDefault="00E5432F">
            <w:pPr>
              <w:rPr>
                <w:rFonts w:ascii="Arial" w:hAnsi="Arial" w:cs="Arial"/>
              </w:rPr>
            </w:pPr>
            <w:r w:rsidRPr="00E5432F">
              <w:rPr>
                <w:rFonts w:ascii="Arial" w:hAnsi="Arial" w:cs="Arial"/>
              </w:rPr>
              <w:t>ARR</w:t>
            </w:r>
          </w:p>
        </w:tc>
        <w:tc>
          <w:tcPr>
            <w:tcW w:w="3173" w:type="dxa"/>
            <w:tcBorders>
              <w:top w:val="single" w:sz="4" w:space="0" w:color="auto"/>
              <w:left w:val="single" w:sz="4" w:space="0" w:color="auto"/>
              <w:bottom w:val="single" w:sz="4" w:space="0" w:color="auto"/>
              <w:right w:val="single" w:sz="4" w:space="0" w:color="auto"/>
            </w:tcBorders>
            <w:hideMark/>
          </w:tcPr>
          <w:p w14:paraId="22FCD862" w14:textId="77777777" w:rsidR="00E5432F" w:rsidRPr="009626AA" w:rsidRDefault="00E5432F">
            <w:pPr>
              <w:rPr>
                <w:rFonts w:ascii="Arial" w:hAnsi="Arial" w:cs="Arial"/>
                <w:b/>
                <w:bCs/>
              </w:rPr>
            </w:pPr>
            <w:r w:rsidRPr="009626AA">
              <w:rPr>
                <w:rFonts w:ascii="Arial" w:hAnsi="Arial" w:cs="Arial"/>
                <w:b/>
                <w:bCs/>
              </w:rPr>
              <w:t>37,62</w:t>
            </w:r>
          </w:p>
        </w:tc>
        <w:tc>
          <w:tcPr>
            <w:tcW w:w="3174" w:type="dxa"/>
            <w:tcBorders>
              <w:top w:val="single" w:sz="4" w:space="0" w:color="auto"/>
              <w:left w:val="single" w:sz="4" w:space="0" w:color="auto"/>
              <w:bottom w:val="single" w:sz="4" w:space="0" w:color="auto"/>
              <w:right w:val="single" w:sz="4" w:space="0" w:color="auto"/>
            </w:tcBorders>
            <w:hideMark/>
          </w:tcPr>
          <w:p w14:paraId="5905F30E" w14:textId="77777777" w:rsidR="00E5432F" w:rsidRPr="00E5432F" w:rsidRDefault="00E5432F">
            <w:pPr>
              <w:rPr>
                <w:rFonts w:ascii="Arial" w:hAnsi="Arial" w:cs="Arial"/>
              </w:rPr>
            </w:pPr>
            <w:r w:rsidRPr="00E5432F">
              <w:rPr>
                <w:rFonts w:ascii="Arial" w:hAnsi="Arial" w:cs="Arial"/>
              </w:rPr>
              <w:t>35,87</w:t>
            </w:r>
          </w:p>
        </w:tc>
      </w:tr>
      <w:tr w:rsidR="00E5432F" w:rsidRPr="00E5432F" w14:paraId="10161896" w14:textId="77777777" w:rsidTr="00E5432F">
        <w:trPr>
          <w:trHeight w:val="502"/>
        </w:trPr>
        <w:tc>
          <w:tcPr>
            <w:tcW w:w="3173" w:type="dxa"/>
            <w:tcBorders>
              <w:top w:val="single" w:sz="4" w:space="0" w:color="auto"/>
              <w:left w:val="single" w:sz="4" w:space="0" w:color="auto"/>
              <w:bottom w:val="single" w:sz="4" w:space="0" w:color="auto"/>
              <w:right w:val="single" w:sz="4" w:space="0" w:color="auto"/>
            </w:tcBorders>
            <w:hideMark/>
          </w:tcPr>
          <w:p w14:paraId="3E1BB097" w14:textId="77777777" w:rsidR="00E5432F" w:rsidRPr="00E5432F" w:rsidRDefault="00E5432F">
            <w:pPr>
              <w:rPr>
                <w:rFonts w:ascii="Arial" w:hAnsi="Arial" w:cs="Arial"/>
              </w:rPr>
            </w:pPr>
            <w:r w:rsidRPr="00E5432F">
              <w:rPr>
                <w:rFonts w:ascii="Arial" w:hAnsi="Arial" w:cs="Arial"/>
              </w:rPr>
              <w:t>IRR</w:t>
            </w:r>
          </w:p>
        </w:tc>
        <w:tc>
          <w:tcPr>
            <w:tcW w:w="3173" w:type="dxa"/>
            <w:tcBorders>
              <w:top w:val="single" w:sz="4" w:space="0" w:color="auto"/>
              <w:left w:val="single" w:sz="4" w:space="0" w:color="auto"/>
              <w:bottom w:val="single" w:sz="4" w:space="0" w:color="auto"/>
              <w:right w:val="single" w:sz="4" w:space="0" w:color="auto"/>
            </w:tcBorders>
            <w:hideMark/>
          </w:tcPr>
          <w:p w14:paraId="475263E0" w14:textId="0104C7D5" w:rsidR="00E5432F" w:rsidRPr="00E5432F" w:rsidRDefault="009626AA">
            <w:pPr>
              <w:rPr>
                <w:rFonts w:ascii="Arial" w:hAnsi="Arial" w:cs="Arial"/>
              </w:rPr>
            </w:pPr>
            <w:r w:rsidRPr="009626AA">
              <w:rPr>
                <w:rFonts w:ascii="Arial" w:hAnsi="Arial" w:cs="Arial"/>
              </w:rPr>
              <w:t>15.23</w:t>
            </w:r>
          </w:p>
        </w:tc>
        <w:tc>
          <w:tcPr>
            <w:tcW w:w="3174" w:type="dxa"/>
            <w:tcBorders>
              <w:top w:val="single" w:sz="4" w:space="0" w:color="auto"/>
              <w:left w:val="single" w:sz="4" w:space="0" w:color="auto"/>
              <w:bottom w:val="single" w:sz="4" w:space="0" w:color="auto"/>
              <w:right w:val="single" w:sz="4" w:space="0" w:color="auto"/>
            </w:tcBorders>
            <w:hideMark/>
          </w:tcPr>
          <w:p w14:paraId="3ECE6C1B" w14:textId="4E4454FD" w:rsidR="00E5432F" w:rsidRPr="009626AA" w:rsidRDefault="009626AA">
            <w:pPr>
              <w:rPr>
                <w:rFonts w:ascii="Arial" w:hAnsi="Arial" w:cs="Arial"/>
                <w:b/>
                <w:bCs/>
              </w:rPr>
            </w:pPr>
            <w:r w:rsidRPr="009626AA">
              <w:rPr>
                <w:rFonts w:ascii="Arial" w:hAnsi="Arial" w:cs="Arial"/>
                <w:b/>
                <w:bCs/>
              </w:rPr>
              <w:t>20</w:t>
            </w:r>
          </w:p>
        </w:tc>
      </w:tr>
      <w:tr w:rsidR="00E5432F" w:rsidRPr="00E5432F" w14:paraId="1FA9C593" w14:textId="77777777" w:rsidTr="00E5432F">
        <w:trPr>
          <w:trHeight w:val="502"/>
        </w:trPr>
        <w:tc>
          <w:tcPr>
            <w:tcW w:w="3173" w:type="dxa"/>
            <w:tcBorders>
              <w:top w:val="single" w:sz="4" w:space="0" w:color="auto"/>
              <w:left w:val="single" w:sz="4" w:space="0" w:color="auto"/>
              <w:bottom w:val="single" w:sz="4" w:space="0" w:color="auto"/>
              <w:right w:val="single" w:sz="4" w:space="0" w:color="auto"/>
            </w:tcBorders>
            <w:hideMark/>
          </w:tcPr>
          <w:p w14:paraId="3AB9DEA0" w14:textId="77777777" w:rsidR="00E5432F" w:rsidRPr="00E5432F" w:rsidRDefault="00E5432F">
            <w:pPr>
              <w:rPr>
                <w:rFonts w:ascii="Arial" w:hAnsi="Arial" w:cs="Arial"/>
              </w:rPr>
            </w:pPr>
            <w:r w:rsidRPr="00E5432F">
              <w:rPr>
                <w:rFonts w:ascii="Arial" w:hAnsi="Arial" w:cs="Arial"/>
              </w:rPr>
              <w:t>NPV</w:t>
            </w:r>
          </w:p>
        </w:tc>
        <w:tc>
          <w:tcPr>
            <w:tcW w:w="3173" w:type="dxa"/>
            <w:tcBorders>
              <w:top w:val="single" w:sz="4" w:space="0" w:color="auto"/>
              <w:left w:val="single" w:sz="4" w:space="0" w:color="auto"/>
              <w:bottom w:val="single" w:sz="4" w:space="0" w:color="auto"/>
              <w:right w:val="single" w:sz="4" w:space="0" w:color="auto"/>
            </w:tcBorders>
            <w:hideMark/>
          </w:tcPr>
          <w:p w14:paraId="079E7971" w14:textId="1A3B9FA3" w:rsidR="00E5432F" w:rsidRPr="00E5432F" w:rsidRDefault="00E5432F">
            <w:pPr>
              <w:rPr>
                <w:rFonts w:ascii="Arial" w:hAnsi="Arial" w:cs="Arial"/>
              </w:rPr>
            </w:pPr>
            <w:r w:rsidRPr="00E5432F">
              <w:rPr>
                <w:rFonts w:ascii="Arial" w:hAnsi="Arial" w:cs="Arial"/>
              </w:rPr>
              <w:t>16,9</w:t>
            </w:r>
            <w:r w:rsidR="009626AA">
              <w:rPr>
                <w:rFonts w:ascii="Arial" w:hAnsi="Arial" w:cs="Arial"/>
              </w:rPr>
              <w:t>7</w:t>
            </w:r>
          </w:p>
        </w:tc>
        <w:tc>
          <w:tcPr>
            <w:tcW w:w="3174" w:type="dxa"/>
            <w:tcBorders>
              <w:top w:val="single" w:sz="4" w:space="0" w:color="auto"/>
              <w:left w:val="single" w:sz="4" w:space="0" w:color="auto"/>
              <w:bottom w:val="single" w:sz="4" w:space="0" w:color="auto"/>
              <w:right w:val="single" w:sz="4" w:space="0" w:color="auto"/>
            </w:tcBorders>
            <w:hideMark/>
          </w:tcPr>
          <w:p w14:paraId="65A5AB4E" w14:textId="510048C3" w:rsidR="00E5432F" w:rsidRPr="009626AA" w:rsidRDefault="0061628F">
            <w:pPr>
              <w:rPr>
                <w:rFonts w:ascii="Arial" w:hAnsi="Arial" w:cs="Arial"/>
                <w:b/>
                <w:bCs/>
              </w:rPr>
            </w:pPr>
            <w:r>
              <w:rPr>
                <w:rFonts w:ascii="Arial" w:hAnsi="Arial" w:cs="Arial"/>
                <w:b/>
                <w:bCs/>
              </w:rPr>
              <w:t>24</w:t>
            </w:r>
            <w:r w:rsidR="00E5432F" w:rsidRPr="009626AA">
              <w:rPr>
                <w:rFonts w:ascii="Arial" w:hAnsi="Arial" w:cs="Arial"/>
                <w:b/>
                <w:bCs/>
              </w:rPr>
              <w:t>,2</w:t>
            </w:r>
            <w:r w:rsidR="009626AA" w:rsidRPr="009626AA">
              <w:rPr>
                <w:rFonts w:ascii="Arial" w:hAnsi="Arial" w:cs="Arial"/>
                <w:b/>
                <w:bCs/>
              </w:rPr>
              <w:t>5</w:t>
            </w:r>
          </w:p>
        </w:tc>
      </w:tr>
    </w:tbl>
    <w:p w14:paraId="796FA8BC" w14:textId="1809F998" w:rsidR="005F4DC6" w:rsidRDefault="005F4DC6" w:rsidP="005D2B1D">
      <w:pPr>
        <w:spacing w:before="240" w:line="360" w:lineRule="auto"/>
        <w:ind w:firstLine="720"/>
        <w:jc w:val="both"/>
        <w:rPr>
          <w:rFonts w:ascii="Arial" w:hAnsi="Arial" w:cs="Arial"/>
        </w:rPr>
      </w:pPr>
      <w:r>
        <w:rPr>
          <w:rFonts w:ascii="Arial" w:hAnsi="Arial" w:cs="Arial"/>
        </w:rPr>
        <w:t xml:space="preserve">As the Table above shows, Project B has more beneficial factors than Project A. For example, the payback period </w:t>
      </w:r>
      <w:r w:rsidRPr="005F4DC6">
        <w:rPr>
          <w:rFonts w:ascii="Arial" w:hAnsi="Arial" w:cs="Arial"/>
        </w:rPr>
        <w:t>refers to how quick the company gets the money back</w:t>
      </w:r>
      <w:r>
        <w:rPr>
          <w:rFonts w:ascii="Arial" w:hAnsi="Arial" w:cs="Arial"/>
        </w:rPr>
        <w:t>, therefore, Project B is quicker. However, the accounting rate of return is higher in Project A which means that Project B would generate a lower return compared to Project A. On the other hand, the internal rate of return is higher in Project B. And, finally, the net present value is higher in Project B. Therefore, the second project is more advantageous for the company and the board should adopt Project B.</w:t>
      </w:r>
    </w:p>
    <w:p w14:paraId="17C229B0" w14:textId="733F98C8" w:rsidR="00230BBA" w:rsidRDefault="005F4DC6" w:rsidP="005D2B1D">
      <w:pPr>
        <w:spacing w:before="240" w:line="360" w:lineRule="auto"/>
        <w:ind w:firstLine="720"/>
        <w:jc w:val="both"/>
        <w:rPr>
          <w:rFonts w:ascii="Arial" w:hAnsi="Arial" w:cs="Arial"/>
        </w:rPr>
      </w:pPr>
      <w:r>
        <w:rPr>
          <w:rFonts w:ascii="Arial" w:hAnsi="Arial" w:cs="Arial"/>
        </w:rPr>
        <w:t>All of these investment appraisal techniques are</w:t>
      </w:r>
      <w:r w:rsidR="00230BBA">
        <w:rPr>
          <w:rFonts w:ascii="Arial" w:hAnsi="Arial" w:cs="Arial"/>
        </w:rPr>
        <w:t xml:space="preserve"> easy to calculate and communicate.</w:t>
      </w:r>
      <w:r>
        <w:rPr>
          <w:rFonts w:ascii="Arial" w:hAnsi="Arial" w:cs="Arial"/>
        </w:rPr>
        <w:t xml:space="preserve"> </w:t>
      </w:r>
      <w:r w:rsidR="00D2481B">
        <w:rPr>
          <w:rFonts w:ascii="Arial" w:hAnsi="Arial" w:cs="Arial"/>
        </w:rPr>
        <w:t xml:space="preserve">They help the companies to perform better and earn more profits through their operations. </w:t>
      </w:r>
      <w:r w:rsidR="008E3D6B">
        <w:rPr>
          <w:rFonts w:ascii="Arial" w:hAnsi="Arial" w:cs="Arial"/>
        </w:rPr>
        <w:t>Firstly, t</w:t>
      </w:r>
      <w:r w:rsidR="00D2481B">
        <w:rPr>
          <w:rFonts w:ascii="Arial" w:hAnsi="Arial" w:cs="Arial"/>
        </w:rPr>
        <w:t>he payback period helps the company to calculate the time of the return of their investment</w:t>
      </w:r>
      <w:r w:rsidR="009A1290">
        <w:rPr>
          <w:rFonts w:ascii="Arial" w:hAnsi="Arial" w:cs="Arial"/>
        </w:rPr>
        <w:t xml:space="preserve"> (Lohmann &amp; Baksh, 1993)</w:t>
      </w:r>
      <w:r w:rsidR="00D2481B">
        <w:rPr>
          <w:rFonts w:ascii="Arial" w:hAnsi="Arial" w:cs="Arial"/>
        </w:rPr>
        <w:t>. Moreover, by conducting this type of analysis, the company can determine what project is worth investing in</w:t>
      </w:r>
      <w:r w:rsidR="00B74C8F">
        <w:rPr>
          <w:rFonts w:ascii="Arial" w:hAnsi="Arial" w:cs="Arial"/>
        </w:rPr>
        <w:t>,</w:t>
      </w:r>
      <w:r w:rsidR="00D2481B">
        <w:rPr>
          <w:rFonts w:ascii="Arial" w:hAnsi="Arial" w:cs="Arial"/>
        </w:rPr>
        <w:t xml:space="preserve"> in order to get a faster return. Also, it is recommended to do the payback period analysis before any investment, in order to determine the risk factor of time allocation. Therefore, it is a handy and useful technique for a company in order to make an important choice in regards to investment.</w:t>
      </w:r>
    </w:p>
    <w:p w14:paraId="0451A34E" w14:textId="58EAE940" w:rsidR="005D2B1D" w:rsidRDefault="005D2B1D" w:rsidP="00B74C8F">
      <w:pPr>
        <w:spacing w:before="240" w:line="360" w:lineRule="auto"/>
        <w:ind w:firstLine="720"/>
        <w:jc w:val="both"/>
        <w:rPr>
          <w:rFonts w:ascii="Arial" w:hAnsi="Arial" w:cs="Arial"/>
        </w:rPr>
      </w:pPr>
      <w:r>
        <w:rPr>
          <w:rFonts w:ascii="Arial" w:hAnsi="Arial" w:cs="Arial"/>
        </w:rPr>
        <w:t xml:space="preserve">Secondly, the accounting rate of return </w:t>
      </w:r>
      <w:r w:rsidR="00B74C8F">
        <w:rPr>
          <w:rFonts w:ascii="Arial" w:hAnsi="Arial" w:cs="Arial"/>
        </w:rPr>
        <w:t>is used to make capital budgeting decisions. It is recommended to use it because it is easy to compute and understand. ARR’s main disadvantage is that in terms of time value of money or long-term investment risks, it disregards the time factor.</w:t>
      </w:r>
      <w:r w:rsidR="003C053A">
        <w:rPr>
          <w:rFonts w:ascii="Arial" w:hAnsi="Arial" w:cs="Arial"/>
        </w:rPr>
        <w:t xml:space="preserve"> According to </w:t>
      </w:r>
      <w:r w:rsidR="003C053A" w:rsidRPr="003C053A">
        <w:rPr>
          <w:rFonts w:ascii="Arial" w:hAnsi="Arial" w:cs="Arial"/>
        </w:rPr>
        <w:t>Brief and Lawson</w:t>
      </w:r>
      <w:r w:rsidR="003C053A">
        <w:rPr>
          <w:rFonts w:ascii="Arial" w:hAnsi="Arial" w:cs="Arial"/>
        </w:rPr>
        <w:t xml:space="preserve"> (1992),</w:t>
      </w:r>
      <w:r w:rsidR="00B74C8F">
        <w:rPr>
          <w:rFonts w:ascii="Arial" w:hAnsi="Arial" w:cs="Arial"/>
        </w:rPr>
        <w:t xml:space="preserve"> </w:t>
      </w:r>
      <w:r w:rsidR="003C053A">
        <w:rPr>
          <w:rFonts w:ascii="Arial" w:hAnsi="Arial" w:cs="Arial"/>
        </w:rPr>
        <w:t>i</w:t>
      </w:r>
      <w:r w:rsidR="00B74C8F">
        <w:rPr>
          <w:rFonts w:ascii="Arial" w:hAnsi="Arial" w:cs="Arial"/>
        </w:rPr>
        <w:t>t is</w:t>
      </w:r>
      <w:r w:rsidR="003C053A">
        <w:rPr>
          <w:rFonts w:ascii="Arial" w:hAnsi="Arial" w:cs="Arial"/>
        </w:rPr>
        <w:t xml:space="preserve"> based on benefit estimation and it can be easily manipulated with changes in methods of depreciation. </w:t>
      </w:r>
    </w:p>
    <w:p w14:paraId="7AAD3150" w14:textId="26BE2550" w:rsidR="00F0203B" w:rsidRDefault="00145A20" w:rsidP="00F0203B">
      <w:pPr>
        <w:spacing w:before="240" w:line="360" w:lineRule="auto"/>
        <w:ind w:firstLine="720"/>
        <w:jc w:val="both"/>
        <w:rPr>
          <w:rFonts w:ascii="Arial" w:hAnsi="Arial" w:cs="Arial"/>
        </w:rPr>
      </w:pPr>
      <w:r>
        <w:rPr>
          <w:rFonts w:ascii="Arial" w:hAnsi="Arial" w:cs="Arial"/>
        </w:rPr>
        <w:t xml:space="preserve">Thirdly, the internal rate of return is used to determine whether an investment or project is worth investing in. </w:t>
      </w:r>
      <w:r w:rsidRPr="00145A20">
        <w:rPr>
          <w:rFonts w:ascii="Arial" w:hAnsi="Arial" w:cs="Arial"/>
        </w:rPr>
        <w:t>Hartman</w:t>
      </w:r>
      <w:r>
        <w:rPr>
          <w:rFonts w:ascii="Arial" w:hAnsi="Arial" w:cs="Arial"/>
        </w:rPr>
        <w:t xml:space="preserve"> and</w:t>
      </w:r>
      <w:r w:rsidRPr="00145A20">
        <w:rPr>
          <w:rFonts w:ascii="Arial" w:hAnsi="Arial" w:cs="Arial"/>
        </w:rPr>
        <w:t xml:space="preserve"> Schafrick</w:t>
      </w:r>
      <w:r>
        <w:rPr>
          <w:rFonts w:ascii="Arial" w:hAnsi="Arial" w:cs="Arial"/>
        </w:rPr>
        <w:t xml:space="preserve"> (2004) state that </w:t>
      </w:r>
      <w:r w:rsidR="00F0203B">
        <w:rPr>
          <w:rFonts w:ascii="Arial" w:hAnsi="Arial" w:cs="Arial"/>
        </w:rPr>
        <w:t xml:space="preserve">IRR shows if the company generated profit or lost money on a project, and it shows the profitability of the investment. One of the advantages of IRR is that it </w:t>
      </w:r>
      <w:r w:rsidR="00F0203B" w:rsidRPr="00F0203B">
        <w:rPr>
          <w:rFonts w:ascii="Arial" w:hAnsi="Arial" w:cs="Arial"/>
        </w:rPr>
        <w:t xml:space="preserve">allows the investor to get a </w:t>
      </w:r>
      <w:r w:rsidR="00F0203B">
        <w:rPr>
          <w:rFonts w:ascii="Arial" w:hAnsi="Arial" w:cs="Arial"/>
        </w:rPr>
        <w:t>preview</w:t>
      </w:r>
      <w:r w:rsidR="00F0203B" w:rsidRPr="00F0203B">
        <w:rPr>
          <w:rFonts w:ascii="Arial" w:hAnsi="Arial" w:cs="Arial"/>
        </w:rPr>
        <w:t xml:space="preserve"> into the potential returns of the project before it</w:t>
      </w:r>
      <w:r w:rsidR="00F0203B">
        <w:rPr>
          <w:rFonts w:ascii="Arial" w:hAnsi="Arial" w:cs="Arial"/>
        </w:rPr>
        <w:t xml:space="preserve"> starts. The disadvantage of the IRR is that the approach does </w:t>
      </w:r>
      <w:r w:rsidR="00F0203B">
        <w:rPr>
          <w:rFonts w:ascii="Arial" w:hAnsi="Arial" w:cs="Arial"/>
        </w:rPr>
        <w:lastRenderedPageBreak/>
        <w:t>not consider important factors such as the project duration, future costs or project size. In fact, it compares the project’s cash flow to the existing costs of the project.</w:t>
      </w:r>
    </w:p>
    <w:p w14:paraId="72F74949" w14:textId="29561D8F" w:rsidR="0033783E" w:rsidRDefault="008E3D6B" w:rsidP="00347BC4">
      <w:pPr>
        <w:spacing w:before="240" w:line="360" w:lineRule="auto"/>
        <w:ind w:firstLine="720"/>
        <w:jc w:val="both"/>
        <w:rPr>
          <w:rFonts w:ascii="Arial" w:hAnsi="Arial" w:cs="Arial"/>
        </w:rPr>
      </w:pPr>
      <w:r>
        <w:rPr>
          <w:rFonts w:ascii="Arial" w:hAnsi="Arial" w:cs="Arial"/>
        </w:rPr>
        <w:t xml:space="preserve">Lastly, the net present value is used to appraise capital budgeting and investment planning to analyse the profitability of a project. According to </w:t>
      </w:r>
      <w:r w:rsidRPr="008E3D6B">
        <w:rPr>
          <w:rFonts w:ascii="Arial" w:hAnsi="Arial" w:cs="Arial"/>
        </w:rPr>
        <w:t>Reyck</w:t>
      </w:r>
      <w:r>
        <w:rPr>
          <w:rFonts w:ascii="Arial" w:hAnsi="Arial" w:cs="Arial"/>
        </w:rPr>
        <w:t xml:space="preserve"> et al (2008), </w:t>
      </w:r>
      <w:r w:rsidR="00B96F72">
        <w:rPr>
          <w:rFonts w:ascii="Arial" w:hAnsi="Arial" w:cs="Arial"/>
        </w:rPr>
        <w:t>a</w:t>
      </w:r>
      <w:r w:rsidR="00B96F72" w:rsidRPr="00B96F72">
        <w:rPr>
          <w:rFonts w:ascii="Arial" w:hAnsi="Arial" w:cs="Arial"/>
        </w:rPr>
        <w:t xml:space="preserve"> positive net present value means that the projected earnings produced by a project exceed the anticipated costs, in</w:t>
      </w:r>
      <w:r w:rsidR="008A62B6">
        <w:rPr>
          <w:rFonts w:ascii="Arial" w:hAnsi="Arial" w:cs="Arial"/>
        </w:rPr>
        <w:t xml:space="preserve"> the</w:t>
      </w:r>
      <w:r w:rsidR="00B96F72" w:rsidRPr="00B96F72">
        <w:rPr>
          <w:rFonts w:ascii="Arial" w:hAnsi="Arial" w:cs="Arial"/>
        </w:rPr>
        <w:t xml:space="preserve"> present currency.</w:t>
      </w:r>
      <w:r w:rsidR="008A62B6">
        <w:rPr>
          <w:rFonts w:ascii="Arial" w:hAnsi="Arial" w:cs="Arial"/>
        </w:rPr>
        <w:t xml:space="preserve"> It uses a reinvestment rate</w:t>
      </w:r>
      <w:r w:rsidR="008A62B6" w:rsidRPr="008A62B6">
        <w:rPr>
          <w:rFonts w:ascii="Arial" w:hAnsi="Arial" w:cs="Arial"/>
        </w:rPr>
        <w:t xml:space="preserve"> similar to its current capital cost</w:t>
      </w:r>
      <w:r w:rsidR="008A62B6">
        <w:rPr>
          <w:rFonts w:ascii="Arial" w:hAnsi="Arial" w:cs="Arial"/>
        </w:rPr>
        <w:t>. T</w:t>
      </w:r>
      <w:r w:rsidR="008A62B6" w:rsidRPr="008A62B6">
        <w:rPr>
          <w:rFonts w:ascii="Arial" w:hAnsi="Arial" w:cs="Arial"/>
        </w:rPr>
        <w:t>he NPV method's reinvestment estimates are more appropriate than the IRR approaches. NPV also has an advantage over IRR when there is non-normal cash flow in a project.</w:t>
      </w:r>
      <w:r w:rsidR="008A62B6">
        <w:rPr>
          <w:rFonts w:ascii="Arial" w:hAnsi="Arial" w:cs="Arial"/>
        </w:rPr>
        <w:t xml:space="preserve"> One of the disadvantages of NPV is that money loses value over the time. Basically, the </w:t>
      </w:r>
      <w:r w:rsidR="008A62B6" w:rsidRPr="008A62B6">
        <w:rPr>
          <w:rFonts w:ascii="Arial" w:hAnsi="Arial" w:cs="Arial"/>
        </w:rPr>
        <w:t>discount rate function accounts for the possible fall in value as it subtracts the current value of the borrowed cash from the current value of the projected cash flows.</w:t>
      </w:r>
      <w:r w:rsidR="008A62B6">
        <w:rPr>
          <w:rFonts w:ascii="Arial" w:hAnsi="Arial" w:cs="Arial"/>
        </w:rPr>
        <w:t xml:space="preserve"> Thus, </w:t>
      </w:r>
      <w:r w:rsidR="008A62B6" w:rsidRPr="008A62B6">
        <w:rPr>
          <w:rFonts w:ascii="Arial" w:hAnsi="Arial" w:cs="Arial"/>
        </w:rPr>
        <w:t>A dollar earned in the future may be less than the one earned in the present</w:t>
      </w:r>
      <w:r w:rsidR="008A62B6">
        <w:rPr>
          <w:rFonts w:ascii="Arial" w:hAnsi="Arial" w:cs="Arial"/>
        </w:rPr>
        <w:t>.</w:t>
      </w:r>
    </w:p>
    <w:p w14:paraId="67B8B85C" w14:textId="7935CB55" w:rsidR="00347BC4" w:rsidRDefault="00347BC4" w:rsidP="00347BC4">
      <w:pPr>
        <w:spacing w:before="240" w:line="360" w:lineRule="auto"/>
        <w:ind w:firstLine="720"/>
        <w:jc w:val="both"/>
        <w:rPr>
          <w:rFonts w:ascii="Arial" w:hAnsi="Arial" w:cs="Arial"/>
        </w:rPr>
      </w:pPr>
      <w:r>
        <w:rPr>
          <w:rFonts w:ascii="Arial" w:hAnsi="Arial" w:cs="Arial"/>
        </w:rPr>
        <w:t>The n</w:t>
      </w:r>
      <w:r w:rsidRPr="00347BC4">
        <w:rPr>
          <w:rFonts w:ascii="Arial" w:hAnsi="Arial" w:cs="Arial"/>
        </w:rPr>
        <w:t>on-financial factors to consider</w:t>
      </w:r>
      <w:r>
        <w:rPr>
          <w:rFonts w:ascii="Arial" w:hAnsi="Arial" w:cs="Arial"/>
        </w:rPr>
        <w:t xml:space="preserve"> are </w:t>
      </w:r>
      <w:r w:rsidRPr="00347BC4">
        <w:rPr>
          <w:rFonts w:ascii="Arial" w:hAnsi="Arial" w:cs="Arial"/>
        </w:rPr>
        <w:t>meeting the requirements of current and future legislation</w:t>
      </w:r>
      <w:r>
        <w:rPr>
          <w:rFonts w:ascii="Arial" w:hAnsi="Arial" w:cs="Arial"/>
        </w:rPr>
        <w:t>, i</w:t>
      </w:r>
      <w:r w:rsidRPr="00347BC4">
        <w:rPr>
          <w:rFonts w:ascii="Arial" w:hAnsi="Arial" w:cs="Arial"/>
        </w:rPr>
        <w:t>mproving supplier and customer relations</w:t>
      </w:r>
      <w:r>
        <w:rPr>
          <w:rFonts w:ascii="Arial" w:hAnsi="Arial" w:cs="Arial"/>
        </w:rPr>
        <w:t>, and m</w:t>
      </w:r>
      <w:r w:rsidRPr="00347BC4">
        <w:rPr>
          <w:rFonts w:ascii="Arial" w:hAnsi="Arial" w:cs="Arial"/>
        </w:rPr>
        <w:t>eet</w:t>
      </w:r>
      <w:r>
        <w:rPr>
          <w:rFonts w:ascii="Arial" w:hAnsi="Arial" w:cs="Arial"/>
        </w:rPr>
        <w:t>ing the</w:t>
      </w:r>
      <w:r w:rsidRPr="00347BC4">
        <w:rPr>
          <w:rFonts w:ascii="Arial" w:hAnsi="Arial" w:cs="Arial"/>
        </w:rPr>
        <w:t xml:space="preserve"> business standards and best practi</w:t>
      </w:r>
      <w:r>
        <w:rPr>
          <w:rFonts w:ascii="Arial" w:hAnsi="Arial" w:cs="Arial"/>
        </w:rPr>
        <w:t>ces.</w:t>
      </w:r>
    </w:p>
    <w:p w14:paraId="564332F1" w14:textId="77777777" w:rsidR="00D2481B" w:rsidRDefault="00D2481B" w:rsidP="00317440">
      <w:pPr>
        <w:spacing w:before="240" w:line="360" w:lineRule="auto"/>
        <w:jc w:val="both"/>
        <w:rPr>
          <w:rFonts w:ascii="Arial" w:hAnsi="Arial" w:cs="Arial"/>
        </w:rPr>
      </w:pPr>
    </w:p>
    <w:p w14:paraId="281E5255" w14:textId="2C6A3400" w:rsidR="00276DB6" w:rsidRPr="00276DB6" w:rsidRDefault="00276DB6" w:rsidP="00276DB6">
      <w:pPr>
        <w:pStyle w:val="ListParagraph"/>
        <w:numPr>
          <w:ilvl w:val="0"/>
          <w:numId w:val="14"/>
        </w:numPr>
        <w:spacing w:before="240" w:line="360" w:lineRule="auto"/>
        <w:jc w:val="both"/>
        <w:rPr>
          <w:rFonts w:ascii="Arial" w:hAnsi="Arial" w:cs="Arial"/>
          <w:b/>
          <w:bCs/>
        </w:rPr>
      </w:pPr>
      <w:r w:rsidRPr="00276DB6">
        <w:rPr>
          <w:rFonts w:ascii="Arial" w:hAnsi="Arial" w:cs="Arial"/>
          <w:b/>
          <w:bCs/>
        </w:rPr>
        <w:t>Conclusion</w:t>
      </w:r>
    </w:p>
    <w:p w14:paraId="78879757" w14:textId="329BF7B7" w:rsidR="00C33559" w:rsidRDefault="00347BC4" w:rsidP="00347BC4">
      <w:pPr>
        <w:spacing w:before="240" w:line="360" w:lineRule="auto"/>
        <w:ind w:left="360" w:firstLine="360"/>
        <w:jc w:val="both"/>
        <w:rPr>
          <w:rFonts w:ascii="Arial" w:hAnsi="Arial" w:cs="Arial"/>
        </w:rPr>
      </w:pPr>
      <w:r>
        <w:rPr>
          <w:rFonts w:ascii="Arial" w:hAnsi="Arial" w:cs="Arial"/>
        </w:rPr>
        <w:t xml:space="preserve">In conclusion, it is necessary for the company to consider the investment appraisal techniques in order to make investment and expenditure decisions. </w:t>
      </w:r>
      <w:r w:rsidR="00F220A8">
        <w:rPr>
          <w:rFonts w:ascii="Arial" w:hAnsi="Arial" w:cs="Arial"/>
        </w:rPr>
        <w:t xml:space="preserve">This report has used the payback period, accounting rate of return, internal rate of return and net present value </w:t>
      </w:r>
      <w:r w:rsidR="00F220A8" w:rsidRPr="00F220A8">
        <w:rPr>
          <w:rFonts w:ascii="Arial" w:hAnsi="Arial" w:cs="Arial"/>
        </w:rPr>
        <w:t xml:space="preserve">to assess the viability of </w:t>
      </w:r>
      <w:r w:rsidR="00F220A8">
        <w:rPr>
          <w:rFonts w:ascii="Arial" w:hAnsi="Arial" w:cs="Arial"/>
        </w:rPr>
        <w:t xml:space="preserve">the </w:t>
      </w:r>
      <w:r w:rsidR="00F220A8" w:rsidRPr="00F220A8">
        <w:rPr>
          <w:rFonts w:ascii="Arial" w:hAnsi="Arial" w:cs="Arial"/>
        </w:rPr>
        <w:t>project</w:t>
      </w:r>
      <w:r w:rsidR="00F220A8">
        <w:rPr>
          <w:rFonts w:ascii="Arial" w:hAnsi="Arial" w:cs="Arial"/>
        </w:rPr>
        <w:t xml:space="preserve">. The results showed that the Project B is more favourable for the company. </w:t>
      </w:r>
    </w:p>
    <w:p w14:paraId="42F74F6E" w14:textId="24AF0A43" w:rsidR="00230BBA" w:rsidRDefault="00230BBA" w:rsidP="00291A3F">
      <w:pPr>
        <w:spacing w:before="240" w:line="360" w:lineRule="auto"/>
        <w:jc w:val="both"/>
        <w:rPr>
          <w:rFonts w:ascii="Arial" w:hAnsi="Arial" w:cs="Arial"/>
        </w:rPr>
      </w:pPr>
    </w:p>
    <w:p w14:paraId="6A297FA8" w14:textId="55134FA2" w:rsidR="00230BBA" w:rsidRDefault="00230BBA" w:rsidP="00291A3F">
      <w:pPr>
        <w:spacing w:before="240" w:line="360" w:lineRule="auto"/>
        <w:jc w:val="both"/>
        <w:rPr>
          <w:rFonts w:ascii="Arial" w:hAnsi="Arial" w:cs="Arial"/>
        </w:rPr>
      </w:pPr>
    </w:p>
    <w:p w14:paraId="60E2E080" w14:textId="7ACB88DB" w:rsidR="00230BBA" w:rsidRDefault="00230BBA" w:rsidP="00291A3F">
      <w:pPr>
        <w:spacing w:before="240" w:line="360" w:lineRule="auto"/>
        <w:jc w:val="both"/>
        <w:rPr>
          <w:rFonts w:ascii="Arial" w:hAnsi="Arial" w:cs="Arial"/>
        </w:rPr>
      </w:pPr>
    </w:p>
    <w:p w14:paraId="6D4E2B26" w14:textId="6ADA38BA" w:rsidR="00230BBA" w:rsidRDefault="00230BBA" w:rsidP="00291A3F">
      <w:pPr>
        <w:spacing w:before="240" w:line="360" w:lineRule="auto"/>
        <w:jc w:val="both"/>
        <w:rPr>
          <w:rFonts w:ascii="Arial" w:hAnsi="Arial" w:cs="Arial"/>
        </w:rPr>
      </w:pPr>
    </w:p>
    <w:p w14:paraId="50BF3560" w14:textId="526F7CD0" w:rsidR="00230BBA" w:rsidRDefault="00230BBA" w:rsidP="00291A3F">
      <w:pPr>
        <w:spacing w:before="240" w:line="360" w:lineRule="auto"/>
        <w:jc w:val="both"/>
        <w:rPr>
          <w:rFonts w:ascii="Arial" w:hAnsi="Arial" w:cs="Arial"/>
        </w:rPr>
      </w:pPr>
    </w:p>
    <w:p w14:paraId="1B932EF7" w14:textId="1D8D2019" w:rsidR="00347BC4" w:rsidRDefault="00347BC4" w:rsidP="00291A3F">
      <w:pPr>
        <w:spacing w:before="240" w:line="360" w:lineRule="auto"/>
        <w:jc w:val="both"/>
        <w:rPr>
          <w:rFonts w:ascii="Arial" w:hAnsi="Arial" w:cs="Arial"/>
        </w:rPr>
      </w:pPr>
    </w:p>
    <w:p w14:paraId="4A151E65" w14:textId="77777777" w:rsidR="005C2048" w:rsidRDefault="005C2048" w:rsidP="00291A3F">
      <w:pPr>
        <w:spacing w:before="240" w:line="360" w:lineRule="auto"/>
        <w:jc w:val="both"/>
        <w:rPr>
          <w:rFonts w:ascii="Arial" w:hAnsi="Arial" w:cs="Arial"/>
        </w:rPr>
      </w:pPr>
    </w:p>
    <w:p w14:paraId="14A4495E" w14:textId="4A2C070C" w:rsidR="00147956" w:rsidRPr="00276DB6" w:rsidRDefault="00147956" w:rsidP="00276DB6">
      <w:pPr>
        <w:pStyle w:val="ListParagraph"/>
        <w:numPr>
          <w:ilvl w:val="0"/>
          <w:numId w:val="17"/>
        </w:numPr>
        <w:spacing w:before="240" w:line="360" w:lineRule="auto"/>
        <w:jc w:val="both"/>
        <w:rPr>
          <w:rFonts w:ascii="Arial" w:hAnsi="Arial" w:cs="Arial"/>
          <w:b/>
          <w:bCs/>
        </w:rPr>
      </w:pPr>
      <w:r w:rsidRPr="00276DB6">
        <w:rPr>
          <w:rFonts w:ascii="Arial" w:hAnsi="Arial" w:cs="Arial"/>
          <w:b/>
          <w:bCs/>
        </w:rPr>
        <w:lastRenderedPageBreak/>
        <w:t>References</w:t>
      </w:r>
    </w:p>
    <w:p w14:paraId="625F3C62" w14:textId="77777777" w:rsidR="00347BC4" w:rsidRPr="00347BC4" w:rsidRDefault="00347BC4" w:rsidP="00347BC4">
      <w:pPr>
        <w:pStyle w:val="ListParagraph"/>
        <w:numPr>
          <w:ilvl w:val="0"/>
          <w:numId w:val="20"/>
        </w:numPr>
        <w:spacing w:before="240" w:line="360" w:lineRule="auto"/>
        <w:jc w:val="both"/>
        <w:rPr>
          <w:rFonts w:ascii="Arial" w:hAnsi="Arial" w:cs="Arial"/>
        </w:rPr>
      </w:pPr>
      <w:r w:rsidRPr="00347BC4">
        <w:rPr>
          <w:rFonts w:ascii="Arial" w:hAnsi="Arial" w:cs="Arial"/>
        </w:rPr>
        <w:t xml:space="preserve">B De Reyck, Z Degraeve, R Vandenborre (2008). </w:t>
      </w:r>
      <w:r w:rsidRPr="00347BC4">
        <w:rPr>
          <w:rFonts w:ascii="Arial" w:hAnsi="Arial" w:cs="Arial"/>
          <w:i/>
          <w:iCs/>
        </w:rPr>
        <w:t xml:space="preserve">European Journal of Operational Research. </w:t>
      </w:r>
      <w:r w:rsidRPr="00347BC4">
        <w:rPr>
          <w:rFonts w:ascii="Arial" w:hAnsi="Arial" w:cs="Arial"/>
        </w:rPr>
        <w:t>Volume 184, Issue 1, 1 January 2008, Pages 341-355.</w:t>
      </w:r>
    </w:p>
    <w:p w14:paraId="7A9C54C3" w14:textId="77777777" w:rsidR="00347BC4" w:rsidRPr="00347BC4" w:rsidRDefault="00347BC4" w:rsidP="00347BC4">
      <w:pPr>
        <w:pStyle w:val="ListParagraph"/>
        <w:numPr>
          <w:ilvl w:val="0"/>
          <w:numId w:val="20"/>
        </w:numPr>
        <w:spacing w:before="240" w:line="360" w:lineRule="auto"/>
        <w:jc w:val="both"/>
        <w:rPr>
          <w:rFonts w:ascii="Arial" w:hAnsi="Arial" w:cs="Arial"/>
        </w:rPr>
      </w:pPr>
      <w:r w:rsidRPr="00347BC4">
        <w:rPr>
          <w:rFonts w:ascii="Arial" w:hAnsi="Arial" w:cs="Arial"/>
        </w:rPr>
        <w:t xml:space="preserve">BBC (2016). </w:t>
      </w:r>
      <w:r w:rsidRPr="00347BC4">
        <w:rPr>
          <w:rFonts w:ascii="Arial" w:hAnsi="Arial" w:cs="Arial"/>
          <w:i/>
          <w:iCs/>
        </w:rPr>
        <w:t>Nestle's profits fall by 39% in 2015</w:t>
      </w:r>
      <w:r w:rsidRPr="00347BC4">
        <w:rPr>
          <w:rFonts w:ascii="Arial" w:hAnsi="Arial" w:cs="Arial"/>
        </w:rPr>
        <w:t xml:space="preserve">. Available: </w:t>
      </w:r>
      <w:hyperlink r:id="rId25" w:history="1">
        <w:r w:rsidRPr="00347BC4">
          <w:rPr>
            <w:rStyle w:val="Hyperlink"/>
            <w:rFonts w:ascii="Arial" w:hAnsi="Arial" w:cs="Arial"/>
          </w:rPr>
          <w:t>https://www.bbc.co.uk/news/business-35604252</w:t>
        </w:r>
      </w:hyperlink>
      <w:r w:rsidRPr="00347BC4">
        <w:rPr>
          <w:rFonts w:ascii="Arial" w:hAnsi="Arial" w:cs="Arial"/>
        </w:rPr>
        <w:t xml:space="preserve"> [Accessed 5th of January 2020].</w:t>
      </w:r>
    </w:p>
    <w:p w14:paraId="5A6CC2E3" w14:textId="77777777" w:rsidR="00347BC4" w:rsidRPr="00347BC4" w:rsidRDefault="00347BC4" w:rsidP="00347BC4">
      <w:pPr>
        <w:pStyle w:val="ListParagraph"/>
        <w:numPr>
          <w:ilvl w:val="0"/>
          <w:numId w:val="20"/>
        </w:numPr>
        <w:spacing w:before="240" w:line="360" w:lineRule="auto"/>
        <w:jc w:val="both"/>
        <w:rPr>
          <w:rFonts w:ascii="Arial" w:hAnsi="Arial" w:cs="Arial"/>
        </w:rPr>
      </w:pPr>
      <w:r w:rsidRPr="00347BC4">
        <w:rPr>
          <w:rFonts w:ascii="Arial" w:hAnsi="Arial" w:cs="Arial"/>
        </w:rPr>
        <w:t>JACK R. LOHMANN &amp; SHARIFFN. N. BAKSH (1993) THE IRR,NPV AND PAYBACK PERIOD AND THEIR RELATIVE PERFORMANCE IN COMMON CAPITIAL BUDGETING DECISION PROCEDURES FOR DEALING WITH RISK, The Engineering Economist, 39:1, 17-47</w:t>
      </w:r>
    </w:p>
    <w:p w14:paraId="197D56A8" w14:textId="77777777" w:rsidR="00347BC4" w:rsidRPr="00347BC4" w:rsidRDefault="00347BC4" w:rsidP="00347BC4">
      <w:pPr>
        <w:pStyle w:val="ListParagraph"/>
        <w:numPr>
          <w:ilvl w:val="0"/>
          <w:numId w:val="20"/>
        </w:numPr>
        <w:spacing w:before="240" w:line="360" w:lineRule="auto"/>
        <w:jc w:val="both"/>
        <w:rPr>
          <w:rFonts w:ascii="Arial" w:hAnsi="Arial" w:cs="Arial"/>
          <w:i/>
          <w:iCs/>
        </w:rPr>
      </w:pPr>
      <w:r w:rsidRPr="00347BC4">
        <w:rPr>
          <w:rFonts w:ascii="Arial" w:hAnsi="Arial" w:cs="Arial"/>
        </w:rPr>
        <w:t xml:space="preserve">Joseph C. Hartman &amp; Ingrid C. Schafrick (2004). </w:t>
      </w:r>
      <w:r w:rsidRPr="00347BC4">
        <w:rPr>
          <w:rFonts w:ascii="Arial" w:hAnsi="Arial" w:cs="Arial"/>
          <w:i/>
          <w:iCs/>
        </w:rPr>
        <w:t>THE RELEVANT INTERNAL RATE OF RETURN.</w:t>
      </w:r>
      <w:r w:rsidRPr="008E3D6B">
        <w:t xml:space="preserve"> </w:t>
      </w:r>
      <w:r w:rsidRPr="00347BC4">
        <w:rPr>
          <w:rFonts w:ascii="Arial" w:hAnsi="Arial" w:cs="Arial"/>
        </w:rPr>
        <w:t>Volume 49, 2004.</w:t>
      </w:r>
      <w:r w:rsidRPr="008E3D6B">
        <w:t xml:space="preserve"> </w:t>
      </w:r>
      <w:r w:rsidRPr="00347BC4">
        <w:rPr>
          <w:rFonts w:ascii="Arial" w:hAnsi="Arial" w:cs="Arial"/>
        </w:rPr>
        <w:t>Pages 139-158.</w:t>
      </w:r>
    </w:p>
    <w:p w14:paraId="78723CDA" w14:textId="77777777" w:rsidR="00347BC4" w:rsidRPr="00347BC4" w:rsidRDefault="00347BC4" w:rsidP="00347BC4">
      <w:pPr>
        <w:pStyle w:val="ListParagraph"/>
        <w:numPr>
          <w:ilvl w:val="0"/>
          <w:numId w:val="20"/>
        </w:numPr>
        <w:spacing w:before="240" w:line="360" w:lineRule="auto"/>
        <w:jc w:val="both"/>
        <w:rPr>
          <w:rFonts w:ascii="Arial" w:hAnsi="Arial" w:cs="Arial"/>
        </w:rPr>
      </w:pPr>
      <w:r w:rsidRPr="00347BC4">
        <w:rPr>
          <w:rFonts w:ascii="Arial" w:hAnsi="Arial" w:cs="Arial"/>
        </w:rPr>
        <w:t xml:space="preserve">Neslte History. Available: </w:t>
      </w:r>
      <w:hyperlink r:id="rId26" w:history="1">
        <w:r w:rsidRPr="00347BC4">
          <w:rPr>
            <w:rStyle w:val="Hyperlink"/>
            <w:rFonts w:ascii="Arial" w:hAnsi="Arial" w:cs="Arial"/>
          </w:rPr>
          <w:t>https://www.nestle.com/aboutus/history/nestle-company-history</w:t>
        </w:r>
      </w:hyperlink>
      <w:r w:rsidRPr="00347BC4">
        <w:rPr>
          <w:rFonts w:ascii="Arial" w:hAnsi="Arial" w:cs="Arial"/>
        </w:rPr>
        <w:t xml:space="preserve"> [Accessed 10th of January 2020].</w:t>
      </w:r>
    </w:p>
    <w:p w14:paraId="51955E85" w14:textId="77777777" w:rsidR="00347BC4" w:rsidRPr="00347BC4" w:rsidRDefault="00347BC4" w:rsidP="00347BC4">
      <w:pPr>
        <w:pStyle w:val="ListParagraph"/>
        <w:numPr>
          <w:ilvl w:val="0"/>
          <w:numId w:val="20"/>
        </w:numPr>
        <w:spacing w:before="240" w:line="360" w:lineRule="auto"/>
        <w:jc w:val="both"/>
        <w:rPr>
          <w:rFonts w:ascii="Arial" w:hAnsi="Arial" w:cs="Arial"/>
        </w:rPr>
      </w:pPr>
      <w:r w:rsidRPr="00347BC4">
        <w:rPr>
          <w:rFonts w:ascii="Arial" w:hAnsi="Arial" w:cs="Arial"/>
        </w:rPr>
        <w:t xml:space="preserve">Nestle. Available: </w:t>
      </w:r>
      <w:hyperlink r:id="rId27" w:history="1">
        <w:r w:rsidRPr="00347BC4">
          <w:rPr>
            <w:rStyle w:val="Hyperlink"/>
            <w:rFonts w:ascii="Arial" w:hAnsi="Arial" w:cs="Arial"/>
          </w:rPr>
          <w:t>https://www.macrotrends.net/stocks/charts/NSRGY/nestle-sa/current-ratio</w:t>
        </w:r>
      </w:hyperlink>
      <w:r w:rsidRPr="00347BC4">
        <w:rPr>
          <w:rFonts w:ascii="Arial" w:hAnsi="Arial" w:cs="Arial"/>
        </w:rPr>
        <w:t>. [Accessed 10</w:t>
      </w:r>
      <w:r w:rsidRPr="00347BC4">
        <w:rPr>
          <w:rFonts w:ascii="Arial" w:hAnsi="Arial" w:cs="Arial"/>
          <w:vertAlign w:val="superscript"/>
        </w:rPr>
        <w:t>th</w:t>
      </w:r>
      <w:r w:rsidRPr="00347BC4">
        <w:rPr>
          <w:rFonts w:ascii="Arial" w:hAnsi="Arial" w:cs="Arial"/>
        </w:rPr>
        <w:t xml:space="preserve"> of January 2020].</w:t>
      </w:r>
    </w:p>
    <w:p w14:paraId="6A5800BC" w14:textId="77777777" w:rsidR="00347BC4" w:rsidRPr="00347BC4" w:rsidRDefault="00347BC4" w:rsidP="00347BC4">
      <w:pPr>
        <w:pStyle w:val="ListParagraph"/>
        <w:numPr>
          <w:ilvl w:val="0"/>
          <w:numId w:val="20"/>
        </w:numPr>
        <w:spacing w:before="240" w:line="360" w:lineRule="auto"/>
        <w:jc w:val="both"/>
        <w:rPr>
          <w:rFonts w:ascii="Arial" w:hAnsi="Arial" w:cs="Arial"/>
        </w:rPr>
      </w:pPr>
      <w:r w:rsidRPr="00347BC4">
        <w:rPr>
          <w:rFonts w:ascii="Arial" w:hAnsi="Arial" w:cs="Arial"/>
        </w:rPr>
        <w:t xml:space="preserve">Nestle. Available: </w:t>
      </w:r>
      <w:hyperlink r:id="rId28" w:history="1">
        <w:r w:rsidRPr="00347BC4">
          <w:rPr>
            <w:rStyle w:val="Hyperlink"/>
            <w:rFonts w:ascii="Arial" w:hAnsi="Arial" w:cs="Arial"/>
          </w:rPr>
          <w:t>https://www.nestle.co.uk/en-gb/media/newsfeatures/nestle-150-years-timeline</w:t>
        </w:r>
      </w:hyperlink>
      <w:r w:rsidRPr="00347BC4">
        <w:rPr>
          <w:rFonts w:ascii="Arial" w:hAnsi="Arial" w:cs="Arial"/>
        </w:rPr>
        <w:t>. [Accessed 11</w:t>
      </w:r>
      <w:r w:rsidRPr="00347BC4">
        <w:rPr>
          <w:rFonts w:ascii="Arial" w:hAnsi="Arial" w:cs="Arial"/>
          <w:vertAlign w:val="superscript"/>
        </w:rPr>
        <w:t>th</w:t>
      </w:r>
      <w:r w:rsidRPr="00347BC4">
        <w:rPr>
          <w:rFonts w:ascii="Arial" w:hAnsi="Arial" w:cs="Arial"/>
        </w:rPr>
        <w:t xml:space="preserve"> of January 2020].</w:t>
      </w:r>
    </w:p>
    <w:p w14:paraId="4D212621" w14:textId="77777777" w:rsidR="00347BC4" w:rsidRPr="00347BC4" w:rsidRDefault="00347BC4" w:rsidP="00347BC4">
      <w:pPr>
        <w:pStyle w:val="ListParagraph"/>
        <w:numPr>
          <w:ilvl w:val="0"/>
          <w:numId w:val="20"/>
        </w:numPr>
        <w:spacing w:before="240" w:line="360" w:lineRule="auto"/>
        <w:jc w:val="both"/>
        <w:rPr>
          <w:rFonts w:ascii="Arial" w:hAnsi="Arial" w:cs="Arial"/>
        </w:rPr>
      </w:pPr>
      <w:r w:rsidRPr="00347BC4">
        <w:rPr>
          <w:rFonts w:ascii="Arial" w:hAnsi="Arial" w:cs="Arial"/>
        </w:rPr>
        <w:t xml:space="preserve">Richard P. Brief and Raef A. Lawson (1992). </w:t>
      </w:r>
      <w:r w:rsidRPr="00347BC4">
        <w:rPr>
          <w:rFonts w:ascii="Arial" w:hAnsi="Arial" w:cs="Arial"/>
          <w:i/>
          <w:iCs/>
        </w:rPr>
        <w:t>The Accounting Review</w:t>
      </w:r>
      <w:r w:rsidRPr="00347BC4">
        <w:rPr>
          <w:rFonts w:ascii="Arial" w:hAnsi="Arial" w:cs="Arial"/>
        </w:rPr>
        <w:t>. Vol. 67, No. 2 (Apr., 1992), pp. 411-426.</w:t>
      </w:r>
    </w:p>
    <w:p w14:paraId="171AE7A0" w14:textId="77777777" w:rsidR="003C053A" w:rsidRDefault="003C053A" w:rsidP="003C053A">
      <w:pPr>
        <w:spacing w:before="240" w:line="360" w:lineRule="auto"/>
        <w:jc w:val="both"/>
        <w:rPr>
          <w:rFonts w:ascii="Arial" w:hAnsi="Arial" w:cs="Arial"/>
        </w:rPr>
      </w:pPr>
    </w:p>
    <w:p w14:paraId="7F5202B9" w14:textId="77777777" w:rsidR="003C053A" w:rsidRDefault="003C053A" w:rsidP="003C053A">
      <w:pPr>
        <w:spacing w:before="240" w:line="360" w:lineRule="auto"/>
        <w:jc w:val="both"/>
        <w:rPr>
          <w:rFonts w:ascii="Arial" w:hAnsi="Arial" w:cs="Arial"/>
        </w:rPr>
      </w:pPr>
    </w:p>
    <w:p w14:paraId="6D2565DF" w14:textId="77777777" w:rsidR="005D2B1D" w:rsidRDefault="005D2B1D" w:rsidP="004A4130">
      <w:pPr>
        <w:spacing w:before="240" w:line="360" w:lineRule="auto"/>
        <w:jc w:val="both"/>
        <w:rPr>
          <w:rFonts w:ascii="Arial" w:hAnsi="Arial" w:cs="Arial"/>
        </w:rPr>
      </w:pPr>
    </w:p>
    <w:p w14:paraId="222AA46E" w14:textId="77777777" w:rsidR="00147956" w:rsidRDefault="00147956" w:rsidP="00291A3F">
      <w:pPr>
        <w:spacing w:before="240" w:line="360" w:lineRule="auto"/>
        <w:jc w:val="both"/>
        <w:rPr>
          <w:rFonts w:ascii="Arial" w:hAnsi="Arial" w:cs="Arial"/>
        </w:rPr>
      </w:pPr>
    </w:p>
    <w:p w14:paraId="7FA43F2E" w14:textId="5B18CB82" w:rsidR="00147956" w:rsidRDefault="00147956" w:rsidP="00291A3F">
      <w:pPr>
        <w:spacing w:before="240" w:line="360" w:lineRule="auto"/>
        <w:jc w:val="both"/>
        <w:rPr>
          <w:rFonts w:ascii="Arial" w:hAnsi="Arial" w:cs="Arial"/>
        </w:rPr>
      </w:pPr>
    </w:p>
    <w:p w14:paraId="6144278C" w14:textId="0EAE003A" w:rsidR="00147956" w:rsidRDefault="00147956" w:rsidP="00291A3F">
      <w:pPr>
        <w:spacing w:before="240" w:line="360" w:lineRule="auto"/>
        <w:jc w:val="both"/>
        <w:rPr>
          <w:rFonts w:ascii="Arial" w:hAnsi="Arial" w:cs="Arial"/>
        </w:rPr>
      </w:pPr>
    </w:p>
    <w:p w14:paraId="444B66CB" w14:textId="1BB35CA7" w:rsidR="00147956" w:rsidRDefault="00147956" w:rsidP="00291A3F">
      <w:pPr>
        <w:spacing w:before="240" w:line="360" w:lineRule="auto"/>
        <w:jc w:val="both"/>
        <w:rPr>
          <w:rFonts w:ascii="Arial" w:hAnsi="Arial" w:cs="Arial"/>
        </w:rPr>
      </w:pPr>
    </w:p>
    <w:p w14:paraId="4AF64384" w14:textId="6488F86A" w:rsidR="00147956" w:rsidRDefault="00147956" w:rsidP="00291A3F">
      <w:pPr>
        <w:spacing w:before="240" w:line="360" w:lineRule="auto"/>
        <w:jc w:val="both"/>
        <w:rPr>
          <w:rFonts w:ascii="Arial" w:hAnsi="Arial" w:cs="Arial"/>
        </w:rPr>
      </w:pPr>
    </w:p>
    <w:p w14:paraId="75AEF610" w14:textId="5422B1CE" w:rsidR="00147956" w:rsidRDefault="00147956" w:rsidP="00291A3F">
      <w:pPr>
        <w:spacing w:before="240" w:line="360" w:lineRule="auto"/>
        <w:jc w:val="both"/>
        <w:rPr>
          <w:rFonts w:ascii="Arial" w:hAnsi="Arial" w:cs="Arial"/>
        </w:rPr>
      </w:pPr>
    </w:p>
    <w:p w14:paraId="4F24DA71" w14:textId="7AD98B8C" w:rsidR="00147956" w:rsidRDefault="00147956" w:rsidP="00291A3F">
      <w:pPr>
        <w:spacing w:before="240" w:line="360" w:lineRule="auto"/>
        <w:jc w:val="both"/>
        <w:rPr>
          <w:rFonts w:ascii="Arial" w:hAnsi="Arial" w:cs="Arial"/>
        </w:rPr>
      </w:pPr>
    </w:p>
    <w:p w14:paraId="06CB7F16" w14:textId="77777777" w:rsidR="00347BC4" w:rsidRDefault="00347BC4" w:rsidP="00291A3F">
      <w:pPr>
        <w:spacing w:before="240" w:line="360" w:lineRule="auto"/>
        <w:jc w:val="both"/>
        <w:rPr>
          <w:rFonts w:ascii="Arial" w:hAnsi="Arial" w:cs="Arial"/>
        </w:rPr>
      </w:pPr>
    </w:p>
    <w:p w14:paraId="5BD84EEE" w14:textId="1B64C7FA" w:rsidR="00230BBA" w:rsidRPr="00276DB6" w:rsidRDefault="00276DB6" w:rsidP="00276DB6">
      <w:pPr>
        <w:spacing w:before="240" w:line="360" w:lineRule="auto"/>
        <w:ind w:left="360"/>
        <w:jc w:val="both"/>
        <w:rPr>
          <w:rFonts w:ascii="Arial" w:hAnsi="Arial" w:cs="Arial"/>
          <w:b/>
          <w:bCs/>
        </w:rPr>
      </w:pPr>
      <w:r>
        <w:rPr>
          <w:rFonts w:ascii="Arial" w:hAnsi="Arial" w:cs="Arial"/>
          <w:b/>
          <w:bCs/>
        </w:rPr>
        <w:lastRenderedPageBreak/>
        <w:t xml:space="preserve">8. </w:t>
      </w:r>
      <w:r w:rsidR="00230BBA" w:rsidRPr="00276DB6">
        <w:rPr>
          <w:rFonts w:ascii="Arial" w:hAnsi="Arial" w:cs="Arial"/>
          <w:b/>
          <w:bCs/>
        </w:rPr>
        <w:t>Appendices</w:t>
      </w:r>
    </w:p>
    <w:p w14:paraId="2300D0C4" w14:textId="66DDCC80" w:rsidR="00230BBA" w:rsidRPr="00E42549" w:rsidRDefault="00AF5A9A" w:rsidP="00E42549">
      <w:pPr>
        <w:pStyle w:val="ListParagraph"/>
        <w:numPr>
          <w:ilvl w:val="0"/>
          <w:numId w:val="15"/>
        </w:numPr>
        <w:spacing w:before="240" w:line="360" w:lineRule="auto"/>
        <w:jc w:val="both"/>
        <w:rPr>
          <w:rFonts w:ascii="Arial" w:hAnsi="Arial" w:cs="Arial"/>
        </w:rPr>
      </w:pPr>
      <w:r>
        <w:rPr>
          <w:rFonts w:ascii="Arial" w:hAnsi="Arial" w:cs="Arial"/>
        </w:rPr>
        <w:t xml:space="preserve">Appendix 1 - </w:t>
      </w:r>
      <w:r w:rsidR="00E42549">
        <w:rPr>
          <w:rFonts w:ascii="Arial" w:hAnsi="Arial" w:cs="Arial"/>
        </w:rPr>
        <w:t>Profitability Ratio</w:t>
      </w:r>
    </w:p>
    <w:p w14:paraId="7A55AD1A" w14:textId="1790977B" w:rsidR="00331597" w:rsidRDefault="00E42549" w:rsidP="00291A3F">
      <w:pPr>
        <w:spacing w:before="240" w:line="360" w:lineRule="auto"/>
        <w:jc w:val="both"/>
        <w:rPr>
          <w:rFonts w:ascii="Arial" w:hAnsi="Arial" w:cs="Arial"/>
        </w:rPr>
      </w:pPr>
      <w:r>
        <w:rPr>
          <w:noProof/>
        </w:rPr>
        <w:drawing>
          <wp:inline distT="0" distB="0" distL="0" distR="0" wp14:anchorId="7A098FAD" wp14:editId="02757CA8">
            <wp:extent cx="5731510" cy="19456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1945640"/>
                    </a:xfrm>
                    <a:prstGeom prst="rect">
                      <a:avLst/>
                    </a:prstGeom>
                    <a:noFill/>
                    <a:ln>
                      <a:noFill/>
                    </a:ln>
                  </pic:spPr>
                </pic:pic>
              </a:graphicData>
            </a:graphic>
          </wp:inline>
        </w:drawing>
      </w:r>
    </w:p>
    <w:p w14:paraId="6DF9C495" w14:textId="67A5B87E" w:rsidR="006A065C" w:rsidRPr="00E42549" w:rsidRDefault="00AF5A9A" w:rsidP="00291A3F">
      <w:pPr>
        <w:pStyle w:val="ListParagraph"/>
        <w:numPr>
          <w:ilvl w:val="0"/>
          <w:numId w:val="15"/>
        </w:numPr>
        <w:spacing w:before="240" w:line="360" w:lineRule="auto"/>
        <w:jc w:val="both"/>
        <w:rPr>
          <w:rFonts w:ascii="Arial" w:hAnsi="Arial" w:cs="Arial"/>
        </w:rPr>
      </w:pPr>
      <w:r>
        <w:rPr>
          <w:rFonts w:ascii="Arial" w:hAnsi="Arial" w:cs="Arial"/>
        </w:rPr>
        <w:t xml:space="preserve">Appendix 2 - </w:t>
      </w:r>
      <w:r w:rsidR="00E42549">
        <w:rPr>
          <w:rFonts w:ascii="Arial" w:hAnsi="Arial" w:cs="Arial"/>
        </w:rPr>
        <w:t>Liquidity Ratio</w:t>
      </w:r>
    </w:p>
    <w:p w14:paraId="7A1CD2ED" w14:textId="31403756" w:rsidR="00262D17" w:rsidRDefault="00E42549" w:rsidP="00291A3F">
      <w:pPr>
        <w:spacing w:before="240" w:line="360" w:lineRule="auto"/>
        <w:jc w:val="both"/>
        <w:rPr>
          <w:rFonts w:ascii="Arial" w:hAnsi="Arial" w:cs="Arial"/>
        </w:rPr>
      </w:pPr>
      <w:r>
        <w:rPr>
          <w:noProof/>
        </w:rPr>
        <w:drawing>
          <wp:inline distT="0" distB="0" distL="0" distR="0" wp14:anchorId="41AF15E5" wp14:editId="7F63EF05">
            <wp:extent cx="5731510" cy="21463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146300"/>
                    </a:xfrm>
                    <a:prstGeom prst="rect">
                      <a:avLst/>
                    </a:prstGeom>
                    <a:noFill/>
                    <a:ln>
                      <a:noFill/>
                    </a:ln>
                  </pic:spPr>
                </pic:pic>
              </a:graphicData>
            </a:graphic>
          </wp:inline>
        </w:drawing>
      </w:r>
    </w:p>
    <w:p w14:paraId="0797AA4C" w14:textId="288E1B4B" w:rsidR="00E42549" w:rsidRPr="00E42549" w:rsidRDefault="00AF5A9A" w:rsidP="00E42549">
      <w:pPr>
        <w:pStyle w:val="ListParagraph"/>
        <w:numPr>
          <w:ilvl w:val="0"/>
          <w:numId w:val="15"/>
        </w:numPr>
        <w:spacing w:before="240" w:line="360" w:lineRule="auto"/>
        <w:jc w:val="both"/>
        <w:rPr>
          <w:rFonts w:ascii="Arial" w:hAnsi="Arial" w:cs="Arial"/>
        </w:rPr>
      </w:pPr>
      <w:r>
        <w:rPr>
          <w:rFonts w:ascii="Arial" w:hAnsi="Arial" w:cs="Arial"/>
        </w:rPr>
        <w:t xml:space="preserve">Appendix 3 - </w:t>
      </w:r>
      <w:r w:rsidR="00E42549">
        <w:rPr>
          <w:rFonts w:ascii="Arial" w:hAnsi="Arial" w:cs="Arial"/>
        </w:rPr>
        <w:t>Efficiency Ratio</w:t>
      </w:r>
    </w:p>
    <w:p w14:paraId="042537C6" w14:textId="06B2D82B" w:rsidR="003952E2" w:rsidRDefault="00E42549" w:rsidP="00291A3F">
      <w:pPr>
        <w:spacing w:before="240" w:line="360" w:lineRule="auto"/>
        <w:jc w:val="both"/>
        <w:rPr>
          <w:rFonts w:ascii="Arial" w:hAnsi="Arial" w:cs="Arial"/>
        </w:rPr>
      </w:pPr>
      <w:r>
        <w:rPr>
          <w:noProof/>
        </w:rPr>
        <w:drawing>
          <wp:inline distT="0" distB="0" distL="0" distR="0" wp14:anchorId="48DF00C1" wp14:editId="0C817828">
            <wp:extent cx="5731510" cy="18288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1828800"/>
                    </a:xfrm>
                    <a:prstGeom prst="rect">
                      <a:avLst/>
                    </a:prstGeom>
                    <a:noFill/>
                    <a:ln>
                      <a:noFill/>
                    </a:ln>
                  </pic:spPr>
                </pic:pic>
              </a:graphicData>
            </a:graphic>
          </wp:inline>
        </w:drawing>
      </w:r>
    </w:p>
    <w:p w14:paraId="05F3AE43" w14:textId="47D720F8" w:rsidR="00AF5A9A" w:rsidRDefault="00AF5A9A" w:rsidP="00291A3F">
      <w:pPr>
        <w:spacing w:before="240" w:line="360" w:lineRule="auto"/>
        <w:jc w:val="both"/>
        <w:rPr>
          <w:rFonts w:ascii="Arial" w:hAnsi="Arial" w:cs="Arial"/>
        </w:rPr>
      </w:pPr>
    </w:p>
    <w:p w14:paraId="2318A9DB" w14:textId="77777777" w:rsidR="00347BC4" w:rsidRDefault="00347BC4" w:rsidP="00291A3F">
      <w:pPr>
        <w:spacing w:before="240" w:line="360" w:lineRule="auto"/>
        <w:jc w:val="both"/>
        <w:rPr>
          <w:rFonts w:ascii="Arial" w:hAnsi="Arial" w:cs="Arial"/>
        </w:rPr>
      </w:pPr>
    </w:p>
    <w:p w14:paraId="0471060A" w14:textId="7D979D86" w:rsidR="00E42549" w:rsidRDefault="00AF5A9A" w:rsidP="00E42549">
      <w:pPr>
        <w:pStyle w:val="ListParagraph"/>
        <w:numPr>
          <w:ilvl w:val="0"/>
          <w:numId w:val="15"/>
        </w:numPr>
        <w:spacing w:before="240" w:line="360" w:lineRule="auto"/>
        <w:jc w:val="both"/>
        <w:rPr>
          <w:rFonts w:ascii="Arial" w:hAnsi="Arial" w:cs="Arial"/>
        </w:rPr>
      </w:pPr>
      <w:r>
        <w:rPr>
          <w:rFonts w:ascii="Arial" w:hAnsi="Arial" w:cs="Arial"/>
        </w:rPr>
        <w:lastRenderedPageBreak/>
        <w:t>Appendix 4 - Leverage Ratio</w:t>
      </w:r>
    </w:p>
    <w:p w14:paraId="5F033078" w14:textId="7070EBCC" w:rsidR="00AF5A9A" w:rsidRDefault="00AF5A9A" w:rsidP="00AF5A9A">
      <w:pPr>
        <w:spacing w:before="240" w:line="360" w:lineRule="auto"/>
        <w:jc w:val="both"/>
        <w:rPr>
          <w:rFonts w:ascii="Arial" w:hAnsi="Arial" w:cs="Arial"/>
        </w:rPr>
      </w:pPr>
      <w:r>
        <w:rPr>
          <w:noProof/>
        </w:rPr>
        <w:drawing>
          <wp:inline distT="0" distB="0" distL="0" distR="0" wp14:anchorId="7631F413" wp14:editId="2613D8BB">
            <wp:extent cx="5731510" cy="17970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1797050"/>
                    </a:xfrm>
                    <a:prstGeom prst="rect">
                      <a:avLst/>
                    </a:prstGeom>
                    <a:noFill/>
                    <a:ln>
                      <a:noFill/>
                    </a:ln>
                  </pic:spPr>
                </pic:pic>
              </a:graphicData>
            </a:graphic>
          </wp:inline>
        </w:drawing>
      </w:r>
    </w:p>
    <w:p w14:paraId="3712D870" w14:textId="712AC591" w:rsidR="00AF5A9A" w:rsidRDefault="00AF5A9A" w:rsidP="00AF5A9A">
      <w:pPr>
        <w:pStyle w:val="ListParagraph"/>
        <w:numPr>
          <w:ilvl w:val="0"/>
          <w:numId w:val="15"/>
        </w:numPr>
        <w:spacing w:before="240" w:line="360" w:lineRule="auto"/>
        <w:jc w:val="both"/>
        <w:rPr>
          <w:rFonts w:ascii="Arial" w:hAnsi="Arial" w:cs="Arial"/>
        </w:rPr>
      </w:pPr>
      <w:r>
        <w:rPr>
          <w:rFonts w:ascii="Arial" w:hAnsi="Arial" w:cs="Arial"/>
        </w:rPr>
        <w:t>Appendix 5 – Investment Returns Ratio</w:t>
      </w:r>
    </w:p>
    <w:p w14:paraId="10EA333B" w14:textId="1B9BD975" w:rsidR="009E30D3" w:rsidRPr="009E30D3" w:rsidRDefault="009E30D3" w:rsidP="009E30D3">
      <w:pPr>
        <w:spacing w:before="240" w:line="360" w:lineRule="auto"/>
        <w:jc w:val="both"/>
        <w:rPr>
          <w:rFonts w:ascii="Arial" w:hAnsi="Arial" w:cs="Arial"/>
        </w:rPr>
      </w:pPr>
      <w:r>
        <w:rPr>
          <w:rFonts w:ascii="Arial" w:hAnsi="Arial" w:cs="Arial"/>
          <w:noProof/>
        </w:rPr>
        <w:drawing>
          <wp:inline distT="0" distB="0" distL="0" distR="0" wp14:anchorId="443FAE8F" wp14:editId="25E6A02E">
            <wp:extent cx="5730875" cy="1664335"/>
            <wp:effectExtent l="0" t="0" r="317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1664335"/>
                    </a:xfrm>
                    <a:prstGeom prst="rect">
                      <a:avLst/>
                    </a:prstGeom>
                    <a:noFill/>
                  </pic:spPr>
                </pic:pic>
              </a:graphicData>
            </a:graphic>
          </wp:inline>
        </w:drawing>
      </w:r>
    </w:p>
    <w:p w14:paraId="1A87C55C" w14:textId="24BD7CA2" w:rsidR="00AF5A9A" w:rsidRDefault="009E30D3" w:rsidP="00AF5A9A">
      <w:pPr>
        <w:spacing w:before="240" w:line="360" w:lineRule="auto"/>
        <w:jc w:val="both"/>
        <w:rPr>
          <w:rFonts w:ascii="Arial" w:hAnsi="Arial" w:cs="Arial"/>
        </w:rPr>
      </w:pPr>
      <w:r>
        <w:rPr>
          <w:rFonts w:ascii="Arial" w:hAnsi="Arial" w:cs="Arial"/>
          <w:noProof/>
        </w:rPr>
        <w:lastRenderedPageBreak/>
        <w:drawing>
          <wp:inline distT="0" distB="0" distL="0" distR="0" wp14:anchorId="76D3580C" wp14:editId="6EB331E5">
            <wp:extent cx="4550841" cy="4536219"/>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73770" cy="4559074"/>
                    </a:xfrm>
                    <a:prstGeom prst="rect">
                      <a:avLst/>
                    </a:prstGeom>
                    <a:noFill/>
                  </pic:spPr>
                </pic:pic>
              </a:graphicData>
            </a:graphic>
          </wp:inline>
        </w:drawing>
      </w:r>
    </w:p>
    <w:p w14:paraId="1463079B" w14:textId="4BB1384F" w:rsidR="009E30D3" w:rsidRDefault="009E30D3" w:rsidP="00AF5A9A">
      <w:pPr>
        <w:spacing w:before="240" w:line="360" w:lineRule="auto"/>
        <w:jc w:val="both"/>
        <w:rPr>
          <w:rFonts w:ascii="Arial" w:hAnsi="Arial" w:cs="Arial"/>
        </w:rPr>
      </w:pPr>
      <w:r>
        <w:rPr>
          <w:rFonts w:ascii="Arial" w:hAnsi="Arial" w:cs="Arial"/>
          <w:noProof/>
        </w:rPr>
        <w:drawing>
          <wp:inline distT="0" distB="0" distL="0" distR="0" wp14:anchorId="07E0F0DB" wp14:editId="6F89373F">
            <wp:extent cx="3932630" cy="3919993"/>
            <wp:effectExtent l="0" t="0" r="0"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67857" cy="3955107"/>
                    </a:xfrm>
                    <a:prstGeom prst="rect">
                      <a:avLst/>
                    </a:prstGeom>
                    <a:noFill/>
                  </pic:spPr>
                </pic:pic>
              </a:graphicData>
            </a:graphic>
          </wp:inline>
        </w:drawing>
      </w:r>
    </w:p>
    <w:p w14:paraId="68CA12CD" w14:textId="31FA5FF4" w:rsidR="009E30D3" w:rsidRDefault="009E30D3" w:rsidP="00AF5A9A">
      <w:pPr>
        <w:spacing w:before="240" w:line="360" w:lineRule="auto"/>
        <w:jc w:val="both"/>
        <w:rPr>
          <w:rFonts w:ascii="Arial" w:hAnsi="Arial" w:cs="Arial"/>
        </w:rPr>
      </w:pPr>
      <w:r>
        <w:rPr>
          <w:rFonts w:ascii="Arial" w:hAnsi="Arial" w:cs="Arial"/>
          <w:noProof/>
        </w:rPr>
        <w:lastRenderedPageBreak/>
        <w:drawing>
          <wp:inline distT="0" distB="0" distL="0" distR="0" wp14:anchorId="287CE86A" wp14:editId="1AA473C7">
            <wp:extent cx="5730875" cy="5736590"/>
            <wp:effectExtent l="0" t="0" r="317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875" cy="5736590"/>
                    </a:xfrm>
                    <a:prstGeom prst="rect">
                      <a:avLst/>
                    </a:prstGeom>
                    <a:noFill/>
                  </pic:spPr>
                </pic:pic>
              </a:graphicData>
            </a:graphic>
          </wp:inline>
        </w:drawing>
      </w:r>
    </w:p>
    <w:p w14:paraId="794460F7" w14:textId="4F48CC41" w:rsidR="009E30D3" w:rsidRDefault="009E30D3" w:rsidP="00AF5A9A">
      <w:pPr>
        <w:spacing w:before="240" w:line="360" w:lineRule="auto"/>
        <w:jc w:val="both"/>
        <w:rPr>
          <w:rFonts w:ascii="Arial" w:hAnsi="Arial" w:cs="Arial"/>
        </w:rPr>
      </w:pPr>
      <w:r>
        <w:rPr>
          <w:noProof/>
        </w:rPr>
        <w:lastRenderedPageBreak/>
        <w:drawing>
          <wp:inline distT="0" distB="0" distL="0" distR="0" wp14:anchorId="74840004" wp14:editId="6971044B">
            <wp:extent cx="5731510" cy="5790565"/>
            <wp:effectExtent l="0" t="0" r="254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5790565"/>
                    </a:xfrm>
                    <a:prstGeom prst="rect">
                      <a:avLst/>
                    </a:prstGeom>
                    <a:noFill/>
                    <a:ln>
                      <a:noFill/>
                    </a:ln>
                  </pic:spPr>
                </pic:pic>
              </a:graphicData>
            </a:graphic>
          </wp:inline>
        </w:drawing>
      </w:r>
      <w:r>
        <w:rPr>
          <w:noProof/>
        </w:rPr>
        <w:lastRenderedPageBreak/>
        <w:drawing>
          <wp:inline distT="0" distB="0" distL="0" distR="0" wp14:anchorId="07017CA9" wp14:editId="62262BEA">
            <wp:extent cx="5731510" cy="5786120"/>
            <wp:effectExtent l="0" t="0" r="2540"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5786120"/>
                    </a:xfrm>
                    <a:prstGeom prst="rect">
                      <a:avLst/>
                    </a:prstGeom>
                    <a:noFill/>
                    <a:ln>
                      <a:noFill/>
                    </a:ln>
                  </pic:spPr>
                </pic:pic>
              </a:graphicData>
            </a:graphic>
          </wp:inline>
        </w:drawing>
      </w:r>
      <w:r>
        <w:rPr>
          <w:noProof/>
        </w:rPr>
        <w:lastRenderedPageBreak/>
        <w:drawing>
          <wp:inline distT="0" distB="0" distL="0" distR="0" wp14:anchorId="5F1825C0" wp14:editId="580F235F">
            <wp:extent cx="5731510" cy="582295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5822950"/>
                    </a:xfrm>
                    <a:prstGeom prst="rect">
                      <a:avLst/>
                    </a:prstGeom>
                    <a:noFill/>
                    <a:ln>
                      <a:noFill/>
                    </a:ln>
                  </pic:spPr>
                </pic:pic>
              </a:graphicData>
            </a:graphic>
          </wp:inline>
        </w:drawing>
      </w:r>
      <w:r>
        <w:rPr>
          <w:rFonts w:ascii="Arial" w:hAnsi="Arial" w:cs="Arial"/>
          <w:noProof/>
        </w:rPr>
        <w:lastRenderedPageBreak/>
        <w:drawing>
          <wp:inline distT="0" distB="0" distL="0" distR="0" wp14:anchorId="66F3DCF8" wp14:editId="22C2C2F2">
            <wp:extent cx="5730875" cy="5883275"/>
            <wp:effectExtent l="0" t="0" r="3175"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875" cy="5883275"/>
                    </a:xfrm>
                    <a:prstGeom prst="rect">
                      <a:avLst/>
                    </a:prstGeom>
                    <a:noFill/>
                  </pic:spPr>
                </pic:pic>
              </a:graphicData>
            </a:graphic>
          </wp:inline>
        </w:drawing>
      </w:r>
      <w:r>
        <w:rPr>
          <w:noProof/>
        </w:rPr>
        <w:lastRenderedPageBreak/>
        <w:drawing>
          <wp:inline distT="0" distB="0" distL="0" distR="0" wp14:anchorId="4BBD0DE0" wp14:editId="23CC94BC">
            <wp:extent cx="5731510" cy="587883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5878830"/>
                    </a:xfrm>
                    <a:prstGeom prst="rect">
                      <a:avLst/>
                    </a:prstGeom>
                    <a:noFill/>
                    <a:ln>
                      <a:noFill/>
                    </a:ln>
                  </pic:spPr>
                </pic:pic>
              </a:graphicData>
            </a:graphic>
          </wp:inline>
        </w:drawing>
      </w:r>
      <w:r>
        <w:rPr>
          <w:noProof/>
        </w:rPr>
        <w:lastRenderedPageBreak/>
        <w:drawing>
          <wp:inline distT="0" distB="0" distL="0" distR="0" wp14:anchorId="1EAAC353" wp14:editId="7298F777">
            <wp:extent cx="4257185" cy="4317558"/>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273971" cy="4334582"/>
                    </a:xfrm>
                    <a:prstGeom prst="rect">
                      <a:avLst/>
                    </a:prstGeom>
                    <a:noFill/>
                    <a:ln>
                      <a:noFill/>
                    </a:ln>
                  </pic:spPr>
                </pic:pic>
              </a:graphicData>
            </a:graphic>
          </wp:inline>
        </w:drawing>
      </w:r>
    </w:p>
    <w:p w14:paraId="36D0C270" w14:textId="58B95443" w:rsidR="009E30D3" w:rsidRDefault="009E30D3" w:rsidP="00AF5A9A">
      <w:pPr>
        <w:spacing w:before="240" w:line="360" w:lineRule="auto"/>
        <w:jc w:val="both"/>
        <w:rPr>
          <w:rFonts w:ascii="Arial" w:hAnsi="Arial" w:cs="Arial"/>
        </w:rPr>
      </w:pPr>
      <w:r>
        <w:rPr>
          <w:rFonts w:ascii="Arial" w:hAnsi="Arial" w:cs="Arial"/>
          <w:noProof/>
        </w:rPr>
        <w:drawing>
          <wp:inline distT="0" distB="0" distL="0" distR="0" wp14:anchorId="43110832" wp14:editId="29115A28">
            <wp:extent cx="4261899" cy="4280943"/>
            <wp:effectExtent l="0" t="0" r="5715"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265424" cy="4284484"/>
                    </a:xfrm>
                    <a:prstGeom prst="rect">
                      <a:avLst/>
                    </a:prstGeom>
                    <a:noFill/>
                  </pic:spPr>
                </pic:pic>
              </a:graphicData>
            </a:graphic>
          </wp:inline>
        </w:drawing>
      </w:r>
    </w:p>
    <w:p w14:paraId="60FF19D7" w14:textId="7FB90D69" w:rsidR="009E30D3" w:rsidRDefault="009E30D3" w:rsidP="00AF5A9A">
      <w:pPr>
        <w:spacing w:before="240" w:line="360" w:lineRule="auto"/>
        <w:jc w:val="both"/>
        <w:rPr>
          <w:rFonts w:ascii="Arial" w:hAnsi="Arial" w:cs="Arial"/>
        </w:rPr>
      </w:pPr>
      <w:r>
        <w:rPr>
          <w:noProof/>
        </w:rPr>
        <w:lastRenderedPageBreak/>
        <w:drawing>
          <wp:inline distT="0" distB="0" distL="0" distR="0" wp14:anchorId="1813FFBA" wp14:editId="3B398F85">
            <wp:extent cx="5731510" cy="580707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5807075"/>
                    </a:xfrm>
                    <a:prstGeom prst="rect">
                      <a:avLst/>
                    </a:prstGeom>
                    <a:noFill/>
                    <a:ln>
                      <a:noFill/>
                    </a:ln>
                  </pic:spPr>
                </pic:pic>
              </a:graphicData>
            </a:graphic>
          </wp:inline>
        </w:drawing>
      </w:r>
      <w:r>
        <w:rPr>
          <w:rFonts w:ascii="Arial" w:hAnsi="Arial" w:cs="Arial"/>
          <w:noProof/>
        </w:rPr>
        <w:lastRenderedPageBreak/>
        <w:drawing>
          <wp:inline distT="0" distB="0" distL="0" distR="0" wp14:anchorId="156F129A" wp14:editId="3A15E17B">
            <wp:extent cx="5730875" cy="5840730"/>
            <wp:effectExtent l="0" t="0" r="3175"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5840730"/>
                    </a:xfrm>
                    <a:prstGeom prst="rect">
                      <a:avLst/>
                    </a:prstGeom>
                    <a:noFill/>
                  </pic:spPr>
                </pic:pic>
              </a:graphicData>
            </a:graphic>
          </wp:inline>
        </w:drawing>
      </w:r>
      <w:r>
        <w:rPr>
          <w:rFonts w:ascii="Arial" w:hAnsi="Arial" w:cs="Arial"/>
          <w:noProof/>
        </w:rPr>
        <w:lastRenderedPageBreak/>
        <w:drawing>
          <wp:inline distT="0" distB="0" distL="0" distR="0" wp14:anchorId="2424E401" wp14:editId="3ED3FDAC">
            <wp:extent cx="5730875" cy="5797550"/>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875" cy="5797550"/>
                    </a:xfrm>
                    <a:prstGeom prst="rect">
                      <a:avLst/>
                    </a:prstGeom>
                    <a:noFill/>
                  </pic:spPr>
                </pic:pic>
              </a:graphicData>
            </a:graphic>
          </wp:inline>
        </w:drawing>
      </w:r>
    </w:p>
    <w:p w14:paraId="04B7A03B" w14:textId="2D01BCD0" w:rsidR="00147956" w:rsidRDefault="009E30D3" w:rsidP="00AF5A9A">
      <w:pPr>
        <w:spacing w:before="240" w:line="360" w:lineRule="auto"/>
        <w:jc w:val="both"/>
        <w:rPr>
          <w:rFonts w:ascii="Arial" w:hAnsi="Arial" w:cs="Arial"/>
        </w:rPr>
      </w:pPr>
      <w:r>
        <w:rPr>
          <w:rFonts w:ascii="Arial" w:hAnsi="Arial" w:cs="Arial"/>
          <w:noProof/>
        </w:rPr>
        <w:lastRenderedPageBreak/>
        <w:drawing>
          <wp:inline distT="0" distB="0" distL="0" distR="0" wp14:anchorId="6C53370A" wp14:editId="02062AA9">
            <wp:extent cx="5730875" cy="6748780"/>
            <wp:effectExtent l="0" t="0" r="317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875" cy="6748780"/>
                    </a:xfrm>
                    <a:prstGeom prst="rect">
                      <a:avLst/>
                    </a:prstGeom>
                    <a:noFill/>
                  </pic:spPr>
                </pic:pic>
              </a:graphicData>
            </a:graphic>
          </wp:inline>
        </w:drawing>
      </w:r>
    </w:p>
    <w:p w14:paraId="36B53B39" w14:textId="01048C02" w:rsidR="00B957BC" w:rsidRPr="00AF5A9A" w:rsidRDefault="00B957BC" w:rsidP="00AF5A9A">
      <w:pPr>
        <w:spacing w:before="240" w:line="360" w:lineRule="auto"/>
        <w:jc w:val="both"/>
        <w:rPr>
          <w:rFonts w:ascii="Arial" w:hAnsi="Arial" w:cs="Arial"/>
        </w:rPr>
      </w:pPr>
      <w:r>
        <w:rPr>
          <w:noProof/>
        </w:rPr>
        <w:lastRenderedPageBreak/>
        <w:drawing>
          <wp:inline distT="0" distB="0" distL="0" distR="0" wp14:anchorId="6FC4990D" wp14:editId="5DA2EA91">
            <wp:extent cx="5731510" cy="670306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6703060"/>
                    </a:xfrm>
                    <a:prstGeom prst="rect">
                      <a:avLst/>
                    </a:prstGeom>
                    <a:noFill/>
                    <a:ln>
                      <a:noFill/>
                    </a:ln>
                  </pic:spPr>
                </pic:pic>
              </a:graphicData>
            </a:graphic>
          </wp:inline>
        </w:drawing>
      </w:r>
      <w:bookmarkStart w:id="19" w:name="_GoBack"/>
      <w:bookmarkEnd w:id="19"/>
    </w:p>
    <w:sectPr w:rsidR="00B957BC" w:rsidRPr="00AF5A9A" w:rsidSect="00AA2EF5">
      <w:headerReference w:type="default" r:id="rId49"/>
      <w:footerReference w:type="default" r:id="rId50"/>
      <w:headerReference w:type="first" r:id="rId51"/>
      <w:footerReference w:type="first" r:id="rId5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621435" w14:textId="77777777" w:rsidR="001D1170" w:rsidRDefault="001D1170" w:rsidP="0061628F">
      <w:pPr>
        <w:spacing w:after="0" w:line="240" w:lineRule="auto"/>
      </w:pPr>
      <w:r>
        <w:separator/>
      </w:r>
    </w:p>
  </w:endnote>
  <w:endnote w:type="continuationSeparator" w:id="0">
    <w:p w14:paraId="21267F21" w14:textId="77777777" w:rsidR="001D1170" w:rsidRDefault="001D1170" w:rsidP="00616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0957204"/>
      <w:docPartObj>
        <w:docPartGallery w:val="Page Numbers (Bottom of Page)"/>
        <w:docPartUnique/>
      </w:docPartObj>
    </w:sdtPr>
    <w:sdtEndPr>
      <w:rPr>
        <w:noProof/>
      </w:rPr>
    </w:sdtEndPr>
    <w:sdtContent>
      <w:p w14:paraId="1A2D8F18" w14:textId="3D35AC1D" w:rsidR="00AA2EF5" w:rsidRDefault="00AA2E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A9E1D6" w14:textId="3767AC58" w:rsidR="0061628F" w:rsidRDefault="006162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9666789"/>
      <w:docPartObj>
        <w:docPartGallery w:val="Page Numbers (Bottom of Page)"/>
        <w:docPartUnique/>
      </w:docPartObj>
    </w:sdtPr>
    <w:sdtEndPr>
      <w:rPr>
        <w:noProof/>
      </w:rPr>
    </w:sdtEndPr>
    <w:sdtContent>
      <w:p w14:paraId="0CC55295" w14:textId="18B02879" w:rsidR="00AA2EF5" w:rsidRDefault="001D1170">
        <w:pPr>
          <w:pStyle w:val="Footer"/>
          <w:jc w:val="right"/>
        </w:pPr>
      </w:p>
    </w:sdtContent>
  </w:sdt>
  <w:p w14:paraId="55ACFD41" w14:textId="77777777" w:rsidR="00AA2EF5" w:rsidRDefault="00AA2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340BE7" w14:textId="77777777" w:rsidR="001D1170" w:rsidRDefault="001D1170" w:rsidP="0061628F">
      <w:pPr>
        <w:spacing w:after="0" w:line="240" w:lineRule="auto"/>
      </w:pPr>
      <w:r>
        <w:separator/>
      </w:r>
    </w:p>
  </w:footnote>
  <w:footnote w:type="continuationSeparator" w:id="0">
    <w:p w14:paraId="5B8F47D6" w14:textId="77777777" w:rsidR="001D1170" w:rsidRDefault="001D1170" w:rsidP="006162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7AD74" w14:textId="493379DB" w:rsidR="009A1290" w:rsidRDefault="009A1290">
    <w:pPr>
      <w:pStyle w:val="Header"/>
    </w:pPr>
    <w:r>
      <w:ptab w:relativeTo="margin" w:alignment="center" w:leader="none"/>
    </w:r>
    <w:r>
      <w:rPr>
        <w:noProof/>
      </w:rPr>
      <w:drawing>
        <wp:inline distT="0" distB="0" distL="0" distR="0" wp14:anchorId="228A93D3" wp14:editId="09871DA1">
          <wp:extent cx="449272" cy="429260"/>
          <wp:effectExtent l="0" t="0" r="8255"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83961" cy="462404"/>
                  </a:xfrm>
                  <a:prstGeom prst="rect">
                    <a:avLst/>
                  </a:prstGeom>
                  <a:noFill/>
                </pic:spPr>
              </pic:pic>
            </a:graphicData>
          </a:graphic>
        </wp:inline>
      </w:drawing>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6810F" w14:textId="15BB0D2C" w:rsidR="009A1290" w:rsidRDefault="009A1290">
    <w:pPr>
      <w:pStyle w:val="Header"/>
    </w:pPr>
  </w:p>
  <w:p w14:paraId="042E72CB" w14:textId="77777777" w:rsidR="009A1290" w:rsidRDefault="009A12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84AB3"/>
    <w:multiLevelType w:val="hybridMultilevel"/>
    <w:tmpl w:val="E0164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51A4D"/>
    <w:multiLevelType w:val="hybridMultilevel"/>
    <w:tmpl w:val="D8E6849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FF1319"/>
    <w:multiLevelType w:val="hybridMultilevel"/>
    <w:tmpl w:val="1C7E7CD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2C4A40"/>
    <w:multiLevelType w:val="hybridMultilevel"/>
    <w:tmpl w:val="7A52155C"/>
    <w:lvl w:ilvl="0" w:tplc="257ED5D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A76C0A"/>
    <w:multiLevelType w:val="hybridMultilevel"/>
    <w:tmpl w:val="DF4850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1715F4"/>
    <w:multiLevelType w:val="hybridMultilevel"/>
    <w:tmpl w:val="B3788B5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653204"/>
    <w:multiLevelType w:val="hybridMultilevel"/>
    <w:tmpl w:val="9984E624"/>
    <w:lvl w:ilvl="0" w:tplc="34E0D58A">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7A4427"/>
    <w:multiLevelType w:val="hybridMultilevel"/>
    <w:tmpl w:val="F098B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607D5"/>
    <w:multiLevelType w:val="hybridMultilevel"/>
    <w:tmpl w:val="8534A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364255"/>
    <w:multiLevelType w:val="hybridMultilevel"/>
    <w:tmpl w:val="51C084A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47308"/>
    <w:multiLevelType w:val="hybridMultilevel"/>
    <w:tmpl w:val="C9660C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E668D3"/>
    <w:multiLevelType w:val="hybridMultilevel"/>
    <w:tmpl w:val="FC70D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390B7C"/>
    <w:multiLevelType w:val="hybridMultilevel"/>
    <w:tmpl w:val="CB1C8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067DAD"/>
    <w:multiLevelType w:val="hybridMultilevel"/>
    <w:tmpl w:val="F7A4FF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1318D7"/>
    <w:multiLevelType w:val="hybridMultilevel"/>
    <w:tmpl w:val="C1B00E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F35BE"/>
    <w:multiLevelType w:val="hybridMultilevel"/>
    <w:tmpl w:val="EA068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091CE1"/>
    <w:multiLevelType w:val="hybridMultilevel"/>
    <w:tmpl w:val="A52C2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AE6939"/>
    <w:multiLevelType w:val="hybridMultilevel"/>
    <w:tmpl w:val="DD083F36"/>
    <w:lvl w:ilvl="0" w:tplc="74E4CD0E">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B70C19"/>
    <w:multiLevelType w:val="hybridMultilevel"/>
    <w:tmpl w:val="795669D6"/>
    <w:lvl w:ilvl="0" w:tplc="E5BAD290">
      <w:start w:val="1"/>
      <w:numFmt w:val="decimal"/>
      <w:lvlText w:val="%1."/>
      <w:lvlJc w:val="left"/>
      <w:pPr>
        <w:ind w:left="720" w:hanging="360"/>
      </w:pPr>
      <w:rPr>
        <w:rFonts w:asciiTheme="minorHAnsi" w:hAnsiTheme="minorHAnsi" w:cstheme="minorHAns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657245"/>
    <w:multiLevelType w:val="hybridMultilevel"/>
    <w:tmpl w:val="78A24716"/>
    <w:lvl w:ilvl="0" w:tplc="4308F82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0"/>
  </w:num>
  <w:num w:numId="3">
    <w:abstractNumId w:val="14"/>
  </w:num>
  <w:num w:numId="4">
    <w:abstractNumId w:val="4"/>
  </w:num>
  <w:num w:numId="5">
    <w:abstractNumId w:val="19"/>
  </w:num>
  <w:num w:numId="6">
    <w:abstractNumId w:val="12"/>
  </w:num>
  <w:num w:numId="7">
    <w:abstractNumId w:val="0"/>
  </w:num>
  <w:num w:numId="8">
    <w:abstractNumId w:val="16"/>
  </w:num>
  <w:num w:numId="9">
    <w:abstractNumId w:val="6"/>
  </w:num>
  <w:num w:numId="10">
    <w:abstractNumId w:val="11"/>
  </w:num>
  <w:num w:numId="11">
    <w:abstractNumId w:val="17"/>
  </w:num>
  <w:num w:numId="12">
    <w:abstractNumId w:val="18"/>
  </w:num>
  <w:num w:numId="13">
    <w:abstractNumId w:val="9"/>
  </w:num>
  <w:num w:numId="14">
    <w:abstractNumId w:val="8"/>
  </w:num>
  <w:num w:numId="15">
    <w:abstractNumId w:val="7"/>
  </w:num>
  <w:num w:numId="16">
    <w:abstractNumId w:val="3"/>
  </w:num>
  <w:num w:numId="17">
    <w:abstractNumId w:val="5"/>
  </w:num>
  <w:num w:numId="18">
    <w:abstractNumId w:val="2"/>
  </w:num>
  <w:num w:numId="19">
    <w:abstractNumId w:val="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068"/>
    <w:rsid w:val="0000280A"/>
    <w:rsid w:val="00047633"/>
    <w:rsid w:val="00054777"/>
    <w:rsid w:val="00056414"/>
    <w:rsid w:val="0006543B"/>
    <w:rsid w:val="0007395E"/>
    <w:rsid w:val="00077322"/>
    <w:rsid w:val="00090A63"/>
    <w:rsid w:val="00095AE6"/>
    <w:rsid w:val="000A77DA"/>
    <w:rsid w:val="000C7A7F"/>
    <w:rsid w:val="000F374B"/>
    <w:rsid w:val="000F3E71"/>
    <w:rsid w:val="00104497"/>
    <w:rsid w:val="00106604"/>
    <w:rsid w:val="0010686C"/>
    <w:rsid w:val="00115AFB"/>
    <w:rsid w:val="00141C9D"/>
    <w:rsid w:val="00145A20"/>
    <w:rsid w:val="00145BAE"/>
    <w:rsid w:val="00147956"/>
    <w:rsid w:val="00164375"/>
    <w:rsid w:val="00171ACE"/>
    <w:rsid w:val="00173B9B"/>
    <w:rsid w:val="001752C6"/>
    <w:rsid w:val="00192576"/>
    <w:rsid w:val="00197A66"/>
    <w:rsid w:val="001B7A1F"/>
    <w:rsid w:val="001D1170"/>
    <w:rsid w:val="001E5614"/>
    <w:rsid w:val="001E65CE"/>
    <w:rsid w:val="00205327"/>
    <w:rsid w:val="00230BBA"/>
    <w:rsid w:val="00250D4D"/>
    <w:rsid w:val="00255954"/>
    <w:rsid w:val="00262D17"/>
    <w:rsid w:val="002664B5"/>
    <w:rsid w:val="00276DB6"/>
    <w:rsid w:val="00284781"/>
    <w:rsid w:val="00291A3F"/>
    <w:rsid w:val="00296DDF"/>
    <w:rsid w:val="00297AEE"/>
    <w:rsid w:val="002A1C08"/>
    <w:rsid w:val="002B2BCE"/>
    <w:rsid w:val="002B460C"/>
    <w:rsid w:val="002E301E"/>
    <w:rsid w:val="002F02FC"/>
    <w:rsid w:val="0030240F"/>
    <w:rsid w:val="00317440"/>
    <w:rsid w:val="00331597"/>
    <w:rsid w:val="00336F0E"/>
    <w:rsid w:val="0033783E"/>
    <w:rsid w:val="00347BC4"/>
    <w:rsid w:val="0036684C"/>
    <w:rsid w:val="00375B0B"/>
    <w:rsid w:val="003952E2"/>
    <w:rsid w:val="003A4571"/>
    <w:rsid w:val="003C053A"/>
    <w:rsid w:val="003C22DA"/>
    <w:rsid w:val="003E57E8"/>
    <w:rsid w:val="003F6D88"/>
    <w:rsid w:val="003F7E6F"/>
    <w:rsid w:val="00401183"/>
    <w:rsid w:val="00404138"/>
    <w:rsid w:val="00411085"/>
    <w:rsid w:val="00422160"/>
    <w:rsid w:val="004517A9"/>
    <w:rsid w:val="004740F1"/>
    <w:rsid w:val="004A0224"/>
    <w:rsid w:val="004A4130"/>
    <w:rsid w:val="004A7E2F"/>
    <w:rsid w:val="004D52F2"/>
    <w:rsid w:val="004E0AA7"/>
    <w:rsid w:val="004E2919"/>
    <w:rsid w:val="004F5027"/>
    <w:rsid w:val="005116D1"/>
    <w:rsid w:val="00544A21"/>
    <w:rsid w:val="00560DBF"/>
    <w:rsid w:val="00574ED9"/>
    <w:rsid w:val="00590A00"/>
    <w:rsid w:val="005B6C72"/>
    <w:rsid w:val="005C2048"/>
    <w:rsid w:val="005D2B1D"/>
    <w:rsid w:val="005D389A"/>
    <w:rsid w:val="005D7D70"/>
    <w:rsid w:val="005E3CE5"/>
    <w:rsid w:val="005F4DC6"/>
    <w:rsid w:val="00613006"/>
    <w:rsid w:val="0061628F"/>
    <w:rsid w:val="006248F9"/>
    <w:rsid w:val="006267F2"/>
    <w:rsid w:val="00634500"/>
    <w:rsid w:val="00640068"/>
    <w:rsid w:val="00653F00"/>
    <w:rsid w:val="00656EC0"/>
    <w:rsid w:val="00671400"/>
    <w:rsid w:val="00685969"/>
    <w:rsid w:val="00695454"/>
    <w:rsid w:val="006A065C"/>
    <w:rsid w:val="00731C98"/>
    <w:rsid w:val="00752482"/>
    <w:rsid w:val="00753FFB"/>
    <w:rsid w:val="00766359"/>
    <w:rsid w:val="0078441B"/>
    <w:rsid w:val="007A2FE1"/>
    <w:rsid w:val="007B6CB4"/>
    <w:rsid w:val="007F65C2"/>
    <w:rsid w:val="00811F2C"/>
    <w:rsid w:val="00814BEF"/>
    <w:rsid w:val="00820759"/>
    <w:rsid w:val="00821A76"/>
    <w:rsid w:val="00840E09"/>
    <w:rsid w:val="0086091A"/>
    <w:rsid w:val="00894285"/>
    <w:rsid w:val="00894C6B"/>
    <w:rsid w:val="008A62B6"/>
    <w:rsid w:val="008B65E3"/>
    <w:rsid w:val="008D4D1D"/>
    <w:rsid w:val="008E3D6B"/>
    <w:rsid w:val="009375AA"/>
    <w:rsid w:val="00956F17"/>
    <w:rsid w:val="00961B99"/>
    <w:rsid w:val="009626AA"/>
    <w:rsid w:val="0099233B"/>
    <w:rsid w:val="009A1290"/>
    <w:rsid w:val="009A2CD6"/>
    <w:rsid w:val="009D5FB3"/>
    <w:rsid w:val="009D70BC"/>
    <w:rsid w:val="009E30D3"/>
    <w:rsid w:val="00A13DAD"/>
    <w:rsid w:val="00A141B3"/>
    <w:rsid w:val="00A62DCA"/>
    <w:rsid w:val="00A65E9C"/>
    <w:rsid w:val="00A949BB"/>
    <w:rsid w:val="00A97268"/>
    <w:rsid w:val="00AA2EF5"/>
    <w:rsid w:val="00AC4736"/>
    <w:rsid w:val="00AD4A92"/>
    <w:rsid w:val="00AF5A9A"/>
    <w:rsid w:val="00B30ED8"/>
    <w:rsid w:val="00B32FCA"/>
    <w:rsid w:val="00B472B4"/>
    <w:rsid w:val="00B5565D"/>
    <w:rsid w:val="00B74C8F"/>
    <w:rsid w:val="00B90573"/>
    <w:rsid w:val="00B957BC"/>
    <w:rsid w:val="00B96F72"/>
    <w:rsid w:val="00BA68AA"/>
    <w:rsid w:val="00BF70A6"/>
    <w:rsid w:val="00C21A13"/>
    <w:rsid w:val="00C33559"/>
    <w:rsid w:val="00C422F2"/>
    <w:rsid w:val="00C8093D"/>
    <w:rsid w:val="00C92E8E"/>
    <w:rsid w:val="00CD564B"/>
    <w:rsid w:val="00CD5E28"/>
    <w:rsid w:val="00CF476E"/>
    <w:rsid w:val="00CF6FA1"/>
    <w:rsid w:val="00D020BF"/>
    <w:rsid w:val="00D0356F"/>
    <w:rsid w:val="00D12874"/>
    <w:rsid w:val="00D2481B"/>
    <w:rsid w:val="00D31C67"/>
    <w:rsid w:val="00D34833"/>
    <w:rsid w:val="00D6065D"/>
    <w:rsid w:val="00D62E77"/>
    <w:rsid w:val="00D70272"/>
    <w:rsid w:val="00D727B6"/>
    <w:rsid w:val="00D73566"/>
    <w:rsid w:val="00DC178D"/>
    <w:rsid w:val="00DC298C"/>
    <w:rsid w:val="00DC53C7"/>
    <w:rsid w:val="00DD2489"/>
    <w:rsid w:val="00E16462"/>
    <w:rsid w:val="00E4088F"/>
    <w:rsid w:val="00E42549"/>
    <w:rsid w:val="00E5432F"/>
    <w:rsid w:val="00E60C4B"/>
    <w:rsid w:val="00E96A5E"/>
    <w:rsid w:val="00EA6A58"/>
    <w:rsid w:val="00EC5E53"/>
    <w:rsid w:val="00ED2D79"/>
    <w:rsid w:val="00EE2514"/>
    <w:rsid w:val="00EF6808"/>
    <w:rsid w:val="00F002FD"/>
    <w:rsid w:val="00F0203B"/>
    <w:rsid w:val="00F0482F"/>
    <w:rsid w:val="00F220A8"/>
    <w:rsid w:val="00F30B2F"/>
    <w:rsid w:val="00F372AD"/>
    <w:rsid w:val="00F44655"/>
    <w:rsid w:val="00F67AE2"/>
    <w:rsid w:val="00F86F27"/>
    <w:rsid w:val="00FE588F"/>
    <w:rsid w:val="00FE69F8"/>
    <w:rsid w:val="00FE7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67CF50"/>
  <w15:chartTrackingRefBased/>
  <w15:docId w15:val="{E9929828-FAFD-4885-AB5B-3B222DB2B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A58"/>
    <w:pPr>
      <w:ind w:left="720"/>
      <w:contextualSpacing/>
    </w:pPr>
  </w:style>
  <w:style w:type="character" w:styleId="Hyperlink">
    <w:name w:val="Hyperlink"/>
    <w:basedOn w:val="DefaultParagraphFont"/>
    <w:uiPriority w:val="99"/>
    <w:unhideWhenUsed/>
    <w:rsid w:val="00147956"/>
    <w:rPr>
      <w:color w:val="0563C1" w:themeColor="hyperlink"/>
      <w:u w:val="single"/>
    </w:rPr>
  </w:style>
  <w:style w:type="character" w:styleId="UnresolvedMention">
    <w:name w:val="Unresolved Mention"/>
    <w:basedOn w:val="DefaultParagraphFont"/>
    <w:uiPriority w:val="99"/>
    <w:semiHidden/>
    <w:unhideWhenUsed/>
    <w:rsid w:val="00147956"/>
    <w:rPr>
      <w:color w:val="605E5C"/>
      <w:shd w:val="clear" w:color="auto" w:fill="E1DFDD"/>
    </w:rPr>
  </w:style>
  <w:style w:type="character" w:styleId="PlaceholderText">
    <w:name w:val="Placeholder Text"/>
    <w:basedOn w:val="DefaultParagraphFont"/>
    <w:uiPriority w:val="99"/>
    <w:semiHidden/>
    <w:rsid w:val="00544A21"/>
    <w:rPr>
      <w:color w:val="808080"/>
    </w:rPr>
  </w:style>
  <w:style w:type="table" w:styleId="TableGrid">
    <w:name w:val="Table Grid"/>
    <w:basedOn w:val="TableNormal"/>
    <w:uiPriority w:val="39"/>
    <w:rsid w:val="00E5432F"/>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6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28F"/>
  </w:style>
  <w:style w:type="paragraph" w:styleId="Footer">
    <w:name w:val="footer"/>
    <w:basedOn w:val="Normal"/>
    <w:link w:val="FooterChar"/>
    <w:uiPriority w:val="99"/>
    <w:unhideWhenUsed/>
    <w:rsid w:val="00616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603608">
      <w:bodyDiv w:val="1"/>
      <w:marLeft w:val="0"/>
      <w:marRight w:val="0"/>
      <w:marTop w:val="0"/>
      <w:marBottom w:val="0"/>
      <w:divBdr>
        <w:top w:val="none" w:sz="0" w:space="0" w:color="auto"/>
        <w:left w:val="none" w:sz="0" w:space="0" w:color="auto"/>
        <w:bottom w:val="none" w:sz="0" w:space="0" w:color="auto"/>
        <w:right w:val="none" w:sz="0" w:space="0" w:color="auto"/>
      </w:divBdr>
    </w:div>
    <w:div w:id="113332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drian\Desktop\Airbnb.docx" TargetMode="External"/><Relationship Id="rId18" Type="http://schemas.openxmlformats.org/officeDocument/2006/relationships/image" Target="media/image6.png"/><Relationship Id="rId26" Type="http://schemas.openxmlformats.org/officeDocument/2006/relationships/hyperlink" Target="https://www.nestle.com/aboutus/history/nestle-company-history" TargetMode="External"/><Relationship Id="rId39" Type="http://schemas.openxmlformats.org/officeDocument/2006/relationships/image" Target="media/image23.png"/><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hyperlink" Target="file:///C:\Users\Adrian\Desktop\Airbnb.docx" TargetMode="External"/><Relationship Id="rId17" Type="http://schemas.openxmlformats.org/officeDocument/2006/relationships/image" Target="media/image5.png"/><Relationship Id="rId25" Type="http://schemas.openxmlformats.org/officeDocument/2006/relationships/hyperlink" Target="https://www.bbc.co.uk/news/business-35604252" TargetMode="External"/><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3.png"/><Relationship Id="rId41" Type="http://schemas.openxmlformats.org/officeDocument/2006/relationships/image" Target="media/image25.pn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drian\Desktop\Airbnb.docx" TargetMode="External"/><Relationship Id="rId24" Type="http://schemas.openxmlformats.org/officeDocument/2006/relationships/image" Target="media/image12.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www.nestle.co.uk/en-gb/media/newsfeatures/nestle-150-years-timeline" TargetMode="External"/><Relationship Id="rId36" Type="http://schemas.openxmlformats.org/officeDocument/2006/relationships/image" Target="media/image20.png"/><Relationship Id="rId49" Type="http://schemas.openxmlformats.org/officeDocument/2006/relationships/header" Target="header1.xml"/><Relationship Id="rId10" Type="http://schemas.openxmlformats.org/officeDocument/2006/relationships/hyperlink" Target="file:///C:\Users\Adrian\Desktop\Airbnb.docx" TargetMode="External"/><Relationship Id="rId19" Type="http://schemas.openxmlformats.org/officeDocument/2006/relationships/image" Target="media/image7.png"/><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file:///C:\Users\Adrian\Desktop\Airbnb.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www.macrotrends.net/stocks/charts/NSRGY/nestle-sa/current-ratio" TargetMode="External"/><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8" Type="http://schemas.openxmlformats.org/officeDocument/2006/relationships/hyperlink" Target="file:///C:\Users\Adrian\Desktop\Airbnb.docx" TargetMode="External"/><Relationship Id="rId51"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11997</TotalTime>
  <Pages>37</Pages>
  <Words>5110</Words>
  <Characters>29130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73</cp:revision>
  <dcterms:created xsi:type="dcterms:W3CDTF">2020-01-05T17:00:00Z</dcterms:created>
  <dcterms:modified xsi:type="dcterms:W3CDTF">2020-01-17T02:19:00Z</dcterms:modified>
</cp:coreProperties>
</file>