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C0E50" w:rsidRPr="00AC0E50" w:rsidRDefault="00AC0E50" w:rsidP="00D842BF">
      <w:pPr>
        <w:pStyle w:val="Heading1"/>
      </w:pPr>
      <w:r w:rsidRPr="00AC0E50">
        <w:t xml:space="preserve">Activity 2 – CIPD HRPM </w:t>
      </w:r>
      <w:r w:rsidR="00C1668F">
        <w:t>Professional Areas Report</w:t>
      </w:r>
    </w:p>
    <w:p w:rsidR="00FF0FFC" w:rsidRPr="00D842BF" w:rsidRDefault="00FF0FFC" w:rsidP="00D842BF">
      <w:pPr>
        <w:pStyle w:val="Quote"/>
        <w:numPr>
          <w:ilvl w:val="0"/>
          <w:numId w:val="1"/>
        </w:numPr>
        <w:jc w:val="left"/>
        <w:rPr>
          <w:rStyle w:val="IntenseReference"/>
        </w:rPr>
      </w:pPr>
      <w:r w:rsidRPr="00D842BF">
        <w:rPr>
          <w:rStyle w:val="IntenseReference"/>
        </w:rPr>
        <w:t>Executive Summary</w:t>
      </w:r>
    </w:p>
    <w:p w:rsidR="00D842BF" w:rsidRDefault="00B33AE7" w:rsidP="00D842BF">
      <w:r>
        <w:t>This report foc</w:t>
      </w:r>
      <w:r w:rsidR="00EC222D">
        <w:t>uses on the</w:t>
      </w:r>
      <w:r w:rsidR="00C1668F">
        <w:t xml:space="preserve"> HR Profession</w:t>
      </w:r>
      <w:r w:rsidR="00EC222D">
        <w:t xml:space="preserve"> Map created by </w:t>
      </w:r>
      <w:r w:rsidR="00EC222D" w:rsidRPr="00EC222D">
        <w:t>Chartered Institute of Personnel and Development</w:t>
      </w:r>
      <w:r w:rsidR="00EC222D">
        <w:t xml:space="preserve"> (CIPD) in </w:t>
      </w:r>
      <w:r>
        <w:t>2013, as well as looking at the latest edition from 2019. Essential areas and behaviours are considered with attention paid to why these are important for effective HR professionals. The definition of ‘being professional’ and ‘being a professional’ is als</w:t>
      </w:r>
      <w:r w:rsidR="00C1668F">
        <w:t>o considered in relation to the Profession</w:t>
      </w:r>
      <w:r>
        <w:t xml:space="preserve"> Map. The key findings of the report are summarised </w:t>
      </w:r>
      <w:r w:rsidR="00C1668F">
        <w:t>and recommendations suggest that the map has both current and future credibility</w:t>
      </w:r>
      <w:r>
        <w:t xml:space="preserve">. </w:t>
      </w:r>
    </w:p>
    <w:p w:rsidR="00FF0FFC" w:rsidRPr="00D842BF" w:rsidRDefault="00FF0FFC" w:rsidP="00FF0FFC">
      <w:pPr>
        <w:pStyle w:val="ListParagraph"/>
        <w:numPr>
          <w:ilvl w:val="0"/>
          <w:numId w:val="1"/>
        </w:numPr>
        <w:rPr>
          <w:rStyle w:val="IntenseReference"/>
          <w:i/>
        </w:rPr>
      </w:pPr>
      <w:r w:rsidRPr="00D842BF">
        <w:rPr>
          <w:rStyle w:val="IntenseReference"/>
          <w:i/>
        </w:rPr>
        <w:t>Introduction</w:t>
      </w:r>
    </w:p>
    <w:p w:rsidR="00FF0FFC" w:rsidRDefault="00052FCA" w:rsidP="00FF0FFC">
      <w:r>
        <w:t>This report will examine the CIPD HR Professional Map, including the essential areas and progressive bands. In order to achieve this, both the 2013 and newly developed 2019 versions of the Professional Map will be discussed. Within this, the behaviours will also be outlined with three key areas being focused on in greater detail. What it mean to be a professional will also be considered through the use of seminal texts and core sources within the literature. Throughout the report numerous credible sources, including books and peer-reviewed journal articles, will be evidenced. An overarching focus on how the professional map defines the HR profession and why the behaviours are essential to being an effective HR professional will be maintained during each section of the report.</w:t>
      </w:r>
    </w:p>
    <w:p w:rsidR="00D842BF" w:rsidRPr="00D842BF" w:rsidRDefault="00052FCA" w:rsidP="00D842BF">
      <w:pPr>
        <w:pStyle w:val="ListParagraph"/>
        <w:numPr>
          <w:ilvl w:val="0"/>
          <w:numId w:val="1"/>
        </w:numPr>
        <w:rPr>
          <w:rStyle w:val="IntenseReference"/>
          <w:i/>
        </w:rPr>
      </w:pPr>
      <w:r w:rsidRPr="00D842BF">
        <w:rPr>
          <w:rStyle w:val="IntenseReference"/>
          <w:i/>
        </w:rPr>
        <w:t>Main Body</w:t>
      </w:r>
    </w:p>
    <w:p w:rsidR="00411077" w:rsidRPr="00D842BF" w:rsidRDefault="00411077" w:rsidP="00411077">
      <w:pPr>
        <w:pStyle w:val="ListParagraph"/>
        <w:numPr>
          <w:ilvl w:val="1"/>
          <w:numId w:val="1"/>
        </w:numPr>
        <w:rPr>
          <w:i/>
          <w:color w:val="5B9BD5" w:themeColor="accent1"/>
        </w:rPr>
      </w:pPr>
      <w:r w:rsidRPr="00D842BF">
        <w:rPr>
          <w:i/>
          <w:color w:val="5B9BD5" w:themeColor="accent1"/>
        </w:rPr>
        <w:t>CIPD HR Professional Map Outline</w:t>
      </w:r>
    </w:p>
    <w:p w:rsidR="00052FCA" w:rsidRDefault="00052FCA" w:rsidP="00411077">
      <w:r>
        <w:t xml:space="preserve">In 2013, the first version of the CIPD HR Professional Map </w:t>
      </w:r>
      <w:r w:rsidR="00473B0F">
        <w:t xml:space="preserve">(below) was released with the aim of demonstrating the key behaviours that HR professionals need to be effective within the field. </w:t>
      </w:r>
    </w:p>
    <w:p w:rsidR="00F61503" w:rsidRDefault="00F61503" w:rsidP="00052FCA">
      <w:r>
        <w:rPr>
          <w:noProof/>
          <w:lang w:eastAsia="en-GB"/>
        </w:rPr>
        <w:drawing>
          <wp:inline distT="0" distB="0" distL="0" distR="0" wp14:anchorId="1AFF161F" wp14:editId="05FB2F5D">
            <wp:extent cx="5505450" cy="294640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srcRect r="3944" b="8607"/>
                    <a:stretch/>
                  </pic:blipFill>
                  <pic:spPr bwMode="auto">
                    <a:xfrm>
                      <a:off x="0" y="0"/>
                      <a:ext cx="5505450" cy="2946400"/>
                    </a:xfrm>
                    <a:prstGeom prst="rect">
                      <a:avLst/>
                    </a:prstGeom>
                    <a:ln>
                      <a:noFill/>
                    </a:ln>
                    <a:extLst>
                      <a:ext uri="{53640926-AAD7-44D8-BBD7-CCE9431645EC}">
                        <a14:shadowObscured xmlns:a14="http://schemas.microsoft.com/office/drawing/2010/main"/>
                      </a:ext>
                    </a:extLst>
                  </pic:spPr>
                </pic:pic>
              </a:graphicData>
            </a:graphic>
          </wp:inline>
        </w:drawing>
      </w:r>
    </w:p>
    <w:p w:rsidR="00F61503" w:rsidRDefault="004E1D38" w:rsidP="00F61503">
      <w:pPr>
        <w:jc w:val="center"/>
        <w:rPr>
          <w:b/>
          <w:i/>
        </w:rPr>
      </w:pPr>
      <w:r>
        <w:rPr>
          <w:b/>
          <w:i/>
        </w:rPr>
        <w:t>Figure 1</w:t>
      </w:r>
      <w:r w:rsidR="00F61503" w:rsidRPr="00F61503">
        <w:rPr>
          <w:b/>
          <w:i/>
        </w:rPr>
        <w:t>: ‘HR Professional Map’ (CIPD, 2013)</w:t>
      </w:r>
    </w:p>
    <w:p w:rsidR="00473B0F" w:rsidRPr="00F61503" w:rsidRDefault="00473B0F" w:rsidP="00F61503">
      <w:pPr>
        <w:rPr>
          <w:b/>
          <w:i/>
        </w:rPr>
      </w:pPr>
      <w:r>
        <w:lastRenderedPageBreak/>
        <w:t xml:space="preserve">Within the map, four bands are provided where individuals should be making progress further into their HR career. </w:t>
      </w:r>
      <w:r w:rsidR="00C1668F">
        <w:t>P</w:t>
      </w:r>
      <w:r>
        <w:t xml:space="preserve">rofessionals in Band 1 will be new to the profession and seeking attainment of new skills. However, Band 4 </w:t>
      </w:r>
      <w:r w:rsidR="00411077">
        <w:t>suggests that an individual should be a leader within their organisation.</w:t>
      </w:r>
    </w:p>
    <w:p w:rsidR="00F61503" w:rsidRDefault="00F61503" w:rsidP="00052FCA">
      <w:r>
        <w:rPr>
          <w:noProof/>
          <w:lang w:eastAsia="en-GB"/>
        </w:rPr>
        <w:drawing>
          <wp:inline distT="0" distB="0" distL="0" distR="0" wp14:anchorId="50ABF57D" wp14:editId="38BFA9E0">
            <wp:extent cx="5549900" cy="27813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r="3168" b="13729"/>
                    <a:stretch/>
                  </pic:blipFill>
                  <pic:spPr bwMode="auto">
                    <a:xfrm>
                      <a:off x="0" y="0"/>
                      <a:ext cx="5549900" cy="2781300"/>
                    </a:xfrm>
                    <a:prstGeom prst="rect">
                      <a:avLst/>
                    </a:prstGeom>
                    <a:ln>
                      <a:noFill/>
                    </a:ln>
                    <a:extLst>
                      <a:ext uri="{53640926-AAD7-44D8-BBD7-CCE9431645EC}">
                        <a14:shadowObscured xmlns:a14="http://schemas.microsoft.com/office/drawing/2010/main"/>
                      </a:ext>
                    </a:extLst>
                  </pic:spPr>
                </pic:pic>
              </a:graphicData>
            </a:graphic>
          </wp:inline>
        </w:drawing>
      </w:r>
    </w:p>
    <w:p w:rsidR="00F61503" w:rsidRPr="00F61503" w:rsidRDefault="004E1D38" w:rsidP="00F61503">
      <w:pPr>
        <w:jc w:val="center"/>
        <w:rPr>
          <w:b/>
          <w:i/>
        </w:rPr>
      </w:pPr>
      <w:r>
        <w:rPr>
          <w:b/>
          <w:i/>
        </w:rPr>
        <w:t>Figure 2</w:t>
      </w:r>
      <w:bookmarkStart w:id="0" w:name="_GoBack"/>
      <w:bookmarkEnd w:id="0"/>
      <w:r w:rsidR="00F61503" w:rsidRPr="00F61503">
        <w:rPr>
          <w:b/>
          <w:i/>
        </w:rPr>
        <w:t>: ‘HR Professional Map’ (CIPD, 2019)</w:t>
      </w:r>
    </w:p>
    <w:p w:rsidR="00411077" w:rsidRDefault="00411077" w:rsidP="00052FCA">
      <w:r>
        <w:t>The 2019 version of the professional map (above) provides a wider range of essential</w:t>
      </w:r>
      <w:r w:rsidR="00F61503">
        <w:t xml:space="preserve"> </w:t>
      </w:r>
      <w:r>
        <w:t xml:space="preserve">areas for HR professionals. This includes overarching sections ‘Core Knowledge’ and ‘Core Behaviours’ that remain almost the same as the 2013 map. However, a new area labelled ‘Specialist Knowledge’ has been added to the map’s diagram. This area suggests that HR professionals will develop different </w:t>
      </w:r>
      <w:r w:rsidR="00C1668F">
        <w:t xml:space="preserve">knowledge </w:t>
      </w:r>
      <w:r>
        <w:t xml:space="preserve">during their career. </w:t>
      </w:r>
      <w:r w:rsidR="007304BA">
        <w:t>The new map has been described as detail</w:t>
      </w:r>
      <w:r w:rsidR="00C1668F">
        <w:t>ed</w:t>
      </w:r>
      <w:r w:rsidR="007304BA">
        <w:t xml:space="preserve"> and includes scope for consistent updating as the profession evolves (Adams, 2018). This provides a stronger reliability and longevity to the maps’ contents. </w:t>
      </w:r>
    </w:p>
    <w:p w:rsidR="00411077" w:rsidRPr="00D842BF" w:rsidRDefault="00411077" w:rsidP="00411077">
      <w:pPr>
        <w:pStyle w:val="ListParagraph"/>
        <w:numPr>
          <w:ilvl w:val="1"/>
          <w:numId w:val="1"/>
        </w:numPr>
        <w:rPr>
          <w:i/>
          <w:color w:val="5B9BD5" w:themeColor="accent1"/>
        </w:rPr>
      </w:pPr>
      <w:r w:rsidRPr="00D842BF">
        <w:rPr>
          <w:i/>
          <w:color w:val="5B9BD5" w:themeColor="accent1"/>
        </w:rPr>
        <w:t>Essential Behaviours and Areas</w:t>
      </w:r>
    </w:p>
    <w:p w:rsidR="00411077" w:rsidRDefault="00856FE7" w:rsidP="00411077">
      <w:r>
        <w:t xml:space="preserve">One of the key elements of the professional map </w:t>
      </w:r>
      <w:r w:rsidR="00C1668F">
        <w:t xml:space="preserve">is </w:t>
      </w:r>
      <w:r>
        <w:t xml:space="preserve">the key areas and behaviours that HR professionals should demonstrate within their roles and responsibilities. The key areas of the map consist of: organisation design, organisation development, resourcing and talent planning, learning and development, performance and reward, employee engagement, employee relations, service delivery and information. ‘Learning and Development’ is defined as an individual’s ability to build knowledge within the organisation in order meet current and future requirements. ‘Employee Engagement’ focuses on the work that </w:t>
      </w:r>
      <w:r w:rsidR="00C1668F">
        <w:t>put</w:t>
      </w:r>
      <w:r>
        <w:t xml:space="preserve"> into ensuring that all employees are driven and motivated to be successful. This is usually developed through an increased feeling of connection and engagement in relation to their work. </w:t>
      </w:r>
      <w:r w:rsidR="007304BA">
        <w:t>Initially, the format of the profession map was questioned by some sources, sugg</w:t>
      </w:r>
      <w:r w:rsidR="00C1668F">
        <w:t xml:space="preserve">esting that it would rapidly become dated </w:t>
      </w:r>
      <w:r w:rsidR="007304BA">
        <w:t>(Logan, 2009). However, with the profession map being fit for purpose until its’ 2019 update, it clearly remained up-to-date with the HR profession.</w:t>
      </w:r>
    </w:p>
    <w:p w:rsidR="00856FE7" w:rsidRDefault="00856FE7" w:rsidP="00411077">
      <w:r>
        <w:t xml:space="preserve">The essential behaviours of the professional map include: decisive thinker, skilled influencer, personally credible, collaborative, driven to deliver, courage to challenge, role model and curious. ‘Collaborative’ explains that an individual should work effectively with </w:t>
      </w:r>
      <w:r w:rsidR="00C1668F">
        <w:t xml:space="preserve">a wide range of peers and </w:t>
      </w:r>
      <w:r>
        <w:t xml:space="preserve">colleagues both within and outside of the organisation. ‘Driven to Deliver’ has a simple focus of whether the individual is capable of achieving the best outcomes for their company and the </w:t>
      </w:r>
      <w:r>
        <w:lastRenderedPageBreak/>
        <w:t xml:space="preserve">determination and resourcefulness that they demonstrate whilst trying to get this success. </w:t>
      </w:r>
      <w:r w:rsidR="007304BA">
        <w:t>These elements of the profession map were described as comprehensive and detailed when they were ini</w:t>
      </w:r>
      <w:r w:rsidR="00C1668F">
        <w:t>tially announced (Berry, 2009).</w:t>
      </w:r>
    </w:p>
    <w:p w:rsidR="00D842BF" w:rsidRDefault="00D842BF" w:rsidP="00D842BF">
      <w:pPr>
        <w:pStyle w:val="ListParagraph"/>
        <w:numPr>
          <w:ilvl w:val="1"/>
          <w:numId w:val="1"/>
        </w:numPr>
        <w:rPr>
          <w:i/>
          <w:color w:val="5B9BD5" w:themeColor="accent1"/>
        </w:rPr>
      </w:pPr>
      <w:r w:rsidRPr="00D842BF">
        <w:rPr>
          <w:i/>
          <w:color w:val="5B9BD5" w:themeColor="accent1"/>
        </w:rPr>
        <w:t>What does it mean to be a professional?</w:t>
      </w:r>
    </w:p>
    <w:p w:rsidR="00D842BF" w:rsidRPr="00D842BF" w:rsidRDefault="00D842BF" w:rsidP="00D842BF">
      <w:r w:rsidRPr="00D842BF">
        <w:t>When considering the essential behaviours in any profession, it is important to consider what it means to be a professional and the key components of this within each field of specialist knowledge. In the case of being an effective HR professional, this is relatively</w:t>
      </w:r>
      <w:r w:rsidR="00C1668F">
        <w:t xml:space="preserve"> transferable</w:t>
      </w:r>
      <w:r w:rsidRPr="00D842BF">
        <w:t>. A professional is commonly referred to as someone who has specialist knowledge and has the autonomy to make their own judgements on specific situations (Lester, 2010). However, when working alongside other people it is crucial that a professional has the ability to ‘be professional’ through a commitment to a core set of principles and h</w:t>
      </w:r>
      <w:r w:rsidR="00C1668F">
        <w:t>aving a strong sense of ethics (CIPD, 2017).</w:t>
      </w:r>
    </w:p>
    <w:p w:rsidR="00D842BF" w:rsidRDefault="00EA73F6" w:rsidP="00D842BF">
      <w:pPr>
        <w:pStyle w:val="ListParagraph"/>
        <w:numPr>
          <w:ilvl w:val="0"/>
          <w:numId w:val="1"/>
        </w:numPr>
        <w:rPr>
          <w:rStyle w:val="IntenseReference"/>
          <w:i/>
        </w:rPr>
      </w:pPr>
      <w:r>
        <w:rPr>
          <w:rStyle w:val="IntenseReference"/>
          <w:i/>
        </w:rPr>
        <w:t>Conclusion</w:t>
      </w:r>
    </w:p>
    <w:p w:rsidR="00EA73F6" w:rsidRPr="00EA73F6" w:rsidRDefault="00EA73F6" w:rsidP="00EA73F6">
      <w:pPr>
        <w:rPr>
          <w:rStyle w:val="IntenseReference"/>
          <w:b w:val="0"/>
          <w:bCs w:val="0"/>
          <w:smallCaps w:val="0"/>
          <w:color w:val="auto"/>
          <w:spacing w:val="0"/>
        </w:rPr>
      </w:pPr>
      <w:r>
        <w:t>Overall, the professional map provides a</w:t>
      </w:r>
      <w:r w:rsidRPr="00EA73F6">
        <w:t xml:space="preserve"> </w:t>
      </w:r>
      <w:r>
        <w:t>comprehensive guide</w:t>
      </w:r>
      <w:r w:rsidRPr="00EA73F6">
        <w:t xml:space="preserve"> </w:t>
      </w:r>
      <w:r>
        <w:t>to the essential</w:t>
      </w:r>
      <w:r w:rsidRPr="00EA73F6">
        <w:t xml:space="preserve"> </w:t>
      </w:r>
      <w:r>
        <w:t>behaviours and areas of</w:t>
      </w:r>
      <w:r w:rsidRPr="00EA73F6">
        <w:t xml:space="preserve"> </w:t>
      </w:r>
      <w:r>
        <w:t>expertise that</w:t>
      </w:r>
      <w:r w:rsidRPr="00EA73F6">
        <w:t xml:space="preserve"> HR </w:t>
      </w:r>
      <w:r>
        <w:t>professionals require</w:t>
      </w:r>
      <w:r w:rsidRPr="00EA73F6">
        <w:t xml:space="preserve"> </w:t>
      </w:r>
      <w:r>
        <w:t>in order to be effective</w:t>
      </w:r>
      <w:r w:rsidRPr="00EA73F6">
        <w:t xml:space="preserve">. </w:t>
      </w:r>
      <w:r>
        <w:t>The map takes into account</w:t>
      </w:r>
      <w:r w:rsidRPr="00EA73F6">
        <w:t xml:space="preserve"> </w:t>
      </w:r>
      <w:r>
        <w:t>what an individual needs to ‘be professional</w:t>
      </w:r>
      <w:r w:rsidRPr="00EA73F6">
        <w:t xml:space="preserve">’ </w:t>
      </w:r>
      <w:r>
        <w:t>as well as</w:t>
      </w:r>
      <w:r w:rsidRPr="00EA73F6">
        <w:t xml:space="preserve"> ‘</w:t>
      </w:r>
      <w:r>
        <w:t>be a professional’ within the field</w:t>
      </w:r>
      <w:r w:rsidRPr="00EA73F6">
        <w:t xml:space="preserve">. </w:t>
      </w:r>
      <w:r>
        <w:t>This is achieved</w:t>
      </w:r>
      <w:r w:rsidRPr="00EA73F6">
        <w:t xml:space="preserve"> </w:t>
      </w:r>
      <w:r>
        <w:t>through the focus on ethics</w:t>
      </w:r>
      <w:r w:rsidRPr="00EA73F6">
        <w:t xml:space="preserve">, </w:t>
      </w:r>
      <w:r>
        <w:t>values and collaboration as well as specialist knowledge. The</w:t>
      </w:r>
      <w:r w:rsidRPr="00EA73F6">
        <w:t xml:space="preserve"> </w:t>
      </w:r>
      <w:r>
        <w:t>latest edition of the</w:t>
      </w:r>
      <w:r w:rsidRPr="00EA73F6">
        <w:t xml:space="preserve"> CIPD </w:t>
      </w:r>
      <w:r>
        <w:t>professional map</w:t>
      </w:r>
      <w:r w:rsidRPr="00EA73F6">
        <w:t xml:space="preserve"> (2019) </w:t>
      </w:r>
      <w:r w:rsidR="00C1668F">
        <w:t>offers</w:t>
      </w:r>
      <w:r>
        <w:t xml:space="preserve"> a better summary</w:t>
      </w:r>
      <w:r w:rsidRPr="00EA73F6">
        <w:t xml:space="preserve"> </w:t>
      </w:r>
      <w:r>
        <w:t>of the role that</w:t>
      </w:r>
      <w:r w:rsidRPr="00EA73F6">
        <w:t xml:space="preserve"> </w:t>
      </w:r>
      <w:r>
        <w:t>specialist knowledge</w:t>
      </w:r>
      <w:r w:rsidRPr="00EA73F6">
        <w:t xml:space="preserve"> </w:t>
      </w:r>
      <w:r>
        <w:t>plays in the profession. It suggests that specialist knowledge is not</w:t>
      </w:r>
      <w:r w:rsidRPr="00EA73F6">
        <w:t xml:space="preserve"> </w:t>
      </w:r>
      <w:r>
        <w:t>essential in all roles of</w:t>
      </w:r>
      <w:r w:rsidRPr="00EA73F6">
        <w:t xml:space="preserve"> HR </w:t>
      </w:r>
      <w:r w:rsidR="00C1668F">
        <w:t xml:space="preserve">and </w:t>
      </w:r>
      <w:r>
        <w:t>will</w:t>
      </w:r>
      <w:r w:rsidRPr="00EA73F6">
        <w:t xml:space="preserve"> </w:t>
      </w:r>
      <w:r>
        <w:t>only be developed</w:t>
      </w:r>
      <w:r w:rsidRPr="00EA73F6">
        <w:t xml:space="preserve"> </w:t>
      </w:r>
      <w:r>
        <w:t>through extensive experience</w:t>
      </w:r>
      <w:r w:rsidRPr="00EA73F6">
        <w:t>. F</w:t>
      </w:r>
      <w:r>
        <w:t>urthermore</w:t>
      </w:r>
      <w:r w:rsidRPr="00EA73F6">
        <w:t xml:space="preserve">, </w:t>
      </w:r>
      <w:r>
        <w:t>the essential behaviours</w:t>
      </w:r>
      <w:r w:rsidRPr="00EA73F6">
        <w:t xml:space="preserve"> </w:t>
      </w:r>
      <w:r>
        <w:t>that are provided create</w:t>
      </w:r>
      <w:r w:rsidRPr="00EA73F6">
        <w:t xml:space="preserve"> </w:t>
      </w:r>
      <w:r>
        <w:t xml:space="preserve">a </w:t>
      </w:r>
      <w:r w:rsidR="00C1668F">
        <w:t>holistic</w:t>
      </w:r>
      <w:r>
        <w:t xml:space="preserve"> set of skills that are given evidenced</w:t>
      </w:r>
      <w:r w:rsidRPr="00EA73F6">
        <w:t xml:space="preserve"> </w:t>
      </w:r>
      <w:r>
        <w:t>approval in the sources that have been</w:t>
      </w:r>
      <w:r w:rsidR="007304BA">
        <w:t xml:space="preserve"> utilised throughout the report (Berry, 2009).</w:t>
      </w:r>
    </w:p>
    <w:p w:rsidR="00052FCA" w:rsidRDefault="00052FCA" w:rsidP="00052FCA">
      <w:pPr>
        <w:pStyle w:val="ListParagraph"/>
        <w:numPr>
          <w:ilvl w:val="0"/>
          <w:numId w:val="1"/>
        </w:numPr>
        <w:rPr>
          <w:rStyle w:val="IntenseReference"/>
          <w:i/>
        </w:rPr>
      </w:pPr>
      <w:r w:rsidRPr="00D842BF">
        <w:rPr>
          <w:rStyle w:val="IntenseReference"/>
          <w:i/>
        </w:rPr>
        <w:t>Recommendations</w:t>
      </w:r>
    </w:p>
    <w:p w:rsidR="00C1668F" w:rsidRPr="00F61503" w:rsidRDefault="00F61503" w:rsidP="00D842BF">
      <w:pPr>
        <w:rPr>
          <w:rStyle w:val="IntenseReference"/>
          <w:b w:val="0"/>
          <w:bCs w:val="0"/>
          <w:smallCaps w:val="0"/>
          <w:color w:val="auto"/>
          <w:spacing w:val="0"/>
        </w:rPr>
      </w:pPr>
      <w:r>
        <w:t>Based on the content of the professional map and how it has developed since 2013, few recommendations can be made that go against the information that the CIPD is providing. As discussed above, the CIPD has moved towards more general behaviours and more specific knowledge. This seems like a sensible alteration to the professional map as it demonstrates that although the behaviours are essential to make progress, not all knowledge will be seen as essential to every HR professional. Therefore, if any recommendation were to be made to a HR professional accessing the map, it would be to focus on the essential behaviours as this is where the key foundations for success, such as ethics and attitudes, are formed.</w:t>
      </w:r>
    </w:p>
    <w:p w:rsidR="00052FCA" w:rsidRPr="00D842BF" w:rsidRDefault="00052FCA" w:rsidP="00052FCA">
      <w:pPr>
        <w:pStyle w:val="ListParagraph"/>
        <w:numPr>
          <w:ilvl w:val="0"/>
          <w:numId w:val="1"/>
        </w:numPr>
        <w:rPr>
          <w:rStyle w:val="IntenseReference"/>
          <w:i/>
        </w:rPr>
      </w:pPr>
      <w:r w:rsidRPr="00D842BF">
        <w:rPr>
          <w:rStyle w:val="IntenseReference"/>
          <w:i/>
        </w:rPr>
        <w:t>Reference List</w:t>
      </w:r>
    </w:p>
    <w:p w:rsidR="00FF0FFC" w:rsidRDefault="007304BA" w:rsidP="007304BA">
      <w:r>
        <w:t>Adams, K. (2018) ‘</w:t>
      </w:r>
      <w:r w:rsidRPr="007304BA">
        <w:t>CIPD launches new Profession Map</w:t>
      </w:r>
      <w:r>
        <w:t xml:space="preserve">’, </w:t>
      </w:r>
      <w:r w:rsidRPr="00EC222D">
        <w:rPr>
          <w:i/>
        </w:rPr>
        <w:t>People Management</w:t>
      </w:r>
      <w:r>
        <w:t>, Dec 2018/Jan 2019, p. 54.</w:t>
      </w:r>
    </w:p>
    <w:p w:rsidR="00EC222D" w:rsidRDefault="00EC222D" w:rsidP="007304BA">
      <w:r w:rsidRPr="00EC222D">
        <w:t xml:space="preserve">Berry, M. (2009) ‘CIPD revamps standards with HR profession map’, </w:t>
      </w:r>
      <w:r w:rsidRPr="00EC222D">
        <w:rPr>
          <w:i/>
        </w:rPr>
        <w:t>Personnel Today</w:t>
      </w:r>
      <w:r w:rsidRPr="00EC222D">
        <w:t>, p. 14.</w:t>
      </w:r>
    </w:p>
    <w:p w:rsidR="00C1668F" w:rsidRDefault="00C1668F" w:rsidP="007304BA">
      <w:r>
        <w:t xml:space="preserve">CIPD (2017) </w:t>
      </w:r>
      <w:r w:rsidRPr="00C1668F">
        <w:rPr>
          <w:i/>
        </w:rPr>
        <w:t>HR professionalism: what do we stand for? Research Report.</w:t>
      </w:r>
      <w:r>
        <w:t xml:space="preserve"> </w:t>
      </w:r>
      <w:r w:rsidR="00EC222D">
        <w:t xml:space="preserve">United Kingdom: </w:t>
      </w:r>
      <w:r w:rsidR="00EC222D" w:rsidRPr="00EC222D">
        <w:t>Chartered Institute of Personnel and Development</w:t>
      </w:r>
      <w:r w:rsidR="00EC222D">
        <w:t>, pp. 1-43.</w:t>
      </w:r>
    </w:p>
    <w:p w:rsidR="00EC222D" w:rsidRDefault="00EC222D" w:rsidP="007304BA">
      <w:r w:rsidRPr="00EC222D">
        <w:t xml:space="preserve">CIPD (2019) </w:t>
      </w:r>
      <w:r w:rsidRPr="00EC222D">
        <w:rPr>
          <w:i/>
        </w:rPr>
        <w:t>New Profession Map.</w:t>
      </w:r>
      <w:r w:rsidRPr="00EC222D">
        <w:t xml:space="preserve"> Available at: https://peopleprofession.cipd.org/profession-map (Accessed: 11 January 2020)</w:t>
      </w:r>
    </w:p>
    <w:p w:rsidR="00EC222D" w:rsidRDefault="00EC222D" w:rsidP="007304BA">
      <w:r w:rsidRPr="00EC222D">
        <w:t xml:space="preserve">CIPD (2013) </w:t>
      </w:r>
      <w:r w:rsidRPr="00EC222D">
        <w:rPr>
          <w:i/>
        </w:rPr>
        <w:t>The 2013 Profession Map.</w:t>
      </w:r>
      <w:r w:rsidRPr="00EC222D">
        <w:t xml:space="preserve"> Available at: https://www.cipd.co.uk/learn/profession-map/2013-profession-map (Accessed: 12 January 2020)</w:t>
      </w:r>
    </w:p>
    <w:p w:rsidR="00EC222D" w:rsidRDefault="00EC222D" w:rsidP="00EC222D">
      <w:r>
        <w:lastRenderedPageBreak/>
        <w:t xml:space="preserve">Lester, S. (2010) </w:t>
      </w:r>
      <w:r w:rsidRPr="00EC222D">
        <w:rPr>
          <w:i/>
        </w:rPr>
        <w:t>On professions and being professional.</w:t>
      </w:r>
      <w:r>
        <w:t xml:space="preserve"> Available at: http://scholar.google.co.uk/scholar_url?url=https%3A%2F%2Fpdfs.semanticscholar.org%2F0c01%2Fc931220b7d598a071f0e88ce17e24f5e7fdf.pdf&amp;hl=en&amp;sa=T&amp;ei=VyYbXoCLHfrSsQLHl5UQ&amp;scisig=AAGBfm1z7me2rcMl1PJPC8CQatS73JxwZg&amp;nossl=1&amp;ws=1280x706&amp;at= (Accessed: 12 January 2020)</w:t>
      </w:r>
    </w:p>
    <w:p w:rsidR="00EC222D" w:rsidRDefault="00EC222D" w:rsidP="00EC222D">
      <w:r>
        <w:t xml:space="preserve">Logan, G. (2009) ‘Lukewarm welcome for CIPD HR profession map’, </w:t>
      </w:r>
      <w:r w:rsidRPr="00EC222D">
        <w:rPr>
          <w:i/>
        </w:rPr>
        <w:t>Personnel Today</w:t>
      </w:r>
      <w:r>
        <w:t>, p. 2.</w:t>
      </w:r>
    </w:p>
    <w:p w:rsidR="004E1D38" w:rsidRDefault="004E1D38" w:rsidP="00EC222D"/>
    <w:p w:rsidR="004E1D38" w:rsidRDefault="004E1D38" w:rsidP="00EC222D"/>
    <w:p w:rsidR="004E1D38" w:rsidRDefault="004E1D38" w:rsidP="00EC222D"/>
    <w:p w:rsidR="004E1D38" w:rsidRDefault="004E1D38" w:rsidP="00EC222D"/>
    <w:p w:rsidR="004E1D38" w:rsidRDefault="004E1D38" w:rsidP="00EC222D"/>
    <w:p w:rsidR="004E1D38" w:rsidRDefault="004E1D38" w:rsidP="00EC222D"/>
    <w:p w:rsidR="004E1D38" w:rsidRDefault="004E1D38" w:rsidP="00EC222D"/>
    <w:p w:rsidR="004E1D38" w:rsidRDefault="004E1D38" w:rsidP="00EC222D"/>
    <w:p w:rsidR="004E1D38" w:rsidRDefault="004E1D38" w:rsidP="00EC222D"/>
    <w:p w:rsidR="004E1D38" w:rsidRDefault="004E1D38" w:rsidP="00EC222D"/>
    <w:p w:rsidR="004E1D38" w:rsidRDefault="004E1D38" w:rsidP="00EC222D"/>
    <w:p w:rsidR="004E1D38" w:rsidRDefault="004E1D38" w:rsidP="00EC222D"/>
    <w:p w:rsidR="004E1D38" w:rsidRDefault="004E1D38" w:rsidP="00EC222D"/>
    <w:p w:rsidR="004E1D38" w:rsidRDefault="004E1D38" w:rsidP="00EC222D"/>
    <w:p w:rsidR="004E1D38" w:rsidRDefault="004E1D38" w:rsidP="00EC222D"/>
    <w:p w:rsidR="004E1D38" w:rsidRDefault="004E1D38" w:rsidP="00EC222D"/>
    <w:p w:rsidR="004E1D38" w:rsidRDefault="004E1D38" w:rsidP="00EC222D"/>
    <w:p w:rsidR="004E1D38" w:rsidRDefault="004E1D38" w:rsidP="00EC222D"/>
    <w:p w:rsidR="004E1D38" w:rsidRDefault="004E1D38" w:rsidP="00EC222D"/>
    <w:p w:rsidR="004E1D38" w:rsidRDefault="004E1D38" w:rsidP="00EC222D"/>
    <w:p w:rsidR="004E1D38" w:rsidRDefault="004E1D38" w:rsidP="00EC222D"/>
    <w:p w:rsidR="004E1D38" w:rsidRDefault="004E1D38" w:rsidP="00EC222D"/>
    <w:p w:rsidR="004E1D38" w:rsidRDefault="004E1D38" w:rsidP="00EC222D"/>
    <w:p w:rsidR="004E1D38" w:rsidRDefault="004E1D38" w:rsidP="00EC222D"/>
    <w:p w:rsidR="004E1D38" w:rsidRDefault="004E1D38" w:rsidP="00EC222D"/>
    <w:p w:rsidR="004E1D38" w:rsidRDefault="004E1D38" w:rsidP="00EC222D"/>
    <w:p w:rsidR="004E1D38" w:rsidRDefault="004E1D38" w:rsidP="00EC222D"/>
    <w:p w:rsidR="004E1D38" w:rsidRPr="004E1D38" w:rsidRDefault="004E1D38" w:rsidP="004E1D38">
      <w:pPr>
        <w:keepNext/>
        <w:keepLines/>
        <w:spacing w:before="240" w:after="0"/>
        <w:outlineLvl w:val="0"/>
        <w:rPr>
          <w:rFonts w:asciiTheme="majorHAnsi" w:eastAsiaTheme="majorEastAsia" w:hAnsiTheme="majorHAnsi" w:cstheme="majorBidi"/>
          <w:color w:val="2E74B5" w:themeColor="accent1" w:themeShade="BF"/>
          <w:sz w:val="32"/>
          <w:szCs w:val="32"/>
        </w:rPr>
      </w:pPr>
      <w:r w:rsidRPr="004E1D38">
        <w:rPr>
          <w:rFonts w:asciiTheme="majorHAnsi" w:eastAsiaTheme="majorEastAsia" w:hAnsiTheme="majorHAnsi" w:cstheme="majorBidi"/>
          <w:color w:val="2E74B5" w:themeColor="accent1" w:themeShade="BF"/>
          <w:sz w:val="32"/>
          <w:szCs w:val="32"/>
        </w:rPr>
        <w:lastRenderedPageBreak/>
        <w:t>Activity 4 – Group Dynamics and Political Behaviour in Organisations Report</w:t>
      </w:r>
    </w:p>
    <w:p w:rsidR="004E1D38" w:rsidRPr="004E1D38" w:rsidRDefault="004E1D38" w:rsidP="004E1D38">
      <w:pPr>
        <w:numPr>
          <w:ilvl w:val="0"/>
          <w:numId w:val="2"/>
        </w:numPr>
        <w:contextualSpacing/>
        <w:rPr>
          <w:b/>
          <w:bCs/>
          <w:smallCaps/>
          <w:color w:val="5B9BD5" w:themeColor="accent1"/>
          <w:spacing w:val="5"/>
        </w:rPr>
      </w:pPr>
      <w:r w:rsidRPr="004E1D38">
        <w:rPr>
          <w:b/>
          <w:bCs/>
          <w:smallCaps/>
          <w:color w:val="5B9BD5" w:themeColor="accent1"/>
          <w:spacing w:val="5"/>
        </w:rPr>
        <w:t>Group Dynamics</w:t>
      </w:r>
    </w:p>
    <w:p w:rsidR="004E1D38" w:rsidRPr="004E1D38" w:rsidRDefault="004E1D38" w:rsidP="004E1D38">
      <w:r w:rsidRPr="004E1D38">
        <w:t>Within this section of the report, group/team dynamics will be defined and conceptualised through the use of academic sources. Theoretical definitions and models that demonstrate the dynamics of a group or team will also be presented.</w:t>
      </w:r>
    </w:p>
    <w:p w:rsidR="004E1D38" w:rsidRPr="004E1D38" w:rsidRDefault="004E1D38" w:rsidP="004E1D38">
      <w:pPr>
        <w:numPr>
          <w:ilvl w:val="1"/>
          <w:numId w:val="2"/>
        </w:numPr>
        <w:contextualSpacing/>
        <w:rPr>
          <w:i/>
          <w:color w:val="5B9BD5" w:themeColor="accent1"/>
        </w:rPr>
      </w:pPr>
      <w:r w:rsidRPr="004E1D38">
        <w:rPr>
          <w:i/>
          <w:color w:val="5B9BD5" w:themeColor="accent1"/>
        </w:rPr>
        <w:t>Definitions</w:t>
      </w:r>
    </w:p>
    <w:p w:rsidR="004E1D38" w:rsidRPr="004E1D38" w:rsidRDefault="004E1D38" w:rsidP="004E1D38">
      <w:r w:rsidRPr="004E1D38">
        <w:t xml:space="preserve">Group dynamics is defined as the inner-workings of a group or team, social interactions and group development are some of the key elements of the dynamics of a group (Cartwright and Zander, 1968). Further definitions focus on the aims of an effective group dynamic, including collaboration, problem-solving and positive interactions. </w:t>
      </w:r>
      <w:proofErr w:type="spellStart"/>
      <w:r w:rsidRPr="004E1D38">
        <w:t>Bion</w:t>
      </w:r>
      <w:proofErr w:type="spellEnd"/>
      <w:r w:rsidRPr="004E1D38">
        <w:t xml:space="preserve"> (1961) outlines how the target of a group should be able to keep it on-task and focused on reaching their end goal. Freud (1921) seems to agree with this, stating that a ‘mass’ comes together for a moment to achieve a common goal. Therefore, group dynamics can be defined as the ways that a group collaborates and co-operates, with a clear focus on the common task that they are trying to achieve together. </w:t>
      </w:r>
    </w:p>
    <w:p w:rsidR="004E1D38" w:rsidRPr="004E1D38" w:rsidRDefault="004E1D38" w:rsidP="004E1D38">
      <w:pPr>
        <w:numPr>
          <w:ilvl w:val="1"/>
          <w:numId w:val="2"/>
        </w:numPr>
        <w:contextualSpacing/>
        <w:rPr>
          <w:i/>
          <w:color w:val="5B9BD5" w:themeColor="accent1"/>
        </w:rPr>
      </w:pPr>
      <w:r w:rsidRPr="004E1D38">
        <w:rPr>
          <w:i/>
          <w:color w:val="5B9BD5" w:themeColor="accent1"/>
        </w:rPr>
        <w:t xml:space="preserve"> Theory and Models</w:t>
      </w:r>
    </w:p>
    <w:p w:rsidR="004E1D38" w:rsidRPr="004E1D38" w:rsidRDefault="004E1D38" w:rsidP="004E1D38">
      <w:r w:rsidRPr="004E1D38">
        <w:rPr>
          <w:noProof/>
          <w:lang w:eastAsia="en-GB"/>
        </w:rPr>
        <w:drawing>
          <wp:anchor distT="0" distB="0" distL="114300" distR="114300" simplePos="0" relativeHeight="251659264" behindDoc="0" locked="0" layoutInCell="1" allowOverlap="1" wp14:anchorId="69E19901" wp14:editId="0EB7B7BF">
            <wp:simplePos x="0" y="0"/>
            <wp:positionH relativeFrom="column">
              <wp:posOffset>1276350</wp:posOffset>
            </wp:positionH>
            <wp:positionV relativeFrom="paragraph">
              <wp:posOffset>604520</wp:posOffset>
            </wp:positionV>
            <wp:extent cx="2984500" cy="2859181"/>
            <wp:effectExtent l="0" t="0" r="635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uckman_CC-1024x981.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2984500" cy="2859181"/>
                    </a:xfrm>
                    <a:prstGeom prst="rect">
                      <a:avLst/>
                    </a:prstGeom>
                  </pic:spPr>
                </pic:pic>
              </a:graphicData>
            </a:graphic>
            <wp14:sizeRelH relativeFrom="page">
              <wp14:pctWidth>0</wp14:pctWidth>
            </wp14:sizeRelH>
            <wp14:sizeRelV relativeFrom="page">
              <wp14:pctHeight>0</wp14:pctHeight>
            </wp14:sizeRelV>
          </wp:anchor>
        </w:drawing>
      </w:r>
      <w:r w:rsidRPr="004E1D38">
        <w:t xml:space="preserve">There has been significant attention paid to the theory of group dynamics and as a result, numerous theories have been developed focusing on the phenomena. One of these is the theory on group development created by Bruce Tuckman in 1965. </w:t>
      </w:r>
    </w:p>
    <w:p w:rsidR="004E1D38" w:rsidRPr="004E1D38" w:rsidRDefault="004E1D38" w:rsidP="004E1D38"/>
    <w:p w:rsidR="004E1D38" w:rsidRPr="004E1D38" w:rsidRDefault="004E1D38" w:rsidP="004E1D38"/>
    <w:p w:rsidR="004E1D38" w:rsidRPr="004E1D38" w:rsidRDefault="004E1D38" w:rsidP="004E1D38"/>
    <w:p w:rsidR="004E1D38" w:rsidRPr="004E1D38" w:rsidRDefault="004E1D38" w:rsidP="004E1D38"/>
    <w:p w:rsidR="004E1D38" w:rsidRPr="004E1D38" w:rsidRDefault="004E1D38" w:rsidP="004E1D38"/>
    <w:p w:rsidR="004E1D38" w:rsidRPr="004E1D38" w:rsidRDefault="004E1D38" w:rsidP="004E1D38"/>
    <w:p w:rsidR="004E1D38" w:rsidRPr="004E1D38" w:rsidRDefault="004E1D38" w:rsidP="004E1D38"/>
    <w:p w:rsidR="004E1D38" w:rsidRPr="004E1D38" w:rsidRDefault="004E1D38" w:rsidP="004E1D38"/>
    <w:p w:rsidR="004E1D38" w:rsidRPr="004E1D38" w:rsidRDefault="004E1D38" w:rsidP="004E1D38"/>
    <w:p w:rsidR="004E1D38" w:rsidRPr="004E1D38" w:rsidRDefault="004E1D38" w:rsidP="004E1D38"/>
    <w:p w:rsidR="004E1D38" w:rsidRPr="004E1D38" w:rsidRDefault="004E1D38" w:rsidP="004E1D38">
      <w:pPr>
        <w:jc w:val="center"/>
        <w:rPr>
          <w:b/>
          <w:i/>
        </w:rPr>
      </w:pPr>
      <w:r w:rsidRPr="004E1D38">
        <w:rPr>
          <w:b/>
          <w:i/>
        </w:rPr>
        <w:t>Figure 1: The stages of the Tuckman Model. (</w:t>
      </w:r>
      <w:proofErr w:type="spellStart"/>
      <w:proofErr w:type="gramStart"/>
      <w:r w:rsidRPr="004E1D38">
        <w:rPr>
          <w:b/>
          <w:i/>
        </w:rPr>
        <w:t>eCampus</w:t>
      </w:r>
      <w:proofErr w:type="spellEnd"/>
      <w:proofErr w:type="gramEnd"/>
      <w:r w:rsidRPr="004E1D38">
        <w:rPr>
          <w:b/>
          <w:i/>
        </w:rPr>
        <w:t xml:space="preserve"> Ontario, 2018)</w:t>
      </w:r>
    </w:p>
    <w:p w:rsidR="004E1D38" w:rsidRPr="004E1D38" w:rsidRDefault="004E1D38" w:rsidP="004E1D38">
      <w:r w:rsidRPr="004E1D38">
        <w:t xml:space="preserve">The theory (above) explains how a group goes through different phases of development: forming, storming, norming and performing. The concept is that a team must come together and ‘form’ with the common goal that was previously outlined by </w:t>
      </w:r>
      <w:proofErr w:type="spellStart"/>
      <w:r w:rsidRPr="004E1D38">
        <w:t>Bion</w:t>
      </w:r>
      <w:proofErr w:type="spellEnd"/>
      <w:r w:rsidRPr="004E1D38">
        <w:t xml:space="preserve"> (1961) and Freud (1921). This should be followed by a period of ‘storming’ where ideas and potential solutions to the task will be created, developed and discarded. Ideally, during this time, ‘norming’ will be taking place. This is where a group or team will begin to normalise with each other and should learn how to have good collaboration skills and social interactions. Finally, the cycle will be completed through a stage of ‘performing’. This is where the task or end goal will be achieved due to the development that the group has underdone during the 3 earlier phases. Within Tuckman’s theory, it is important to note </w:t>
      </w:r>
      <w:r w:rsidRPr="004E1D38">
        <w:lastRenderedPageBreak/>
        <w:t>that a group may not remain at the performing stage once they reach it. This has happened during my own time in work, where a new task may cause myself and my colleagues to thrash out new ideas within a stage of ‘storming’. Furthermore, I have also seen this development take place in my work context when new members of the team have joined my workforce. For example, in my role as a Manager at a large retail company we opened a new store. This led to a significant amount of new staff being introduced to the group and required the whole cycle of Tuckman’s model to be conducted. Due to this, the team is now performing successfully and has managed to remain at the ‘performing’ stage for long periods of time.</w:t>
      </w:r>
    </w:p>
    <w:p w:rsidR="004E1D38" w:rsidRPr="004E1D38" w:rsidRDefault="004E1D38" w:rsidP="004E1D38">
      <w:pPr>
        <w:numPr>
          <w:ilvl w:val="0"/>
          <w:numId w:val="2"/>
        </w:numPr>
        <w:contextualSpacing/>
        <w:rPr>
          <w:b/>
          <w:bCs/>
          <w:smallCaps/>
          <w:color w:val="5B9BD5" w:themeColor="accent1"/>
          <w:spacing w:val="5"/>
        </w:rPr>
      </w:pPr>
      <w:r w:rsidRPr="004E1D38">
        <w:rPr>
          <w:b/>
          <w:bCs/>
          <w:smallCaps/>
          <w:color w:val="5B9BD5" w:themeColor="accent1"/>
          <w:spacing w:val="5"/>
        </w:rPr>
        <w:t>Political Behaviour in Organisations</w:t>
      </w:r>
    </w:p>
    <w:p w:rsidR="004E1D38" w:rsidRPr="004E1D38" w:rsidRDefault="004E1D38" w:rsidP="004E1D38">
      <w:r w:rsidRPr="004E1D38">
        <w:t xml:space="preserve">When working within any team or organisation, conflict and other issues are always a distinct possibility. No matter how successful the group is these can arise from a number of scenarios, such as a disagreement between two members of the team, individuals attempting to further their own personal interests or ‘cliques’ beginning to emerge from the wider group dynamic (Bhatnagar, 1992). I have experienced disagreements within my own work organisation on numerous occasions. Usually, in my own experience, they come to a form of resolution where the team is able to return to a successful and smooth passage. This has been in the form of resolution between the two individuals or removal of an individual from the team in order to return the group to a successful state. </w:t>
      </w:r>
    </w:p>
    <w:p w:rsidR="004E1D38" w:rsidRPr="004E1D38" w:rsidRDefault="004E1D38" w:rsidP="004E1D38">
      <w:r w:rsidRPr="004E1D38">
        <w:t>Power is viewed as one of the key aspects of political behaviour within an organisation. Usually, this is enacted with the aim of consolidating, increasing or taking power within the organisation in question (</w:t>
      </w:r>
      <w:proofErr w:type="spellStart"/>
      <w:r w:rsidRPr="004E1D38">
        <w:t>Parrel</w:t>
      </w:r>
      <w:proofErr w:type="spellEnd"/>
      <w:r w:rsidRPr="004E1D38">
        <w:t xml:space="preserve"> and Peterson, 1982). Examples of this consist of doing favours for colleagues, having access to key resources and position within the organisation’s hierarchy (Astley and </w:t>
      </w:r>
      <w:proofErr w:type="spellStart"/>
      <w:r w:rsidRPr="004E1D38">
        <w:t>Sachdeva</w:t>
      </w:r>
      <w:proofErr w:type="spellEnd"/>
      <w:r w:rsidRPr="004E1D38">
        <w:t xml:space="preserve">, 1984). Personally, I have experienced numerous real-life examples of colleagues attempting to gain or maintain power within my organisation. Usually, this takes the form of doing favours for colleagues but in the form of strategically supporting those in higher positions than the individual. By carrying out this political behaviour, the individual aims to increase their role within the organisation and eventually move into a higher position in the company hierarchy. This will then result in the acquisition of increased power, which is usually the goal of political behaviour in an organisation. </w:t>
      </w:r>
    </w:p>
    <w:p w:rsidR="004E1D38" w:rsidRPr="004E1D38" w:rsidRDefault="004E1D38" w:rsidP="004E1D38">
      <w:r w:rsidRPr="004E1D38">
        <w:t xml:space="preserve">There are some factors that can impact the political behaviour of the individual in this particular scenario. </w:t>
      </w:r>
      <w:proofErr w:type="spellStart"/>
      <w:r w:rsidRPr="004E1D38">
        <w:t>Hickson</w:t>
      </w:r>
      <w:proofErr w:type="spellEnd"/>
      <w:r w:rsidRPr="004E1D38">
        <w:t xml:space="preserve">, </w:t>
      </w:r>
      <w:r w:rsidRPr="004E1D38">
        <w:rPr>
          <w:i/>
        </w:rPr>
        <w:t xml:space="preserve">et al. </w:t>
      </w:r>
      <w:r w:rsidRPr="004E1D38">
        <w:t>(1971) outlines how the degree of uncertainty and the importance of the task can alter the decisions of the individual. For example, they are more likely to take on the task if it is crucial to the organisation and will lead to significant recognition. Therefore, it is important to consider these elements when considering the political behaviours that people can undertake within an organisation, particularly when the possibility of uncertainty and failure is present.</w:t>
      </w:r>
    </w:p>
    <w:p w:rsidR="004E1D38" w:rsidRPr="004E1D38" w:rsidRDefault="004E1D38" w:rsidP="004E1D38">
      <w:pPr>
        <w:numPr>
          <w:ilvl w:val="0"/>
          <w:numId w:val="2"/>
        </w:numPr>
        <w:contextualSpacing/>
        <w:rPr>
          <w:b/>
          <w:bCs/>
          <w:smallCaps/>
          <w:color w:val="5B9BD5" w:themeColor="accent1"/>
          <w:spacing w:val="5"/>
        </w:rPr>
      </w:pPr>
      <w:r w:rsidRPr="004E1D38">
        <w:rPr>
          <w:b/>
          <w:bCs/>
          <w:smallCaps/>
          <w:color w:val="5B9BD5" w:themeColor="accent1"/>
          <w:spacing w:val="5"/>
        </w:rPr>
        <w:t>Reference List</w:t>
      </w:r>
    </w:p>
    <w:p w:rsidR="004E1D38" w:rsidRPr="004E1D38" w:rsidRDefault="004E1D38" w:rsidP="004E1D38">
      <w:r w:rsidRPr="004E1D38">
        <w:t xml:space="preserve">Astley, C. W. and </w:t>
      </w:r>
      <w:proofErr w:type="spellStart"/>
      <w:r w:rsidRPr="004E1D38">
        <w:t>Sachdcva</w:t>
      </w:r>
      <w:proofErr w:type="spellEnd"/>
      <w:r w:rsidRPr="004E1D38">
        <w:t xml:space="preserve">, P. S. (1984) ‘Structural Sources of </w:t>
      </w:r>
      <w:proofErr w:type="spellStart"/>
      <w:r w:rsidRPr="004E1D38">
        <w:t>Intraorganizational</w:t>
      </w:r>
      <w:proofErr w:type="spellEnd"/>
      <w:r w:rsidRPr="004E1D38">
        <w:t xml:space="preserve"> Power: A Theoretical Synthesis’, </w:t>
      </w:r>
      <w:proofErr w:type="gramStart"/>
      <w:r w:rsidRPr="004E1D38">
        <w:rPr>
          <w:i/>
        </w:rPr>
        <w:t>The</w:t>
      </w:r>
      <w:proofErr w:type="gramEnd"/>
      <w:r w:rsidRPr="004E1D38">
        <w:rPr>
          <w:i/>
        </w:rPr>
        <w:t xml:space="preserve"> Academy of Management Review</w:t>
      </w:r>
      <w:r w:rsidRPr="004E1D38">
        <w:t>, 9 (1), pp. 104-113.</w:t>
      </w:r>
    </w:p>
    <w:p w:rsidR="004E1D38" w:rsidRPr="004E1D38" w:rsidRDefault="004E1D38" w:rsidP="004E1D38">
      <w:r w:rsidRPr="004E1D38">
        <w:t xml:space="preserve">Bhatnagar, D. (1992) ‘Understanding Political Behaviour in Organizations: A Framework’, </w:t>
      </w:r>
      <w:proofErr w:type="spellStart"/>
      <w:r w:rsidRPr="004E1D38">
        <w:rPr>
          <w:i/>
        </w:rPr>
        <w:t>Vikalpa</w:t>
      </w:r>
      <w:proofErr w:type="spellEnd"/>
      <w:r w:rsidRPr="004E1D38">
        <w:rPr>
          <w:i/>
        </w:rPr>
        <w:t>: The Journal for Decision Makers</w:t>
      </w:r>
      <w:r w:rsidRPr="004E1D38">
        <w:t>, 17 (2), pp. 15-22.</w:t>
      </w:r>
    </w:p>
    <w:p w:rsidR="004E1D38" w:rsidRPr="004E1D38" w:rsidRDefault="004E1D38" w:rsidP="004E1D38">
      <w:proofErr w:type="spellStart"/>
      <w:r w:rsidRPr="004E1D38">
        <w:t>Bion</w:t>
      </w:r>
      <w:proofErr w:type="spellEnd"/>
      <w:r w:rsidRPr="004E1D38">
        <w:t xml:space="preserve">, W. R. (1961) </w:t>
      </w:r>
      <w:r w:rsidRPr="004E1D38">
        <w:rPr>
          <w:i/>
        </w:rPr>
        <w:t>Experiences in groups.</w:t>
      </w:r>
      <w:r w:rsidRPr="004E1D38">
        <w:t xml:space="preserve"> London: Tavistock.</w:t>
      </w:r>
    </w:p>
    <w:p w:rsidR="004E1D38" w:rsidRPr="004E1D38" w:rsidRDefault="004E1D38" w:rsidP="004E1D38">
      <w:proofErr w:type="spellStart"/>
      <w:proofErr w:type="gramStart"/>
      <w:r w:rsidRPr="004E1D38">
        <w:t>eCampus</w:t>
      </w:r>
      <w:proofErr w:type="spellEnd"/>
      <w:proofErr w:type="gramEnd"/>
      <w:r w:rsidRPr="004E1D38">
        <w:t xml:space="preserve"> Ontario. (2018) ‘Tuckman’s Linear Model of group development’, in </w:t>
      </w:r>
      <w:r w:rsidRPr="004E1D38">
        <w:rPr>
          <w:i/>
        </w:rPr>
        <w:t xml:space="preserve">Communication for Business Professionals - Canadian Edition </w:t>
      </w:r>
      <w:r w:rsidRPr="004E1D38">
        <w:t xml:space="preserve">[Online] Available: </w:t>
      </w:r>
      <w:hyperlink r:id="rId8" w:history="1">
        <w:r w:rsidRPr="004E1D38">
          <w:rPr>
            <w:color w:val="0563C1" w:themeColor="hyperlink"/>
            <w:u w:val="single"/>
          </w:rPr>
          <w:t>https://ecampusontario.pressbooks.pub/commbusprofcdn/</w:t>
        </w:r>
      </w:hyperlink>
      <w:r w:rsidRPr="004E1D38">
        <w:t>. (Accessed: 13 January 2020)</w:t>
      </w:r>
    </w:p>
    <w:p w:rsidR="004E1D38" w:rsidRPr="004E1D38" w:rsidRDefault="004E1D38" w:rsidP="004E1D38">
      <w:r w:rsidRPr="004E1D38">
        <w:lastRenderedPageBreak/>
        <w:t xml:space="preserve">Freud, S. (1921) ‘Group psychology and the analysis of the ego’ In: J. </w:t>
      </w:r>
      <w:proofErr w:type="spellStart"/>
      <w:r w:rsidRPr="004E1D38">
        <w:t>Strachy</w:t>
      </w:r>
      <w:proofErr w:type="spellEnd"/>
      <w:r w:rsidRPr="004E1D38">
        <w:t xml:space="preserve"> (Ed.), </w:t>
      </w:r>
      <w:proofErr w:type="gramStart"/>
      <w:r w:rsidRPr="004E1D38">
        <w:rPr>
          <w:i/>
        </w:rPr>
        <w:t>The</w:t>
      </w:r>
      <w:proofErr w:type="gramEnd"/>
      <w:r w:rsidRPr="004E1D38">
        <w:rPr>
          <w:i/>
        </w:rPr>
        <w:t xml:space="preserve"> standard edition of the complete psychological works of Sigmund Freud </w:t>
      </w:r>
      <w:r w:rsidRPr="004E1D38">
        <w:t>(Vol. XVIII, pp. 69–142). London: The Hogarth Press.</w:t>
      </w:r>
    </w:p>
    <w:p w:rsidR="004E1D38" w:rsidRPr="004E1D38" w:rsidRDefault="004E1D38" w:rsidP="004E1D38">
      <w:proofErr w:type="spellStart"/>
      <w:r w:rsidRPr="004E1D38">
        <w:t>Hickson</w:t>
      </w:r>
      <w:proofErr w:type="spellEnd"/>
      <w:r w:rsidRPr="004E1D38">
        <w:t xml:space="preserve">, D., </w:t>
      </w:r>
      <w:proofErr w:type="spellStart"/>
      <w:r w:rsidRPr="004E1D38">
        <w:t>Hinings</w:t>
      </w:r>
      <w:proofErr w:type="spellEnd"/>
      <w:r w:rsidRPr="004E1D38">
        <w:t xml:space="preserve">, C., Lee, R., </w:t>
      </w:r>
      <w:proofErr w:type="spellStart"/>
      <w:r w:rsidRPr="004E1D38">
        <w:t>Schcneck</w:t>
      </w:r>
      <w:proofErr w:type="spellEnd"/>
      <w:r w:rsidRPr="004E1D38">
        <w:t xml:space="preserve">, R. and </w:t>
      </w:r>
      <w:proofErr w:type="spellStart"/>
      <w:r w:rsidRPr="004E1D38">
        <w:t>Pennings</w:t>
      </w:r>
      <w:proofErr w:type="spellEnd"/>
      <w:r w:rsidRPr="004E1D38">
        <w:t xml:space="preserve">, J. (1971) ‘A Strategic Contingency Theory of Intra-Organizational Power’, </w:t>
      </w:r>
      <w:r w:rsidRPr="004E1D38">
        <w:rPr>
          <w:i/>
        </w:rPr>
        <w:t>Administrative Science Quarterly</w:t>
      </w:r>
      <w:r w:rsidRPr="004E1D38">
        <w:t>, 16, pp. 216-229.</w:t>
      </w:r>
    </w:p>
    <w:p w:rsidR="004E1D38" w:rsidRPr="004E1D38" w:rsidRDefault="004E1D38" w:rsidP="004E1D38">
      <w:proofErr w:type="spellStart"/>
      <w:r w:rsidRPr="004E1D38">
        <w:t>Parrel</w:t>
      </w:r>
      <w:proofErr w:type="spellEnd"/>
      <w:r w:rsidRPr="004E1D38">
        <w:t xml:space="preserve">, D. and Peterson, S. (1982) ‘Patterns of Political Behaviour in Organizations’, </w:t>
      </w:r>
      <w:r w:rsidRPr="004E1D38">
        <w:rPr>
          <w:i/>
        </w:rPr>
        <w:t>Academy of Management Review</w:t>
      </w:r>
      <w:r w:rsidRPr="004E1D38">
        <w:t>, 7 (3), pp. 403-412.</w:t>
      </w:r>
    </w:p>
    <w:p w:rsidR="004E1D38" w:rsidRPr="004E1D38" w:rsidRDefault="004E1D38" w:rsidP="004E1D38">
      <w:r w:rsidRPr="004E1D38">
        <w:t xml:space="preserve">Tuckman, B. (1965) ‘Developmental sequence in small groups’, </w:t>
      </w:r>
      <w:r w:rsidRPr="004E1D38">
        <w:rPr>
          <w:i/>
        </w:rPr>
        <w:t>Psychological Bulletin</w:t>
      </w:r>
      <w:r w:rsidRPr="004E1D38">
        <w:t>, 63 (6), pp. 384-399.</w:t>
      </w:r>
    </w:p>
    <w:p w:rsidR="004E1D38" w:rsidRPr="00C1668F" w:rsidRDefault="004E1D38" w:rsidP="00EC222D"/>
    <w:p w:rsidR="00C1668F" w:rsidRDefault="00C1668F" w:rsidP="007304BA"/>
    <w:sectPr w:rsidR="00C1668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DAD225D"/>
    <w:multiLevelType w:val="multilevel"/>
    <w:tmpl w:val="12209374"/>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73B83754"/>
    <w:multiLevelType w:val="multilevel"/>
    <w:tmpl w:val="ABE047B8"/>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C0E50"/>
    <w:rsid w:val="00052FCA"/>
    <w:rsid w:val="00411077"/>
    <w:rsid w:val="00473B0F"/>
    <w:rsid w:val="004E1D38"/>
    <w:rsid w:val="007304BA"/>
    <w:rsid w:val="00856FE7"/>
    <w:rsid w:val="00AC0E50"/>
    <w:rsid w:val="00B33AE7"/>
    <w:rsid w:val="00C1668F"/>
    <w:rsid w:val="00D842BF"/>
    <w:rsid w:val="00EA73F6"/>
    <w:rsid w:val="00EC222D"/>
    <w:rsid w:val="00F61503"/>
    <w:rsid w:val="00FF0F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DDC7FD6-0CB0-481E-8B30-E80204F2EC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D842B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842BF"/>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D842BF"/>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F0FFC"/>
    <w:pPr>
      <w:ind w:left="720"/>
      <w:contextualSpacing/>
    </w:pPr>
  </w:style>
  <w:style w:type="character" w:customStyle="1" w:styleId="Heading2Char">
    <w:name w:val="Heading 2 Char"/>
    <w:basedOn w:val="DefaultParagraphFont"/>
    <w:link w:val="Heading2"/>
    <w:uiPriority w:val="9"/>
    <w:rsid w:val="00D842BF"/>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D842BF"/>
    <w:rPr>
      <w:rFonts w:asciiTheme="majorHAnsi" w:eastAsiaTheme="majorEastAsia" w:hAnsiTheme="majorHAnsi" w:cstheme="majorBidi"/>
      <w:color w:val="1F4D78" w:themeColor="accent1" w:themeShade="7F"/>
      <w:sz w:val="24"/>
      <w:szCs w:val="24"/>
    </w:rPr>
  </w:style>
  <w:style w:type="character" w:styleId="IntenseEmphasis">
    <w:name w:val="Intense Emphasis"/>
    <w:basedOn w:val="DefaultParagraphFont"/>
    <w:uiPriority w:val="21"/>
    <w:qFormat/>
    <w:rsid w:val="00D842BF"/>
    <w:rPr>
      <w:i/>
      <w:iCs/>
      <w:color w:val="5B9BD5" w:themeColor="accent1"/>
    </w:rPr>
  </w:style>
  <w:style w:type="character" w:styleId="IntenseReference">
    <w:name w:val="Intense Reference"/>
    <w:basedOn w:val="DefaultParagraphFont"/>
    <w:uiPriority w:val="32"/>
    <w:qFormat/>
    <w:rsid w:val="00D842BF"/>
    <w:rPr>
      <w:b/>
      <w:bCs/>
      <w:smallCaps/>
      <w:color w:val="5B9BD5" w:themeColor="accent1"/>
      <w:spacing w:val="5"/>
    </w:rPr>
  </w:style>
  <w:style w:type="paragraph" w:styleId="IntenseQuote">
    <w:name w:val="Intense Quote"/>
    <w:basedOn w:val="Normal"/>
    <w:next w:val="Normal"/>
    <w:link w:val="IntenseQuoteChar"/>
    <w:uiPriority w:val="30"/>
    <w:qFormat/>
    <w:rsid w:val="00D842BF"/>
    <w:pPr>
      <w:pBdr>
        <w:top w:val="single" w:sz="4" w:space="10" w:color="5B9BD5" w:themeColor="accent1"/>
        <w:bottom w:val="single" w:sz="4" w:space="10" w:color="5B9BD5" w:themeColor="accent1"/>
      </w:pBdr>
      <w:spacing w:before="360" w:after="360"/>
      <w:ind w:left="864" w:right="864"/>
      <w:jc w:val="center"/>
    </w:pPr>
    <w:rPr>
      <w:i/>
      <w:iCs/>
      <w:color w:val="5B9BD5" w:themeColor="accent1"/>
    </w:rPr>
  </w:style>
  <w:style w:type="character" w:customStyle="1" w:styleId="IntenseQuoteChar">
    <w:name w:val="Intense Quote Char"/>
    <w:basedOn w:val="DefaultParagraphFont"/>
    <w:link w:val="IntenseQuote"/>
    <w:uiPriority w:val="30"/>
    <w:rsid w:val="00D842BF"/>
    <w:rPr>
      <w:i/>
      <w:iCs/>
      <w:color w:val="5B9BD5" w:themeColor="accent1"/>
    </w:rPr>
  </w:style>
  <w:style w:type="paragraph" w:styleId="Quote">
    <w:name w:val="Quote"/>
    <w:basedOn w:val="Normal"/>
    <w:next w:val="Normal"/>
    <w:link w:val="QuoteChar"/>
    <w:uiPriority w:val="29"/>
    <w:qFormat/>
    <w:rsid w:val="00D842BF"/>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D842BF"/>
    <w:rPr>
      <w:i/>
      <w:iCs/>
      <w:color w:val="404040" w:themeColor="text1" w:themeTint="BF"/>
    </w:rPr>
  </w:style>
  <w:style w:type="character" w:styleId="Strong">
    <w:name w:val="Strong"/>
    <w:basedOn w:val="DefaultParagraphFont"/>
    <w:uiPriority w:val="22"/>
    <w:qFormat/>
    <w:rsid w:val="00D842BF"/>
    <w:rPr>
      <w:b/>
      <w:bCs/>
    </w:rPr>
  </w:style>
  <w:style w:type="character" w:styleId="Emphasis">
    <w:name w:val="Emphasis"/>
    <w:basedOn w:val="DefaultParagraphFont"/>
    <w:uiPriority w:val="20"/>
    <w:qFormat/>
    <w:rsid w:val="00D842BF"/>
    <w:rPr>
      <w:i/>
      <w:iCs/>
    </w:rPr>
  </w:style>
  <w:style w:type="character" w:styleId="SubtleEmphasis">
    <w:name w:val="Subtle Emphasis"/>
    <w:basedOn w:val="DefaultParagraphFont"/>
    <w:uiPriority w:val="19"/>
    <w:qFormat/>
    <w:rsid w:val="00D842BF"/>
    <w:rPr>
      <w:i/>
      <w:iCs/>
      <w:color w:val="404040" w:themeColor="text1" w:themeTint="BF"/>
    </w:rPr>
  </w:style>
  <w:style w:type="character" w:customStyle="1" w:styleId="Heading1Char">
    <w:name w:val="Heading 1 Char"/>
    <w:basedOn w:val="DefaultParagraphFont"/>
    <w:link w:val="Heading1"/>
    <w:uiPriority w:val="9"/>
    <w:rsid w:val="00D842BF"/>
    <w:rPr>
      <w:rFonts w:asciiTheme="majorHAnsi" w:eastAsiaTheme="majorEastAsia" w:hAnsiTheme="majorHAnsi" w:cstheme="majorBidi"/>
      <w:color w:val="2E74B5" w:themeColor="accent1" w:themeShade="BF"/>
      <w:sz w:val="32"/>
      <w:szCs w:val="32"/>
    </w:rPr>
  </w:style>
  <w:style w:type="character" w:styleId="Hyperlink">
    <w:name w:val="Hyperlink"/>
    <w:basedOn w:val="DefaultParagraphFont"/>
    <w:uiPriority w:val="99"/>
    <w:unhideWhenUsed/>
    <w:rsid w:val="00F6150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campusontario.pressbooks.pub/commbusprofcdn/" TargetMode="Externa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2178</Words>
  <Characters>12421</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14570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Sammy Chapman</dc:creator>
  <cp:keywords/>
  <dc:description/>
  <cp:lastModifiedBy>Sammy Chapman</cp:lastModifiedBy>
  <cp:revision>2</cp:revision>
  <dcterms:created xsi:type="dcterms:W3CDTF">2020-01-13T23:12:00Z</dcterms:created>
  <dcterms:modified xsi:type="dcterms:W3CDTF">2020-01-13T23:12:00Z</dcterms:modified>
</cp:coreProperties>
</file>