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89BE6" w14:textId="77777777" w:rsidR="00F76C9F" w:rsidRDefault="00F76C9F" w:rsidP="00F76C9F">
      <w:pPr>
        <w:jc w:val="center"/>
        <w:rPr>
          <w:rFonts w:ascii="Times New Roman" w:hAnsi="Times New Roman" w:cs="Times New Roman"/>
          <w:b/>
          <w:bCs/>
          <w:sz w:val="28"/>
          <w:szCs w:val="28"/>
        </w:rPr>
      </w:pPr>
    </w:p>
    <w:p w14:paraId="2B874403" w14:textId="77777777" w:rsidR="00F76C9F" w:rsidRDefault="00F76C9F" w:rsidP="00F76C9F">
      <w:pPr>
        <w:jc w:val="center"/>
        <w:rPr>
          <w:rFonts w:ascii="Times New Roman" w:hAnsi="Times New Roman" w:cs="Times New Roman"/>
          <w:b/>
          <w:bCs/>
          <w:sz w:val="28"/>
          <w:szCs w:val="28"/>
        </w:rPr>
      </w:pPr>
    </w:p>
    <w:p w14:paraId="2EA15D0A" w14:textId="77777777" w:rsidR="00F76C9F" w:rsidRDefault="00F76C9F" w:rsidP="00F76C9F">
      <w:pPr>
        <w:jc w:val="center"/>
        <w:rPr>
          <w:rFonts w:ascii="Times New Roman" w:hAnsi="Times New Roman" w:cs="Times New Roman"/>
          <w:b/>
          <w:bCs/>
          <w:sz w:val="28"/>
          <w:szCs w:val="28"/>
        </w:rPr>
      </w:pPr>
    </w:p>
    <w:p w14:paraId="306ADEB4" w14:textId="77777777" w:rsidR="00F76C9F" w:rsidRDefault="00F76C9F" w:rsidP="00F76C9F">
      <w:pPr>
        <w:jc w:val="center"/>
        <w:rPr>
          <w:rFonts w:ascii="Times New Roman" w:hAnsi="Times New Roman" w:cs="Times New Roman"/>
          <w:b/>
          <w:bCs/>
          <w:sz w:val="28"/>
          <w:szCs w:val="28"/>
        </w:rPr>
      </w:pPr>
    </w:p>
    <w:p w14:paraId="68EAD4F0" w14:textId="77777777" w:rsidR="00F76C9F" w:rsidRDefault="00F76C9F" w:rsidP="00F76C9F">
      <w:pPr>
        <w:jc w:val="center"/>
        <w:rPr>
          <w:rFonts w:ascii="Times New Roman" w:hAnsi="Times New Roman" w:cs="Times New Roman"/>
          <w:b/>
          <w:bCs/>
          <w:sz w:val="28"/>
          <w:szCs w:val="28"/>
        </w:rPr>
      </w:pPr>
    </w:p>
    <w:p w14:paraId="28C7DBC8" w14:textId="77777777" w:rsidR="00F76C9F" w:rsidRDefault="00F76C9F" w:rsidP="00F76C9F">
      <w:pPr>
        <w:jc w:val="center"/>
        <w:rPr>
          <w:rFonts w:ascii="Times New Roman" w:hAnsi="Times New Roman" w:cs="Times New Roman"/>
          <w:b/>
          <w:bCs/>
          <w:sz w:val="28"/>
          <w:szCs w:val="28"/>
        </w:rPr>
      </w:pPr>
    </w:p>
    <w:p w14:paraId="48E4B44B" w14:textId="77777777" w:rsidR="00F76C9F" w:rsidRDefault="00F76C9F" w:rsidP="00F76C9F">
      <w:pPr>
        <w:jc w:val="center"/>
        <w:rPr>
          <w:rFonts w:ascii="Times New Roman" w:hAnsi="Times New Roman" w:cs="Times New Roman"/>
          <w:b/>
          <w:bCs/>
          <w:sz w:val="28"/>
          <w:szCs w:val="28"/>
        </w:rPr>
      </w:pPr>
    </w:p>
    <w:p w14:paraId="6972ECD9" w14:textId="77777777" w:rsidR="00F76C9F" w:rsidRDefault="00F76C9F" w:rsidP="00F76C9F">
      <w:pPr>
        <w:jc w:val="center"/>
        <w:rPr>
          <w:rFonts w:ascii="Times New Roman" w:hAnsi="Times New Roman" w:cs="Times New Roman"/>
          <w:b/>
          <w:bCs/>
          <w:sz w:val="28"/>
          <w:szCs w:val="28"/>
        </w:rPr>
      </w:pPr>
    </w:p>
    <w:p w14:paraId="667D5ABE" w14:textId="14829A96" w:rsidR="00DF52B4" w:rsidRPr="00F76C9F" w:rsidRDefault="00F76C9F" w:rsidP="00F76C9F">
      <w:pPr>
        <w:jc w:val="center"/>
        <w:rPr>
          <w:rFonts w:ascii="Times New Roman" w:hAnsi="Times New Roman" w:cs="Times New Roman"/>
          <w:b/>
          <w:bCs/>
          <w:sz w:val="28"/>
          <w:szCs w:val="28"/>
        </w:rPr>
      </w:pPr>
      <w:r w:rsidRPr="00F76C9F">
        <w:rPr>
          <w:rFonts w:ascii="Times New Roman" w:hAnsi="Times New Roman" w:cs="Times New Roman"/>
          <w:b/>
          <w:bCs/>
          <w:sz w:val="28"/>
          <w:szCs w:val="28"/>
        </w:rPr>
        <w:t>Phoebe Preece</w:t>
      </w:r>
    </w:p>
    <w:p w14:paraId="5A956A92" w14:textId="686012B6" w:rsidR="00F76C9F" w:rsidRPr="00F76C9F" w:rsidRDefault="00F76C9F" w:rsidP="00F76C9F">
      <w:pPr>
        <w:jc w:val="center"/>
        <w:rPr>
          <w:rFonts w:ascii="Times New Roman" w:hAnsi="Times New Roman" w:cs="Times New Roman"/>
          <w:sz w:val="28"/>
          <w:szCs w:val="28"/>
        </w:rPr>
      </w:pPr>
      <w:r w:rsidRPr="00F76C9F">
        <w:rPr>
          <w:rFonts w:ascii="Times New Roman" w:hAnsi="Times New Roman" w:cs="Times New Roman"/>
          <w:sz w:val="28"/>
          <w:szCs w:val="28"/>
        </w:rPr>
        <w:t>2200807</w:t>
      </w:r>
    </w:p>
    <w:p w14:paraId="2F6B0FE3" w14:textId="35E06434" w:rsidR="00F76C9F" w:rsidRPr="00251896" w:rsidRDefault="00F76C9F" w:rsidP="00F76C9F">
      <w:pPr>
        <w:jc w:val="center"/>
        <w:rPr>
          <w:rFonts w:ascii="Times New Roman" w:hAnsi="Times New Roman" w:cs="Times New Roman"/>
          <w:sz w:val="24"/>
          <w:szCs w:val="24"/>
        </w:rPr>
      </w:pPr>
      <w:r w:rsidRPr="00251896">
        <w:rPr>
          <w:rFonts w:ascii="Times New Roman" w:hAnsi="Times New Roman" w:cs="Times New Roman"/>
          <w:b/>
          <w:bCs/>
          <w:sz w:val="24"/>
          <w:szCs w:val="24"/>
        </w:rPr>
        <w:t>ECAD5008</w:t>
      </w:r>
      <w:r w:rsidRPr="00251896">
        <w:rPr>
          <w:rFonts w:ascii="Times New Roman" w:hAnsi="Times New Roman" w:cs="Times New Roman"/>
          <w:sz w:val="24"/>
          <w:szCs w:val="24"/>
        </w:rPr>
        <w:t xml:space="preserve"> - Leading the learning: what, how and why am I teaching?</w:t>
      </w:r>
    </w:p>
    <w:p w14:paraId="1256CE63" w14:textId="1190F344" w:rsidR="00F76C9F" w:rsidRDefault="00F76C9F" w:rsidP="00F76C9F">
      <w:pPr>
        <w:jc w:val="center"/>
        <w:rPr>
          <w:rFonts w:ascii="Times New Roman" w:hAnsi="Times New Roman" w:cs="Times New Roman"/>
          <w:i/>
          <w:iCs/>
          <w:sz w:val="24"/>
          <w:szCs w:val="24"/>
        </w:rPr>
      </w:pPr>
      <w:r w:rsidRPr="00251896">
        <w:rPr>
          <w:rFonts w:ascii="Times New Roman" w:hAnsi="Times New Roman" w:cs="Times New Roman"/>
          <w:i/>
          <w:iCs/>
          <w:sz w:val="24"/>
          <w:szCs w:val="24"/>
        </w:rPr>
        <w:t>‘A written assignment critically evaluating how Assessment for Learning can be utilised in a series of learning opportunities to aid progression across chosen areas of learning and experience’</w:t>
      </w:r>
    </w:p>
    <w:p w14:paraId="0C1AE983" w14:textId="77777777" w:rsidR="00E1032A" w:rsidRDefault="00E1032A" w:rsidP="00F76C9F">
      <w:pPr>
        <w:jc w:val="center"/>
        <w:rPr>
          <w:rFonts w:ascii="Times New Roman" w:hAnsi="Times New Roman" w:cs="Times New Roman"/>
          <w:i/>
          <w:iCs/>
          <w:sz w:val="24"/>
          <w:szCs w:val="24"/>
        </w:rPr>
      </w:pPr>
    </w:p>
    <w:p w14:paraId="76950AC0" w14:textId="7579410B" w:rsidR="00E1032A" w:rsidRPr="00856243" w:rsidRDefault="00856243" w:rsidP="00856243">
      <w:pPr>
        <w:rPr>
          <w:rFonts w:ascii="Times New Roman" w:hAnsi="Times New Roman" w:cs="Times New Roman"/>
          <w:sz w:val="24"/>
          <w:szCs w:val="24"/>
        </w:rPr>
      </w:pPr>
      <w:r w:rsidRPr="00EB1916">
        <w:rPr>
          <w:rFonts w:ascii="Times New Roman" w:hAnsi="Times New Roman" w:cs="Times New Roman"/>
          <w:sz w:val="24"/>
          <w:szCs w:val="24"/>
        </w:rPr>
        <w:t>Word Count:</w:t>
      </w:r>
      <w:r w:rsidR="00EB1916" w:rsidRPr="00EB1916">
        <w:rPr>
          <w:rFonts w:ascii="Times New Roman" w:hAnsi="Times New Roman" w:cs="Times New Roman"/>
          <w:sz w:val="24"/>
          <w:szCs w:val="24"/>
        </w:rPr>
        <w:t xml:space="preserve"> 4397</w:t>
      </w:r>
    </w:p>
    <w:p w14:paraId="46D1C413" w14:textId="77777777" w:rsidR="00E1032A" w:rsidRDefault="00E1032A" w:rsidP="00F76C9F">
      <w:pPr>
        <w:jc w:val="center"/>
        <w:rPr>
          <w:rFonts w:ascii="Times New Roman" w:hAnsi="Times New Roman" w:cs="Times New Roman"/>
          <w:i/>
          <w:iCs/>
          <w:sz w:val="24"/>
          <w:szCs w:val="24"/>
        </w:rPr>
      </w:pPr>
    </w:p>
    <w:p w14:paraId="7B30DBDA" w14:textId="77777777" w:rsidR="00E1032A" w:rsidRDefault="00E1032A" w:rsidP="00E1032A">
      <w:pPr>
        <w:rPr>
          <w:rFonts w:ascii="Times New Roman" w:hAnsi="Times New Roman" w:cs="Times New Roman"/>
          <w:sz w:val="24"/>
          <w:szCs w:val="24"/>
        </w:rPr>
      </w:pPr>
    </w:p>
    <w:p w14:paraId="7253EA79" w14:textId="2EC2E929" w:rsidR="00E1032A" w:rsidRDefault="00E1032A" w:rsidP="00E1032A">
      <w:pPr>
        <w:rPr>
          <w:rFonts w:ascii="Times New Roman" w:hAnsi="Times New Roman" w:cs="Times New Roman"/>
          <w:sz w:val="24"/>
          <w:szCs w:val="24"/>
        </w:rPr>
      </w:pPr>
    </w:p>
    <w:p w14:paraId="5DAF1D22" w14:textId="77777777" w:rsidR="00E1032A" w:rsidRDefault="00E1032A" w:rsidP="00E1032A">
      <w:pPr>
        <w:rPr>
          <w:rFonts w:ascii="Times New Roman" w:hAnsi="Times New Roman" w:cs="Times New Roman"/>
          <w:sz w:val="24"/>
          <w:szCs w:val="24"/>
        </w:rPr>
      </w:pPr>
    </w:p>
    <w:p w14:paraId="5ECFBB16" w14:textId="77777777" w:rsidR="00E1032A" w:rsidRDefault="00E1032A" w:rsidP="00E1032A">
      <w:pPr>
        <w:rPr>
          <w:rFonts w:ascii="Times New Roman" w:hAnsi="Times New Roman" w:cs="Times New Roman"/>
          <w:sz w:val="24"/>
          <w:szCs w:val="24"/>
        </w:rPr>
      </w:pPr>
    </w:p>
    <w:p w14:paraId="28F5FDF3" w14:textId="77777777" w:rsidR="00E1032A" w:rsidRDefault="00E1032A" w:rsidP="00E1032A">
      <w:pPr>
        <w:rPr>
          <w:rFonts w:ascii="Times New Roman" w:hAnsi="Times New Roman" w:cs="Times New Roman"/>
          <w:sz w:val="24"/>
          <w:szCs w:val="24"/>
        </w:rPr>
      </w:pPr>
    </w:p>
    <w:p w14:paraId="509790A0" w14:textId="77777777" w:rsidR="00E1032A" w:rsidRDefault="00E1032A" w:rsidP="00E1032A">
      <w:pPr>
        <w:rPr>
          <w:rFonts w:ascii="Times New Roman" w:hAnsi="Times New Roman" w:cs="Times New Roman"/>
          <w:sz w:val="24"/>
          <w:szCs w:val="24"/>
        </w:rPr>
      </w:pPr>
    </w:p>
    <w:p w14:paraId="0DACFE57" w14:textId="77777777" w:rsidR="00E1032A" w:rsidRPr="00856243" w:rsidRDefault="00E1032A" w:rsidP="00E1032A">
      <w:pPr>
        <w:rPr>
          <w:rFonts w:ascii="Times New Roman" w:hAnsi="Times New Roman" w:cs="Times New Roman"/>
          <w:b/>
          <w:bCs/>
          <w:sz w:val="24"/>
          <w:szCs w:val="24"/>
        </w:rPr>
      </w:pPr>
    </w:p>
    <w:p w14:paraId="19B8E8E4" w14:textId="77777777" w:rsidR="00856243" w:rsidRDefault="00856243" w:rsidP="00E1032A">
      <w:pPr>
        <w:rPr>
          <w:rFonts w:ascii="Times New Roman" w:hAnsi="Times New Roman" w:cs="Times New Roman"/>
          <w:b/>
          <w:bCs/>
          <w:sz w:val="24"/>
          <w:szCs w:val="24"/>
        </w:rPr>
      </w:pPr>
    </w:p>
    <w:p w14:paraId="3CA07A7C" w14:textId="77777777" w:rsidR="00856243" w:rsidRDefault="00856243" w:rsidP="00E1032A">
      <w:pPr>
        <w:rPr>
          <w:rFonts w:ascii="Times New Roman" w:hAnsi="Times New Roman" w:cs="Times New Roman"/>
          <w:b/>
          <w:bCs/>
          <w:sz w:val="24"/>
          <w:szCs w:val="24"/>
        </w:rPr>
      </w:pPr>
    </w:p>
    <w:p w14:paraId="145D791F" w14:textId="7387B4F8" w:rsidR="00E1032A" w:rsidRPr="00CF37AE" w:rsidRDefault="00E1032A" w:rsidP="00E1032A">
      <w:pPr>
        <w:rPr>
          <w:rFonts w:ascii="Times New Roman" w:hAnsi="Times New Roman" w:cs="Times New Roman"/>
          <w:b/>
          <w:bCs/>
        </w:rPr>
      </w:pPr>
      <w:r w:rsidRPr="00CF37AE">
        <w:rPr>
          <w:rFonts w:ascii="Times New Roman" w:hAnsi="Times New Roman" w:cs="Times New Roman"/>
          <w:b/>
          <w:bCs/>
        </w:rPr>
        <w:t>Targets</w:t>
      </w:r>
      <w:r w:rsidR="00856243" w:rsidRPr="00CF37AE">
        <w:rPr>
          <w:rFonts w:ascii="Times New Roman" w:hAnsi="Times New Roman" w:cs="Times New Roman"/>
          <w:b/>
          <w:bCs/>
        </w:rPr>
        <w:t xml:space="preserve"> from previous assignment (BA1):</w:t>
      </w:r>
    </w:p>
    <w:p w14:paraId="73D4038A" w14:textId="2F6C33D1" w:rsidR="00856243" w:rsidRPr="00CF37AE" w:rsidRDefault="00856243" w:rsidP="00856243">
      <w:pPr>
        <w:pStyle w:val="ListParagraph"/>
        <w:numPr>
          <w:ilvl w:val="0"/>
          <w:numId w:val="5"/>
        </w:numPr>
        <w:rPr>
          <w:rFonts w:ascii="Times New Roman" w:hAnsi="Times New Roman" w:cs="Times New Roman"/>
        </w:rPr>
      </w:pPr>
      <w:r w:rsidRPr="00CF37AE">
        <w:rPr>
          <w:rFonts w:ascii="Times New Roman" w:hAnsi="Times New Roman" w:cs="Times New Roman"/>
        </w:rPr>
        <w:t xml:space="preserve">Plan the points you are trying to make and the structure of your paragraphs. </w:t>
      </w:r>
    </w:p>
    <w:p w14:paraId="2E6D31D7" w14:textId="14ED077E" w:rsidR="00856243" w:rsidRPr="00CF37AE" w:rsidRDefault="00856243" w:rsidP="00856243">
      <w:pPr>
        <w:pStyle w:val="ListParagraph"/>
        <w:numPr>
          <w:ilvl w:val="0"/>
          <w:numId w:val="5"/>
        </w:numPr>
        <w:rPr>
          <w:rFonts w:ascii="Times New Roman" w:hAnsi="Times New Roman" w:cs="Times New Roman"/>
        </w:rPr>
      </w:pPr>
      <w:r w:rsidRPr="00CF37AE">
        <w:rPr>
          <w:rFonts w:ascii="Times New Roman" w:hAnsi="Times New Roman" w:cs="Times New Roman"/>
        </w:rPr>
        <w:t xml:space="preserve">Consider the validity and purpose of your sources. </w:t>
      </w:r>
    </w:p>
    <w:p w14:paraId="1A606578" w14:textId="65966615" w:rsidR="00856243" w:rsidRPr="00CF37AE" w:rsidRDefault="00856243" w:rsidP="00856243">
      <w:pPr>
        <w:rPr>
          <w:rFonts w:ascii="Times New Roman" w:hAnsi="Times New Roman" w:cs="Times New Roman"/>
        </w:rPr>
      </w:pPr>
      <w:r w:rsidRPr="00CF37AE">
        <w:rPr>
          <w:rFonts w:ascii="Times New Roman" w:hAnsi="Times New Roman" w:cs="Times New Roman"/>
        </w:rPr>
        <w:t>(LM, 2023)</w:t>
      </w:r>
    </w:p>
    <w:p w14:paraId="7D48CAF8" w14:textId="24C88D09" w:rsidR="00156D1B" w:rsidRPr="0027692C" w:rsidRDefault="001E2BBA" w:rsidP="00156D1B">
      <w:pPr>
        <w:rPr>
          <w:rFonts w:ascii="Times New Roman" w:hAnsi="Times New Roman" w:cs="Times New Roman"/>
        </w:rPr>
      </w:pPr>
      <w:r w:rsidRPr="0027692C">
        <w:rPr>
          <w:rFonts w:ascii="Times New Roman" w:hAnsi="Times New Roman" w:cs="Times New Roman"/>
        </w:rPr>
        <w:lastRenderedPageBreak/>
        <w:t>Assessment for Learning</w:t>
      </w:r>
      <w:r w:rsidR="00615B16" w:rsidRPr="0027692C">
        <w:rPr>
          <w:rFonts w:ascii="Times New Roman" w:hAnsi="Times New Roman" w:cs="Times New Roman"/>
        </w:rPr>
        <w:t xml:space="preserve"> (</w:t>
      </w:r>
      <w:proofErr w:type="spellStart"/>
      <w:r w:rsidR="00615B16" w:rsidRPr="0027692C">
        <w:rPr>
          <w:rFonts w:ascii="Times New Roman" w:hAnsi="Times New Roman" w:cs="Times New Roman"/>
        </w:rPr>
        <w:t>AfL</w:t>
      </w:r>
      <w:proofErr w:type="spellEnd"/>
      <w:r w:rsidR="00615B16" w:rsidRPr="0027692C">
        <w:rPr>
          <w:rFonts w:ascii="Times New Roman" w:hAnsi="Times New Roman" w:cs="Times New Roman"/>
        </w:rPr>
        <w:t>)</w:t>
      </w:r>
      <w:r w:rsidRPr="0027692C">
        <w:rPr>
          <w:rFonts w:ascii="Times New Roman" w:hAnsi="Times New Roman" w:cs="Times New Roman"/>
        </w:rPr>
        <w:t xml:space="preserve"> is an effective approach to teaching that </w:t>
      </w:r>
      <w:r w:rsidR="00C365FC" w:rsidRPr="0027692C">
        <w:rPr>
          <w:rFonts w:ascii="Times New Roman" w:hAnsi="Times New Roman" w:cs="Times New Roman"/>
        </w:rPr>
        <w:t xml:space="preserve">became paramount through the implementation of the New Curriculum for Wales </w:t>
      </w:r>
      <w:r w:rsidR="009A29E4">
        <w:rPr>
          <w:rFonts w:ascii="Times New Roman" w:hAnsi="Times New Roman" w:cs="Times New Roman"/>
        </w:rPr>
        <w:t>(</w:t>
      </w:r>
      <w:r w:rsidR="00C365FC" w:rsidRPr="0027692C">
        <w:rPr>
          <w:rFonts w:ascii="Times New Roman" w:hAnsi="Times New Roman" w:cs="Times New Roman"/>
        </w:rPr>
        <w:t>2022</w:t>
      </w:r>
      <w:r w:rsidR="009A29E4">
        <w:rPr>
          <w:rFonts w:ascii="Times New Roman" w:hAnsi="Times New Roman" w:cs="Times New Roman"/>
        </w:rPr>
        <w:t>)</w:t>
      </w:r>
      <w:r w:rsidR="00C365FC" w:rsidRPr="0027692C">
        <w:rPr>
          <w:rFonts w:ascii="Times New Roman" w:hAnsi="Times New Roman" w:cs="Times New Roman"/>
        </w:rPr>
        <w:t xml:space="preserve">. The Welsh Government state that effective pedagogy should embed </w:t>
      </w:r>
      <w:proofErr w:type="spellStart"/>
      <w:r w:rsidR="00C365FC" w:rsidRPr="0027692C">
        <w:rPr>
          <w:rFonts w:ascii="Times New Roman" w:hAnsi="Times New Roman" w:cs="Times New Roman"/>
        </w:rPr>
        <w:t>AfL</w:t>
      </w:r>
      <w:proofErr w:type="spellEnd"/>
      <w:r w:rsidR="00C365FC" w:rsidRPr="0027692C">
        <w:rPr>
          <w:rFonts w:ascii="Times New Roman" w:hAnsi="Times New Roman" w:cs="Times New Roman"/>
        </w:rPr>
        <w:t xml:space="preserve"> techniques within lessons that address </w:t>
      </w:r>
      <w:r w:rsidR="009A29E4">
        <w:rPr>
          <w:rFonts w:ascii="Times New Roman" w:hAnsi="Times New Roman" w:cs="Times New Roman"/>
        </w:rPr>
        <w:t xml:space="preserve">individuals </w:t>
      </w:r>
      <w:r w:rsidR="00C365FC" w:rsidRPr="0027692C">
        <w:rPr>
          <w:rFonts w:ascii="Times New Roman" w:hAnsi="Times New Roman" w:cs="Times New Roman"/>
        </w:rPr>
        <w:t xml:space="preserve">current understanding, </w:t>
      </w:r>
      <w:r w:rsidR="009A29E4">
        <w:rPr>
          <w:rFonts w:ascii="Times New Roman" w:hAnsi="Times New Roman" w:cs="Times New Roman"/>
        </w:rPr>
        <w:t xml:space="preserve">the steps </w:t>
      </w:r>
      <w:r w:rsidR="00C365FC" w:rsidRPr="0027692C">
        <w:rPr>
          <w:rFonts w:ascii="Times New Roman" w:hAnsi="Times New Roman" w:cs="Times New Roman"/>
        </w:rPr>
        <w:t>to progress, and how to get there</w:t>
      </w:r>
      <w:r w:rsidR="0027692C" w:rsidRPr="0027692C">
        <w:rPr>
          <w:rFonts w:ascii="Times New Roman" w:hAnsi="Times New Roman" w:cs="Times New Roman"/>
        </w:rPr>
        <w:t xml:space="preserve"> (Welsh Government, 2022); </w:t>
      </w:r>
      <w:r w:rsidR="0027692C" w:rsidRPr="0027692C">
        <w:rPr>
          <w:rFonts w:ascii="Times New Roman" w:hAnsi="Times New Roman" w:cs="Times New Roman"/>
        </w:rPr>
        <w:t>often refer</w:t>
      </w:r>
      <w:r w:rsidR="0027692C" w:rsidRPr="0027692C">
        <w:rPr>
          <w:rFonts w:ascii="Times New Roman" w:hAnsi="Times New Roman" w:cs="Times New Roman"/>
        </w:rPr>
        <w:t>red</w:t>
      </w:r>
      <w:r w:rsidR="0027692C" w:rsidRPr="0027692C">
        <w:rPr>
          <w:rFonts w:ascii="Times New Roman" w:hAnsi="Times New Roman" w:cs="Times New Roman"/>
        </w:rPr>
        <w:t xml:space="preserve"> to as ‘closing the gap’</w:t>
      </w:r>
      <w:r w:rsidR="00AA7F3D" w:rsidRPr="0027692C">
        <w:rPr>
          <w:rFonts w:ascii="Times New Roman" w:hAnsi="Times New Roman" w:cs="Times New Roman"/>
        </w:rPr>
        <w:t xml:space="preserve"> </w:t>
      </w:r>
      <w:r w:rsidR="0027692C" w:rsidRPr="0027692C">
        <w:rPr>
          <w:rFonts w:ascii="Times New Roman" w:hAnsi="Times New Roman" w:cs="Times New Roman"/>
        </w:rPr>
        <w:t xml:space="preserve">in learning </w:t>
      </w:r>
      <w:r w:rsidR="0027692C" w:rsidRPr="0027692C">
        <w:rPr>
          <w:rFonts w:ascii="Times New Roman" w:hAnsi="Times New Roman" w:cs="Times New Roman"/>
        </w:rPr>
        <w:t xml:space="preserve">(Ramaprasad, 1983, p.4). </w:t>
      </w:r>
      <w:r w:rsidR="00C365FC" w:rsidRPr="0027692C">
        <w:rPr>
          <w:rFonts w:ascii="Times New Roman" w:hAnsi="Times New Roman" w:cs="Times New Roman"/>
        </w:rPr>
        <w:t xml:space="preserve">As highlighted within the twelve pedagogical principles that underpin </w:t>
      </w:r>
      <w:r w:rsidR="00615B16" w:rsidRPr="0027692C">
        <w:rPr>
          <w:rFonts w:ascii="Times New Roman" w:hAnsi="Times New Roman" w:cs="Times New Roman"/>
        </w:rPr>
        <w:t>the significance of</w:t>
      </w:r>
      <w:r w:rsidR="00C365FC" w:rsidRPr="0027692C">
        <w:rPr>
          <w:rFonts w:ascii="Times New Roman" w:hAnsi="Times New Roman" w:cs="Times New Roman"/>
        </w:rPr>
        <w:t xml:space="preserve"> effective teaching and learning, </w:t>
      </w:r>
      <w:proofErr w:type="spellStart"/>
      <w:r w:rsidR="00C365FC" w:rsidRPr="0027692C">
        <w:rPr>
          <w:rFonts w:ascii="Times New Roman" w:hAnsi="Times New Roman" w:cs="Times New Roman"/>
        </w:rPr>
        <w:t>AfL</w:t>
      </w:r>
      <w:proofErr w:type="spellEnd"/>
      <w:r w:rsidR="00C365FC" w:rsidRPr="0027692C">
        <w:rPr>
          <w:rFonts w:ascii="Times New Roman" w:hAnsi="Times New Roman" w:cs="Times New Roman"/>
        </w:rPr>
        <w:t xml:space="preserve"> should naturally integrate within learning and can be adapted to all learners, regardless of abilities (</w:t>
      </w:r>
      <w:r w:rsidR="00DB1DDD" w:rsidRPr="0027692C">
        <w:rPr>
          <w:rFonts w:ascii="Times New Roman" w:hAnsi="Times New Roman" w:cs="Times New Roman"/>
        </w:rPr>
        <w:t xml:space="preserve">Welsh Government, 2022). </w:t>
      </w:r>
      <w:r w:rsidR="00C365FC" w:rsidRPr="0027692C">
        <w:rPr>
          <w:rFonts w:ascii="Times New Roman" w:hAnsi="Times New Roman" w:cs="Times New Roman"/>
        </w:rPr>
        <w:t>This is vital for the success of individual learners in terms of giving opportunities for them to maximi</w:t>
      </w:r>
      <w:r w:rsidR="008B677B">
        <w:rPr>
          <w:rFonts w:ascii="Times New Roman" w:hAnsi="Times New Roman" w:cs="Times New Roman"/>
        </w:rPr>
        <w:t xml:space="preserve">ze </w:t>
      </w:r>
      <w:r w:rsidR="00C365FC" w:rsidRPr="0027692C">
        <w:rPr>
          <w:rFonts w:ascii="Times New Roman" w:hAnsi="Times New Roman" w:cs="Times New Roman"/>
        </w:rPr>
        <w:t xml:space="preserve">their full potential </w:t>
      </w:r>
      <w:r w:rsidR="00DB1DDD" w:rsidRPr="0027692C">
        <w:rPr>
          <w:rFonts w:ascii="Times New Roman" w:hAnsi="Times New Roman" w:cs="Times New Roman"/>
        </w:rPr>
        <w:t>(Welsh Government, 2022)</w:t>
      </w:r>
      <w:r w:rsidR="00C365FC" w:rsidRPr="0027692C">
        <w:rPr>
          <w:rFonts w:ascii="Times New Roman" w:hAnsi="Times New Roman" w:cs="Times New Roman"/>
        </w:rPr>
        <w:t xml:space="preserve"> </w:t>
      </w:r>
    </w:p>
    <w:p w14:paraId="539E8B92" w14:textId="510EEE44" w:rsidR="003205B9" w:rsidRDefault="00CA590F" w:rsidP="003205B9">
      <w:pPr>
        <w:pStyle w:val="NormalWeb"/>
        <w:shd w:val="clear" w:color="auto" w:fill="FFFFFF"/>
        <w:spacing w:before="0" w:beforeAutospacing="0" w:after="0" w:afterAutospacing="0"/>
        <w:textAlignment w:val="baseline"/>
        <w:rPr>
          <w:sz w:val="22"/>
          <w:szCs w:val="22"/>
        </w:rPr>
      </w:pPr>
      <w:proofErr w:type="spellStart"/>
      <w:r w:rsidRPr="0027692C">
        <w:rPr>
          <w:sz w:val="22"/>
          <w:szCs w:val="22"/>
        </w:rPr>
        <w:t>AfL</w:t>
      </w:r>
      <w:proofErr w:type="spellEnd"/>
      <w:r w:rsidR="008B677B">
        <w:rPr>
          <w:sz w:val="22"/>
          <w:szCs w:val="22"/>
        </w:rPr>
        <w:t xml:space="preserve"> </w:t>
      </w:r>
      <w:r w:rsidRPr="0027692C">
        <w:rPr>
          <w:sz w:val="22"/>
          <w:szCs w:val="22"/>
        </w:rPr>
        <w:t>was introduced by Gipps</w:t>
      </w:r>
      <w:r w:rsidR="008B677B">
        <w:rPr>
          <w:sz w:val="22"/>
          <w:szCs w:val="22"/>
        </w:rPr>
        <w:t xml:space="preserve"> (1</w:t>
      </w:r>
      <w:r w:rsidRPr="0027692C">
        <w:rPr>
          <w:sz w:val="22"/>
          <w:szCs w:val="22"/>
        </w:rPr>
        <w:t>994</w:t>
      </w:r>
      <w:r w:rsidR="008B677B">
        <w:rPr>
          <w:sz w:val="22"/>
          <w:szCs w:val="22"/>
        </w:rPr>
        <w:t>)</w:t>
      </w:r>
      <w:r w:rsidR="00A356CF" w:rsidRPr="0027692C">
        <w:rPr>
          <w:sz w:val="22"/>
          <w:szCs w:val="22"/>
        </w:rPr>
        <w:t>, who s</w:t>
      </w:r>
      <w:r w:rsidR="008B677B">
        <w:rPr>
          <w:sz w:val="22"/>
          <w:szCs w:val="22"/>
        </w:rPr>
        <w:t xml:space="preserve">tates that </w:t>
      </w:r>
      <w:r w:rsidR="00A356CF" w:rsidRPr="0027692C">
        <w:rPr>
          <w:sz w:val="22"/>
          <w:szCs w:val="22"/>
        </w:rPr>
        <w:t>formative assessment is paramount to progress</w:t>
      </w:r>
      <w:r w:rsidR="008B677B">
        <w:rPr>
          <w:sz w:val="22"/>
          <w:szCs w:val="22"/>
        </w:rPr>
        <w:t>ion</w:t>
      </w:r>
      <w:r w:rsidR="00A356CF" w:rsidRPr="0027692C">
        <w:rPr>
          <w:sz w:val="22"/>
          <w:szCs w:val="22"/>
        </w:rPr>
        <w:t xml:space="preserve"> (Gipps and Tunstall, 1996, p. 389)</w:t>
      </w:r>
      <w:r w:rsidR="009A29E4">
        <w:rPr>
          <w:sz w:val="22"/>
          <w:szCs w:val="22"/>
        </w:rPr>
        <w:t>.</w:t>
      </w:r>
      <w:r w:rsidR="0027692C" w:rsidRPr="0027692C">
        <w:rPr>
          <w:sz w:val="22"/>
          <w:szCs w:val="22"/>
        </w:rPr>
        <w:t xml:space="preserve"> </w:t>
      </w:r>
      <w:r w:rsidRPr="0027692C">
        <w:rPr>
          <w:sz w:val="22"/>
          <w:szCs w:val="22"/>
        </w:rPr>
        <w:t xml:space="preserve">Further research </w:t>
      </w:r>
      <w:r w:rsidR="009A29E4">
        <w:rPr>
          <w:sz w:val="22"/>
          <w:szCs w:val="22"/>
        </w:rPr>
        <w:t>from</w:t>
      </w:r>
      <w:r w:rsidRPr="0027692C">
        <w:rPr>
          <w:sz w:val="22"/>
          <w:szCs w:val="22"/>
        </w:rPr>
        <w:t xml:space="preserve"> </w:t>
      </w:r>
      <w:r w:rsidR="00615B16" w:rsidRPr="0027692C">
        <w:rPr>
          <w:sz w:val="22"/>
          <w:szCs w:val="22"/>
        </w:rPr>
        <w:t>‘</w:t>
      </w:r>
      <w:r w:rsidRPr="0027692C">
        <w:rPr>
          <w:sz w:val="22"/>
          <w:szCs w:val="22"/>
        </w:rPr>
        <w:t>Inside the Black Box</w:t>
      </w:r>
      <w:r w:rsidR="00615B16" w:rsidRPr="0027692C">
        <w:rPr>
          <w:sz w:val="22"/>
          <w:szCs w:val="22"/>
        </w:rPr>
        <w:t>’</w:t>
      </w:r>
      <w:r w:rsidRPr="0027692C">
        <w:rPr>
          <w:sz w:val="22"/>
          <w:szCs w:val="22"/>
        </w:rPr>
        <w:t>, discovered that students who learn in a formative way, achieve much higher results than those who use summative assessment</w:t>
      </w:r>
      <w:r w:rsidR="00D1064A" w:rsidRPr="0027692C">
        <w:rPr>
          <w:sz w:val="22"/>
          <w:szCs w:val="22"/>
        </w:rPr>
        <w:t xml:space="preserve"> (Black and Wiliam, 1998</w:t>
      </w:r>
      <w:r w:rsidRPr="0027692C">
        <w:rPr>
          <w:sz w:val="22"/>
          <w:szCs w:val="22"/>
        </w:rPr>
        <w:t>)</w:t>
      </w:r>
      <w:r w:rsidR="00D1064A" w:rsidRPr="0027692C">
        <w:rPr>
          <w:sz w:val="22"/>
          <w:szCs w:val="22"/>
        </w:rPr>
        <w:t>.</w:t>
      </w:r>
      <w:r w:rsidR="0027692C" w:rsidRPr="0027692C">
        <w:rPr>
          <w:sz w:val="22"/>
          <w:szCs w:val="22"/>
        </w:rPr>
        <w:t xml:space="preserve"> </w:t>
      </w:r>
      <w:r w:rsidR="008B677B">
        <w:rPr>
          <w:sz w:val="22"/>
          <w:szCs w:val="22"/>
        </w:rPr>
        <w:t xml:space="preserve">It’s </w:t>
      </w:r>
      <w:r w:rsidR="0076205F" w:rsidRPr="0027692C">
        <w:rPr>
          <w:sz w:val="22"/>
          <w:szCs w:val="22"/>
        </w:rPr>
        <w:t xml:space="preserve">argued that as a nation, we failed to see the need </w:t>
      </w:r>
      <w:r w:rsidR="00986246" w:rsidRPr="0027692C">
        <w:rPr>
          <w:sz w:val="22"/>
          <w:szCs w:val="22"/>
        </w:rPr>
        <w:t>of</w:t>
      </w:r>
      <w:r w:rsidR="0076205F" w:rsidRPr="0027692C">
        <w:rPr>
          <w:sz w:val="22"/>
          <w:szCs w:val="22"/>
        </w:rPr>
        <w:t xml:space="preserve"> substantial support for formative assessmen</w:t>
      </w:r>
      <w:r w:rsidR="005272BE" w:rsidRPr="0027692C">
        <w:rPr>
          <w:sz w:val="22"/>
          <w:szCs w:val="22"/>
        </w:rPr>
        <w:t>t</w:t>
      </w:r>
      <w:r w:rsidR="00C52818" w:rsidRPr="0027692C">
        <w:rPr>
          <w:sz w:val="22"/>
          <w:szCs w:val="22"/>
        </w:rPr>
        <w:t xml:space="preserve">, </w:t>
      </w:r>
      <w:r w:rsidR="00A02225" w:rsidRPr="0027692C">
        <w:rPr>
          <w:sz w:val="22"/>
          <w:szCs w:val="22"/>
        </w:rPr>
        <w:t>even though</w:t>
      </w:r>
      <w:r w:rsidR="0027765C" w:rsidRPr="0027692C">
        <w:rPr>
          <w:sz w:val="22"/>
          <w:szCs w:val="22"/>
        </w:rPr>
        <w:t xml:space="preserve">, evidence from this report shows that </w:t>
      </w:r>
      <w:r w:rsidR="0027692C" w:rsidRPr="0027692C">
        <w:rPr>
          <w:sz w:val="22"/>
          <w:szCs w:val="22"/>
        </w:rPr>
        <w:t xml:space="preserve">it </w:t>
      </w:r>
      <w:r w:rsidR="0027765C" w:rsidRPr="0027692C">
        <w:rPr>
          <w:sz w:val="22"/>
          <w:szCs w:val="22"/>
        </w:rPr>
        <w:t xml:space="preserve">is vital </w:t>
      </w:r>
      <w:r w:rsidR="00615B16" w:rsidRPr="0027692C">
        <w:rPr>
          <w:sz w:val="22"/>
          <w:szCs w:val="22"/>
        </w:rPr>
        <w:t xml:space="preserve">for </w:t>
      </w:r>
      <w:r w:rsidR="009C6AC9">
        <w:rPr>
          <w:sz w:val="22"/>
          <w:szCs w:val="22"/>
        </w:rPr>
        <w:t>progression</w:t>
      </w:r>
      <w:r w:rsidR="008B677B">
        <w:rPr>
          <w:sz w:val="22"/>
          <w:szCs w:val="22"/>
        </w:rPr>
        <w:t xml:space="preserve">, particularly for low achievers </w:t>
      </w:r>
      <w:r w:rsidR="008B677B" w:rsidRPr="0027692C">
        <w:rPr>
          <w:sz w:val="22"/>
          <w:szCs w:val="22"/>
        </w:rPr>
        <w:t>(Black and Wiliam, 1998)</w:t>
      </w:r>
      <w:r w:rsidR="008B677B">
        <w:rPr>
          <w:sz w:val="22"/>
          <w:szCs w:val="22"/>
        </w:rPr>
        <w:t xml:space="preserve">. </w:t>
      </w:r>
      <w:r w:rsidR="008431DA" w:rsidRPr="0027692C">
        <w:rPr>
          <w:sz w:val="22"/>
          <w:szCs w:val="22"/>
        </w:rPr>
        <w:t xml:space="preserve">Wiliam </w:t>
      </w:r>
      <w:r w:rsidR="00C52818" w:rsidRPr="0027692C">
        <w:rPr>
          <w:sz w:val="22"/>
          <w:szCs w:val="22"/>
        </w:rPr>
        <w:t>state</w:t>
      </w:r>
      <w:r w:rsidR="00615B16" w:rsidRPr="0027692C">
        <w:rPr>
          <w:sz w:val="22"/>
          <w:szCs w:val="22"/>
        </w:rPr>
        <w:t xml:space="preserve">s </w:t>
      </w:r>
      <w:r w:rsidR="00C52818" w:rsidRPr="0027692C">
        <w:rPr>
          <w:sz w:val="22"/>
          <w:szCs w:val="22"/>
        </w:rPr>
        <w:t xml:space="preserve">that “if we are serious about student achievement, </w:t>
      </w:r>
      <w:r w:rsidR="009C6AC9">
        <w:rPr>
          <w:sz w:val="22"/>
          <w:szCs w:val="22"/>
        </w:rPr>
        <w:t xml:space="preserve">and </w:t>
      </w:r>
      <w:r w:rsidR="00C52818" w:rsidRPr="0027692C">
        <w:rPr>
          <w:sz w:val="22"/>
          <w:szCs w:val="22"/>
        </w:rPr>
        <w:t>investing in teachers, we should do it through formative assessment because the evidence suggests we are going to have more affect there than we will do than anywhere else.” (</w:t>
      </w:r>
      <w:r w:rsidR="007B6B31" w:rsidRPr="0027692C">
        <w:rPr>
          <w:sz w:val="22"/>
          <w:szCs w:val="22"/>
        </w:rPr>
        <w:t>Wiliam, 2018</w:t>
      </w:r>
      <w:r w:rsidR="00C52818" w:rsidRPr="0027692C">
        <w:rPr>
          <w:sz w:val="22"/>
          <w:szCs w:val="22"/>
        </w:rPr>
        <w:t>)</w:t>
      </w:r>
      <w:r w:rsidR="00615B16" w:rsidRPr="0027692C">
        <w:rPr>
          <w:sz w:val="22"/>
          <w:szCs w:val="22"/>
        </w:rPr>
        <w:t xml:space="preserve">. </w:t>
      </w:r>
      <w:r w:rsidR="009C6AC9">
        <w:rPr>
          <w:sz w:val="22"/>
          <w:szCs w:val="22"/>
        </w:rPr>
        <w:t xml:space="preserve">Therefore, the sole purpose of </w:t>
      </w:r>
      <w:proofErr w:type="spellStart"/>
      <w:r w:rsidR="009C6AC9">
        <w:rPr>
          <w:sz w:val="22"/>
          <w:szCs w:val="22"/>
        </w:rPr>
        <w:t>AfL</w:t>
      </w:r>
      <w:proofErr w:type="spellEnd"/>
      <w:r w:rsidR="009C6AC9">
        <w:rPr>
          <w:sz w:val="22"/>
          <w:szCs w:val="22"/>
        </w:rPr>
        <w:t xml:space="preserve"> is to allow learners to be actively engaged with their learning, so they can successfully </w:t>
      </w:r>
      <w:r w:rsidR="009A29E4">
        <w:rPr>
          <w:sz w:val="22"/>
          <w:szCs w:val="22"/>
        </w:rPr>
        <w:t xml:space="preserve">know the next step and </w:t>
      </w:r>
      <w:r w:rsidR="009C6AC9">
        <w:rPr>
          <w:sz w:val="22"/>
          <w:szCs w:val="22"/>
        </w:rPr>
        <w:t xml:space="preserve">show progress in their education. </w:t>
      </w:r>
    </w:p>
    <w:p w14:paraId="6B9BCEA0" w14:textId="77777777" w:rsidR="009C6AC9" w:rsidRPr="0027692C" w:rsidRDefault="009C6AC9" w:rsidP="003205B9">
      <w:pPr>
        <w:pStyle w:val="NormalWeb"/>
        <w:shd w:val="clear" w:color="auto" w:fill="FFFFFF"/>
        <w:spacing w:before="0" w:beforeAutospacing="0" w:after="0" w:afterAutospacing="0"/>
        <w:textAlignment w:val="baseline"/>
        <w:rPr>
          <w:color w:val="0070C0"/>
          <w:sz w:val="22"/>
          <w:szCs w:val="22"/>
        </w:rPr>
      </w:pPr>
    </w:p>
    <w:p w14:paraId="454C1AD0" w14:textId="6AB4FF57" w:rsidR="009307D3" w:rsidRPr="0027692C" w:rsidRDefault="00C043E0" w:rsidP="003205B9">
      <w:pPr>
        <w:pStyle w:val="NormalWeb"/>
        <w:shd w:val="clear" w:color="auto" w:fill="FFFFFF"/>
        <w:spacing w:before="0" w:beforeAutospacing="0" w:after="0" w:afterAutospacing="0"/>
        <w:textAlignment w:val="baseline"/>
        <w:rPr>
          <w:sz w:val="22"/>
          <w:szCs w:val="22"/>
        </w:rPr>
      </w:pPr>
      <w:r w:rsidRPr="0027692C">
        <w:rPr>
          <w:sz w:val="22"/>
          <w:szCs w:val="22"/>
        </w:rPr>
        <w:t>Over the last few weeks, I have worked alongside a year six class of ten to eleven year olds</w:t>
      </w:r>
      <w:r w:rsidR="009C6AC9">
        <w:rPr>
          <w:sz w:val="22"/>
          <w:szCs w:val="22"/>
        </w:rPr>
        <w:t>. Differentiation was at the heart of the school, due to the vast amount of additional learning needs (ALN). Through the use of the ‘Chilli Challenges’</w:t>
      </w:r>
      <w:r w:rsidR="009A29E4">
        <w:rPr>
          <w:sz w:val="22"/>
          <w:szCs w:val="22"/>
        </w:rPr>
        <w:t>;</w:t>
      </w:r>
      <w:r w:rsidR="009C6AC9">
        <w:rPr>
          <w:sz w:val="22"/>
          <w:szCs w:val="22"/>
        </w:rPr>
        <w:t xml:space="preserve"> </w:t>
      </w:r>
      <w:r w:rsidRPr="0027692C">
        <w:rPr>
          <w:sz w:val="22"/>
          <w:szCs w:val="22"/>
        </w:rPr>
        <w:t>which are different levels of learning that the children can chose</w:t>
      </w:r>
      <w:r w:rsidR="009A29E4">
        <w:rPr>
          <w:sz w:val="22"/>
          <w:szCs w:val="22"/>
        </w:rPr>
        <w:t xml:space="preserve"> based on understanding, confidence and challenge</w:t>
      </w:r>
      <w:r w:rsidRPr="0027692C">
        <w:rPr>
          <w:sz w:val="22"/>
          <w:szCs w:val="22"/>
        </w:rPr>
        <w:t xml:space="preserve">. </w:t>
      </w:r>
      <w:r w:rsidR="00F50C3E">
        <w:rPr>
          <w:sz w:val="22"/>
          <w:szCs w:val="22"/>
        </w:rPr>
        <w:t xml:space="preserve">This </w:t>
      </w:r>
      <w:r w:rsidR="00BB40AE" w:rsidRPr="0027692C">
        <w:rPr>
          <w:sz w:val="22"/>
          <w:szCs w:val="22"/>
        </w:rPr>
        <w:t>means their learning is not just limited to one level</w:t>
      </w:r>
      <w:r w:rsidR="009F7A17" w:rsidRPr="0027692C">
        <w:rPr>
          <w:sz w:val="22"/>
          <w:szCs w:val="22"/>
        </w:rPr>
        <w:t>,</w:t>
      </w:r>
      <w:r w:rsidR="009C6AC9">
        <w:rPr>
          <w:sz w:val="22"/>
          <w:szCs w:val="22"/>
        </w:rPr>
        <w:t xml:space="preserve"> and can be different</w:t>
      </w:r>
      <w:r w:rsidR="00F50C3E">
        <w:rPr>
          <w:sz w:val="22"/>
          <w:szCs w:val="22"/>
        </w:rPr>
        <w:t xml:space="preserve"> for each child,</w:t>
      </w:r>
      <w:r w:rsidR="009C6AC9">
        <w:rPr>
          <w:sz w:val="22"/>
          <w:szCs w:val="22"/>
        </w:rPr>
        <w:t xml:space="preserve"> within each statement of what matters and </w:t>
      </w:r>
      <w:r w:rsidR="009A29E4">
        <w:rPr>
          <w:sz w:val="22"/>
          <w:szCs w:val="22"/>
        </w:rPr>
        <w:t>area of learning and experience (</w:t>
      </w:r>
      <w:r w:rsidR="009C6AC9">
        <w:rPr>
          <w:sz w:val="22"/>
          <w:szCs w:val="22"/>
        </w:rPr>
        <w:t>AOLE</w:t>
      </w:r>
      <w:r w:rsidR="009A29E4">
        <w:rPr>
          <w:sz w:val="22"/>
          <w:szCs w:val="22"/>
        </w:rPr>
        <w:t>)</w:t>
      </w:r>
      <w:r w:rsidR="009C6AC9">
        <w:rPr>
          <w:sz w:val="22"/>
          <w:szCs w:val="22"/>
        </w:rPr>
        <w:t xml:space="preserve">. Although, a child’s choice of level can be guided by the teacher to encourage that element of challenge; </w:t>
      </w:r>
      <w:r w:rsidR="00F50C3E">
        <w:rPr>
          <w:sz w:val="22"/>
          <w:szCs w:val="22"/>
        </w:rPr>
        <w:t>which</w:t>
      </w:r>
      <w:r w:rsidR="009C6AC9">
        <w:rPr>
          <w:sz w:val="22"/>
          <w:szCs w:val="22"/>
        </w:rPr>
        <w:t xml:space="preserve"> suited the significance amount of children considered as having ALN. </w:t>
      </w:r>
      <w:r w:rsidR="009307D3" w:rsidRPr="0027692C">
        <w:rPr>
          <w:sz w:val="22"/>
          <w:szCs w:val="22"/>
        </w:rPr>
        <w:t xml:space="preserve">But, the </w:t>
      </w:r>
      <w:r w:rsidR="009F7A17" w:rsidRPr="0027692C">
        <w:rPr>
          <w:sz w:val="22"/>
          <w:szCs w:val="22"/>
        </w:rPr>
        <w:t>importance</w:t>
      </w:r>
      <w:r w:rsidR="009307D3" w:rsidRPr="0027692C">
        <w:rPr>
          <w:sz w:val="22"/>
          <w:szCs w:val="22"/>
        </w:rPr>
        <w:t xml:space="preserve"> of </w:t>
      </w:r>
      <w:proofErr w:type="spellStart"/>
      <w:r w:rsidR="009307D3" w:rsidRPr="0027692C">
        <w:rPr>
          <w:sz w:val="22"/>
          <w:szCs w:val="22"/>
        </w:rPr>
        <w:t>AfL</w:t>
      </w:r>
      <w:proofErr w:type="spellEnd"/>
      <w:r w:rsidR="009307D3" w:rsidRPr="0027692C">
        <w:rPr>
          <w:sz w:val="22"/>
          <w:szCs w:val="22"/>
        </w:rPr>
        <w:t xml:space="preserve"> in</w:t>
      </w:r>
      <w:r w:rsidR="009F7A17" w:rsidRPr="0027692C">
        <w:rPr>
          <w:sz w:val="22"/>
          <w:szCs w:val="22"/>
        </w:rPr>
        <w:t xml:space="preserve"> </w:t>
      </w:r>
      <w:r w:rsidR="009307D3" w:rsidRPr="0027692C">
        <w:rPr>
          <w:sz w:val="22"/>
          <w:szCs w:val="22"/>
        </w:rPr>
        <w:t>school became paramount through the schools ethos and mission statement ‘be the best you can be’</w:t>
      </w:r>
      <w:r w:rsidR="00F50C3E">
        <w:rPr>
          <w:sz w:val="22"/>
          <w:szCs w:val="22"/>
        </w:rPr>
        <w:t>;</w:t>
      </w:r>
      <w:r w:rsidR="009307D3" w:rsidRPr="0027692C">
        <w:rPr>
          <w:sz w:val="22"/>
          <w:szCs w:val="22"/>
        </w:rPr>
        <w:t xml:space="preserve"> which I embedded into the core of my teaching</w:t>
      </w:r>
      <w:r w:rsidR="00F572DA">
        <w:rPr>
          <w:sz w:val="22"/>
          <w:szCs w:val="22"/>
        </w:rPr>
        <w:t>.</w:t>
      </w:r>
    </w:p>
    <w:p w14:paraId="1AC4C086" w14:textId="77777777" w:rsidR="009307D3" w:rsidRPr="0027692C" w:rsidRDefault="009307D3" w:rsidP="003205B9">
      <w:pPr>
        <w:pStyle w:val="NormalWeb"/>
        <w:shd w:val="clear" w:color="auto" w:fill="FFFFFF"/>
        <w:spacing w:before="0" w:beforeAutospacing="0" w:after="0" w:afterAutospacing="0"/>
        <w:textAlignment w:val="baseline"/>
        <w:rPr>
          <w:sz w:val="22"/>
          <w:szCs w:val="22"/>
        </w:rPr>
      </w:pPr>
    </w:p>
    <w:p w14:paraId="600839D9" w14:textId="6662548A" w:rsidR="00F26F42" w:rsidRDefault="009307D3" w:rsidP="00174C96">
      <w:pPr>
        <w:pStyle w:val="NormalWeb"/>
        <w:shd w:val="clear" w:color="auto" w:fill="FFFFFF"/>
        <w:spacing w:before="0" w:beforeAutospacing="0" w:after="0" w:afterAutospacing="0"/>
        <w:textAlignment w:val="baseline"/>
        <w:rPr>
          <w:sz w:val="22"/>
          <w:szCs w:val="22"/>
        </w:rPr>
      </w:pPr>
      <w:r w:rsidRPr="0027692C">
        <w:rPr>
          <w:sz w:val="22"/>
          <w:szCs w:val="22"/>
        </w:rPr>
        <w:t xml:space="preserve">To </w:t>
      </w:r>
      <w:r w:rsidR="009F7A17" w:rsidRPr="0027692C">
        <w:rPr>
          <w:sz w:val="22"/>
          <w:szCs w:val="22"/>
        </w:rPr>
        <w:t xml:space="preserve">embed </w:t>
      </w:r>
      <w:proofErr w:type="spellStart"/>
      <w:r w:rsidR="006C3B31" w:rsidRPr="0027692C">
        <w:rPr>
          <w:sz w:val="22"/>
          <w:szCs w:val="22"/>
        </w:rPr>
        <w:t>AfL</w:t>
      </w:r>
      <w:proofErr w:type="spellEnd"/>
      <w:r w:rsidR="009F7A17" w:rsidRPr="0027692C">
        <w:rPr>
          <w:sz w:val="22"/>
          <w:szCs w:val="22"/>
        </w:rPr>
        <w:t xml:space="preserve"> principles</w:t>
      </w:r>
      <w:r w:rsidR="006C3B31" w:rsidRPr="0027692C">
        <w:rPr>
          <w:sz w:val="22"/>
          <w:szCs w:val="22"/>
        </w:rPr>
        <w:t xml:space="preserve"> into my teaching, I used three AOLE’s; Language, Literacy and Communication, Humanities, and </w:t>
      </w:r>
      <w:r w:rsidR="00A60CBD">
        <w:rPr>
          <w:sz w:val="22"/>
          <w:szCs w:val="22"/>
        </w:rPr>
        <w:t xml:space="preserve">Science and </w:t>
      </w:r>
      <w:proofErr w:type="spellStart"/>
      <w:r w:rsidR="00A60CBD">
        <w:rPr>
          <w:sz w:val="22"/>
          <w:szCs w:val="22"/>
        </w:rPr>
        <w:t>Techology</w:t>
      </w:r>
      <w:proofErr w:type="spellEnd"/>
      <w:r w:rsidR="00A60CBD">
        <w:rPr>
          <w:sz w:val="22"/>
          <w:szCs w:val="22"/>
        </w:rPr>
        <w:t xml:space="preserve">. </w:t>
      </w:r>
      <w:r w:rsidR="00EF208D">
        <w:rPr>
          <w:sz w:val="22"/>
          <w:szCs w:val="22"/>
        </w:rPr>
        <w:t>The</w:t>
      </w:r>
      <w:r w:rsidR="007E7A40" w:rsidRPr="0027692C">
        <w:rPr>
          <w:sz w:val="22"/>
          <w:szCs w:val="22"/>
        </w:rPr>
        <w:t xml:space="preserve"> year groups topic this </w:t>
      </w:r>
      <w:r w:rsidR="009F7A17" w:rsidRPr="0027692C">
        <w:rPr>
          <w:sz w:val="22"/>
          <w:szCs w:val="22"/>
        </w:rPr>
        <w:t xml:space="preserve">term </w:t>
      </w:r>
      <w:r w:rsidR="007E7A40" w:rsidRPr="0027692C">
        <w:rPr>
          <w:sz w:val="22"/>
          <w:szCs w:val="22"/>
        </w:rPr>
        <w:t>was ‘Discovery’ which led me to the development of my carefully planned lessons with the theme ‘Medicine Through Time’.</w:t>
      </w:r>
      <w:r w:rsidR="00F50C3E">
        <w:rPr>
          <w:sz w:val="22"/>
          <w:szCs w:val="22"/>
        </w:rPr>
        <w:t xml:space="preserve"> The reason I chose this topic is because, it means children can become engaged in how medicine has changed overtime, and especially because </w:t>
      </w:r>
      <w:r w:rsidR="009F7A17" w:rsidRPr="0027692C">
        <w:rPr>
          <w:sz w:val="22"/>
          <w:szCs w:val="22"/>
        </w:rPr>
        <w:t>th</w:t>
      </w:r>
      <w:r w:rsidR="00F50C3E">
        <w:rPr>
          <w:sz w:val="22"/>
          <w:szCs w:val="22"/>
        </w:rPr>
        <w:t xml:space="preserve">ey could </w:t>
      </w:r>
      <w:r w:rsidR="009F7A17" w:rsidRPr="0027692C">
        <w:rPr>
          <w:sz w:val="22"/>
          <w:szCs w:val="22"/>
        </w:rPr>
        <w:t xml:space="preserve">reflect on authentic contexts </w:t>
      </w:r>
      <w:r w:rsidR="006453E4">
        <w:rPr>
          <w:sz w:val="22"/>
          <w:szCs w:val="22"/>
        </w:rPr>
        <w:t>of the recent years</w:t>
      </w:r>
      <w:r w:rsidR="00F50C3E">
        <w:rPr>
          <w:sz w:val="22"/>
          <w:szCs w:val="22"/>
        </w:rPr>
        <w:t xml:space="preserve"> of the pandemic</w:t>
      </w:r>
      <w:r w:rsidR="009F7A17" w:rsidRPr="0027692C">
        <w:rPr>
          <w:sz w:val="22"/>
          <w:szCs w:val="22"/>
        </w:rPr>
        <w:t xml:space="preserve">. </w:t>
      </w:r>
      <w:r w:rsidR="006453E4" w:rsidRPr="0027692C">
        <w:rPr>
          <w:sz w:val="22"/>
          <w:szCs w:val="22"/>
        </w:rPr>
        <w:t xml:space="preserve">Grigg (2015) </w:t>
      </w:r>
      <w:r w:rsidR="00781740">
        <w:rPr>
          <w:sz w:val="22"/>
          <w:szCs w:val="22"/>
        </w:rPr>
        <w:t xml:space="preserve">as well as Black and Wiliam (2003) </w:t>
      </w:r>
      <w:r w:rsidR="006453E4" w:rsidRPr="0027692C">
        <w:rPr>
          <w:sz w:val="22"/>
          <w:szCs w:val="22"/>
        </w:rPr>
        <w:t xml:space="preserve">consider the vitality of the four elements </w:t>
      </w:r>
      <w:r w:rsidR="00781740">
        <w:rPr>
          <w:sz w:val="22"/>
          <w:szCs w:val="22"/>
        </w:rPr>
        <w:t xml:space="preserve">of </w:t>
      </w:r>
      <w:proofErr w:type="spellStart"/>
      <w:r w:rsidR="00781740">
        <w:rPr>
          <w:sz w:val="22"/>
          <w:szCs w:val="22"/>
        </w:rPr>
        <w:t>AfL</w:t>
      </w:r>
      <w:proofErr w:type="spellEnd"/>
      <w:r w:rsidR="00781740">
        <w:rPr>
          <w:sz w:val="22"/>
          <w:szCs w:val="22"/>
        </w:rPr>
        <w:t xml:space="preserve"> in promoting formative assessment, and giving children the opportunity to progress in their learning </w:t>
      </w:r>
      <w:r w:rsidR="00781740" w:rsidRPr="0027692C">
        <w:rPr>
          <w:sz w:val="22"/>
          <w:szCs w:val="22"/>
        </w:rPr>
        <w:t>(Black and William et al, 2003, p.30).</w:t>
      </w:r>
      <w:r w:rsidR="00F50C3E">
        <w:rPr>
          <w:sz w:val="22"/>
          <w:szCs w:val="22"/>
        </w:rPr>
        <w:t xml:space="preserve"> </w:t>
      </w:r>
      <w:r w:rsidR="00F50C3E">
        <w:rPr>
          <w:sz w:val="22"/>
          <w:szCs w:val="22"/>
        </w:rPr>
        <w:t xml:space="preserve">As stated by </w:t>
      </w:r>
      <w:r w:rsidR="00F50C3E" w:rsidRPr="0027692C">
        <w:rPr>
          <w:sz w:val="22"/>
          <w:szCs w:val="22"/>
        </w:rPr>
        <w:t>Grigg (2015)</w:t>
      </w:r>
      <w:r w:rsidR="00F50C3E">
        <w:rPr>
          <w:sz w:val="22"/>
          <w:szCs w:val="22"/>
        </w:rPr>
        <w:t xml:space="preserve">; </w:t>
      </w:r>
      <w:r w:rsidR="00F50C3E" w:rsidRPr="0027692C">
        <w:rPr>
          <w:sz w:val="22"/>
          <w:szCs w:val="22"/>
        </w:rPr>
        <w:t>monitoring the progress of potentially thirty children in a class is challenging</w:t>
      </w:r>
      <w:r w:rsidR="00F50C3E">
        <w:rPr>
          <w:sz w:val="22"/>
          <w:szCs w:val="22"/>
        </w:rPr>
        <w:t xml:space="preserve"> </w:t>
      </w:r>
      <w:r w:rsidR="00F50C3E" w:rsidRPr="0027692C">
        <w:rPr>
          <w:sz w:val="22"/>
          <w:szCs w:val="22"/>
        </w:rPr>
        <w:t>(Grigg, 2015, p397), but teachers should consider asking themselves several questions when planning their lessons, in order to be reflective of their practice, improving the standards of their lessons and pupil progress</w:t>
      </w:r>
      <w:r w:rsidR="00F50C3E">
        <w:rPr>
          <w:sz w:val="22"/>
          <w:szCs w:val="22"/>
        </w:rPr>
        <w:t xml:space="preserve"> </w:t>
      </w:r>
      <w:r w:rsidR="00F50C3E" w:rsidRPr="0027692C">
        <w:rPr>
          <w:sz w:val="22"/>
          <w:szCs w:val="22"/>
        </w:rPr>
        <w:t>(Welsh Government, 2015).</w:t>
      </w:r>
      <w:r w:rsidR="00E85D09">
        <w:rPr>
          <w:sz w:val="22"/>
          <w:szCs w:val="22"/>
        </w:rPr>
        <w:t>Therefore</w:t>
      </w:r>
      <w:r w:rsidR="00174C96" w:rsidRPr="005D0DAE">
        <w:rPr>
          <w:sz w:val="22"/>
          <w:szCs w:val="22"/>
        </w:rPr>
        <w:t>, th</w:t>
      </w:r>
      <w:r w:rsidR="00E85D09">
        <w:rPr>
          <w:sz w:val="22"/>
          <w:szCs w:val="22"/>
        </w:rPr>
        <w:t>is t</w:t>
      </w:r>
      <w:r w:rsidR="00174C96" w:rsidRPr="005D0DAE">
        <w:rPr>
          <w:sz w:val="22"/>
          <w:szCs w:val="22"/>
        </w:rPr>
        <w:t>ransformation of assessment in education meant the</w:t>
      </w:r>
      <w:r w:rsidR="005D0DAE">
        <w:rPr>
          <w:sz w:val="22"/>
          <w:szCs w:val="22"/>
        </w:rPr>
        <w:t xml:space="preserve"> </w:t>
      </w:r>
      <w:r w:rsidR="00174C96" w:rsidRPr="005D0DAE">
        <w:rPr>
          <w:sz w:val="22"/>
          <w:szCs w:val="22"/>
        </w:rPr>
        <w:t xml:space="preserve">Government made a commitment to personalised learning in 2008 (Cohen at </w:t>
      </w:r>
      <w:proofErr w:type="spellStart"/>
      <w:r w:rsidR="00174C96" w:rsidRPr="005D0DAE">
        <w:rPr>
          <w:sz w:val="22"/>
          <w:szCs w:val="22"/>
        </w:rPr>
        <w:t>al</w:t>
      </w:r>
      <w:proofErr w:type="spellEnd"/>
      <w:r w:rsidR="00174C96" w:rsidRPr="005D0DAE">
        <w:rPr>
          <w:sz w:val="22"/>
          <w:szCs w:val="22"/>
        </w:rPr>
        <w:t>, 2010, p.395)</w:t>
      </w:r>
      <w:r w:rsidR="00F50C3E">
        <w:rPr>
          <w:sz w:val="22"/>
          <w:szCs w:val="22"/>
        </w:rPr>
        <w:t xml:space="preserve">. </w:t>
      </w:r>
    </w:p>
    <w:p w14:paraId="75208EE0" w14:textId="77777777" w:rsidR="00F50C3E" w:rsidRDefault="00F50C3E" w:rsidP="00174C96">
      <w:pPr>
        <w:pStyle w:val="NormalWeb"/>
        <w:shd w:val="clear" w:color="auto" w:fill="FFFFFF"/>
        <w:spacing w:before="0" w:beforeAutospacing="0" w:after="0" w:afterAutospacing="0"/>
        <w:textAlignment w:val="baseline"/>
        <w:rPr>
          <w:sz w:val="22"/>
          <w:szCs w:val="22"/>
        </w:rPr>
      </w:pPr>
    </w:p>
    <w:p w14:paraId="7E4BBC2F" w14:textId="659271F2" w:rsidR="00FA1F31" w:rsidRDefault="005D0DAE" w:rsidP="00174C96">
      <w:pPr>
        <w:pStyle w:val="NormalWeb"/>
        <w:shd w:val="clear" w:color="auto" w:fill="FFFFFF"/>
        <w:spacing w:before="0" w:beforeAutospacing="0" w:after="0" w:afterAutospacing="0"/>
        <w:textAlignment w:val="baseline"/>
        <w:rPr>
          <w:sz w:val="22"/>
          <w:szCs w:val="22"/>
        </w:rPr>
      </w:pPr>
      <w:r>
        <w:rPr>
          <w:sz w:val="22"/>
          <w:szCs w:val="22"/>
        </w:rPr>
        <w:t>John Dewey</w:t>
      </w:r>
      <w:r w:rsidR="00F26F42">
        <w:rPr>
          <w:sz w:val="22"/>
          <w:szCs w:val="22"/>
        </w:rPr>
        <w:t xml:space="preserve"> </w:t>
      </w:r>
      <w:r>
        <w:rPr>
          <w:sz w:val="22"/>
          <w:szCs w:val="22"/>
        </w:rPr>
        <w:t xml:space="preserve">emphasises the great importance of child </w:t>
      </w:r>
      <w:proofErr w:type="spellStart"/>
      <w:r>
        <w:rPr>
          <w:sz w:val="22"/>
          <w:szCs w:val="22"/>
        </w:rPr>
        <w:t>cente</w:t>
      </w:r>
      <w:r w:rsidR="001B47A4">
        <w:rPr>
          <w:sz w:val="22"/>
          <w:szCs w:val="22"/>
        </w:rPr>
        <w:t>red</w:t>
      </w:r>
      <w:proofErr w:type="spellEnd"/>
      <w:r>
        <w:rPr>
          <w:sz w:val="22"/>
          <w:szCs w:val="22"/>
        </w:rPr>
        <w:t xml:space="preserve"> education (</w:t>
      </w:r>
      <w:proofErr w:type="spellStart"/>
      <w:r>
        <w:rPr>
          <w:sz w:val="22"/>
          <w:szCs w:val="22"/>
        </w:rPr>
        <w:t>MacBlain</w:t>
      </w:r>
      <w:proofErr w:type="spellEnd"/>
      <w:r>
        <w:rPr>
          <w:sz w:val="22"/>
          <w:szCs w:val="22"/>
        </w:rPr>
        <w:t>, 2014, p.130)</w:t>
      </w:r>
      <w:r w:rsidR="001B47A4">
        <w:rPr>
          <w:sz w:val="22"/>
          <w:szCs w:val="22"/>
        </w:rPr>
        <w:t xml:space="preserve">. The use of </w:t>
      </w:r>
      <w:proofErr w:type="spellStart"/>
      <w:r w:rsidR="001B47A4">
        <w:rPr>
          <w:sz w:val="22"/>
          <w:szCs w:val="22"/>
        </w:rPr>
        <w:t>AfL</w:t>
      </w:r>
      <w:proofErr w:type="spellEnd"/>
      <w:r w:rsidR="001B47A4">
        <w:rPr>
          <w:sz w:val="22"/>
          <w:szCs w:val="22"/>
        </w:rPr>
        <w:t xml:space="preserve"> in the classroom means each child can progress and learn at their own pace and at their own level based on their understanding</w:t>
      </w:r>
      <w:r w:rsidR="00FA1F31">
        <w:rPr>
          <w:sz w:val="22"/>
          <w:szCs w:val="22"/>
        </w:rPr>
        <w:t>, rather than trying to meet a generalised level of understanding</w:t>
      </w:r>
      <w:r w:rsidR="00582594">
        <w:rPr>
          <w:sz w:val="22"/>
          <w:szCs w:val="22"/>
        </w:rPr>
        <w:t xml:space="preserve">. </w:t>
      </w:r>
      <w:r w:rsidR="001B47A4">
        <w:rPr>
          <w:sz w:val="22"/>
          <w:szCs w:val="22"/>
        </w:rPr>
        <w:t>This is emphasi</w:t>
      </w:r>
      <w:r w:rsidR="00253B27">
        <w:rPr>
          <w:sz w:val="22"/>
          <w:szCs w:val="22"/>
        </w:rPr>
        <w:t xml:space="preserve">sed by Black and Wiliam (1998) as they argue that the principle of </w:t>
      </w:r>
      <w:proofErr w:type="spellStart"/>
      <w:r w:rsidR="00253B27">
        <w:rPr>
          <w:sz w:val="22"/>
          <w:szCs w:val="22"/>
        </w:rPr>
        <w:t>AfL</w:t>
      </w:r>
      <w:proofErr w:type="spellEnd"/>
      <w:r w:rsidR="00253B27">
        <w:rPr>
          <w:sz w:val="22"/>
          <w:szCs w:val="22"/>
        </w:rPr>
        <w:t xml:space="preserve"> is that each child should have an individual</w:t>
      </w:r>
      <w:r w:rsidR="00F50C3E">
        <w:rPr>
          <w:sz w:val="22"/>
          <w:szCs w:val="22"/>
        </w:rPr>
        <w:t xml:space="preserve"> </w:t>
      </w:r>
      <w:r w:rsidR="00253B27">
        <w:rPr>
          <w:sz w:val="22"/>
          <w:szCs w:val="22"/>
        </w:rPr>
        <w:t>understanding of where they are going, how to get there and what they need to do next</w:t>
      </w:r>
      <w:r w:rsidR="00582594">
        <w:rPr>
          <w:sz w:val="22"/>
          <w:szCs w:val="22"/>
        </w:rPr>
        <w:t xml:space="preserve">. </w:t>
      </w:r>
      <w:r w:rsidR="00253B27">
        <w:rPr>
          <w:sz w:val="22"/>
          <w:szCs w:val="22"/>
        </w:rPr>
        <w:t xml:space="preserve">So, the ideology that each child has individual steps and goals, </w:t>
      </w:r>
      <w:r w:rsidR="00253B27">
        <w:rPr>
          <w:sz w:val="22"/>
          <w:szCs w:val="22"/>
        </w:rPr>
        <w:lastRenderedPageBreak/>
        <w:t xml:space="preserve">supports Dewey’s philosophy of child </w:t>
      </w:r>
      <w:proofErr w:type="spellStart"/>
      <w:r w:rsidR="00253B27">
        <w:rPr>
          <w:sz w:val="22"/>
          <w:szCs w:val="22"/>
        </w:rPr>
        <w:t>centered</w:t>
      </w:r>
      <w:proofErr w:type="spellEnd"/>
      <w:r w:rsidR="00253B27">
        <w:rPr>
          <w:sz w:val="22"/>
          <w:szCs w:val="22"/>
        </w:rPr>
        <w:t xml:space="preserve"> learning. Additionally, this is supported by Brown, Race and Smith</w:t>
      </w:r>
      <w:r w:rsidR="000E5D3D">
        <w:rPr>
          <w:sz w:val="22"/>
          <w:szCs w:val="22"/>
        </w:rPr>
        <w:t xml:space="preserve"> (2004) who argue that because each child is different with regards to their needs, </w:t>
      </w:r>
      <w:r w:rsidR="00582594">
        <w:rPr>
          <w:sz w:val="22"/>
          <w:szCs w:val="22"/>
        </w:rPr>
        <w:t xml:space="preserve">in </w:t>
      </w:r>
      <w:r w:rsidR="000E5D3D">
        <w:rPr>
          <w:sz w:val="22"/>
          <w:szCs w:val="22"/>
        </w:rPr>
        <w:t xml:space="preserve">that effective teaching using a range of </w:t>
      </w:r>
      <w:proofErr w:type="spellStart"/>
      <w:r w:rsidR="000E5D3D">
        <w:rPr>
          <w:sz w:val="22"/>
          <w:szCs w:val="22"/>
        </w:rPr>
        <w:t>AfL</w:t>
      </w:r>
      <w:proofErr w:type="spellEnd"/>
      <w:r w:rsidR="000E5D3D">
        <w:rPr>
          <w:sz w:val="22"/>
          <w:szCs w:val="22"/>
        </w:rPr>
        <w:t xml:space="preserve"> techniques and principles to meet the</w:t>
      </w:r>
      <w:r w:rsidR="00582594">
        <w:rPr>
          <w:sz w:val="22"/>
          <w:szCs w:val="22"/>
        </w:rPr>
        <w:t>se needs</w:t>
      </w:r>
      <w:r w:rsidR="000E5D3D">
        <w:rPr>
          <w:sz w:val="22"/>
          <w:szCs w:val="22"/>
        </w:rPr>
        <w:t xml:space="preserve"> (Brown at </w:t>
      </w:r>
      <w:proofErr w:type="spellStart"/>
      <w:r w:rsidR="000E5D3D">
        <w:rPr>
          <w:sz w:val="22"/>
          <w:szCs w:val="22"/>
        </w:rPr>
        <w:t>al</w:t>
      </w:r>
      <w:proofErr w:type="spellEnd"/>
      <w:r w:rsidR="000E5D3D">
        <w:rPr>
          <w:sz w:val="22"/>
          <w:szCs w:val="22"/>
        </w:rPr>
        <w:t xml:space="preserve">, 2004, 105). </w:t>
      </w:r>
      <w:r w:rsidR="00FA1F31">
        <w:rPr>
          <w:sz w:val="22"/>
          <w:szCs w:val="22"/>
        </w:rPr>
        <w:t xml:space="preserve">Therefore, it can be argued that the principle of </w:t>
      </w:r>
      <w:proofErr w:type="spellStart"/>
      <w:r w:rsidR="00FA1F31">
        <w:rPr>
          <w:sz w:val="22"/>
          <w:szCs w:val="22"/>
        </w:rPr>
        <w:t>AfL</w:t>
      </w:r>
      <w:proofErr w:type="spellEnd"/>
      <w:r w:rsidR="00FA1F31">
        <w:rPr>
          <w:sz w:val="22"/>
          <w:szCs w:val="22"/>
        </w:rPr>
        <w:t xml:space="preserve"> in the classroom is beneficial as it is a true reflection of all children’s understanding, and can show children’s strengths and weaknesses, rather than trying to assess children through a generalised level of understanding. It means children’s learning can be individual and look at the child’s holistic learning. However, </w:t>
      </w:r>
      <w:r w:rsidR="00A83E4E">
        <w:rPr>
          <w:sz w:val="22"/>
          <w:szCs w:val="22"/>
        </w:rPr>
        <w:t xml:space="preserve">many theorists, such as Black and Wiliam (1998) argue that although the principle of </w:t>
      </w:r>
      <w:proofErr w:type="spellStart"/>
      <w:r w:rsidR="00A83E4E">
        <w:rPr>
          <w:sz w:val="22"/>
          <w:szCs w:val="22"/>
        </w:rPr>
        <w:t>AfL</w:t>
      </w:r>
      <w:proofErr w:type="spellEnd"/>
      <w:r w:rsidR="00A83E4E">
        <w:rPr>
          <w:sz w:val="22"/>
          <w:szCs w:val="22"/>
        </w:rPr>
        <w:t xml:space="preserve"> within practice is meeting the needs of children, and allowing them to progress in their learning, it can raise problems for educational practitioners. Cohen et al (2010) argues that the curriculums assessment policy continues to suffer from a lack of clarity and clear understanding, with regards to the role of the teachers and pupils </w:t>
      </w:r>
      <w:r w:rsidR="00A83E4E" w:rsidRPr="005D0DAE">
        <w:rPr>
          <w:sz w:val="22"/>
          <w:szCs w:val="22"/>
        </w:rPr>
        <w:t xml:space="preserve">(Cohen at </w:t>
      </w:r>
      <w:proofErr w:type="spellStart"/>
      <w:r w:rsidR="00A83E4E" w:rsidRPr="005D0DAE">
        <w:rPr>
          <w:sz w:val="22"/>
          <w:szCs w:val="22"/>
        </w:rPr>
        <w:t>al</w:t>
      </w:r>
      <w:proofErr w:type="spellEnd"/>
      <w:r w:rsidR="00A83E4E" w:rsidRPr="005D0DAE">
        <w:rPr>
          <w:sz w:val="22"/>
          <w:szCs w:val="22"/>
        </w:rPr>
        <w:t>, 2010, p.39</w:t>
      </w:r>
      <w:r w:rsidR="00A83E4E">
        <w:rPr>
          <w:sz w:val="22"/>
          <w:szCs w:val="22"/>
        </w:rPr>
        <w:t>6</w:t>
      </w:r>
      <w:r w:rsidR="00A83E4E" w:rsidRPr="005D0DAE">
        <w:rPr>
          <w:sz w:val="22"/>
          <w:szCs w:val="22"/>
        </w:rPr>
        <w:t>)</w:t>
      </w:r>
      <w:r w:rsidR="00A83E4E">
        <w:rPr>
          <w:sz w:val="22"/>
          <w:szCs w:val="22"/>
        </w:rPr>
        <w:t>. As a result of this, it has been recorded that there is a 30% chance that students are placed in the wrong ‘level’ or set group</w:t>
      </w:r>
      <w:r w:rsidR="00330A40">
        <w:rPr>
          <w:sz w:val="22"/>
          <w:szCs w:val="22"/>
        </w:rPr>
        <w:t xml:space="preserve">, due to the reliability of </w:t>
      </w:r>
      <w:proofErr w:type="spellStart"/>
      <w:r w:rsidR="00330A40">
        <w:rPr>
          <w:sz w:val="22"/>
          <w:szCs w:val="22"/>
        </w:rPr>
        <w:t>AfL</w:t>
      </w:r>
      <w:proofErr w:type="spellEnd"/>
      <w:r w:rsidR="00330A40">
        <w:rPr>
          <w:sz w:val="22"/>
          <w:szCs w:val="22"/>
        </w:rPr>
        <w:t xml:space="preserve"> methods and of what the child truly understands (Black, 1998, cited in Cohen et al, 2010, p. 401). Therefore, this suggests that although the ideology is proven to be beneficial for children; in the sense that is gives opportunities for all children to succeed and progress at a level they are comfortable with</w:t>
      </w:r>
      <w:r w:rsidR="0072719D">
        <w:rPr>
          <w:sz w:val="22"/>
          <w:szCs w:val="22"/>
        </w:rPr>
        <w:t xml:space="preserve">, in order for them to reach their full potential, it seems that </w:t>
      </w:r>
      <w:proofErr w:type="spellStart"/>
      <w:r w:rsidR="0072719D">
        <w:rPr>
          <w:sz w:val="22"/>
          <w:szCs w:val="22"/>
        </w:rPr>
        <w:t>AfL</w:t>
      </w:r>
      <w:proofErr w:type="spellEnd"/>
      <w:r w:rsidR="0072719D">
        <w:rPr>
          <w:sz w:val="22"/>
          <w:szCs w:val="22"/>
        </w:rPr>
        <w:t xml:space="preserve"> </w:t>
      </w:r>
      <w:r w:rsidR="004D5CFA">
        <w:rPr>
          <w:sz w:val="22"/>
          <w:szCs w:val="22"/>
        </w:rPr>
        <w:t>can be mis</w:t>
      </w:r>
      <w:r w:rsidR="0072719D">
        <w:rPr>
          <w:sz w:val="22"/>
          <w:szCs w:val="22"/>
        </w:rPr>
        <w:t xml:space="preserve">understood, </w:t>
      </w:r>
      <w:r w:rsidR="004D5CFA">
        <w:rPr>
          <w:sz w:val="22"/>
          <w:szCs w:val="22"/>
        </w:rPr>
        <w:t xml:space="preserve">and </w:t>
      </w:r>
      <w:r w:rsidR="0072719D">
        <w:rPr>
          <w:sz w:val="22"/>
          <w:szCs w:val="22"/>
        </w:rPr>
        <w:t>that this lack of clarity for teachers is perhaps result</w:t>
      </w:r>
      <w:r w:rsidR="004D5CFA">
        <w:rPr>
          <w:sz w:val="22"/>
          <w:szCs w:val="22"/>
        </w:rPr>
        <w:t>s</w:t>
      </w:r>
      <w:r w:rsidR="0072719D">
        <w:rPr>
          <w:sz w:val="22"/>
          <w:szCs w:val="22"/>
        </w:rPr>
        <w:t xml:space="preserve"> in poor judgement of capabilities of children, defeating the point of </w:t>
      </w:r>
      <w:proofErr w:type="spellStart"/>
      <w:r w:rsidR="0072719D">
        <w:rPr>
          <w:sz w:val="22"/>
          <w:szCs w:val="22"/>
        </w:rPr>
        <w:t>AfL</w:t>
      </w:r>
      <w:proofErr w:type="spellEnd"/>
      <w:r w:rsidR="004D5CFA">
        <w:rPr>
          <w:sz w:val="22"/>
          <w:szCs w:val="22"/>
        </w:rPr>
        <w:t xml:space="preserve">. </w:t>
      </w:r>
      <w:r w:rsidR="0072719D">
        <w:rPr>
          <w:sz w:val="22"/>
          <w:szCs w:val="22"/>
        </w:rPr>
        <w:t xml:space="preserve"> </w:t>
      </w:r>
    </w:p>
    <w:p w14:paraId="2A461B37" w14:textId="77777777" w:rsidR="0072719D" w:rsidRDefault="0072719D" w:rsidP="00174C96">
      <w:pPr>
        <w:pStyle w:val="NormalWeb"/>
        <w:shd w:val="clear" w:color="auto" w:fill="FFFFFF"/>
        <w:spacing w:before="0" w:beforeAutospacing="0" w:after="0" w:afterAutospacing="0"/>
        <w:textAlignment w:val="baseline"/>
        <w:rPr>
          <w:sz w:val="22"/>
          <w:szCs w:val="22"/>
        </w:rPr>
      </w:pPr>
    </w:p>
    <w:p w14:paraId="56A95B0F" w14:textId="5638E51A" w:rsidR="001674B7" w:rsidRDefault="0072719D" w:rsidP="008A3DF5">
      <w:pPr>
        <w:pStyle w:val="NormalWeb"/>
        <w:shd w:val="clear" w:color="auto" w:fill="FFFFFF"/>
        <w:spacing w:before="0" w:beforeAutospacing="0" w:after="0" w:afterAutospacing="0"/>
        <w:textAlignment w:val="baseline"/>
        <w:rPr>
          <w:sz w:val="22"/>
          <w:szCs w:val="22"/>
        </w:rPr>
      </w:pPr>
      <w:r>
        <w:rPr>
          <w:sz w:val="22"/>
          <w:szCs w:val="22"/>
        </w:rPr>
        <w:t xml:space="preserve">In spite of this, many educationalists are in great support of </w:t>
      </w:r>
      <w:proofErr w:type="spellStart"/>
      <w:r>
        <w:rPr>
          <w:sz w:val="22"/>
          <w:szCs w:val="22"/>
        </w:rPr>
        <w:t>AfL</w:t>
      </w:r>
      <w:proofErr w:type="spellEnd"/>
      <w:r w:rsidR="004D5CFA">
        <w:rPr>
          <w:sz w:val="22"/>
          <w:szCs w:val="22"/>
        </w:rPr>
        <w:t xml:space="preserve">. </w:t>
      </w:r>
      <w:r w:rsidR="008A3DF5">
        <w:rPr>
          <w:sz w:val="22"/>
          <w:szCs w:val="22"/>
        </w:rPr>
        <w:t xml:space="preserve">Pollard (2014) argues that learners should truly engage with learning intentions and success </w:t>
      </w:r>
      <w:r w:rsidR="00582594">
        <w:rPr>
          <w:sz w:val="22"/>
          <w:szCs w:val="22"/>
        </w:rPr>
        <w:t>criteria</w:t>
      </w:r>
      <w:r w:rsidR="008A3DF5">
        <w:rPr>
          <w:sz w:val="22"/>
          <w:szCs w:val="22"/>
        </w:rPr>
        <w:t>, so they know what they need to do to achieve. He mentioned that learning objectives are very common in the classrooms, but are often deemed as pointless because they are not utilised as a learning opportunity in showing learn</w:t>
      </w:r>
      <w:r w:rsidR="004D5CFA">
        <w:rPr>
          <w:sz w:val="22"/>
          <w:szCs w:val="22"/>
        </w:rPr>
        <w:t>ers</w:t>
      </w:r>
      <w:r w:rsidR="008A3DF5">
        <w:rPr>
          <w:sz w:val="22"/>
          <w:szCs w:val="22"/>
        </w:rPr>
        <w:t xml:space="preserve"> how to achieve (Pollard, 2014, p.367). Many theorists agree with Pollard (2014) and add that sharing criteria means progression is more accessible to learners, and that by them knowing and seeing visuals of what they need to do to achieve, motivates learners to progress </w:t>
      </w:r>
      <w:r w:rsidR="008A3DF5" w:rsidRPr="0027692C">
        <w:rPr>
          <w:sz w:val="22"/>
          <w:szCs w:val="22"/>
        </w:rPr>
        <w:t>(Willis, Arnold and DeLuca, 2023).</w:t>
      </w:r>
      <w:r w:rsidR="008A3DF5">
        <w:rPr>
          <w:sz w:val="22"/>
          <w:szCs w:val="22"/>
        </w:rPr>
        <w:t xml:space="preserve"> </w:t>
      </w:r>
      <w:r w:rsidR="003C5C74">
        <w:rPr>
          <w:sz w:val="22"/>
          <w:szCs w:val="22"/>
        </w:rPr>
        <w:t>However</w:t>
      </w:r>
      <w:r w:rsidR="00EB4792">
        <w:rPr>
          <w:sz w:val="22"/>
          <w:szCs w:val="22"/>
        </w:rPr>
        <w:t xml:space="preserve">, </w:t>
      </w:r>
      <w:r w:rsidR="00DA4219">
        <w:rPr>
          <w:sz w:val="22"/>
          <w:szCs w:val="22"/>
        </w:rPr>
        <w:t>a theory by David Didau, a critic of Dylan Wiliam,</w:t>
      </w:r>
      <w:r w:rsidR="00706A29">
        <w:rPr>
          <w:sz w:val="22"/>
          <w:szCs w:val="22"/>
        </w:rPr>
        <w:t xml:space="preserve"> argues that the general idea of simply letting children know what to do in the lesson is “fine”, but he argues that the student friendly mark schemes are of very little value to children. Didau argues that rather than spending so much time on sharing the learning intentions and success criteria with learners, why not model to the children what they need to do to progress? </w:t>
      </w:r>
      <w:r w:rsidR="00582594">
        <w:rPr>
          <w:sz w:val="22"/>
          <w:szCs w:val="22"/>
        </w:rPr>
        <w:t>Especially because he argues they are little value to children regardless.</w:t>
      </w:r>
      <w:r w:rsidR="00706A29">
        <w:rPr>
          <w:sz w:val="22"/>
          <w:szCs w:val="22"/>
        </w:rPr>
        <w:t>(</w:t>
      </w:r>
      <w:r w:rsidR="007F4111">
        <w:rPr>
          <w:sz w:val="22"/>
          <w:szCs w:val="22"/>
        </w:rPr>
        <w:t xml:space="preserve">Didau, 2014). </w:t>
      </w:r>
      <w:r w:rsidR="000D31BA">
        <w:rPr>
          <w:sz w:val="22"/>
          <w:szCs w:val="22"/>
        </w:rPr>
        <w:t xml:space="preserve">Therefore, this raises questions to the purpose of using these strategies in lessons, if there is no gain for the children; and </w:t>
      </w:r>
      <w:proofErr w:type="spellStart"/>
      <w:r w:rsidR="000D31BA">
        <w:rPr>
          <w:sz w:val="22"/>
          <w:szCs w:val="22"/>
        </w:rPr>
        <w:t>evenmore</w:t>
      </w:r>
      <w:proofErr w:type="spellEnd"/>
      <w:r w:rsidR="000D31BA">
        <w:rPr>
          <w:sz w:val="22"/>
          <w:szCs w:val="22"/>
        </w:rPr>
        <w:t xml:space="preserve"> so with the added pressure in teaching environments (OECD, 2020), there are perhaps more beneficial methods that can be considered instead, like modelling as Didau suggests (Didau, 2014). </w:t>
      </w:r>
    </w:p>
    <w:p w14:paraId="27EE4396" w14:textId="77777777" w:rsidR="000D31BA" w:rsidRDefault="000D31BA" w:rsidP="008A3DF5">
      <w:pPr>
        <w:pStyle w:val="NormalWeb"/>
        <w:shd w:val="clear" w:color="auto" w:fill="FFFFFF"/>
        <w:spacing w:before="0" w:beforeAutospacing="0" w:after="0" w:afterAutospacing="0"/>
        <w:textAlignment w:val="baseline"/>
        <w:rPr>
          <w:sz w:val="22"/>
          <w:szCs w:val="22"/>
        </w:rPr>
      </w:pPr>
    </w:p>
    <w:p w14:paraId="1172BA10" w14:textId="6F03943F" w:rsidR="005B2E22" w:rsidRDefault="004D5CFA" w:rsidP="008A3DF5">
      <w:pPr>
        <w:pStyle w:val="NormalWeb"/>
        <w:shd w:val="clear" w:color="auto" w:fill="FFFFFF"/>
        <w:spacing w:before="0" w:beforeAutospacing="0" w:after="0" w:afterAutospacing="0"/>
        <w:textAlignment w:val="baseline"/>
        <w:rPr>
          <w:sz w:val="22"/>
          <w:szCs w:val="22"/>
        </w:rPr>
      </w:pPr>
      <w:r>
        <w:rPr>
          <w:sz w:val="22"/>
          <w:szCs w:val="22"/>
        </w:rPr>
        <w:t>Effective q</w:t>
      </w:r>
      <w:r w:rsidR="001674B7">
        <w:rPr>
          <w:sz w:val="22"/>
          <w:szCs w:val="22"/>
        </w:rPr>
        <w:t xml:space="preserve">uestioning is another key element of </w:t>
      </w:r>
      <w:proofErr w:type="spellStart"/>
      <w:r w:rsidR="001674B7">
        <w:rPr>
          <w:sz w:val="22"/>
          <w:szCs w:val="22"/>
        </w:rPr>
        <w:t>AfL</w:t>
      </w:r>
      <w:proofErr w:type="spellEnd"/>
      <w:r w:rsidR="001674B7">
        <w:rPr>
          <w:sz w:val="22"/>
          <w:szCs w:val="22"/>
        </w:rPr>
        <w:t xml:space="preserve">, </w:t>
      </w:r>
      <w:r w:rsidR="000D31BA">
        <w:rPr>
          <w:sz w:val="22"/>
          <w:szCs w:val="22"/>
        </w:rPr>
        <w:t xml:space="preserve">that </w:t>
      </w:r>
      <w:r w:rsidR="001674B7">
        <w:rPr>
          <w:sz w:val="22"/>
          <w:szCs w:val="22"/>
        </w:rPr>
        <w:t>encourage</w:t>
      </w:r>
      <w:r>
        <w:rPr>
          <w:sz w:val="22"/>
          <w:szCs w:val="22"/>
        </w:rPr>
        <w:t>s</w:t>
      </w:r>
      <w:r w:rsidR="000D31BA">
        <w:rPr>
          <w:sz w:val="22"/>
          <w:szCs w:val="22"/>
        </w:rPr>
        <w:t xml:space="preserve"> </w:t>
      </w:r>
      <w:r w:rsidR="001674B7">
        <w:rPr>
          <w:sz w:val="22"/>
          <w:szCs w:val="22"/>
        </w:rPr>
        <w:t>critical thinking</w:t>
      </w:r>
      <w:r w:rsidR="00574B85">
        <w:rPr>
          <w:sz w:val="22"/>
          <w:szCs w:val="22"/>
        </w:rPr>
        <w:t xml:space="preserve">, as highlighted within Blooms Taxonomy </w:t>
      </w:r>
      <w:r w:rsidR="001674B7">
        <w:rPr>
          <w:sz w:val="22"/>
          <w:szCs w:val="22"/>
        </w:rPr>
        <w:t xml:space="preserve">(Adams, </w:t>
      </w:r>
      <w:r w:rsidR="00574B85">
        <w:rPr>
          <w:sz w:val="22"/>
          <w:szCs w:val="22"/>
        </w:rPr>
        <w:t xml:space="preserve">2015, p. 152). Throughout </w:t>
      </w:r>
      <w:r>
        <w:rPr>
          <w:sz w:val="22"/>
          <w:szCs w:val="22"/>
        </w:rPr>
        <w:t xml:space="preserve">effective </w:t>
      </w:r>
      <w:r w:rsidR="00574B85">
        <w:rPr>
          <w:sz w:val="22"/>
          <w:szCs w:val="22"/>
        </w:rPr>
        <w:t xml:space="preserve">questioning a child should gain an understanding of not only knowledge of key concepts, but a sense of what they need to achieve in the lesson </w:t>
      </w:r>
      <w:r w:rsidR="00574B85" w:rsidRPr="0027692C">
        <w:rPr>
          <w:sz w:val="22"/>
          <w:szCs w:val="22"/>
        </w:rPr>
        <w:t xml:space="preserve">(Mulcare and </w:t>
      </w:r>
      <w:proofErr w:type="spellStart"/>
      <w:r w:rsidR="00574B85" w:rsidRPr="0027692C">
        <w:rPr>
          <w:sz w:val="22"/>
          <w:szCs w:val="22"/>
        </w:rPr>
        <w:t>Shwedel</w:t>
      </w:r>
      <w:proofErr w:type="spellEnd"/>
      <w:r w:rsidR="00574B85" w:rsidRPr="0027692C">
        <w:rPr>
          <w:sz w:val="22"/>
          <w:szCs w:val="22"/>
        </w:rPr>
        <w:t>, 2017, p.125</w:t>
      </w:r>
      <w:r w:rsidR="00574B85">
        <w:rPr>
          <w:sz w:val="22"/>
          <w:szCs w:val="22"/>
        </w:rPr>
        <w:t>).</w:t>
      </w:r>
      <w:r w:rsidR="000D31BA">
        <w:rPr>
          <w:sz w:val="22"/>
          <w:szCs w:val="22"/>
        </w:rPr>
        <w:t xml:space="preserve"> S</w:t>
      </w:r>
      <w:r w:rsidR="00B23964">
        <w:rPr>
          <w:sz w:val="22"/>
          <w:szCs w:val="22"/>
        </w:rPr>
        <w:t>ome argue that questioning provides opportunities for children to ‘prove’ their learning by using open questioning to get children to consider how they got their answer, and whether it is right; which means they are more engaged in their learning (</w:t>
      </w:r>
      <w:proofErr w:type="spellStart"/>
      <w:r w:rsidR="00B23964">
        <w:rPr>
          <w:sz w:val="22"/>
          <w:szCs w:val="22"/>
        </w:rPr>
        <w:t>Ramollo</w:t>
      </w:r>
      <w:proofErr w:type="spellEnd"/>
      <w:r w:rsidR="00B23964">
        <w:rPr>
          <w:sz w:val="22"/>
          <w:szCs w:val="22"/>
        </w:rPr>
        <w:t xml:space="preserve"> and </w:t>
      </w:r>
      <w:proofErr w:type="spellStart"/>
      <w:r w:rsidR="00B23964">
        <w:rPr>
          <w:sz w:val="22"/>
          <w:szCs w:val="22"/>
        </w:rPr>
        <w:t>Kanjee</w:t>
      </w:r>
      <w:proofErr w:type="spellEnd"/>
      <w:r w:rsidR="00B23964">
        <w:rPr>
          <w:sz w:val="22"/>
          <w:szCs w:val="22"/>
        </w:rPr>
        <w:t>, 2023, p. 3)</w:t>
      </w:r>
      <w:r w:rsidR="00BF45FA">
        <w:rPr>
          <w:sz w:val="22"/>
          <w:szCs w:val="22"/>
        </w:rPr>
        <w:t xml:space="preserve">. </w:t>
      </w:r>
      <w:r w:rsidR="000D31BA">
        <w:rPr>
          <w:sz w:val="22"/>
          <w:szCs w:val="22"/>
        </w:rPr>
        <w:t>E</w:t>
      </w:r>
      <w:r w:rsidR="00BF45FA">
        <w:rPr>
          <w:sz w:val="22"/>
          <w:szCs w:val="22"/>
        </w:rPr>
        <w:t xml:space="preserve">vidence suggests that questioning is a vital part of teaching as it means it increases student engagement and allows children to recall and reinforce their understanding. </w:t>
      </w:r>
      <w:r w:rsidR="00B23964" w:rsidRPr="0027692C">
        <w:rPr>
          <w:sz w:val="22"/>
          <w:szCs w:val="22"/>
        </w:rPr>
        <w:t xml:space="preserve">It is also highlighted that teachers should have clear reasoning to using thinking skills that underpin </w:t>
      </w:r>
      <w:proofErr w:type="spellStart"/>
      <w:r w:rsidR="00B23964" w:rsidRPr="0027692C">
        <w:rPr>
          <w:sz w:val="22"/>
          <w:szCs w:val="22"/>
        </w:rPr>
        <w:t>AfL</w:t>
      </w:r>
      <w:proofErr w:type="spellEnd"/>
      <w:r w:rsidR="00B23964" w:rsidRPr="0027692C">
        <w:rPr>
          <w:sz w:val="22"/>
          <w:szCs w:val="22"/>
        </w:rPr>
        <w:t xml:space="preserve"> techniques, so they are appropriate for each learning experience (Welsh Assembly Government, 2010).</w:t>
      </w:r>
      <w:r w:rsidR="000D31BA">
        <w:rPr>
          <w:sz w:val="22"/>
          <w:szCs w:val="22"/>
        </w:rPr>
        <w:t xml:space="preserve"> </w:t>
      </w:r>
      <w:r w:rsidR="005B2E22">
        <w:rPr>
          <w:sz w:val="22"/>
          <w:szCs w:val="22"/>
        </w:rPr>
        <w:t xml:space="preserve">On the other hand, Nuthall (2007) argues that although effective questioning is </w:t>
      </w:r>
      <w:r w:rsidR="00DD607E">
        <w:rPr>
          <w:sz w:val="22"/>
          <w:szCs w:val="22"/>
        </w:rPr>
        <w:t>important; children are unlikely to recall this information in the future</w:t>
      </w:r>
      <w:r w:rsidR="000D31BA">
        <w:rPr>
          <w:sz w:val="22"/>
          <w:szCs w:val="22"/>
        </w:rPr>
        <w:t xml:space="preserve"> </w:t>
      </w:r>
      <w:r w:rsidR="00DD607E">
        <w:rPr>
          <w:sz w:val="22"/>
          <w:szCs w:val="22"/>
        </w:rPr>
        <w:t xml:space="preserve">if key concepts are only taught on one occasion </w:t>
      </w:r>
      <w:r w:rsidR="00DD607E">
        <w:rPr>
          <w:sz w:val="22"/>
          <w:szCs w:val="22"/>
        </w:rPr>
        <w:t>(Nuthall, 2007, p.59)</w:t>
      </w:r>
      <w:r w:rsidR="00DD607E">
        <w:rPr>
          <w:sz w:val="22"/>
          <w:szCs w:val="22"/>
        </w:rPr>
        <w:t xml:space="preserve">. </w:t>
      </w:r>
      <w:r w:rsidR="000D31BA">
        <w:rPr>
          <w:sz w:val="22"/>
          <w:szCs w:val="22"/>
        </w:rPr>
        <w:t xml:space="preserve">However, he adds </w:t>
      </w:r>
      <w:r w:rsidR="00DD607E">
        <w:rPr>
          <w:sz w:val="22"/>
          <w:szCs w:val="22"/>
        </w:rPr>
        <w:t xml:space="preserve">that effective questioning is more successful when used to explore misconceptions. </w:t>
      </w:r>
      <w:r w:rsidR="000D31BA">
        <w:rPr>
          <w:sz w:val="22"/>
          <w:szCs w:val="22"/>
        </w:rPr>
        <w:t>Furthermore</w:t>
      </w:r>
      <w:r w:rsidR="00DD607E">
        <w:rPr>
          <w:sz w:val="22"/>
          <w:szCs w:val="22"/>
        </w:rPr>
        <w:t xml:space="preserve">, he states “what’s the point?” in using questioning if children are not going to revisit this information later on, as they are unlikely to be able to recall it regardless if they can answer questions correctly now (Nuthall, 2007, p.59). </w:t>
      </w:r>
    </w:p>
    <w:p w14:paraId="73357A18" w14:textId="77777777" w:rsidR="00C177CA" w:rsidRDefault="00C177CA" w:rsidP="00CA7287">
      <w:pPr>
        <w:pStyle w:val="NormalWeb"/>
        <w:shd w:val="clear" w:color="auto" w:fill="FFFFFF"/>
        <w:spacing w:before="0" w:beforeAutospacing="0" w:after="0" w:afterAutospacing="0"/>
        <w:textAlignment w:val="baseline"/>
        <w:rPr>
          <w:sz w:val="22"/>
          <w:szCs w:val="22"/>
        </w:rPr>
      </w:pPr>
    </w:p>
    <w:p w14:paraId="123A93D1" w14:textId="3E2A2E0D" w:rsidR="00826536" w:rsidRDefault="000D31BA" w:rsidP="00CA7287">
      <w:pPr>
        <w:pStyle w:val="NormalWeb"/>
        <w:shd w:val="clear" w:color="auto" w:fill="FFFFFF"/>
        <w:spacing w:before="0" w:beforeAutospacing="0" w:after="0" w:afterAutospacing="0"/>
        <w:textAlignment w:val="baseline"/>
        <w:rPr>
          <w:sz w:val="22"/>
          <w:szCs w:val="22"/>
          <w:shd w:val="clear" w:color="auto" w:fill="FFFFFF"/>
        </w:rPr>
      </w:pPr>
      <w:r>
        <w:rPr>
          <w:sz w:val="22"/>
          <w:szCs w:val="22"/>
        </w:rPr>
        <w:lastRenderedPageBreak/>
        <w:t>S</w:t>
      </w:r>
      <w:r w:rsidR="00CA7287" w:rsidRPr="0027692C">
        <w:rPr>
          <w:sz w:val="22"/>
          <w:szCs w:val="22"/>
        </w:rPr>
        <w:t>elf and peer assessment</w:t>
      </w:r>
      <w:r>
        <w:rPr>
          <w:sz w:val="22"/>
          <w:szCs w:val="22"/>
        </w:rPr>
        <w:t xml:space="preserve">, </w:t>
      </w:r>
      <w:r w:rsidR="00CA7287" w:rsidRPr="0027692C">
        <w:rPr>
          <w:sz w:val="22"/>
          <w:szCs w:val="22"/>
        </w:rPr>
        <w:t xml:space="preserve">another aspect of </w:t>
      </w:r>
      <w:proofErr w:type="spellStart"/>
      <w:r w:rsidR="00CA7287" w:rsidRPr="0027692C">
        <w:rPr>
          <w:sz w:val="22"/>
          <w:szCs w:val="22"/>
        </w:rPr>
        <w:t>AfL</w:t>
      </w:r>
      <w:proofErr w:type="spellEnd"/>
      <w:r>
        <w:rPr>
          <w:sz w:val="22"/>
          <w:szCs w:val="22"/>
        </w:rPr>
        <w:t xml:space="preserve">, is </w:t>
      </w:r>
      <w:r w:rsidR="00CA7287" w:rsidRPr="0027692C">
        <w:rPr>
          <w:sz w:val="22"/>
          <w:szCs w:val="22"/>
        </w:rPr>
        <w:t>argue</w:t>
      </w:r>
      <w:r>
        <w:rPr>
          <w:sz w:val="22"/>
          <w:szCs w:val="22"/>
        </w:rPr>
        <w:t>d</w:t>
      </w:r>
      <w:r w:rsidR="00CA7287" w:rsidRPr="0027692C">
        <w:rPr>
          <w:sz w:val="22"/>
          <w:szCs w:val="22"/>
        </w:rPr>
        <w:t xml:space="preserve"> </w:t>
      </w:r>
      <w:r>
        <w:rPr>
          <w:sz w:val="22"/>
          <w:szCs w:val="22"/>
        </w:rPr>
        <w:t xml:space="preserve">to be </w:t>
      </w:r>
      <w:r w:rsidR="00CA7287" w:rsidRPr="0027692C">
        <w:rPr>
          <w:sz w:val="22"/>
          <w:szCs w:val="22"/>
        </w:rPr>
        <w:t>vital for success</w:t>
      </w:r>
      <w:r>
        <w:rPr>
          <w:sz w:val="22"/>
          <w:szCs w:val="22"/>
        </w:rPr>
        <w:t>; as</w:t>
      </w:r>
      <w:r w:rsidR="00CA7287" w:rsidRPr="0027692C">
        <w:rPr>
          <w:sz w:val="22"/>
          <w:szCs w:val="22"/>
        </w:rPr>
        <w:t xml:space="preserve"> children should become self-reflecting learners who are aware that learning is a non-linear process, its continua</w:t>
      </w:r>
      <w:r w:rsidR="00DD607E">
        <w:rPr>
          <w:sz w:val="22"/>
          <w:szCs w:val="22"/>
        </w:rPr>
        <w:t>l</w:t>
      </w:r>
      <w:r w:rsidR="00CA7287" w:rsidRPr="0027692C">
        <w:rPr>
          <w:sz w:val="22"/>
          <w:szCs w:val="22"/>
        </w:rPr>
        <w:t xml:space="preserve"> </w:t>
      </w:r>
      <w:r w:rsidR="00CA7287" w:rsidRPr="0027692C">
        <w:rPr>
          <w:sz w:val="22"/>
          <w:szCs w:val="22"/>
          <w:shd w:val="clear" w:color="auto" w:fill="FFFFFF"/>
        </w:rPr>
        <w:t>(Pollard, 2014, p367)</w:t>
      </w:r>
      <w:r>
        <w:rPr>
          <w:sz w:val="22"/>
          <w:szCs w:val="22"/>
          <w:shd w:val="clear" w:color="auto" w:fill="FFFFFF"/>
        </w:rPr>
        <w:t xml:space="preserve">. </w:t>
      </w:r>
      <w:r w:rsidR="00C167EF">
        <w:rPr>
          <w:sz w:val="22"/>
          <w:szCs w:val="22"/>
          <w:shd w:val="clear" w:color="auto" w:fill="FFFFFF"/>
        </w:rPr>
        <w:t>W</w:t>
      </w:r>
      <w:r w:rsidR="00347202">
        <w:rPr>
          <w:sz w:val="22"/>
          <w:szCs w:val="22"/>
          <w:shd w:val="clear" w:color="auto" w:fill="FFFFFF"/>
        </w:rPr>
        <w:t>iliam (1998) argue</w:t>
      </w:r>
      <w:r w:rsidR="00DD607E">
        <w:rPr>
          <w:sz w:val="22"/>
          <w:szCs w:val="22"/>
          <w:shd w:val="clear" w:color="auto" w:fill="FFFFFF"/>
        </w:rPr>
        <w:t>s</w:t>
      </w:r>
      <w:r w:rsidR="00347202">
        <w:rPr>
          <w:sz w:val="22"/>
          <w:szCs w:val="22"/>
          <w:shd w:val="clear" w:color="auto" w:fill="FFFFFF"/>
        </w:rPr>
        <w:t xml:space="preserve"> that working cooperatively is a method that allows children to be at the centre of their learning (</w:t>
      </w:r>
      <w:r w:rsidR="00DD607E">
        <w:rPr>
          <w:sz w:val="22"/>
          <w:szCs w:val="22"/>
          <w:shd w:val="clear" w:color="auto" w:fill="FFFFFF"/>
        </w:rPr>
        <w:t>Wiliam, 1998)</w:t>
      </w:r>
      <w:r>
        <w:rPr>
          <w:sz w:val="22"/>
          <w:szCs w:val="22"/>
          <w:shd w:val="clear" w:color="auto" w:fill="FFFFFF"/>
        </w:rPr>
        <w:t xml:space="preserve">; </w:t>
      </w:r>
      <w:r w:rsidR="00C167EF">
        <w:rPr>
          <w:sz w:val="22"/>
          <w:szCs w:val="22"/>
          <w:shd w:val="clear" w:color="auto" w:fill="FFFFFF"/>
        </w:rPr>
        <w:t xml:space="preserve">one of the key features of </w:t>
      </w:r>
      <w:proofErr w:type="spellStart"/>
      <w:r w:rsidR="00C167EF">
        <w:rPr>
          <w:sz w:val="22"/>
          <w:szCs w:val="22"/>
          <w:shd w:val="clear" w:color="auto" w:fill="FFFFFF"/>
        </w:rPr>
        <w:t>AfL</w:t>
      </w:r>
      <w:proofErr w:type="spellEnd"/>
      <w:r w:rsidR="00C167EF">
        <w:rPr>
          <w:sz w:val="22"/>
          <w:szCs w:val="22"/>
          <w:shd w:val="clear" w:color="auto" w:fill="FFFFFF"/>
        </w:rPr>
        <w:t xml:space="preserve">. Pollard (2008) would agree with Didau (2014) because </w:t>
      </w:r>
      <w:r>
        <w:rPr>
          <w:sz w:val="22"/>
          <w:szCs w:val="22"/>
          <w:shd w:val="clear" w:color="auto" w:fill="FFFFFF"/>
        </w:rPr>
        <w:t>t</w:t>
      </w:r>
      <w:r w:rsidR="00C167EF">
        <w:rPr>
          <w:sz w:val="22"/>
          <w:szCs w:val="22"/>
          <w:shd w:val="clear" w:color="auto" w:fill="FFFFFF"/>
        </w:rPr>
        <w:t>he</w:t>
      </w:r>
      <w:r>
        <w:rPr>
          <w:sz w:val="22"/>
          <w:szCs w:val="22"/>
          <w:shd w:val="clear" w:color="auto" w:fill="FFFFFF"/>
        </w:rPr>
        <w:t>y</w:t>
      </w:r>
      <w:r w:rsidR="00C167EF">
        <w:rPr>
          <w:sz w:val="22"/>
          <w:szCs w:val="22"/>
          <w:shd w:val="clear" w:color="auto" w:fill="FFFFFF"/>
        </w:rPr>
        <w:t xml:space="preserve"> suggests that both self and peer assessment can be used in a variety of learning experiences, that</w:t>
      </w:r>
      <w:r w:rsidR="00DD607E">
        <w:rPr>
          <w:sz w:val="22"/>
          <w:szCs w:val="22"/>
          <w:shd w:val="clear" w:color="auto" w:fill="FFFFFF"/>
        </w:rPr>
        <w:t xml:space="preserve"> cater to the needs of each child. I</w:t>
      </w:r>
      <w:r w:rsidR="00C167EF">
        <w:rPr>
          <w:sz w:val="22"/>
          <w:szCs w:val="22"/>
          <w:shd w:val="clear" w:color="auto" w:fill="FFFFFF"/>
        </w:rPr>
        <w:t xml:space="preserve">t means there is an opportunity for every child </w:t>
      </w:r>
      <w:r w:rsidR="00DD607E">
        <w:rPr>
          <w:sz w:val="22"/>
          <w:szCs w:val="22"/>
          <w:shd w:val="clear" w:color="auto" w:fill="FFFFFF"/>
        </w:rPr>
        <w:t>to progress (</w:t>
      </w:r>
      <w:r w:rsidR="00C167EF">
        <w:rPr>
          <w:sz w:val="22"/>
          <w:szCs w:val="22"/>
          <w:shd w:val="clear" w:color="auto" w:fill="FFFFFF"/>
        </w:rPr>
        <w:t xml:space="preserve">Pollard et al, 2008, p.400). </w:t>
      </w:r>
      <w:r w:rsidR="003F7897">
        <w:rPr>
          <w:sz w:val="22"/>
          <w:szCs w:val="22"/>
          <w:shd w:val="clear" w:color="auto" w:fill="FFFFFF"/>
        </w:rPr>
        <w:t xml:space="preserve">Vygotsky a world renowned theorist, would agree with peer assessment, due to his ideology of using the ‘zone of proximal development’, and the role of a ‘more knowledgeable other’ to scaffold each other’s learning; which is essentially the principle of </w:t>
      </w:r>
      <w:r w:rsidR="00DD607E">
        <w:rPr>
          <w:sz w:val="22"/>
          <w:szCs w:val="22"/>
          <w:shd w:val="clear" w:color="auto" w:fill="FFFFFF"/>
        </w:rPr>
        <w:t xml:space="preserve">peer assessment and supporting each-others learning, so both learners benefit from the experience </w:t>
      </w:r>
      <w:r w:rsidR="003F7897">
        <w:rPr>
          <w:sz w:val="22"/>
          <w:szCs w:val="22"/>
          <w:shd w:val="clear" w:color="auto" w:fill="FFFFFF"/>
        </w:rPr>
        <w:t>(Vygotsky et al, 1978, p.131)</w:t>
      </w:r>
      <w:r w:rsidR="00DD607E">
        <w:rPr>
          <w:sz w:val="22"/>
          <w:szCs w:val="22"/>
          <w:shd w:val="clear" w:color="auto" w:fill="FFFFFF"/>
        </w:rPr>
        <w:t xml:space="preserve">. </w:t>
      </w:r>
      <w:r w:rsidR="00826536">
        <w:rPr>
          <w:sz w:val="22"/>
          <w:szCs w:val="22"/>
          <w:shd w:val="clear" w:color="auto" w:fill="FFFFFF"/>
        </w:rPr>
        <w:t>Although</w:t>
      </w:r>
      <w:r>
        <w:rPr>
          <w:sz w:val="22"/>
          <w:szCs w:val="22"/>
          <w:shd w:val="clear" w:color="auto" w:fill="FFFFFF"/>
        </w:rPr>
        <w:t xml:space="preserve">, </w:t>
      </w:r>
      <w:r w:rsidR="00826536">
        <w:rPr>
          <w:sz w:val="22"/>
          <w:szCs w:val="22"/>
          <w:shd w:val="clear" w:color="auto" w:fill="FFFFFF"/>
        </w:rPr>
        <w:t xml:space="preserve">Didau </w:t>
      </w:r>
      <w:r>
        <w:rPr>
          <w:sz w:val="22"/>
          <w:szCs w:val="22"/>
          <w:shd w:val="clear" w:color="auto" w:fill="FFFFFF"/>
        </w:rPr>
        <w:t xml:space="preserve">does </w:t>
      </w:r>
      <w:r w:rsidR="00826536">
        <w:rPr>
          <w:sz w:val="22"/>
          <w:szCs w:val="22"/>
          <w:shd w:val="clear" w:color="auto" w:fill="FFFFFF"/>
        </w:rPr>
        <w:t>argue that</w:t>
      </w:r>
      <w:r w:rsidR="00805744">
        <w:rPr>
          <w:sz w:val="22"/>
          <w:szCs w:val="22"/>
          <w:shd w:val="clear" w:color="auto" w:fill="FFFFFF"/>
        </w:rPr>
        <w:t xml:space="preserve"> self and peer assessment</w:t>
      </w:r>
      <w:r w:rsidR="00826536">
        <w:rPr>
          <w:sz w:val="22"/>
          <w:szCs w:val="22"/>
          <w:shd w:val="clear" w:color="auto" w:fill="FFFFFF"/>
        </w:rPr>
        <w:t xml:space="preserve"> does have its purpose in learning, but should be applied with consideration to a modelled piece of work (Didau, 2014)</w:t>
      </w:r>
      <w:r w:rsidR="003F7897">
        <w:rPr>
          <w:sz w:val="22"/>
          <w:szCs w:val="22"/>
          <w:shd w:val="clear" w:color="auto" w:fill="FFFFFF"/>
        </w:rPr>
        <w:t>.</w:t>
      </w:r>
      <w:r w:rsidR="003755E0">
        <w:rPr>
          <w:sz w:val="22"/>
          <w:szCs w:val="22"/>
          <w:shd w:val="clear" w:color="auto" w:fill="FFFFFF"/>
        </w:rPr>
        <w:t xml:space="preserve"> Also, he suggests that the skills needed for self and peer assessment such as metacognition are useful for engaging with work. But, he does mention that by giving a child a mark scheme suited </w:t>
      </w:r>
      <w:r w:rsidR="00805744">
        <w:rPr>
          <w:sz w:val="22"/>
          <w:szCs w:val="22"/>
          <w:shd w:val="clear" w:color="auto" w:fill="FFFFFF"/>
        </w:rPr>
        <w:t xml:space="preserve">to the child and task, </w:t>
      </w:r>
      <w:r w:rsidR="003755E0">
        <w:rPr>
          <w:sz w:val="22"/>
          <w:szCs w:val="22"/>
          <w:shd w:val="clear" w:color="auto" w:fill="FFFFFF"/>
        </w:rPr>
        <w:t>to use as a checklist, is unlikely to be useful for them</w:t>
      </w:r>
      <w:r w:rsidR="000A3ADE">
        <w:rPr>
          <w:sz w:val="22"/>
          <w:szCs w:val="22"/>
          <w:shd w:val="clear" w:color="auto" w:fill="FFFFFF"/>
        </w:rPr>
        <w:t xml:space="preserve">; he questions what it teaches them (Didau, 2014). </w:t>
      </w:r>
    </w:p>
    <w:p w14:paraId="1CF8A8B1" w14:textId="77777777" w:rsidR="00C167EF" w:rsidRDefault="00C167EF" w:rsidP="00CA7287">
      <w:pPr>
        <w:pStyle w:val="NormalWeb"/>
        <w:shd w:val="clear" w:color="auto" w:fill="FFFFFF"/>
        <w:spacing w:before="0" w:beforeAutospacing="0" w:after="0" w:afterAutospacing="0"/>
        <w:textAlignment w:val="baseline"/>
        <w:rPr>
          <w:sz w:val="22"/>
          <w:szCs w:val="22"/>
          <w:shd w:val="clear" w:color="auto" w:fill="FFFFFF"/>
        </w:rPr>
      </w:pPr>
    </w:p>
    <w:p w14:paraId="6BBC6E54" w14:textId="50E45327" w:rsidR="00A81A38" w:rsidRPr="0027692C" w:rsidRDefault="00F84207" w:rsidP="00602550">
      <w:pPr>
        <w:pStyle w:val="NormalWeb"/>
        <w:shd w:val="clear" w:color="auto" w:fill="FFFFFF"/>
        <w:spacing w:before="0" w:beforeAutospacing="0" w:after="0" w:afterAutospacing="0"/>
        <w:textAlignment w:val="baseline"/>
        <w:rPr>
          <w:sz w:val="22"/>
          <w:szCs w:val="22"/>
        </w:rPr>
      </w:pPr>
      <w:r>
        <w:rPr>
          <w:sz w:val="22"/>
          <w:szCs w:val="22"/>
        </w:rPr>
        <w:t xml:space="preserve">Hattie and </w:t>
      </w:r>
      <w:r w:rsidR="00602550" w:rsidRPr="0027692C">
        <w:rPr>
          <w:sz w:val="22"/>
          <w:szCs w:val="22"/>
        </w:rPr>
        <w:t>Clarke simply state that effective feedback informs the learner of the next steps, essential for being able to achieve</w:t>
      </w:r>
      <w:r w:rsidR="00896F8A">
        <w:rPr>
          <w:sz w:val="22"/>
          <w:szCs w:val="22"/>
        </w:rPr>
        <w:t>,</w:t>
      </w:r>
      <w:r w:rsidR="00602550" w:rsidRPr="0027692C">
        <w:rPr>
          <w:sz w:val="22"/>
          <w:szCs w:val="22"/>
        </w:rPr>
        <w:t xml:space="preserve"> (Hattie and Clarke, 2018, p.2)</w:t>
      </w:r>
      <w:r w:rsidR="00896F8A">
        <w:rPr>
          <w:sz w:val="22"/>
          <w:szCs w:val="22"/>
        </w:rPr>
        <w:t xml:space="preserve"> because </w:t>
      </w:r>
      <w:r>
        <w:rPr>
          <w:sz w:val="22"/>
          <w:szCs w:val="22"/>
        </w:rPr>
        <w:t xml:space="preserve">giving feedback </w:t>
      </w:r>
      <w:r w:rsidR="00805744">
        <w:rPr>
          <w:sz w:val="22"/>
          <w:szCs w:val="22"/>
        </w:rPr>
        <w:t>r</w:t>
      </w:r>
      <w:r>
        <w:rPr>
          <w:sz w:val="22"/>
          <w:szCs w:val="22"/>
        </w:rPr>
        <w:t>educe</w:t>
      </w:r>
      <w:r w:rsidR="00805744">
        <w:rPr>
          <w:sz w:val="22"/>
          <w:szCs w:val="22"/>
        </w:rPr>
        <w:t>s</w:t>
      </w:r>
      <w:r>
        <w:rPr>
          <w:sz w:val="22"/>
          <w:szCs w:val="22"/>
        </w:rPr>
        <w:t xml:space="preserve"> discrepancies between the current understanding, learners performance, and their goal; being the principle of </w:t>
      </w:r>
      <w:proofErr w:type="spellStart"/>
      <w:r>
        <w:rPr>
          <w:sz w:val="22"/>
          <w:szCs w:val="22"/>
        </w:rPr>
        <w:t>AfL</w:t>
      </w:r>
      <w:proofErr w:type="spellEnd"/>
      <w:r>
        <w:rPr>
          <w:sz w:val="22"/>
          <w:szCs w:val="22"/>
        </w:rPr>
        <w:t xml:space="preserve"> in seeing the progression in learning (Hattie and Timperley, 2007, p.81). Furthermore, Coe et al stresses the role of feedback in informing teachers of where the attention and effort needs to focus on in future learning, giving children another chance at learning, to progress (Coe et al, 2014, p.11)</w:t>
      </w:r>
      <w:r w:rsidR="00A81A38">
        <w:rPr>
          <w:sz w:val="22"/>
          <w:szCs w:val="22"/>
        </w:rPr>
        <w:t xml:space="preserve">. </w:t>
      </w:r>
      <w:r w:rsidR="00805744">
        <w:rPr>
          <w:sz w:val="22"/>
          <w:szCs w:val="22"/>
        </w:rPr>
        <w:t>Additionally, d</w:t>
      </w:r>
      <w:r w:rsidR="00A81A38">
        <w:rPr>
          <w:sz w:val="22"/>
          <w:szCs w:val="22"/>
        </w:rPr>
        <w:t xml:space="preserve">espite Didau’s criticisms of Black and Wiliams work, he quotes “ how can anyone argue against feedback moving learning forward?”; and </w:t>
      </w:r>
      <w:r w:rsidR="00896F8A">
        <w:rPr>
          <w:sz w:val="22"/>
          <w:szCs w:val="22"/>
        </w:rPr>
        <w:t>teachers should utilise each opportunity to provide feedback (Didau, 2014)</w:t>
      </w:r>
    </w:p>
    <w:p w14:paraId="6009C3DE" w14:textId="77777777" w:rsidR="00602550" w:rsidRDefault="00602550" w:rsidP="008A3DF5">
      <w:pPr>
        <w:pStyle w:val="NormalWeb"/>
        <w:shd w:val="clear" w:color="auto" w:fill="FFFFFF"/>
        <w:spacing w:before="0" w:beforeAutospacing="0" w:after="0" w:afterAutospacing="0"/>
        <w:textAlignment w:val="baseline"/>
        <w:rPr>
          <w:sz w:val="22"/>
          <w:szCs w:val="22"/>
        </w:rPr>
      </w:pPr>
    </w:p>
    <w:p w14:paraId="1C5EA0CD" w14:textId="34E20003" w:rsidR="00A957F6" w:rsidRDefault="00D22DD0" w:rsidP="00CF43CF">
      <w:pPr>
        <w:pStyle w:val="NormalWeb"/>
        <w:shd w:val="clear" w:color="auto" w:fill="FFFFFF"/>
        <w:spacing w:before="0" w:beforeAutospacing="0" w:after="0" w:afterAutospacing="0"/>
        <w:textAlignment w:val="baseline"/>
        <w:rPr>
          <w:sz w:val="22"/>
          <w:szCs w:val="22"/>
        </w:rPr>
      </w:pPr>
      <w:r>
        <w:rPr>
          <w:sz w:val="22"/>
          <w:szCs w:val="22"/>
        </w:rPr>
        <w:t xml:space="preserve">On placement, I utilised </w:t>
      </w:r>
      <w:proofErr w:type="spellStart"/>
      <w:r>
        <w:rPr>
          <w:sz w:val="22"/>
          <w:szCs w:val="22"/>
        </w:rPr>
        <w:t>opportuntities</w:t>
      </w:r>
      <w:proofErr w:type="spellEnd"/>
      <w:r>
        <w:rPr>
          <w:sz w:val="22"/>
          <w:szCs w:val="22"/>
        </w:rPr>
        <w:t xml:space="preserve"> to embed </w:t>
      </w:r>
      <w:proofErr w:type="spellStart"/>
      <w:r w:rsidR="00686E03">
        <w:rPr>
          <w:sz w:val="22"/>
          <w:szCs w:val="22"/>
        </w:rPr>
        <w:t>AfL</w:t>
      </w:r>
      <w:proofErr w:type="spellEnd"/>
      <w:r w:rsidR="00686E03">
        <w:rPr>
          <w:sz w:val="22"/>
          <w:szCs w:val="22"/>
        </w:rPr>
        <w:t xml:space="preserve"> techniques into the core of my teaching</w:t>
      </w:r>
      <w:r>
        <w:rPr>
          <w:sz w:val="22"/>
          <w:szCs w:val="22"/>
        </w:rPr>
        <w:t xml:space="preserve">, </w:t>
      </w:r>
      <w:r w:rsidR="00686E03">
        <w:rPr>
          <w:sz w:val="22"/>
          <w:szCs w:val="22"/>
        </w:rPr>
        <w:t>through the use of three AOLE’s</w:t>
      </w:r>
      <w:r>
        <w:rPr>
          <w:sz w:val="22"/>
          <w:szCs w:val="22"/>
        </w:rPr>
        <w:t>; the</w:t>
      </w:r>
      <w:r w:rsidR="00686E03">
        <w:rPr>
          <w:sz w:val="22"/>
          <w:szCs w:val="22"/>
        </w:rPr>
        <w:t xml:space="preserve"> Humanitie</w:t>
      </w:r>
      <w:r>
        <w:rPr>
          <w:sz w:val="22"/>
          <w:szCs w:val="22"/>
        </w:rPr>
        <w:t xml:space="preserve">s (Appendix 1). </w:t>
      </w:r>
      <w:r w:rsidR="00046AE8">
        <w:rPr>
          <w:sz w:val="22"/>
          <w:szCs w:val="22"/>
        </w:rPr>
        <w:t>The lesson was based around the statement of what matters entitled ‘Enquiry, exploration and investigation inspire curiosity about the world, its past, present and future’; with the direct link to progression step 3, described as ‘I have actively engaged with a range of stimuli and had opportunities to participate in enquiries, both collaboratively and independently’</w:t>
      </w:r>
      <w:r w:rsidR="00812B57">
        <w:rPr>
          <w:sz w:val="22"/>
          <w:szCs w:val="22"/>
        </w:rPr>
        <w:t xml:space="preserve"> (Welsh Government, 2019). </w:t>
      </w:r>
      <w:r w:rsidR="007B481F">
        <w:rPr>
          <w:sz w:val="22"/>
          <w:szCs w:val="22"/>
        </w:rPr>
        <w:t>In this lesson, children engaged in a series of skills that should be present</w:t>
      </w:r>
      <w:r>
        <w:rPr>
          <w:sz w:val="22"/>
          <w:szCs w:val="22"/>
        </w:rPr>
        <w:t xml:space="preserve">ed </w:t>
      </w:r>
      <w:r w:rsidR="007B481F">
        <w:rPr>
          <w:sz w:val="22"/>
          <w:szCs w:val="22"/>
        </w:rPr>
        <w:t>in the representation of their work to see if they have successfully engaged and progressed</w:t>
      </w:r>
      <w:r>
        <w:rPr>
          <w:sz w:val="22"/>
          <w:szCs w:val="22"/>
        </w:rPr>
        <w:t xml:space="preserve">. The </w:t>
      </w:r>
      <w:r w:rsidR="00EB719B">
        <w:rPr>
          <w:sz w:val="22"/>
          <w:szCs w:val="22"/>
        </w:rPr>
        <w:t xml:space="preserve">key skills I aim for the children to learn, are being able to put events in chronological order, deduction, inference and summarising. </w:t>
      </w:r>
      <w:r>
        <w:rPr>
          <w:sz w:val="22"/>
          <w:szCs w:val="22"/>
        </w:rPr>
        <w:t xml:space="preserve">The </w:t>
      </w:r>
      <w:proofErr w:type="spellStart"/>
      <w:r w:rsidR="00EB719B">
        <w:rPr>
          <w:sz w:val="22"/>
          <w:szCs w:val="22"/>
        </w:rPr>
        <w:t>AfL</w:t>
      </w:r>
      <w:proofErr w:type="spellEnd"/>
      <w:r w:rsidR="00433B7C">
        <w:rPr>
          <w:sz w:val="22"/>
          <w:szCs w:val="22"/>
        </w:rPr>
        <w:t xml:space="preserve"> </w:t>
      </w:r>
      <w:r w:rsidR="00CF43CF">
        <w:rPr>
          <w:sz w:val="22"/>
          <w:szCs w:val="22"/>
        </w:rPr>
        <w:t>strategy within the lesson</w:t>
      </w:r>
      <w:r>
        <w:rPr>
          <w:sz w:val="22"/>
          <w:szCs w:val="22"/>
        </w:rPr>
        <w:t xml:space="preserve"> I used</w:t>
      </w:r>
      <w:r w:rsidR="00CF43CF">
        <w:rPr>
          <w:sz w:val="22"/>
          <w:szCs w:val="22"/>
        </w:rPr>
        <w:t>, will allow children to further practice these skills, and their ability to recall th</w:t>
      </w:r>
      <w:r>
        <w:rPr>
          <w:sz w:val="22"/>
          <w:szCs w:val="22"/>
        </w:rPr>
        <w:t xml:space="preserve">e content they </w:t>
      </w:r>
      <w:r w:rsidR="00CF43CF">
        <w:rPr>
          <w:sz w:val="22"/>
          <w:szCs w:val="22"/>
        </w:rPr>
        <w:t>l</w:t>
      </w:r>
      <w:r>
        <w:rPr>
          <w:sz w:val="22"/>
          <w:szCs w:val="22"/>
        </w:rPr>
        <w:t>earnt</w:t>
      </w:r>
      <w:r w:rsidR="00CF43CF">
        <w:rPr>
          <w:sz w:val="22"/>
          <w:szCs w:val="22"/>
        </w:rPr>
        <w:t xml:space="preserve">. </w:t>
      </w:r>
    </w:p>
    <w:p w14:paraId="7CB468B2" w14:textId="77777777" w:rsidR="00CF43CF" w:rsidRDefault="00CF43CF" w:rsidP="00CF43CF">
      <w:pPr>
        <w:pStyle w:val="NormalWeb"/>
        <w:shd w:val="clear" w:color="auto" w:fill="FFFFFF"/>
        <w:spacing w:before="0" w:beforeAutospacing="0" w:after="0" w:afterAutospacing="0"/>
        <w:textAlignment w:val="baseline"/>
        <w:rPr>
          <w:sz w:val="22"/>
          <w:szCs w:val="22"/>
        </w:rPr>
      </w:pPr>
    </w:p>
    <w:p w14:paraId="335AFF72" w14:textId="2F422D63" w:rsidR="00890079" w:rsidRDefault="00CF43CF" w:rsidP="00CF43CF">
      <w:pPr>
        <w:pStyle w:val="NormalWeb"/>
        <w:shd w:val="clear" w:color="auto" w:fill="FFFFFF"/>
        <w:spacing w:before="0" w:beforeAutospacing="0" w:after="0" w:afterAutospacing="0"/>
        <w:textAlignment w:val="baseline"/>
        <w:rPr>
          <w:sz w:val="22"/>
          <w:szCs w:val="22"/>
        </w:rPr>
      </w:pPr>
      <w:r>
        <w:rPr>
          <w:sz w:val="22"/>
          <w:szCs w:val="22"/>
        </w:rPr>
        <w:t xml:space="preserve">The </w:t>
      </w:r>
      <w:proofErr w:type="spellStart"/>
      <w:r>
        <w:rPr>
          <w:sz w:val="22"/>
          <w:szCs w:val="22"/>
        </w:rPr>
        <w:t>AfL</w:t>
      </w:r>
      <w:proofErr w:type="spellEnd"/>
      <w:r>
        <w:rPr>
          <w:sz w:val="22"/>
          <w:szCs w:val="22"/>
        </w:rPr>
        <w:t xml:space="preserve"> strategy I used in this lesson is known as ‘talk partners</w:t>
      </w:r>
      <w:r w:rsidR="0085767E">
        <w:rPr>
          <w:sz w:val="22"/>
          <w:szCs w:val="22"/>
        </w:rPr>
        <w:t xml:space="preserve">’; which is a part of the questioning elements of </w:t>
      </w:r>
      <w:proofErr w:type="spellStart"/>
      <w:r w:rsidR="0085767E">
        <w:rPr>
          <w:sz w:val="22"/>
          <w:szCs w:val="22"/>
        </w:rPr>
        <w:t>AfL</w:t>
      </w:r>
      <w:proofErr w:type="spellEnd"/>
      <w:r w:rsidR="0085767E">
        <w:rPr>
          <w:sz w:val="22"/>
          <w:szCs w:val="22"/>
        </w:rPr>
        <w:t xml:space="preserve">. ‘Talk partners’ is a method that allows pupils to explore their answers, as well as </w:t>
      </w:r>
      <w:r w:rsidR="00D22DD0">
        <w:rPr>
          <w:sz w:val="22"/>
          <w:szCs w:val="22"/>
        </w:rPr>
        <w:t xml:space="preserve">their </w:t>
      </w:r>
      <w:r w:rsidR="0085767E">
        <w:rPr>
          <w:sz w:val="22"/>
          <w:szCs w:val="22"/>
        </w:rPr>
        <w:t>peers, giving an automatic sense of potentially accuracy and confidence with their answers (Aubrey and Riley, 2019, p.253). I intended to use ‘talk partners’ at several different times during the lesson; by asking open questions for the children to discuss to consolidate their understanding, apply their previous knowledge, and ensure misconceptions are addressed. There are several benefits to using ‘talk partners’; one of these is how you can apply Vygotsky’s theory of scaffolding. Vygotsky argued that each child has a ‘zone of proximal development’</w:t>
      </w:r>
      <w:r w:rsidR="00D22DD0">
        <w:rPr>
          <w:sz w:val="22"/>
          <w:szCs w:val="22"/>
        </w:rPr>
        <w:t xml:space="preserve"> (ZPD)</w:t>
      </w:r>
      <w:r w:rsidR="0085767E">
        <w:rPr>
          <w:sz w:val="22"/>
          <w:szCs w:val="22"/>
        </w:rPr>
        <w:t xml:space="preserve"> that can be defined as what a child can do alone, and what they can do with support through a ‘more knowledgeable other’ (MKO)</w:t>
      </w:r>
      <w:r w:rsidR="007A39EE">
        <w:rPr>
          <w:sz w:val="22"/>
          <w:szCs w:val="22"/>
        </w:rPr>
        <w:t xml:space="preserve">; of which should use collaboration and internalisation to challenge each other to discover the correct answer or idea (Pound, 2005, p.53). The important link here is that Vygotsky’s key idea, is that is will put children on the right path of understanding and knowledge, which essentially is </w:t>
      </w:r>
      <w:r w:rsidR="002927D8">
        <w:rPr>
          <w:sz w:val="22"/>
          <w:szCs w:val="22"/>
        </w:rPr>
        <w:t>‘</w:t>
      </w:r>
      <w:r w:rsidR="007A39EE">
        <w:rPr>
          <w:sz w:val="22"/>
          <w:szCs w:val="22"/>
        </w:rPr>
        <w:t>closing the gap</w:t>
      </w:r>
      <w:r w:rsidR="002927D8">
        <w:rPr>
          <w:sz w:val="22"/>
          <w:szCs w:val="22"/>
        </w:rPr>
        <w:t>’</w:t>
      </w:r>
      <w:r w:rsidR="007A39EE">
        <w:rPr>
          <w:sz w:val="22"/>
          <w:szCs w:val="22"/>
        </w:rPr>
        <w:t xml:space="preserve"> in learning, the principle of </w:t>
      </w:r>
      <w:proofErr w:type="spellStart"/>
      <w:r w:rsidR="007A39EE">
        <w:rPr>
          <w:sz w:val="22"/>
          <w:szCs w:val="22"/>
        </w:rPr>
        <w:t>AfL</w:t>
      </w:r>
      <w:proofErr w:type="spellEnd"/>
      <w:r w:rsidR="002927D8">
        <w:rPr>
          <w:sz w:val="22"/>
          <w:szCs w:val="22"/>
        </w:rPr>
        <w:t>.</w:t>
      </w:r>
      <w:r w:rsidR="007A39EE">
        <w:rPr>
          <w:sz w:val="22"/>
          <w:szCs w:val="22"/>
        </w:rPr>
        <w:t xml:space="preserve"> </w:t>
      </w:r>
      <w:r w:rsidR="002927D8">
        <w:rPr>
          <w:sz w:val="22"/>
          <w:szCs w:val="22"/>
        </w:rPr>
        <w:t xml:space="preserve">This </w:t>
      </w:r>
      <w:r w:rsidR="007A39EE">
        <w:rPr>
          <w:sz w:val="22"/>
          <w:szCs w:val="22"/>
        </w:rPr>
        <w:t xml:space="preserve">means learners can be supported by their peers </w:t>
      </w:r>
      <w:r w:rsidR="002927D8">
        <w:rPr>
          <w:sz w:val="22"/>
          <w:szCs w:val="22"/>
        </w:rPr>
        <w:t xml:space="preserve">through modelling and </w:t>
      </w:r>
      <w:r w:rsidR="007A39EE">
        <w:rPr>
          <w:sz w:val="22"/>
          <w:szCs w:val="22"/>
        </w:rPr>
        <w:t xml:space="preserve">communication, how to get to where they could be in their learning. </w:t>
      </w:r>
      <w:r w:rsidR="002927D8">
        <w:rPr>
          <w:sz w:val="22"/>
          <w:szCs w:val="22"/>
        </w:rPr>
        <w:t>Additionally, it increases inclusivity in the classroom, as it can be applied to any level of learning, and therefore any learning (Wiliam, 2016, p.106).</w:t>
      </w:r>
      <w:r w:rsidR="004B467A">
        <w:rPr>
          <w:sz w:val="22"/>
          <w:szCs w:val="22"/>
        </w:rPr>
        <w:t xml:space="preserve"> </w:t>
      </w:r>
      <w:r w:rsidR="00D709EC">
        <w:rPr>
          <w:sz w:val="22"/>
          <w:szCs w:val="22"/>
        </w:rPr>
        <w:t xml:space="preserve">However, a disadvantage of ‘talk partners’, is </w:t>
      </w:r>
      <w:r w:rsidR="002927D8">
        <w:rPr>
          <w:sz w:val="22"/>
          <w:szCs w:val="22"/>
        </w:rPr>
        <w:t xml:space="preserve">the ‘wait time’. </w:t>
      </w:r>
      <w:r w:rsidR="00D709EC">
        <w:rPr>
          <w:sz w:val="22"/>
          <w:szCs w:val="22"/>
        </w:rPr>
        <w:t xml:space="preserve">Rowe (1974, cited in Aubrey and Riley, p.253) argued that the current wait time that a teacher expects an </w:t>
      </w:r>
      <w:r w:rsidR="00D709EC">
        <w:rPr>
          <w:sz w:val="22"/>
          <w:szCs w:val="22"/>
        </w:rPr>
        <w:lastRenderedPageBreak/>
        <w:t>answer is 0.9 seconds, when it is recommended that it should be 3 seconds</w:t>
      </w:r>
      <w:r w:rsidR="002927D8">
        <w:rPr>
          <w:sz w:val="22"/>
          <w:szCs w:val="22"/>
        </w:rPr>
        <w:t xml:space="preserve">, as </w:t>
      </w:r>
      <w:r w:rsidR="00D709EC">
        <w:rPr>
          <w:sz w:val="22"/>
          <w:szCs w:val="22"/>
        </w:rPr>
        <w:t xml:space="preserve">it would improve the quality of answers. </w:t>
      </w:r>
      <w:r w:rsidR="00890079">
        <w:rPr>
          <w:sz w:val="22"/>
          <w:szCs w:val="22"/>
        </w:rPr>
        <w:t xml:space="preserve">In spite of this, using ‘talk partners’ </w:t>
      </w:r>
      <w:r w:rsidR="00145E14">
        <w:rPr>
          <w:sz w:val="22"/>
          <w:szCs w:val="22"/>
        </w:rPr>
        <w:t>is</w:t>
      </w:r>
      <w:r w:rsidR="00890079">
        <w:rPr>
          <w:sz w:val="22"/>
          <w:szCs w:val="22"/>
        </w:rPr>
        <w:t xml:space="preserve"> a method of questioning that allows learners to answer open ended answers, that can be built upon through each other’s ideas</w:t>
      </w:r>
      <w:r w:rsidR="002927D8">
        <w:rPr>
          <w:sz w:val="22"/>
          <w:szCs w:val="22"/>
        </w:rPr>
        <w:t>. Therefore</w:t>
      </w:r>
      <w:r w:rsidR="00145E14">
        <w:rPr>
          <w:sz w:val="22"/>
          <w:szCs w:val="22"/>
        </w:rPr>
        <w:t>, I would</w:t>
      </w:r>
      <w:r w:rsidR="002927D8">
        <w:rPr>
          <w:sz w:val="22"/>
          <w:szCs w:val="22"/>
        </w:rPr>
        <w:t xml:space="preserve"> need to</w:t>
      </w:r>
      <w:r w:rsidR="00145E14">
        <w:rPr>
          <w:sz w:val="22"/>
          <w:szCs w:val="22"/>
        </w:rPr>
        <w:t xml:space="preserve"> ensure to give children enough wait time before asking for answers, to ensure they can provide quality answers. </w:t>
      </w:r>
      <w:r w:rsidR="002927D8">
        <w:rPr>
          <w:sz w:val="22"/>
          <w:szCs w:val="22"/>
        </w:rPr>
        <w:t xml:space="preserve">Additionally, the nature of the lesson means </w:t>
      </w:r>
      <w:r w:rsidR="00890079">
        <w:rPr>
          <w:sz w:val="22"/>
          <w:szCs w:val="22"/>
        </w:rPr>
        <w:t>children are essentially recalling information from important periods throughout history, so by asking these open ended questions, it means the children can build on their ideas with other facts or information they can recall</w:t>
      </w:r>
      <w:r w:rsidR="002927D8">
        <w:rPr>
          <w:sz w:val="22"/>
          <w:szCs w:val="22"/>
        </w:rPr>
        <w:t xml:space="preserve">; and </w:t>
      </w:r>
      <w:r w:rsidR="00890079">
        <w:rPr>
          <w:sz w:val="22"/>
          <w:szCs w:val="22"/>
        </w:rPr>
        <w:t>there is always an opportunity to apply more information.</w:t>
      </w:r>
      <w:r w:rsidR="001D4405">
        <w:rPr>
          <w:sz w:val="22"/>
          <w:szCs w:val="22"/>
        </w:rPr>
        <w:t xml:space="preserve"> That, and the fact that Vygotsky highlights the importance of talk as a learning tool (Bartlett and Burton, 2016, p.248)</w:t>
      </w:r>
      <w:r w:rsidR="00890079">
        <w:rPr>
          <w:sz w:val="22"/>
          <w:szCs w:val="22"/>
        </w:rPr>
        <w:t xml:space="preserve"> proves why I chose to use ‘talk partners’ for this lesson in Human</w:t>
      </w:r>
      <w:r w:rsidR="002927D8">
        <w:rPr>
          <w:sz w:val="22"/>
          <w:szCs w:val="22"/>
        </w:rPr>
        <w:t>ities.</w:t>
      </w:r>
      <w:r w:rsidR="0063376A">
        <w:rPr>
          <w:sz w:val="22"/>
          <w:szCs w:val="22"/>
        </w:rPr>
        <w:t xml:space="preserve"> </w:t>
      </w:r>
    </w:p>
    <w:p w14:paraId="5BD96FBD" w14:textId="77777777" w:rsidR="00B13193" w:rsidRDefault="00B13193" w:rsidP="00CF43CF">
      <w:pPr>
        <w:pStyle w:val="NormalWeb"/>
        <w:shd w:val="clear" w:color="auto" w:fill="FFFFFF"/>
        <w:spacing w:before="0" w:beforeAutospacing="0" w:after="0" w:afterAutospacing="0"/>
        <w:textAlignment w:val="baseline"/>
        <w:rPr>
          <w:sz w:val="22"/>
          <w:szCs w:val="22"/>
        </w:rPr>
      </w:pPr>
    </w:p>
    <w:p w14:paraId="100AEC57" w14:textId="6E51FE85" w:rsidR="00B13193" w:rsidRDefault="00B13193" w:rsidP="00CF43CF">
      <w:pPr>
        <w:pStyle w:val="NormalWeb"/>
        <w:shd w:val="clear" w:color="auto" w:fill="FFFFFF"/>
        <w:spacing w:before="0" w:beforeAutospacing="0" w:after="0" w:afterAutospacing="0"/>
        <w:textAlignment w:val="baseline"/>
        <w:rPr>
          <w:sz w:val="22"/>
          <w:szCs w:val="22"/>
        </w:rPr>
      </w:pPr>
      <w:r>
        <w:rPr>
          <w:sz w:val="22"/>
          <w:szCs w:val="22"/>
        </w:rPr>
        <w:t xml:space="preserve">My second lesson </w:t>
      </w:r>
      <w:r w:rsidR="00CF37AE">
        <w:rPr>
          <w:sz w:val="22"/>
          <w:szCs w:val="22"/>
        </w:rPr>
        <w:t xml:space="preserve">is within the </w:t>
      </w:r>
      <w:r>
        <w:rPr>
          <w:sz w:val="22"/>
          <w:szCs w:val="22"/>
        </w:rPr>
        <w:t>Language, Literacy and Communication</w:t>
      </w:r>
      <w:r w:rsidR="00CF37AE">
        <w:rPr>
          <w:sz w:val="22"/>
          <w:szCs w:val="22"/>
        </w:rPr>
        <w:t xml:space="preserve"> AOLE</w:t>
      </w:r>
      <w:r>
        <w:rPr>
          <w:sz w:val="22"/>
          <w:szCs w:val="22"/>
        </w:rPr>
        <w:t xml:space="preserve"> (Appendix 2). Each learner will have the opportunities to use their recall, an ability to infer from prompts</w:t>
      </w:r>
      <w:r w:rsidR="00CF37AE">
        <w:rPr>
          <w:sz w:val="22"/>
          <w:szCs w:val="22"/>
        </w:rPr>
        <w:t xml:space="preserve"> </w:t>
      </w:r>
      <w:r>
        <w:rPr>
          <w:sz w:val="22"/>
          <w:szCs w:val="22"/>
        </w:rPr>
        <w:t>based on their prior learning, to write an account of the three different discoveries made within medical history</w:t>
      </w:r>
      <w:r w:rsidR="00CF37AE">
        <w:rPr>
          <w:sz w:val="22"/>
          <w:szCs w:val="22"/>
        </w:rPr>
        <w:t xml:space="preserve"> the class have studied</w:t>
      </w:r>
      <w:r>
        <w:rPr>
          <w:sz w:val="22"/>
          <w:szCs w:val="22"/>
        </w:rPr>
        <w:t>. Within this lesson, children will be aiming towards completing progression step three described as ‘I can use my knowledge of writing styles and the features of different literacy genres to create my own work’ within the ‘literature fires imagination and inspires creativity’ statement of what matters</w:t>
      </w:r>
      <w:r w:rsidR="00CF37AE">
        <w:rPr>
          <w:sz w:val="22"/>
          <w:szCs w:val="22"/>
        </w:rPr>
        <w:t xml:space="preserve"> (Welsh Government, 2019). </w:t>
      </w:r>
      <w:r w:rsidR="00444C96">
        <w:rPr>
          <w:sz w:val="22"/>
          <w:szCs w:val="22"/>
        </w:rPr>
        <w:t xml:space="preserve">The key teaching points of this lesson, are providing children will the knowledge of another different writing style, as well as their ability to analyse the key information they have discovered in the previous lesson. The Numeracy and Literacy Framework highlights that children should learn several different writing styles, so this will introduce the children to another. Account writing (Welsh Government, 2020). </w:t>
      </w:r>
    </w:p>
    <w:p w14:paraId="3C7E60A7" w14:textId="77777777" w:rsidR="00444C96" w:rsidRDefault="00444C96" w:rsidP="00CF43CF">
      <w:pPr>
        <w:pStyle w:val="NormalWeb"/>
        <w:shd w:val="clear" w:color="auto" w:fill="FFFFFF"/>
        <w:spacing w:before="0" w:beforeAutospacing="0" w:after="0" w:afterAutospacing="0"/>
        <w:textAlignment w:val="baseline"/>
        <w:rPr>
          <w:sz w:val="22"/>
          <w:szCs w:val="22"/>
        </w:rPr>
      </w:pPr>
    </w:p>
    <w:p w14:paraId="7FE09390" w14:textId="72752148" w:rsidR="00444C96" w:rsidRDefault="00444C96" w:rsidP="00CF43CF">
      <w:pPr>
        <w:pStyle w:val="NormalWeb"/>
        <w:shd w:val="clear" w:color="auto" w:fill="FFFFFF"/>
        <w:spacing w:before="0" w:beforeAutospacing="0" w:after="0" w:afterAutospacing="0"/>
        <w:textAlignment w:val="baseline"/>
        <w:rPr>
          <w:sz w:val="22"/>
          <w:szCs w:val="22"/>
        </w:rPr>
      </w:pPr>
      <w:r>
        <w:rPr>
          <w:sz w:val="22"/>
          <w:szCs w:val="22"/>
        </w:rPr>
        <w:t xml:space="preserve">In this lesson, time should be dedicated to the </w:t>
      </w:r>
      <w:proofErr w:type="spellStart"/>
      <w:r>
        <w:rPr>
          <w:sz w:val="22"/>
          <w:szCs w:val="22"/>
        </w:rPr>
        <w:t>AfL</w:t>
      </w:r>
      <w:proofErr w:type="spellEnd"/>
      <w:r>
        <w:rPr>
          <w:sz w:val="22"/>
          <w:szCs w:val="22"/>
        </w:rPr>
        <w:t xml:space="preserve"> strateg</w:t>
      </w:r>
      <w:r w:rsidR="00122FDD">
        <w:rPr>
          <w:sz w:val="22"/>
          <w:szCs w:val="22"/>
        </w:rPr>
        <w:t>ie</w:t>
      </w:r>
      <w:r>
        <w:rPr>
          <w:sz w:val="22"/>
          <w:szCs w:val="22"/>
        </w:rPr>
        <w:t>s put in place to ensure each child has the opportunity to progress. I decided to link ‘sharing criteria with learners’ and ‘peer and self-assessment’ together using different approaches. The strategies I planned were to use Austin</w:t>
      </w:r>
      <w:r w:rsidR="00CF37AE">
        <w:rPr>
          <w:sz w:val="22"/>
          <w:szCs w:val="22"/>
        </w:rPr>
        <w:t>’</w:t>
      </w:r>
      <w:r>
        <w:rPr>
          <w:sz w:val="22"/>
          <w:szCs w:val="22"/>
        </w:rPr>
        <w:t xml:space="preserve">s Butterfly Approach, whereby I show children exemplar of the account writing, known as a WAGOLL (what a good one looks like), and the children can critique and pick out the good points of this work, </w:t>
      </w:r>
      <w:r w:rsidR="00CF37AE">
        <w:rPr>
          <w:sz w:val="22"/>
          <w:szCs w:val="22"/>
        </w:rPr>
        <w:t xml:space="preserve">to use </w:t>
      </w:r>
      <w:r>
        <w:rPr>
          <w:sz w:val="22"/>
          <w:szCs w:val="22"/>
        </w:rPr>
        <w:t xml:space="preserve">as a success criteria for </w:t>
      </w:r>
      <w:r w:rsidR="00CF37AE">
        <w:rPr>
          <w:sz w:val="22"/>
          <w:szCs w:val="22"/>
        </w:rPr>
        <w:t xml:space="preserve">their own </w:t>
      </w:r>
      <w:r>
        <w:rPr>
          <w:sz w:val="22"/>
          <w:szCs w:val="22"/>
        </w:rPr>
        <w:t xml:space="preserve">account of medical discoveries. </w:t>
      </w:r>
      <w:r w:rsidR="00D57F7A">
        <w:rPr>
          <w:sz w:val="22"/>
          <w:szCs w:val="22"/>
        </w:rPr>
        <w:t xml:space="preserve">This approach can be described as an achieving excellence policy as it means children know the standard, and what they need to do to progress and therefore achieve (Lloyd, 2021). Furthermore, the use of the success criteria will then be used as a method of the children assessing each-others work, which means they can apply Vygotsky’s theory of scaffolding to support and guide each-others learning and progression. Additionally, it means the children can use the feedback to create targets, so they know the next steps in their learning, being the significant part of </w:t>
      </w:r>
      <w:proofErr w:type="spellStart"/>
      <w:r w:rsidR="00D57F7A">
        <w:rPr>
          <w:sz w:val="22"/>
          <w:szCs w:val="22"/>
        </w:rPr>
        <w:t>AfL</w:t>
      </w:r>
      <w:proofErr w:type="spellEnd"/>
      <w:r w:rsidR="00CF37AE">
        <w:rPr>
          <w:sz w:val="22"/>
          <w:szCs w:val="22"/>
        </w:rPr>
        <w:t>.</w:t>
      </w:r>
      <w:r w:rsidR="00D57F7A">
        <w:rPr>
          <w:sz w:val="22"/>
          <w:szCs w:val="22"/>
        </w:rPr>
        <w:t xml:space="preserve"> </w:t>
      </w:r>
    </w:p>
    <w:p w14:paraId="33A9E7C1" w14:textId="77777777" w:rsidR="005A2BEA" w:rsidRDefault="005A2BEA" w:rsidP="00CF43CF">
      <w:pPr>
        <w:pStyle w:val="NormalWeb"/>
        <w:shd w:val="clear" w:color="auto" w:fill="FFFFFF"/>
        <w:spacing w:before="0" w:beforeAutospacing="0" w:after="0" w:afterAutospacing="0"/>
        <w:textAlignment w:val="baseline"/>
        <w:rPr>
          <w:sz w:val="22"/>
          <w:szCs w:val="22"/>
        </w:rPr>
      </w:pPr>
    </w:p>
    <w:p w14:paraId="76B89EF5" w14:textId="727D971D" w:rsidR="00F63181" w:rsidRDefault="00951BB3" w:rsidP="00CF43CF">
      <w:pPr>
        <w:pStyle w:val="NormalWeb"/>
        <w:shd w:val="clear" w:color="auto" w:fill="FFFFFF"/>
        <w:spacing w:before="0" w:beforeAutospacing="0" w:after="0" w:afterAutospacing="0"/>
        <w:textAlignment w:val="baseline"/>
        <w:rPr>
          <w:sz w:val="22"/>
          <w:szCs w:val="22"/>
        </w:rPr>
      </w:pPr>
      <w:r>
        <w:rPr>
          <w:sz w:val="22"/>
          <w:szCs w:val="22"/>
        </w:rPr>
        <w:t>A WAGOLL is a method of visible learning that shows learners the high but achievable expectations they should aim for during the lesson, giving an opportunity for every child to progress (Seymour, 2019)</w:t>
      </w:r>
      <w:r w:rsidR="009E4219">
        <w:rPr>
          <w:sz w:val="22"/>
          <w:szCs w:val="22"/>
        </w:rPr>
        <w:t xml:space="preserve">; therefore it is a child </w:t>
      </w:r>
      <w:proofErr w:type="spellStart"/>
      <w:r w:rsidR="009E4219">
        <w:rPr>
          <w:sz w:val="22"/>
          <w:szCs w:val="22"/>
        </w:rPr>
        <w:t>centered</w:t>
      </w:r>
      <w:proofErr w:type="spellEnd"/>
      <w:r w:rsidR="009E4219">
        <w:rPr>
          <w:sz w:val="22"/>
          <w:szCs w:val="22"/>
        </w:rPr>
        <w:t xml:space="preserve"> approach. Seymour argues that giving these expectations to children mean that they for some they may notice how a certain type of punctuation works, they may finally be able to spell the words they have struggled with,</w:t>
      </w:r>
      <w:r w:rsidR="00CF37AE">
        <w:rPr>
          <w:sz w:val="22"/>
          <w:szCs w:val="22"/>
        </w:rPr>
        <w:t xml:space="preserve"> or</w:t>
      </w:r>
      <w:r w:rsidR="009E4219">
        <w:rPr>
          <w:sz w:val="22"/>
          <w:szCs w:val="22"/>
        </w:rPr>
        <w:t xml:space="preserve"> may begin to understand the more complex sides to writing styles; but regardless of what each child is learning, the use of a WAGOLL provides opportunities for all to progress (Seymour, 2019). Carl Rogers (1983), a humanistic theorist, would agree with using WAGOLL’s to build a success criteria as he argues the great importance of learning being child </w:t>
      </w:r>
      <w:proofErr w:type="spellStart"/>
      <w:r w:rsidR="009E4219">
        <w:rPr>
          <w:sz w:val="22"/>
          <w:szCs w:val="22"/>
        </w:rPr>
        <w:t>centered</w:t>
      </w:r>
      <w:proofErr w:type="spellEnd"/>
      <w:r w:rsidR="009E4219">
        <w:rPr>
          <w:sz w:val="22"/>
          <w:szCs w:val="22"/>
        </w:rPr>
        <w:t xml:space="preserve"> </w:t>
      </w:r>
      <w:r w:rsidR="00703B10">
        <w:rPr>
          <w:sz w:val="22"/>
          <w:szCs w:val="22"/>
        </w:rPr>
        <w:t>(Rogers cited in Aubrey and Riley, p.26)</w:t>
      </w:r>
      <w:r w:rsidR="00703B10">
        <w:rPr>
          <w:sz w:val="22"/>
          <w:szCs w:val="22"/>
        </w:rPr>
        <w:t xml:space="preserve"> and that </w:t>
      </w:r>
      <w:r w:rsidR="00703B10">
        <w:rPr>
          <w:sz w:val="22"/>
          <w:szCs w:val="22"/>
        </w:rPr>
        <w:t>not all methods suited all learners, but effective practitioners should aim to plan and deliver imaginative practice that caters for them (Rogers, 1983, p.187)</w:t>
      </w:r>
      <w:r w:rsidR="00703B10">
        <w:rPr>
          <w:sz w:val="22"/>
          <w:szCs w:val="22"/>
        </w:rPr>
        <w:t xml:space="preserve">. </w:t>
      </w:r>
      <w:r w:rsidR="009E4219">
        <w:rPr>
          <w:sz w:val="22"/>
          <w:szCs w:val="22"/>
        </w:rPr>
        <w:t xml:space="preserve">Therefore, it could be argued that the use of a WAGOLL is a beneficial method of </w:t>
      </w:r>
      <w:proofErr w:type="spellStart"/>
      <w:r w:rsidR="009E4219">
        <w:rPr>
          <w:sz w:val="22"/>
          <w:szCs w:val="22"/>
        </w:rPr>
        <w:t>AfL</w:t>
      </w:r>
      <w:proofErr w:type="spellEnd"/>
      <w:r w:rsidR="009E4219">
        <w:rPr>
          <w:sz w:val="22"/>
          <w:szCs w:val="22"/>
        </w:rPr>
        <w:t xml:space="preserve"> as it means progress </w:t>
      </w:r>
      <w:r w:rsidR="00CF37AE">
        <w:rPr>
          <w:sz w:val="22"/>
          <w:szCs w:val="22"/>
        </w:rPr>
        <w:t>is realistic for all learners, so they can thrive with confidence in learning.</w:t>
      </w:r>
      <w:r w:rsidR="00703B10">
        <w:rPr>
          <w:sz w:val="22"/>
          <w:szCs w:val="22"/>
        </w:rPr>
        <w:t xml:space="preserve"> </w:t>
      </w:r>
      <w:r w:rsidR="00C2649B">
        <w:rPr>
          <w:sz w:val="22"/>
          <w:szCs w:val="22"/>
        </w:rPr>
        <w:t xml:space="preserve">Although </w:t>
      </w:r>
      <w:r w:rsidR="00703B10">
        <w:rPr>
          <w:sz w:val="22"/>
          <w:szCs w:val="22"/>
        </w:rPr>
        <w:t xml:space="preserve">using </w:t>
      </w:r>
      <w:r w:rsidR="00C2649B">
        <w:rPr>
          <w:sz w:val="22"/>
          <w:szCs w:val="22"/>
        </w:rPr>
        <w:t>WAGOLL</w:t>
      </w:r>
      <w:r w:rsidR="00703B10">
        <w:rPr>
          <w:sz w:val="22"/>
          <w:szCs w:val="22"/>
        </w:rPr>
        <w:t>’s are</w:t>
      </w:r>
      <w:r w:rsidR="00C2649B">
        <w:rPr>
          <w:sz w:val="22"/>
          <w:szCs w:val="22"/>
        </w:rPr>
        <w:t xml:space="preserve"> highly regarded by many practitioners in education, some argue that it can be very time consuming. Riches (2022) argues that it is a strategy that cannot be rushed, and must have appropriate time spent on as it can overload children with information if not used effectively (Riches, 2022)</w:t>
      </w:r>
      <w:r w:rsidR="00534CB1">
        <w:rPr>
          <w:sz w:val="22"/>
          <w:szCs w:val="22"/>
        </w:rPr>
        <w:t>.</w:t>
      </w:r>
      <w:r w:rsidR="00703B10">
        <w:rPr>
          <w:sz w:val="22"/>
          <w:szCs w:val="22"/>
        </w:rPr>
        <w:t xml:space="preserve"> This </w:t>
      </w:r>
      <w:r w:rsidR="00534CB1">
        <w:rPr>
          <w:sz w:val="22"/>
          <w:szCs w:val="22"/>
        </w:rPr>
        <w:t xml:space="preserve">is supported by Seker (2008) who argues that children will always have their own interpretation of information, regardless of the method in which teaching or resources are delivered (Seker, 2008, p.176). Therefore, this demonstrates that although the use of a WAGOLL supports learning being child </w:t>
      </w:r>
      <w:proofErr w:type="spellStart"/>
      <w:r w:rsidR="00534CB1">
        <w:rPr>
          <w:sz w:val="22"/>
          <w:szCs w:val="22"/>
        </w:rPr>
        <w:t>centered</w:t>
      </w:r>
      <w:proofErr w:type="spellEnd"/>
      <w:r w:rsidR="00534CB1">
        <w:rPr>
          <w:sz w:val="22"/>
          <w:szCs w:val="22"/>
        </w:rPr>
        <w:t>,</w:t>
      </w:r>
      <w:r w:rsidR="00703B10">
        <w:rPr>
          <w:sz w:val="22"/>
          <w:szCs w:val="22"/>
        </w:rPr>
        <w:t xml:space="preserve"> </w:t>
      </w:r>
      <w:r w:rsidR="00534CB1">
        <w:rPr>
          <w:sz w:val="22"/>
          <w:szCs w:val="22"/>
        </w:rPr>
        <w:t xml:space="preserve">it means teachers need to dedicate lots </w:t>
      </w:r>
      <w:r w:rsidR="00534CB1">
        <w:rPr>
          <w:sz w:val="22"/>
          <w:szCs w:val="22"/>
        </w:rPr>
        <w:lastRenderedPageBreak/>
        <w:t xml:space="preserve">of time to using this </w:t>
      </w:r>
      <w:proofErr w:type="spellStart"/>
      <w:r w:rsidR="00534CB1">
        <w:rPr>
          <w:sz w:val="22"/>
          <w:szCs w:val="22"/>
        </w:rPr>
        <w:t>AfL</w:t>
      </w:r>
      <w:proofErr w:type="spellEnd"/>
      <w:r w:rsidR="00534CB1">
        <w:rPr>
          <w:sz w:val="22"/>
          <w:szCs w:val="22"/>
        </w:rPr>
        <w:t xml:space="preserve"> strategy, when perhaps </w:t>
      </w:r>
      <w:r w:rsidR="00703B10">
        <w:rPr>
          <w:sz w:val="22"/>
          <w:szCs w:val="22"/>
        </w:rPr>
        <w:t xml:space="preserve">the time </w:t>
      </w:r>
      <w:r w:rsidR="00534CB1">
        <w:rPr>
          <w:sz w:val="22"/>
          <w:szCs w:val="22"/>
        </w:rPr>
        <w:t xml:space="preserve">could be used elsewhere. </w:t>
      </w:r>
      <w:r w:rsidR="00F63181">
        <w:rPr>
          <w:sz w:val="22"/>
          <w:szCs w:val="22"/>
        </w:rPr>
        <w:t>In fact, some argue that time is a valuable resource for both children and teachers, and that curriculums can seem crowded and overloaded at times (OECD, 2020). But, if this time is dedicated to using a WAGOLL is as beneficial as</w:t>
      </w:r>
      <w:r w:rsidR="00703B10">
        <w:rPr>
          <w:sz w:val="22"/>
          <w:szCs w:val="22"/>
        </w:rPr>
        <w:t xml:space="preserve"> </w:t>
      </w:r>
      <w:r w:rsidR="00F63181">
        <w:rPr>
          <w:sz w:val="22"/>
          <w:szCs w:val="22"/>
        </w:rPr>
        <w:t xml:space="preserve">practitioners argue, is it worth investing the time on these valuable learning experiences, that cater for all abilities, and promoting progression in learning? I would argue using a WAGOLL is worth the time it takes to complete, if it means all learners are able to thrive. </w:t>
      </w:r>
    </w:p>
    <w:p w14:paraId="33C38F43" w14:textId="77777777" w:rsidR="00805744" w:rsidRDefault="00805744" w:rsidP="00CF43CF">
      <w:pPr>
        <w:pStyle w:val="NormalWeb"/>
        <w:shd w:val="clear" w:color="auto" w:fill="FFFFFF"/>
        <w:spacing w:before="0" w:beforeAutospacing="0" w:after="0" w:afterAutospacing="0"/>
        <w:textAlignment w:val="baseline"/>
        <w:rPr>
          <w:sz w:val="22"/>
          <w:szCs w:val="22"/>
        </w:rPr>
      </w:pPr>
    </w:p>
    <w:p w14:paraId="1B28B886" w14:textId="76A2715D" w:rsidR="00A60CBD" w:rsidRDefault="00A60CBD" w:rsidP="00CF43CF">
      <w:pPr>
        <w:pStyle w:val="NormalWeb"/>
        <w:shd w:val="clear" w:color="auto" w:fill="FFFFFF"/>
        <w:spacing w:before="0" w:beforeAutospacing="0" w:after="0" w:afterAutospacing="0"/>
        <w:textAlignment w:val="baseline"/>
        <w:rPr>
          <w:sz w:val="22"/>
          <w:szCs w:val="22"/>
        </w:rPr>
      </w:pPr>
      <w:r>
        <w:rPr>
          <w:sz w:val="22"/>
          <w:szCs w:val="22"/>
        </w:rPr>
        <w:t>My third lesson focussed on Science and Technology (Appendix 3)</w:t>
      </w:r>
      <w:r w:rsidR="00703B10">
        <w:rPr>
          <w:sz w:val="22"/>
          <w:szCs w:val="22"/>
        </w:rPr>
        <w:t xml:space="preserve">. </w:t>
      </w:r>
      <w:r w:rsidR="00D45A5E">
        <w:rPr>
          <w:sz w:val="22"/>
          <w:szCs w:val="22"/>
        </w:rPr>
        <w:t>I felt it would be the perfect opportunity for children to engage in authentic contexts by allowing them to create their own discoveries, based on one of the famous medical discoveries</w:t>
      </w:r>
      <w:r w:rsidR="00703B10">
        <w:rPr>
          <w:sz w:val="22"/>
          <w:szCs w:val="22"/>
        </w:rPr>
        <w:t xml:space="preserve">. </w:t>
      </w:r>
      <w:r w:rsidR="009042B6">
        <w:rPr>
          <w:sz w:val="22"/>
          <w:szCs w:val="22"/>
        </w:rPr>
        <w:t>The Statement of What Matters each child</w:t>
      </w:r>
      <w:r w:rsidR="00703B10">
        <w:rPr>
          <w:sz w:val="22"/>
          <w:szCs w:val="22"/>
        </w:rPr>
        <w:t xml:space="preserve">ren </w:t>
      </w:r>
      <w:r w:rsidR="009042B6">
        <w:rPr>
          <w:sz w:val="22"/>
          <w:szCs w:val="22"/>
        </w:rPr>
        <w:t>engage</w:t>
      </w:r>
      <w:r w:rsidR="00703B10">
        <w:rPr>
          <w:sz w:val="22"/>
          <w:szCs w:val="22"/>
        </w:rPr>
        <w:t>d</w:t>
      </w:r>
      <w:r w:rsidR="009042B6">
        <w:rPr>
          <w:sz w:val="22"/>
          <w:szCs w:val="22"/>
        </w:rPr>
        <w:t xml:space="preserve"> in is ‘being curious and searching for answers is essential to understanding and predicting phenomena’ where they aim</w:t>
      </w:r>
      <w:r w:rsidR="00703B10">
        <w:rPr>
          <w:sz w:val="22"/>
          <w:szCs w:val="22"/>
        </w:rPr>
        <w:t>ed</w:t>
      </w:r>
      <w:r w:rsidR="009042B6">
        <w:rPr>
          <w:sz w:val="22"/>
          <w:szCs w:val="22"/>
        </w:rPr>
        <w:t xml:space="preserve"> to meet progression step three ‘I can describe the impacts of science and technology, past to present and in everyday life’ (Welsh Government, 2019). </w:t>
      </w:r>
      <w:r w:rsidR="00D450FB">
        <w:rPr>
          <w:sz w:val="22"/>
          <w:szCs w:val="22"/>
        </w:rPr>
        <w:t xml:space="preserve">Learners </w:t>
      </w:r>
      <w:r w:rsidR="00703B10">
        <w:rPr>
          <w:sz w:val="22"/>
          <w:szCs w:val="22"/>
        </w:rPr>
        <w:t>had</w:t>
      </w:r>
      <w:r w:rsidR="00D450FB">
        <w:rPr>
          <w:sz w:val="22"/>
          <w:szCs w:val="22"/>
        </w:rPr>
        <w:t xml:space="preserve"> the opportunity to complete their own experiment</w:t>
      </w:r>
      <w:r w:rsidR="00703B10">
        <w:rPr>
          <w:sz w:val="22"/>
          <w:szCs w:val="22"/>
        </w:rPr>
        <w:t>; w</w:t>
      </w:r>
      <w:r w:rsidR="00D450FB">
        <w:rPr>
          <w:sz w:val="22"/>
          <w:szCs w:val="22"/>
        </w:rPr>
        <w:t xml:space="preserve">hereby they </w:t>
      </w:r>
      <w:r w:rsidR="00703B10">
        <w:rPr>
          <w:sz w:val="22"/>
          <w:szCs w:val="22"/>
        </w:rPr>
        <w:t xml:space="preserve">were able to plan, deliver and gather findings. They completed </w:t>
      </w:r>
      <w:r w:rsidR="00D450FB">
        <w:rPr>
          <w:sz w:val="22"/>
          <w:szCs w:val="22"/>
        </w:rPr>
        <w:t xml:space="preserve">an equipment list, a method, the variables </w:t>
      </w:r>
      <w:r w:rsidR="00703B10">
        <w:rPr>
          <w:sz w:val="22"/>
          <w:szCs w:val="22"/>
        </w:rPr>
        <w:t xml:space="preserve">they </w:t>
      </w:r>
      <w:r w:rsidR="00D450FB">
        <w:rPr>
          <w:sz w:val="22"/>
          <w:szCs w:val="22"/>
        </w:rPr>
        <w:t>change</w:t>
      </w:r>
      <w:r w:rsidR="00703B10">
        <w:rPr>
          <w:sz w:val="22"/>
          <w:szCs w:val="22"/>
        </w:rPr>
        <w:t>d</w:t>
      </w:r>
      <w:r w:rsidR="00D450FB">
        <w:rPr>
          <w:sz w:val="22"/>
          <w:szCs w:val="22"/>
        </w:rPr>
        <w:t xml:space="preserve"> and measure</w:t>
      </w:r>
      <w:r w:rsidR="00703B10">
        <w:rPr>
          <w:sz w:val="22"/>
          <w:szCs w:val="22"/>
        </w:rPr>
        <w:t>d</w:t>
      </w:r>
      <w:r w:rsidR="00D450FB">
        <w:rPr>
          <w:sz w:val="22"/>
          <w:szCs w:val="22"/>
        </w:rPr>
        <w:t xml:space="preserve">, safety precautions, and their predictions. </w:t>
      </w:r>
      <w:r w:rsidR="00A869BB">
        <w:rPr>
          <w:sz w:val="22"/>
          <w:szCs w:val="22"/>
        </w:rPr>
        <w:t xml:space="preserve">Although these parts </w:t>
      </w:r>
      <w:r w:rsidR="00703B10">
        <w:rPr>
          <w:sz w:val="22"/>
          <w:szCs w:val="22"/>
        </w:rPr>
        <w:t>were</w:t>
      </w:r>
      <w:r w:rsidR="00A869BB">
        <w:rPr>
          <w:sz w:val="22"/>
          <w:szCs w:val="22"/>
        </w:rPr>
        <w:t xml:space="preserve"> on a collaborative discussion, children appl</w:t>
      </w:r>
      <w:r w:rsidR="00703B10">
        <w:rPr>
          <w:sz w:val="22"/>
          <w:szCs w:val="22"/>
        </w:rPr>
        <w:t>ied</w:t>
      </w:r>
      <w:r w:rsidR="00A869BB">
        <w:rPr>
          <w:sz w:val="22"/>
          <w:szCs w:val="22"/>
        </w:rPr>
        <w:t xml:space="preserve"> </w:t>
      </w:r>
      <w:r w:rsidR="00703B10">
        <w:rPr>
          <w:sz w:val="22"/>
          <w:szCs w:val="22"/>
        </w:rPr>
        <w:t>their version in the write up</w:t>
      </w:r>
      <w:r w:rsidR="00A869BB">
        <w:rPr>
          <w:sz w:val="22"/>
          <w:szCs w:val="22"/>
        </w:rPr>
        <w:t>. The main reason I wanted children to complete this experiment of their own, is so they can learn the significance and what happened with Alexander Flemming through experimentation; it applie</w:t>
      </w:r>
      <w:r w:rsidR="00703B10">
        <w:rPr>
          <w:sz w:val="22"/>
          <w:szCs w:val="22"/>
        </w:rPr>
        <w:t>d</w:t>
      </w:r>
      <w:r w:rsidR="00A869BB">
        <w:rPr>
          <w:sz w:val="22"/>
          <w:szCs w:val="22"/>
        </w:rPr>
        <w:t xml:space="preserve"> authentic contexts to their learning</w:t>
      </w:r>
      <w:r w:rsidR="00703B10">
        <w:rPr>
          <w:sz w:val="22"/>
          <w:szCs w:val="22"/>
        </w:rPr>
        <w:t xml:space="preserve">, meaning </w:t>
      </w:r>
      <w:r w:rsidR="00A869BB">
        <w:rPr>
          <w:sz w:val="22"/>
          <w:szCs w:val="22"/>
        </w:rPr>
        <w:t>children w</w:t>
      </w:r>
      <w:r w:rsidR="00703B10">
        <w:rPr>
          <w:sz w:val="22"/>
          <w:szCs w:val="22"/>
        </w:rPr>
        <w:t>ere</w:t>
      </w:r>
      <w:r w:rsidR="00A869BB">
        <w:rPr>
          <w:sz w:val="22"/>
          <w:szCs w:val="22"/>
        </w:rPr>
        <w:t xml:space="preserve"> more engaged through the use of practical activities</w:t>
      </w:r>
      <w:r w:rsidR="00061DD6">
        <w:rPr>
          <w:sz w:val="22"/>
          <w:szCs w:val="22"/>
        </w:rPr>
        <w:t xml:space="preserve">. </w:t>
      </w:r>
      <w:r w:rsidR="00A869BB">
        <w:rPr>
          <w:sz w:val="22"/>
          <w:szCs w:val="22"/>
        </w:rPr>
        <w:t xml:space="preserve"> </w:t>
      </w:r>
    </w:p>
    <w:p w14:paraId="085343B2" w14:textId="77777777" w:rsidR="00A869BB" w:rsidRDefault="00A869BB" w:rsidP="00CF43CF">
      <w:pPr>
        <w:pStyle w:val="NormalWeb"/>
        <w:shd w:val="clear" w:color="auto" w:fill="FFFFFF"/>
        <w:spacing w:before="0" w:beforeAutospacing="0" w:after="0" w:afterAutospacing="0"/>
        <w:textAlignment w:val="baseline"/>
        <w:rPr>
          <w:sz w:val="22"/>
          <w:szCs w:val="22"/>
        </w:rPr>
      </w:pPr>
    </w:p>
    <w:p w14:paraId="749EC71D" w14:textId="65D358AE" w:rsidR="00A56747" w:rsidRDefault="000B54E5" w:rsidP="00CF43CF">
      <w:pPr>
        <w:pStyle w:val="NormalWeb"/>
        <w:shd w:val="clear" w:color="auto" w:fill="FFFFFF"/>
        <w:spacing w:before="0" w:beforeAutospacing="0" w:after="0" w:afterAutospacing="0"/>
        <w:textAlignment w:val="baseline"/>
        <w:rPr>
          <w:sz w:val="22"/>
          <w:szCs w:val="22"/>
        </w:rPr>
      </w:pPr>
      <w:r>
        <w:rPr>
          <w:sz w:val="22"/>
          <w:szCs w:val="22"/>
        </w:rPr>
        <w:t xml:space="preserve">Edward De Bono argues that thinking is unlimited, and humans should never be satisfied with thinking, as it is our most important skill; and </w:t>
      </w:r>
      <w:r w:rsidR="00025D38">
        <w:rPr>
          <w:sz w:val="22"/>
          <w:szCs w:val="22"/>
        </w:rPr>
        <w:t xml:space="preserve">we can always improve them </w:t>
      </w:r>
      <w:r>
        <w:rPr>
          <w:sz w:val="22"/>
          <w:szCs w:val="22"/>
        </w:rPr>
        <w:t xml:space="preserve">(De Bono, 2000, p.5). </w:t>
      </w:r>
      <w:r w:rsidR="00063EAB">
        <w:rPr>
          <w:sz w:val="22"/>
          <w:szCs w:val="22"/>
        </w:rPr>
        <w:t>De Bono’s theory is that humans have a very parallel way of thinking</w:t>
      </w:r>
      <w:r w:rsidR="00025D38">
        <w:rPr>
          <w:sz w:val="22"/>
          <w:szCs w:val="22"/>
        </w:rPr>
        <w:t>, w</w:t>
      </w:r>
      <w:r w:rsidR="00063EAB">
        <w:rPr>
          <w:sz w:val="22"/>
          <w:szCs w:val="22"/>
        </w:rPr>
        <w:t>hi</w:t>
      </w:r>
      <w:r w:rsidR="00025D38">
        <w:rPr>
          <w:sz w:val="22"/>
          <w:szCs w:val="22"/>
        </w:rPr>
        <w:t>ch developed his</w:t>
      </w:r>
      <w:r w:rsidR="00063EAB">
        <w:rPr>
          <w:sz w:val="22"/>
          <w:szCs w:val="22"/>
        </w:rPr>
        <w:t xml:space="preserve"> approach that is based on the idea that decision making should be based on six types of thinking. Each </w:t>
      </w:r>
      <w:r w:rsidR="00025D38">
        <w:rPr>
          <w:sz w:val="22"/>
          <w:szCs w:val="22"/>
        </w:rPr>
        <w:t>‘</w:t>
      </w:r>
      <w:r w:rsidR="00063EAB">
        <w:rPr>
          <w:sz w:val="22"/>
          <w:szCs w:val="22"/>
        </w:rPr>
        <w:t>hat</w:t>
      </w:r>
      <w:r w:rsidR="00025D38">
        <w:rPr>
          <w:sz w:val="22"/>
          <w:szCs w:val="22"/>
        </w:rPr>
        <w:t>’</w:t>
      </w:r>
      <w:r w:rsidR="00063EAB">
        <w:rPr>
          <w:sz w:val="22"/>
          <w:szCs w:val="22"/>
        </w:rPr>
        <w:t xml:space="preserve"> is concerned with different types of thinking that separate people from their default thinking method, so it opens the doors for people who are narrowed to one way of thinking, and therefore one set of thinking skills (Asif, 2019). The thinking hats are an </w:t>
      </w:r>
      <w:proofErr w:type="spellStart"/>
      <w:r w:rsidR="00063EAB">
        <w:rPr>
          <w:sz w:val="22"/>
          <w:szCs w:val="22"/>
        </w:rPr>
        <w:t>AfL</w:t>
      </w:r>
      <w:proofErr w:type="spellEnd"/>
      <w:r w:rsidR="00063EAB">
        <w:rPr>
          <w:sz w:val="22"/>
          <w:szCs w:val="22"/>
        </w:rPr>
        <w:t xml:space="preserve"> method that concerns questioning, and that Hopkins argues is the bridge between student engagement, teaching and learning strategies and the curriculum (Hopkins, 2013). De Bono a highly regarded theorist, has much praise for this theory. An </w:t>
      </w:r>
      <w:r w:rsidR="00A55906">
        <w:rPr>
          <w:sz w:val="22"/>
          <w:szCs w:val="22"/>
        </w:rPr>
        <w:t xml:space="preserve">article by the Independent </w:t>
      </w:r>
      <w:r w:rsidR="009B23F6">
        <w:rPr>
          <w:sz w:val="22"/>
          <w:szCs w:val="22"/>
        </w:rPr>
        <w:t>state</w:t>
      </w:r>
      <w:r w:rsidR="00025D38">
        <w:rPr>
          <w:sz w:val="22"/>
          <w:szCs w:val="22"/>
        </w:rPr>
        <w:t>s</w:t>
      </w:r>
      <w:r w:rsidR="009B23F6">
        <w:rPr>
          <w:sz w:val="22"/>
          <w:szCs w:val="22"/>
        </w:rPr>
        <w:t xml:space="preserve"> </w:t>
      </w:r>
      <w:r w:rsidR="00A55906">
        <w:rPr>
          <w:sz w:val="22"/>
          <w:szCs w:val="22"/>
        </w:rPr>
        <w:t xml:space="preserve">that teachers and employers are seeing a much higher </w:t>
      </w:r>
      <w:r w:rsidR="003F70A4">
        <w:rPr>
          <w:sz w:val="22"/>
          <w:szCs w:val="22"/>
        </w:rPr>
        <w:t>level o</w:t>
      </w:r>
      <w:r w:rsidR="009B23F6">
        <w:rPr>
          <w:sz w:val="22"/>
          <w:szCs w:val="22"/>
        </w:rPr>
        <w:t>f</w:t>
      </w:r>
      <w:r w:rsidR="003F70A4">
        <w:rPr>
          <w:sz w:val="22"/>
          <w:szCs w:val="22"/>
        </w:rPr>
        <w:t xml:space="preserve"> </w:t>
      </w:r>
      <w:r w:rsidR="00063EAB">
        <w:rPr>
          <w:sz w:val="22"/>
          <w:szCs w:val="22"/>
        </w:rPr>
        <w:t xml:space="preserve">thinking </w:t>
      </w:r>
      <w:r w:rsidR="003F70A4">
        <w:rPr>
          <w:sz w:val="22"/>
          <w:szCs w:val="22"/>
        </w:rPr>
        <w:t>skills</w:t>
      </w:r>
      <w:r w:rsidR="009B23F6">
        <w:rPr>
          <w:sz w:val="22"/>
          <w:szCs w:val="22"/>
        </w:rPr>
        <w:t xml:space="preserve">, </w:t>
      </w:r>
      <w:r w:rsidR="003F70A4">
        <w:rPr>
          <w:sz w:val="22"/>
          <w:szCs w:val="22"/>
        </w:rPr>
        <w:t xml:space="preserve">because teachers can apply the more basic thinking principles to lower ages in schools (Pugh, 2009). </w:t>
      </w:r>
      <w:r w:rsidR="009B23F6">
        <w:rPr>
          <w:sz w:val="22"/>
          <w:szCs w:val="22"/>
        </w:rPr>
        <w:t xml:space="preserve">As stated in the article, a reception teacher said </w:t>
      </w:r>
      <w:r w:rsidR="00063EAB">
        <w:rPr>
          <w:sz w:val="22"/>
          <w:szCs w:val="22"/>
        </w:rPr>
        <w:t xml:space="preserve">that </w:t>
      </w:r>
      <w:r w:rsidR="009B23F6">
        <w:rPr>
          <w:sz w:val="22"/>
          <w:szCs w:val="22"/>
        </w:rPr>
        <w:t>since using the De Bono hats, her students know what a fact is; which is perhaps something that may not have been considered in an early years setting (Timmis, cited in Pugh, 2009).</w:t>
      </w:r>
      <w:r w:rsidR="00063EAB">
        <w:rPr>
          <w:sz w:val="22"/>
          <w:szCs w:val="22"/>
        </w:rPr>
        <w:t xml:space="preserve"> Additionally, Timmis commented on how easily applicable it is to the younger years, as the idea of a hat can be turned into a teddy bear, </w:t>
      </w:r>
      <w:r w:rsidR="005C293E">
        <w:rPr>
          <w:sz w:val="22"/>
          <w:szCs w:val="22"/>
        </w:rPr>
        <w:t>that has</w:t>
      </w:r>
      <w:r w:rsidR="00063EAB">
        <w:rPr>
          <w:sz w:val="22"/>
          <w:szCs w:val="22"/>
        </w:rPr>
        <w:t xml:space="preserve"> certain characteristics that represent each part of the thinking hat (Pugh, 2009). </w:t>
      </w:r>
      <w:r w:rsidR="002948F0">
        <w:rPr>
          <w:sz w:val="22"/>
          <w:szCs w:val="22"/>
        </w:rPr>
        <w:t xml:space="preserve">Moreover, </w:t>
      </w:r>
      <w:proofErr w:type="spellStart"/>
      <w:r w:rsidR="002948F0" w:rsidRPr="002948F0">
        <w:rPr>
          <w:sz w:val="22"/>
          <w:szCs w:val="22"/>
        </w:rPr>
        <w:t>Kivunja</w:t>
      </w:r>
      <w:proofErr w:type="spellEnd"/>
      <w:r w:rsidR="002948F0">
        <w:rPr>
          <w:sz w:val="22"/>
          <w:szCs w:val="22"/>
        </w:rPr>
        <w:t xml:space="preserve"> (2015) explains the importance of developing critical thinking skills</w:t>
      </w:r>
      <w:r w:rsidR="005C293E">
        <w:rPr>
          <w:sz w:val="22"/>
          <w:szCs w:val="22"/>
        </w:rPr>
        <w:t xml:space="preserve">, </w:t>
      </w:r>
      <w:r w:rsidR="002948F0">
        <w:rPr>
          <w:sz w:val="22"/>
          <w:szCs w:val="22"/>
        </w:rPr>
        <w:t xml:space="preserve">and states that it is essential for putting across and proving a point, </w:t>
      </w:r>
      <w:r w:rsidR="00063EAB">
        <w:rPr>
          <w:sz w:val="22"/>
          <w:szCs w:val="22"/>
        </w:rPr>
        <w:t xml:space="preserve"> </w:t>
      </w:r>
      <w:r w:rsidR="002948F0">
        <w:rPr>
          <w:sz w:val="22"/>
          <w:szCs w:val="22"/>
        </w:rPr>
        <w:t>interpreting and evaluating the meaning of concepts, views or ideas as well as the application of knowledge in solving new problems (</w:t>
      </w:r>
      <w:proofErr w:type="spellStart"/>
      <w:r w:rsidR="002948F0">
        <w:rPr>
          <w:sz w:val="22"/>
          <w:szCs w:val="22"/>
        </w:rPr>
        <w:t>Kivunja</w:t>
      </w:r>
      <w:proofErr w:type="spellEnd"/>
      <w:r w:rsidR="002948F0">
        <w:rPr>
          <w:sz w:val="22"/>
          <w:szCs w:val="22"/>
        </w:rPr>
        <w:t>, 2015, p.381). The Welsh Government (2019) argue that studying Science is what encourages the mass change</w:t>
      </w:r>
      <w:r w:rsidR="005C293E">
        <w:rPr>
          <w:sz w:val="22"/>
          <w:szCs w:val="22"/>
        </w:rPr>
        <w:t>s</w:t>
      </w:r>
      <w:r w:rsidR="002948F0">
        <w:rPr>
          <w:sz w:val="22"/>
          <w:szCs w:val="22"/>
        </w:rPr>
        <w:t xml:space="preserve"> in society </w:t>
      </w:r>
      <w:r w:rsidR="005C293E">
        <w:rPr>
          <w:sz w:val="22"/>
          <w:szCs w:val="22"/>
        </w:rPr>
        <w:t xml:space="preserve">and </w:t>
      </w:r>
      <w:r w:rsidR="002948F0">
        <w:rPr>
          <w:sz w:val="22"/>
          <w:szCs w:val="22"/>
        </w:rPr>
        <w:t xml:space="preserve">the modern world; in that learners will be able to “assess inputs critically, understand the basis of information presented as fact, and make informed judgements that impact their own behaviours and values” (Welsh Government, 2019). </w:t>
      </w:r>
      <w:r w:rsidR="007E724B">
        <w:rPr>
          <w:sz w:val="22"/>
          <w:szCs w:val="22"/>
        </w:rPr>
        <w:t>All of which are the skills that are argued to be developed from the use of the De Bono thinking hats. However, some will argue that the meanings of some of the thinking hats are misinterpreted, defeating the point in using them. For example, some argue that the ‘black hat’ is often mistaken for a negative hat, whereas it should be used for critical</w:t>
      </w:r>
      <w:r w:rsidR="005C293E">
        <w:rPr>
          <w:sz w:val="22"/>
          <w:szCs w:val="22"/>
        </w:rPr>
        <w:t>ity</w:t>
      </w:r>
      <w:r w:rsidR="007E724B">
        <w:rPr>
          <w:sz w:val="22"/>
          <w:szCs w:val="22"/>
        </w:rPr>
        <w:t>, rather than just pointing out the negatives (Winter, 2015). Arguably, this can seen as a waste of time, because if the sole purpose of the hats to promote different kinds of thinking, what is the point in using them if they are not following its purpose? Additionally</w:t>
      </w:r>
      <w:r w:rsidR="0085478F">
        <w:rPr>
          <w:sz w:val="22"/>
          <w:szCs w:val="22"/>
        </w:rPr>
        <w:t xml:space="preserve">, </w:t>
      </w:r>
      <w:r w:rsidR="00C11063">
        <w:rPr>
          <w:sz w:val="22"/>
          <w:szCs w:val="22"/>
        </w:rPr>
        <w:t>Thompson (2019), an experienced figure in the educating field, argues that although the six thinking hats has shown great success</w:t>
      </w:r>
      <w:r w:rsidR="005C293E">
        <w:rPr>
          <w:sz w:val="22"/>
          <w:szCs w:val="22"/>
        </w:rPr>
        <w:t xml:space="preserve">, he </w:t>
      </w:r>
      <w:r w:rsidR="00C11063">
        <w:rPr>
          <w:sz w:val="22"/>
          <w:szCs w:val="22"/>
        </w:rPr>
        <w:t xml:space="preserve">would have introduced a seventh hat. Thompson </w:t>
      </w:r>
      <w:r w:rsidR="005C293E">
        <w:rPr>
          <w:sz w:val="22"/>
          <w:szCs w:val="22"/>
        </w:rPr>
        <w:t xml:space="preserve">(2019) </w:t>
      </w:r>
      <w:r w:rsidR="00C11063">
        <w:rPr>
          <w:sz w:val="22"/>
          <w:szCs w:val="22"/>
        </w:rPr>
        <w:t xml:space="preserve">argues that there is key dimension missing, and that in such a famous </w:t>
      </w:r>
      <w:proofErr w:type="spellStart"/>
      <w:r w:rsidR="00C11063">
        <w:rPr>
          <w:sz w:val="22"/>
          <w:szCs w:val="22"/>
        </w:rPr>
        <w:t>AfL</w:t>
      </w:r>
      <w:proofErr w:type="spellEnd"/>
      <w:r w:rsidR="00C11063">
        <w:rPr>
          <w:sz w:val="22"/>
          <w:szCs w:val="22"/>
        </w:rPr>
        <w:t xml:space="preserve"> strategy that covers all considerations, why is there not an equality and diversity hat? (Thompson, 2019). </w:t>
      </w:r>
      <w:r w:rsidR="00A56747">
        <w:rPr>
          <w:sz w:val="22"/>
          <w:szCs w:val="22"/>
        </w:rPr>
        <w:t xml:space="preserve">He argues that if these are not central themes to thinking, then the strategy may fail as it misses a significant consideration of professionals. As a nation, we have fought </w:t>
      </w:r>
      <w:r w:rsidR="00A56747">
        <w:rPr>
          <w:sz w:val="22"/>
          <w:szCs w:val="22"/>
        </w:rPr>
        <w:lastRenderedPageBreak/>
        <w:t xml:space="preserve">so hard for equality and diversity, so he argues it should be encouraged within this approach as a method of thinking (Thompson, 2019). Overall, I would argue this method of developing questioning as an </w:t>
      </w:r>
      <w:proofErr w:type="spellStart"/>
      <w:r w:rsidR="00A56747">
        <w:rPr>
          <w:sz w:val="22"/>
          <w:szCs w:val="22"/>
        </w:rPr>
        <w:t>AfL</w:t>
      </w:r>
      <w:proofErr w:type="spellEnd"/>
      <w:r w:rsidR="00A56747">
        <w:rPr>
          <w:sz w:val="22"/>
          <w:szCs w:val="22"/>
        </w:rPr>
        <w:t xml:space="preserve"> strategy is very beneficial for the children in ‘closing the gap’ in their understanding. It means children can spend time breaking down their thoughts and questions, meaning they can consider all aspects of learning. In Science and Technology, </w:t>
      </w:r>
      <w:r w:rsidR="005C293E">
        <w:rPr>
          <w:sz w:val="22"/>
          <w:szCs w:val="22"/>
        </w:rPr>
        <w:t>t</w:t>
      </w:r>
      <w:r w:rsidR="00A56747">
        <w:rPr>
          <w:sz w:val="22"/>
          <w:szCs w:val="22"/>
        </w:rPr>
        <w:t>he De Bono hats are particularly useful, because it encourages all of those vital skills the Welsh Government set out to be the aim of the AOLE in the first place</w:t>
      </w:r>
      <w:r w:rsidR="005C293E">
        <w:rPr>
          <w:sz w:val="22"/>
          <w:szCs w:val="22"/>
        </w:rPr>
        <w:t xml:space="preserve">; </w:t>
      </w:r>
      <w:r w:rsidR="00A56747">
        <w:rPr>
          <w:sz w:val="22"/>
          <w:szCs w:val="22"/>
        </w:rPr>
        <w:t>so why wouldn’t practitioners use this method?</w:t>
      </w:r>
    </w:p>
    <w:p w14:paraId="3C0C6986" w14:textId="77777777" w:rsidR="002F290F" w:rsidRDefault="002F290F" w:rsidP="00CF43CF">
      <w:pPr>
        <w:pStyle w:val="NormalWeb"/>
        <w:shd w:val="clear" w:color="auto" w:fill="FFFFFF"/>
        <w:spacing w:before="0" w:beforeAutospacing="0" w:after="0" w:afterAutospacing="0"/>
        <w:textAlignment w:val="baseline"/>
        <w:rPr>
          <w:sz w:val="22"/>
          <w:szCs w:val="22"/>
        </w:rPr>
      </w:pPr>
    </w:p>
    <w:p w14:paraId="7AB9C8B8" w14:textId="2F5F50A7" w:rsidR="00A56747" w:rsidRDefault="002F290F" w:rsidP="00CF43CF">
      <w:pPr>
        <w:pStyle w:val="NormalWeb"/>
        <w:shd w:val="clear" w:color="auto" w:fill="FFFFFF"/>
        <w:spacing w:before="0" w:beforeAutospacing="0" w:after="0" w:afterAutospacing="0"/>
        <w:textAlignment w:val="baseline"/>
        <w:rPr>
          <w:sz w:val="22"/>
          <w:szCs w:val="22"/>
        </w:rPr>
      </w:pPr>
      <w:r>
        <w:rPr>
          <w:sz w:val="22"/>
          <w:szCs w:val="22"/>
        </w:rPr>
        <w:t xml:space="preserve">To conclude, it is fair to say that </w:t>
      </w:r>
      <w:r w:rsidR="00DB7078">
        <w:rPr>
          <w:sz w:val="22"/>
          <w:szCs w:val="22"/>
        </w:rPr>
        <w:t xml:space="preserve">planning lessons with such a wide range of </w:t>
      </w:r>
      <w:proofErr w:type="spellStart"/>
      <w:r w:rsidR="00DB7078">
        <w:rPr>
          <w:sz w:val="22"/>
          <w:szCs w:val="22"/>
        </w:rPr>
        <w:t>capabilties</w:t>
      </w:r>
      <w:proofErr w:type="spellEnd"/>
      <w:r>
        <w:rPr>
          <w:sz w:val="22"/>
          <w:szCs w:val="22"/>
        </w:rPr>
        <w:t xml:space="preserve">, proved the importance of utilising each opportunity for </w:t>
      </w:r>
      <w:proofErr w:type="spellStart"/>
      <w:r>
        <w:rPr>
          <w:sz w:val="22"/>
          <w:szCs w:val="22"/>
        </w:rPr>
        <w:t>AfL</w:t>
      </w:r>
      <w:proofErr w:type="spellEnd"/>
      <w:r>
        <w:rPr>
          <w:sz w:val="22"/>
          <w:szCs w:val="22"/>
        </w:rPr>
        <w:t xml:space="preserve"> techniques, in giving each child several opportunities to show their ability to progress. During the lessons I taught, I tried to embed </w:t>
      </w:r>
      <w:proofErr w:type="spellStart"/>
      <w:r>
        <w:rPr>
          <w:sz w:val="22"/>
          <w:szCs w:val="22"/>
        </w:rPr>
        <w:t>AfL</w:t>
      </w:r>
      <w:proofErr w:type="spellEnd"/>
      <w:r>
        <w:rPr>
          <w:sz w:val="22"/>
          <w:szCs w:val="22"/>
        </w:rPr>
        <w:t xml:space="preserve"> principles in all of my lessons, as well as many other aspects of the Curriculum for Wales (2022). </w:t>
      </w:r>
      <w:r w:rsidR="00DB7078">
        <w:rPr>
          <w:sz w:val="22"/>
          <w:szCs w:val="22"/>
        </w:rPr>
        <w:t xml:space="preserve">My placement school had </w:t>
      </w:r>
      <w:r>
        <w:rPr>
          <w:sz w:val="22"/>
          <w:szCs w:val="22"/>
        </w:rPr>
        <w:t xml:space="preserve">a clear drive for </w:t>
      </w:r>
      <w:proofErr w:type="spellStart"/>
      <w:r>
        <w:rPr>
          <w:sz w:val="22"/>
          <w:szCs w:val="22"/>
        </w:rPr>
        <w:t>AfL</w:t>
      </w:r>
      <w:proofErr w:type="spellEnd"/>
      <w:r>
        <w:rPr>
          <w:sz w:val="22"/>
          <w:szCs w:val="22"/>
        </w:rPr>
        <w:t xml:space="preserve"> which gave me a great amount of opportunities to see it in action. However, since researching </w:t>
      </w:r>
      <w:proofErr w:type="spellStart"/>
      <w:r>
        <w:rPr>
          <w:sz w:val="22"/>
          <w:szCs w:val="22"/>
        </w:rPr>
        <w:t>AfL</w:t>
      </w:r>
      <w:proofErr w:type="spellEnd"/>
      <w:r w:rsidR="00DB7078">
        <w:rPr>
          <w:sz w:val="22"/>
          <w:szCs w:val="22"/>
        </w:rPr>
        <w:t xml:space="preserve">, </w:t>
      </w:r>
      <w:r>
        <w:rPr>
          <w:sz w:val="22"/>
          <w:szCs w:val="22"/>
        </w:rPr>
        <w:t xml:space="preserve">I know I can utilise </w:t>
      </w:r>
      <w:proofErr w:type="spellStart"/>
      <w:r>
        <w:rPr>
          <w:sz w:val="22"/>
          <w:szCs w:val="22"/>
        </w:rPr>
        <w:t>AfL</w:t>
      </w:r>
      <w:proofErr w:type="spellEnd"/>
      <w:r>
        <w:rPr>
          <w:sz w:val="22"/>
          <w:szCs w:val="22"/>
        </w:rPr>
        <w:t xml:space="preserve"> more so in my future practice. Although I understood it was an important part of effective teaching, it is fair to say I did not take into account how much it supports each an every learner and their ability </w:t>
      </w:r>
      <w:r w:rsidR="00484C5C">
        <w:rPr>
          <w:sz w:val="22"/>
          <w:szCs w:val="22"/>
        </w:rPr>
        <w:t xml:space="preserve">in </w:t>
      </w:r>
      <w:r>
        <w:rPr>
          <w:sz w:val="22"/>
          <w:szCs w:val="22"/>
        </w:rPr>
        <w:t xml:space="preserve">knowing the next steps in their </w:t>
      </w:r>
      <w:r w:rsidR="00484C5C">
        <w:rPr>
          <w:sz w:val="22"/>
          <w:szCs w:val="22"/>
        </w:rPr>
        <w:t>learning</w:t>
      </w:r>
      <w:r>
        <w:rPr>
          <w:sz w:val="22"/>
          <w:szCs w:val="22"/>
        </w:rPr>
        <w:t>. As mentioned previously, Grigg (2015) argues that measuring the progress of thirty children in a class is challenging</w:t>
      </w:r>
      <w:r w:rsidR="00484C5C">
        <w:rPr>
          <w:sz w:val="22"/>
          <w:szCs w:val="22"/>
        </w:rPr>
        <w:t xml:space="preserve"> (Grigg, 2015</w:t>
      </w:r>
      <w:r>
        <w:rPr>
          <w:sz w:val="22"/>
          <w:szCs w:val="22"/>
        </w:rPr>
        <w:t>,</w:t>
      </w:r>
      <w:r w:rsidR="00484C5C">
        <w:rPr>
          <w:sz w:val="22"/>
          <w:szCs w:val="22"/>
        </w:rPr>
        <w:t xml:space="preserve"> 397)</w:t>
      </w:r>
      <w:r>
        <w:rPr>
          <w:sz w:val="22"/>
          <w:szCs w:val="22"/>
        </w:rPr>
        <w:t xml:space="preserve"> but by ensuring </w:t>
      </w:r>
      <w:r w:rsidR="00DB7078">
        <w:rPr>
          <w:sz w:val="22"/>
          <w:szCs w:val="22"/>
        </w:rPr>
        <w:t xml:space="preserve">I </w:t>
      </w:r>
      <w:r>
        <w:rPr>
          <w:sz w:val="22"/>
          <w:szCs w:val="22"/>
        </w:rPr>
        <w:t xml:space="preserve">dedicate more time to </w:t>
      </w:r>
      <w:proofErr w:type="spellStart"/>
      <w:r>
        <w:rPr>
          <w:sz w:val="22"/>
          <w:szCs w:val="22"/>
        </w:rPr>
        <w:t>AfL</w:t>
      </w:r>
      <w:proofErr w:type="spellEnd"/>
      <w:r>
        <w:rPr>
          <w:sz w:val="22"/>
          <w:szCs w:val="22"/>
        </w:rPr>
        <w:t xml:space="preserve"> techniques within my practice, the children, as well as myself, can know the next steps in their learning</w:t>
      </w:r>
      <w:r w:rsidR="00DB7078">
        <w:rPr>
          <w:sz w:val="22"/>
          <w:szCs w:val="22"/>
        </w:rPr>
        <w:t>; meaning I can continue to be a reflective practitioner.</w:t>
      </w:r>
      <w:r>
        <w:rPr>
          <w:sz w:val="22"/>
          <w:szCs w:val="22"/>
        </w:rPr>
        <w:t xml:space="preserve"> Therefore, I can ensure I cater, provide and give opportunities for every child to progress </w:t>
      </w:r>
      <w:r w:rsidR="00DB7078">
        <w:rPr>
          <w:sz w:val="22"/>
          <w:szCs w:val="22"/>
        </w:rPr>
        <w:t xml:space="preserve">and meet the characteristics of the four purposes and meet the schools ethos, </w:t>
      </w:r>
      <w:r w:rsidR="00484C5C">
        <w:rPr>
          <w:sz w:val="22"/>
          <w:szCs w:val="22"/>
        </w:rPr>
        <w:t xml:space="preserve">‘be the best you can be’ throughout their education. </w:t>
      </w:r>
    </w:p>
    <w:p w14:paraId="75DF8E05" w14:textId="4D1888CD" w:rsidR="00484C5C" w:rsidRDefault="00484C5C" w:rsidP="00CF43CF">
      <w:pPr>
        <w:pStyle w:val="NormalWeb"/>
        <w:shd w:val="clear" w:color="auto" w:fill="FFFFFF"/>
        <w:spacing w:before="0" w:beforeAutospacing="0" w:after="0" w:afterAutospacing="0"/>
        <w:textAlignment w:val="baseline"/>
        <w:rPr>
          <w:sz w:val="22"/>
          <w:szCs w:val="22"/>
        </w:rPr>
      </w:pPr>
    </w:p>
    <w:p w14:paraId="0513F7D4" w14:textId="77777777" w:rsidR="002F290F" w:rsidRDefault="002F290F" w:rsidP="00CF43CF">
      <w:pPr>
        <w:pStyle w:val="NormalWeb"/>
        <w:shd w:val="clear" w:color="auto" w:fill="FFFFFF"/>
        <w:spacing w:before="0" w:beforeAutospacing="0" w:after="0" w:afterAutospacing="0"/>
        <w:textAlignment w:val="baseline"/>
        <w:rPr>
          <w:sz w:val="22"/>
          <w:szCs w:val="22"/>
        </w:rPr>
      </w:pPr>
    </w:p>
    <w:p w14:paraId="438959E3" w14:textId="77777777" w:rsidR="009214F0" w:rsidRDefault="009214F0" w:rsidP="00CF43CF">
      <w:pPr>
        <w:pStyle w:val="NormalWeb"/>
        <w:shd w:val="clear" w:color="auto" w:fill="FFFFFF"/>
        <w:spacing w:before="0" w:beforeAutospacing="0" w:after="0" w:afterAutospacing="0"/>
        <w:textAlignment w:val="baseline"/>
        <w:rPr>
          <w:sz w:val="22"/>
          <w:szCs w:val="22"/>
        </w:rPr>
      </w:pPr>
    </w:p>
    <w:p w14:paraId="45444B76" w14:textId="77777777" w:rsidR="001D4405" w:rsidRDefault="001D4405" w:rsidP="00CF43CF">
      <w:pPr>
        <w:pStyle w:val="NormalWeb"/>
        <w:shd w:val="clear" w:color="auto" w:fill="FFFFFF"/>
        <w:spacing w:before="0" w:beforeAutospacing="0" w:after="0" w:afterAutospacing="0"/>
        <w:textAlignment w:val="baseline"/>
        <w:rPr>
          <w:sz w:val="22"/>
          <w:szCs w:val="22"/>
        </w:rPr>
      </w:pPr>
    </w:p>
    <w:p w14:paraId="3FD20369" w14:textId="77777777" w:rsidR="001D4405" w:rsidRDefault="001D4405" w:rsidP="00CF43CF">
      <w:pPr>
        <w:pStyle w:val="NormalWeb"/>
        <w:shd w:val="clear" w:color="auto" w:fill="FFFFFF"/>
        <w:spacing w:before="0" w:beforeAutospacing="0" w:after="0" w:afterAutospacing="0"/>
        <w:textAlignment w:val="baseline"/>
        <w:rPr>
          <w:sz w:val="22"/>
          <w:szCs w:val="22"/>
        </w:rPr>
      </w:pPr>
    </w:p>
    <w:p w14:paraId="32E1CAF2" w14:textId="77777777" w:rsidR="00A957F6" w:rsidRDefault="00A957F6" w:rsidP="008A3DF5">
      <w:pPr>
        <w:pStyle w:val="NormalWeb"/>
        <w:shd w:val="clear" w:color="auto" w:fill="FFFFFF"/>
        <w:spacing w:before="0" w:beforeAutospacing="0" w:after="0" w:afterAutospacing="0"/>
        <w:textAlignment w:val="baseline"/>
        <w:rPr>
          <w:sz w:val="22"/>
          <w:szCs w:val="22"/>
        </w:rPr>
      </w:pPr>
    </w:p>
    <w:p w14:paraId="2034D23F" w14:textId="77777777" w:rsidR="00A957F6" w:rsidRDefault="00A957F6" w:rsidP="008A3DF5">
      <w:pPr>
        <w:pStyle w:val="NormalWeb"/>
        <w:shd w:val="clear" w:color="auto" w:fill="FFFFFF"/>
        <w:spacing w:before="0" w:beforeAutospacing="0" w:after="0" w:afterAutospacing="0"/>
        <w:textAlignment w:val="baseline"/>
        <w:rPr>
          <w:sz w:val="22"/>
          <w:szCs w:val="22"/>
        </w:rPr>
      </w:pPr>
    </w:p>
    <w:p w14:paraId="2348DC98" w14:textId="77777777" w:rsidR="00026AB4" w:rsidRDefault="00026AB4" w:rsidP="008A3DF5">
      <w:pPr>
        <w:pStyle w:val="NormalWeb"/>
        <w:shd w:val="clear" w:color="auto" w:fill="FFFFFF"/>
        <w:spacing w:before="0" w:beforeAutospacing="0" w:after="0" w:afterAutospacing="0"/>
        <w:textAlignment w:val="baseline"/>
        <w:rPr>
          <w:sz w:val="22"/>
          <w:szCs w:val="22"/>
        </w:rPr>
      </w:pPr>
    </w:p>
    <w:p w14:paraId="62D7F202" w14:textId="77777777" w:rsidR="00026AB4" w:rsidRDefault="00026AB4" w:rsidP="008A3DF5">
      <w:pPr>
        <w:pStyle w:val="NormalWeb"/>
        <w:shd w:val="clear" w:color="auto" w:fill="FFFFFF"/>
        <w:spacing w:before="0" w:beforeAutospacing="0" w:after="0" w:afterAutospacing="0"/>
        <w:textAlignment w:val="baseline"/>
        <w:rPr>
          <w:sz w:val="22"/>
          <w:szCs w:val="22"/>
        </w:rPr>
      </w:pPr>
    </w:p>
    <w:p w14:paraId="69BBFDDF" w14:textId="77777777" w:rsidR="00CE533D" w:rsidRDefault="00CE533D" w:rsidP="008A3DF5">
      <w:pPr>
        <w:pStyle w:val="NormalWeb"/>
        <w:shd w:val="clear" w:color="auto" w:fill="FFFFFF"/>
        <w:spacing w:before="0" w:beforeAutospacing="0" w:after="0" w:afterAutospacing="0"/>
        <w:textAlignment w:val="baseline"/>
        <w:rPr>
          <w:sz w:val="22"/>
          <w:szCs w:val="22"/>
        </w:rPr>
      </w:pPr>
    </w:p>
    <w:p w14:paraId="70591219" w14:textId="77777777" w:rsidR="00CE533D" w:rsidRDefault="00CE533D" w:rsidP="008A3DF5">
      <w:pPr>
        <w:pStyle w:val="NormalWeb"/>
        <w:shd w:val="clear" w:color="auto" w:fill="FFFFFF"/>
        <w:spacing w:before="0" w:beforeAutospacing="0" w:after="0" w:afterAutospacing="0"/>
        <w:textAlignment w:val="baseline"/>
        <w:rPr>
          <w:sz w:val="22"/>
          <w:szCs w:val="22"/>
        </w:rPr>
      </w:pPr>
    </w:p>
    <w:p w14:paraId="05BD91F1" w14:textId="77777777" w:rsidR="003755E0" w:rsidRDefault="003755E0" w:rsidP="008A3DF5">
      <w:pPr>
        <w:pStyle w:val="NormalWeb"/>
        <w:shd w:val="clear" w:color="auto" w:fill="FFFFFF"/>
        <w:spacing w:before="0" w:beforeAutospacing="0" w:after="0" w:afterAutospacing="0"/>
        <w:textAlignment w:val="baseline"/>
        <w:rPr>
          <w:sz w:val="22"/>
          <w:szCs w:val="22"/>
        </w:rPr>
      </w:pPr>
    </w:p>
    <w:p w14:paraId="6A99B998" w14:textId="77777777" w:rsidR="00B23964" w:rsidRDefault="00B23964" w:rsidP="008A3DF5">
      <w:pPr>
        <w:pStyle w:val="NormalWeb"/>
        <w:shd w:val="clear" w:color="auto" w:fill="FFFFFF"/>
        <w:spacing w:before="0" w:beforeAutospacing="0" w:after="0" w:afterAutospacing="0"/>
        <w:textAlignment w:val="baseline"/>
        <w:rPr>
          <w:sz w:val="22"/>
          <w:szCs w:val="22"/>
        </w:rPr>
      </w:pPr>
    </w:p>
    <w:p w14:paraId="7D4ED4B0" w14:textId="77777777" w:rsidR="001674B7" w:rsidRDefault="001674B7" w:rsidP="008A3DF5">
      <w:pPr>
        <w:pStyle w:val="NormalWeb"/>
        <w:shd w:val="clear" w:color="auto" w:fill="FFFFFF"/>
        <w:spacing w:before="0" w:beforeAutospacing="0" w:after="0" w:afterAutospacing="0"/>
        <w:textAlignment w:val="baseline"/>
        <w:rPr>
          <w:sz w:val="22"/>
          <w:szCs w:val="22"/>
        </w:rPr>
      </w:pPr>
    </w:p>
    <w:p w14:paraId="76529EB2" w14:textId="2984A629" w:rsidR="0072719D" w:rsidRDefault="0072719D" w:rsidP="00174C96">
      <w:pPr>
        <w:pStyle w:val="NormalWeb"/>
        <w:shd w:val="clear" w:color="auto" w:fill="FFFFFF"/>
        <w:spacing w:before="0" w:beforeAutospacing="0" w:after="0" w:afterAutospacing="0"/>
        <w:textAlignment w:val="baseline"/>
        <w:rPr>
          <w:sz w:val="22"/>
          <w:szCs w:val="22"/>
        </w:rPr>
      </w:pPr>
    </w:p>
    <w:p w14:paraId="2A652188" w14:textId="77777777" w:rsidR="0072719D" w:rsidRDefault="0072719D" w:rsidP="00174C96">
      <w:pPr>
        <w:pStyle w:val="NormalWeb"/>
        <w:shd w:val="clear" w:color="auto" w:fill="FFFFFF"/>
        <w:spacing w:before="0" w:beforeAutospacing="0" w:after="0" w:afterAutospacing="0"/>
        <w:textAlignment w:val="baseline"/>
        <w:rPr>
          <w:sz w:val="22"/>
          <w:szCs w:val="22"/>
        </w:rPr>
      </w:pPr>
    </w:p>
    <w:p w14:paraId="37D6054B" w14:textId="77777777" w:rsidR="006453E4" w:rsidRPr="0027692C" w:rsidRDefault="006453E4" w:rsidP="00007704">
      <w:pPr>
        <w:pStyle w:val="NormalWeb"/>
        <w:shd w:val="clear" w:color="auto" w:fill="FFFFFF"/>
        <w:spacing w:before="0" w:beforeAutospacing="0" w:after="0" w:afterAutospacing="0"/>
        <w:textAlignment w:val="baseline"/>
        <w:rPr>
          <w:sz w:val="22"/>
          <w:szCs w:val="22"/>
        </w:rPr>
      </w:pPr>
    </w:p>
    <w:p w14:paraId="743243FA" w14:textId="77777777" w:rsidR="00BA5FC7" w:rsidRPr="0027692C" w:rsidRDefault="00BA5FC7" w:rsidP="00007704">
      <w:pPr>
        <w:pStyle w:val="NormalWeb"/>
        <w:shd w:val="clear" w:color="auto" w:fill="FFFFFF"/>
        <w:spacing w:before="0" w:beforeAutospacing="0" w:after="0" w:afterAutospacing="0"/>
        <w:textAlignment w:val="baseline"/>
        <w:rPr>
          <w:sz w:val="22"/>
          <w:szCs w:val="22"/>
        </w:rPr>
      </w:pPr>
    </w:p>
    <w:p w14:paraId="213352CD" w14:textId="77777777" w:rsidR="003962CD" w:rsidRPr="0027692C" w:rsidRDefault="003962CD" w:rsidP="00007704">
      <w:pPr>
        <w:pStyle w:val="NormalWeb"/>
        <w:shd w:val="clear" w:color="auto" w:fill="FFFFFF"/>
        <w:spacing w:before="0" w:beforeAutospacing="0" w:after="0" w:afterAutospacing="0"/>
        <w:textAlignment w:val="baseline"/>
        <w:rPr>
          <w:sz w:val="22"/>
          <w:szCs w:val="22"/>
        </w:rPr>
      </w:pPr>
    </w:p>
    <w:p w14:paraId="466E0B01" w14:textId="77777777" w:rsidR="003962CD" w:rsidRPr="0027692C" w:rsidRDefault="003962CD" w:rsidP="00007704">
      <w:pPr>
        <w:pStyle w:val="NormalWeb"/>
        <w:shd w:val="clear" w:color="auto" w:fill="FFFFFF"/>
        <w:spacing w:before="0" w:beforeAutospacing="0" w:after="0" w:afterAutospacing="0"/>
        <w:textAlignment w:val="baseline"/>
        <w:rPr>
          <w:sz w:val="22"/>
          <w:szCs w:val="22"/>
        </w:rPr>
      </w:pPr>
    </w:p>
    <w:p w14:paraId="1EB0FF03" w14:textId="77777777" w:rsidR="003962CD" w:rsidRPr="0027692C" w:rsidRDefault="003962CD" w:rsidP="00007704">
      <w:pPr>
        <w:pStyle w:val="NormalWeb"/>
        <w:shd w:val="clear" w:color="auto" w:fill="FFFFFF"/>
        <w:spacing w:before="0" w:beforeAutospacing="0" w:after="0" w:afterAutospacing="0"/>
        <w:textAlignment w:val="baseline"/>
        <w:rPr>
          <w:sz w:val="22"/>
          <w:szCs w:val="22"/>
        </w:rPr>
      </w:pPr>
    </w:p>
    <w:p w14:paraId="6B8BB188" w14:textId="77777777" w:rsidR="003962CD" w:rsidRPr="0027692C" w:rsidRDefault="003962CD" w:rsidP="00007704">
      <w:pPr>
        <w:pStyle w:val="NormalWeb"/>
        <w:shd w:val="clear" w:color="auto" w:fill="FFFFFF"/>
        <w:spacing w:before="0" w:beforeAutospacing="0" w:after="0" w:afterAutospacing="0"/>
        <w:textAlignment w:val="baseline"/>
        <w:rPr>
          <w:sz w:val="22"/>
          <w:szCs w:val="22"/>
        </w:rPr>
      </w:pPr>
    </w:p>
    <w:p w14:paraId="4B0DC8AA" w14:textId="77777777" w:rsidR="000C24BC" w:rsidRPr="0027692C" w:rsidRDefault="000C24BC" w:rsidP="00007704">
      <w:pPr>
        <w:pStyle w:val="NormalWeb"/>
        <w:shd w:val="clear" w:color="auto" w:fill="FFFFFF"/>
        <w:spacing w:before="0" w:beforeAutospacing="0" w:after="0" w:afterAutospacing="0"/>
        <w:textAlignment w:val="baseline"/>
        <w:rPr>
          <w:sz w:val="22"/>
          <w:szCs w:val="22"/>
        </w:rPr>
      </w:pPr>
    </w:p>
    <w:p w14:paraId="7C9F39F2" w14:textId="77777777" w:rsidR="000C24BC" w:rsidRPr="0027692C" w:rsidRDefault="000C24BC" w:rsidP="00007704">
      <w:pPr>
        <w:pStyle w:val="NormalWeb"/>
        <w:shd w:val="clear" w:color="auto" w:fill="FFFFFF"/>
        <w:spacing w:before="0" w:beforeAutospacing="0" w:after="0" w:afterAutospacing="0"/>
        <w:textAlignment w:val="baseline"/>
        <w:rPr>
          <w:sz w:val="22"/>
          <w:szCs w:val="22"/>
        </w:rPr>
      </w:pPr>
    </w:p>
    <w:p w14:paraId="1FCA64E0" w14:textId="72B74E21" w:rsidR="003205B9" w:rsidRPr="0027692C" w:rsidRDefault="003205B9" w:rsidP="003205B9">
      <w:pPr>
        <w:pStyle w:val="NormalWeb"/>
        <w:shd w:val="clear" w:color="auto" w:fill="FFFFFF"/>
        <w:spacing w:before="0" w:beforeAutospacing="0" w:after="360" w:afterAutospacing="0"/>
        <w:textAlignment w:val="baseline"/>
        <w:rPr>
          <w:color w:val="333333"/>
          <w:sz w:val="22"/>
          <w:szCs w:val="22"/>
        </w:rPr>
      </w:pPr>
    </w:p>
    <w:p w14:paraId="1D8F2F58" w14:textId="77777777" w:rsidR="000C24BC" w:rsidRPr="0027692C" w:rsidRDefault="000C24BC" w:rsidP="003205B9">
      <w:pPr>
        <w:pStyle w:val="NormalWeb"/>
        <w:shd w:val="clear" w:color="auto" w:fill="FFFFFF"/>
        <w:spacing w:before="0" w:beforeAutospacing="0" w:after="360" w:afterAutospacing="0"/>
        <w:textAlignment w:val="baseline"/>
        <w:rPr>
          <w:color w:val="333333"/>
          <w:sz w:val="22"/>
          <w:szCs w:val="22"/>
        </w:rPr>
      </w:pPr>
    </w:p>
    <w:p w14:paraId="7B2DC33C" w14:textId="77777777" w:rsidR="00061DD6" w:rsidRDefault="00061DD6">
      <w:pPr>
        <w:rPr>
          <w:rFonts w:ascii="Times New Roman" w:hAnsi="Times New Roman" w:cs="Times New Roman"/>
        </w:rPr>
      </w:pPr>
    </w:p>
    <w:p w14:paraId="75DF33A7" w14:textId="77777777" w:rsidR="007252D1" w:rsidRDefault="007252D1">
      <w:pPr>
        <w:rPr>
          <w:rFonts w:ascii="Times New Roman" w:hAnsi="Times New Roman" w:cs="Times New Roman"/>
          <w:b/>
          <w:bCs/>
          <w:u w:val="single"/>
        </w:rPr>
      </w:pPr>
    </w:p>
    <w:p w14:paraId="6290FD15" w14:textId="6233BCCF" w:rsidR="00764D05" w:rsidRDefault="00764D05">
      <w:pPr>
        <w:rPr>
          <w:rFonts w:ascii="Times New Roman" w:hAnsi="Times New Roman" w:cs="Times New Roman"/>
          <w:b/>
          <w:bCs/>
          <w:u w:val="single"/>
        </w:rPr>
      </w:pPr>
      <w:r w:rsidRPr="00764D05">
        <w:rPr>
          <w:rFonts w:ascii="Times New Roman" w:hAnsi="Times New Roman" w:cs="Times New Roman"/>
          <w:b/>
          <w:bCs/>
          <w:u w:val="single"/>
        </w:rPr>
        <w:lastRenderedPageBreak/>
        <w:t>Appendix</w:t>
      </w:r>
    </w:p>
    <w:p w14:paraId="66E84E44" w14:textId="00728D75" w:rsidR="00764D05" w:rsidRDefault="00764D05">
      <w:pPr>
        <w:rPr>
          <w:rFonts w:ascii="Times New Roman" w:hAnsi="Times New Roman" w:cs="Times New Roman"/>
          <w:b/>
          <w:bCs/>
          <w:u w:val="single"/>
        </w:rPr>
      </w:pPr>
      <w:r>
        <w:rPr>
          <w:rFonts w:ascii="Times New Roman" w:hAnsi="Times New Roman" w:cs="Times New Roman"/>
          <w:b/>
          <w:bCs/>
          <w:u w:val="single"/>
        </w:rPr>
        <w:t>Appendix 1</w:t>
      </w:r>
    </w:p>
    <w:p w14:paraId="6CAC6C84" w14:textId="1CA9864B" w:rsidR="00CD5456" w:rsidRPr="00CD5456" w:rsidRDefault="00CD5456">
      <w:pPr>
        <w:rPr>
          <w:b/>
          <w:bCs/>
          <w:color w:val="C00000"/>
          <w:lang w:val="cy-GB"/>
        </w:rPr>
      </w:pPr>
      <w:r>
        <w:rPr>
          <w:b/>
          <w:bCs/>
          <w:color w:val="C00000"/>
          <w:lang w:val="cy-GB"/>
        </w:rPr>
        <w:t xml:space="preserve">AfL </w:t>
      </w:r>
      <w:r w:rsidRPr="00647CA3">
        <w:rPr>
          <w:b/>
          <w:bCs/>
          <w:color w:val="C00000"/>
          <w:lang w:val="cy-GB"/>
        </w:rPr>
        <w:t xml:space="preserve">Note: </w:t>
      </w:r>
      <w:r>
        <w:rPr>
          <w:b/>
          <w:bCs/>
          <w:color w:val="C00000"/>
          <w:lang w:val="cy-GB"/>
        </w:rPr>
        <w:t>‘Talk Partners’ used as the p</w:t>
      </w:r>
      <w:r w:rsidRPr="00647CA3">
        <w:rPr>
          <w:b/>
          <w:bCs/>
          <w:color w:val="C00000"/>
          <w:lang w:val="cy-GB"/>
        </w:rPr>
        <w:t>rinciple of KWL grid, but used as a ver</w:t>
      </w:r>
      <w:r>
        <w:rPr>
          <w:b/>
          <w:bCs/>
          <w:color w:val="C00000"/>
          <w:lang w:val="cy-GB"/>
        </w:rPr>
        <w:t>b</w:t>
      </w:r>
      <w:r w:rsidRPr="00647CA3">
        <w:rPr>
          <w:b/>
          <w:bCs/>
          <w:color w:val="C00000"/>
          <w:lang w:val="cy-GB"/>
        </w:rPr>
        <w:t>al discussion</w:t>
      </w:r>
      <w:r>
        <w:rPr>
          <w:b/>
          <w:bCs/>
          <w:color w:val="C00000"/>
          <w:lang w:val="cy-GB"/>
        </w:rPr>
        <w:t xml:space="preserve">s </w:t>
      </w:r>
      <w:r w:rsidRPr="00647CA3">
        <w:rPr>
          <w:b/>
          <w:bCs/>
          <w:color w:val="C00000"/>
          <w:lang w:val="cy-GB"/>
        </w:rPr>
        <w:t xml:space="preserve">and questioning technqiue for the opportunity for better quality and scaffolded answers. </w:t>
      </w:r>
      <w:r>
        <w:rPr>
          <w:b/>
          <w:bCs/>
          <w:color w:val="C00000"/>
          <w:lang w:val="cy-GB"/>
        </w:rPr>
        <w:t>(Main AfL technique within the lesson)</w:t>
      </w:r>
    </w:p>
    <w:p w14:paraId="0DF455A6" w14:textId="75044738" w:rsidR="00764D05" w:rsidRDefault="00A372C7">
      <w:pPr>
        <w:rPr>
          <w:rFonts w:ascii="Times New Roman" w:hAnsi="Times New Roman" w:cs="Times New Roman"/>
          <w:b/>
          <w:bCs/>
          <w:u w:val="single"/>
        </w:rPr>
      </w:pPr>
      <w:r w:rsidRPr="00A372C7">
        <w:rPr>
          <w:rFonts w:ascii="Times New Roman" w:hAnsi="Times New Roman" w:cs="Times New Roman"/>
          <w:b/>
          <w:bCs/>
          <w:u w:val="single"/>
        </w:rPr>
        <w:drawing>
          <wp:inline distT="0" distB="0" distL="0" distR="0" wp14:anchorId="402D2834" wp14:editId="6240AA3F">
            <wp:extent cx="4831405" cy="3832578"/>
            <wp:effectExtent l="0" t="0" r="7620" b="0"/>
            <wp:docPr id="9391483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148362" name=""/>
                    <pic:cNvPicPr/>
                  </pic:nvPicPr>
                  <pic:blipFill>
                    <a:blip r:embed="rId8"/>
                    <a:stretch>
                      <a:fillRect/>
                    </a:stretch>
                  </pic:blipFill>
                  <pic:spPr>
                    <a:xfrm>
                      <a:off x="0" y="0"/>
                      <a:ext cx="4852570" cy="3849368"/>
                    </a:xfrm>
                    <a:prstGeom prst="rect">
                      <a:avLst/>
                    </a:prstGeom>
                  </pic:spPr>
                </pic:pic>
              </a:graphicData>
            </a:graphic>
          </wp:inline>
        </w:drawing>
      </w:r>
    </w:p>
    <w:p w14:paraId="4172F5AB" w14:textId="1A6A79BC" w:rsidR="00A372C7" w:rsidRDefault="00A372C7">
      <w:pPr>
        <w:rPr>
          <w:rFonts w:ascii="Times New Roman" w:hAnsi="Times New Roman" w:cs="Times New Roman"/>
          <w:b/>
          <w:bCs/>
          <w:u w:val="single"/>
        </w:rPr>
      </w:pPr>
      <w:r w:rsidRPr="00A372C7">
        <w:rPr>
          <w:rFonts w:ascii="Times New Roman" w:hAnsi="Times New Roman" w:cs="Times New Roman"/>
          <w:b/>
          <w:bCs/>
          <w:u w:val="single"/>
        </w:rPr>
        <w:lastRenderedPageBreak/>
        <w:drawing>
          <wp:inline distT="0" distB="0" distL="0" distR="0" wp14:anchorId="01CCEFD3" wp14:editId="7BBEE5C0">
            <wp:extent cx="4843649" cy="4018844"/>
            <wp:effectExtent l="0" t="0" r="0" b="1270"/>
            <wp:docPr id="14608484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48472" name=""/>
                    <pic:cNvPicPr/>
                  </pic:nvPicPr>
                  <pic:blipFill>
                    <a:blip r:embed="rId9"/>
                    <a:stretch>
                      <a:fillRect/>
                    </a:stretch>
                  </pic:blipFill>
                  <pic:spPr>
                    <a:xfrm>
                      <a:off x="0" y="0"/>
                      <a:ext cx="4849366" cy="4023588"/>
                    </a:xfrm>
                    <a:prstGeom prst="rect">
                      <a:avLst/>
                    </a:prstGeom>
                  </pic:spPr>
                </pic:pic>
              </a:graphicData>
            </a:graphic>
          </wp:inline>
        </w:drawing>
      </w:r>
    </w:p>
    <w:p w14:paraId="1D59D598" w14:textId="0C8DD6DD" w:rsidR="00A372C7" w:rsidRPr="00764D05" w:rsidRDefault="00A372C7">
      <w:pPr>
        <w:rPr>
          <w:rFonts w:ascii="Times New Roman" w:hAnsi="Times New Roman" w:cs="Times New Roman"/>
          <w:b/>
          <w:bCs/>
          <w:u w:val="single"/>
        </w:rPr>
      </w:pPr>
      <w:r w:rsidRPr="00A372C7">
        <w:rPr>
          <w:rFonts w:ascii="Times New Roman" w:hAnsi="Times New Roman" w:cs="Times New Roman"/>
          <w:b/>
          <w:bCs/>
          <w:u w:val="single"/>
        </w:rPr>
        <w:drawing>
          <wp:inline distT="0" distB="0" distL="0" distR="0" wp14:anchorId="38789322" wp14:editId="58070976">
            <wp:extent cx="4782944" cy="3674378"/>
            <wp:effectExtent l="0" t="0" r="0" b="2540"/>
            <wp:docPr id="1382985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985050" name=""/>
                    <pic:cNvPicPr/>
                  </pic:nvPicPr>
                  <pic:blipFill>
                    <a:blip r:embed="rId10"/>
                    <a:stretch>
                      <a:fillRect/>
                    </a:stretch>
                  </pic:blipFill>
                  <pic:spPr>
                    <a:xfrm>
                      <a:off x="0" y="0"/>
                      <a:ext cx="4793827" cy="3682739"/>
                    </a:xfrm>
                    <a:prstGeom prst="rect">
                      <a:avLst/>
                    </a:prstGeom>
                  </pic:spPr>
                </pic:pic>
              </a:graphicData>
            </a:graphic>
          </wp:inline>
        </w:drawing>
      </w:r>
    </w:p>
    <w:p w14:paraId="2E6375E9" w14:textId="42BEE6E4" w:rsidR="00764D05" w:rsidRDefault="00A372C7" w:rsidP="00315BCD">
      <w:pPr>
        <w:rPr>
          <w:rFonts w:ascii="Times New Roman" w:hAnsi="Times New Roman" w:cs="Times New Roman"/>
          <w:b/>
          <w:bCs/>
          <w:u w:val="single"/>
        </w:rPr>
      </w:pPr>
      <w:r w:rsidRPr="00A372C7">
        <w:rPr>
          <w:rFonts w:ascii="Times New Roman" w:hAnsi="Times New Roman" w:cs="Times New Roman"/>
          <w:b/>
          <w:bCs/>
          <w:u w:val="single"/>
        </w:rPr>
        <w:lastRenderedPageBreak/>
        <w:drawing>
          <wp:inline distT="0" distB="0" distL="0" distR="0" wp14:anchorId="30AC92AB" wp14:editId="2CA23340">
            <wp:extent cx="4806404" cy="3884103"/>
            <wp:effectExtent l="0" t="0" r="0" b="2540"/>
            <wp:docPr id="10575199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7519957" name=""/>
                    <pic:cNvPicPr/>
                  </pic:nvPicPr>
                  <pic:blipFill>
                    <a:blip r:embed="rId11"/>
                    <a:stretch>
                      <a:fillRect/>
                    </a:stretch>
                  </pic:blipFill>
                  <pic:spPr>
                    <a:xfrm>
                      <a:off x="0" y="0"/>
                      <a:ext cx="4811374" cy="3888119"/>
                    </a:xfrm>
                    <a:prstGeom prst="rect">
                      <a:avLst/>
                    </a:prstGeom>
                  </pic:spPr>
                </pic:pic>
              </a:graphicData>
            </a:graphic>
          </wp:inline>
        </w:drawing>
      </w:r>
    </w:p>
    <w:p w14:paraId="1AAF6206" w14:textId="5C57BBA8" w:rsidR="00A372C7" w:rsidRDefault="00A372C7" w:rsidP="00315BCD">
      <w:pPr>
        <w:rPr>
          <w:rFonts w:ascii="Times New Roman" w:hAnsi="Times New Roman" w:cs="Times New Roman"/>
          <w:b/>
          <w:bCs/>
          <w:u w:val="single"/>
        </w:rPr>
      </w:pPr>
      <w:r w:rsidRPr="00A372C7">
        <w:rPr>
          <w:rFonts w:ascii="Times New Roman" w:hAnsi="Times New Roman" w:cs="Times New Roman"/>
          <w:b/>
          <w:bCs/>
          <w:u w:val="single"/>
        </w:rPr>
        <w:drawing>
          <wp:inline distT="0" distB="0" distL="0" distR="0" wp14:anchorId="2CC70E00" wp14:editId="5F50C012">
            <wp:extent cx="5282978" cy="4060272"/>
            <wp:effectExtent l="0" t="0" r="0" b="0"/>
            <wp:docPr id="13684402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8440210" name=""/>
                    <pic:cNvPicPr/>
                  </pic:nvPicPr>
                  <pic:blipFill>
                    <a:blip r:embed="rId12"/>
                    <a:stretch>
                      <a:fillRect/>
                    </a:stretch>
                  </pic:blipFill>
                  <pic:spPr>
                    <a:xfrm>
                      <a:off x="0" y="0"/>
                      <a:ext cx="5286710" cy="4063140"/>
                    </a:xfrm>
                    <a:prstGeom prst="rect">
                      <a:avLst/>
                    </a:prstGeom>
                  </pic:spPr>
                </pic:pic>
              </a:graphicData>
            </a:graphic>
          </wp:inline>
        </w:drawing>
      </w:r>
    </w:p>
    <w:p w14:paraId="5471C652" w14:textId="3113A560" w:rsidR="00764D05" w:rsidRDefault="00764D05" w:rsidP="00315BCD">
      <w:pPr>
        <w:rPr>
          <w:rFonts w:ascii="Times New Roman" w:hAnsi="Times New Roman" w:cs="Times New Roman"/>
          <w:b/>
          <w:bCs/>
          <w:u w:val="single"/>
        </w:rPr>
      </w:pPr>
    </w:p>
    <w:p w14:paraId="3EFA53BD" w14:textId="77777777" w:rsidR="00CD5456" w:rsidRDefault="00CD5456" w:rsidP="00315BCD">
      <w:pPr>
        <w:rPr>
          <w:rFonts w:ascii="Times New Roman" w:hAnsi="Times New Roman" w:cs="Times New Roman"/>
          <w:b/>
          <w:bCs/>
          <w:u w:val="single"/>
        </w:rPr>
      </w:pPr>
    </w:p>
    <w:p w14:paraId="3D63BEF7" w14:textId="246B54A0" w:rsidR="00A372C7" w:rsidRDefault="003B6EB2" w:rsidP="00315BCD">
      <w:pPr>
        <w:rPr>
          <w:rFonts w:ascii="Times New Roman" w:hAnsi="Times New Roman" w:cs="Times New Roman"/>
          <w:b/>
          <w:bCs/>
          <w:u w:val="single"/>
        </w:rPr>
      </w:pPr>
      <w:r>
        <w:rPr>
          <w:rFonts w:ascii="Times New Roman" w:hAnsi="Times New Roman" w:cs="Times New Roman"/>
          <w:b/>
          <w:bCs/>
          <w:u w:val="single"/>
        </w:rPr>
        <w:lastRenderedPageBreak/>
        <w:t xml:space="preserve">Appendix 2 </w:t>
      </w:r>
    </w:p>
    <w:p w14:paraId="697A9024" w14:textId="0AD122BE" w:rsidR="00CD5456" w:rsidRPr="00CD5456" w:rsidRDefault="00CD5456" w:rsidP="00315BCD">
      <w:pPr>
        <w:rPr>
          <w:b/>
          <w:bCs/>
          <w:color w:val="C00000"/>
          <w:lang w:val="cy-GB"/>
        </w:rPr>
      </w:pPr>
      <w:r w:rsidRPr="00E7675A">
        <w:rPr>
          <w:b/>
          <w:bCs/>
          <w:color w:val="C00000"/>
          <w:lang w:val="cy-GB"/>
        </w:rPr>
        <w:t xml:space="preserve">AfL Note: Austins Butterfly principles is used to build a collaborative success criteria, which is then used as a peer assessment and creating individual targets. But, the key focus is on Success Critierias. </w:t>
      </w:r>
    </w:p>
    <w:p w14:paraId="46FD4BF6" w14:textId="1B7EB3B3" w:rsidR="003B6EB2" w:rsidRDefault="003B6EB2" w:rsidP="00315BCD">
      <w:pPr>
        <w:rPr>
          <w:rFonts w:ascii="Times New Roman" w:hAnsi="Times New Roman" w:cs="Times New Roman"/>
          <w:b/>
          <w:bCs/>
          <w:u w:val="single"/>
        </w:rPr>
      </w:pPr>
      <w:r w:rsidRPr="003B6EB2">
        <w:rPr>
          <w:rFonts w:ascii="Times New Roman" w:hAnsi="Times New Roman" w:cs="Times New Roman"/>
          <w:b/>
          <w:bCs/>
          <w:u w:val="single"/>
        </w:rPr>
        <w:drawing>
          <wp:inline distT="0" distB="0" distL="0" distR="0" wp14:anchorId="66C09239" wp14:editId="63044D99">
            <wp:extent cx="4453255" cy="3546420"/>
            <wp:effectExtent l="0" t="0" r="4445" b="0"/>
            <wp:docPr id="8413059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1305907" name=""/>
                    <pic:cNvPicPr/>
                  </pic:nvPicPr>
                  <pic:blipFill>
                    <a:blip r:embed="rId13"/>
                    <a:stretch>
                      <a:fillRect/>
                    </a:stretch>
                  </pic:blipFill>
                  <pic:spPr>
                    <a:xfrm>
                      <a:off x="0" y="0"/>
                      <a:ext cx="4478079" cy="3566189"/>
                    </a:xfrm>
                    <a:prstGeom prst="rect">
                      <a:avLst/>
                    </a:prstGeom>
                  </pic:spPr>
                </pic:pic>
              </a:graphicData>
            </a:graphic>
          </wp:inline>
        </w:drawing>
      </w:r>
    </w:p>
    <w:p w14:paraId="04795492" w14:textId="4CCC2912" w:rsidR="003B6EB2" w:rsidRDefault="003B6EB2" w:rsidP="00315BCD">
      <w:pPr>
        <w:rPr>
          <w:rFonts w:ascii="Times New Roman" w:hAnsi="Times New Roman" w:cs="Times New Roman"/>
          <w:b/>
          <w:bCs/>
          <w:u w:val="single"/>
        </w:rPr>
      </w:pPr>
      <w:r w:rsidRPr="003B6EB2">
        <w:rPr>
          <w:rFonts w:ascii="Times New Roman" w:hAnsi="Times New Roman" w:cs="Times New Roman"/>
          <w:b/>
          <w:bCs/>
          <w:u w:val="single"/>
        </w:rPr>
        <w:drawing>
          <wp:inline distT="0" distB="0" distL="0" distR="0" wp14:anchorId="4F5075F3" wp14:editId="4013C84F">
            <wp:extent cx="4453479" cy="3775046"/>
            <wp:effectExtent l="0" t="0" r="4445" b="0"/>
            <wp:docPr id="10649550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955033" name=""/>
                    <pic:cNvPicPr/>
                  </pic:nvPicPr>
                  <pic:blipFill>
                    <a:blip r:embed="rId14"/>
                    <a:stretch>
                      <a:fillRect/>
                    </a:stretch>
                  </pic:blipFill>
                  <pic:spPr>
                    <a:xfrm>
                      <a:off x="0" y="0"/>
                      <a:ext cx="4473345" cy="3791886"/>
                    </a:xfrm>
                    <a:prstGeom prst="rect">
                      <a:avLst/>
                    </a:prstGeom>
                  </pic:spPr>
                </pic:pic>
              </a:graphicData>
            </a:graphic>
          </wp:inline>
        </w:drawing>
      </w:r>
    </w:p>
    <w:p w14:paraId="4E23B424" w14:textId="2106FAA8" w:rsidR="003B6EB2" w:rsidRDefault="003B6EB2" w:rsidP="00315BCD">
      <w:pPr>
        <w:rPr>
          <w:rFonts w:ascii="Times New Roman" w:hAnsi="Times New Roman" w:cs="Times New Roman"/>
          <w:b/>
          <w:bCs/>
          <w:u w:val="single"/>
        </w:rPr>
      </w:pPr>
    </w:p>
    <w:p w14:paraId="35C10DC6" w14:textId="366D7019" w:rsidR="00F45D9D" w:rsidRDefault="00F45D9D" w:rsidP="00315BCD">
      <w:pPr>
        <w:rPr>
          <w:rFonts w:ascii="Times New Roman" w:hAnsi="Times New Roman" w:cs="Times New Roman"/>
          <w:b/>
          <w:bCs/>
          <w:u w:val="single"/>
        </w:rPr>
      </w:pPr>
      <w:r w:rsidRPr="00F45D9D">
        <w:rPr>
          <w:rFonts w:ascii="Times New Roman" w:hAnsi="Times New Roman" w:cs="Times New Roman"/>
          <w:b/>
          <w:bCs/>
          <w:u w:val="single"/>
        </w:rPr>
        <w:lastRenderedPageBreak/>
        <w:drawing>
          <wp:inline distT="0" distB="0" distL="0" distR="0" wp14:anchorId="1F7240E8" wp14:editId="5819B75F">
            <wp:extent cx="4932937" cy="4102217"/>
            <wp:effectExtent l="0" t="0" r="1270" b="0"/>
            <wp:docPr id="2133244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24417" name=""/>
                    <pic:cNvPicPr/>
                  </pic:nvPicPr>
                  <pic:blipFill>
                    <a:blip r:embed="rId15"/>
                    <a:stretch>
                      <a:fillRect/>
                    </a:stretch>
                  </pic:blipFill>
                  <pic:spPr>
                    <a:xfrm>
                      <a:off x="0" y="0"/>
                      <a:ext cx="4942663" cy="4110305"/>
                    </a:xfrm>
                    <a:prstGeom prst="rect">
                      <a:avLst/>
                    </a:prstGeom>
                  </pic:spPr>
                </pic:pic>
              </a:graphicData>
            </a:graphic>
          </wp:inline>
        </w:drawing>
      </w:r>
    </w:p>
    <w:p w14:paraId="41E1C712" w14:textId="73F0DCEF" w:rsidR="003B6EB2" w:rsidRDefault="00F45D9D" w:rsidP="00315BCD">
      <w:pPr>
        <w:rPr>
          <w:rFonts w:ascii="Times New Roman" w:hAnsi="Times New Roman" w:cs="Times New Roman"/>
          <w:b/>
          <w:bCs/>
          <w:u w:val="single"/>
        </w:rPr>
      </w:pPr>
      <w:r w:rsidRPr="00F45D9D">
        <w:rPr>
          <w:rFonts w:ascii="Times New Roman" w:hAnsi="Times New Roman" w:cs="Times New Roman"/>
          <w:b/>
          <w:bCs/>
          <w:u w:val="single"/>
        </w:rPr>
        <w:drawing>
          <wp:inline distT="0" distB="0" distL="0" distR="0" wp14:anchorId="7A58B528" wp14:editId="401B26F7">
            <wp:extent cx="5731510" cy="3556635"/>
            <wp:effectExtent l="0" t="0" r="2540" b="5715"/>
            <wp:docPr id="14300276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0027675" name=""/>
                    <pic:cNvPicPr/>
                  </pic:nvPicPr>
                  <pic:blipFill>
                    <a:blip r:embed="rId16"/>
                    <a:stretch>
                      <a:fillRect/>
                    </a:stretch>
                  </pic:blipFill>
                  <pic:spPr>
                    <a:xfrm>
                      <a:off x="0" y="0"/>
                      <a:ext cx="5731510" cy="3556635"/>
                    </a:xfrm>
                    <a:prstGeom prst="rect">
                      <a:avLst/>
                    </a:prstGeom>
                  </pic:spPr>
                </pic:pic>
              </a:graphicData>
            </a:graphic>
          </wp:inline>
        </w:drawing>
      </w:r>
    </w:p>
    <w:p w14:paraId="1CA0BAE5" w14:textId="77777777" w:rsidR="00F45D9D" w:rsidRDefault="00F45D9D" w:rsidP="00315BCD">
      <w:pPr>
        <w:rPr>
          <w:rFonts w:ascii="Times New Roman" w:hAnsi="Times New Roman" w:cs="Times New Roman"/>
          <w:b/>
          <w:bCs/>
          <w:u w:val="single"/>
        </w:rPr>
      </w:pPr>
    </w:p>
    <w:p w14:paraId="62E346ED" w14:textId="63AD45EA" w:rsidR="00F45D9D" w:rsidRDefault="00F45D9D" w:rsidP="00315BCD">
      <w:pPr>
        <w:rPr>
          <w:rFonts w:ascii="Times New Roman" w:hAnsi="Times New Roman" w:cs="Times New Roman"/>
          <w:b/>
          <w:bCs/>
          <w:u w:val="single"/>
        </w:rPr>
      </w:pPr>
      <w:r w:rsidRPr="00F45D9D">
        <w:rPr>
          <w:rFonts w:ascii="Times New Roman" w:hAnsi="Times New Roman" w:cs="Times New Roman"/>
          <w:b/>
          <w:bCs/>
          <w:u w:val="single"/>
        </w:rPr>
        <w:lastRenderedPageBreak/>
        <w:drawing>
          <wp:inline distT="0" distB="0" distL="0" distR="0" wp14:anchorId="096006D4" wp14:editId="2F0A5151">
            <wp:extent cx="5731510" cy="2946400"/>
            <wp:effectExtent l="0" t="0" r="2540" b="6350"/>
            <wp:docPr id="1006712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6712109" name=""/>
                    <pic:cNvPicPr/>
                  </pic:nvPicPr>
                  <pic:blipFill>
                    <a:blip r:embed="rId17"/>
                    <a:stretch>
                      <a:fillRect/>
                    </a:stretch>
                  </pic:blipFill>
                  <pic:spPr>
                    <a:xfrm>
                      <a:off x="0" y="0"/>
                      <a:ext cx="5731510" cy="2946400"/>
                    </a:xfrm>
                    <a:prstGeom prst="rect">
                      <a:avLst/>
                    </a:prstGeom>
                  </pic:spPr>
                </pic:pic>
              </a:graphicData>
            </a:graphic>
          </wp:inline>
        </w:drawing>
      </w:r>
    </w:p>
    <w:p w14:paraId="21BCC59D" w14:textId="182FE985" w:rsidR="00F45D9D" w:rsidRDefault="00F45D9D" w:rsidP="00315BCD">
      <w:pPr>
        <w:rPr>
          <w:rFonts w:ascii="Times New Roman" w:hAnsi="Times New Roman" w:cs="Times New Roman"/>
          <w:b/>
          <w:bCs/>
          <w:u w:val="single"/>
        </w:rPr>
      </w:pPr>
      <w:r w:rsidRPr="00F45D9D">
        <w:rPr>
          <w:rFonts w:ascii="Times New Roman" w:hAnsi="Times New Roman" w:cs="Times New Roman"/>
          <w:b/>
          <w:bCs/>
          <w:u w:val="single"/>
        </w:rPr>
        <w:drawing>
          <wp:inline distT="0" distB="0" distL="0" distR="0" wp14:anchorId="011E5B8D" wp14:editId="2D29DEC9">
            <wp:extent cx="5731510" cy="3554730"/>
            <wp:effectExtent l="0" t="0" r="2540" b="7620"/>
            <wp:docPr id="2090660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0660203" name=""/>
                    <pic:cNvPicPr/>
                  </pic:nvPicPr>
                  <pic:blipFill>
                    <a:blip r:embed="rId18"/>
                    <a:stretch>
                      <a:fillRect/>
                    </a:stretch>
                  </pic:blipFill>
                  <pic:spPr>
                    <a:xfrm>
                      <a:off x="0" y="0"/>
                      <a:ext cx="5731510" cy="3554730"/>
                    </a:xfrm>
                    <a:prstGeom prst="rect">
                      <a:avLst/>
                    </a:prstGeom>
                  </pic:spPr>
                </pic:pic>
              </a:graphicData>
            </a:graphic>
          </wp:inline>
        </w:drawing>
      </w:r>
    </w:p>
    <w:p w14:paraId="57995B0C" w14:textId="7437FBE3" w:rsidR="00F45D9D" w:rsidRDefault="00F45D9D" w:rsidP="00315BCD">
      <w:pPr>
        <w:rPr>
          <w:rFonts w:ascii="Times New Roman" w:hAnsi="Times New Roman" w:cs="Times New Roman"/>
          <w:b/>
          <w:bCs/>
          <w:u w:val="single"/>
        </w:rPr>
      </w:pPr>
      <w:r w:rsidRPr="00F45D9D">
        <w:rPr>
          <w:rFonts w:ascii="Times New Roman" w:hAnsi="Times New Roman" w:cs="Times New Roman"/>
          <w:b/>
          <w:bCs/>
          <w:u w:val="single"/>
        </w:rPr>
        <w:drawing>
          <wp:inline distT="0" distB="0" distL="0" distR="0" wp14:anchorId="22C7365E" wp14:editId="6F89E3CA">
            <wp:extent cx="5731510" cy="1022350"/>
            <wp:effectExtent l="0" t="0" r="2540" b="6350"/>
            <wp:docPr id="618767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8767383" name=""/>
                    <pic:cNvPicPr/>
                  </pic:nvPicPr>
                  <pic:blipFill>
                    <a:blip r:embed="rId19"/>
                    <a:stretch>
                      <a:fillRect/>
                    </a:stretch>
                  </pic:blipFill>
                  <pic:spPr>
                    <a:xfrm>
                      <a:off x="0" y="0"/>
                      <a:ext cx="5731510" cy="1022350"/>
                    </a:xfrm>
                    <a:prstGeom prst="rect">
                      <a:avLst/>
                    </a:prstGeom>
                  </pic:spPr>
                </pic:pic>
              </a:graphicData>
            </a:graphic>
          </wp:inline>
        </w:drawing>
      </w:r>
    </w:p>
    <w:p w14:paraId="57CEC14A" w14:textId="77777777" w:rsidR="00F45D9D" w:rsidRDefault="00F45D9D" w:rsidP="00315BCD">
      <w:pPr>
        <w:rPr>
          <w:rFonts w:ascii="Times New Roman" w:hAnsi="Times New Roman" w:cs="Times New Roman"/>
          <w:b/>
          <w:bCs/>
          <w:u w:val="single"/>
        </w:rPr>
      </w:pPr>
    </w:p>
    <w:p w14:paraId="24EB4064" w14:textId="77777777" w:rsidR="00CD5456" w:rsidRDefault="00CD5456" w:rsidP="00315BCD">
      <w:pPr>
        <w:rPr>
          <w:rFonts w:ascii="Times New Roman" w:hAnsi="Times New Roman" w:cs="Times New Roman"/>
          <w:b/>
          <w:bCs/>
          <w:u w:val="single"/>
        </w:rPr>
      </w:pPr>
    </w:p>
    <w:p w14:paraId="7E5F9E84" w14:textId="77777777" w:rsidR="00CD5456" w:rsidRDefault="00CD5456" w:rsidP="00315BCD">
      <w:pPr>
        <w:rPr>
          <w:rFonts w:ascii="Times New Roman" w:hAnsi="Times New Roman" w:cs="Times New Roman"/>
          <w:b/>
          <w:bCs/>
          <w:u w:val="single"/>
        </w:rPr>
      </w:pPr>
    </w:p>
    <w:p w14:paraId="174FCCBB" w14:textId="7012053B" w:rsidR="00F45D9D" w:rsidRDefault="00F45D9D" w:rsidP="00315BCD">
      <w:pPr>
        <w:rPr>
          <w:rFonts w:ascii="Times New Roman" w:hAnsi="Times New Roman" w:cs="Times New Roman"/>
          <w:b/>
          <w:bCs/>
          <w:u w:val="single"/>
        </w:rPr>
      </w:pPr>
      <w:r>
        <w:rPr>
          <w:rFonts w:ascii="Times New Roman" w:hAnsi="Times New Roman" w:cs="Times New Roman"/>
          <w:b/>
          <w:bCs/>
          <w:u w:val="single"/>
        </w:rPr>
        <w:lastRenderedPageBreak/>
        <w:t>Appendix 3</w:t>
      </w:r>
    </w:p>
    <w:p w14:paraId="669B67D9" w14:textId="77777777" w:rsidR="00CD5456" w:rsidRPr="00F401DB" w:rsidRDefault="00CD5456" w:rsidP="00CD5456">
      <w:pPr>
        <w:rPr>
          <w:b/>
          <w:bCs/>
          <w:color w:val="C00000"/>
          <w:lang w:val="cy-GB"/>
        </w:rPr>
      </w:pPr>
      <w:r w:rsidRPr="00F401DB">
        <w:rPr>
          <w:b/>
          <w:bCs/>
          <w:color w:val="C00000"/>
          <w:lang w:val="cy-GB"/>
        </w:rPr>
        <w:t xml:space="preserve">AfL Note: Debono Critical Thinking Hats – Children will use the write up of the experiment to introduce and label using the hats. Children should write a breif comment about how that addresses the questions the ‘hat’ asks. Children should then engage in a class discussion, reflecting on their critical thinking considerations, within their work. </w:t>
      </w:r>
      <w:r>
        <w:rPr>
          <w:b/>
          <w:bCs/>
          <w:color w:val="C00000"/>
          <w:lang w:val="cy-GB"/>
        </w:rPr>
        <w:t xml:space="preserve">This should be completed as the plenary of the lesson, and time should be spent ensuring children write and consider qulity answers. </w:t>
      </w:r>
    </w:p>
    <w:p w14:paraId="6EE87347" w14:textId="4B4737DB" w:rsidR="00CD5456" w:rsidRDefault="00CD5456" w:rsidP="00315BCD">
      <w:pPr>
        <w:rPr>
          <w:rFonts w:ascii="Times New Roman" w:hAnsi="Times New Roman" w:cs="Times New Roman"/>
          <w:b/>
          <w:bCs/>
          <w:u w:val="single"/>
        </w:rPr>
      </w:pPr>
      <w:r w:rsidRPr="00CD5456">
        <w:rPr>
          <w:rFonts w:ascii="Times New Roman" w:hAnsi="Times New Roman" w:cs="Times New Roman"/>
          <w:b/>
          <w:bCs/>
          <w:u w:val="single"/>
        </w:rPr>
        <w:drawing>
          <wp:inline distT="0" distB="0" distL="0" distR="0" wp14:anchorId="0636B47D" wp14:editId="4E3203CF">
            <wp:extent cx="5736124" cy="4353887"/>
            <wp:effectExtent l="0" t="0" r="0" b="8890"/>
            <wp:docPr id="10540855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085531" name=""/>
                    <pic:cNvPicPr/>
                  </pic:nvPicPr>
                  <pic:blipFill>
                    <a:blip r:embed="rId20"/>
                    <a:stretch>
                      <a:fillRect/>
                    </a:stretch>
                  </pic:blipFill>
                  <pic:spPr>
                    <a:xfrm>
                      <a:off x="0" y="0"/>
                      <a:ext cx="5745944" cy="4361341"/>
                    </a:xfrm>
                    <a:prstGeom prst="rect">
                      <a:avLst/>
                    </a:prstGeom>
                  </pic:spPr>
                </pic:pic>
              </a:graphicData>
            </a:graphic>
          </wp:inline>
        </w:drawing>
      </w:r>
    </w:p>
    <w:p w14:paraId="4FE3A0F3" w14:textId="022739CF" w:rsidR="00CD5456" w:rsidRDefault="00CC5673" w:rsidP="00315BCD">
      <w:pPr>
        <w:rPr>
          <w:rFonts w:ascii="Times New Roman" w:hAnsi="Times New Roman" w:cs="Times New Roman"/>
          <w:b/>
          <w:bCs/>
          <w:u w:val="single"/>
        </w:rPr>
      </w:pPr>
      <w:r w:rsidRPr="00CC5673">
        <w:rPr>
          <w:rFonts w:ascii="Times New Roman" w:hAnsi="Times New Roman" w:cs="Times New Roman"/>
          <w:b/>
          <w:bCs/>
          <w:u w:val="single"/>
        </w:rPr>
        <w:lastRenderedPageBreak/>
        <w:drawing>
          <wp:inline distT="0" distB="0" distL="0" distR="0" wp14:anchorId="35E166B5" wp14:editId="67C75711">
            <wp:extent cx="5629013" cy="4734082"/>
            <wp:effectExtent l="0" t="0" r="0" b="0"/>
            <wp:docPr id="17760843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084364" name=""/>
                    <pic:cNvPicPr/>
                  </pic:nvPicPr>
                  <pic:blipFill>
                    <a:blip r:embed="rId21"/>
                    <a:stretch>
                      <a:fillRect/>
                    </a:stretch>
                  </pic:blipFill>
                  <pic:spPr>
                    <a:xfrm>
                      <a:off x="0" y="0"/>
                      <a:ext cx="5647281" cy="4749446"/>
                    </a:xfrm>
                    <a:prstGeom prst="rect">
                      <a:avLst/>
                    </a:prstGeom>
                  </pic:spPr>
                </pic:pic>
              </a:graphicData>
            </a:graphic>
          </wp:inline>
        </w:drawing>
      </w:r>
    </w:p>
    <w:p w14:paraId="0E7ACF8B" w14:textId="3CBE6C4B" w:rsidR="00F45D9D" w:rsidRDefault="00CC5673" w:rsidP="00315BCD">
      <w:pPr>
        <w:rPr>
          <w:rFonts w:ascii="Times New Roman" w:hAnsi="Times New Roman" w:cs="Times New Roman"/>
          <w:b/>
          <w:bCs/>
          <w:u w:val="single"/>
        </w:rPr>
      </w:pPr>
      <w:r w:rsidRPr="00CC5673">
        <w:rPr>
          <w:rFonts w:ascii="Times New Roman" w:hAnsi="Times New Roman" w:cs="Times New Roman"/>
          <w:b/>
          <w:bCs/>
          <w:u w:val="single"/>
        </w:rPr>
        <w:drawing>
          <wp:inline distT="0" distB="0" distL="0" distR="0" wp14:anchorId="704D60DF" wp14:editId="09CA9D57">
            <wp:extent cx="5731510" cy="2450465"/>
            <wp:effectExtent l="0" t="0" r="2540" b="6985"/>
            <wp:docPr id="7906229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0622912" name=""/>
                    <pic:cNvPicPr/>
                  </pic:nvPicPr>
                  <pic:blipFill>
                    <a:blip r:embed="rId22"/>
                    <a:stretch>
                      <a:fillRect/>
                    </a:stretch>
                  </pic:blipFill>
                  <pic:spPr>
                    <a:xfrm>
                      <a:off x="0" y="0"/>
                      <a:ext cx="5731510" cy="2450465"/>
                    </a:xfrm>
                    <a:prstGeom prst="rect">
                      <a:avLst/>
                    </a:prstGeom>
                  </pic:spPr>
                </pic:pic>
              </a:graphicData>
            </a:graphic>
          </wp:inline>
        </w:drawing>
      </w:r>
    </w:p>
    <w:p w14:paraId="2D7BD08E" w14:textId="77777777" w:rsidR="00CC5673" w:rsidRDefault="00CC5673" w:rsidP="00315BCD">
      <w:pPr>
        <w:rPr>
          <w:rFonts w:ascii="Times New Roman" w:hAnsi="Times New Roman" w:cs="Times New Roman"/>
          <w:b/>
          <w:bCs/>
          <w:u w:val="single"/>
        </w:rPr>
      </w:pPr>
    </w:p>
    <w:p w14:paraId="525B405E" w14:textId="19D157D8" w:rsidR="00CC5673" w:rsidRDefault="00CC5673" w:rsidP="00315BCD">
      <w:pPr>
        <w:rPr>
          <w:rFonts w:ascii="Times New Roman" w:hAnsi="Times New Roman" w:cs="Times New Roman"/>
          <w:b/>
          <w:bCs/>
          <w:u w:val="single"/>
        </w:rPr>
      </w:pPr>
      <w:r w:rsidRPr="00CC5673">
        <w:rPr>
          <w:rFonts w:ascii="Times New Roman" w:hAnsi="Times New Roman" w:cs="Times New Roman"/>
          <w:b/>
          <w:bCs/>
          <w:u w:val="single"/>
        </w:rPr>
        <w:lastRenderedPageBreak/>
        <w:drawing>
          <wp:inline distT="0" distB="0" distL="0" distR="0" wp14:anchorId="0F23C1ED" wp14:editId="5E356D96">
            <wp:extent cx="5731510" cy="3575050"/>
            <wp:effectExtent l="0" t="0" r="2540" b="6350"/>
            <wp:docPr id="10842739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4273953" name=""/>
                    <pic:cNvPicPr/>
                  </pic:nvPicPr>
                  <pic:blipFill>
                    <a:blip r:embed="rId23"/>
                    <a:stretch>
                      <a:fillRect/>
                    </a:stretch>
                  </pic:blipFill>
                  <pic:spPr>
                    <a:xfrm>
                      <a:off x="0" y="0"/>
                      <a:ext cx="5731510" cy="3575050"/>
                    </a:xfrm>
                    <a:prstGeom prst="rect">
                      <a:avLst/>
                    </a:prstGeom>
                  </pic:spPr>
                </pic:pic>
              </a:graphicData>
            </a:graphic>
          </wp:inline>
        </w:drawing>
      </w:r>
    </w:p>
    <w:p w14:paraId="734296FF" w14:textId="49617F69" w:rsidR="00CC5673" w:rsidRDefault="00CC5673" w:rsidP="00315BCD">
      <w:pPr>
        <w:rPr>
          <w:rFonts w:ascii="Times New Roman" w:hAnsi="Times New Roman" w:cs="Times New Roman"/>
          <w:b/>
          <w:bCs/>
          <w:u w:val="single"/>
        </w:rPr>
      </w:pPr>
      <w:r w:rsidRPr="00CC5673">
        <w:rPr>
          <w:rFonts w:ascii="Times New Roman" w:hAnsi="Times New Roman" w:cs="Times New Roman"/>
          <w:b/>
          <w:bCs/>
          <w:u w:val="single"/>
        </w:rPr>
        <w:drawing>
          <wp:inline distT="0" distB="0" distL="0" distR="0" wp14:anchorId="3C61AE0B" wp14:editId="334EE4B6">
            <wp:extent cx="5731510" cy="3488055"/>
            <wp:effectExtent l="0" t="0" r="2540" b="0"/>
            <wp:docPr id="839339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9339272" name=""/>
                    <pic:cNvPicPr/>
                  </pic:nvPicPr>
                  <pic:blipFill>
                    <a:blip r:embed="rId24"/>
                    <a:stretch>
                      <a:fillRect/>
                    </a:stretch>
                  </pic:blipFill>
                  <pic:spPr>
                    <a:xfrm>
                      <a:off x="0" y="0"/>
                      <a:ext cx="5731510" cy="3488055"/>
                    </a:xfrm>
                    <a:prstGeom prst="rect">
                      <a:avLst/>
                    </a:prstGeom>
                  </pic:spPr>
                </pic:pic>
              </a:graphicData>
            </a:graphic>
          </wp:inline>
        </w:drawing>
      </w:r>
    </w:p>
    <w:p w14:paraId="0D4E1617" w14:textId="330FDC81" w:rsidR="00CC5673" w:rsidRDefault="00CC5673" w:rsidP="00315BCD">
      <w:pPr>
        <w:rPr>
          <w:rFonts w:ascii="Times New Roman" w:hAnsi="Times New Roman" w:cs="Times New Roman"/>
          <w:b/>
          <w:bCs/>
          <w:u w:val="single"/>
        </w:rPr>
      </w:pPr>
      <w:r w:rsidRPr="00CC5673">
        <w:rPr>
          <w:rFonts w:ascii="Times New Roman" w:hAnsi="Times New Roman" w:cs="Times New Roman"/>
          <w:b/>
          <w:bCs/>
          <w:u w:val="single"/>
        </w:rPr>
        <w:lastRenderedPageBreak/>
        <w:drawing>
          <wp:inline distT="0" distB="0" distL="0" distR="0" wp14:anchorId="028B0161" wp14:editId="7F39A539">
            <wp:extent cx="5731510" cy="3006090"/>
            <wp:effectExtent l="0" t="0" r="2540" b="3810"/>
            <wp:docPr id="844847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484759" name=""/>
                    <pic:cNvPicPr/>
                  </pic:nvPicPr>
                  <pic:blipFill>
                    <a:blip r:embed="rId25"/>
                    <a:stretch>
                      <a:fillRect/>
                    </a:stretch>
                  </pic:blipFill>
                  <pic:spPr>
                    <a:xfrm>
                      <a:off x="0" y="0"/>
                      <a:ext cx="5731510" cy="3006090"/>
                    </a:xfrm>
                    <a:prstGeom prst="rect">
                      <a:avLst/>
                    </a:prstGeom>
                  </pic:spPr>
                </pic:pic>
              </a:graphicData>
            </a:graphic>
          </wp:inline>
        </w:drawing>
      </w:r>
    </w:p>
    <w:p w14:paraId="33BD5DF1" w14:textId="224A79F2" w:rsidR="00CC5673" w:rsidRDefault="00CC5673" w:rsidP="00315BCD">
      <w:pPr>
        <w:rPr>
          <w:rFonts w:ascii="Times New Roman" w:hAnsi="Times New Roman" w:cs="Times New Roman"/>
          <w:b/>
          <w:bCs/>
          <w:u w:val="single"/>
        </w:rPr>
      </w:pPr>
      <w:r w:rsidRPr="00CC5673">
        <w:rPr>
          <w:rFonts w:ascii="Times New Roman" w:hAnsi="Times New Roman" w:cs="Times New Roman"/>
          <w:b/>
          <w:bCs/>
          <w:u w:val="single"/>
        </w:rPr>
        <w:drawing>
          <wp:inline distT="0" distB="0" distL="0" distR="0" wp14:anchorId="1E350831" wp14:editId="4E3DA63C">
            <wp:extent cx="5731510" cy="3061970"/>
            <wp:effectExtent l="0" t="0" r="2540" b="5080"/>
            <wp:docPr id="191181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181747" name=""/>
                    <pic:cNvPicPr/>
                  </pic:nvPicPr>
                  <pic:blipFill>
                    <a:blip r:embed="rId26"/>
                    <a:stretch>
                      <a:fillRect/>
                    </a:stretch>
                  </pic:blipFill>
                  <pic:spPr>
                    <a:xfrm>
                      <a:off x="0" y="0"/>
                      <a:ext cx="5731510" cy="3061970"/>
                    </a:xfrm>
                    <a:prstGeom prst="rect">
                      <a:avLst/>
                    </a:prstGeom>
                  </pic:spPr>
                </pic:pic>
              </a:graphicData>
            </a:graphic>
          </wp:inline>
        </w:drawing>
      </w:r>
    </w:p>
    <w:p w14:paraId="7C67A0EA" w14:textId="71E31E70" w:rsidR="00A372C7" w:rsidRDefault="00A372C7" w:rsidP="00315BCD">
      <w:pPr>
        <w:rPr>
          <w:rFonts w:ascii="Times New Roman" w:hAnsi="Times New Roman" w:cs="Times New Roman"/>
          <w:b/>
          <w:bCs/>
          <w:u w:val="single"/>
        </w:rPr>
      </w:pPr>
    </w:p>
    <w:p w14:paraId="5594BAA9" w14:textId="54AFA894" w:rsidR="003B6EB2" w:rsidRDefault="003B6EB2" w:rsidP="00315BCD">
      <w:pPr>
        <w:rPr>
          <w:rFonts w:ascii="Times New Roman" w:hAnsi="Times New Roman" w:cs="Times New Roman"/>
          <w:b/>
          <w:bCs/>
          <w:u w:val="single"/>
        </w:rPr>
      </w:pPr>
    </w:p>
    <w:p w14:paraId="519E02B6" w14:textId="77777777" w:rsidR="003B6EB2" w:rsidRDefault="003B6EB2" w:rsidP="00315BCD">
      <w:pPr>
        <w:rPr>
          <w:rFonts w:ascii="Times New Roman" w:hAnsi="Times New Roman" w:cs="Times New Roman"/>
          <w:b/>
          <w:bCs/>
          <w:u w:val="single"/>
        </w:rPr>
      </w:pPr>
    </w:p>
    <w:p w14:paraId="28BFF3FA" w14:textId="5BB1F277" w:rsidR="003B6EB2" w:rsidRDefault="003B6EB2" w:rsidP="00315BCD">
      <w:pPr>
        <w:rPr>
          <w:rFonts w:ascii="Times New Roman" w:hAnsi="Times New Roman" w:cs="Times New Roman"/>
          <w:b/>
          <w:bCs/>
          <w:u w:val="single"/>
        </w:rPr>
      </w:pPr>
    </w:p>
    <w:p w14:paraId="35F2540A" w14:textId="77777777" w:rsidR="00764D05" w:rsidRDefault="00764D05" w:rsidP="00315BCD">
      <w:pPr>
        <w:rPr>
          <w:rFonts w:ascii="Times New Roman" w:hAnsi="Times New Roman" w:cs="Times New Roman"/>
          <w:b/>
          <w:bCs/>
          <w:u w:val="single"/>
        </w:rPr>
      </w:pPr>
    </w:p>
    <w:p w14:paraId="7E634D2E" w14:textId="77777777" w:rsidR="00764D05" w:rsidRDefault="00764D05" w:rsidP="00315BCD">
      <w:pPr>
        <w:rPr>
          <w:rFonts w:ascii="Times New Roman" w:hAnsi="Times New Roman" w:cs="Times New Roman"/>
          <w:b/>
          <w:bCs/>
          <w:u w:val="single"/>
        </w:rPr>
      </w:pPr>
    </w:p>
    <w:p w14:paraId="49D412B6" w14:textId="77777777" w:rsidR="002C0929" w:rsidRDefault="002C0929" w:rsidP="00315BCD">
      <w:pPr>
        <w:rPr>
          <w:rFonts w:ascii="Times New Roman" w:hAnsi="Times New Roman" w:cs="Times New Roman"/>
          <w:b/>
          <w:bCs/>
          <w:u w:val="single"/>
        </w:rPr>
      </w:pPr>
    </w:p>
    <w:p w14:paraId="6766C86E" w14:textId="77777777" w:rsidR="002C0929" w:rsidRDefault="002C0929" w:rsidP="00315BCD">
      <w:pPr>
        <w:rPr>
          <w:rFonts w:ascii="Times New Roman" w:hAnsi="Times New Roman" w:cs="Times New Roman"/>
          <w:b/>
          <w:bCs/>
          <w:u w:val="single"/>
        </w:rPr>
      </w:pPr>
    </w:p>
    <w:p w14:paraId="19172FC9" w14:textId="77777777" w:rsidR="002C0929" w:rsidRDefault="002C0929" w:rsidP="00315BCD">
      <w:pPr>
        <w:rPr>
          <w:rFonts w:ascii="Times New Roman" w:hAnsi="Times New Roman" w:cs="Times New Roman"/>
          <w:b/>
          <w:bCs/>
          <w:u w:val="single"/>
        </w:rPr>
      </w:pPr>
    </w:p>
    <w:p w14:paraId="74843466" w14:textId="6D23FFBF" w:rsidR="00764D05" w:rsidRDefault="00AA7F3D" w:rsidP="00315BCD">
      <w:pPr>
        <w:rPr>
          <w:rFonts w:ascii="Times New Roman" w:hAnsi="Times New Roman" w:cs="Times New Roman"/>
          <w:b/>
          <w:bCs/>
          <w:u w:val="single"/>
        </w:rPr>
      </w:pPr>
      <w:r w:rsidRPr="0027692C">
        <w:rPr>
          <w:rFonts w:ascii="Times New Roman" w:hAnsi="Times New Roman" w:cs="Times New Roman"/>
          <w:b/>
          <w:bCs/>
          <w:u w:val="single"/>
        </w:rPr>
        <w:lastRenderedPageBreak/>
        <w:t>Reference</w:t>
      </w:r>
      <w:bookmarkStart w:id="0" w:name="_Hlk155447825"/>
      <w:r w:rsidR="00764D05">
        <w:rPr>
          <w:rFonts w:ascii="Times New Roman" w:hAnsi="Times New Roman" w:cs="Times New Roman"/>
          <w:b/>
          <w:bCs/>
          <w:u w:val="single"/>
        </w:rPr>
        <w:t xml:space="preserve"> List</w:t>
      </w:r>
    </w:p>
    <w:p w14:paraId="532F1A06" w14:textId="0EDB12A9" w:rsidR="00764D05" w:rsidRPr="00764D05" w:rsidRDefault="00764D05" w:rsidP="00315BCD">
      <w:pPr>
        <w:rPr>
          <w:rFonts w:ascii="Times New Roman" w:hAnsi="Times New Roman" w:cs="Times New Roman"/>
          <w:b/>
          <w:bCs/>
          <w:u w:val="single"/>
        </w:rPr>
      </w:pPr>
      <w:r>
        <w:rPr>
          <w:rFonts w:ascii="Times New Roman" w:hAnsi="Times New Roman" w:cs="Times New Roman"/>
          <w:color w:val="000000" w:themeColor="text1"/>
        </w:rPr>
        <w:t>Adams, N,E. (2015) ‘</w:t>
      </w:r>
      <w:r w:rsidRPr="00574B85">
        <w:rPr>
          <w:rFonts w:ascii="Times New Roman" w:hAnsi="Times New Roman" w:cs="Times New Roman"/>
          <w:color w:val="000000" w:themeColor="text1"/>
        </w:rPr>
        <w:t>Bloom’s taxonomy of cognitive learning objectives</w:t>
      </w:r>
      <w:r>
        <w:rPr>
          <w:rFonts w:ascii="Times New Roman" w:hAnsi="Times New Roman" w:cs="Times New Roman"/>
          <w:color w:val="000000" w:themeColor="text1"/>
        </w:rPr>
        <w:t xml:space="preserve">’. </w:t>
      </w:r>
      <w:r w:rsidRPr="00574B85">
        <w:rPr>
          <w:rFonts w:ascii="Times New Roman" w:hAnsi="Times New Roman" w:cs="Times New Roman"/>
          <w:i/>
          <w:iCs/>
          <w:color w:val="000000" w:themeColor="text1"/>
        </w:rPr>
        <w:t>National Library of Medicine.</w:t>
      </w:r>
      <w:r>
        <w:rPr>
          <w:rFonts w:ascii="Times New Roman" w:hAnsi="Times New Roman" w:cs="Times New Roman"/>
          <w:color w:val="000000" w:themeColor="text1"/>
        </w:rPr>
        <w:t xml:space="preserve"> 103(3), pp. 152 – 153. DOI: </w:t>
      </w:r>
      <w:hyperlink r:id="rId27" w:tgtFrame="_blank" w:history="1">
        <w:r w:rsidRPr="00574B85">
          <w:rPr>
            <w:rStyle w:val="Hyperlink"/>
            <w:rFonts w:ascii="Times New Roman" w:hAnsi="Times New Roman" w:cs="Times New Roman"/>
            <w:color w:val="000000" w:themeColor="text1"/>
            <w:u w:val="none"/>
          </w:rPr>
          <w:t>10.3163/1536-5050.103.3.010</w:t>
        </w:r>
      </w:hyperlink>
    </w:p>
    <w:bookmarkEnd w:id="0"/>
    <w:p w14:paraId="51062B20" w14:textId="77777777" w:rsidR="00764D05" w:rsidRPr="002948F0" w:rsidRDefault="00764D05" w:rsidP="00F240D4">
      <w:pPr>
        <w:pStyle w:val="dx-doi"/>
        <w:spacing w:after="0"/>
        <w:rPr>
          <w:sz w:val="22"/>
          <w:szCs w:val="22"/>
        </w:rPr>
      </w:pPr>
      <w:r w:rsidRPr="002948F0">
        <w:rPr>
          <w:sz w:val="22"/>
          <w:szCs w:val="22"/>
        </w:rPr>
        <w:t>Asif, M.  (2019) ‘</w:t>
      </w:r>
      <w:r w:rsidRPr="002948F0">
        <w:rPr>
          <w:sz w:val="22"/>
          <w:szCs w:val="22"/>
        </w:rPr>
        <w:t xml:space="preserve">Edward </w:t>
      </w:r>
      <w:r w:rsidRPr="002948F0">
        <w:rPr>
          <w:sz w:val="22"/>
          <w:szCs w:val="22"/>
        </w:rPr>
        <w:t>D</w:t>
      </w:r>
      <w:r w:rsidRPr="002948F0">
        <w:rPr>
          <w:sz w:val="22"/>
          <w:szCs w:val="22"/>
        </w:rPr>
        <w:t>e Bono Six thinking hats in schools</w:t>
      </w:r>
      <w:r w:rsidRPr="002948F0">
        <w:rPr>
          <w:sz w:val="22"/>
          <w:szCs w:val="22"/>
        </w:rPr>
        <w:t xml:space="preserve">’, </w:t>
      </w:r>
      <w:r w:rsidRPr="002948F0">
        <w:rPr>
          <w:i/>
          <w:iCs/>
          <w:sz w:val="22"/>
          <w:szCs w:val="22"/>
        </w:rPr>
        <w:t>Linked in</w:t>
      </w:r>
      <w:r w:rsidRPr="002948F0">
        <w:rPr>
          <w:sz w:val="22"/>
          <w:szCs w:val="22"/>
        </w:rPr>
        <w:t xml:space="preserve"> [blog]. 17 April. Available at: </w:t>
      </w:r>
      <w:hyperlink r:id="rId28" w:history="1">
        <w:r w:rsidRPr="002948F0">
          <w:rPr>
            <w:rStyle w:val="Hyperlink"/>
            <w:sz w:val="22"/>
            <w:szCs w:val="22"/>
          </w:rPr>
          <w:t>https://www.linkedin.com/pulse/edward-de-bono-six-thinking-hats-schools-munnaza-asif</w:t>
        </w:r>
      </w:hyperlink>
      <w:r w:rsidRPr="002948F0">
        <w:rPr>
          <w:sz w:val="22"/>
          <w:szCs w:val="22"/>
        </w:rPr>
        <w:t xml:space="preserve"> (Accessed: 5 January 2024)</w:t>
      </w:r>
    </w:p>
    <w:p w14:paraId="74B14762" w14:textId="77777777" w:rsidR="00764D05" w:rsidRDefault="00764D05" w:rsidP="00315BCD">
      <w:pPr>
        <w:rPr>
          <w:rFonts w:ascii="Times New Roman" w:hAnsi="Times New Roman" w:cs="Times New Roman"/>
          <w:color w:val="000000" w:themeColor="text1"/>
        </w:rPr>
      </w:pPr>
      <w:r>
        <w:rPr>
          <w:rFonts w:ascii="Times New Roman" w:hAnsi="Times New Roman" w:cs="Times New Roman"/>
          <w:color w:val="000000" w:themeColor="text1"/>
        </w:rPr>
        <w:t xml:space="preserve">Aubrey K. and Riley, A. (2019) </w:t>
      </w:r>
      <w:r w:rsidRPr="0085767E">
        <w:rPr>
          <w:rFonts w:ascii="Times New Roman" w:hAnsi="Times New Roman" w:cs="Times New Roman"/>
          <w:i/>
          <w:iCs/>
          <w:color w:val="000000" w:themeColor="text1"/>
        </w:rPr>
        <w:t>Understanding and using educational theories</w:t>
      </w:r>
      <w:r>
        <w:rPr>
          <w:rFonts w:ascii="Times New Roman" w:hAnsi="Times New Roman" w:cs="Times New Roman"/>
          <w:color w:val="000000" w:themeColor="text1"/>
        </w:rPr>
        <w:t>. 2</w:t>
      </w:r>
      <w:r w:rsidRPr="0085767E">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SAGE. </w:t>
      </w:r>
    </w:p>
    <w:p w14:paraId="500C75DC" w14:textId="77777777" w:rsidR="00764D05" w:rsidRPr="002948F0" w:rsidRDefault="00764D05" w:rsidP="00315BCD">
      <w:pPr>
        <w:rPr>
          <w:rFonts w:ascii="Times New Roman" w:hAnsi="Times New Roman" w:cs="Times New Roman"/>
          <w:color w:val="000000" w:themeColor="text1"/>
        </w:rPr>
      </w:pPr>
      <w:r w:rsidRPr="002948F0">
        <w:rPr>
          <w:rFonts w:ascii="Times New Roman" w:hAnsi="Times New Roman" w:cs="Times New Roman"/>
          <w:color w:val="000000" w:themeColor="text1"/>
        </w:rPr>
        <w:t xml:space="preserve">Aubrey, K. Riley, A. (2017) </w:t>
      </w:r>
      <w:r w:rsidRPr="002948F0">
        <w:rPr>
          <w:rFonts w:ascii="Times New Roman" w:hAnsi="Times New Roman" w:cs="Times New Roman"/>
          <w:i/>
          <w:iCs/>
          <w:color w:val="000000" w:themeColor="text1"/>
        </w:rPr>
        <w:t>Understanding and using challenging educational theories</w:t>
      </w:r>
      <w:r w:rsidRPr="002948F0">
        <w:rPr>
          <w:rFonts w:ascii="Times New Roman" w:hAnsi="Times New Roman" w:cs="Times New Roman"/>
          <w:color w:val="000000" w:themeColor="text1"/>
        </w:rPr>
        <w:t>. 1</w:t>
      </w:r>
      <w:r w:rsidRPr="002948F0">
        <w:rPr>
          <w:rFonts w:ascii="Times New Roman" w:hAnsi="Times New Roman" w:cs="Times New Roman"/>
          <w:color w:val="000000" w:themeColor="text1"/>
          <w:vertAlign w:val="superscript"/>
        </w:rPr>
        <w:t>st</w:t>
      </w:r>
      <w:r w:rsidRPr="002948F0">
        <w:rPr>
          <w:rFonts w:ascii="Times New Roman" w:hAnsi="Times New Roman" w:cs="Times New Roman"/>
          <w:color w:val="000000" w:themeColor="text1"/>
        </w:rPr>
        <w:t xml:space="preserve"> </w:t>
      </w:r>
      <w:proofErr w:type="spellStart"/>
      <w:r w:rsidRPr="002948F0">
        <w:rPr>
          <w:rFonts w:ascii="Times New Roman" w:hAnsi="Times New Roman" w:cs="Times New Roman"/>
          <w:color w:val="000000" w:themeColor="text1"/>
        </w:rPr>
        <w:t>edn</w:t>
      </w:r>
      <w:proofErr w:type="spellEnd"/>
      <w:r w:rsidRPr="002948F0">
        <w:rPr>
          <w:rFonts w:ascii="Times New Roman" w:hAnsi="Times New Roman" w:cs="Times New Roman"/>
          <w:color w:val="000000" w:themeColor="text1"/>
        </w:rPr>
        <w:t xml:space="preserve">. London: SAGE. </w:t>
      </w:r>
    </w:p>
    <w:p w14:paraId="09124B1F" w14:textId="77777777" w:rsidR="00764D05" w:rsidRPr="002948F0" w:rsidRDefault="00764D05" w:rsidP="00315BCD">
      <w:pPr>
        <w:rPr>
          <w:rFonts w:ascii="Times New Roman" w:hAnsi="Times New Roman" w:cs="Times New Roman"/>
          <w:color w:val="000000" w:themeColor="text1"/>
        </w:rPr>
      </w:pPr>
      <w:r w:rsidRPr="002948F0">
        <w:rPr>
          <w:rFonts w:ascii="Times New Roman" w:hAnsi="Times New Roman" w:cs="Times New Roman"/>
          <w:color w:val="000000" w:themeColor="text1"/>
        </w:rPr>
        <w:t xml:space="preserve">Bartlett, S. and Burton, D. (2016) </w:t>
      </w:r>
      <w:r w:rsidRPr="002948F0">
        <w:rPr>
          <w:rFonts w:ascii="Times New Roman" w:hAnsi="Times New Roman" w:cs="Times New Roman"/>
          <w:i/>
          <w:iCs/>
          <w:color w:val="000000" w:themeColor="text1"/>
        </w:rPr>
        <w:t>Introduction to Education Studies</w:t>
      </w:r>
      <w:r w:rsidRPr="002948F0">
        <w:rPr>
          <w:rFonts w:ascii="Times New Roman" w:hAnsi="Times New Roman" w:cs="Times New Roman"/>
          <w:color w:val="000000" w:themeColor="text1"/>
        </w:rPr>
        <w:t>. 4</w:t>
      </w:r>
      <w:r w:rsidRPr="002948F0">
        <w:rPr>
          <w:rFonts w:ascii="Times New Roman" w:hAnsi="Times New Roman" w:cs="Times New Roman"/>
          <w:color w:val="000000" w:themeColor="text1"/>
          <w:vertAlign w:val="superscript"/>
        </w:rPr>
        <w:t>th</w:t>
      </w:r>
      <w:r w:rsidRPr="002948F0">
        <w:rPr>
          <w:rFonts w:ascii="Times New Roman" w:hAnsi="Times New Roman" w:cs="Times New Roman"/>
          <w:color w:val="000000" w:themeColor="text1"/>
        </w:rPr>
        <w:t xml:space="preserve"> </w:t>
      </w:r>
      <w:proofErr w:type="spellStart"/>
      <w:r w:rsidRPr="002948F0">
        <w:rPr>
          <w:rFonts w:ascii="Times New Roman" w:hAnsi="Times New Roman" w:cs="Times New Roman"/>
          <w:color w:val="000000" w:themeColor="text1"/>
        </w:rPr>
        <w:t>edn</w:t>
      </w:r>
      <w:proofErr w:type="spellEnd"/>
      <w:r w:rsidRPr="002948F0">
        <w:rPr>
          <w:rFonts w:ascii="Times New Roman" w:hAnsi="Times New Roman" w:cs="Times New Roman"/>
          <w:color w:val="000000" w:themeColor="text1"/>
        </w:rPr>
        <w:t>. London: SAGE</w:t>
      </w:r>
    </w:p>
    <w:p w14:paraId="1DD8A1B5" w14:textId="77777777" w:rsidR="00764D05" w:rsidRPr="0027692C" w:rsidRDefault="00764D05">
      <w:pPr>
        <w:rPr>
          <w:rFonts w:ascii="Times New Roman" w:hAnsi="Times New Roman" w:cs="Times New Roman"/>
        </w:rPr>
      </w:pPr>
      <w:r w:rsidRPr="0027692C">
        <w:rPr>
          <w:rFonts w:ascii="Times New Roman" w:hAnsi="Times New Roman" w:cs="Times New Roman"/>
        </w:rPr>
        <w:t xml:space="preserve">Black, P. and Wiliam, D. (1998) Understanding the Contemporary Issues in Learning and Teaching. Available at: </w:t>
      </w:r>
      <w:hyperlink r:id="rId29" w:history="1">
        <w:r w:rsidRPr="0027692C">
          <w:rPr>
            <w:rStyle w:val="Hyperlink"/>
            <w:rFonts w:ascii="Times New Roman" w:hAnsi="Times New Roman" w:cs="Times New Roman"/>
          </w:rPr>
          <w:t>https://uob2014grp5.wordpress.com/formative-assessment/</w:t>
        </w:r>
      </w:hyperlink>
      <w:r w:rsidRPr="0027692C">
        <w:rPr>
          <w:rFonts w:ascii="Times New Roman" w:hAnsi="Times New Roman" w:cs="Times New Roman"/>
        </w:rPr>
        <w:t xml:space="preserve"> (Accessed: 20 December 2023)</w:t>
      </w:r>
    </w:p>
    <w:p w14:paraId="1AC04E22" w14:textId="77777777" w:rsidR="00764D05" w:rsidRPr="0027692C" w:rsidRDefault="00764D05">
      <w:pPr>
        <w:rPr>
          <w:rFonts w:ascii="Times New Roman" w:hAnsi="Times New Roman" w:cs="Times New Roman"/>
        </w:rPr>
      </w:pPr>
      <w:r w:rsidRPr="0027692C">
        <w:rPr>
          <w:rFonts w:ascii="Times New Roman" w:hAnsi="Times New Roman" w:cs="Times New Roman"/>
        </w:rPr>
        <w:t xml:space="preserve">Black, P. Wiliam, D. (1998) Inside the Black Box. Raising Standards Through Classroom Assessment. London: GL Assessment Limited. Available at: </w:t>
      </w:r>
      <w:hyperlink r:id="rId30" w:history="1">
        <w:r w:rsidRPr="0027692C">
          <w:rPr>
            <w:rStyle w:val="Hyperlink"/>
            <w:rFonts w:ascii="Times New Roman" w:hAnsi="Times New Roman" w:cs="Times New Roman"/>
          </w:rPr>
          <w:t>http://edci770.pbworks.com/w/file/fetch/48124468/BlackWiliam_1998.pdf</w:t>
        </w:r>
      </w:hyperlink>
      <w:r w:rsidRPr="0027692C">
        <w:rPr>
          <w:rFonts w:ascii="Times New Roman" w:hAnsi="Times New Roman" w:cs="Times New Roman"/>
        </w:rPr>
        <w:t xml:space="preserve"> (Accessed: 20 December 2023)</w:t>
      </w:r>
    </w:p>
    <w:p w14:paraId="5E823CBA" w14:textId="77777777" w:rsidR="00764D05" w:rsidRPr="0027692C" w:rsidRDefault="00764D05">
      <w:pPr>
        <w:rPr>
          <w:rFonts w:ascii="Times New Roman" w:hAnsi="Times New Roman" w:cs="Times New Roman"/>
        </w:rPr>
      </w:pPr>
      <w:r w:rsidRPr="0027692C">
        <w:rPr>
          <w:rFonts w:ascii="Times New Roman" w:hAnsi="Times New Roman" w:cs="Times New Roman"/>
        </w:rPr>
        <w:t>Black, P. Wiliam, D. et al (2003) Assessment for Learning: Putting it into practice. 1</w:t>
      </w:r>
      <w:r w:rsidRPr="0027692C">
        <w:rPr>
          <w:rFonts w:ascii="Times New Roman" w:hAnsi="Times New Roman" w:cs="Times New Roman"/>
          <w:vertAlign w:val="superscript"/>
        </w:rPr>
        <w:t>st</w:t>
      </w:r>
      <w:r w:rsidRPr="0027692C">
        <w:rPr>
          <w:rFonts w:ascii="Times New Roman" w:hAnsi="Times New Roman" w:cs="Times New Roman"/>
        </w:rPr>
        <w:t xml:space="preserve"> </w:t>
      </w:r>
      <w:proofErr w:type="spellStart"/>
      <w:r w:rsidRPr="0027692C">
        <w:rPr>
          <w:rFonts w:ascii="Times New Roman" w:hAnsi="Times New Roman" w:cs="Times New Roman"/>
        </w:rPr>
        <w:t>edn</w:t>
      </w:r>
      <w:proofErr w:type="spellEnd"/>
      <w:r w:rsidRPr="0027692C">
        <w:rPr>
          <w:rFonts w:ascii="Times New Roman" w:hAnsi="Times New Roman" w:cs="Times New Roman"/>
        </w:rPr>
        <w:t xml:space="preserve">. England: McGraw- Hill Education. </w:t>
      </w:r>
    </w:p>
    <w:p w14:paraId="45608542" w14:textId="77777777" w:rsidR="00764D05" w:rsidRDefault="00764D05" w:rsidP="00315BCD">
      <w:pPr>
        <w:rPr>
          <w:rFonts w:ascii="Times New Roman" w:hAnsi="Times New Roman" w:cs="Times New Roman"/>
          <w:color w:val="000000" w:themeColor="text1"/>
        </w:rPr>
      </w:pPr>
      <w:r>
        <w:rPr>
          <w:rFonts w:ascii="Times New Roman" w:hAnsi="Times New Roman" w:cs="Times New Roman"/>
          <w:color w:val="000000" w:themeColor="text1"/>
        </w:rPr>
        <w:t xml:space="preserve">Brown, S. Race, P. and Smith, B. (2004) </w:t>
      </w:r>
      <w:r w:rsidRPr="000E5D3D">
        <w:rPr>
          <w:rFonts w:ascii="Times New Roman" w:hAnsi="Times New Roman" w:cs="Times New Roman"/>
          <w:i/>
          <w:iCs/>
          <w:color w:val="000000" w:themeColor="text1"/>
        </w:rPr>
        <w:t>500 tips on assessment</w:t>
      </w:r>
      <w:r>
        <w:rPr>
          <w:rFonts w:ascii="Times New Roman" w:hAnsi="Times New Roman" w:cs="Times New Roman"/>
          <w:color w:val="000000" w:themeColor="text1"/>
        </w:rPr>
        <w:t>. 2</w:t>
      </w:r>
      <w:r w:rsidRPr="000E5D3D">
        <w:rPr>
          <w:rFonts w:ascii="Times New Roman" w:hAnsi="Times New Roman" w:cs="Times New Roman"/>
          <w:color w:val="000000" w:themeColor="text1"/>
          <w:vertAlign w:val="superscript"/>
        </w:rPr>
        <w:t>nd</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London: Routledge. </w:t>
      </w:r>
    </w:p>
    <w:p w14:paraId="22E51F14" w14:textId="77777777" w:rsidR="00764D05" w:rsidRDefault="00764D05" w:rsidP="00315BCD">
      <w:pPr>
        <w:rPr>
          <w:rFonts w:ascii="Times New Roman" w:hAnsi="Times New Roman" w:cs="Times New Roman"/>
          <w:color w:val="000000" w:themeColor="text1"/>
        </w:rPr>
      </w:pPr>
      <w:r w:rsidRPr="00A81A38">
        <w:rPr>
          <w:rFonts w:ascii="Times New Roman" w:hAnsi="Times New Roman" w:cs="Times New Roman"/>
          <w:color w:val="000000" w:themeColor="text1"/>
          <w:lang w:val="fr-FR"/>
        </w:rPr>
        <w:t xml:space="preserve">Coe et al. </w:t>
      </w:r>
      <w:r w:rsidRPr="00A81A38">
        <w:rPr>
          <w:rFonts w:ascii="Times New Roman" w:hAnsi="Times New Roman" w:cs="Times New Roman"/>
          <w:color w:val="000000" w:themeColor="text1"/>
        </w:rPr>
        <w:t xml:space="preserve">(2014) </w:t>
      </w:r>
      <w:r w:rsidRPr="00A81A38">
        <w:rPr>
          <w:rFonts w:ascii="Times New Roman" w:hAnsi="Times New Roman" w:cs="Times New Roman"/>
          <w:i/>
          <w:iCs/>
          <w:color w:val="000000" w:themeColor="text1"/>
        </w:rPr>
        <w:t>What makes great teaching? Review of underpinning research.</w:t>
      </w:r>
      <w:r>
        <w:rPr>
          <w:rFonts w:ascii="Times New Roman" w:hAnsi="Times New Roman" w:cs="Times New Roman"/>
          <w:color w:val="000000" w:themeColor="text1"/>
        </w:rPr>
        <w:t xml:space="preserve"> Durham: The Sutton Trust.</w:t>
      </w:r>
    </w:p>
    <w:p w14:paraId="4AE5FD89" w14:textId="77777777" w:rsidR="00764D05" w:rsidRDefault="00764D05" w:rsidP="00315BCD">
      <w:pPr>
        <w:rPr>
          <w:rFonts w:ascii="Times New Roman" w:hAnsi="Times New Roman" w:cs="Times New Roman"/>
          <w:color w:val="000000" w:themeColor="text1"/>
        </w:rPr>
      </w:pPr>
      <w:r w:rsidRPr="00174C96">
        <w:rPr>
          <w:rFonts w:ascii="Times New Roman" w:hAnsi="Times New Roman" w:cs="Times New Roman"/>
          <w:color w:val="000000" w:themeColor="text1"/>
        </w:rPr>
        <w:t xml:space="preserve">Cohen, L. </w:t>
      </w:r>
      <w:r w:rsidRPr="00174C96">
        <w:rPr>
          <w:rFonts w:ascii="Times New Roman" w:hAnsi="Times New Roman" w:cs="Times New Roman"/>
          <w:i/>
          <w:iCs/>
          <w:color w:val="000000" w:themeColor="text1"/>
        </w:rPr>
        <w:t>et al</w:t>
      </w:r>
      <w:r w:rsidRPr="00174C96">
        <w:rPr>
          <w:rFonts w:ascii="Times New Roman" w:hAnsi="Times New Roman" w:cs="Times New Roman"/>
          <w:color w:val="000000" w:themeColor="text1"/>
        </w:rPr>
        <w:t xml:space="preserve"> (2010) </w:t>
      </w:r>
      <w:r w:rsidRPr="005D0DAE">
        <w:rPr>
          <w:rFonts w:ascii="Times New Roman" w:hAnsi="Times New Roman" w:cs="Times New Roman"/>
          <w:i/>
          <w:iCs/>
          <w:color w:val="000000" w:themeColor="text1"/>
        </w:rPr>
        <w:t>A guide to teaching practice</w:t>
      </w:r>
      <w:r>
        <w:rPr>
          <w:rFonts w:ascii="Times New Roman" w:hAnsi="Times New Roman" w:cs="Times New Roman"/>
          <w:color w:val="000000" w:themeColor="text1"/>
        </w:rPr>
        <w:t xml:space="preserve">. 5th revised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Oxon: Routledge. </w:t>
      </w:r>
    </w:p>
    <w:p w14:paraId="743C3E3E" w14:textId="77777777" w:rsidR="00764D05" w:rsidRPr="002948F0" w:rsidRDefault="00764D05" w:rsidP="00F240D4">
      <w:pPr>
        <w:pStyle w:val="dx-doi"/>
        <w:spacing w:after="0"/>
        <w:rPr>
          <w:sz w:val="22"/>
          <w:szCs w:val="22"/>
        </w:rPr>
      </w:pPr>
      <w:r w:rsidRPr="002948F0">
        <w:rPr>
          <w:sz w:val="22"/>
          <w:szCs w:val="22"/>
        </w:rPr>
        <w:t xml:space="preserve">De Bono, E. (2000) </w:t>
      </w:r>
      <w:r w:rsidRPr="002948F0">
        <w:rPr>
          <w:i/>
          <w:iCs/>
          <w:sz w:val="22"/>
          <w:szCs w:val="22"/>
        </w:rPr>
        <w:t>Six Thinking Hats</w:t>
      </w:r>
      <w:r w:rsidRPr="002948F0">
        <w:rPr>
          <w:sz w:val="22"/>
          <w:szCs w:val="22"/>
        </w:rPr>
        <w:t xml:space="preserve">. Great Britan: Penguin Books. </w:t>
      </w:r>
    </w:p>
    <w:p w14:paraId="462CC9AF" w14:textId="77777777" w:rsidR="00764D05" w:rsidRDefault="00764D05" w:rsidP="00315BCD">
      <w:pPr>
        <w:rPr>
          <w:rFonts w:ascii="Times New Roman" w:hAnsi="Times New Roman" w:cs="Times New Roman"/>
          <w:color w:val="000000" w:themeColor="text1"/>
        </w:rPr>
      </w:pPr>
      <w:r>
        <w:rPr>
          <w:rFonts w:ascii="Times New Roman" w:hAnsi="Times New Roman" w:cs="Times New Roman"/>
          <w:color w:val="000000" w:themeColor="text1"/>
        </w:rPr>
        <w:t xml:space="preserve">Didau, D. (2014) ‘Forget about assessing learning after lessons’. </w:t>
      </w:r>
      <w:r w:rsidRPr="007F4111">
        <w:rPr>
          <w:rFonts w:ascii="Times New Roman" w:hAnsi="Times New Roman" w:cs="Times New Roman"/>
          <w:i/>
          <w:iCs/>
          <w:color w:val="000000" w:themeColor="text1"/>
        </w:rPr>
        <w:t>The Times Educational Supplement.</w:t>
      </w:r>
      <w:r>
        <w:rPr>
          <w:rFonts w:ascii="Times New Roman" w:hAnsi="Times New Roman" w:cs="Times New Roman"/>
          <w:color w:val="000000" w:themeColor="text1"/>
        </w:rPr>
        <w:t xml:space="preserve"> (5513). Unknown page range. Available at: </w:t>
      </w:r>
      <w:hyperlink r:id="rId31" w:history="1">
        <w:r w:rsidRPr="00303342">
          <w:rPr>
            <w:rStyle w:val="Hyperlink"/>
            <w:rFonts w:ascii="Times New Roman" w:hAnsi="Times New Roman" w:cs="Times New Roman"/>
          </w:rPr>
          <w:t>https://www.proquest.com/docview/1564373183?parentSessionId=oz%2F3uxGRCkVD7ouboWCKvC3uwMksybPAQJosqXE6dAU%3D&amp;pq-origsite=primo&amp;accountid=130</w:t>
        </w:r>
        <w:hyperlink r:id="rId32" w:history="1">
          <w:r w:rsidRPr="00303342">
            <w:rPr>
              <w:rStyle w:val="Hyperlink"/>
              <w:rFonts w:ascii="Times New Roman" w:hAnsi="Times New Roman" w:cs="Times New Roman"/>
            </w:rPr>
            <w:t>https://www.proquest.com/docview/1564373183?parentSessionId=oz%2F3uxGRCkVD7ouboWCKvC3uwMksybPAQJosqXE6dAU%3D&amp;pq-origsite=primo&amp;accountid=130472&amp;sourcetype=Trade%20Journals</w:t>
          </w:r>
        </w:hyperlink>
        <w:r w:rsidRPr="00303342">
          <w:rPr>
            <w:rStyle w:val="Hyperlink"/>
            <w:rFonts w:ascii="Times New Roman" w:hAnsi="Times New Roman" w:cs="Times New Roman"/>
          </w:rPr>
          <w:t>472&amp;sourcetype=Trade%20Journals</w:t>
        </w:r>
      </w:hyperlink>
      <w:r>
        <w:rPr>
          <w:rFonts w:ascii="Times New Roman" w:hAnsi="Times New Roman" w:cs="Times New Roman"/>
          <w:color w:val="000000" w:themeColor="text1"/>
        </w:rPr>
        <w:t xml:space="preserve"> (Accessed: 24 December 2023)</w:t>
      </w:r>
    </w:p>
    <w:p w14:paraId="3F420D79" w14:textId="77777777" w:rsidR="00764D05" w:rsidRPr="0027692C" w:rsidRDefault="00764D05">
      <w:pPr>
        <w:rPr>
          <w:rFonts w:ascii="Times New Roman" w:hAnsi="Times New Roman" w:cs="Times New Roman"/>
        </w:rPr>
      </w:pPr>
      <w:r w:rsidRPr="0027692C">
        <w:rPr>
          <w:rFonts w:ascii="Times New Roman" w:hAnsi="Times New Roman" w:cs="Times New Roman"/>
        </w:rPr>
        <w:t xml:space="preserve">Donaldson, G (2015) </w:t>
      </w:r>
      <w:r w:rsidRPr="0027692C">
        <w:rPr>
          <w:rFonts w:ascii="Times New Roman" w:hAnsi="Times New Roman" w:cs="Times New Roman"/>
          <w:i/>
          <w:iCs/>
        </w:rPr>
        <w:t xml:space="preserve">Successful Futures. </w:t>
      </w:r>
      <w:r w:rsidRPr="0027692C">
        <w:rPr>
          <w:rFonts w:ascii="Times New Roman" w:hAnsi="Times New Roman" w:cs="Times New Roman"/>
        </w:rPr>
        <w:t xml:space="preserve">Cardiff: Crown Copyright. Available at: </w:t>
      </w:r>
      <w:hyperlink r:id="rId33" w:history="1">
        <w:r w:rsidRPr="0027692C">
          <w:rPr>
            <w:rStyle w:val="Hyperlink"/>
            <w:rFonts w:ascii="Times New Roman" w:hAnsi="Times New Roman" w:cs="Times New Roman"/>
          </w:rPr>
          <w:t>https://www.nasuwt.org.uk/static/uploaded/ad5b4d73-76eb-462a-8ba00412eb6e572a.pdf</w:t>
        </w:r>
      </w:hyperlink>
      <w:r w:rsidRPr="0027692C">
        <w:rPr>
          <w:rFonts w:ascii="Times New Roman" w:hAnsi="Times New Roman" w:cs="Times New Roman"/>
        </w:rPr>
        <w:t xml:space="preserve"> (Accessed: 20 December 2023)</w:t>
      </w:r>
    </w:p>
    <w:p w14:paraId="640BBF0F" w14:textId="77777777" w:rsidR="00764D05" w:rsidRDefault="00764D05" w:rsidP="00315BCD">
      <w:pPr>
        <w:rPr>
          <w:rFonts w:ascii="Times New Roman" w:hAnsi="Times New Roman" w:cs="Times New Roman"/>
          <w:color w:val="000000" w:themeColor="text1"/>
        </w:rPr>
      </w:pPr>
      <w:r w:rsidRPr="0027692C">
        <w:rPr>
          <w:rFonts w:ascii="Times New Roman" w:hAnsi="Times New Roman" w:cs="Times New Roman"/>
          <w:color w:val="000000" w:themeColor="text1"/>
        </w:rPr>
        <w:t>Gipps, C. and Tunstall, P. (1996) ‘</w:t>
      </w:r>
      <w:r w:rsidRPr="0027692C">
        <w:rPr>
          <w:rFonts w:ascii="Times New Roman" w:hAnsi="Times New Roman" w:cs="Times New Roman"/>
          <w:color w:val="000000" w:themeColor="text1"/>
        </w:rPr>
        <w:t>Teacher Feedback to Young Children in Formative Assessment: A Typology</w:t>
      </w:r>
      <w:r w:rsidRPr="0027692C">
        <w:rPr>
          <w:rFonts w:ascii="Times New Roman" w:hAnsi="Times New Roman" w:cs="Times New Roman"/>
          <w:color w:val="000000" w:themeColor="text1"/>
        </w:rPr>
        <w:t xml:space="preserve">’. </w:t>
      </w:r>
      <w:r w:rsidRPr="0027692C">
        <w:rPr>
          <w:rFonts w:ascii="Times New Roman" w:hAnsi="Times New Roman" w:cs="Times New Roman"/>
          <w:i/>
          <w:iCs/>
          <w:color w:val="000000" w:themeColor="text1"/>
        </w:rPr>
        <w:t>British Educational Research Journal.</w:t>
      </w:r>
      <w:r w:rsidRPr="0027692C">
        <w:rPr>
          <w:rFonts w:ascii="Times New Roman" w:hAnsi="Times New Roman" w:cs="Times New Roman"/>
          <w:color w:val="000000" w:themeColor="text1"/>
        </w:rPr>
        <w:t xml:space="preserve"> 22(4), pp. 389 – 404. Available at: </w:t>
      </w:r>
      <w:hyperlink r:id="rId34" w:history="1">
        <w:r w:rsidRPr="0027692C">
          <w:rPr>
            <w:rStyle w:val="Hyperlink"/>
            <w:rFonts w:ascii="Times New Roman" w:hAnsi="Times New Roman" w:cs="Times New Roman"/>
          </w:rPr>
          <w:t>https://www.jstor.org/stable/1501722</w:t>
        </w:r>
      </w:hyperlink>
      <w:r w:rsidRPr="0027692C">
        <w:rPr>
          <w:rFonts w:ascii="Times New Roman" w:hAnsi="Times New Roman" w:cs="Times New Roman"/>
          <w:color w:val="000000" w:themeColor="text1"/>
        </w:rPr>
        <w:t xml:space="preserve"> (Accessed: 23 December 2023)</w:t>
      </w:r>
    </w:p>
    <w:p w14:paraId="31AD9611" w14:textId="77777777" w:rsidR="00764D05" w:rsidRPr="0027692C" w:rsidRDefault="00764D05" w:rsidP="00315BCD">
      <w:pPr>
        <w:rPr>
          <w:rFonts w:ascii="Times New Roman" w:hAnsi="Times New Roman" w:cs="Times New Roman"/>
          <w:color w:val="000000" w:themeColor="text1"/>
        </w:rPr>
      </w:pPr>
      <w:r w:rsidRPr="0027692C">
        <w:rPr>
          <w:rFonts w:ascii="Times New Roman" w:hAnsi="Times New Roman" w:cs="Times New Roman"/>
          <w:color w:val="000000" w:themeColor="text1"/>
        </w:rPr>
        <w:t xml:space="preserve">Grigg, R. (2015) </w:t>
      </w:r>
      <w:r w:rsidRPr="0027692C">
        <w:rPr>
          <w:rFonts w:ascii="Times New Roman" w:hAnsi="Times New Roman" w:cs="Times New Roman"/>
          <w:i/>
          <w:iCs/>
          <w:color w:val="000000" w:themeColor="text1"/>
        </w:rPr>
        <w:t>Becoming and outstanding primary school teacher.</w:t>
      </w:r>
      <w:r w:rsidRPr="0027692C">
        <w:rPr>
          <w:rFonts w:ascii="Times New Roman" w:hAnsi="Times New Roman" w:cs="Times New Roman"/>
          <w:color w:val="000000" w:themeColor="text1"/>
        </w:rPr>
        <w:t xml:space="preserve"> 2</w:t>
      </w:r>
      <w:r w:rsidRPr="0027692C">
        <w:rPr>
          <w:rFonts w:ascii="Times New Roman" w:hAnsi="Times New Roman" w:cs="Times New Roman"/>
          <w:color w:val="000000" w:themeColor="text1"/>
          <w:vertAlign w:val="superscript"/>
        </w:rPr>
        <w:t>nd</w:t>
      </w:r>
      <w:r w:rsidRPr="0027692C">
        <w:rPr>
          <w:rFonts w:ascii="Times New Roman" w:hAnsi="Times New Roman" w:cs="Times New Roman"/>
          <w:color w:val="000000" w:themeColor="text1"/>
        </w:rPr>
        <w:t xml:space="preserve"> </w:t>
      </w:r>
      <w:proofErr w:type="spellStart"/>
      <w:r w:rsidRPr="0027692C">
        <w:rPr>
          <w:rFonts w:ascii="Times New Roman" w:hAnsi="Times New Roman" w:cs="Times New Roman"/>
          <w:color w:val="000000" w:themeColor="text1"/>
        </w:rPr>
        <w:t>edn</w:t>
      </w:r>
      <w:proofErr w:type="spellEnd"/>
      <w:r w:rsidRPr="0027692C">
        <w:rPr>
          <w:rFonts w:ascii="Times New Roman" w:hAnsi="Times New Roman" w:cs="Times New Roman"/>
          <w:color w:val="000000" w:themeColor="text1"/>
        </w:rPr>
        <w:t xml:space="preserve">. Oxon: Routledge. </w:t>
      </w:r>
    </w:p>
    <w:p w14:paraId="6B62C810" w14:textId="77777777" w:rsidR="00764D05" w:rsidRPr="0027692C" w:rsidRDefault="00764D05">
      <w:pPr>
        <w:rPr>
          <w:rFonts w:ascii="Times New Roman" w:hAnsi="Times New Roman" w:cs="Times New Roman"/>
        </w:rPr>
      </w:pPr>
      <w:r w:rsidRPr="0027692C">
        <w:rPr>
          <w:rFonts w:ascii="Times New Roman" w:hAnsi="Times New Roman" w:cs="Times New Roman"/>
        </w:rPr>
        <w:lastRenderedPageBreak/>
        <w:t xml:space="preserve">Hattie, J and Clarke, S (2018) </w:t>
      </w:r>
      <w:r w:rsidRPr="0027692C">
        <w:rPr>
          <w:rFonts w:ascii="Times New Roman" w:hAnsi="Times New Roman" w:cs="Times New Roman"/>
          <w:i/>
          <w:iCs/>
        </w:rPr>
        <w:t xml:space="preserve">Visible Learning: Feedback. </w:t>
      </w:r>
      <w:r w:rsidRPr="0027692C">
        <w:rPr>
          <w:rFonts w:ascii="Times New Roman" w:hAnsi="Times New Roman" w:cs="Times New Roman"/>
        </w:rPr>
        <w:t>1</w:t>
      </w:r>
      <w:r w:rsidRPr="0027692C">
        <w:rPr>
          <w:rFonts w:ascii="Times New Roman" w:hAnsi="Times New Roman" w:cs="Times New Roman"/>
          <w:vertAlign w:val="superscript"/>
        </w:rPr>
        <w:t>st</w:t>
      </w:r>
      <w:r w:rsidRPr="0027692C">
        <w:rPr>
          <w:rFonts w:ascii="Times New Roman" w:hAnsi="Times New Roman" w:cs="Times New Roman"/>
        </w:rPr>
        <w:t xml:space="preserve"> </w:t>
      </w:r>
      <w:proofErr w:type="spellStart"/>
      <w:r w:rsidRPr="0027692C">
        <w:rPr>
          <w:rFonts w:ascii="Times New Roman" w:hAnsi="Times New Roman" w:cs="Times New Roman"/>
        </w:rPr>
        <w:t>edn</w:t>
      </w:r>
      <w:proofErr w:type="spellEnd"/>
      <w:r w:rsidRPr="0027692C">
        <w:rPr>
          <w:rFonts w:ascii="Times New Roman" w:hAnsi="Times New Roman" w:cs="Times New Roman"/>
        </w:rPr>
        <w:t xml:space="preserve">. Oxon: Routledge. </w:t>
      </w:r>
    </w:p>
    <w:p w14:paraId="47A20F5D" w14:textId="77777777" w:rsidR="00764D05" w:rsidRPr="0027692C" w:rsidRDefault="00764D05">
      <w:pPr>
        <w:rPr>
          <w:rFonts w:ascii="Times New Roman" w:hAnsi="Times New Roman" w:cs="Times New Roman"/>
        </w:rPr>
      </w:pPr>
      <w:r w:rsidRPr="0027692C">
        <w:rPr>
          <w:rFonts w:ascii="Times New Roman" w:hAnsi="Times New Roman" w:cs="Times New Roman"/>
        </w:rPr>
        <w:t>Hattie, J</w:t>
      </w:r>
      <w:r>
        <w:rPr>
          <w:rFonts w:ascii="Times New Roman" w:hAnsi="Times New Roman" w:cs="Times New Roman"/>
        </w:rPr>
        <w:t xml:space="preserve"> and Timperley, H. </w:t>
      </w:r>
      <w:r w:rsidRPr="0027692C">
        <w:rPr>
          <w:rFonts w:ascii="Times New Roman" w:hAnsi="Times New Roman" w:cs="Times New Roman"/>
        </w:rPr>
        <w:t xml:space="preserve">(2007) ‘The Power of Feedback’. </w:t>
      </w:r>
      <w:r w:rsidRPr="0027692C">
        <w:rPr>
          <w:rFonts w:ascii="Times New Roman" w:hAnsi="Times New Roman" w:cs="Times New Roman"/>
          <w:i/>
          <w:iCs/>
        </w:rPr>
        <w:t>Review of Educational Research,</w:t>
      </w:r>
      <w:r w:rsidRPr="0027692C">
        <w:rPr>
          <w:rFonts w:ascii="Times New Roman" w:hAnsi="Times New Roman" w:cs="Times New Roman"/>
        </w:rPr>
        <w:t xml:space="preserve"> 77(1), pp. 81 – 112. DOI:</w:t>
      </w:r>
      <w:r w:rsidRPr="0027692C">
        <w:rPr>
          <w:rFonts w:ascii="Times New Roman" w:hAnsi="Times New Roman" w:cs="Times New Roman"/>
          <w:color w:val="333333"/>
          <w:shd w:val="clear" w:color="auto" w:fill="FFFFFF"/>
        </w:rPr>
        <w:t xml:space="preserve"> </w:t>
      </w:r>
      <w:hyperlink r:id="rId35" w:history="1">
        <w:r w:rsidRPr="0027692C">
          <w:rPr>
            <w:rStyle w:val="Hyperlink"/>
            <w:rFonts w:ascii="Times New Roman" w:hAnsi="Times New Roman" w:cs="Times New Roman"/>
            <w:color w:val="auto"/>
            <w:u w:val="none"/>
            <w:shd w:val="clear" w:color="auto" w:fill="FFFFFF"/>
          </w:rPr>
          <w:t>10.3102/003465430298</w:t>
        </w:r>
      </w:hyperlink>
      <w:r w:rsidRPr="0027692C">
        <w:rPr>
          <w:rFonts w:ascii="Times New Roman" w:hAnsi="Times New Roman" w:cs="Times New Roman"/>
        </w:rPr>
        <w:t>487. (Accessed: 20 December 2023)</w:t>
      </w:r>
    </w:p>
    <w:p w14:paraId="025CD3EC" w14:textId="77777777" w:rsidR="00764D05" w:rsidRPr="002948F0" w:rsidRDefault="00764D05" w:rsidP="00F240D4">
      <w:pPr>
        <w:pStyle w:val="dx-doi"/>
        <w:spacing w:after="0"/>
        <w:rPr>
          <w:sz w:val="22"/>
          <w:szCs w:val="22"/>
        </w:rPr>
      </w:pPr>
      <w:r w:rsidRPr="002948F0">
        <w:rPr>
          <w:sz w:val="22"/>
          <w:szCs w:val="22"/>
        </w:rPr>
        <w:t xml:space="preserve">Hopkins, D. (2013) The powerful learning framework. Available at: </w:t>
      </w:r>
      <w:hyperlink r:id="rId36" w:history="1">
        <w:r w:rsidRPr="002948F0">
          <w:rPr>
            <w:rStyle w:val="Hyperlink"/>
            <w:sz w:val="22"/>
            <w:szCs w:val="22"/>
          </w:rPr>
          <w:t>https://profdavidhopkins.com/assets/docs/The%20Powerful%20Learning%20Framework%20PDT.pdf</w:t>
        </w:r>
      </w:hyperlink>
      <w:r w:rsidRPr="002948F0">
        <w:rPr>
          <w:sz w:val="22"/>
          <w:szCs w:val="22"/>
        </w:rPr>
        <w:t xml:space="preserve"> (Accessed: 5 January 2024)</w:t>
      </w:r>
    </w:p>
    <w:p w14:paraId="6C60D0CF" w14:textId="77777777" w:rsidR="00764D05" w:rsidRDefault="00764D05" w:rsidP="002948F0">
      <w:pPr>
        <w:pStyle w:val="dx-doi"/>
        <w:spacing w:after="0"/>
        <w:rPr>
          <w:sz w:val="22"/>
          <w:szCs w:val="22"/>
        </w:rPr>
      </w:pPr>
      <w:proofErr w:type="spellStart"/>
      <w:r w:rsidRPr="002948F0">
        <w:rPr>
          <w:color w:val="000000" w:themeColor="text1"/>
          <w:sz w:val="22"/>
          <w:szCs w:val="22"/>
        </w:rPr>
        <w:t>Kivunja</w:t>
      </w:r>
      <w:proofErr w:type="spellEnd"/>
      <w:r w:rsidRPr="002948F0">
        <w:rPr>
          <w:color w:val="000000" w:themeColor="text1"/>
          <w:sz w:val="22"/>
          <w:szCs w:val="22"/>
        </w:rPr>
        <w:t>, C. (2015) ‘</w:t>
      </w:r>
      <w:r w:rsidRPr="002948F0">
        <w:rPr>
          <w:color w:val="000000" w:themeColor="text1"/>
          <w:sz w:val="22"/>
          <w:szCs w:val="22"/>
        </w:rPr>
        <w:t>Using De Bono’s Six Thinking Hats Model to</w:t>
      </w:r>
      <w:r w:rsidRPr="002948F0">
        <w:rPr>
          <w:color w:val="000000" w:themeColor="text1"/>
          <w:sz w:val="22"/>
          <w:szCs w:val="22"/>
        </w:rPr>
        <w:t xml:space="preserve"> </w:t>
      </w:r>
      <w:r w:rsidRPr="002948F0">
        <w:rPr>
          <w:color w:val="000000" w:themeColor="text1"/>
          <w:sz w:val="22"/>
          <w:szCs w:val="22"/>
        </w:rPr>
        <w:t>Teach Critical Thinking and Problem Solving</w:t>
      </w:r>
      <w:r w:rsidRPr="002948F0">
        <w:rPr>
          <w:color w:val="000000" w:themeColor="text1"/>
          <w:sz w:val="22"/>
          <w:szCs w:val="22"/>
        </w:rPr>
        <w:t xml:space="preserve"> </w:t>
      </w:r>
      <w:r w:rsidRPr="002948F0">
        <w:rPr>
          <w:color w:val="000000" w:themeColor="text1"/>
          <w:sz w:val="22"/>
          <w:szCs w:val="22"/>
        </w:rPr>
        <w:t>Skills Essential for Success in the 21</w:t>
      </w:r>
      <w:r w:rsidRPr="002948F0">
        <w:rPr>
          <w:color w:val="000000" w:themeColor="text1"/>
          <w:sz w:val="22"/>
          <w:szCs w:val="22"/>
          <w:vertAlign w:val="superscript"/>
        </w:rPr>
        <w:t>st</w:t>
      </w:r>
      <w:r w:rsidRPr="002948F0">
        <w:rPr>
          <w:color w:val="000000" w:themeColor="text1"/>
          <w:sz w:val="22"/>
          <w:szCs w:val="22"/>
        </w:rPr>
        <w:t xml:space="preserve"> </w:t>
      </w:r>
      <w:r w:rsidRPr="002948F0">
        <w:rPr>
          <w:color w:val="000000" w:themeColor="text1"/>
          <w:sz w:val="22"/>
          <w:szCs w:val="22"/>
        </w:rPr>
        <w:t>Century Economy</w:t>
      </w:r>
      <w:r w:rsidRPr="002948F0">
        <w:rPr>
          <w:color w:val="000000" w:themeColor="text1"/>
          <w:sz w:val="22"/>
          <w:szCs w:val="22"/>
        </w:rPr>
        <w:t xml:space="preserve">’. </w:t>
      </w:r>
      <w:r w:rsidRPr="002948F0">
        <w:rPr>
          <w:i/>
          <w:iCs/>
          <w:sz w:val="22"/>
          <w:szCs w:val="22"/>
        </w:rPr>
        <w:t>Creative Education</w:t>
      </w:r>
      <w:r w:rsidRPr="002948F0">
        <w:rPr>
          <w:i/>
          <w:iCs/>
          <w:sz w:val="22"/>
          <w:szCs w:val="22"/>
        </w:rPr>
        <w:t xml:space="preserve">. </w:t>
      </w:r>
      <w:r w:rsidRPr="002948F0">
        <w:rPr>
          <w:sz w:val="22"/>
          <w:szCs w:val="22"/>
        </w:rPr>
        <w:t xml:space="preserve">6(3), pp. </w:t>
      </w:r>
      <w:r w:rsidRPr="002948F0">
        <w:rPr>
          <w:sz w:val="22"/>
          <w:szCs w:val="22"/>
        </w:rPr>
        <w:t>380-391</w:t>
      </w:r>
      <w:r w:rsidRPr="002948F0">
        <w:rPr>
          <w:sz w:val="22"/>
          <w:szCs w:val="22"/>
        </w:rPr>
        <w:t xml:space="preserve">. DOI: </w:t>
      </w:r>
      <w:r w:rsidRPr="002948F0">
        <w:rPr>
          <w:sz w:val="22"/>
          <w:szCs w:val="22"/>
        </w:rPr>
        <w:t xml:space="preserve">10.4236/ce.2015.63037  </w:t>
      </w:r>
    </w:p>
    <w:p w14:paraId="59378165" w14:textId="77777777" w:rsidR="00764D05" w:rsidRPr="002948F0" w:rsidRDefault="00764D05" w:rsidP="00CA4081">
      <w:pPr>
        <w:pStyle w:val="dx-doi"/>
        <w:spacing w:before="0" w:after="0"/>
        <w:rPr>
          <w:color w:val="000000" w:themeColor="text1"/>
          <w:sz w:val="22"/>
          <w:szCs w:val="22"/>
        </w:rPr>
      </w:pPr>
      <w:r w:rsidRPr="002948F0">
        <w:rPr>
          <w:color w:val="000000" w:themeColor="text1"/>
          <w:sz w:val="22"/>
          <w:szCs w:val="22"/>
        </w:rPr>
        <w:t xml:space="preserve">Lloyd, K. (2021) </w:t>
      </w:r>
      <w:r w:rsidRPr="002948F0">
        <w:rPr>
          <w:i/>
          <w:iCs/>
          <w:color w:val="000000" w:themeColor="text1"/>
          <w:sz w:val="22"/>
          <w:szCs w:val="22"/>
        </w:rPr>
        <w:t>Achieving policy excellence with Austin's Butterfly</w:t>
      </w:r>
      <w:r w:rsidRPr="002948F0">
        <w:rPr>
          <w:i/>
          <w:iCs/>
          <w:color w:val="000000" w:themeColor="text1"/>
          <w:sz w:val="22"/>
          <w:szCs w:val="22"/>
        </w:rPr>
        <w:t>.</w:t>
      </w:r>
      <w:r w:rsidRPr="002948F0">
        <w:rPr>
          <w:color w:val="000000" w:themeColor="text1"/>
          <w:sz w:val="22"/>
          <w:szCs w:val="22"/>
        </w:rPr>
        <w:t xml:space="preserve"> Available at: </w:t>
      </w:r>
      <w:hyperlink r:id="rId37" w:history="1">
        <w:r w:rsidRPr="002948F0">
          <w:rPr>
            <w:rStyle w:val="Hyperlink"/>
            <w:sz w:val="22"/>
            <w:szCs w:val="22"/>
          </w:rPr>
          <w:t>https://publicpolicydesign.blog.gov.uk/2021/10/14/achieving-policy-excellence-with-austins-butterfly/</w:t>
        </w:r>
      </w:hyperlink>
      <w:r w:rsidRPr="002948F0">
        <w:rPr>
          <w:color w:val="000000" w:themeColor="text1"/>
          <w:sz w:val="22"/>
          <w:szCs w:val="22"/>
        </w:rPr>
        <w:t xml:space="preserve"> (Accessed: 3 January 2024)</w:t>
      </w:r>
    </w:p>
    <w:p w14:paraId="416BE49F" w14:textId="77777777" w:rsidR="00764D05" w:rsidRDefault="00764D05" w:rsidP="00315BCD">
      <w:pPr>
        <w:rPr>
          <w:rFonts w:ascii="Times New Roman" w:hAnsi="Times New Roman" w:cs="Times New Roman"/>
          <w:color w:val="000000" w:themeColor="text1"/>
        </w:rPr>
      </w:pPr>
      <w:proofErr w:type="spellStart"/>
      <w:r>
        <w:rPr>
          <w:rFonts w:ascii="Times New Roman" w:hAnsi="Times New Roman" w:cs="Times New Roman"/>
          <w:color w:val="000000" w:themeColor="text1"/>
        </w:rPr>
        <w:t>MacBlain</w:t>
      </w:r>
      <w:proofErr w:type="spellEnd"/>
      <w:r>
        <w:rPr>
          <w:rFonts w:ascii="Times New Roman" w:hAnsi="Times New Roman" w:cs="Times New Roman"/>
          <w:color w:val="000000" w:themeColor="text1"/>
        </w:rPr>
        <w:t xml:space="preserve">, S. (2014) </w:t>
      </w:r>
      <w:r w:rsidRPr="001B47A4">
        <w:rPr>
          <w:rFonts w:ascii="Times New Roman" w:hAnsi="Times New Roman" w:cs="Times New Roman"/>
          <w:i/>
          <w:iCs/>
          <w:color w:val="000000" w:themeColor="text1"/>
        </w:rPr>
        <w:t>How Children Learn</w:t>
      </w:r>
      <w:r>
        <w:rPr>
          <w:rFonts w:ascii="Times New Roman" w:hAnsi="Times New Roman" w:cs="Times New Roman"/>
          <w:color w:val="000000" w:themeColor="text1"/>
        </w:rPr>
        <w:t>. 1</w:t>
      </w:r>
      <w:r w:rsidRPr="005D0DAE">
        <w:rPr>
          <w:rFonts w:ascii="Times New Roman" w:hAnsi="Times New Roman" w:cs="Times New Roman"/>
          <w:color w:val="000000" w:themeColor="text1"/>
          <w:vertAlign w:val="superscript"/>
        </w:rPr>
        <w:t>st</w:t>
      </w:r>
      <w:r>
        <w:rPr>
          <w:rFonts w:ascii="Times New Roman" w:hAnsi="Times New Roman" w:cs="Times New Roman"/>
          <w:color w:val="000000" w:themeColor="text1"/>
        </w:rPr>
        <w:t xml:space="preserve"> </w:t>
      </w:r>
      <w:proofErr w:type="spellStart"/>
      <w:r>
        <w:rPr>
          <w:rFonts w:ascii="Times New Roman" w:hAnsi="Times New Roman" w:cs="Times New Roman"/>
          <w:color w:val="000000" w:themeColor="text1"/>
        </w:rPr>
        <w:t>edn</w:t>
      </w:r>
      <w:proofErr w:type="spellEnd"/>
      <w:r>
        <w:rPr>
          <w:rFonts w:ascii="Times New Roman" w:hAnsi="Times New Roman" w:cs="Times New Roman"/>
          <w:color w:val="000000" w:themeColor="text1"/>
        </w:rPr>
        <w:t xml:space="preserve">. UK: Sage Publications. </w:t>
      </w:r>
    </w:p>
    <w:p w14:paraId="632E74F0" w14:textId="77777777" w:rsidR="00764D05" w:rsidRPr="0027692C" w:rsidRDefault="00764D05" w:rsidP="00A85539">
      <w:pPr>
        <w:rPr>
          <w:rFonts w:ascii="Times New Roman" w:hAnsi="Times New Roman" w:cs="Times New Roman"/>
          <w:color w:val="000000" w:themeColor="text1"/>
        </w:rPr>
      </w:pPr>
      <w:r w:rsidRPr="0027692C">
        <w:rPr>
          <w:rFonts w:ascii="Times New Roman" w:hAnsi="Times New Roman" w:cs="Times New Roman"/>
        </w:rPr>
        <w:t xml:space="preserve">Mulcare, D. and </w:t>
      </w:r>
      <w:proofErr w:type="spellStart"/>
      <w:r w:rsidRPr="0027692C">
        <w:rPr>
          <w:rFonts w:ascii="Times New Roman" w:hAnsi="Times New Roman" w:cs="Times New Roman"/>
        </w:rPr>
        <w:t>Shwedel</w:t>
      </w:r>
      <w:proofErr w:type="spellEnd"/>
      <w:r w:rsidRPr="0027692C">
        <w:rPr>
          <w:rFonts w:ascii="Times New Roman" w:hAnsi="Times New Roman" w:cs="Times New Roman"/>
        </w:rPr>
        <w:t>, A. (2017) ‘</w:t>
      </w:r>
      <w:r w:rsidRPr="0027692C">
        <w:rPr>
          <w:rFonts w:ascii="Times New Roman" w:hAnsi="Times New Roman" w:cs="Times New Roman"/>
        </w:rPr>
        <w:t>Transforming Bloom’s Taxonomy into Classroom Practice: A Practical Yet Comprehensive Approach to Promote Critical Reading and Student Participation</w:t>
      </w:r>
      <w:r w:rsidRPr="0027692C">
        <w:rPr>
          <w:rFonts w:ascii="Times New Roman" w:hAnsi="Times New Roman" w:cs="Times New Roman"/>
        </w:rPr>
        <w:t xml:space="preserve">’. </w:t>
      </w:r>
      <w:r w:rsidRPr="0027692C">
        <w:rPr>
          <w:rFonts w:ascii="Times New Roman" w:hAnsi="Times New Roman" w:cs="Times New Roman"/>
          <w:i/>
          <w:iCs/>
        </w:rPr>
        <w:t>Journal of Political Science Education.</w:t>
      </w:r>
      <w:r w:rsidRPr="0027692C">
        <w:rPr>
          <w:rFonts w:ascii="Times New Roman" w:hAnsi="Times New Roman" w:cs="Times New Roman"/>
        </w:rPr>
        <w:t xml:space="preserve"> 13(2), pp. 121 – 137. DOI: </w:t>
      </w:r>
      <w:hyperlink r:id="rId38" w:history="1">
        <w:r w:rsidRPr="0027692C">
          <w:rPr>
            <w:rStyle w:val="Hyperlink"/>
            <w:rFonts w:ascii="Times New Roman" w:hAnsi="Times New Roman" w:cs="Times New Roman"/>
            <w:color w:val="000000" w:themeColor="text1"/>
            <w:u w:val="none"/>
          </w:rPr>
          <w:t>10.1080/15512169.2016.1211017</w:t>
        </w:r>
      </w:hyperlink>
    </w:p>
    <w:p w14:paraId="0848F87A" w14:textId="77777777" w:rsidR="00764D05" w:rsidRDefault="00764D05" w:rsidP="00315BCD">
      <w:pPr>
        <w:rPr>
          <w:rFonts w:ascii="Times New Roman" w:hAnsi="Times New Roman" w:cs="Times New Roman"/>
          <w:color w:val="000000" w:themeColor="text1"/>
        </w:rPr>
      </w:pPr>
      <w:r>
        <w:rPr>
          <w:rFonts w:ascii="Times New Roman" w:hAnsi="Times New Roman" w:cs="Times New Roman"/>
          <w:color w:val="000000" w:themeColor="text1"/>
        </w:rPr>
        <w:t xml:space="preserve">Nuthall, G. (2007) </w:t>
      </w:r>
      <w:r w:rsidRPr="00CA70A0">
        <w:rPr>
          <w:rFonts w:ascii="Times New Roman" w:hAnsi="Times New Roman" w:cs="Times New Roman"/>
          <w:i/>
          <w:iCs/>
          <w:color w:val="000000" w:themeColor="text1"/>
        </w:rPr>
        <w:t>The Hidden Lives of Learners</w:t>
      </w:r>
      <w:r>
        <w:rPr>
          <w:rFonts w:ascii="Times New Roman" w:hAnsi="Times New Roman" w:cs="Times New Roman"/>
          <w:color w:val="000000" w:themeColor="text1"/>
        </w:rPr>
        <w:t>. Wellington: NZCER Press.</w:t>
      </w:r>
    </w:p>
    <w:p w14:paraId="72711943" w14:textId="77777777" w:rsidR="00764D05" w:rsidRPr="002948F0" w:rsidRDefault="00764D05" w:rsidP="00CA4081">
      <w:pPr>
        <w:pStyle w:val="dx-doi"/>
        <w:spacing w:before="0" w:after="0"/>
        <w:rPr>
          <w:sz w:val="22"/>
          <w:szCs w:val="22"/>
        </w:rPr>
      </w:pPr>
      <w:r w:rsidRPr="002948F0">
        <w:rPr>
          <w:sz w:val="22"/>
          <w:szCs w:val="22"/>
        </w:rPr>
        <w:t>OECD (2020)</w:t>
      </w:r>
      <w:r w:rsidRPr="002948F0">
        <w:rPr>
          <w:sz w:val="22"/>
          <w:szCs w:val="22"/>
        </w:rPr>
        <w:t xml:space="preserve"> </w:t>
      </w:r>
      <w:r w:rsidRPr="002948F0">
        <w:rPr>
          <w:i/>
          <w:iCs/>
          <w:sz w:val="22"/>
          <w:szCs w:val="22"/>
        </w:rPr>
        <w:t>Curriculum Overload: A Way Forward</w:t>
      </w:r>
      <w:r w:rsidRPr="002948F0">
        <w:rPr>
          <w:sz w:val="22"/>
          <w:szCs w:val="22"/>
        </w:rPr>
        <w:t xml:space="preserve">. Available at: </w:t>
      </w:r>
      <w:hyperlink r:id="rId39" w:history="1">
        <w:r w:rsidRPr="002948F0">
          <w:rPr>
            <w:rStyle w:val="Hyperlink"/>
            <w:sz w:val="22"/>
            <w:szCs w:val="22"/>
          </w:rPr>
          <w:t>https://adiscuola.it/assets/uploads/2021/08/CURRICULUM-OVERLOAD-EN.pdf</w:t>
        </w:r>
      </w:hyperlink>
      <w:r w:rsidRPr="002948F0">
        <w:rPr>
          <w:sz w:val="22"/>
          <w:szCs w:val="22"/>
        </w:rPr>
        <w:t xml:space="preserve"> (Accessed: 3 January 2024)</w:t>
      </w:r>
    </w:p>
    <w:p w14:paraId="77E32156" w14:textId="77777777" w:rsidR="00764D05" w:rsidRPr="0027692C" w:rsidRDefault="00764D05" w:rsidP="00A85539">
      <w:pPr>
        <w:rPr>
          <w:rFonts w:ascii="Times New Roman" w:hAnsi="Times New Roman" w:cs="Times New Roman"/>
          <w:color w:val="000000" w:themeColor="text1"/>
        </w:rPr>
      </w:pPr>
      <w:r w:rsidRPr="0027692C">
        <w:rPr>
          <w:rFonts w:ascii="Times New Roman" w:hAnsi="Times New Roman" w:cs="Times New Roman"/>
          <w:color w:val="000000" w:themeColor="text1"/>
        </w:rPr>
        <w:t xml:space="preserve">Pollard, A. (2014) </w:t>
      </w:r>
      <w:r w:rsidRPr="00195A8A">
        <w:rPr>
          <w:rFonts w:ascii="Times New Roman" w:hAnsi="Times New Roman" w:cs="Times New Roman"/>
          <w:i/>
          <w:iCs/>
          <w:color w:val="000000" w:themeColor="text1"/>
        </w:rPr>
        <w:t>Reflective Teaching in Schools</w:t>
      </w:r>
      <w:r w:rsidRPr="0027692C">
        <w:rPr>
          <w:rFonts w:ascii="Times New Roman" w:hAnsi="Times New Roman" w:cs="Times New Roman"/>
          <w:color w:val="000000" w:themeColor="text1"/>
        </w:rPr>
        <w:t xml:space="preserve">. 4th </w:t>
      </w:r>
      <w:proofErr w:type="spellStart"/>
      <w:r w:rsidRPr="0027692C">
        <w:rPr>
          <w:rFonts w:ascii="Times New Roman" w:hAnsi="Times New Roman" w:cs="Times New Roman"/>
          <w:color w:val="000000" w:themeColor="text1"/>
        </w:rPr>
        <w:t>edn</w:t>
      </w:r>
      <w:proofErr w:type="spellEnd"/>
      <w:r w:rsidRPr="0027692C">
        <w:rPr>
          <w:rFonts w:ascii="Times New Roman" w:hAnsi="Times New Roman" w:cs="Times New Roman"/>
          <w:color w:val="000000" w:themeColor="text1"/>
        </w:rPr>
        <w:t xml:space="preserve">. London: Bloomsbury Publishing. </w:t>
      </w:r>
    </w:p>
    <w:p w14:paraId="5F82E623" w14:textId="77777777" w:rsidR="00764D05" w:rsidRPr="00714727" w:rsidRDefault="00764D05" w:rsidP="00315BCD">
      <w:pPr>
        <w:rPr>
          <w:rFonts w:ascii="Times New Roman" w:hAnsi="Times New Roman" w:cs="Times New Roman"/>
          <w:color w:val="000000" w:themeColor="text1"/>
        </w:rPr>
      </w:pPr>
      <w:r w:rsidRPr="00714727">
        <w:rPr>
          <w:rFonts w:ascii="Times New Roman" w:hAnsi="Times New Roman" w:cs="Times New Roman"/>
          <w:color w:val="000000" w:themeColor="text1"/>
          <w:lang w:val="fr-FR"/>
        </w:rPr>
        <w:t xml:space="preserve">Pollard, A. et al. </w:t>
      </w:r>
      <w:r w:rsidRPr="00714727">
        <w:rPr>
          <w:rFonts w:ascii="Times New Roman" w:hAnsi="Times New Roman" w:cs="Times New Roman"/>
          <w:color w:val="000000" w:themeColor="text1"/>
        </w:rPr>
        <w:t xml:space="preserve">(2008) </w:t>
      </w:r>
      <w:r w:rsidRPr="00714727">
        <w:rPr>
          <w:rFonts w:ascii="Times New Roman" w:hAnsi="Times New Roman" w:cs="Times New Roman"/>
          <w:i/>
          <w:iCs/>
          <w:color w:val="000000" w:themeColor="text1"/>
        </w:rPr>
        <w:t>Reflective teaching</w:t>
      </w:r>
      <w:r w:rsidRPr="00714727">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London: Continuum International Publishing Group. </w:t>
      </w:r>
    </w:p>
    <w:p w14:paraId="3BC3BD55" w14:textId="77777777" w:rsidR="00764D05" w:rsidRPr="002948F0" w:rsidRDefault="00764D05" w:rsidP="00315BCD">
      <w:pPr>
        <w:rPr>
          <w:rFonts w:ascii="Times New Roman" w:hAnsi="Times New Roman" w:cs="Times New Roman"/>
          <w:color w:val="000000" w:themeColor="text1"/>
        </w:rPr>
      </w:pPr>
      <w:r w:rsidRPr="002948F0">
        <w:rPr>
          <w:rFonts w:ascii="Times New Roman" w:hAnsi="Times New Roman" w:cs="Times New Roman"/>
          <w:color w:val="000000" w:themeColor="text1"/>
        </w:rPr>
        <w:t xml:space="preserve">Pound, L. (2005) </w:t>
      </w:r>
      <w:r w:rsidRPr="002948F0">
        <w:rPr>
          <w:rFonts w:ascii="Times New Roman" w:hAnsi="Times New Roman" w:cs="Times New Roman"/>
          <w:i/>
          <w:iCs/>
          <w:color w:val="000000" w:themeColor="text1"/>
        </w:rPr>
        <w:t>How children learn</w:t>
      </w:r>
      <w:r w:rsidRPr="002948F0">
        <w:rPr>
          <w:rFonts w:ascii="Times New Roman" w:hAnsi="Times New Roman" w:cs="Times New Roman"/>
          <w:color w:val="000000" w:themeColor="text1"/>
        </w:rPr>
        <w:t>. 1</w:t>
      </w:r>
      <w:r w:rsidRPr="002948F0">
        <w:rPr>
          <w:rFonts w:ascii="Times New Roman" w:hAnsi="Times New Roman" w:cs="Times New Roman"/>
          <w:color w:val="000000" w:themeColor="text1"/>
          <w:vertAlign w:val="superscript"/>
        </w:rPr>
        <w:t>st</w:t>
      </w:r>
      <w:r w:rsidRPr="002948F0">
        <w:rPr>
          <w:rFonts w:ascii="Times New Roman" w:hAnsi="Times New Roman" w:cs="Times New Roman"/>
          <w:color w:val="000000" w:themeColor="text1"/>
        </w:rPr>
        <w:t xml:space="preserve"> </w:t>
      </w:r>
      <w:proofErr w:type="spellStart"/>
      <w:r w:rsidRPr="002948F0">
        <w:rPr>
          <w:rFonts w:ascii="Times New Roman" w:hAnsi="Times New Roman" w:cs="Times New Roman"/>
          <w:color w:val="000000" w:themeColor="text1"/>
        </w:rPr>
        <w:t>edn</w:t>
      </w:r>
      <w:proofErr w:type="spellEnd"/>
      <w:r w:rsidRPr="002948F0">
        <w:rPr>
          <w:rFonts w:ascii="Times New Roman" w:hAnsi="Times New Roman" w:cs="Times New Roman"/>
          <w:color w:val="000000" w:themeColor="text1"/>
        </w:rPr>
        <w:t>. London: Practical Pre-School Books.</w:t>
      </w:r>
    </w:p>
    <w:p w14:paraId="5F433FF1" w14:textId="77777777" w:rsidR="00764D05" w:rsidRPr="002948F0" w:rsidRDefault="00764D05" w:rsidP="00F240D4">
      <w:pPr>
        <w:pStyle w:val="dx-doi"/>
        <w:spacing w:after="0"/>
        <w:rPr>
          <w:sz w:val="22"/>
          <w:szCs w:val="22"/>
        </w:rPr>
      </w:pPr>
      <w:r w:rsidRPr="002948F0">
        <w:rPr>
          <w:sz w:val="22"/>
          <w:szCs w:val="22"/>
        </w:rPr>
        <w:t>Pugh, R. (2009) ‘</w:t>
      </w:r>
      <w:r w:rsidRPr="002948F0">
        <w:rPr>
          <w:sz w:val="22"/>
          <w:szCs w:val="22"/>
        </w:rPr>
        <w:t>Put your thinking hat on: How Edward de Bono's ideas are transforming schools</w:t>
      </w:r>
      <w:r w:rsidRPr="002948F0">
        <w:rPr>
          <w:sz w:val="22"/>
          <w:szCs w:val="22"/>
        </w:rPr>
        <w:t xml:space="preserve">’, </w:t>
      </w:r>
      <w:r w:rsidRPr="002948F0">
        <w:rPr>
          <w:i/>
          <w:iCs/>
          <w:sz w:val="22"/>
          <w:szCs w:val="22"/>
        </w:rPr>
        <w:t xml:space="preserve">The Independent, </w:t>
      </w:r>
      <w:r w:rsidRPr="002948F0">
        <w:rPr>
          <w:sz w:val="22"/>
          <w:szCs w:val="22"/>
        </w:rPr>
        <w:t>29</w:t>
      </w:r>
      <w:r w:rsidRPr="002948F0">
        <w:rPr>
          <w:sz w:val="22"/>
          <w:szCs w:val="22"/>
          <w:vertAlign w:val="superscript"/>
        </w:rPr>
        <w:t>th</w:t>
      </w:r>
      <w:r w:rsidRPr="002948F0">
        <w:rPr>
          <w:sz w:val="22"/>
          <w:szCs w:val="22"/>
        </w:rPr>
        <w:t xml:space="preserve"> January. </w:t>
      </w:r>
    </w:p>
    <w:p w14:paraId="31F8E721" w14:textId="77777777" w:rsidR="00764D05" w:rsidRPr="0027692C" w:rsidRDefault="00764D05">
      <w:pPr>
        <w:rPr>
          <w:rFonts w:ascii="Times New Roman" w:hAnsi="Times New Roman" w:cs="Times New Roman"/>
        </w:rPr>
      </w:pPr>
      <w:r w:rsidRPr="0027692C">
        <w:rPr>
          <w:rFonts w:ascii="Times New Roman" w:hAnsi="Times New Roman" w:cs="Times New Roman"/>
        </w:rPr>
        <w:t xml:space="preserve">Ramaprasad, A (1983) ‘On the definition of feedback’ </w:t>
      </w:r>
      <w:r w:rsidRPr="0027692C">
        <w:rPr>
          <w:rFonts w:ascii="Times New Roman" w:hAnsi="Times New Roman" w:cs="Times New Roman"/>
          <w:i/>
          <w:iCs/>
        </w:rPr>
        <w:t xml:space="preserve">Behavioural Science,  </w:t>
      </w:r>
      <w:r w:rsidRPr="0027692C">
        <w:rPr>
          <w:rFonts w:ascii="Times New Roman" w:hAnsi="Times New Roman" w:cs="Times New Roman"/>
        </w:rPr>
        <w:t>28(1), pp. 4 – 13. DOI:</w:t>
      </w:r>
      <w:r w:rsidRPr="0027692C">
        <w:rPr>
          <w:rFonts w:ascii="Times New Roman" w:hAnsi="Times New Roman" w:cs="Times New Roman"/>
          <w:i/>
          <w:iCs/>
        </w:rPr>
        <w:t xml:space="preserve"> </w:t>
      </w:r>
      <w:hyperlink r:id="rId40" w:tgtFrame="_blank" w:history="1">
        <w:r w:rsidRPr="0027692C">
          <w:rPr>
            <w:rStyle w:val="Hyperlink"/>
            <w:rFonts w:ascii="Times New Roman" w:hAnsi="Times New Roman" w:cs="Times New Roman"/>
            <w:color w:val="auto"/>
            <w:u w:val="none"/>
            <w:bdr w:val="none" w:sz="0" w:space="0" w:color="auto" w:frame="1"/>
            <w:shd w:val="clear" w:color="auto" w:fill="FFFFFF"/>
          </w:rPr>
          <w:t>10.1002/bs.3830280103</w:t>
        </w:r>
      </w:hyperlink>
      <w:r w:rsidRPr="0027692C">
        <w:t xml:space="preserve"> </w:t>
      </w:r>
      <w:r w:rsidRPr="0027692C">
        <w:rPr>
          <w:rFonts w:ascii="Times New Roman" w:hAnsi="Times New Roman" w:cs="Times New Roman"/>
        </w:rPr>
        <w:t>(Accessed: 20 December 2023)</w:t>
      </w:r>
    </w:p>
    <w:p w14:paraId="34C7AA04" w14:textId="77777777" w:rsidR="00764D05" w:rsidRDefault="00764D05" w:rsidP="00315BCD">
      <w:pPr>
        <w:rPr>
          <w:rFonts w:ascii="Times New Roman" w:hAnsi="Times New Roman" w:cs="Times New Roman"/>
          <w:color w:val="000000" w:themeColor="text1"/>
        </w:rPr>
      </w:pPr>
      <w:proofErr w:type="spellStart"/>
      <w:r w:rsidRPr="00B23964">
        <w:rPr>
          <w:rFonts w:ascii="Times New Roman" w:hAnsi="Times New Roman" w:cs="Times New Roman"/>
          <w:color w:val="000000" w:themeColor="text1"/>
        </w:rPr>
        <w:t>Ramolla</w:t>
      </w:r>
      <w:proofErr w:type="spellEnd"/>
      <w:r w:rsidRPr="00B23964">
        <w:rPr>
          <w:rFonts w:ascii="Times New Roman" w:hAnsi="Times New Roman" w:cs="Times New Roman"/>
          <w:color w:val="000000" w:themeColor="text1"/>
        </w:rPr>
        <w:t xml:space="preserve">, J.K. and </w:t>
      </w:r>
      <w:proofErr w:type="spellStart"/>
      <w:r w:rsidRPr="00B23964">
        <w:rPr>
          <w:rFonts w:ascii="Times New Roman" w:hAnsi="Times New Roman" w:cs="Times New Roman"/>
          <w:color w:val="000000" w:themeColor="text1"/>
        </w:rPr>
        <w:t>Kanjee</w:t>
      </w:r>
      <w:proofErr w:type="spellEnd"/>
      <w:r>
        <w:rPr>
          <w:rFonts w:ascii="Times New Roman" w:hAnsi="Times New Roman" w:cs="Times New Roman"/>
          <w:color w:val="000000" w:themeColor="text1"/>
        </w:rPr>
        <w:t xml:space="preserve">, A. (2023) ‘Supporting teachers to develop formative assessment knowledge and skills in no-fee schools’. </w:t>
      </w:r>
      <w:r w:rsidRPr="00B23964">
        <w:rPr>
          <w:rFonts w:ascii="Times New Roman" w:hAnsi="Times New Roman" w:cs="Times New Roman"/>
          <w:i/>
          <w:iCs/>
          <w:color w:val="000000" w:themeColor="text1"/>
        </w:rPr>
        <w:t>South African Journal of Childhood Education.</w:t>
      </w:r>
      <w:r>
        <w:rPr>
          <w:rFonts w:ascii="Times New Roman" w:hAnsi="Times New Roman" w:cs="Times New Roman"/>
          <w:color w:val="000000" w:themeColor="text1"/>
        </w:rPr>
        <w:t xml:space="preserve"> 13(1), pp. 1 – 11. DOI:</w:t>
      </w:r>
      <w:r w:rsidRPr="00B23964">
        <w:rPr>
          <w:rFonts w:ascii="Roboto" w:hAnsi="Roboto"/>
          <w:color w:val="555555"/>
          <w:sz w:val="21"/>
          <w:szCs w:val="21"/>
          <w:shd w:val="clear" w:color="auto" w:fill="FFFFFF"/>
        </w:rPr>
        <w:t xml:space="preserve"> </w:t>
      </w:r>
      <w:r w:rsidRPr="00B23964">
        <w:rPr>
          <w:rFonts w:ascii="Times New Roman" w:hAnsi="Times New Roman" w:cs="Times New Roman"/>
          <w:color w:val="000000" w:themeColor="text1"/>
        </w:rPr>
        <w:t>10.4102/sajce.v13i1.1247</w:t>
      </w:r>
    </w:p>
    <w:p w14:paraId="6AD22ACD" w14:textId="77777777" w:rsidR="00764D05" w:rsidRPr="002948F0" w:rsidRDefault="00764D05" w:rsidP="00CA4081">
      <w:pPr>
        <w:pStyle w:val="dx-doi"/>
        <w:spacing w:before="0" w:after="0"/>
        <w:rPr>
          <w:color w:val="000000" w:themeColor="text1"/>
          <w:sz w:val="22"/>
          <w:szCs w:val="22"/>
        </w:rPr>
      </w:pPr>
      <w:r w:rsidRPr="002948F0">
        <w:rPr>
          <w:color w:val="000000" w:themeColor="text1"/>
          <w:sz w:val="22"/>
          <w:szCs w:val="22"/>
        </w:rPr>
        <w:t xml:space="preserve">Riches, A. (2022) ‘Best Practice’, </w:t>
      </w:r>
      <w:r w:rsidRPr="002948F0">
        <w:rPr>
          <w:i/>
          <w:iCs/>
          <w:color w:val="000000" w:themeColor="text1"/>
          <w:sz w:val="22"/>
          <w:szCs w:val="22"/>
        </w:rPr>
        <w:t xml:space="preserve">Modelling and scaffolding in the classroom. </w:t>
      </w:r>
      <w:r w:rsidRPr="002948F0">
        <w:rPr>
          <w:color w:val="000000" w:themeColor="text1"/>
          <w:sz w:val="22"/>
          <w:szCs w:val="22"/>
        </w:rPr>
        <w:t xml:space="preserve">[blog] 29 June. Available at: </w:t>
      </w:r>
      <w:hyperlink r:id="rId41" w:history="1">
        <w:r w:rsidRPr="002948F0">
          <w:rPr>
            <w:rStyle w:val="Hyperlink"/>
            <w:sz w:val="22"/>
            <w:szCs w:val="22"/>
          </w:rPr>
          <w:t>https://www.sec-ed.co.uk/content/best-practice/modelling-and-scaffolding-in-the-classroom/#:~:text=One%20downside%20to%20live%20modelling,model%20for%20a%20response%20instead</w:t>
        </w:r>
      </w:hyperlink>
      <w:r w:rsidRPr="002948F0">
        <w:rPr>
          <w:color w:val="000000" w:themeColor="text1"/>
          <w:sz w:val="22"/>
          <w:szCs w:val="22"/>
        </w:rPr>
        <w:t>.</w:t>
      </w:r>
      <w:r w:rsidRPr="002948F0">
        <w:rPr>
          <w:color w:val="000000" w:themeColor="text1"/>
          <w:sz w:val="22"/>
          <w:szCs w:val="22"/>
        </w:rPr>
        <w:t xml:space="preserve"> (Accessed: 3 January 2024). </w:t>
      </w:r>
    </w:p>
    <w:p w14:paraId="1BC0E207" w14:textId="77777777" w:rsidR="00764D05" w:rsidRPr="002948F0" w:rsidRDefault="00764D05" w:rsidP="00315BCD">
      <w:pPr>
        <w:rPr>
          <w:rFonts w:ascii="Times New Roman" w:hAnsi="Times New Roman" w:cs="Times New Roman"/>
          <w:color w:val="000000" w:themeColor="text1"/>
        </w:rPr>
      </w:pPr>
      <w:r w:rsidRPr="002948F0">
        <w:rPr>
          <w:rFonts w:ascii="Times New Roman" w:hAnsi="Times New Roman" w:cs="Times New Roman"/>
          <w:color w:val="000000" w:themeColor="text1"/>
        </w:rPr>
        <w:t xml:space="preserve">Rogers, C. and Freiberg, J.H. (1983) </w:t>
      </w:r>
      <w:r w:rsidRPr="002948F0">
        <w:rPr>
          <w:rFonts w:ascii="Times New Roman" w:hAnsi="Times New Roman" w:cs="Times New Roman"/>
          <w:i/>
          <w:iCs/>
          <w:color w:val="000000" w:themeColor="text1"/>
        </w:rPr>
        <w:t>Freedom to Learn</w:t>
      </w:r>
      <w:r w:rsidRPr="002948F0">
        <w:rPr>
          <w:rFonts w:ascii="Times New Roman" w:hAnsi="Times New Roman" w:cs="Times New Roman"/>
          <w:color w:val="000000" w:themeColor="text1"/>
        </w:rPr>
        <w:t>. 3</w:t>
      </w:r>
      <w:r w:rsidRPr="002948F0">
        <w:rPr>
          <w:rFonts w:ascii="Times New Roman" w:hAnsi="Times New Roman" w:cs="Times New Roman"/>
          <w:color w:val="000000" w:themeColor="text1"/>
          <w:vertAlign w:val="superscript"/>
        </w:rPr>
        <w:t>rd</w:t>
      </w:r>
      <w:r w:rsidRPr="002948F0">
        <w:rPr>
          <w:rFonts w:ascii="Times New Roman" w:hAnsi="Times New Roman" w:cs="Times New Roman"/>
          <w:color w:val="000000" w:themeColor="text1"/>
        </w:rPr>
        <w:t xml:space="preserve"> </w:t>
      </w:r>
      <w:proofErr w:type="spellStart"/>
      <w:r w:rsidRPr="002948F0">
        <w:rPr>
          <w:rFonts w:ascii="Times New Roman" w:hAnsi="Times New Roman" w:cs="Times New Roman"/>
          <w:color w:val="000000" w:themeColor="text1"/>
        </w:rPr>
        <w:t>edn</w:t>
      </w:r>
      <w:proofErr w:type="spellEnd"/>
      <w:r w:rsidRPr="002948F0">
        <w:rPr>
          <w:rFonts w:ascii="Times New Roman" w:hAnsi="Times New Roman" w:cs="Times New Roman"/>
          <w:color w:val="000000" w:themeColor="text1"/>
        </w:rPr>
        <w:t xml:space="preserve">. USA: Merrill Publishing Company. </w:t>
      </w:r>
    </w:p>
    <w:p w14:paraId="51ABDB38" w14:textId="77777777" w:rsidR="00764D05" w:rsidRPr="002948F0" w:rsidRDefault="00764D05" w:rsidP="00CA4081">
      <w:pPr>
        <w:pStyle w:val="dx-doi"/>
        <w:spacing w:before="0" w:after="0"/>
        <w:rPr>
          <w:color w:val="000000" w:themeColor="text1"/>
          <w:sz w:val="22"/>
          <w:szCs w:val="22"/>
        </w:rPr>
      </w:pPr>
      <w:r w:rsidRPr="002948F0">
        <w:rPr>
          <w:color w:val="000000" w:themeColor="text1"/>
          <w:sz w:val="22"/>
          <w:szCs w:val="22"/>
        </w:rPr>
        <w:t xml:space="preserve">Seker, H. (2008) ‘Will the constructivist approach employed in science teaching change the grammar of schooling? Journal of Baltic Science Education. 7(3), pp. 175 – 184. Available at: </w:t>
      </w:r>
      <w:hyperlink r:id="rId42" w:history="1">
        <w:r w:rsidRPr="002948F0">
          <w:rPr>
            <w:rStyle w:val="Hyperlink"/>
            <w:sz w:val="22"/>
            <w:szCs w:val="22"/>
          </w:rPr>
          <w:t>https://www.researchgate.net/publication/288357931_Will_the_contructivist_approach_employed_in_science_teaching_change_the_grammar_of_schooling</w:t>
        </w:r>
      </w:hyperlink>
      <w:r w:rsidRPr="002948F0">
        <w:rPr>
          <w:color w:val="000000" w:themeColor="text1"/>
          <w:sz w:val="22"/>
          <w:szCs w:val="22"/>
        </w:rPr>
        <w:t xml:space="preserve"> (Accessed: 2 January 2024)</w:t>
      </w:r>
    </w:p>
    <w:p w14:paraId="4905C16B" w14:textId="77777777" w:rsidR="00764D05" w:rsidRPr="002948F0" w:rsidRDefault="00764D05" w:rsidP="00CA4081">
      <w:pPr>
        <w:pStyle w:val="dx-doi"/>
        <w:spacing w:before="0" w:after="0"/>
        <w:rPr>
          <w:color w:val="000000" w:themeColor="text1"/>
          <w:sz w:val="22"/>
          <w:szCs w:val="22"/>
        </w:rPr>
      </w:pPr>
      <w:r w:rsidRPr="002948F0">
        <w:rPr>
          <w:color w:val="000000" w:themeColor="text1"/>
          <w:sz w:val="22"/>
          <w:szCs w:val="22"/>
        </w:rPr>
        <w:t xml:space="preserve">Seymour, P. (2019) ‘Literacy: the importance of a WAGOLL’ </w:t>
      </w:r>
      <w:r w:rsidRPr="002948F0">
        <w:rPr>
          <w:i/>
          <w:iCs/>
          <w:color w:val="000000" w:themeColor="text1"/>
          <w:sz w:val="22"/>
          <w:szCs w:val="22"/>
        </w:rPr>
        <w:t xml:space="preserve">TES Magazine. </w:t>
      </w:r>
      <w:r w:rsidRPr="002948F0">
        <w:rPr>
          <w:color w:val="000000" w:themeColor="text1"/>
          <w:sz w:val="22"/>
          <w:szCs w:val="22"/>
        </w:rPr>
        <w:t xml:space="preserve">[blog] 18 May. Available at: </w:t>
      </w:r>
      <w:hyperlink r:id="rId43" w:history="1">
        <w:r w:rsidRPr="002948F0">
          <w:rPr>
            <w:rStyle w:val="Hyperlink"/>
            <w:sz w:val="22"/>
            <w:szCs w:val="22"/>
          </w:rPr>
          <w:t>https://www.tes.com/magazine/archive/literacy-importance-wagoll</w:t>
        </w:r>
      </w:hyperlink>
      <w:r w:rsidRPr="002948F0">
        <w:rPr>
          <w:color w:val="000000" w:themeColor="text1"/>
          <w:sz w:val="22"/>
          <w:szCs w:val="22"/>
        </w:rPr>
        <w:t xml:space="preserve"> (Accessed: 3 January 2024)</w:t>
      </w:r>
    </w:p>
    <w:p w14:paraId="7CDA0A0C" w14:textId="77777777" w:rsidR="00764D05" w:rsidRPr="002948F0" w:rsidRDefault="00764D05" w:rsidP="00F240D4">
      <w:pPr>
        <w:pStyle w:val="dx-doi"/>
        <w:spacing w:after="0"/>
        <w:rPr>
          <w:sz w:val="22"/>
          <w:szCs w:val="22"/>
        </w:rPr>
      </w:pPr>
      <w:r w:rsidRPr="002948F0">
        <w:rPr>
          <w:sz w:val="22"/>
          <w:szCs w:val="22"/>
        </w:rPr>
        <w:t xml:space="preserve">Thompson, N. (2019) ‘The Seventh Thinking Hat’, Medium [blog]. 30 December. Available at: </w:t>
      </w:r>
      <w:hyperlink r:id="rId44" w:history="1">
        <w:r w:rsidRPr="002948F0">
          <w:rPr>
            <w:rStyle w:val="Hyperlink"/>
            <w:sz w:val="22"/>
            <w:szCs w:val="22"/>
          </w:rPr>
          <w:t>https://drneilthompson.medium.com/the-seventh-thinking-hat-140a72796226</w:t>
        </w:r>
      </w:hyperlink>
      <w:r w:rsidRPr="002948F0">
        <w:rPr>
          <w:sz w:val="22"/>
          <w:szCs w:val="22"/>
        </w:rPr>
        <w:t xml:space="preserve"> (Accessed: 5 January 2024). </w:t>
      </w:r>
    </w:p>
    <w:p w14:paraId="53C068F1" w14:textId="77777777" w:rsidR="00764D05" w:rsidRDefault="00764D05" w:rsidP="00315BCD">
      <w:pPr>
        <w:rPr>
          <w:rFonts w:ascii="Times New Roman" w:hAnsi="Times New Roman" w:cs="Times New Roman"/>
          <w:color w:val="000000" w:themeColor="text1"/>
        </w:rPr>
      </w:pPr>
      <w:r w:rsidRPr="003F7897">
        <w:rPr>
          <w:rFonts w:ascii="Times New Roman" w:hAnsi="Times New Roman" w:cs="Times New Roman"/>
          <w:color w:val="000000" w:themeColor="text1"/>
          <w:lang w:val="fr-FR"/>
        </w:rPr>
        <w:t>Vygotsky, L.S. et a</w:t>
      </w:r>
      <w:r>
        <w:rPr>
          <w:rFonts w:ascii="Times New Roman" w:hAnsi="Times New Roman" w:cs="Times New Roman"/>
          <w:color w:val="000000" w:themeColor="text1"/>
          <w:lang w:val="fr-FR"/>
        </w:rPr>
        <w:t xml:space="preserve">l. </w:t>
      </w:r>
      <w:r w:rsidRPr="003F7897">
        <w:rPr>
          <w:rFonts w:ascii="Times New Roman" w:hAnsi="Times New Roman" w:cs="Times New Roman"/>
          <w:color w:val="000000" w:themeColor="text1"/>
        </w:rPr>
        <w:t xml:space="preserve">(1978) </w:t>
      </w:r>
      <w:r w:rsidRPr="003F7897">
        <w:rPr>
          <w:rFonts w:ascii="Times New Roman" w:hAnsi="Times New Roman" w:cs="Times New Roman"/>
          <w:i/>
          <w:iCs/>
          <w:color w:val="000000" w:themeColor="text1"/>
        </w:rPr>
        <w:t>Mind in Society : The development of higher psychological processes</w:t>
      </w:r>
      <w:r>
        <w:rPr>
          <w:rFonts w:ascii="Times New Roman" w:hAnsi="Times New Roman" w:cs="Times New Roman"/>
          <w:color w:val="000000" w:themeColor="text1"/>
        </w:rPr>
        <w:t xml:space="preserve">. United States: Harvard College. </w:t>
      </w:r>
    </w:p>
    <w:p w14:paraId="1786C5B0" w14:textId="77777777" w:rsidR="00764D05" w:rsidRPr="0027692C" w:rsidRDefault="00764D05" w:rsidP="00315BCD">
      <w:pPr>
        <w:rPr>
          <w:rFonts w:ascii="Times New Roman" w:hAnsi="Times New Roman" w:cs="Times New Roman"/>
          <w:color w:val="000000" w:themeColor="text1"/>
        </w:rPr>
      </w:pPr>
      <w:r w:rsidRPr="0027692C">
        <w:rPr>
          <w:rFonts w:ascii="Times New Roman" w:hAnsi="Times New Roman" w:cs="Times New Roman"/>
          <w:color w:val="000000" w:themeColor="text1"/>
        </w:rPr>
        <w:t xml:space="preserve">Welsh Assembly Government (2010) </w:t>
      </w:r>
      <w:r w:rsidRPr="0027692C">
        <w:rPr>
          <w:rFonts w:ascii="Times New Roman" w:hAnsi="Times New Roman" w:cs="Times New Roman"/>
          <w:i/>
          <w:iCs/>
          <w:color w:val="000000" w:themeColor="text1"/>
        </w:rPr>
        <w:t xml:space="preserve">How to develop thinking and assessment for learning in the classroom. </w:t>
      </w:r>
      <w:r w:rsidRPr="0027692C">
        <w:rPr>
          <w:rFonts w:ascii="Times New Roman" w:hAnsi="Times New Roman" w:cs="Times New Roman"/>
          <w:color w:val="000000" w:themeColor="text1"/>
        </w:rPr>
        <w:t xml:space="preserve">Cardiff: Crown Copyright. Available at: </w:t>
      </w:r>
      <w:hyperlink r:id="rId45" w:history="1">
        <w:r w:rsidRPr="0027692C">
          <w:rPr>
            <w:rStyle w:val="Hyperlink"/>
            <w:rFonts w:ascii="Times New Roman" w:hAnsi="Times New Roman" w:cs="Times New Roman"/>
          </w:rPr>
          <w:t>https://hwb.gov.wales/api/storage/663d00fd-9c3b-4003-9a1f-0012bad39fad/how-to-develop-thinking-and-assessment-for-learning-in-the-classroom.pdf</w:t>
        </w:r>
      </w:hyperlink>
      <w:r w:rsidRPr="0027692C">
        <w:rPr>
          <w:rFonts w:ascii="Times New Roman" w:hAnsi="Times New Roman" w:cs="Times New Roman"/>
          <w:color w:val="000000" w:themeColor="text1"/>
        </w:rPr>
        <w:t xml:space="preserve"> (Accessed: 22 December 2023)</w:t>
      </w:r>
    </w:p>
    <w:p w14:paraId="285AA623" w14:textId="77777777" w:rsidR="00764D05" w:rsidRPr="0027692C" w:rsidRDefault="00764D05" w:rsidP="00315BCD">
      <w:pPr>
        <w:rPr>
          <w:rFonts w:ascii="Times New Roman" w:hAnsi="Times New Roman" w:cs="Times New Roman"/>
          <w:color w:val="000000" w:themeColor="text1"/>
        </w:rPr>
      </w:pPr>
      <w:r w:rsidRPr="0027692C">
        <w:rPr>
          <w:rFonts w:ascii="Times New Roman" w:hAnsi="Times New Roman" w:cs="Times New Roman"/>
          <w:color w:val="000000" w:themeColor="text1"/>
        </w:rPr>
        <w:t xml:space="preserve">Welsh Government (2015) Reflective Practice. Cardiff: Crown Copyright. Available at: </w:t>
      </w:r>
      <w:hyperlink r:id="rId46" w:history="1">
        <w:r w:rsidRPr="0027692C">
          <w:rPr>
            <w:rStyle w:val="Hyperlink"/>
            <w:rFonts w:ascii="Times New Roman" w:hAnsi="Times New Roman" w:cs="Times New Roman"/>
          </w:rPr>
          <w:t>https://dera.ioe.ac.uk/id/eprint/23376/2/150611-reflective-practice-booklet-en_Redacted.pdf</w:t>
        </w:r>
      </w:hyperlink>
      <w:r w:rsidRPr="0027692C">
        <w:rPr>
          <w:rFonts w:ascii="Times New Roman" w:hAnsi="Times New Roman" w:cs="Times New Roman"/>
          <w:color w:val="000000" w:themeColor="text1"/>
        </w:rPr>
        <w:t xml:space="preserve"> (Accessed: 22 December 2023) </w:t>
      </w:r>
    </w:p>
    <w:p w14:paraId="38A46535" w14:textId="77777777" w:rsidR="00764D05" w:rsidRDefault="00764D05" w:rsidP="00315BCD">
      <w:pPr>
        <w:rPr>
          <w:rFonts w:ascii="Times New Roman" w:hAnsi="Times New Roman" w:cs="Times New Roman"/>
          <w:color w:val="000000" w:themeColor="text1"/>
        </w:rPr>
      </w:pPr>
      <w:r>
        <w:rPr>
          <w:rFonts w:ascii="Times New Roman" w:hAnsi="Times New Roman" w:cs="Times New Roman"/>
          <w:color w:val="000000" w:themeColor="text1"/>
        </w:rPr>
        <w:t xml:space="preserve">Welsh Government (2019) </w:t>
      </w:r>
      <w:r w:rsidRPr="00812B57">
        <w:rPr>
          <w:rFonts w:ascii="Times New Roman" w:hAnsi="Times New Roman" w:cs="Times New Roman"/>
          <w:i/>
          <w:iCs/>
          <w:color w:val="000000" w:themeColor="text1"/>
        </w:rPr>
        <w:t>Curriculum for Wales: Humanities</w:t>
      </w:r>
      <w:r>
        <w:rPr>
          <w:rFonts w:ascii="Times New Roman" w:hAnsi="Times New Roman" w:cs="Times New Roman"/>
          <w:i/>
          <w:iCs/>
          <w:color w:val="000000" w:themeColor="text1"/>
        </w:rPr>
        <w:t xml:space="preserve">. </w:t>
      </w:r>
      <w:r>
        <w:rPr>
          <w:rFonts w:ascii="Times New Roman" w:hAnsi="Times New Roman" w:cs="Times New Roman"/>
          <w:color w:val="000000" w:themeColor="text1"/>
        </w:rPr>
        <w:t xml:space="preserve">Cardiff: Welsh Government. Available at: </w:t>
      </w:r>
      <w:hyperlink r:id="rId47" w:history="1">
        <w:r w:rsidRPr="00303342">
          <w:rPr>
            <w:rStyle w:val="Hyperlink"/>
            <w:rFonts w:ascii="Times New Roman" w:hAnsi="Times New Roman" w:cs="Times New Roman"/>
          </w:rPr>
          <w:t>https://hwb.gov.wales/curriculum-for-wales/humanities/</w:t>
        </w:r>
      </w:hyperlink>
      <w:r>
        <w:rPr>
          <w:rFonts w:ascii="Times New Roman" w:hAnsi="Times New Roman" w:cs="Times New Roman"/>
          <w:color w:val="000000" w:themeColor="text1"/>
        </w:rPr>
        <w:t xml:space="preserve"> (Accessed: 27 December 2023)</w:t>
      </w:r>
    </w:p>
    <w:p w14:paraId="15CB6997" w14:textId="77777777" w:rsidR="00764D05" w:rsidRPr="002948F0" w:rsidRDefault="00764D05" w:rsidP="00CA4081">
      <w:pPr>
        <w:pStyle w:val="dx-doi"/>
        <w:spacing w:before="0" w:after="0"/>
        <w:rPr>
          <w:color w:val="000000" w:themeColor="text1"/>
          <w:sz w:val="22"/>
          <w:szCs w:val="22"/>
        </w:rPr>
      </w:pPr>
      <w:r w:rsidRPr="002948F0">
        <w:rPr>
          <w:color w:val="000000" w:themeColor="text1"/>
          <w:sz w:val="22"/>
          <w:szCs w:val="22"/>
        </w:rPr>
        <w:t xml:space="preserve">Welsh Government (2020) Developing a vision for your curriculum design. Cardiff: Crown Copyright. Available at: </w:t>
      </w:r>
      <w:hyperlink r:id="rId48" w:history="1">
        <w:r w:rsidRPr="002948F0">
          <w:rPr>
            <w:rStyle w:val="Hyperlink"/>
            <w:sz w:val="22"/>
            <w:szCs w:val="22"/>
          </w:rPr>
          <w:t>https://hwb.gov.wales/curriculum-for-wales/designing-your-curriculum/developing-a-vision-for-curriculum-design</w:t>
        </w:r>
      </w:hyperlink>
      <w:r w:rsidRPr="002948F0">
        <w:rPr>
          <w:color w:val="000000" w:themeColor="text1"/>
          <w:sz w:val="22"/>
          <w:szCs w:val="22"/>
        </w:rPr>
        <w:t xml:space="preserve"> (Accessed: 2 January 2024)</w:t>
      </w:r>
    </w:p>
    <w:p w14:paraId="379E7656" w14:textId="77777777" w:rsidR="00764D05" w:rsidRPr="002948F0" w:rsidRDefault="00764D05" w:rsidP="00315BCD">
      <w:pPr>
        <w:rPr>
          <w:rFonts w:ascii="Times New Roman" w:hAnsi="Times New Roman" w:cs="Times New Roman"/>
          <w:color w:val="000000" w:themeColor="text1"/>
        </w:rPr>
      </w:pPr>
      <w:r w:rsidRPr="002948F0">
        <w:rPr>
          <w:rFonts w:ascii="Times New Roman" w:hAnsi="Times New Roman" w:cs="Times New Roman"/>
          <w:color w:val="000000" w:themeColor="text1"/>
        </w:rPr>
        <w:t xml:space="preserve">Welsh Government (2020) </w:t>
      </w:r>
      <w:r w:rsidRPr="002948F0">
        <w:rPr>
          <w:rFonts w:ascii="Times New Roman" w:hAnsi="Times New Roman" w:cs="Times New Roman"/>
          <w:i/>
          <w:iCs/>
          <w:color w:val="000000" w:themeColor="text1"/>
        </w:rPr>
        <w:t>Literacy and Numeracy Framework</w:t>
      </w:r>
      <w:r w:rsidRPr="002948F0">
        <w:rPr>
          <w:rFonts w:ascii="Times New Roman" w:hAnsi="Times New Roman" w:cs="Times New Roman"/>
          <w:color w:val="000000" w:themeColor="text1"/>
        </w:rPr>
        <w:t xml:space="preserve">. Cardiff: Crown Copyright. Available at: </w:t>
      </w:r>
      <w:hyperlink r:id="rId49" w:history="1">
        <w:r w:rsidRPr="002948F0">
          <w:rPr>
            <w:rStyle w:val="Hyperlink"/>
            <w:rFonts w:ascii="Times New Roman" w:hAnsi="Times New Roman" w:cs="Times New Roman"/>
          </w:rPr>
          <w:t>https://hwb.gov.wales/curriculum-for-wales/cross-curricular-skills-frameworks/literacy-and-numeracy-framework</w:t>
        </w:r>
      </w:hyperlink>
      <w:r w:rsidRPr="002948F0">
        <w:rPr>
          <w:rFonts w:ascii="Times New Roman" w:hAnsi="Times New Roman" w:cs="Times New Roman"/>
          <w:color w:val="000000" w:themeColor="text1"/>
        </w:rPr>
        <w:t xml:space="preserve"> (Accessed: 2 January 2024). </w:t>
      </w:r>
    </w:p>
    <w:p w14:paraId="552E88B9" w14:textId="77777777" w:rsidR="00764D05" w:rsidRPr="0027692C" w:rsidRDefault="00764D05">
      <w:pPr>
        <w:rPr>
          <w:rFonts w:ascii="Times New Roman" w:hAnsi="Times New Roman" w:cs="Times New Roman"/>
        </w:rPr>
      </w:pPr>
      <w:r w:rsidRPr="0027692C">
        <w:rPr>
          <w:rFonts w:ascii="Times New Roman" w:hAnsi="Times New Roman" w:cs="Times New Roman"/>
        </w:rPr>
        <w:t>Welsh Government (2022</w:t>
      </w:r>
      <w:r w:rsidRPr="0027692C">
        <w:rPr>
          <w:rFonts w:ascii="Times New Roman" w:hAnsi="Times New Roman" w:cs="Times New Roman"/>
          <w:i/>
          <w:iCs/>
        </w:rPr>
        <w:t>) Curriculum for Wales. Assessment arrangements. What’s changing in assessment?</w:t>
      </w:r>
      <w:r w:rsidRPr="0027692C">
        <w:rPr>
          <w:rFonts w:ascii="Times New Roman" w:hAnsi="Times New Roman" w:cs="Times New Roman"/>
        </w:rPr>
        <w:t xml:space="preserve"> </w:t>
      </w:r>
      <w:r w:rsidRPr="0027692C">
        <w:rPr>
          <w:rFonts w:ascii="Times New Roman" w:hAnsi="Times New Roman" w:cs="Times New Roman"/>
        </w:rPr>
        <w:t>Cardiff: Crown Copyright.</w:t>
      </w:r>
      <w:r w:rsidRPr="0027692C">
        <w:rPr>
          <w:rFonts w:ascii="Times New Roman" w:hAnsi="Times New Roman" w:cs="Times New Roman"/>
        </w:rPr>
        <w:t xml:space="preserve"> Available at: </w:t>
      </w:r>
      <w:hyperlink r:id="rId50" w:history="1">
        <w:r w:rsidRPr="0027692C">
          <w:rPr>
            <w:rStyle w:val="Hyperlink"/>
            <w:rFonts w:ascii="Times New Roman" w:hAnsi="Times New Roman" w:cs="Times New Roman"/>
          </w:rPr>
          <w:t>https://hwb.gov.wales/curriculum-for-wales/assessment-arrangements/what-s-changing-in-assessment</w:t>
        </w:r>
      </w:hyperlink>
      <w:r w:rsidRPr="0027692C">
        <w:rPr>
          <w:rFonts w:ascii="Times New Roman" w:hAnsi="Times New Roman" w:cs="Times New Roman"/>
        </w:rPr>
        <w:t xml:space="preserve"> (Accessed: 20 December 2023)</w:t>
      </w:r>
    </w:p>
    <w:p w14:paraId="754005FC" w14:textId="77777777" w:rsidR="00764D05" w:rsidRPr="0027692C" w:rsidRDefault="00764D05">
      <w:pPr>
        <w:rPr>
          <w:rFonts w:ascii="Times New Roman" w:hAnsi="Times New Roman" w:cs="Times New Roman"/>
        </w:rPr>
      </w:pPr>
      <w:r w:rsidRPr="0027692C">
        <w:rPr>
          <w:rFonts w:ascii="Times New Roman" w:hAnsi="Times New Roman" w:cs="Times New Roman"/>
        </w:rPr>
        <w:t xml:space="preserve">Welsh Government (2022) </w:t>
      </w:r>
      <w:r w:rsidRPr="0027692C">
        <w:rPr>
          <w:rFonts w:ascii="Times New Roman" w:hAnsi="Times New Roman" w:cs="Times New Roman"/>
          <w:i/>
          <w:iCs/>
        </w:rPr>
        <w:t>Curriculum for Wales. Designing your curriculum. Pedagogy.</w:t>
      </w:r>
      <w:r w:rsidRPr="0027692C">
        <w:rPr>
          <w:rFonts w:ascii="Times New Roman" w:hAnsi="Times New Roman" w:cs="Times New Roman"/>
        </w:rPr>
        <w:t xml:space="preserve"> </w:t>
      </w:r>
      <w:r w:rsidRPr="0027692C">
        <w:rPr>
          <w:rFonts w:ascii="Times New Roman" w:hAnsi="Times New Roman" w:cs="Times New Roman"/>
        </w:rPr>
        <w:t>Cardiff: Crown Copyright.</w:t>
      </w:r>
      <w:r w:rsidRPr="0027692C">
        <w:rPr>
          <w:rFonts w:ascii="Times New Roman" w:hAnsi="Times New Roman" w:cs="Times New Roman"/>
        </w:rPr>
        <w:t xml:space="preserve"> Available at: </w:t>
      </w:r>
      <w:hyperlink r:id="rId51" w:history="1">
        <w:r w:rsidRPr="0027692C">
          <w:rPr>
            <w:rStyle w:val="Hyperlink"/>
            <w:rFonts w:ascii="Times New Roman" w:hAnsi="Times New Roman" w:cs="Times New Roman"/>
          </w:rPr>
          <w:t>https://hwb.gov.wales/curriculum-for-wales/designing-your-curriculum/pedagogy</w:t>
        </w:r>
      </w:hyperlink>
      <w:r w:rsidRPr="0027692C">
        <w:rPr>
          <w:rFonts w:ascii="Times New Roman" w:hAnsi="Times New Roman" w:cs="Times New Roman"/>
        </w:rPr>
        <w:t xml:space="preserve"> (Accessed: 20 December 2023)</w:t>
      </w:r>
    </w:p>
    <w:p w14:paraId="34327A27" w14:textId="77777777" w:rsidR="00764D05" w:rsidRPr="002948F0" w:rsidRDefault="00764D05" w:rsidP="00315BCD">
      <w:pPr>
        <w:rPr>
          <w:rFonts w:ascii="Times New Roman" w:hAnsi="Times New Roman" w:cs="Times New Roman"/>
          <w:color w:val="000000" w:themeColor="text1"/>
        </w:rPr>
      </w:pPr>
      <w:r w:rsidRPr="002948F0">
        <w:rPr>
          <w:rFonts w:ascii="Times New Roman" w:hAnsi="Times New Roman" w:cs="Times New Roman"/>
          <w:color w:val="000000" w:themeColor="text1"/>
        </w:rPr>
        <w:t xml:space="preserve">Wiliam, D. (2016) </w:t>
      </w:r>
      <w:r w:rsidRPr="002948F0">
        <w:rPr>
          <w:rFonts w:ascii="Times New Roman" w:hAnsi="Times New Roman" w:cs="Times New Roman"/>
          <w:i/>
          <w:iCs/>
          <w:color w:val="000000" w:themeColor="text1"/>
        </w:rPr>
        <w:t xml:space="preserve">Leadership for teacher learning: creating a culture where all teachers improve so that all student succeed. </w:t>
      </w:r>
      <w:r w:rsidRPr="002948F0">
        <w:rPr>
          <w:rFonts w:ascii="Times New Roman" w:hAnsi="Times New Roman" w:cs="Times New Roman"/>
          <w:color w:val="000000" w:themeColor="text1"/>
        </w:rPr>
        <w:t xml:space="preserve">USA: Learning Science International. </w:t>
      </w:r>
    </w:p>
    <w:p w14:paraId="0F84E956" w14:textId="77777777" w:rsidR="00764D05" w:rsidRPr="0027692C" w:rsidRDefault="00764D05">
      <w:pPr>
        <w:rPr>
          <w:rFonts w:ascii="Times New Roman" w:hAnsi="Times New Roman" w:cs="Times New Roman"/>
        </w:rPr>
      </w:pPr>
      <w:r w:rsidRPr="0027692C">
        <w:rPr>
          <w:rFonts w:ascii="Times New Roman" w:hAnsi="Times New Roman" w:cs="Times New Roman"/>
        </w:rPr>
        <w:t xml:space="preserve">Wiliam, D. (2018) What do we mean by assessment for learning? [video]. Available at: </w:t>
      </w:r>
      <w:hyperlink r:id="rId52" w:history="1">
        <w:r w:rsidRPr="0027692C">
          <w:rPr>
            <w:rStyle w:val="Hyperlink"/>
            <w:rFonts w:ascii="Times New Roman" w:hAnsi="Times New Roman" w:cs="Times New Roman"/>
          </w:rPr>
          <w:t>https://www.youtube.com/watch?v=q-myBw36_DA</w:t>
        </w:r>
      </w:hyperlink>
      <w:r w:rsidRPr="0027692C">
        <w:rPr>
          <w:rFonts w:ascii="Times New Roman" w:hAnsi="Times New Roman" w:cs="Times New Roman"/>
        </w:rPr>
        <w:t xml:space="preserve"> (Accessed: 20 December 2023)</w:t>
      </w:r>
    </w:p>
    <w:p w14:paraId="78F8406F" w14:textId="77777777" w:rsidR="00764D05" w:rsidRPr="0027692C" w:rsidRDefault="00764D05" w:rsidP="00315BCD">
      <w:pPr>
        <w:rPr>
          <w:rFonts w:ascii="Times New Roman" w:hAnsi="Times New Roman" w:cs="Times New Roman"/>
          <w:color w:val="000000" w:themeColor="text1"/>
        </w:rPr>
      </w:pPr>
      <w:r w:rsidRPr="0027692C">
        <w:rPr>
          <w:rFonts w:ascii="Times New Roman" w:hAnsi="Times New Roman" w:cs="Times New Roman"/>
          <w:color w:val="000000" w:themeColor="text1"/>
        </w:rPr>
        <w:t>Willis, J. Arnold, J and DeLuca, C. (2023) ‘</w:t>
      </w:r>
      <w:r w:rsidRPr="0027692C">
        <w:rPr>
          <w:rFonts w:ascii="Times New Roman" w:hAnsi="Times New Roman" w:cs="Times New Roman"/>
          <w:color w:val="000000" w:themeColor="text1"/>
        </w:rPr>
        <w:t>Accessibility in assessment for learning: sharing criteria for success</w:t>
      </w:r>
      <w:r w:rsidRPr="0027692C">
        <w:rPr>
          <w:rFonts w:ascii="Times New Roman" w:hAnsi="Times New Roman" w:cs="Times New Roman"/>
          <w:color w:val="000000" w:themeColor="text1"/>
        </w:rPr>
        <w:t xml:space="preserve">’ </w:t>
      </w:r>
      <w:r w:rsidRPr="0027692C">
        <w:rPr>
          <w:rFonts w:ascii="Times New Roman" w:hAnsi="Times New Roman" w:cs="Times New Roman"/>
          <w:i/>
          <w:iCs/>
          <w:color w:val="000000" w:themeColor="text1"/>
        </w:rPr>
        <w:t>Frontiers in Education.</w:t>
      </w:r>
      <w:r w:rsidRPr="0027692C">
        <w:rPr>
          <w:rFonts w:ascii="Times New Roman" w:hAnsi="Times New Roman" w:cs="Times New Roman"/>
          <w:color w:val="000000" w:themeColor="text1"/>
        </w:rPr>
        <w:t xml:space="preserve"> </w:t>
      </w:r>
      <w:r w:rsidRPr="0027692C">
        <w:rPr>
          <w:rFonts w:ascii="Times New Roman" w:hAnsi="Times New Roman" w:cs="Times New Roman"/>
          <w:color w:val="000000" w:themeColor="text1"/>
        </w:rPr>
        <w:t>8</w:t>
      </w:r>
      <w:r w:rsidRPr="0027692C">
        <w:rPr>
          <w:rFonts w:ascii="Times New Roman" w:hAnsi="Times New Roman" w:cs="Times New Roman"/>
          <w:color w:val="000000" w:themeColor="text1"/>
        </w:rPr>
        <w:t>(1</w:t>
      </w:r>
      <w:r w:rsidRPr="0027692C">
        <w:rPr>
          <w:rFonts w:ascii="Times New Roman" w:hAnsi="Times New Roman" w:cs="Times New Roman"/>
          <w:color w:val="000000" w:themeColor="text1"/>
        </w:rPr>
        <w:t>170454</w:t>
      </w:r>
      <w:r w:rsidRPr="0027692C">
        <w:rPr>
          <w:rFonts w:ascii="Times New Roman" w:hAnsi="Times New Roman" w:cs="Times New Roman"/>
          <w:color w:val="000000" w:themeColor="text1"/>
        </w:rPr>
        <w:t>). DOI:</w:t>
      </w:r>
      <w:r w:rsidRPr="0027692C">
        <w:rPr>
          <w:color w:val="000000" w:themeColor="text1"/>
        </w:rPr>
        <w:t xml:space="preserve"> </w:t>
      </w:r>
      <w:hyperlink r:id="rId53" w:history="1">
        <w:r w:rsidRPr="0027692C">
          <w:rPr>
            <w:rStyle w:val="Hyperlink"/>
            <w:rFonts w:ascii="Times New Roman" w:hAnsi="Times New Roman" w:cs="Times New Roman"/>
            <w:color w:val="000000" w:themeColor="text1"/>
            <w:u w:val="none"/>
          </w:rPr>
          <w:t>1</w:t>
        </w:r>
        <w:r w:rsidRPr="0027692C">
          <w:rPr>
            <w:rStyle w:val="Hyperlink"/>
            <w:rFonts w:ascii="Times New Roman" w:hAnsi="Times New Roman" w:cs="Times New Roman"/>
            <w:color w:val="000000" w:themeColor="text1"/>
            <w:u w:val="none"/>
          </w:rPr>
          <w:t>0.3389/feduc.2023.1170454</w:t>
        </w:r>
      </w:hyperlink>
    </w:p>
    <w:p w14:paraId="66CCEB5E" w14:textId="77777777" w:rsidR="00764D05" w:rsidRDefault="00764D05" w:rsidP="002948F0">
      <w:pPr>
        <w:pStyle w:val="dx-doi"/>
        <w:spacing w:after="0"/>
        <w:rPr>
          <w:sz w:val="22"/>
          <w:szCs w:val="22"/>
        </w:rPr>
      </w:pPr>
      <w:r>
        <w:rPr>
          <w:sz w:val="22"/>
          <w:szCs w:val="22"/>
        </w:rPr>
        <w:t xml:space="preserve">Winter, T. (2015) </w:t>
      </w:r>
      <w:r w:rsidRPr="001108B7">
        <w:rPr>
          <w:i/>
          <w:iCs/>
          <w:sz w:val="22"/>
          <w:szCs w:val="22"/>
        </w:rPr>
        <w:t>6 Thinking Hats: Praise &amp; Criticism</w:t>
      </w:r>
      <w:r>
        <w:rPr>
          <w:sz w:val="22"/>
          <w:szCs w:val="22"/>
        </w:rPr>
        <w:t xml:space="preserve">. Available at: </w:t>
      </w:r>
      <w:hyperlink r:id="rId54" w:history="1">
        <w:r w:rsidRPr="00303342">
          <w:rPr>
            <w:rStyle w:val="Hyperlink"/>
            <w:sz w:val="22"/>
            <w:szCs w:val="22"/>
          </w:rPr>
          <w:t>https://blog.hptbydts.com/6-thinking-hats-praise-criticism#:~:text=Some%20critics%20claim%20that%20the,(rather%20than%20saving)%20time</w:t>
        </w:r>
      </w:hyperlink>
      <w:r w:rsidRPr="001108B7">
        <w:rPr>
          <w:sz w:val="22"/>
          <w:szCs w:val="22"/>
        </w:rPr>
        <w:t>.</w:t>
      </w:r>
      <w:r>
        <w:rPr>
          <w:sz w:val="22"/>
          <w:szCs w:val="22"/>
        </w:rPr>
        <w:t xml:space="preserve"> (Accessed: 6 January 2024)</w:t>
      </w:r>
    </w:p>
    <w:p w14:paraId="65FB08E4" w14:textId="77777777" w:rsidR="00E40052" w:rsidRDefault="00E40052" w:rsidP="002948F0">
      <w:pPr>
        <w:pStyle w:val="dx-doi"/>
        <w:spacing w:after="0"/>
        <w:rPr>
          <w:sz w:val="22"/>
          <w:szCs w:val="22"/>
        </w:rPr>
      </w:pPr>
    </w:p>
    <w:p w14:paraId="55108B13" w14:textId="77777777" w:rsidR="00E40052" w:rsidRDefault="00E40052" w:rsidP="002948F0">
      <w:pPr>
        <w:pStyle w:val="dx-doi"/>
        <w:spacing w:after="0"/>
        <w:rPr>
          <w:sz w:val="22"/>
          <w:szCs w:val="22"/>
        </w:rPr>
      </w:pPr>
    </w:p>
    <w:p w14:paraId="7E1B0732" w14:textId="77777777" w:rsidR="00E40052" w:rsidRDefault="00E40052" w:rsidP="002948F0">
      <w:pPr>
        <w:pStyle w:val="dx-doi"/>
        <w:spacing w:after="0"/>
        <w:rPr>
          <w:sz w:val="22"/>
          <w:szCs w:val="22"/>
        </w:rPr>
      </w:pPr>
    </w:p>
    <w:p w14:paraId="2AF5004C" w14:textId="77777777" w:rsidR="00E40052" w:rsidRDefault="00E40052" w:rsidP="002948F0">
      <w:pPr>
        <w:pStyle w:val="dx-doi"/>
        <w:spacing w:after="0"/>
        <w:rPr>
          <w:sz w:val="22"/>
          <w:szCs w:val="22"/>
        </w:rPr>
      </w:pPr>
    </w:p>
    <w:p w14:paraId="233B25C9" w14:textId="77777777" w:rsidR="00E40052" w:rsidRDefault="00E40052" w:rsidP="002948F0">
      <w:pPr>
        <w:pStyle w:val="dx-doi"/>
        <w:spacing w:after="0"/>
        <w:rPr>
          <w:sz w:val="22"/>
          <w:szCs w:val="22"/>
        </w:rPr>
      </w:pPr>
    </w:p>
    <w:p w14:paraId="455B9CA2" w14:textId="77777777" w:rsidR="00E40052" w:rsidRDefault="00E40052" w:rsidP="002948F0">
      <w:pPr>
        <w:pStyle w:val="dx-doi"/>
        <w:spacing w:after="0"/>
        <w:rPr>
          <w:sz w:val="22"/>
          <w:szCs w:val="22"/>
        </w:rPr>
      </w:pPr>
    </w:p>
    <w:p w14:paraId="76D0A4B6" w14:textId="77777777" w:rsidR="00E40052" w:rsidRDefault="00E40052" w:rsidP="002948F0">
      <w:pPr>
        <w:pStyle w:val="dx-doi"/>
        <w:spacing w:after="0"/>
        <w:rPr>
          <w:sz w:val="22"/>
          <w:szCs w:val="22"/>
        </w:rPr>
      </w:pPr>
    </w:p>
    <w:p w14:paraId="5EE8A207" w14:textId="7F0B8EE4" w:rsidR="00315BCD" w:rsidRDefault="00315BCD" w:rsidP="00A85539">
      <w:pPr>
        <w:rPr>
          <w:rFonts w:ascii="Times New Roman" w:hAnsi="Times New Roman" w:cs="Times New Roman"/>
          <w:color w:val="000000" w:themeColor="text1"/>
        </w:rPr>
      </w:pPr>
    </w:p>
    <w:p w14:paraId="33195682" w14:textId="77777777" w:rsidR="00E40052" w:rsidRDefault="00E40052" w:rsidP="00A85539">
      <w:pPr>
        <w:rPr>
          <w:rFonts w:ascii="Times New Roman" w:hAnsi="Times New Roman" w:cs="Times New Roman"/>
          <w:color w:val="000000" w:themeColor="text1"/>
        </w:rPr>
      </w:pPr>
    </w:p>
    <w:p w14:paraId="3EE02F95" w14:textId="77777777" w:rsidR="00E40052" w:rsidRDefault="00E40052" w:rsidP="00A85539">
      <w:pPr>
        <w:rPr>
          <w:rFonts w:ascii="Times New Roman" w:hAnsi="Times New Roman" w:cs="Times New Roman"/>
          <w:color w:val="000000" w:themeColor="text1"/>
        </w:rPr>
      </w:pPr>
    </w:p>
    <w:p w14:paraId="5BCA5EBE" w14:textId="77777777" w:rsidR="00576792" w:rsidRPr="00A81A38" w:rsidRDefault="00576792">
      <w:pPr>
        <w:rPr>
          <w:rFonts w:ascii="Times New Roman" w:hAnsi="Times New Roman" w:cs="Times New Roman"/>
        </w:rPr>
      </w:pPr>
    </w:p>
    <w:p w14:paraId="58D6ADA1" w14:textId="77777777" w:rsidR="00576792" w:rsidRPr="00A81A38" w:rsidRDefault="00576792">
      <w:pPr>
        <w:rPr>
          <w:rFonts w:ascii="Times New Roman" w:hAnsi="Times New Roman" w:cs="Times New Roman"/>
        </w:rPr>
      </w:pPr>
    </w:p>
    <w:sectPr w:rsidR="00576792" w:rsidRPr="00A81A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A9B10" w14:textId="77777777" w:rsidR="00EB719B" w:rsidRDefault="00EB719B" w:rsidP="00EB719B">
      <w:pPr>
        <w:spacing w:after="0" w:line="240" w:lineRule="auto"/>
      </w:pPr>
      <w:r>
        <w:separator/>
      </w:r>
    </w:p>
  </w:endnote>
  <w:endnote w:type="continuationSeparator" w:id="0">
    <w:p w14:paraId="585BD81B" w14:textId="77777777" w:rsidR="00EB719B" w:rsidRDefault="00EB719B" w:rsidP="00EB719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9445DD" w14:textId="77777777" w:rsidR="00EB719B" w:rsidRDefault="00EB719B" w:rsidP="00EB719B">
      <w:pPr>
        <w:spacing w:after="0" w:line="240" w:lineRule="auto"/>
      </w:pPr>
      <w:r>
        <w:separator/>
      </w:r>
    </w:p>
  </w:footnote>
  <w:footnote w:type="continuationSeparator" w:id="0">
    <w:p w14:paraId="3F6405A2" w14:textId="77777777" w:rsidR="00EB719B" w:rsidRDefault="00EB719B" w:rsidP="00EB719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B37C6"/>
    <w:multiLevelType w:val="multilevel"/>
    <w:tmpl w:val="B83ED0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C735364"/>
    <w:multiLevelType w:val="multilevel"/>
    <w:tmpl w:val="D924C3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8036743"/>
    <w:multiLevelType w:val="multilevel"/>
    <w:tmpl w:val="855ED3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608262F"/>
    <w:multiLevelType w:val="hybridMultilevel"/>
    <w:tmpl w:val="155E37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F93061B"/>
    <w:multiLevelType w:val="multilevel"/>
    <w:tmpl w:val="DDF45B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4985663">
    <w:abstractNumId w:val="2"/>
  </w:num>
  <w:num w:numId="2" w16cid:durableId="1420830405">
    <w:abstractNumId w:val="1"/>
  </w:num>
  <w:num w:numId="3" w16cid:durableId="1536846737">
    <w:abstractNumId w:val="4"/>
  </w:num>
  <w:num w:numId="4" w16cid:durableId="15812615">
    <w:abstractNumId w:val="0"/>
  </w:num>
  <w:num w:numId="5" w16cid:durableId="66270876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C9F"/>
    <w:rsid w:val="00007704"/>
    <w:rsid w:val="00012FA3"/>
    <w:rsid w:val="000156A5"/>
    <w:rsid w:val="00025D38"/>
    <w:rsid w:val="00026AB4"/>
    <w:rsid w:val="00026B77"/>
    <w:rsid w:val="00046AE8"/>
    <w:rsid w:val="0005307F"/>
    <w:rsid w:val="00060F4A"/>
    <w:rsid w:val="00061DD6"/>
    <w:rsid w:val="000627C8"/>
    <w:rsid w:val="00063EAB"/>
    <w:rsid w:val="00077046"/>
    <w:rsid w:val="00084C52"/>
    <w:rsid w:val="00085652"/>
    <w:rsid w:val="000A3ADE"/>
    <w:rsid w:val="000B5331"/>
    <w:rsid w:val="000B54E5"/>
    <w:rsid w:val="000C24BC"/>
    <w:rsid w:val="000D1E2A"/>
    <w:rsid w:val="000D31BA"/>
    <w:rsid w:val="000E5D3D"/>
    <w:rsid w:val="00100DCF"/>
    <w:rsid w:val="001108B7"/>
    <w:rsid w:val="00114EFC"/>
    <w:rsid w:val="00122FDD"/>
    <w:rsid w:val="00133CF7"/>
    <w:rsid w:val="001449CA"/>
    <w:rsid w:val="001453FD"/>
    <w:rsid w:val="00145E14"/>
    <w:rsid w:val="0015245A"/>
    <w:rsid w:val="00155FA8"/>
    <w:rsid w:val="00156D1B"/>
    <w:rsid w:val="00163460"/>
    <w:rsid w:val="001674B7"/>
    <w:rsid w:val="00174C96"/>
    <w:rsid w:val="00183C32"/>
    <w:rsid w:val="00184E0C"/>
    <w:rsid w:val="00195A8A"/>
    <w:rsid w:val="001B47A4"/>
    <w:rsid w:val="001D4405"/>
    <w:rsid w:val="001E2BBA"/>
    <w:rsid w:val="001F4B7F"/>
    <w:rsid w:val="00214B8F"/>
    <w:rsid w:val="00222413"/>
    <w:rsid w:val="0022545E"/>
    <w:rsid w:val="00246603"/>
    <w:rsid w:val="00251896"/>
    <w:rsid w:val="00253B27"/>
    <w:rsid w:val="00254FB3"/>
    <w:rsid w:val="002624CE"/>
    <w:rsid w:val="0027692C"/>
    <w:rsid w:val="0027765C"/>
    <w:rsid w:val="002927D8"/>
    <w:rsid w:val="002948F0"/>
    <w:rsid w:val="002B3D4B"/>
    <w:rsid w:val="002C0929"/>
    <w:rsid w:val="002D20FD"/>
    <w:rsid w:val="002D64E8"/>
    <w:rsid w:val="002F290F"/>
    <w:rsid w:val="002F571A"/>
    <w:rsid w:val="003111FC"/>
    <w:rsid w:val="00315BCD"/>
    <w:rsid w:val="003205B9"/>
    <w:rsid w:val="00330A40"/>
    <w:rsid w:val="00347202"/>
    <w:rsid w:val="00364EEC"/>
    <w:rsid w:val="003755E0"/>
    <w:rsid w:val="003929F3"/>
    <w:rsid w:val="003962CD"/>
    <w:rsid w:val="003B6EB2"/>
    <w:rsid w:val="003B7E7A"/>
    <w:rsid w:val="003C05DD"/>
    <w:rsid w:val="003C5C74"/>
    <w:rsid w:val="003F70A4"/>
    <w:rsid w:val="003F7897"/>
    <w:rsid w:val="00404EA0"/>
    <w:rsid w:val="00413476"/>
    <w:rsid w:val="00416D4A"/>
    <w:rsid w:val="00433B7C"/>
    <w:rsid w:val="00444C96"/>
    <w:rsid w:val="004534E7"/>
    <w:rsid w:val="00456825"/>
    <w:rsid w:val="00461EFF"/>
    <w:rsid w:val="00465F69"/>
    <w:rsid w:val="00466F00"/>
    <w:rsid w:val="00467E8A"/>
    <w:rsid w:val="0047700E"/>
    <w:rsid w:val="00484C5C"/>
    <w:rsid w:val="004B24AB"/>
    <w:rsid w:val="004B467A"/>
    <w:rsid w:val="004C1284"/>
    <w:rsid w:val="004C737A"/>
    <w:rsid w:val="004D0D9D"/>
    <w:rsid w:val="004D2437"/>
    <w:rsid w:val="004D2EDE"/>
    <w:rsid w:val="004D5CFA"/>
    <w:rsid w:val="00520A33"/>
    <w:rsid w:val="0052191A"/>
    <w:rsid w:val="005272BE"/>
    <w:rsid w:val="00531346"/>
    <w:rsid w:val="00534CB1"/>
    <w:rsid w:val="005500D3"/>
    <w:rsid w:val="00557BB5"/>
    <w:rsid w:val="00561167"/>
    <w:rsid w:val="00572884"/>
    <w:rsid w:val="00574B85"/>
    <w:rsid w:val="00576792"/>
    <w:rsid w:val="00582594"/>
    <w:rsid w:val="0058278C"/>
    <w:rsid w:val="00582AFC"/>
    <w:rsid w:val="00592EB1"/>
    <w:rsid w:val="00593014"/>
    <w:rsid w:val="005A2BEA"/>
    <w:rsid w:val="005B2E22"/>
    <w:rsid w:val="005C293E"/>
    <w:rsid w:val="005C6DB2"/>
    <w:rsid w:val="005D0DAE"/>
    <w:rsid w:val="005D28CB"/>
    <w:rsid w:val="005E74F3"/>
    <w:rsid w:val="005F5C53"/>
    <w:rsid w:val="005F7F65"/>
    <w:rsid w:val="00602550"/>
    <w:rsid w:val="00615B16"/>
    <w:rsid w:val="006177EE"/>
    <w:rsid w:val="0063328F"/>
    <w:rsid w:val="0063376A"/>
    <w:rsid w:val="00633AD1"/>
    <w:rsid w:val="006453E4"/>
    <w:rsid w:val="00650BD5"/>
    <w:rsid w:val="00656E84"/>
    <w:rsid w:val="00662F33"/>
    <w:rsid w:val="00685A2B"/>
    <w:rsid w:val="00686E03"/>
    <w:rsid w:val="00687A3F"/>
    <w:rsid w:val="00696362"/>
    <w:rsid w:val="006C3B31"/>
    <w:rsid w:val="006D2F25"/>
    <w:rsid w:val="006F04BB"/>
    <w:rsid w:val="006F5C71"/>
    <w:rsid w:val="00701304"/>
    <w:rsid w:val="00703B10"/>
    <w:rsid w:val="00706A29"/>
    <w:rsid w:val="00714727"/>
    <w:rsid w:val="007252D1"/>
    <w:rsid w:val="0072719D"/>
    <w:rsid w:val="00732882"/>
    <w:rsid w:val="00755E99"/>
    <w:rsid w:val="0076205F"/>
    <w:rsid w:val="00762271"/>
    <w:rsid w:val="00764D05"/>
    <w:rsid w:val="0077201D"/>
    <w:rsid w:val="007760D6"/>
    <w:rsid w:val="00781740"/>
    <w:rsid w:val="00785C55"/>
    <w:rsid w:val="007905EB"/>
    <w:rsid w:val="007A39EE"/>
    <w:rsid w:val="007B1F57"/>
    <w:rsid w:val="007B43CD"/>
    <w:rsid w:val="007B481F"/>
    <w:rsid w:val="007B5CCE"/>
    <w:rsid w:val="007B6B31"/>
    <w:rsid w:val="007C4DEB"/>
    <w:rsid w:val="007C65A9"/>
    <w:rsid w:val="007C65B1"/>
    <w:rsid w:val="007E5C78"/>
    <w:rsid w:val="007E724B"/>
    <w:rsid w:val="007E7A40"/>
    <w:rsid w:val="007F4111"/>
    <w:rsid w:val="00805744"/>
    <w:rsid w:val="00805C9A"/>
    <w:rsid w:val="00812B57"/>
    <w:rsid w:val="00814B97"/>
    <w:rsid w:val="00817002"/>
    <w:rsid w:val="00826536"/>
    <w:rsid w:val="008431DA"/>
    <w:rsid w:val="00850786"/>
    <w:rsid w:val="0085478F"/>
    <w:rsid w:val="00856243"/>
    <w:rsid w:val="0085767E"/>
    <w:rsid w:val="008645FE"/>
    <w:rsid w:val="00890079"/>
    <w:rsid w:val="008901A5"/>
    <w:rsid w:val="00892A3C"/>
    <w:rsid w:val="00896F8A"/>
    <w:rsid w:val="008A3DF5"/>
    <w:rsid w:val="008A528D"/>
    <w:rsid w:val="008B677B"/>
    <w:rsid w:val="008C1402"/>
    <w:rsid w:val="008E0573"/>
    <w:rsid w:val="008F21F8"/>
    <w:rsid w:val="00901068"/>
    <w:rsid w:val="00903F0C"/>
    <w:rsid w:val="009042B6"/>
    <w:rsid w:val="009214F0"/>
    <w:rsid w:val="00923493"/>
    <w:rsid w:val="009307D3"/>
    <w:rsid w:val="009508C1"/>
    <w:rsid w:val="00950CB1"/>
    <w:rsid w:val="00951BB3"/>
    <w:rsid w:val="00954BDB"/>
    <w:rsid w:val="0095590C"/>
    <w:rsid w:val="00972FBD"/>
    <w:rsid w:val="009756C5"/>
    <w:rsid w:val="00986246"/>
    <w:rsid w:val="00991F58"/>
    <w:rsid w:val="009A29E4"/>
    <w:rsid w:val="009A54B8"/>
    <w:rsid w:val="009B23F6"/>
    <w:rsid w:val="009C6AC9"/>
    <w:rsid w:val="009E4219"/>
    <w:rsid w:val="009F3F50"/>
    <w:rsid w:val="009F7A17"/>
    <w:rsid w:val="00A02225"/>
    <w:rsid w:val="00A10A43"/>
    <w:rsid w:val="00A11BDE"/>
    <w:rsid w:val="00A2050D"/>
    <w:rsid w:val="00A356CF"/>
    <w:rsid w:val="00A372C7"/>
    <w:rsid w:val="00A54187"/>
    <w:rsid w:val="00A55906"/>
    <w:rsid w:val="00A56747"/>
    <w:rsid w:val="00A60CBD"/>
    <w:rsid w:val="00A71282"/>
    <w:rsid w:val="00A81A38"/>
    <w:rsid w:val="00A83E4E"/>
    <w:rsid w:val="00A85539"/>
    <w:rsid w:val="00A869BB"/>
    <w:rsid w:val="00A91393"/>
    <w:rsid w:val="00A957F6"/>
    <w:rsid w:val="00AA24EB"/>
    <w:rsid w:val="00AA7F3D"/>
    <w:rsid w:val="00AB76A1"/>
    <w:rsid w:val="00AB7C9C"/>
    <w:rsid w:val="00AC7415"/>
    <w:rsid w:val="00AD7AD0"/>
    <w:rsid w:val="00AE3722"/>
    <w:rsid w:val="00AE5AE0"/>
    <w:rsid w:val="00AF03C6"/>
    <w:rsid w:val="00B01678"/>
    <w:rsid w:val="00B1050A"/>
    <w:rsid w:val="00B13193"/>
    <w:rsid w:val="00B23964"/>
    <w:rsid w:val="00B24239"/>
    <w:rsid w:val="00B46E8B"/>
    <w:rsid w:val="00B51FC3"/>
    <w:rsid w:val="00B60B39"/>
    <w:rsid w:val="00B74FC9"/>
    <w:rsid w:val="00B832F4"/>
    <w:rsid w:val="00BA18F4"/>
    <w:rsid w:val="00BA5FC7"/>
    <w:rsid w:val="00BB40AE"/>
    <w:rsid w:val="00BC10D3"/>
    <w:rsid w:val="00BD0DD1"/>
    <w:rsid w:val="00BD4BF0"/>
    <w:rsid w:val="00BE4763"/>
    <w:rsid w:val="00BF45FA"/>
    <w:rsid w:val="00BF5452"/>
    <w:rsid w:val="00BF686F"/>
    <w:rsid w:val="00C03F7E"/>
    <w:rsid w:val="00C043E0"/>
    <w:rsid w:val="00C11063"/>
    <w:rsid w:val="00C167EF"/>
    <w:rsid w:val="00C177CA"/>
    <w:rsid w:val="00C2381A"/>
    <w:rsid w:val="00C2649B"/>
    <w:rsid w:val="00C26BAA"/>
    <w:rsid w:val="00C344F0"/>
    <w:rsid w:val="00C365FC"/>
    <w:rsid w:val="00C50375"/>
    <w:rsid w:val="00C52818"/>
    <w:rsid w:val="00C6132A"/>
    <w:rsid w:val="00C62712"/>
    <w:rsid w:val="00C644AC"/>
    <w:rsid w:val="00C665FA"/>
    <w:rsid w:val="00C67876"/>
    <w:rsid w:val="00C819FB"/>
    <w:rsid w:val="00C87042"/>
    <w:rsid w:val="00C91BC1"/>
    <w:rsid w:val="00C973A2"/>
    <w:rsid w:val="00CA02A5"/>
    <w:rsid w:val="00CA2504"/>
    <w:rsid w:val="00CA4081"/>
    <w:rsid w:val="00CA590F"/>
    <w:rsid w:val="00CA63ED"/>
    <w:rsid w:val="00CA70A0"/>
    <w:rsid w:val="00CA7287"/>
    <w:rsid w:val="00CA77A9"/>
    <w:rsid w:val="00CB3FCD"/>
    <w:rsid w:val="00CC1E0D"/>
    <w:rsid w:val="00CC5673"/>
    <w:rsid w:val="00CD470D"/>
    <w:rsid w:val="00CD5456"/>
    <w:rsid w:val="00CE31FA"/>
    <w:rsid w:val="00CE533D"/>
    <w:rsid w:val="00CF37AE"/>
    <w:rsid w:val="00CF43CF"/>
    <w:rsid w:val="00D1064A"/>
    <w:rsid w:val="00D13729"/>
    <w:rsid w:val="00D14DE3"/>
    <w:rsid w:val="00D15329"/>
    <w:rsid w:val="00D1711B"/>
    <w:rsid w:val="00D22B68"/>
    <w:rsid w:val="00D22DD0"/>
    <w:rsid w:val="00D26E0A"/>
    <w:rsid w:val="00D3335B"/>
    <w:rsid w:val="00D42974"/>
    <w:rsid w:val="00D450FB"/>
    <w:rsid w:val="00D45A5E"/>
    <w:rsid w:val="00D57F7A"/>
    <w:rsid w:val="00D60763"/>
    <w:rsid w:val="00D6574A"/>
    <w:rsid w:val="00D66A82"/>
    <w:rsid w:val="00D709EC"/>
    <w:rsid w:val="00D75437"/>
    <w:rsid w:val="00D80D74"/>
    <w:rsid w:val="00D85A19"/>
    <w:rsid w:val="00D87E51"/>
    <w:rsid w:val="00D9178D"/>
    <w:rsid w:val="00D94917"/>
    <w:rsid w:val="00DA25CA"/>
    <w:rsid w:val="00DA4219"/>
    <w:rsid w:val="00DA4A19"/>
    <w:rsid w:val="00DA6A8E"/>
    <w:rsid w:val="00DB1DDD"/>
    <w:rsid w:val="00DB7078"/>
    <w:rsid w:val="00DD607E"/>
    <w:rsid w:val="00DD71A0"/>
    <w:rsid w:val="00DD7912"/>
    <w:rsid w:val="00DE3C24"/>
    <w:rsid w:val="00DE4A88"/>
    <w:rsid w:val="00DE5FF6"/>
    <w:rsid w:val="00DF52B4"/>
    <w:rsid w:val="00E1032A"/>
    <w:rsid w:val="00E13F49"/>
    <w:rsid w:val="00E211E6"/>
    <w:rsid w:val="00E22EE8"/>
    <w:rsid w:val="00E40052"/>
    <w:rsid w:val="00E55E65"/>
    <w:rsid w:val="00E60058"/>
    <w:rsid w:val="00E85D09"/>
    <w:rsid w:val="00E947B7"/>
    <w:rsid w:val="00E9771F"/>
    <w:rsid w:val="00EB1916"/>
    <w:rsid w:val="00EB21A4"/>
    <w:rsid w:val="00EB4792"/>
    <w:rsid w:val="00EB719B"/>
    <w:rsid w:val="00ED7142"/>
    <w:rsid w:val="00EE5FC4"/>
    <w:rsid w:val="00EF208D"/>
    <w:rsid w:val="00F06678"/>
    <w:rsid w:val="00F2094E"/>
    <w:rsid w:val="00F22CDB"/>
    <w:rsid w:val="00F240D4"/>
    <w:rsid w:val="00F24A26"/>
    <w:rsid w:val="00F26F42"/>
    <w:rsid w:val="00F41F20"/>
    <w:rsid w:val="00F45D9D"/>
    <w:rsid w:val="00F46E8B"/>
    <w:rsid w:val="00F50C3E"/>
    <w:rsid w:val="00F572DA"/>
    <w:rsid w:val="00F6283A"/>
    <w:rsid w:val="00F63181"/>
    <w:rsid w:val="00F6705F"/>
    <w:rsid w:val="00F70E6B"/>
    <w:rsid w:val="00F715A8"/>
    <w:rsid w:val="00F76C9F"/>
    <w:rsid w:val="00F84207"/>
    <w:rsid w:val="00F85D09"/>
    <w:rsid w:val="00F860FD"/>
    <w:rsid w:val="00FA1F31"/>
    <w:rsid w:val="00FA475C"/>
    <w:rsid w:val="00FB42C7"/>
    <w:rsid w:val="00FC5616"/>
    <w:rsid w:val="00FD4491"/>
    <w:rsid w:val="00FF07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75C62E"/>
  <w15:chartTrackingRefBased/>
  <w15:docId w15:val="{EC9FB0F1-9A90-4834-BE99-6C6CACB10C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5BC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D2F25"/>
    <w:rPr>
      <w:color w:val="0563C1" w:themeColor="hyperlink"/>
      <w:u w:val="single"/>
    </w:rPr>
  </w:style>
  <w:style w:type="character" w:styleId="UnresolvedMention">
    <w:name w:val="Unresolved Mention"/>
    <w:basedOn w:val="DefaultParagraphFont"/>
    <w:uiPriority w:val="99"/>
    <w:semiHidden/>
    <w:unhideWhenUsed/>
    <w:rsid w:val="006D2F25"/>
    <w:rPr>
      <w:color w:val="605E5C"/>
      <w:shd w:val="clear" w:color="auto" w:fill="E1DFDD"/>
    </w:rPr>
  </w:style>
  <w:style w:type="character" w:styleId="FollowedHyperlink">
    <w:name w:val="FollowedHyperlink"/>
    <w:basedOn w:val="DefaultParagraphFont"/>
    <w:uiPriority w:val="99"/>
    <w:semiHidden/>
    <w:unhideWhenUsed/>
    <w:rsid w:val="006D2F25"/>
    <w:rPr>
      <w:color w:val="954F72" w:themeColor="followedHyperlink"/>
      <w:u w:val="single"/>
    </w:rPr>
  </w:style>
  <w:style w:type="paragraph" w:styleId="NormalWeb">
    <w:name w:val="Normal (Web)"/>
    <w:basedOn w:val="Normal"/>
    <w:uiPriority w:val="99"/>
    <w:unhideWhenUsed/>
    <w:rsid w:val="003205B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3205B9"/>
    <w:rPr>
      <w:i/>
      <w:iCs/>
    </w:rPr>
  </w:style>
  <w:style w:type="character" w:customStyle="1" w:styleId="Heading1Char">
    <w:name w:val="Heading 1 Char"/>
    <w:basedOn w:val="DefaultParagraphFont"/>
    <w:link w:val="Heading1"/>
    <w:uiPriority w:val="9"/>
    <w:rsid w:val="00315BCD"/>
    <w:rPr>
      <w:rFonts w:asciiTheme="majorHAnsi" w:eastAsiaTheme="majorEastAsia" w:hAnsiTheme="majorHAnsi" w:cstheme="majorBidi"/>
      <w:color w:val="2F5496" w:themeColor="accent1" w:themeShade="BF"/>
      <w:sz w:val="32"/>
      <w:szCs w:val="32"/>
    </w:rPr>
  </w:style>
  <w:style w:type="character" w:styleId="CommentReference">
    <w:name w:val="annotation reference"/>
    <w:basedOn w:val="DefaultParagraphFont"/>
    <w:uiPriority w:val="99"/>
    <w:semiHidden/>
    <w:unhideWhenUsed/>
    <w:rsid w:val="007B481F"/>
    <w:rPr>
      <w:sz w:val="16"/>
      <w:szCs w:val="16"/>
    </w:rPr>
  </w:style>
  <w:style w:type="paragraph" w:styleId="CommentText">
    <w:name w:val="annotation text"/>
    <w:basedOn w:val="Normal"/>
    <w:link w:val="CommentTextChar"/>
    <w:uiPriority w:val="99"/>
    <w:semiHidden/>
    <w:unhideWhenUsed/>
    <w:rsid w:val="007B481F"/>
    <w:pPr>
      <w:spacing w:line="240" w:lineRule="auto"/>
    </w:pPr>
    <w:rPr>
      <w:sz w:val="20"/>
      <w:szCs w:val="20"/>
    </w:rPr>
  </w:style>
  <w:style w:type="character" w:customStyle="1" w:styleId="CommentTextChar">
    <w:name w:val="Comment Text Char"/>
    <w:basedOn w:val="DefaultParagraphFont"/>
    <w:link w:val="CommentText"/>
    <w:uiPriority w:val="99"/>
    <w:semiHidden/>
    <w:rsid w:val="007B481F"/>
    <w:rPr>
      <w:sz w:val="20"/>
      <w:szCs w:val="20"/>
    </w:rPr>
  </w:style>
  <w:style w:type="paragraph" w:styleId="CommentSubject">
    <w:name w:val="annotation subject"/>
    <w:basedOn w:val="CommentText"/>
    <w:next w:val="CommentText"/>
    <w:link w:val="CommentSubjectChar"/>
    <w:uiPriority w:val="99"/>
    <w:semiHidden/>
    <w:unhideWhenUsed/>
    <w:rsid w:val="007B481F"/>
    <w:rPr>
      <w:b/>
      <w:bCs/>
    </w:rPr>
  </w:style>
  <w:style w:type="character" w:customStyle="1" w:styleId="CommentSubjectChar">
    <w:name w:val="Comment Subject Char"/>
    <w:basedOn w:val="CommentTextChar"/>
    <w:link w:val="CommentSubject"/>
    <w:uiPriority w:val="99"/>
    <w:semiHidden/>
    <w:rsid w:val="007B481F"/>
    <w:rPr>
      <w:b/>
      <w:bCs/>
      <w:sz w:val="20"/>
      <w:szCs w:val="20"/>
    </w:rPr>
  </w:style>
  <w:style w:type="paragraph" w:styleId="FootnoteText">
    <w:name w:val="footnote text"/>
    <w:basedOn w:val="Normal"/>
    <w:link w:val="FootnoteTextChar"/>
    <w:uiPriority w:val="99"/>
    <w:semiHidden/>
    <w:unhideWhenUsed/>
    <w:rsid w:val="00EB719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EB719B"/>
    <w:rPr>
      <w:sz w:val="20"/>
      <w:szCs w:val="20"/>
    </w:rPr>
  </w:style>
  <w:style w:type="character" w:styleId="FootnoteReference">
    <w:name w:val="footnote reference"/>
    <w:basedOn w:val="DefaultParagraphFont"/>
    <w:uiPriority w:val="99"/>
    <w:semiHidden/>
    <w:unhideWhenUsed/>
    <w:rsid w:val="00EB719B"/>
    <w:rPr>
      <w:vertAlign w:val="superscript"/>
    </w:rPr>
  </w:style>
  <w:style w:type="paragraph" w:customStyle="1" w:styleId="dx-doi">
    <w:name w:val="dx-doi"/>
    <w:basedOn w:val="Normal"/>
    <w:rsid w:val="00CA408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8562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066762">
      <w:bodyDiv w:val="1"/>
      <w:marLeft w:val="0"/>
      <w:marRight w:val="0"/>
      <w:marTop w:val="0"/>
      <w:marBottom w:val="0"/>
      <w:divBdr>
        <w:top w:val="none" w:sz="0" w:space="0" w:color="auto"/>
        <w:left w:val="none" w:sz="0" w:space="0" w:color="auto"/>
        <w:bottom w:val="none" w:sz="0" w:space="0" w:color="auto"/>
        <w:right w:val="none" w:sz="0" w:space="0" w:color="auto"/>
      </w:divBdr>
    </w:div>
    <w:div w:id="198784699">
      <w:bodyDiv w:val="1"/>
      <w:marLeft w:val="0"/>
      <w:marRight w:val="0"/>
      <w:marTop w:val="0"/>
      <w:marBottom w:val="0"/>
      <w:divBdr>
        <w:top w:val="none" w:sz="0" w:space="0" w:color="auto"/>
        <w:left w:val="none" w:sz="0" w:space="0" w:color="auto"/>
        <w:bottom w:val="none" w:sz="0" w:space="0" w:color="auto"/>
        <w:right w:val="none" w:sz="0" w:space="0" w:color="auto"/>
      </w:divBdr>
    </w:div>
    <w:div w:id="341277047">
      <w:bodyDiv w:val="1"/>
      <w:marLeft w:val="0"/>
      <w:marRight w:val="0"/>
      <w:marTop w:val="0"/>
      <w:marBottom w:val="0"/>
      <w:divBdr>
        <w:top w:val="none" w:sz="0" w:space="0" w:color="auto"/>
        <w:left w:val="none" w:sz="0" w:space="0" w:color="auto"/>
        <w:bottom w:val="none" w:sz="0" w:space="0" w:color="auto"/>
        <w:right w:val="none" w:sz="0" w:space="0" w:color="auto"/>
      </w:divBdr>
    </w:div>
    <w:div w:id="530413608">
      <w:bodyDiv w:val="1"/>
      <w:marLeft w:val="0"/>
      <w:marRight w:val="0"/>
      <w:marTop w:val="0"/>
      <w:marBottom w:val="0"/>
      <w:divBdr>
        <w:top w:val="none" w:sz="0" w:space="0" w:color="auto"/>
        <w:left w:val="none" w:sz="0" w:space="0" w:color="auto"/>
        <w:bottom w:val="none" w:sz="0" w:space="0" w:color="auto"/>
        <w:right w:val="none" w:sz="0" w:space="0" w:color="auto"/>
      </w:divBdr>
    </w:div>
    <w:div w:id="726804339">
      <w:bodyDiv w:val="1"/>
      <w:marLeft w:val="0"/>
      <w:marRight w:val="0"/>
      <w:marTop w:val="0"/>
      <w:marBottom w:val="0"/>
      <w:divBdr>
        <w:top w:val="none" w:sz="0" w:space="0" w:color="auto"/>
        <w:left w:val="none" w:sz="0" w:space="0" w:color="auto"/>
        <w:bottom w:val="none" w:sz="0" w:space="0" w:color="auto"/>
        <w:right w:val="none" w:sz="0" w:space="0" w:color="auto"/>
      </w:divBdr>
    </w:div>
    <w:div w:id="1043286618">
      <w:bodyDiv w:val="1"/>
      <w:marLeft w:val="0"/>
      <w:marRight w:val="0"/>
      <w:marTop w:val="0"/>
      <w:marBottom w:val="0"/>
      <w:divBdr>
        <w:top w:val="none" w:sz="0" w:space="0" w:color="auto"/>
        <w:left w:val="none" w:sz="0" w:space="0" w:color="auto"/>
        <w:bottom w:val="none" w:sz="0" w:space="0" w:color="auto"/>
        <w:right w:val="none" w:sz="0" w:space="0" w:color="auto"/>
      </w:divBdr>
    </w:div>
    <w:div w:id="1181436088">
      <w:bodyDiv w:val="1"/>
      <w:marLeft w:val="0"/>
      <w:marRight w:val="0"/>
      <w:marTop w:val="0"/>
      <w:marBottom w:val="0"/>
      <w:divBdr>
        <w:top w:val="none" w:sz="0" w:space="0" w:color="auto"/>
        <w:left w:val="none" w:sz="0" w:space="0" w:color="auto"/>
        <w:bottom w:val="none" w:sz="0" w:space="0" w:color="auto"/>
        <w:right w:val="none" w:sz="0" w:space="0" w:color="auto"/>
      </w:divBdr>
    </w:div>
    <w:div w:id="1199051756">
      <w:bodyDiv w:val="1"/>
      <w:marLeft w:val="0"/>
      <w:marRight w:val="0"/>
      <w:marTop w:val="0"/>
      <w:marBottom w:val="0"/>
      <w:divBdr>
        <w:top w:val="none" w:sz="0" w:space="0" w:color="auto"/>
        <w:left w:val="none" w:sz="0" w:space="0" w:color="auto"/>
        <w:bottom w:val="none" w:sz="0" w:space="0" w:color="auto"/>
        <w:right w:val="none" w:sz="0" w:space="0" w:color="auto"/>
      </w:divBdr>
    </w:div>
    <w:div w:id="1255361738">
      <w:bodyDiv w:val="1"/>
      <w:marLeft w:val="0"/>
      <w:marRight w:val="0"/>
      <w:marTop w:val="0"/>
      <w:marBottom w:val="0"/>
      <w:divBdr>
        <w:top w:val="none" w:sz="0" w:space="0" w:color="auto"/>
        <w:left w:val="none" w:sz="0" w:space="0" w:color="auto"/>
        <w:bottom w:val="none" w:sz="0" w:space="0" w:color="auto"/>
        <w:right w:val="none" w:sz="0" w:space="0" w:color="auto"/>
      </w:divBdr>
    </w:div>
    <w:div w:id="1664888418">
      <w:bodyDiv w:val="1"/>
      <w:marLeft w:val="0"/>
      <w:marRight w:val="0"/>
      <w:marTop w:val="0"/>
      <w:marBottom w:val="0"/>
      <w:divBdr>
        <w:top w:val="none" w:sz="0" w:space="0" w:color="auto"/>
        <w:left w:val="none" w:sz="0" w:space="0" w:color="auto"/>
        <w:bottom w:val="none" w:sz="0" w:space="0" w:color="auto"/>
        <w:right w:val="none" w:sz="0" w:space="0" w:color="auto"/>
      </w:divBdr>
    </w:div>
    <w:div w:id="1672562617">
      <w:bodyDiv w:val="1"/>
      <w:marLeft w:val="0"/>
      <w:marRight w:val="0"/>
      <w:marTop w:val="0"/>
      <w:marBottom w:val="0"/>
      <w:divBdr>
        <w:top w:val="none" w:sz="0" w:space="0" w:color="auto"/>
        <w:left w:val="none" w:sz="0" w:space="0" w:color="auto"/>
        <w:bottom w:val="none" w:sz="0" w:space="0" w:color="auto"/>
        <w:right w:val="none" w:sz="0" w:space="0" w:color="auto"/>
      </w:divBdr>
    </w:div>
    <w:div w:id="1702592045">
      <w:bodyDiv w:val="1"/>
      <w:marLeft w:val="0"/>
      <w:marRight w:val="0"/>
      <w:marTop w:val="0"/>
      <w:marBottom w:val="0"/>
      <w:divBdr>
        <w:top w:val="none" w:sz="0" w:space="0" w:color="auto"/>
        <w:left w:val="none" w:sz="0" w:space="0" w:color="auto"/>
        <w:bottom w:val="none" w:sz="0" w:space="0" w:color="auto"/>
        <w:right w:val="none" w:sz="0" w:space="0" w:color="auto"/>
      </w:divBdr>
    </w:div>
    <w:div w:id="1874270405">
      <w:bodyDiv w:val="1"/>
      <w:marLeft w:val="0"/>
      <w:marRight w:val="0"/>
      <w:marTop w:val="0"/>
      <w:marBottom w:val="0"/>
      <w:divBdr>
        <w:top w:val="none" w:sz="0" w:space="0" w:color="auto"/>
        <w:left w:val="none" w:sz="0" w:space="0" w:color="auto"/>
        <w:bottom w:val="none" w:sz="0" w:space="0" w:color="auto"/>
        <w:right w:val="none" w:sz="0" w:space="0" w:color="auto"/>
      </w:divBdr>
    </w:div>
    <w:div w:id="2035494017">
      <w:bodyDiv w:val="1"/>
      <w:marLeft w:val="0"/>
      <w:marRight w:val="0"/>
      <w:marTop w:val="0"/>
      <w:marBottom w:val="0"/>
      <w:divBdr>
        <w:top w:val="none" w:sz="0" w:space="0" w:color="auto"/>
        <w:left w:val="none" w:sz="0" w:space="0" w:color="auto"/>
        <w:bottom w:val="none" w:sz="0" w:space="0" w:color="auto"/>
        <w:right w:val="none" w:sz="0" w:space="0" w:color="auto"/>
      </w:divBdr>
    </w:div>
    <w:div w:id="2140488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yperlink" Target="https://adiscuola.it/assets/uploads/2021/08/CURRICULUM-OVERLOAD-EN.pdf" TargetMode="External"/><Relationship Id="rId21" Type="http://schemas.openxmlformats.org/officeDocument/2006/relationships/image" Target="media/image14.png"/><Relationship Id="rId34" Type="http://schemas.openxmlformats.org/officeDocument/2006/relationships/hyperlink" Target="https://www.jstor.org/stable/1501722" TargetMode="External"/><Relationship Id="rId42" Type="http://schemas.openxmlformats.org/officeDocument/2006/relationships/hyperlink" Target="https://www.researchgate.net/publication/288357931_Will_the_contructivist_approach_employed_in_science_teaching_change_the_grammar_of_schooling" TargetMode="External"/><Relationship Id="rId47" Type="http://schemas.openxmlformats.org/officeDocument/2006/relationships/hyperlink" Target="https://hwb.gov.wales/curriculum-for-wales/humanities/" TargetMode="External"/><Relationship Id="rId50" Type="http://schemas.openxmlformats.org/officeDocument/2006/relationships/hyperlink" Target="https://hwb.gov.wales/curriculum-for-wales/assessment-arrangements/what-s-changing-in-assessment" TargetMode="External"/><Relationship Id="rId55"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uob2014grp5.wordpress.com/formative-assessment/"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www.proquest.com/docview/1564373183?parentSessionId=oz%2F3uxGRCkVD7ouboWCKvC3uwMksybPAQJosqXE6dAU%3D&amp;pq-origsite=primo&amp;accountid=130472&amp;sourcetype=Trade%20Journals" TargetMode="External"/><Relationship Id="rId37" Type="http://schemas.openxmlformats.org/officeDocument/2006/relationships/hyperlink" Target="https://publicpolicydesign.blog.gov.uk/2021/10/14/achieving-policy-excellence-with-austins-butterfly/" TargetMode="External"/><Relationship Id="rId40" Type="http://schemas.openxmlformats.org/officeDocument/2006/relationships/hyperlink" Target="http://dx.doi.org/10.1002/bs.3830280103" TargetMode="External"/><Relationship Id="rId45" Type="http://schemas.openxmlformats.org/officeDocument/2006/relationships/hyperlink" Target="https://hwb.gov.wales/api/storage/663d00fd-9c3b-4003-9a1f-0012bad39fad/how-to-develop-thinking-and-assessment-for-learning-in-the-classroom.pdf" TargetMode="External"/><Relationship Id="rId53" Type="http://schemas.openxmlformats.org/officeDocument/2006/relationships/hyperlink" Target="https://doi.org/10.3389/feduc.2023.1170454" TargetMode="Externa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proquest.com/docview/1564373183?parentSessionId=oz%2F3uxGRCkVD7ouboWCKvC3uwMksybPAQJosqXE6dAU%3D&amp;pq-origsite=primo&amp;accountid=130472&amp;sourcetype=Trade%20Journals" TargetMode="External"/><Relationship Id="rId44" Type="http://schemas.openxmlformats.org/officeDocument/2006/relationships/hyperlink" Target="https://drneilthompson.medium.com/the-seventh-thinking-hat-140a72796226" TargetMode="External"/><Relationship Id="rId52" Type="http://schemas.openxmlformats.org/officeDocument/2006/relationships/hyperlink" Target="https://www.youtube.com/watch?v=q-myBw36_DA"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doi.org/10.3163%2F1536-5050.103.3.010" TargetMode="External"/><Relationship Id="rId30" Type="http://schemas.openxmlformats.org/officeDocument/2006/relationships/hyperlink" Target="http://edci770.pbworks.com/w/file/fetch/48124468/BlackWiliam_1998.pdf" TargetMode="External"/><Relationship Id="rId35" Type="http://schemas.openxmlformats.org/officeDocument/2006/relationships/hyperlink" Target="https://doi.org/10.3102/003465430298487" TargetMode="External"/><Relationship Id="rId43" Type="http://schemas.openxmlformats.org/officeDocument/2006/relationships/hyperlink" Target="https://www.tes.com/magazine/archive/literacy-importance-wagoll" TargetMode="External"/><Relationship Id="rId48" Type="http://schemas.openxmlformats.org/officeDocument/2006/relationships/hyperlink" Target="https://hwb.gov.wales/curriculum-for-wales/designing-your-curriculum/developing-a-vision-for-curriculum-design" TargetMode="External"/><Relationship Id="rId56"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hwb.gov.wales/curriculum-for-wales/designing-your-curriculum/pedagogy"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hyperlink" Target="https://www.nasuwt.org.uk/static/uploaded/ad5b4d73-76eb-462a-8ba00412eb6e572a.pdf" TargetMode="External"/><Relationship Id="rId38" Type="http://schemas.openxmlformats.org/officeDocument/2006/relationships/hyperlink" Target="https://doi.org/10.1080/15512169.2016.1211017" TargetMode="External"/><Relationship Id="rId46" Type="http://schemas.openxmlformats.org/officeDocument/2006/relationships/hyperlink" Target="https://dera.ioe.ac.uk/id/eprint/23376/2/150611-reflective-practice-booklet-en_Redacted.pdf" TargetMode="External"/><Relationship Id="rId20" Type="http://schemas.openxmlformats.org/officeDocument/2006/relationships/image" Target="media/image13.png"/><Relationship Id="rId41" Type="http://schemas.openxmlformats.org/officeDocument/2006/relationships/hyperlink" Target="https://www.sec-ed.co.uk/content/best-practice/modelling-and-scaffolding-in-the-classroom/#:~:text=One%20downside%20to%20live%20modelling,model%20for%20a%20response%20instead" TargetMode="External"/><Relationship Id="rId54" Type="http://schemas.openxmlformats.org/officeDocument/2006/relationships/hyperlink" Target="https://blog.hptbydts.com/6-thinking-hats-praise-criticism#:~:text=Some%20critics%20claim%20that%20the,(rather%20than%20saving)%20time"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linkedin.com/pulse/edward-de-bono-six-thinking-hats-schools-munnaza-asif" TargetMode="External"/><Relationship Id="rId36" Type="http://schemas.openxmlformats.org/officeDocument/2006/relationships/hyperlink" Target="https://profdavidhopkins.com/assets/docs/The%20Powerful%20Learning%20Framework%20PDT.pdf" TargetMode="External"/><Relationship Id="rId49" Type="http://schemas.openxmlformats.org/officeDocument/2006/relationships/hyperlink" Target="https://hwb.gov.wales/curriculum-for-wales/cross-curricular-skills-frameworks/literacy-and-numeracy-frame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AA4AFF-2F93-4B8C-80F7-9C5987FB5A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5988</Words>
  <Characters>34136</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Preece</dc:creator>
  <cp:keywords/>
  <dc:description/>
  <cp:lastModifiedBy>Phoebe Preece</cp:lastModifiedBy>
  <cp:revision>296</cp:revision>
  <dcterms:created xsi:type="dcterms:W3CDTF">2023-12-13T09:57:00Z</dcterms:created>
  <dcterms:modified xsi:type="dcterms:W3CDTF">2024-01-06T22:51:00Z</dcterms:modified>
</cp:coreProperties>
</file>